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88048C" w:rsidRPr="007874B4" w:rsidP="002E6B19">
      <w:pPr>
        <w:tabs>
          <w:tab w:val="left" w:pos="90"/>
          <w:tab w:val="left" w:pos="360"/>
        </w:tabs>
        <w:jc w:val="center"/>
        <w:rPr>
          <w:rFonts w:eastAsia="Times New Roman" w:cs="Times New Roman"/>
          <w:b/>
          <w:bCs/>
          <w:sz w:val="28"/>
          <w:szCs w:val="26"/>
          <w:lang w:eastAsia="lv-LV"/>
        </w:rPr>
      </w:pPr>
      <w:bookmarkStart w:id="0" w:name="OLE_LINK4"/>
      <w:bookmarkStart w:id="1" w:name="OLE_LINK5"/>
      <w:r w:rsidRPr="007874B4">
        <w:rPr>
          <w:rFonts w:eastAsia="Times New Roman" w:cs="Times New Roman"/>
          <w:b/>
          <w:bCs/>
          <w:sz w:val="28"/>
          <w:szCs w:val="26"/>
          <w:lang w:eastAsia="lv-LV"/>
        </w:rPr>
        <w:t>Likumprojekta "</w:t>
      </w:r>
      <w:r w:rsidR="008E7752">
        <w:rPr>
          <w:rFonts w:eastAsia="Times New Roman" w:cs="Times New Roman"/>
          <w:b/>
          <w:bCs/>
          <w:sz w:val="28"/>
          <w:szCs w:val="26"/>
          <w:lang w:eastAsia="lv-LV"/>
        </w:rPr>
        <w:t>Grozījums</w:t>
      </w:r>
      <w:r w:rsidRPr="007874B4">
        <w:rPr>
          <w:rFonts w:eastAsia="Times New Roman" w:cs="Times New Roman"/>
          <w:b/>
          <w:bCs/>
          <w:sz w:val="28"/>
          <w:szCs w:val="26"/>
          <w:lang w:eastAsia="lv-LV"/>
        </w:rPr>
        <w:t xml:space="preserve"> </w:t>
      </w:r>
      <w:r w:rsidR="00C10C20">
        <w:rPr>
          <w:rFonts w:eastAsia="Times New Roman" w:cs="Times New Roman"/>
          <w:b/>
          <w:bCs/>
          <w:sz w:val="28"/>
          <w:szCs w:val="26"/>
          <w:lang w:eastAsia="lv-LV"/>
        </w:rPr>
        <w:t xml:space="preserve">Pacientu </w:t>
      </w:r>
      <w:r w:rsidRPr="007874B4" w:rsidR="00C776BF">
        <w:rPr>
          <w:rFonts w:eastAsia="Times New Roman" w:cs="Times New Roman"/>
          <w:b/>
          <w:bCs/>
          <w:sz w:val="28"/>
          <w:szCs w:val="26"/>
          <w:lang w:eastAsia="lv-LV"/>
        </w:rPr>
        <w:t>tiesību likumā</w:t>
      </w:r>
      <w:r w:rsidRPr="007874B4">
        <w:rPr>
          <w:rFonts w:eastAsia="Times New Roman" w:cs="Times New Roman"/>
          <w:b/>
          <w:bCs/>
          <w:sz w:val="28"/>
          <w:szCs w:val="26"/>
          <w:lang w:eastAsia="lv-LV"/>
        </w:rPr>
        <w:t>"</w:t>
      </w:r>
      <w:r w:rsidRPr="007874B4">
        <w:rPr>
          <w:rFonts w:eastAsia="Times New Roman" w:cs="Times New Roman"/>
          <w:b/>
          <w:bCs/>
          <w:sz w:val="28"/>
          <w:szCs w:val="26"/>
          <w:lang w:eastAsia="lv-LV"/>
        </w:rPr>
        <w:t xml:space="preserve"> sākotnējās ietekmes novērtējuma ziņojums (anotācija)</w:t>
      </w:r>
    </w:p>
    <w:p w:rsidR="0088048C" w:rsidRPr="007874B4" w:rsidP="00802485">
      <w:pPr>
        <w:ind w:left="360" w:right="-360" w:hanging="360"/>
        <w:rPr>
          <w:rFonts w:eastAsia="Times New Roman" w:cs="Times New Roman"/>
          <w:b/>
          <w:bCs/>
          <w:sz w:val="28"/>
          <w:szCs w:val="26"/>
          <w:lang w:eastAsia="lv-LV"/>
        </w:rPr>
      </w:pPr>
      <w:bookmarkEnd w:id="0"/>
      <w:bookmarkEnd w:id="1"/>
    </w:p>
    <w:tbl>
      <w:tblPr>
        <w:tblW w:w="4867"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21"/>
        <w:gridCol w:w="2038"/>
        <w:gridCol w:w="6554"/>
      </w:tblGrid>
      <w:tr w:rsidTr="00802485">
        <w:tblPrEx>
          <w:tblW w:w="4867"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8048C" w:rsidRPr="007874B4" w:rsidP="00F43717">
            <w:pPr>
              <w:rPr>
                <w:rFonts w:eastAsia="Times New Roman" w:cs="Times New Roman"/>
                <w:sz w:val="28"/>
                <w:szCs w:val="26"/>
                <w:lang w:eastAsia="lv-LV"/>
              </w:rPr>
            </w:pPr>
            <w:r w:rsidRPr="007874B4">
              <w:rPr>
                <w:rFonts w:eastAsia="Times New Roman" w:cs="Times New Roman"/>
                <w:bCs/>
                <w:sz w:val="28"/>
                <w:szCs w:val="26"/>
                <w:lang w:eastAsia="lv-LV"/>
              </w:rPr>
              <w:t>I. Tiesību akta projekta izstrādes nepieciešamība</w:t>
            </w:r>
          </w:p>
        </w:tc>
      </w:tr>
      <w:tr w:rsidTr="00802485">
        <w:tblPrEx>
          <w:tblW w:w="4867" w:type="pct"/>
          <w:tblInd w:w="30" w:type="dxa"/>
          <w:tblCellMar>
            <w:top w:w="30" w:type="dxa"/>
            <w:left w:w="30" w:type="dxa"/>
            <w:bottom w:w="30" w:type="dxa"/>
            <w:right w:w="30" w:type="dxa"/>
          </w:tblCellMar>
          <w:tblLook w:val="04A0"/>
        </w:tblPrEx>
        <w:trPr>
          <w:trHeight w:val="405"/>
        </w:trPr>
        <w:tc>
          <w:tcPr>
            <w:tcW w:w="337" w:type="pct"/>
            <w:tcBorders>
              <w:top w:val="outset" w:sz="6" w:space="0" w:color="auto"/>
              <w:left w:val="outset" w:sz="6" w:space="0" w:color="auto"/>
              <w:bottom w:val="outset" w:sz="6" w:space="0" w:color="auto"/>
              <w:right w:val="outset" w:sz="6" w:space="0" w:color="auto"/>
            </w:tcBorders>
            <w:hideMark/>
          </w:tcPr>
          <w:p w:rsidR="0088048C" w:rsidRPr="007874B4">
            <w:pPr>
              <w:jc w:val="center"/>
              <w:rPr>
                <w:rFonts w:eastAsia="Times New Roman" w:cs="Times New Roman"/>
                <w:sz w:val="28"/>
                <w:szCs w:val="26"/>
                <w:lang w:eastAsia="lv-LV"/>
              </w:rPr>
            </w:pPr>
            <w:r w:rsidRPr="007874B4">
              <w:rPr>
                <w:rFonts w:eastAsia="Times New Roman" w:cs="Times New Roman"/>
                <w:sz w:val="28"/>
                <w:szCs w:val="26"/>
                <w:lang w:eastAsia="lv-LV"/>
              </w:rPr>
              <w:t>1.</w:t>
            </w:r>
          </w:p>
        </w:tc>
        <w:tc>
          <w:tcPr>
            <w:tcW w:w="1106" w:type="pct"/>
            <w:tcBorders>
              <w:top w:val="outset" w:sz="6" w:space="0" w:color="auto"/>
              <w:left w:val="outset" w:sz="6" w:space="0" w:color="auto"/>
              <w:bottom w:val="outset" w:sz="6" w:space="0" w:color="auto"/>
              <w:right w:val="outset" w:sz="6" w:space="0" w:color="auto"/>
            </w:tcBorders>
            <w:hideMark/>
          </w:tcPr>
          <w:p w:rsidR="0088048C" w:rsidRPr="007874B4">
            <w:pPr>
              <w:rPr>
                <w:rFonts w:eastAsia="Times New Roman" w:cs="Times New Roman"/>
                <w:sz w:val="28"/>
                <w:szCs w:val="26"/>
                <w:lang w:eastAsia="lv-LV"/>
              </w:rPr>
            </w:pPr>
            <w:r w:rsidRPr="007874B4">
              <w:rPr>
                <w:rFonts w:eastAsia="Times New Roman" w:cs="Times New Roman"/>
                <w:sz w:val="28"/>
                <w:szCs w:val="26"/>
                <w:lang w:eastAsia="lv-LV"/>
              </w:rPr>
              <w:t>Pamatojums</w:t>
            </w:r>
          </w:p>
        </w:tc>
        <w:tc>
          <w:tcPr>
            <w:tcW w:w="3557" w:type="pct"/>
            <w:tcBorders>
              <w:top w:val="outset" w:sz="6" w:space="0" w:color="auto"/>
              <w:left w:val="outset" w:sz="6" w:space="0" w:color="auto"/>
              <w:bottom w:val="outset" w:sz="6" w:space="0" w:color="auto"/>
              <w:right w:val="outset" w:sz="6" w:space="0" w:color="auto"/>
            </w:tcBorders>
            <w:hideMark/>
          </w:tcPr>
          <w:p w:rsidR="005D503A" w:rsidP="00E86604">
            <w:pPr>
              <w:ind w:right="140"/>
              <w:jc w:val="both"/>
              <w:rPr>
                <w:rFonts w:cs="Times New Roman"/>
                <w:color w:val="000000"/>
                <w:sz w:val="28"/>
                <w:szCs w:val="26"/>
                <w:shd w:val="clear" w:color="auto" w:fill="FFFFFF"/>
              </w:rPr>
            </w:pPr>
            <w:r w:rsidRPr="007874B4">
              <w:rPr>
                <w:rFonts w:cs="Times New Roman"/>
                <w:color w:val="000000"/>
                <w:sz w:val="28"/>
                <w:szCs w:val="26"/>
                <w:shd w:val="clear" w:color="auto" w:fill="FFFFFF"/>
              </w:rPr>
              <w:t>Likumprojekts</w:t>
            </w:r>
            <w:r w:rsidRPr="007874B4" w:rsidR="00D90B13">
              <w:rPr>
                <w:rFonts w:cs="Times New Roman"/>
                <w:color w:val="000000"/>
                <w:sz w:val="28"/>
                <w:szCs w:val="26"/>
                <w:shd w:val="clear" w:color="auto" w:fill="FFFFFF"/>
              </w:rPr>
              <w:t xml:space="preserve"> "</w:t>
            </w:r>
            <w:r w:rsidR="008E7752">
              <w:rPr>
                <w:rFonts w:cs="Times New Roman"/>
                <w:color w:val="000000"/>
                <w:sz w:val="28"/>
                <w:szCs w:val="26"/>
                <w:shd w:val="clear" w:color="auto" w:fill="FFFFFF"/>
              </w:rPr>
              <w:t>Grozījums</w:t>
            </w:r>
            <w:r w:rsidRPr="007874B4" w:rsidR="007A3B57">
              <w:rPr>
                <w:rFonts w:cs="Times New Roman"/>
                <w:color w:val="000000"/>
                <w:sz w:val="28"/>
                <w:szCs w:val="26"/>
                <w:shd w:val="clear" w:color="auto" w:fill="FFFFFF"/>
              </w:rPr>
              <w:t xml:space="preserve"> </w:t>
            </w:r>
            <w:r w:rsidR="00C10C20">
              <w:rPr>
                <w:rFonts w:cs="Times New Roman"/>
                <w:color w:val="000000"/>
                <w:sz w:val="28"/>
                <w:szCs w:val="26"/>
                <w:shd w:val="clear" w:color="auto" w:fill="FFFFFF"/>
              </w:rPr>
              <w:t xml:space="preserve">Pacientu tiesību </w:t>
            </w:r>
            <w:r w:rsidRPr="007874B4" w:rsidR="00D90B13">
              <w:rPr>
                <w:rFonts w:cs="Times New Roman"/>
                <w:color w:val="000000"/>
                <w:sz w:val="28"/>
                <w:szCs w:val="26"/>
                <w:shd w:val="clear" w:color="auto" w:fill="FFFFFF"/>
              </w:rPr>
              <w:t>likumā"</w:t>
            </w:r>
            <w:r w:rsidRPr="007874B4" w:rsidR="007A3B57">
              <w:rPr>
                <w:rFonts w:cs="Times New Roman"/>
                <w:color w:val="000000"/>
                <w:sz w:val="28"/>
                <w:szCs w:val="26"/>
                <w:shd w:val="clear" w:color="auto" w:fill="FFFFFF"/>
              </w:rPr>
              <w:t xml:space="preserve"> </w:t>
            </w:r>
            <w:r w:rsidRPr="007874B4" w:rsidR="00E86604">
              <w:rPr>
                <w:rFonts w:cs="Times New Roman"/>
                <w:color w:val="000000"/>
                <w:sz w:val="28"/>
                <w:szCs w:val="26"/>
                <w:shd w:val="clear" w:color="auto" w:fill="FFFFFF"/>
              </w:rPr>
              <w:t>izstrādāt</w:t>
            </w:r>
            <w:r w:rsidRPr="007874B4">
              <w:rPr>
                <w:rFonts w:cs="Times New Roman"/>
                <w:color w:val="000000"/>
                <w:sz w:val="28"/>
                <w:szCs w:val="26"/>
                <w:shd w:val="clear" w:color="auto" w:fill="FFFFFF"/>
              </w:rPr>
              <w:t>s</w:t>
            </w:r>
            <w:r>
              <w:rPr>
                <w:rFonts w:cs="Times New Roman"/>
                <w:color w:val="000000"/>
                <w:sz w:val="28"/>
                <w:szCs w:val="26"/>
                <w:shd w:val="clear" w:color="auto" w:fill="FFFFFF"/>
              </w:rPr>
              <w:t>:</w:t>
            </w:r>
          </w:p>
          <w:p w:rsidR="0088048C" w:rsidP="00E86604">
            <w:pPr>
              <w:ind w:right="140"/>
              <w:jc w:val="both"/>
              <w:rPr>
                <w:rFonts w:cs="Times New Roman"/>
                <w:sz w:val="28"/>
                <w:szCs w:val="26"/>
              </w:rPr>
            </w:pPr>
            <w:r>
              <w:rPr>
                <w:rFonts w:cs="Times New Roman"/>
                <w:color w:val="000000"/>
                <w:sz w:val="28"/>
                <w:szCs w:val="26"/>
                <w:shd w:val="clear" w:color="auto" w:fill="FFFFFF"/>
              </w:rPr>
              <w:t>1)</w:t>
            </w:r>
            <w:r w:rsidRPr="007874B4" w:rsidR="00591F88">
              <w:rPr>
                <w:rFonts w:cs="Times New Roman"/>
                <w:color w:val="000000"/>
                <w:sz w:val="28"/>
                <w:szCs w:val="26"/>
                <w:shd w:val="clear" w:color="auto" w:fill="FFFFFF"/>
              </w:rPr>
              <w:t xml:space="preserve"> saskaņā ar</w:t>
            </w:r>
            <w:r w:rsidR="00797E14">
              <w:rPr>
                <w:rFonts w:cs="Times New Roman"/>
                <w:color w:val="000000"/>
                <w:sz w:val="28"/>
                <w:szCs w:val="26"/>
                <w:shd w:val="clear" w:color="auto" w:fill="FFFFFF"/>
              </w:rPr>
              <w:t xml:space="preserve"> </w:t>
            </w:r>
            <w:r w:rsidR="00C10C20">
              <w:rPr>
                <w:rFonts w:cs="Times New Roman"/>
                <w:sz w:val="28"/>
                <w:szCs w:val="26"/>
              </w:rPr>
              <w:t>Ministru kabineta 2016.gada 1</w:t>
            </w:r>
            <w:r w:rsidRPr="007874B4" w:rsidR="00591F88">
              <w:rPr>
                <w:rFonts w:cs="Times New Roman"/>
                <w:sz w:val="28"/>
                <w:szCs w:val="26"/>
              </w:rPr>
              <w:t>.</w:t>
            </w:r>
            <w:r w:rsidR="00C10C20">
              <w:rPr>
                <w:rFonts w:cs="Times New Roman"/>
                <w:sz w:val="28"/>
                <w:szCs w:val="26"/>
              </w:rPr>
              <w:t>marta sēdes protokola Nr.10 22</w:t>
            </w:r>
            <w:r w:rsidRPr="007874B4" w:rsidR="00591F88">
              <w:rPr>
                <w:rFonts w:cs="Times New Roman"/>
                <w:sz w:val="28"/>
                <w:szCs w:val="26"/>
              </w:rPr>
              <w:t xml:space="preserve">.§ </w:t>
            </w:r>
            <w:r w:rsidRPr="007874B4" w:rsidR="00D90B13">
              <w:rPr>
                <w:rFonts w:cs="Times New Roman"/>
                <w:sz w:val="28"/>
                <w:szCs w:val="26"/>
              </w:rPr>
              <w:t>"</w:t>
            </w:r>
            <w:r w:rsidR="00C10C20">
              <w:rPr>
                <w:rFonts w:cs="Times New Roman"/>
                <w:i/>
                <w:sz w:val="28"/>
                <w:szCs w:val="26"/>
              </w:rPr>
              <w:t>Noteikumu projekts „Kārtība, kādā izmeklē un uzskaita nelaimes gadījumus darbā, kas notikuši ar Iekšlietu ministrijas sistēmas iestāžu un Ieslodzījuma vietu pārvaldes amatpersonām ar speciālajām dienesta pakāpēm”</w:t>
            </w:r>
            <w:r w:rsidRPr="007874B4" w:rsidR="00D90B13">
              <w:rPr>
                <w:rFonts w:cs="Times New Roman"/>
                <w:i/>
                <w:sz w:val="28"/>
                <w:szCs w:val="26"/>
              </w:rPr>
              <w:t>"</w:t>
            </w:r>
            <w:r w:rsidR="00C10C20">
              <w:rPr>
                <w:rFonts w:cs="Times New Roman"/>
                <w:sz w:val="28"/>
                <w:szCs w:val="26"/>
              </w:rPr>
              <w:t xml:space="preserve"> (TA-60) (turpmāk – MK 01.03.2016</w:t>
            </w:r>
            <w:r w:rsidR="00797E14">
              <w:rPr>
                <w:rFonts w:cs="Times New Roman"/>
                <w:sz w:val="28"/>
                <w:szCs w:val="26"/>
              </w:rPr>
              <w:t xml:space="preserve">. </w:t>
            </w:r>
            <w:r w:rsidRPr="007874B4" w:rsidR="00591F88">
              <w:rPr>
                <w:rFonts w:cs="Times New Roman"/>
                <w:sz w:val="28"/>
                <w:szCs w:val="26"/>
              </w:rPr>
              <w:t xml:space="preserve">protokols) </w:t>
            </w:r>
            <w:r w:rsidR="00C10C20">
              <w:rPr>
                <w:rFonts w:cs="Times New Roman"/>
                <w:sz w:val="28"/>
                <w:szCs w:val="26"/>
              </w:rPr>
              <w:t xml:space="preserve"> 2</w:t>
            </w:r>
            <w:r w:rsidRPr="007874B4" w:rsidR="00CA5570">
              <w:rPr>
                <w:rFonts w:cs="Times New Roman"/>
                <w:sz w:val="28"/>
                <w:szCs w:val="26"/>
              </w:rPr>
              <w:t>.</w:t>
            </w:r>
            <w:r w:rsidRPr="007874B4" w:rsidR="00F75C21">
              <w:rPr>
                <w:rFonts w:cs="Times New Roman"/>
                <w:sz w:val="28"/>
                <w:szCs w:val="26"/>
              </w:rPr>
              <w:t>p</w:t>
            </w:r>
            <w:r w:rsidRPr="007874B4" w:rsidR="00591F88">
              <w:rPr>
                <w:rFonts w:cs="Times New Roman"/>
                <w:sz w:val="28"/>
                <w:szCs w:val="26"/>
              </w:rPr>
              <w:t>unktu</w:t>
            </w:r>
            <w:r w:rsidRPr="007874B4" w:rsidR="00F75C21">
              <w:rPr>
                <w:rFonts w:cs="Times New Roman"/>
                <w:sz w:val="28"/>
                <w:szCs w:val="26"/>
              </w:rPr>
              <w:t xml:space="preserve">; </w:t>
            </w:r>
          </w:p>
          <w:p w:rsidR="005D503A" w:rsidRPr="00797E14" w:rsidP="00E86604">
            <w:pPr>
              <w:ind w:right="140"/>
              <w:jc w:val="both"/>
              <w:rPr>
                <w:rFonts w:cs="Times New Roman"/>
                <w:color w:val="000000"/>
                <w:sz w:val="28"/>
                <w:szCs w:val="26"/>
                <w:shd w:val="clear" w:color="auto" w:fill="FFFFFF"/>
              </w:rPr>
            </w:pPr>
            <w:r>
              <w:rPr>
                <w:rFonts w:cs="Times New Roman"/>
                <w:color w:val="000000"/>
                <w:sz w:val="28"/>
                <w:szCs w:val="26"/>
                <w:shd w:val="clear" w:color="auto" w:fill="FFFFFF"/>
              </w:rPr>
              <w:t>2) Veselības ministrijas iniciatīvas</w:t>
            </w:r>
          </w:p>
        </w:tc>
      </w:tr>
      <w:tr w:rsidTr="00802485">
        <w:tblPrEx>
          <w:tblW w:w="4867" w:type="pct"/>
          <w:tblInd w:w="30" w:type="dxa"/>
          <w:tblCellMar>
            <w:top w:w="30" w:type="dxa"/>
            <w:left w:w="30" w:type="dxa"/>
            <w:bottom w:w="30" w:type="dxa"/>
            <w:right w:w="30" w:type="dxa"/>
          </w:tblCellMar>
          <w:tblLook w:val="04A0"/>
        </w:tblPrEx>
        <w:trPr>
          <w:trHeight w:val="465"/>
        </w:trPr>
        <w:tc>
          <w:tcPr>
            <w:tcW w:w="337" w:type="pct"/>
            <w:tcBorders>
              <w:top w:val="outset" w:sz="6" w:space="0" w:color="auto"/>
              <w:left w:val="outset" w:sz="6" w:space="0" w:color="auto"/>
              <w:bottom w:val="outset" w:sz="6" w:space="0" w:color="auto"/>
              <w:right w:val="outset" w:sz="6" w:space="0" w:color="auto"/>
            </w:tcBorders>
            <w:hideMark/>
          </w:tcPr>
          <w:p w:rsidR="0088048C" w:rsidRPr="007874B4">
            <w:pPr>
              <w:spacing w:before="75" w:after="75"/>
              <w:jc w:val="center"/>
              <w:rPr>
                <w:rFonts w:eastAsia="Times New Roman" w:cs="Times New Roman"/>
                <w:sz w:val="28"/>
                <w:szCs w:val="26"/>
                <w:lang w:eastAsia="lv-LV"/>
              </w:rPr>
            </w:pPr>
            <w:r w:rsidRPr="007874B4">
              <w:rPr>
                <w:rFonts w:eastAsia="Times New Roman" w:cs="Times New Roman"/>
                <w:sz w:val="28"/>
                <w:szCs w:val="26"/>
                <w:lang w:eastAsia="lv-LV"/>
              </w:rPr>
              <w:t>2.</w:t>
            </w:r>
          </w:p>
        </w:tc>
        <w:tc>
          <w:tcPr>
            <w:tcW w:w="1106" w:type="pct"/>
            <w:tcBorders>
              <w:top w:val="outset" w:sz="6" w:space="0" w:color="auto"/>
              <w:left w:val="outset" w:sz="6" w:space="0" w:color="auto"/>
              <w:bottom w:val="outset" w:sz="6" w:space="0" w:color="auto"/>
              <w:right w:val="outset" w:sz="6" w:space="0" w:color="auto"/>
            </w:tcBorders>
            <w:hideMark/>
          </w:tcPr>
          <w:p w:rsidR="00641EA7">
            <w:pPr>
              <w:rPr>
                <w:rFonts w:eastAsia="Times New Roman" w:cs="Times New Roman"/>
                <w:sz w:val="28"/>
                <w:szCs w:val="26"/>
                <w:lang w:eastAsia="lv-LV"/>
              </w:rPr>
            </w:pPr>
            <w:r w:rsidRPr="007874B4">
              <w:rPr>
                <w:rFonts w:eastAsia="Times New Roman" w:cs="Times New Roman"/>
                <w:sz w:val="28"/>
                <w:szCs w:val="26"/>
                <w:lang w:eastAsia="lv-LV"/>
              </w:rPr>
              <w:t>Pašreizējā situācija un problēmas, kuru risināšanai tiesību akta projekts izstrādāts, tiesiskā regulējuma mērķis un būtība</w:t>
            </w:r>
          </w:p>
          <w:p w:rsidR="00641EA7" w:rsidRPr="00641EA7" w:rsidP="00641EA7">
            <w:pPr>
              <w:rPr>
                <w:rFonts w:eastAsia="Times New Roman" w:cs="Times New Roman"/>
                <w:sz w:val="28"/>
                <w:szCs w:val="26"/>
                <w:lang w:eastAsia="lv-LV"/>
              </w:rPr>
            </w:pPr>
          </w:p>
          <w:p w:rsidR="00641EA7" w:rsidRPr="00641EA7" w:rsidP="00641EA7">
            <w:pPr>
              <w:rPr>
                <w:rFonts w:eastAsia="Times New Roman" w:cs="Times New Roman"/>
                <w:sz w:val="28"/>
                <w:szCs w:val="26"/>
                <w:lang w:eastAsia="lv-LV"/>
              </w:rPr>
            </w:pPr>
          </w:p>
          <w:p w:rsidR="00641EA7" w:rsidRPr="00641EA7" w:rsidP="00641EA7">
            <w:pPr>
              <w:rPr>
                <w:rFonts w:eastAsia="Times New Roman" w:cs="Times New Roman"/>
                <w:sz w:val="28"/>
                <w:szCs w:val="26"/>
                <w:lang w:eastAsia="lv-LV"/>
              </w:rPr>
            </w:pPr>
          </w:p>
          <w:p w:rsidR="00641EA7" w:rsidRPr="00641EA7" w:rsidP="00641EA7">
            <w:pPr>
              <w:rPr>
                <w:rFonts w:eastAsia="Times New Roman" w:cs="Times New Roman"/>
                <w:sz w:val="28"/>
                <w:szCs w:val="26"/>
                <w:lang w:eastAsia="lv-LV"/>
              </w:rPr>
            </w:pPr>
          </w:p>
          <w:p w:rsidR="00641EA7" w:rsidRPr="00641EA7" w:rsidP="00641EA7">
            <w:pPr>
              <w:rPr>
                <w:rFonts w:eastAsia="Times New Roman" w:cs="Times New Roman"/>
                <w:sz w:val="28"/>
                <w:szCs w:val="26"/>
                <w:lang w:eastAsia="lv-LV"/>
              </w:rPr>
            </w:pPr>
          </w:p>
          <w:p w:rsidR="00641EA7" w:rsidRPr="00641EA7" w:rsidP="00641EA7">
            <w:pPr>
              <w:rPr>
                <w:rFonts w:eastAsia="Times New Roman" w:cs="Times New Roman"/>
                <w:sz w:val="28"/>
                <w:szCs w:val="26"/>
                <w:lang w:eastAsia="lv-LV"/>
              </w:rPr>
            </w:pPr>
          </w:p>
          <w:p w:rsidR="00641EA7" w:rsidRPr="00641EA7" w:rsidP="00641EA7">
            <w:pPr>
              <w:rPr>
                <w:rFonts w:eastAsia="Times New Roman" w:cs="Times New Roman"/>
                <w:sz w:val="28"/>
                <w:szCs w:val="26"/>
                <w:lang w:eastAsia="lv-LV"/>
              </w:rPr>
            </w:pPr>
          </w:p>
          <w:p w:rsidR="00641EA7" w:rsidRPr="00641EA7" w:rsidP="00641EA7">
            <w:pPr>
              <w:rPr>
                <w:rFonts w:eastAsia="Times New Roman" w:cs="Times New Roman"/>
                <w:sz w:val="28"/>
                <w:szCs w:val="26"/>
                <w:lang w:eastAsia="lv-LV"/>
              </w:rPr>
            </w:pPr>
          </w:p>
          <w:p w:rsidR="00641EA7" w:rsidRPr="00641EA7" w:rsidP="00641EA7">
            <w:pPr>
              <w:rPr>
                <w:rFonts w:eastAsia="Times New Roman" w:cs="Times New Roman"/>
                <w:sz w:val="28"/>
                <w:szCs w:val="26"/>
                <w:lang w:eastAsia="lv-LV"/>
              </w:rPr>
            </w:pPr>
          </w:p>
          <w:p w:rsidR="00641EA7" w:rsidRPr="00641EA7" w:rsidP="00641EA7">
            <w:pPr>
              <w:rPr>
                <w:rFonts w:eastAsia="Times New Roman" w:cs="Times New Roman"/>
                <w:sz w:val="28"/>
                <w:szCs w:val="26"/>
                <w:lang w:eastAsia="lv-LV"/>
              </w:rPr>
            </w:pPr>
          </w:p>
          <w:p w:rsidR="0088048C" w:rsidRPr="00641EA7" w:rsidP="00641EA7">
            <w:pPr>
              <w:ind w:firstLine="720"/>
              <w:rPr>
                <w:rFonts w:eastAsia="Times New Roman" w:cs="Times New Roman"/>
                <w:sz w:val="28"/>
                <w:szCs w:val="26"/>
                <w:lang w:eastAsia="lv-LV"/>
              </w:rPr>
            </w:pPr>
          </w:p>
        </w:tc>
        <w:tc>
          <w:tcPr>
            <w:tcW w:w="3557" w:type="pct"/>
            <w:tcBorders>
              <w:top w:val="outset" w:sz="6" w:space="0" w:color="auto"/>
              <w:left w:val="outset" w:sz="6" w:space="0" w:color="auto"/>
              <w:bottom w:val="outset" w:sz="6" w:space="0" w:color="auto"/>
              <w:right w:val="outset" w:sz="6" w:space="0" w:color="auto"/>
            </w:tcBorders>
            <w:hideMark/>
          </w:tcPr>
          <w:p w:rsidR="001862AB" w:rsidP="00872F90">
            <w:pPr>
              <w:ind w:right="140"/>
              <w:jc w:val="both"/>
              <w:rPr>
                <w:rFonts w:cs="Times New Roman"/>
                <w:color w:val="000000"/>
                <w:sz w:val="28"/>
                <w:szCs w:val="26"/>
                <w:shd w:val="clear" w:color="auto" w:fill="FFFFFF"/>
              </w:rPr>
            </w:pPr>
            <w:r>
              <w:rPr>
                <w:rFonts w:cs="Times New Roman"/>
                <w:color w:val="000000"/>
                <w:sz w:val="28"/>
                <w:szCs w:val="26"/>
                <w:shd w:val="clear" w:color="auto" w:fill="FFFFFF"/>
              </w:rPr>
              <w:t>Saskaņā ar</w:t>
            </w:r>
            <w:r w:rsidR="00797E14">
              <w:rPr>
                <w:rFonts w:cs="Times New Roman"/>
                <w:color w:val="000000"/>
                <w:sz w:val="28"/>
                <w:szCs w:val="26"/>
                <w:shd w:val="clear" w:color="auto" w:fill="FFFFFF"/>
              </w:rPr>
              <w:t xml:space="preserve"> </w:t>
            </w:r>
            <w:r w:rsidR="00797E14">
              <w:rPr>
                <w:rFonts w:cs="Times New Roman"/>
                <w:sz w:val="28"/>
                <w:szCs w:val="26"/>
              </w:rPr>
              <w:t xml:space="preserve">MK 01.03.2016. </w:t>
            </w:r>
            <w:r w:rsidRPr="007874B4" w:rsidR="00797E14">
              <w:rPr>
                <w:rFonts w:cs="Times New Roman"/>
                <w:sz w:val="28"/>
                <w:szCs w:val="26"/>
              </w:rPr>
              <w:t>protokol</w:t>
            </w:r>
            <w:r w:rsidR="00797E14">
              <w:rPr>
                <w:rFonts w:cs="Times New Roman"/>
                <w:sz w:val="28"/>
                <w:szCs w:val="26"/>
              </w:rPr>
              <w:t xml:space="preserve">a </w:t>
            </w:r>
            <w:r w:rsidR="00C10C20">
              <w:rPr>
                <w:rFonts w:cs="Times New Roman"/>
                <w:color w:val="000000"/>
                <w:sz w:val="28"/>
                <w:szCs w:val="26"/>
                <w:shd w:val="clear" w:color="auto" w:fill="FFFFFF"/>
              </w:rPr>
              <w:t>2</w:t>
            </w:r>
            <w:r w:rsidR="00797E14">
              <w:rPr>
                <w:rFonts w:cs="Times New Roman"/>
                <w:color w:val="000000"/>
                <w:sz w:val="28"/>
                <w:szCs w:val="26"/>
                <w:shd w:val="clear" w:color="auto" w:fill="FFFFFF"/>
              </w:rPr>
              <w:t>.</w:t>
            </w:r>
            <w:r w:rsidRPr="007874B4" w:rsidR="00673C1A">
              <w:rPr>
                <w:rFonts w:cs="Times New Roman"/>
                <w:color w:val="000000"/>
                <w:sz w:val="28"/>
                <w:szCs w:val="26"/>
                <w:shd w:val="clear" w:color="auto" w:fill="FFFFFF"/>
              </w:rPr>
              <w:t xml:space="preserve">punktu Veselības ministrijai </w:t>
            </w:r>
            <w:r w:rsidR="00C10C20">
              <w:rPr>
                <w:rFonts w:cs="Times New Roman"/>
                <w:color w:val="000000"/>
                <w:sz w:val="28"/>
                <w:szCs w:val="26"/>
                <w:shd w:val="clear" w:color="auto" w:fill="FFFFFF"/>
              </w:rPr>
              <w:t xml:space="preserve">kopīgi </w:t>
            </w:r>
            <w:r w:rsidRPr="007874B4" w:rsidR="00673C1A">
              <w:rPr>
                <w:rFonts w:cs="Times New Roman"/>
                <w:color w:val="000000"/>
                <w:sz w:val="28"/>
                <w:szCs w:val="26"/>
                <w:shd w:val="clear" w:color="auto" w:fill="FFFFFF"/>
              </w:rPr>
              <w:t xml:space="preserve">ar Labklājības </w:t>
            </w:r>
            <w:r w:rsidRPr="007874B4" w:rsidR="00192720">
              <w:rPr>
                <w:rFonts w:cs="Times New Roman"/>
                <w:color w:val="000000"/>
                <w:sz w:val="28"/>
                <w:szCs w:val="26"/>
                <w:shd w:val="clear" w:color="auto" w:fill="FFFFFF"/>
              </w:rPr>
              <w:t>ministriju</w:t>
            </w:r>
            <w:r w:rsidR="008E7752">
              <w:rPr>
                <w:rFonts w:cs="Times New Roman"/>
                <w:color w:val="000000"/>
                <w:sz w:val="28"/>
                <w:szCs w:val="26"/>
                <w:shd w:val="clear" w:color="auto" w:fill="FFFFFF"/>
              </w:rPr>
              <w:t xml:space="preserve"> jā</w:t>
            </w:r>
            <w:r w:rsidR="00C10C20">
              <w:rPr>
                <w:rFonts w:cs="Times New Roman"/>
                <w:color w:val="000000"/>
                <w:sz w:val="28"/>
                <w:szCs w:val="26"/>
                <w:shd w:val="clear" w:color="auto" w:fill="FFFFFF"/>
              </w:rPr>
              <w:t>izvērtē nepieciešamība veikt grozījumus normatīvajos aktos, lai nodrošinātu nelaimes gadījumu izmeklēšanas komisijai tiesības iepazīties ar tiem nelaimes gadījumā darbā cietušā darbinieka sensitīvajiem p</w:t>
            </w:r>
            <w:r>
              <w:rPr>
                <w:rFonts w:cs="Times New Roman"/>
                <w:color w:val="000000"/>
                <w:sz w:val="28"/>
                <w:szCs w:val="26"/>
                <w:shd w:val="clear" w:color="auto" w:fill="FFFFFF"/>
              </w:rPr>
              <w:t>ersonas datiem, kuri sniedz informāciju par darbinieka veselību.</w:t>
            </w:r>
          </w:p>
          <w:p w:rsidR="005928CA" w:rsidP="00797E14">
            <w:pPr>
              <w:ind w:right="140"/>
              <w:jc w:val="both"/>
              <w:rPr>
                <w:rFonts w:cs="Times New Roman"/>
                <w:color w:val="000000"/>
                <w:sz w:val="28"/>
                <w:szCs w:val="26"/>
                <w:shd w:val="clear" w:color="auto" w:fill="FFFFFF"/>
              </w:rPr>
            </w:pPr>
            <w:r>
              <w:rPr>
                <w:rFonts w:cs="Times New Roman"/>
                <w:color w:val="000000"/>
                <w:sz w:val="28"/>
                <w:szCs w:val="26"/>
                <w:shd w:val="clear" w:color="auto" w:fill="FFFFFF"/>
              </w:rPr>
              <w:t xml:space="preserve">Saskaņā ar </w:t>
            </w:r>
            <w:r w:rsidR="00AB5FC1">
              <w:rPr>
                <w:rFonts w:cs="Times New Roman"/>
                <w:color w:val="000000"/>
                <w:sz w:val="28"/>
                <w:szCs w:val="26"/>
                <w:shd w:val="clear" w:color="auto" w:fill="FFFFFF"/>
              </w:rPr>
              <w:t xml:space="preserve">Darba aizsardzības likuma 13.panta pirmo daļu darba devējam ir jānodrošina nelaimes gadījumu darbā izmeklēšana un jāveic to uzskaiti. Kārtību, kādā veic nelaimes gadījumu darbā izmeklēšanu, nosaka </w:t>
            </w:r>
            <w:r>
              <w:rPr>
                <w:rFonts w:cs="Times New Roman"/>
                <w:color w:val="000000"/>
                <w:sz w:val="28"/>
                <w:szCs w:val="26"/>
                <w:shd w:val="clear" w:color="auto" w:fill="FFFFFF"/>
              </w:rPr>
              <w:t>Ministru kabineta 2009.gada 25.augusta noteikumu Nr.950 „Nelaimes gadījumu darbā izmeklēšanas un uzskaites kārtība”</w:t>
            </w:r>
            <w:r w:rsidR="00AB5FC1">
              <w:rPr>
                <w:rFonts w:cs="Times New Roman"/>
                <w:color w:val="000000"/>
                <w:sz w:val="28"/>
                <w:szCs w:val="26"/>
                <w:shd w:val="clear" w:color="auto" w:fill="FFFFFF"/>
              </w:rPr>
              <w:t>. Atbilstoši šo noteikumu</w:t>
            </w:r>
            <w:r>
              <w:rPr>
                <w:rFonts w:cs="Times New Roman"/>
                <w:color w:val="000000"/>
                <w:sz w:val="28"/>
                <w:szCs w:val="26"/>
                <w:shd w:val="clear" w:color="auto" w:fill="FFFFFF"/>
              </w:rPr>
              <w:t xml:space="preserve"> 17. un 18.punktu darba devējam ir pienākums pieprasīt no ārstniecības iestādes izziņu par nelaimes gadījumā darbā cietušā nodarbinātā veselības traucējumu smaguma pakāpi, savukārt ārstniecības iestādei ir pienākums izsniegt šādu izziņu, kurā norāda veselības traucējumu smaguma pakāpi, nelaimes gadījumā cietušo ķermeņa daļu un nelaimes gadījumā gūto veselības traucējumu veidu. Ņemot </w:t>
            </w:r>
            <w:r w:rsidR="008E7A63">
              <w:rPr>
                <w:rFonts w:cs="Times New Roman"/>
                <w:color w:val="000000"/>
                <w:sz w:val="28"/>
                <w:szCs w:val="26"/>
                <w:shd w:val="clear" w:color="auto" w:fill="FFFFFF"/>
              </w:rPr>
              <w:t>vērā, ka šie dati satur</w:t>
            </w:r>
            <w:r>
              <w:rPr>
                <w:rFonts w:cs="Times New Roman"/>
                <w:color w:val="000000"/>
                <w:sz w:val="28"/>
                <w:szCs w:val="26"/>
                <w:shd w:val="clear" w:color="auto" w:fill="FFFFFF"/>
              </w:rPr>
              <w:t xml:space="preserve"> informāciju par personas veselību, tie ir uzskatāmi par sensitīviem personas datiem un ir aizsargājami saskaņā ar Fizisko personu datu aizsardzības likumu un Pacientu tiesību </w:t>
            </w:r>
            <w:r>
              <w:rPr>
                <w:rFonts w:cs="Times New Roman"/>
                <w:color w:val="000000"/>
                <w:sz w:val="28"/>
                <w:szCs w:val="26"/>
                <w:shd w:val="clear" w:color="auto" w:fill="FFFFFF"/>
              </w:rPr>
              <w:t xml:space="preserve">likumu. </w:t>
            </w:r>
            <w:r w:rsidR="0003641D">
              <w:rPr>
                <w:rFonts w:cs="Times New Roman"/>
                <w:color w:val="000000"/>
                <w:sz w:val="28"/>
                <w:szCs w:val="26"/>
                <w:shd w:val="clear" w:color="auto" w:fill="FFFFFF"/>
              </w:rPr>
              <w:t>Tā Fizisko personu datu aizsardzības likuma 11.panta 2.punkts nosaka, ka speciālā personas datu apstrāde, neprasot datu subjekta piekrišanu, ir paredzēta  nor</w:t>
            </w:r>
            <w:r w:rsidR="000266F0">
              <w:rPr>
                <w:rFonts w:cs="Times New Roman"/>
                <w:color w:val="000000"/>
                <w:sz w:val="28"/>
                <w:szCs w:val="26"/>
                <w:shd w:val="clear" w:color="auto" w:fill="FFFFFF"/>
              </w:rPr>
              <w:t>matīvajos aktos, kas regulē darb</w:t>
            </w:r>
            <w:r w:rsidR="0003641D">
              <w:rPr>
                <w:rFonts w:cs="Times New Roman"/>
                <w:color w:val="000000"/>
                <w:sz w:val="28"/>
                <w:szCs w:val="26"/>
                <w:shd w:val="clear" w:color="auto" w:fill="FFFFFF"/>
              </w:rPr>
              <w:t>a tiesiskās attiecības, un šie normatīvie akti garantē personas datu aizsardzību. Tajā pašā laikā Pacientu tiesību likuma 10.pants nosaka, ka informācija, kas attiecas uz identificētu vai identificējamu pacientu, ir aizsargājama</w:t>
            </w:r>
            <w:r w:rsidR="00D02490">
              <w:rPr>
                <w:rFonts w:cs="Times New Roman"/>
                <w:color w:val="000000"/>
                <w:sz w:val="28"/>
                <w:szCs w:val="26"/>
                <w:shd w:val="clear" w:color="auto" w:fill="FFFFFF"/>
              </w:rPr>
              <w:t xml:space="preserve"> saskaņā ar fizisko personu datu</w:t>
            </w:r>
            <w:r w:rsidR="0003641D">
              <w:rPr>
                <w:rFonts w:cs="Times New Roman"/>
                <w:color w:val="000000"/>
                <w:sz w:val="28"/>
                <w:szCs w:val="26"/>
                <w:shd w:val="clear" w:color="auto" w:fill="FFFFFF"/>
              </w:rPr>
              <w:t xml:space="preserve"> aizsardzību regulējošiem normatīvajiem aktiem un informāciju par pacientu drīkst izpaust tikai ar viņa rakstveida piekrišanu vai gadījumos, kas noteikti Pacientu tiesību likumā. Pacientu tiesību likuma 10.panta piektajā daļā norādīts to personu un institūciju loks, kam, pamatojoties uz rakstveida pieprasījumu, šo sensitīvo informāciju drīkst sniegt. Darba devējs nav to subjektu lokā, kam ir tiesības saņemt informāciju par personas veselības stāvokli bez personas piekrišanas. </w:t>
            </w:r>
            <w:r w:rsidR="00E022CC">
              <w:rPr>
                <w:rFonts w:cs="Times New Roman"/>
                <w:color w:val="000000"/>
                <w:sz w:val="28"/>
                <w:szCs w:val="26"/>
                <w:shd w:val="clear" w:color="auto" w:fill="FFFFFF"/>
              </w:rPr>
              <w:t>Tādējādi atbilstoši šobrīd spēkā esošajam regulējumam ārstniecības iestāde izziņu par veselības traucējumu smaguma pakāpi nelaimes gadījumā cietušā nodarbinātā darba devējam drīkst izsniegt tikai tajā gadījumā, ja ir saņemta šī nodarbinātā piekrišana sensitīvo datu izpaušanai</w:t>
            </w:r>
            <w:r w:rsidR="00D02490">
              <w:rPr>
                <w:rFonts w:cs="Times New Roman"/>
                <w:color w:val="000000"/>
                <w:sz w:val="28"/>
                <w:szCs w:val="26"/>
                <w:shd w:val="clear" w:color="auto" w:fill="FFFFFF"/>
              </w:rPr>
              <w:t>, kas, savukārt, uzliek</w:t>
            </w:r>
            <w:r w:rsidR="008E7A63">
              <w:rPr>
                <w:rFonts w:cs="Times New Roman"/>
                <w:color w:val="000000"/>
                <w:sz w:val="28"/>
                <w:szCs w:val="26"/>
                <w:shd w:val="clear" w:color="auto" w:fill="FFFFFF"/>
              </w:rPr>
              <w:t xml:space="preserve"> papildus</w:t>
            </w:r>
            <w:r w:rsidR="00D02490">
              <w:rPr>
                <w:rFonts w:cs="Times New Roman"/>
                <w:color w:val="000000"/>
                <w:sz w:val="28"/>
                <w:szCs w:val="26"/>
                <w:shd w:val="clear" w:color="auto" w:fill="FFFFFF"/>
              </w:rPr>
              <w:t xml:space="preserve"> pienākumu gan ārstniecības personai (pirms sensitīvo datu izpaušanas pārliecināties par to, ka persona ir devusi piekrišanu sensitīvo datu apstrādei),gan darba devējam (nodrošināt, ka persona sniedz piekrišanu sensitīvo datu apstrādei). Turklāt gadījumos, kad persona atteiktu dod piekrišanu sensitīvo datu apstrādei</w:t>
            </w:r>
            <w:r w:rsidR="000266F0">
              <w:rPr>
                <w:rFonts w:cs="Times New Roman"/>
                <w:color w:val="000000"/>
                <w:sz w:val="28"/>
                <w:szCs w:val="26"/>
                <w:shd w:val="clear" w:color="auto" w:fill="FFFFFF"/>
              </w:rPr>
              <w:t xml:space="preserve"> vai smagu veselības traucējumu dēļ nebūtu spējīga šo piekrišanu dot</w:t>
            </w:r>
            <w:r w:rsidR="00D02490">
              <w:rPr>
                <w:rFonts w:cs="Times New Roman"/>
                <w:color w:val="000000"/>
                <w:sz w:val="28"/>
                <w:szCs w:val="26"/>
                <w:shd w:val="clear" w:color="auto" w:fill="FFFFFF"/>
              </w:rPr>
              <w:t xml:space="preserve">, darba devējam būtu apgrūtināta </w:t>
            </w:r>
            <w:r w:rsidR="00F21986">
              <w:rPr>
                <w:rFonts w:cs="Times New Roman"/>
                <w:color w:val="000000"/>
                <w:sz w:val="28"/>
                <w:szCs w:val="26"/>
                <w:shd w:val="clear" w:color="auto" w:fill="FFFFFF"/>
              </w:rPr>
              <w:t>normatīvajos aktos noteikto uzdevumu veikšana attiecībā uz nelaimes gadīj</w:t>
            </w:r>
            <w:r w:rsidR="008E7A63">
              <w:rPr>
                <w:rFonts w:cs="Times New Roman"/>
                <w:color w:val="000000"/>
                <w:sz w:val="28"/>
                <w:szCs w:val="26"/>
                <w:shd w:val="clear" w:color="auto" w:fill="FFFFFF"/>
              </w:rPr>
              <w:t>umu darbā izmeklēšanu</w:t>
            </w:r>
            <w:r w:rsidR="00F21986">
              <w:rPr>
                <w:rFonts w:cs="Times New Roman"/>
                <w:color w:val="000000"/>
                <w:sz w:val="28"/>
                <w:szCs w:val="26"/>
                <w:shd w:val="clear" w:color="auto" w:fill="FFFFFF"/>
              </w:rPr>
              <w:t>.</w:t>
            </w:r>
            <w:r w:rsidR="00AB5FC1">
              <w:rPr>
                <w:rFonts w:cs="Times New Roman"/>
                <w:color w:val="000000"/>
                <w:sz w:val="28"/>
                <w:szCs w:val="26"/>
                <w:shd w:val="clear" w:color="auto" w:fill="FFFFFF"/>
              </w:rPr>
              <w:t xml:space="preserve"> Tādējādi tiesiskais pamats </w:t>
            </w:r>
            <w:r w:rsidR="00AC6595">
              <w:rPr>
                <w:rFonts w:cs="Times New Roman"/>
                <w:color w:val="000000"/>
                <w:sz w:val="28"/>
                <w:szCs w:val="26"/>
                <w:shd w:val="clear" w:color="auto" w:fill="FFFFFF"/>
              </w:rPr>
              <w:t xml:space="preserve">un mērķis </w:t>
            </w:r>
            <w:r w:rsidR="00AB5FC1">
              <w:rPr>
                <w:rFonts w:cs="Times New Roman"/>
                <w:color w:val="000000"/>
                <w:sz w:val="28"/>
                <w:szCs w:val="26"/>
                <w:shd w:val="clear" w:color="auto" w:fill="FFFFFF"/>
              </w:rPr>
              <w:t xml:space="preserve">darba devējam iepazīties ar ārstniecības iestādes izsniegto izziņu par nodarbinātajam </w:t>
            </w:r>
            <w:r w:rsidR="00AC6595">
              <w:rPr>
                <w:rFonts w:cs="Times New Roman"/>
                <w:color w:val="000000"/>
                <w:sz w:val="28"/>
                <w:szCs w:val="26"/>
                <w:shd w:val="clear" w:color="auto" w:fill="FFFFFF"/>
              </w:rPr>
              <w:t xml:space="preserve">nelaimes gadījumā darbā </w:t>
            </w:r>
            <w:r w:rsidR="00AB5FC1">
              <w:rPr>
                <w:rFonts w:cs="Times New Roman"/>
                <w:color w:val="000000"/>
                <w:sz w:val="28"/>
                <w:szCs w:val="26"/>
                <w:shd w:val="clear" w:color="auto" w:fill="FFFFFF"/>
              </w:rPr>
              <w:t xml:space="preserve">nodarīto </w:t>
            </w:r>
            <w:r w:rsidR="00AC6595">
              <w:rPr>
                <w:rFonts w:cs="Times New Roman"/>
                <w:color w:val="000000"/>
                <w:sz w:val="28"/>
                <w:szCs w:val="26"/>
                <w:shd w:val="clear" w:color="auto" w:fill="FFFFFF"/>
              </w:rPr>
              <w:t xml:space="preserve">veselības traucējuma pakāpi un nelaimes gadījumā gūto veselības traucējumu veidu izriet no Darba aizsardzības likuma un Ministru kabineta 2009.gada 25.augusta noteikumiem Nr.950 “Nelaimes </w:t>
            </w:r>
            <w:r w:rsidR="00AC6595">
              <w:rPr>
                <w:rFonts w:cs="Times New Roman"/>
                <w:color w:val="000000"/>
                <w:sz w:val="28"/>
                <w:szCs w:val="26"/>
                <w:shd w:val="clear" w:color="auto" w:fill="FFFFFF"/>
              </w:rPr>
              <w:t>gadījumu darbā izmeklēšanas un uzskaites kārtība”, lai darba devējs varētu nodrošināt nelaimes gadījumu cēloņu noteikšanu un novēršanu, uzlabotu nodarbināto drošību un veselības aizsardzību darbā, veicinātu nelaimes gadījumā cietušajai personai paredzētās apdrošināšanas atlīdzības saņemšanu. Minētā mērķa sasniegšanai netiks sniegta visa ārstniecības iestādes rīcībā esošā informācija par pacientu, bet tikai tā, kas nepieciešama nelaimes gadījuma darbā izmeklēšanai Ministru kabineta 2009.gada 25.augusta noteikumiem Nr.950 “Nelaimes gadījumu darbā izmeklēšanas un uzskaites kārtība” noteiktajā apjomā.</w:t>
            </w:r>
          </w:p>
          <w:p w:rsidR="00F21986" w:rsidP="00797E14">
            <w:pPr>
              <w:ind w:right="140"/>
              <w:jc w:val="both"/>
              <w:rPr>
                <w:rFonts w:cs="Times New Roman"/>
                <w:color w:val="000000"/>
                <w:sz w:val="28"/>
                <w:szCs w:val="26"/>
                <w:shd w:val="clear" w:color="auto" w:fill="FFFFFF"/>
              </w:rPr>
            </w:pPr>
            <w:r>
              <w:rPr>
                <w:rFonts w:cs="Times New Roman"/>
                <w:color w:val="000000"/>
                <w:sz w:val="28"/>
                <w:szCs w:val="26"/>
                <w:shd w:val="clear" w:color="auto" w:fill="FFFFFF"/>
              </w:rPr>
              <w:t>Ņemot vērā minēto, ir nepieciešams papildināt Pacientu tiesību likuma 10.panta piektajā daļā minēto personu un institūciju loku, ietverot tajā darba devējus attiecībā uz nelaimes gadījumu darbā izmeklēšanu.</w:t>
            </w:r>
          </w:p>
          <w:p w:rsidR="00441117" w:rsidP="00916EB2">
            <w:pPr>
              <w:ind w:right="140"/>
              <w:jc w:val="both"/>
              <w:rPr>
                <w:rFonts w:cs="Times New Roman"/>
                <w:color w:val="000000"/>
                <w:sz w:val="28"/>
                <w:szCs w:val="26"/>
                <w:shd w:val="clear" w:color="auto" w:fill="FFFFFF"/>
              </w:rPr>
            </w:pPr>
          </w:p>
          <w:p w:rsidR="00441117" w:rsidRPr="00F21986" w:rsidP="00916EB2">
            <w:pPr>
              <w:ind w:right="140"/>
              <w:jc w:val="both"/>
              <w:rPr>
                <w:rFonts w:cs="Times New Roman"/>
                <w:color w:val="000000"/>
                <w:sz w:val="28"/>
                <w:szCs w:val="26"/>
                <w:shd w:val="clear" w:color="auto" w:fill="FFFFFF"/>
              </w:rPr>
            </w:pPr>
            <w:r>
              <w:rPr>
                <w:rFonts w:cs="Times New Roman"/>
                <w:color w:val="000000"/>
                <w:sz w:val="28"/>
                <w:szCs w:val="26"/>
                <w:shd w:val="clear" w:color="auto" w:fill="FFFFFF"/>
              </w:rPr>
              <w:t>Veselības un darbspēju ekspertīzes ārstu valsts komisija ir labklājības ministra pakļautībā esoša tiešās pārvaldes iestāde, kuras funkcija atbilstoši 2011. gada 26. aprīļa Ministru kabineta noteikumiem Nr.315 „Veselības un darbspēju ekspertīzes ārstu valsts komisijas nolikums” ir veikt prognozējamas invaliditātes</w:t>
            </w:r>
            <w:r w:rsidR="00AC6595">
              <w:rPr>
                <w:rFonts w:cs="Times New Roman"/>
                <w:color w:val="000000"/>
                <w:sz w:val="28"/>
                <w:szCs w:val="26"/>
                <w:shd w:val="clear" w:color="auto" w:fill="FFFFFF"/>
              </w:rPr>
              <w:t xml:space="preserve"> un</w:t>
            </w:r>
            <w:r>
              <w:rPr>
                <w:rFonts w:cs="Times New Roman"/>
                <w:color w:val="000000"/>
                <w:sz w:val="28"/>
                <w:szCs w:val="26"/>
                <w:shd w:val="clear" w:color="auto" w:fill="FFFFFF"/>
              </w:rPr>
              <w:t xml:space="preserve"> invaliditātes ekspertīzi</w:t>
            </w:r>
            <w:r w:rsidR="006B112E">
              <w:rPr>
                <w:rFonts w:cs="Times New Roman"/>
                <w:color w:val="000000"/>
                <w:sz w:val="28"/>
                <w:szCs w:val="26"/>
                <w:shd w:val="clear" w:color="auto" w:fill="FFFFFF"/>
              </w:rPr>
              <w:t>, kā arī darbspēju zaudējuma noteikšana</w:t>
            </w:r>
            <w:r>
              <w:rPr>
                <w:rFonts w:cs="Times New Roman"/>
                <w:color w:val="000000"/>
                <w:sz w:val="28"/>
                <w:szCs w:val="26"/>
                <w:shd w:val="clear" w:color="auto" w:fill="FFFFFF"/>
              </w:rPr>
              <w:t xml:space="preserve"> Invaliditātes likuma 7.panta pirmajā un otrajā daļā noteiktajām personām. </w:t>
            </w:r>
            <w:r w:rsidR="00641EA7">
              <w:rPr>
                <w:rFonts w:cs="Times New Roman"/>
                <w:color w:val="000000"/>
                <w:sz w:val="28"/>
                <w:szCs w:val="26"/>
                <w:shd w:val="clear" w:color="auto" w:fill="FFFFFF"/>
              </w:rPr>
              <w:t xml:space="preserve">Atbilstoši Fizisko personu datu aizsardzības likuma 11.panta 7.punktam sensitīvo datu apstrāde ir atļauta, ja tā nepieciešama sociālās palīdzības sniegšanai un to veic sociālās palīdzības pakalpojumu sniedzējs. </w:t>
            </w:r>
            <w:r>
              <w:rPr>
                <w:rFonts w:cs="Times New Roman"/>
                <w:color w:val="000000"/>
                <w:sz w:val="28"/>
                <w:szCs w:val="26"/>
                <w:shd w:val="clear" w:color="auto" w:fill="FFFFFF"/>
              </w:rPr>
              <w:t>Šobrīd Veselības un darbspēju ekspertīzes ārstu valsts komisija ir iekļauta Pacientu tiesību likuma 10.panta piektās daļas 5.punktā kā institūcija, kurai ir tiesības ārstniecības iestādei rakstveidā pieprasīt informāciju par pacientu inva</w:t>
            </w:r>
            <w:r w:rsidR="00641EA7">
              <w:rPr>
                <w:rFonts w:cs="Times New Roman"/>
                <w:color w:val="000000"/>
                <w:sz w:val="28"/>
                <w:szCs w:val="26"/>
                <w:shd w:val="clear" w:color="auto" w:fill="FFFFFF"/>
              </w:rPr>
              <w:t xml:space="preserve">liditātes ekspertīzes veikšanai. Turklāt </w:t>
            </w:r>
            <w:r>
              <w:rPr>
                <w:rFonts w:cs="Times New Roman"/>
                <w:color w:val="000000"/>
                <w:sz w:val="28"/>
                <w:szCs w:val="26"/>
                <w:shd w:val="clear" w:color="auto" w:fill="FFFFFF"/>
              </w:rPr>
              <w:t>tiesības apstrādāt personas datus Veselības un darbspēju ekspertīzes ārstu valsts komisijai rodas tikai ar brīdi, kad ir saņemts personas iesnieg</w:t>
            </w:r>
            <w:r w:rsidR="00AC6595">
              <w:rPr>
                <w:rFonts w:cs="Times New Roman"/>
                <w:color w:val="000000"/>
                <w:sz w:val="28"/>
                <w:szCs w:val="26"/>
                <w:shd w:val="clear" w:color="auto" w:fill="FFFFFF"/>
              </w:rPr>
              <w:t>ums prognozējamas invaliditātes vai</w:t>
            </w:r>
            <w:r>
              <w:rPr>
                <w:rFonts w:cs="Times New Roman"/>
                <w:color w:val="000000"/>
                <w:sz w:val="28"/>
                <w:szCs w:val="26"/>
                <w:shd w:val="clear" w:color="auto" w:fill="FFFFFF"/>
              </w:rPr>
              <w:t xml:space="preserve"> invaliditātes ekspertīzei</w:t>
            </w:r>
            <w:r w:rsidR="006B112E">
              <w:rPr>
                <w:rFonts w:cs="Times New Roman"/>
                <w:color w:val="000000"/>
                <w:sz w:val="28"/>
                <w:szCs w:val="26"/>
                <w:shd w:val="clear" w:color="auto" w:fill="FFFFFF"/>
              </w:rPr>
              <w:t xml:space="preserve"> vai darbspēju zaudējuma noteikšanai</w:t>
            </w:r>
            <w:r>
              <w:rPr>
                <w:rFonts w:cs="Times New Roman"/>
                <w:color w:val="000000"/>
                <w:sz w:val="28"/>
                <w:szCs w:val="26"/>
                <w:shd w:val="clear" w:color="auto" w:fill="FFFFFF"/>
              </w:rPr>
              <w:t>.</w:t>
            </w:r>
            <w:r w:rsidR="00A72247">
              <w:rPr>
                <w:rFonts w:cs="Times New Roman"/>
                <w:color w:val="000000"/>
                <w:sz w:val="28"/>
                <w:szCs w:val="26"/>
                <w:shd w:val="clear" w:color="auto" w:fill="FFFFFF"/>
              </w:rPr>
              <w:t xml:space="preserve"> </w:t>
            </w:r>
            <w:r w:rsidR="006B112E">
              <w:rPr>
                <w:rFonts w:cs="Times New Roman"/>
                <w:color w:val="000000"/>
                <w:sz w:val="28"/>
                <w:szCs w:val="26"/>
                <w:shd w:val="clear" w:color="auto" w:fill="FFFFFF"/>
              </w:rPr>
              <w:t xml:space="preserve">Veicot prognozējamās invaliditātes ekspertīzi, ārsts eksperts </w:t>
            </w:r>
            <w:r w:rsidR="006B112E">
              <w:rPr>
                <w:rFonts w:cs="Times New Roman"/>
                <w:color w:val="000000"/>
                <w:sz w:val="28"/>
                <w:szCs w:val="26"/>
                <w:shd w:val="clear" w:color="auto" w:fill="FFFFFF"/>
              </w:rPr>
              <w:t xml:space="preserve">novērtē personai diagnosticētos veselības traucējumus un funkcionēšanas ierobežojumus, savukārt veicot invaliditātes ekspertīzi un darbspēju zaudējuma noteikšanu ārsts eksperts novērtē personas veselības traucējumus un to smagumu, kā arī personas funkcionālās spējas un to ierobežojumus. </w:t>
            </w:r>
            <w:r w:rsidR="002D5711">
              <w:rPr>
                <w:rFonts w:cs="Times New Roman"/>
                <w:color w:val="000000"/>
                <w:sz w:val="28"/>
                <w:szCs w:val="26"/>
                <w:shd w:val="clear" w:color="auto" w:fill="FFFFFF"/>
              </w:rPr>
              <w:t xml:space="preserve">Minētās ekspertīzes un darbspēju zaudējuma noteikšanu parasti veic bez personas klātbūtnes, līdz ar to ārstiem ekspertiem lēmuma pieņemšanai ir būtiski iepazīties ar konkrēta pacienta medicīnisko dokumentāciju tiktāl, cik tas ir nepieciešams konkrētā gadījuma izvērtēšanai. </w:t>
            </w:r>
            <w:r w:rsidR="00A72247">
              <w:rPr>
                <w:rFonts w:cs="Times New Roman"/>
                <w:color w:val="000000"/>
                <w:sz w:val="28"/>
                <w:szCs w:val="26"/>
                <w:shd w:val="clear" w:color="auto" w:fill="FFFFFF"/>
              </w:rPr>
              <w:t>Ņemot vērā to, ka vienotā veselības nozares elektroniskā informācijas sistēmā tiks centralizēti uzkrāti ar personas veselību saistītie dati, lai Veselības un darbspēju ekspertīzes ārstu valsts komisija varētu efektīvāk pildīt noteiktās funkcijas, ir nepieciešams noteikt, ka Veselības un darbspēju ekspertīzes ārstu valsts komisija ir tiesīga apstrādāt personas datus vienotā veselības nozares elektroniskā informācijas sistēmā apjomā, kas ir nepiecieš</w:t>
            </w:r>
            <w:r w:rsidR="00AC6595">
              <w:rPr>
                <w:rFonts w:cs="Times New Roman"/>
                <w:color w:val="000000"/>
                <w:sz w:val="28"/>
                <w:szCs w:val="26"/>
                <w:shd w:val="clear" w:color="auto" w:fill="FFFFFF"/>
              </w:rPr>
              <w:t>ams prognozējamas invaliditātes un</w:t>
            </w:r>
            <w:r w:rsidR="00A72247">
              <w:rPr>
                <w:rFonts w:cs="Times New Roman"/>
                <w:color w:val="000000"/>
                <w:sz w:val="28"/>
                <w:szCs w:val="26"/>
                <w:shd w:val="clear" w:color="auto" w:fill="FFFFFF"/>
              </w:rPr>
              <w:t xml:space="preserve"> invaliditātes </w:t>
            </w:r>
            <w:r w:rsidR="006B112E">
              <w:rPr>
                <w:rFonts w:cs="Times New Roman"/>
                <w:color w:val="000000"/>
                <w:sz w:val="28"/>
                <w:szCs w:val="26"/>
                <w:shd w:val="clear" w:color="auto" w:fill="FFFFFF"/>
              </w:rPr>
              <w:t xml:space="preserve">ekspertīzei un darbspēju zaudējuma noteikšanai. </w:t>
            </w:r>
          </w:p>
        </w:tc>
      </w:tr>
      <w:tr w:rsidTr="00802485">
        <w:tblPrEx>
          <w:tblW w:w="4867" w:type="pct"/>
          <w:tblInd w:w="30" w:type="dxa"/>
          <w:tblCellMar>
            <w:top w:w="30" w:type="dxa"/>
            <w:left w:w="30" w:type="dxa"/>
            <w:bottom w:w="30" w:type="dxa"/>
            <w:right w:w="30" w:type="dxa"/>
          </w:tblCellMar>
          <w:tblLook w:val="04A0"/>
        </w:tblPrEx>
        <w:trPr>
          <w:trHeight w:val="465"/>
        </w:trPr>
        <w:tc>
          <w:tcPr>
            <w:tcW w:w="337" w:type="pct"/>
            <w:tcBorders>
              <w:top w:val="outset" w:sz="6" w:space="0" w:color="auto"/>
              <w:left w:val="outset" w:sz="6" w:space="0" w:color="auto"/>
              <w:bottom w:val="outset" w:sz="6" w:space="0" w:color="auto"/>
              <w:right w:val="outset" w:sz="6" w:space="0" w:color="auto"/>
            </w:tcBorders>
            <w:hideMark/>
          </w:tcPr>
          <w:p w:rsidR="0088048C" w:rsidRPr="007874B4">
            <w:pPr>
              <w:spacing w:before="75" w:after="75"/>
              <w:jc w:val="center"/>
              <w:rPr>
                <w:rFonts w:eastAsia="Times New Roman" w:cs="Times New Roman"/>
                <w:sz w:val="28"/>
                <w:szCs w:val="26"/>
                <w:lang w:eastAsia="lv-LV"/>
              </w:rPr>
            </w:pPr>
            <w:r w:rsidRPr="007874B4">
              <w:rPr>
                <w:rFonts w:eastAsia="Times New Roman" w:cs="Times New Roman"/>
                <w:sz w:val="28"/>
                <w:szCs w:val="26"/>
                <w:lang w:eastAsia="lv-LV"/>
              </w:rPr>
              <w:t>3.</w:t>
            </w:r>
          </w:p>
        </w:tc>
        <w:tc>
          <w:tcPr>
            <w:tcW w:w="1106" w:type="pct"/>
            <w:tcBorders>
              <w:top w:val="outset" w:sz="6" w:space="0" w:color="auto"/>
              <w:left w:val="outset" w:sz="6" w:space="0" w:color="auto"/>
              <w:bottom w:val="outset" w:sz="6" w:space="0" w:color="auto"/>
              <w:right w:val="outset" w:sz="6" w:space="0" w:color="auto"/>
            </w:tcBorders>
            <w:hideMark/>
          </w:tcPr>
          <w:p w:rsidR="0088048C" w:rsidRPr="007874B4">
            <w:pPr>
              <w:rPr>
                <w:rFonts w:eastAsia="Times New Roman" w:cs="Times New Roman"/>
                <w:sz w:val="28"/>
                <w:szCs w:val="26"/>
                <w:lang w:eastAsia="lv-LV"/>
              </w:rPr>
            </w:pPr>
            <w:r w:rsidRPr="007874B4">
              <w:rPr>
                <w:rFonts w:eastAsia="Times New Roman" w:cs="Times New Roman"/>
                <w:sz w:val="28"/>
                <w:szCs w:val="26"/>
                <w:lang w:eastAsia="lv-LV"/>
              </w:rPr>
              <w:t>Projekta izstrādē iesaistītās institūcijas</w:t>
            </w:r>
          </w:p>
        </w:tc>
        <w:tc>
          <w:tcPr>
            <w:tcW w:w="3557" w:type="pct"/>
            <w:tcBorders>
              <w:top w:val="outset" w:sz="6" w:space="0" w:color="auto"/>
              <w:left w:val="outset" w:sz="6" w:space="0" w:color="auto"/>
              <w:bottom w:val="outset" w:sz="6" w:space="0" w:color="auto"/>
              <w:right w:val="outset" w:sz="6" w:space="0" w:color="auto"/>
            </w:tcBorders>
            <w:hideMark/>
          </w:tcPr>
          <w:p w:rsidR="0088048C" w:rsidRPr="007874B4" w:rsidP="00872F90">
            <w:pPr>
              <w:rPr>
                <w:rFonts w:eastAsia="Times New Roman" w:cs="Times New Roman"/>
                <w:sz w:val="28"/>
                <w:szCs w:val="26"/>
                <w:lang w:eastAsia="lv-LV"/>
              </w:rPr>
            </w:pPr>
            <w:r w:rsidRPr="007874B4">
              <w:rPr>
                <w:rFonts w:eastAsia="Times New Roman" w:cs="Times New Roman"/>
                <w:sz w:val="28"/>
                <w:szCs w:val="26"/>
                <w:lang w:eastAsia="lv-LV"/>
              </w:rPr>
              <w:t>Veselības ministrija</w:t>
            </w:r>
            <w:r w:rsidR="00797E14">
              <w:rPr>
                <w:rFonts w:eastAsia="Times New Roman" w:cs="Times New Roman"/>
                <w:sz w:val="28"/>
                <w:szCs w:val="26"/>
                <w:lang w:eastAsia="lv-LV"/>
              </w:rPr>
              <w:t>, Labklājības ministrija, Iekšlietu ministrija</w:t>
            </w:r>
            <w:r w:rsidR="00441117">
              <w:rPr>
                <w:rFonts w:eastAsia="Times New Roman" w:cs="Times New Roman"/>
                <w:sz w:val="28"/>
                <w:szCs w:val="26"/>
                <w:lang w:eastAsia="lv-LV"/>
              </w:rPr>
              <w:t>, Nacionālais veselības dienests, Veselības inspekcija</w:t>
            </w:r>
          </w:p>
        </w:tc>
      </w:tr>
      <w:tr w:rsidTr="00802485">
        <w:tblPrEx>
          <w:tblW w:w="4867" w:type="pct"/>
          <w:tblInd w:w="30" w:type="dxa"/>
          <w:tblCellMar>
            <w:top w:w="30" w:type="dxa"/>
            <w:left w:w="30" w:type="dxa"/>
            <w:bottom w:w="30" w:type="dxa"/>
            <w:right w:w="30" w:type="dxa"/>
          </w:tblCellMar>
          <w:tblLook w:val="04A0"/>
        </w:tblPrEx>
        <w:tc>
          <w:tcPr>
            <w:tcW w:w="337" w:type="pct"/>
            <w:tcBorders>
              <w:top w:val="outset" w:sz="6" w:space="0" w:color="auto"/>
              <w:left w:val="outset" w:sz="6" w:space="0" w:color="auto"/>
              <w:bottom w:val="outset" w:sz="6" w:space="0" w:color="auto"/>
              <w:right w:val="outset" w:sz="6" w:space="0" w:color="auto"/>
            </w:tcBorders>
            <w:hideMark/>
          </w:tcPr>
          <w:p w:rsidR="0088048C" w:rsidRPr="007874B4">
            <w:pPr>
              <w:spacing w:before="75" w:after="75"/>
              <w:jc w:val="center"/>
              <w:rPr>
                <w:rFonts w:eastAsia="Times New Roman" w:cs="Times New Roman"/>
                <w:sz w:val="28"/>
                <w:szCs w:val="26"/>
                <w:lang w:eastAsia="lv-LV"/>
              </w:rPr>
            </w:pPr>
            <w:r w:rsidRPr="007874B4">
              <w:rPr>
                <w:rFonts w:eastAsia="Times New Roman" w:cs="Times New Roman"/>
                <w:sz w:val="28"/>
                <w:szCs w:val="26"/>
                <w:lang w:eastAsia="lv-LV"/>
              </w:rPr>
              <w:t>4.</w:t>
            </w:r>
          </w:p>
        </w:tc>
        <w:tc>
          <w:tcPr>
            <w:tcW w:w="1106" w:type="pct"/>
            <w:tcBorders>
              <w:top w:val="outset" w:sz="6" w:space="0" w:color="auto"/>
              <w:left w:val="outset" w:sz="6" w:space="0" w:color="auto"/>
              <w:bottom w:val="outset" w:sz="6" w:space="0" w:color="auto"/>
              <w:right w:val="outset" w:sz="6" w:space="0" w:color="auto"/>
            </w:tcBorders>
            <w:hideMark/>
          </w:tcPr>
          <w:p w:rsidR="0088048C" w:rsidRPr="007874B4">
            <w:pPr>
              <w:rPr>
                <w:rFonts w:eastAsia="Times New Roman" w:cs="Times New Roman"/>
                <w:sz w:val="28"/>
                <w:szCs w:val="26"/>
                <w:lang w:eastAsia="lv-LV"/>
              </w:rPr>
            </w:pPr>
            <w:r w:rsidRPr="007874B4">
              <w:rPr>
                <w:rFonts w:eastAsia="Times New Roman" w:cs="Times New Roman"/>
                <w:sz w:val="28"/>
                <w:szCs w:val="26"/>
                <w:lang w:eastAsia="lv-LV"/>
              </w:rPr>
              <w:t>Cita informācija</w:t>
            </w:r>
          </w:p>
        </w:tc>
        <w:tc>
          <w:tcPr>
            <w:tcW w:w="3557" w:type="pct"/>
            <w:tcBorders>
              <w:top w:val="outset" w:sz="6" w:space="0" w:color="auto"/>
              <w:left w:val="outset" w:sz="6" w:space="0" w:color="auto"/>
              <w:bottom w:val="outset" w:sz="6" w:space="0" w:color="auto"/>
              <w:right w:val="outset" w:sz="6" w:space="0" w:color="auto"/>
            </w:tcBorders>
            <w:hideMark/>
          </w:tcPr>
          <w:p w:rsidR="0088048C" w:rsidRPr="007874B4" w:rsidP="00872F90">
            <w:pPr>
              <w:pStyle w:val="NormalWeb"/>
              <w:spacing w:before="0" w:after="0"/>
              <w:jc w:val="both"/>
              <w:rPr>
                <w:sz w:val="28"/>
                <w:szCs w:val="26"/>
              </w:rPr>
            </w:pPr>
            <w:r>
              <w:rPr>
                <w:sz w:val="28"/>
                <w:szCs w:val="26"/>
              </w:rPr>
              <w:t>Atbilstoši Valsts darba inspekcijas datiem, 2015.gadā nelaimes gadījumos darbā cieta 1727 nodarbinātie, no kuriem 166 gadījumos tika gūti smagi veselības traucējumi un 26 gadījumi bija letāli. Operatīvie dati liecina, ka 2016.gadā (līdz 1.augustam) notikuši un izmeklēti 972 nelaimes gadījumi darbā, no kuriem 80 smagi un 18 letāli.</w:t>
            </w:r>
          </w:p>
        </w:tc>
      </w:tr>
    </w:tbl>
    <w:p w:rsidR="00872F90" w:rsidRPr="007874B4" w:rsidP="0088048C">
      <w:pPr>
        <w:tabs>
          <w:tab w:val="right" w:pos="9072"/>
        </w:tabs>
        <w:ind w:right="-766"/>
        <w:rPr>
          <w:rFonts w:eastAsia="Calibri" w:cs="Times New Roman"/>
          <w:sz w:val="28"/>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160"/>
        <w:gridCol w:w="6424"/>
      </w:tblGrid>
      <w:tr w:rsidTr="00802485">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53"/>
        </w:trPr>
        <w:tc>
          <w:tcPr>
            <w:tcW w:w="9214" w:type="dxa"/>
            <w:gridSpan w:val="3"/>
            <w:tcBorders>
              <w:top w:val="single" w:sz="4" w:space="0" w:color="auto"/>
              <w:left w:val="single" w:sz="4" w:space="0" w:color="auto"/>
              <w:bottom w:val="single" w:sz="4" w:space="0" w:color="auto"/>
              <w:right w:val="single" w:sz="4" w:space="0" w:color="auto"/>
            </w:tcBorders>
            <w:hideMark/>
          </w:tcPr>
          <w:p w:rsidR="0088048C" w:rsidRPr="007874B4" w:rsidP="00F43717">
            <w:pPr>
              <w:rPr>
                <w:rFonts w:cs="Times New Roman"/>
                <w:sz w:val="28"/>
                <w:szCs w:val="26"/>
              </w:rPr>
            </w:pPr>
            <w:r w:rsidRPr="007874B4">
              <w:rPr>
                <w:rFonts w:cs="Times New Roman"/>
                <w:bCs/>
                <w:sz w:val="28"/>
                <w:szCs w:val="26"/>
                <w:lang w:val="fi-FI"/>
              </w:rPr>
              <w:t>II. Tiesību akta projekta ietekme uz sabiedrību, tautsaimniecības attīstību un administratīvo slogu</w:t>
            </w:r>
          </w:p>
        </w:tc>
      </w:tr>
      <w:tr w:rsidTr="00802485">
        <w:tblPrEx>
          <w:tblW w:w="9214" w:type="dxa"/>
          <w:tblInd w:w="108" w:type="dxa"/>
          <w:tblLook w:val="01E0"/>
        </w:tblPrEx>
        <w:trPr>
          <w:trHeight w:val="440"/>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1.</w:t>
            </w:r>
          </w:p>
        </w:tc>
        <w:tc>
          <w:tcPr>
            <w:tcW w:w="2160" w:type="dxa"/>
            <w:tcBorders>
              <w:top w:val="single" w:sz="4" w:space="0" w:color="auto"/>
              <w:left w:val="single" w:sz="4" w:space="0" w:color="auto"/>
              <w:bottom w:val="single" w:sz="4" w:space="0" w:color="auto"/>
              <w:right w:val="single" w:sz="4" w:space="0" w:color="auto"/>
            </w:tcBorders>
            <w:hideMark/>
          </w:tcPr>
          <w:p w:rsidR="0088048C" w:rsidRPr="007874B4">
            <w:pPr>
              <w:ind w:left="-42" w:right="-108"/>
              <w:rPr>
                <w:rFonts w:cs="Times New Roman"/>
                <w:sz w:val="28"/>
                <w:szCs w:val="26"/>
              </w:rPr>
            </w:pPr>
            <w:r w:rsidRPr="007874B4">
              <w:rPr>
                <w:rFonts w:cs="Times New Roman"/>
                <w:sz w:val="28"/>
                <w:szCs w:val="26"/>
              </w:rPr>
              <w:t xml:space="preserve">Sabiedrības mērķgrupas, kuras tiesiskais regulējums </w:t>
            </w:r>
            <w:r w:rsidRPr="007874B4">
              <w:rPr>
                <w:rFonts w:cs="Times New Roman"/>
                <w:sz w:val="28"/>
                <w:szCs w:val="26"/>
              </w:rPr>
              <w:t>ietekmē vai varētu ietekmēt</w:t>
            </w:r>
          </w:p>
        </w:tc>
        <w:tc>
          <w:tcPr>
            <w:tcW w:w="6424" w:type="dxa"/>
            <w:tcBorders>
              <w:top w:val="single" w:sz="4" w:space="0" w:color="auto"/>
              <w:left w:val="single" w:sz="4" w:space="0" w:color="auto"/>
              <w:bottom w:val="single" w:sz="4" w:space="0" w:color="auto"/>
              <w:right w:val="single" w:sz="4" w:space="0" w:color="auto"/>
            </w:tcBorders>
          </w:tcPr>
          <w:p w:rsidR="0088048C" w:rsidP="00D90B13">
            <w:pPr>
              <w:shd w:val="clear" w:color="auto" w:fill="FFFFFF"/>
              <w:jc w:val="both"/>
              <w:rPr>
                <w:rFonts w:eastAsia="Times New Roman" w:cs="Times New Roman"/>
                <w:color w:val="000000"/>
                <w:sz w:val="28"/>
                <w:szCs w:val="26"/>
              </w:rPr>
            </w:pPr>
            <w:r>
              <w:rPr>
                <w:rFonts w:eastAsia="Times New Roman" w:cs="Times New Roman"/>
                <w:color w:val="000000"/>
                <w:sz w:val="28"/>
                <w:szCs w:val="26"/>
              </w:rPr>
              <w:t>Ārstniecības iestādes</w:t>
            </w:r>
          </w:p>
          <w:p w:rsidR="00F21986" w:rsidP="00D90B13">
            <w:pPr>
              <w:shd w:val="clear" w:color="auto" w:fill="FFFFFF"/>
              <w:jc w:val="both"/>
              <w:rPr>
                <w:rFonts w:eastAsia="Times New Roman" w:cs="Times New Roman"/>
                <w:color w:val="000000"/>
                <w:sz w:val="28"/>
                <w:szCs w:val="26"/>
              </w:rPr>
            </w:pPr>
            <w:r>
              <w:rPr>
                <w:rFonts w:eastAsia="Times New Roman" w:cs="Times New Roman"/>
                <w:color w:val="000000"/>
                <w:sz w:val="28"/>
                <w:szCs w:val="26"/>
              </w:rPr>
              <w:t>Darba devēji</w:t>
            </w:r>
          </w:p>
          <w:p w:rsidR="00F21986" w:rsidP="00D90B13">
            <w:pPr>
              <w:shd w:val="clear" w:color="auto" w:fill="FFFFFF"/>
              <w:jc w:val="both"/>
              <w:rPr>
                <w:rFonts w:eastAsia="Times New Roman" w:cs="Times New Roman"/>
                <w:color w:val="000000"/>
                <w:sz w:val="28"/>
                <w:szCs w:val="26"/>
              </w:rPr>
            </w:pPr>
            <w:r>
              <w:rPr>
                <w:rFonts w:eastAsia="Times New Roman" w:cs="Times New Roman"/>
                <w:color w:val="000000"/>
                <w:sz w:val="28"/>
                <w:szCs w:val="26"/>
              </w:rPr>
              <w:t>Darbinieki</w:t>
            </w:r>
          </w:p>
          <w:p w:rsidR="005D503A" w:rsidP="00D90B13">
            <w:pPr>
              <w:shd w:val="clear" w:color="auto" w:fill="FFFFFF"/>
              <w:jc w:val="both"/>
              <w:rPr>
                <w:rFonts w:eastAsia="Times New Roman" w:cs="Times New Roman"/>
                <w:color w:val="000000"/>
                <w:sz w:val="28"/>
                <w:szCs w:val="26"/>
              </w:rPr>
            </w:pPr>
            <w:r>
              <w:rPr>
                <w:rFonts w:eastAsia="Times New Roman" w:cs="Times New Roman"/>
                <w:color w:val="000000"/>
                <w:sz w:val="28"/>
                <w:szCs w:val="26"/>
              </w:rPr>
              <w:t>Veselības</w:t>
            </w:r>
            <w:r>
              <w:rPr>
                <w:rFonts w:eastAsia="Times New Roman" w:cs="Times New Roman"/>
                <w:color w:val="000000"/>
                <w:sz w:val="28"/>
                <w:szCs w:val="26"/>
              </w:rPr>
              <w:t xml:space="preserve"> un darbspēju ekspertīzes ārstu valsts </w:t>
            </w:r>
            <w:r>
              <w:rPr>
                <w:rFonts w:eastAsia="Times New Roman" w:cs="Times New Roman"/>
                <w:color w:val="000000"/>
                <w:sz w:val="28"/>
                <w:szCs w:val="26"/>
              </w:rPr>
              <w:t>komisija</w:t>
            </w:r>
          </w:p>
          <w:p w:rsidR="00884FDC" w:rsidRPr="007874B4" w:rsidP="00D90B13">
            <w:pPr>
              <w:shd w:val="clear" w:color="auto" w:fill="FFFFFF"/>
              <w:jc w:val="both"/>
              <w:rPr>
                <w:rFonts w:eastAsia="Times New Roman" w:cs="Times New Roman"/>
                <w:color w:val="000000"/>
                <w:sz w:val="28"/>
                <w:szCs w:val="26"/>
              </w:rPr>
            </w:pPr>
            <w:r>
              <w:rPr>
                <w:rFonts w:eastAsia="Times New Roman" w:cs="Times New Roman"/>
                <w:color w:val="000000"/>
                <w:sz w:val="28"/>
                <w:szCs w:val="26"/>
              </w:rPr>
              <w:t>Personas, kas vēršas Veselības un darbspēju ekspertīzes ārstu valsts komisijā prognozējamas invaliditātes, invaliditātes un darbspēju zaudējuma noteikšanai</w:t>
            </w:r>
          </w:p>
        </w:tc>
      </w:tr>
      <w:tr w:rsidTr="00802485">
        <w:tblPrEx>
          <w:tblW w:w="9214" w:type="dxa"/>
          <w:tblInd w:w="108" w:type="dxa"/>
          <w:tblLook w:val="01E0"/>
        </w:tblPrEx>
        <w:trPr>
          <w:trHeight w:val="1408"/>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2.</w:t>
            </w:r>
          </w:p>
        </w:tc>
        <w:tc>
          <w:tcPr>
            <w:tcW w:w="2160" w:type="dxa"/>
            <w:tcBorders>
              <w:top w:val="single" w:sz="4" w:space="0" w:color="auto"/>
              <w:left w:val="single" w:sz="4" w:space="0" w:color="auto"/>
              <w:bottom w:val="single" w:sz="4" w:space="0" w:color="auto"/>
              <w:right w:val="single" w:sz="4" w:space="0" w:color="auto"/>
            </w:tcBorders>
            <w:hideMark/>
          </w:tcPr>
          <w:p w:rsidR="0088048C" w:rsidRPr="007874B4">
            <w:pPr>
              <w:ind w:left="-42" w:right="-108"/>
              <w:rPr>
                <w:rFonts w:cs="Times New Roman"/>
                <w:sz w:val="28"/>
                <w:szCs w:val="26"/>
              </w:rPr>
            </w:pPr>
            <w:r w:rsidRPr="007874B4">
              <w:rPr>
                <w:rFonts w:cs="Times New Roman"/>
                <w:sz w:val="28"/>
                <w:szCs w:val="26"/>
              </w:rPr>
              <w:t>Tiesiskā regulējuma ietekme uz tautsaimniecību un administratīvo slogu</w:t>
            </w:r>
          </w:p>
        </w:tc>
        <w:tc>
          <w:tcPr>
            <w:tcW w:w="6424" w:type="dxa"/>
            <w:tcBorders>
              <w:top w:val="single" w:sz="4" w:space="0" w:color="auto"/>
              <w:left w:val="single" w:sz="4" w:space="0" w:color="auto"/>
              <w:bottom w:val="single" w:sz="4" w:space="0" w:color="auto"/>
              <w:right w:val="single" w:sz="4" w:space="0" w:color="auto"/>
            </w:tcBorders>
            <w:hideMark/>
          </w:tcPr>
          <w:p w:rsidR="0088048C" w:rsidP="00115742">
            <w:pPr>
              <w:jc w:val="both"/>
              <w:rPr>
                <w:rFonts w:cs="Times New Roman"/>
                <w:sz w:val="28"/>
                <w:szCs w:val="26"/>
              </w:rPr>
            </w:pPr>
            <w:r>
              <w:rPr>
                <w:rFonts w:cs="Times New Roman"/>
                <w:sz w:val="28"/>
                <w:szCs w:val="26"/>
              </w:rPr>
              <w:t>Tiesiskais regulējums samazinās administratīvo slogu ārstniecības iestādei, jo ārstniecības iestādei vairs nevajadzēs pārliecināties par to, ka ir saņemta darbinieka piek</w:t>
            </w:r>
            <w:r w:rsidR="005D503A">
              <w:rPr>
                <w:rFonts w:cs="Times New Roman"/>
                <w:sz w:val="28"/>
                <w:szCs w:val="26"/>
              </w:rPr>
              <w:t>rišana</w:t>
            </w:r>
            <w:r w:rsidR="002D5711">
              <w:rPr>
                <w:rFonts w:cs="Times New Roman"/>
                <w:sz w:val="28"/>
                <w:szCs w:val="26"/>
              </w:rPr>
              <w:t xml:space="preserve"> darba devējam</w:t>
            </w:r>
            <w:r w:rsidR="005D503A">
              <w:rPr>
                <w:rFonts w:cs="Times New Roman"/>
                <w:sz w:val="28"/>
                <w:szCs w:val="26"/>
              </w:rPr>
              <w:t xml:space="preserve"> sensitīvo datu apstrādei, kā arī ārstniecības iestādei vairs nevajadzēs papildus sagatavot pacienta medicīniskos dokumentus iesniegšanai Veselības un darbspēju ekspertīzes ārstu valsts komisijā</w:t>
            </w:r>
          </w:p>
          <w:p w:rsidR="00884FDC" w:rsidRPr="007874B4" w:rsidP="00115742">
            <w:pPr>
              <w:jc w:val="both"/>
              <w:rPr>
                <w:rFonts w:cs="Times New Roman"/>
                <w:sz w:val="28"/>
                <w:szCs w:val="26"/>
              </w:rPr>
            </w:pPr>
            <w:r>
              <w:rPr>
                <w:rFonts w:cs="Times New Roman"/>
                <w:sz w:val="28"/>
                <w:szCs w:val="26"/>
              </w:rPr>
              <w:t>Tiesiskais regulējums samazinās administratīvo slogu arī darba devējam, jo darba devējam vairs nevajadzēs pierādīt darbinieka piekrišanu sensitīvo datu apstrādei, kā arī vairs nepastāvēs risks, ka darbinieka atteikuma gadījumā, darba devējs nevarēs pilnvēr</w:t>
            </w:r>
            <w:r w:rsidR="000266F0">
              <w:rPr>
                <w:rFonts w:cs="Times New Roman"/>
                <w:sz w:val="28"/>
                <w:szCs w:val="26"/>
              </w:rPr>
              <w:t>t</w:t>
            </w:r>
            <w:r>
              <w:rPr>
                <w:rFonts w:cs="Times New Roman"/>
                <w:sz w:val="28"/>
                <w:szCs w:val="26"/>
              </w:rPr>
              <w:t>īgi veikt nel</w:t>
            </w:r>
            <w:r w:rsidR="008E7A63">
              <w:rPr>
                <w:rFonts w:cs="Times New Roman"/>
                <w:sz w:val="28"/>
                <w:szCs w:val="26"/>
              </w:rPr>
              <w:t>aimes gadījumu darbā izmeklēšanu</w:t>
            </w:r>
            <w:r>
              <w:rPr>
                <w:rFonts w:cs="Times New Roman"/>
                <w:sz w:val="28"/>
                <w:szCs w:val="26"/>
              </w:rPr>
              <w:t>.</w:t>
            </w:r>
          </w:p>
        </w:tc>
      </w:tr>
      <w:tr w:rsidTr="00802485">
        <w:tblPrEx>
          <w:tblW w:w="9214" w:type="dxa"/>
          <w:tblInd w:w="108" w:type="dxa"/>
          <w:tblLook w:val="01E0"/>
        </w:tblPrEx>
        <w:trPr>
          <w:trHeight w:val="146"/>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3.</w:t>
            </w:r>
          </w:p>
        </w:tc>
        <w:tc>
          <w:tcPr>
            <w:tcW w:w="2160" w:type="dxa"/>
            <w:tcBorders>
              <w:top w:val="single" w:sz="4" w:space="0" w:color="auto"/>
              <w:left w:val="single" w:sz="4" w:space="0" w:color="auto"/>
              <w:bottom w:val="single" w:sz="4" w:space="0" w:color="auto"/>
              <w:right w:val="single" w:sz="4" w:space="0" w:color="auto"/>
            </w:tcBorders>
            <w:hideMark/>
          </w:tcPr>
          <w:p w:rsidR="0088048C" w:rsidRPr="007874B4">
            <w:pPr>
              <w:ind w:left="-42" w:right="-108"/>
              <w:rPr>
                <w:rFonts w:cs="Times New Roman"/>
                <w:sz w:val="28"/>
                <w:szCs w:val="26"/>
              </w:rPr>
            </w:pPr>
            <w:r w:rsidRPr="007874B4">
              <w:rPr>
                <w:rFonts w:cs="Times New Roman"/>
                <w:sz w:val="28"/>
                <w:szCs w:val="26"/>
              </w:rPr>
              <w:t>Administratīvo izmaksu monetārs novērtējums</w:t>
            </w:r>
          </w:p>
        </w:tc>
        <w:tc>
          <w:tcPr>
            <w:tcW w:w="6424" w:type="dxa"/>
            <w:tcBorders>
              <w:top w:val="single" w:sz="4" w:space="0" w:color="auto"/>
              <w:left w:val="single" w:sz="4" w:space="0" w:color="auto"/>
              <w:bottom w:val="single" w:sz="4" w:space="0" w:color="auto"/>
              <w:right w:val="single" w:sz="4" w:space="0" w:color="auto"/>
            </w:tcBorders>
            <w:hideMark/>
          </w:tcPr>
          <w:p w:rsidR="0088048C" w:rsidRPr="007874B4">
            <w:pPr>
              <w:jc w:val="both"/>
              <w:rPr>
                <w:rFonts w:cs="Times New Roman"/>
                <w:sz w:val="28"/>
                <w:szCs w:val="26"/>
                <w:highlight w:val="yellow"/>
              </w:rPr>
            </w:pPr>
            <w:r w:rsidRPr="007874B4">
              <w:rPr>
                <w:rFonts w:cs="Times New Roman"/>
                <w:sz w:val="28"/>
                <w:szCs w:val="26"/>
              </w:rPr>
              <w:t>Projekts šo jomu neskar</w:t>
            </w:r>
          </w:p>
        </w:tc>
      </w:tr>
      <w:tr w:rsidTr="00802485">
        <w:tblPrEx>
          <w:tblW w:w="9214" w:type="dxa"/>
          <w:tblInd w:w="108" w:type="dxa"/>
          <w:tblLook w:val="01E0"/>
        </w:tblPrEx>
        <w:trPr>
          <w:trHeight w:val="146"/>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4.</w:t>
            </w:r>
          </w:p>
        </w:tc>
        <w:tc>
          <w:tcPr>
            <w:tcW w:w="2160" w:type="dxa"/>
            <w:tcBorders>
              <w:top w:val="single" w:sz="4" w:space="0" w:color="auto"/>
              <w:left w:val="single" w:sz="4" w:space="0" w:color="auto"/>
              <w:bottom w:val="single" w:sz="4" w:space="0" w:color="auto"/>
              <w:right w:val="single" w:sz="4" w:space="0" w:color="auto"/>
            </w:tcBorders>
            <w:hideMark/>
          </w:tcPr>
          <w:p w:rsidR="0088048C" w:rsidRPr="007874B4">
            <w:pPr>
              <w:ind w:left="-42" w:right="-108"/>
              <w:rPr>
                <w:rFonts w:cs="Times New Roman"/>
                <w:sz w:val="28"/>
                <w:szCs w:val="26"/>
              </w:rPr>
            </w:pPr>
            <w:r w:rsidRPr="007874B4">
              <w:rPr>
                <w:rFonts w:cs="Times New Roman"/>
                <w:sz w:val="28"/>
                <w:szCs w:val="26"/>
              </w:rPr>
              <w:t>Cita informācija</w:t>
            </w:r>
          </w:p>
        </w:tc>
        <w:tc>
          <w:tcPr>
            <w:tcW w:w="6424" w:type="dxa"/>
            <w:tcBorders>
              <w:top w:val="single" w:sz="4" w:space="0" w:color="auto"/>
              <w:left w:val="single" w:sz="4" w:space="0" w:color="auto"/>
              <w:bottom w:val="single" w:sz="4" w:space="0" w:color="auto"/>
              <w:right w:val="single" w:sz="4" w:space="0" w:color="auto"/>
            </w:tcBorders>
          </w:tcPr>
          <w:p w:rsidR="0088048C" w:rsidRPr="007874B4" w:rsidP="00FC7CD1">
            <w:pPr>
              <w:jc w:val="both"/>
              <w:rPr>
                <w:rFonts w:cs="Times New Roman"/>
                <w:sz w:val="28"/>
                <w:szCs w:val="26"/>
                <w:highlight w:val="yellow"/>
              </w:rPr>
            </w:pPr>
            <w:r w:rsidRPr="007874B4">
              <w:rPr>
                <w:rFonts w:cs="Times New Roman"/>
                <w:sz w:val="28"/>
                <w:szCs w:val="26"/>
              </w:rPr>
              <w:t>Nav</w:t>
            </w:r>
          </w:p>
        </w:tc>
      </w:tr>
    </w:tbl>
    <w:p w:rsidR="00EE411C" w:rsidRPr="007874B4" w:rsidP="0088048C">
      <w:pPr>
        <w:tabs>
          <w:tab w:val="right" w:pos="9072"/>
        </w:tabs>
        <w:ind w:right="-766"/>
        <w:rPr>
          <w:rFonts w:eastAsia="Calibri" w:cs="Times New Roman"/>
          <w:sz w:val="28"/>
          <w:szCs w:val="26"/>
        </w:rPr>
      </w:pPr>
    </w:p>
    <w:tbl>
      <w:tblPr>
        <w:tblW w:w="47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3"/>
      </w:tblGrid>
      <w:tr w:rsidTr="00802485">
        <w:tblPrEx>
          <w:tblW w:w="47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67"/>
        </w:trPr>
        <w:tc>
          <w:tcPr>
            <w:tcW w:w="5000" w:type="pct"/>
            <w:tcBorders>
              <w:top w:val="single" w:sz="4" w:space="0" w:color="auto"/>
              <w:left w:val="single" w:sz="4" w:space="0" w:color="auto"/>
              <w:bottom w:val="single" w:sz="4" w:space="0" w:color="auto"/>
              <w:right w:val="single" w:sz="4" w:space="0" w:color="auto"/>
            </w:tcBorders>
            <w:hideMark/>
          </w:tcPr>
          <w:p w:rsidR="0070245D" w:rsidRPr="007874B4" w:rsidP="00F43717">
            <w:pPr>
              <w:ind w:left="-284" w:right="-142"/>
              <w:rPr>
                <w:rFonts w:eastAsia="Times New Roman" w:cs="Times New Roman"/>
                <w:color w:val="000000"/>
                <w:sz w:val="28"/>
                <w:szCs w:val="26"/>
                <w:lang w:eastAsia="lv-LV"/>
              </w:rPr>
            </w:pPr>
            <w:r w:rsidRPr="007874B4">
              <w:rPr>
                <w:rFonts w:eastAsia="Times New Roman" w:cs="Times New Roman"/>
                <w:color w:val="000000"/>
                <w:sz w:val="28"/>
                <w:szCs w:val="26"/>
                <w:lang w:eastAsia="lv-LV"/>
              </w:rPr>
              <w:t xml:space="preserve">   </w:t>
            </w:r>
            <w:r w:rsidRPr="007874B4" w:rsidR="00571BC8">
              <w:rPr>
                <w:rFonts w:eastAsia="Times New Roman" w:cs="Times New Roman"/>
                <w:color w:val="000000"/>
                <w:sz w:val="28"/>
                <w:szCs w:val="26"/>
                <w:lang w:eastAsia="lv-LV"/>
              </w:rPr>
              <w:t xml:space="preserve"> </w:t>
            </w:r>
            <w:r w:rsidRPr="007874B4">
              <w:rPr>
                <w:rFonts w:eastAsia="Times New Roman" w:cs="Times New Roman"/>
                <w:color w:val="000000"/>
                <w:sz w:val="28"/>
                <w:szCs w:val="26"/>
                <w:lang w:eastAsia="lv-LV"/>
              </w:rPr>
              <w:t>III.</w:t>
            </w:r>
            <w:r w:rsidRPr="007874B4" w:rsidR="00571BC8">
              <w:rPr>
                <w:rFonts w:eastAsia="Times New Roman" w:cs="Times New Roman"/>
                <w:color w:val="000000"/>
                <w:sz w:val="28"/>
                <w:szCs w:val="26"/>
                <w:lang w:eastAsia="lv-LV"/>
              </w:rPr>
              <w:t xml:space="preserve"> </w:t>
            </w:r>
            <w:r w:rsidRPr="007874B4">
              <w:rPr>
                <w:rFonts w:eastAsia="Times New Roman" w:cs="Times New Roman"/>
                <w:color w:val="000000"/>
                <w:sz w:val="28"/>
                <w:szCs w:val="26"/>
                <w:lang w:eastAsia="lv-LV"/>
              </w:rPr>
              <w:t>Tiesību akta projekta ietekme uz valsts budžetu un pašvaldību budžetiem</w:t>
            </w:r>
          </w:p>
        </w:tc>
      </w:tr>
      <w:tr w:rsidTr="00802485">
        <w:tblPrEx>
          <w:tblW w:w="4788" w:type="pct"/>
          <w:tblInd w:w="108" w:type="dxa"/>
          <w:tblLook w:val="01E0"/>
        </w:tblPrEx>
        <w:trPr>
          <w:trHeight w:val="321"/>
        </w:trPr>
        <w:tc>
          <w:tcPr>
            <w:tcW w:w="5000" w:type="pct"/>
            <w:tcBorders>
              <w:top w:val="single" w:sz="4" w:space="0" w:color="auto"/>
              <w:left w:val="single" w:sz="4" w:space="0" w:color="auto"/>
              <w:bottom w:val="single" w:sz="4" w:space="0" w:color="auto"/>
              <w:right w:val="single" w:sz="4" w:space="0" w:color="auto"/>
            </w:tcBorders>
            <w:vAlign w:val="center"/>
            <w:hideMark/>
          </w:tcPr>
          <w:p w:rsidR="0070245D" w:rsidRPr="007874B4" w:rsidP="00FC7CD1">
            <w:pPr>
              <w:ind w:left="-284" w:right="-142"/>
              <w:jc w:val="center"/>
              <w:rPr>
                <w:rFonts w:eastAsia="Times New Roman" w:cs="Times New Roman"/>
                <w:color w:val="000000"/>
                <w:sz w:val="28"/>
                <w:szCs w:val="26"/>
                <w:lang w:eastAsia="lv-LV"/>
              </w:rPr>
            </w:pPr>
            <w:r w:rsidRPr="007874B4">
              <w:rPr>
                <w:rFonts w:eastAsia="Times New Roman" w:cs="Times New Roman"/>
                <w:sz w:val="28"/>
                <w:szCs w:val="26"/>
                <w:lang w:eastAsia="lv-LV"/>
              </w:rPr>
              <w:t>Projekts šo jomu neskar</w:t>
            </w:r>
          </w:p>
        </w:tc>
      </w:tr>
    </w:tbl>
    <w:p w:rsidR="00EE411C" w:rsidP="0088048C">
      <w:pPr>
        <w:tabs>
          <w:tab w:val="right" w:pos="9072"/>
        </w:tabs>
        <w:ind w:right="-766"/>
        <w:rPr>
          <w:rFonts w:eastAsia="Calibri" w:cs="Times New Roman"/>
          <w:sz w:val="28"/>
          <w:szCs w:val="26"/>
        </w:rPr>
      </w:pPr>
    </w:p>
    <w:tbl>
      <w:tblPr>
        <w:tblW w:w="9214" w:type="dxa"/>
        <w:tblInd w:w="30" w:type="dxa"/>
        <w:shd w:val="clear" w:color="auto" w:fill="FFFFFF"/>
        <w:tblCellMar>
          <w:left w:w="0" w:type="dxa"/>
          <w:right w:w="0" w:type="dxa"/>
        </w:tblCellMar>
        <w:tblLook w:val="04A0"/>
      </w:tblPr>
      <w:tblGrid>
        <w:gridCol w:w="9214"/>
      </w:tblGrid>
      <w:tr w:rsidTr="00802485">
        <w:tblPrEx>
          <w:tblW w:w="9214" w:type="dxa"/>
          <w:tblInd w:w="30" w:type="dxa"/>
          <w:shd w:val="clear" w:color="auto" w:fill="FFFFFF"/>
          <w:tblCellMar>
            <w:left w:w="0" w:type="dxa"/>
            <w:right w:w="0" w:type="dxa"/>
          </w:tblCellMar>
          <w:tblLook w:val="04A0"/>
        </w:tblPrEx>
        <w:trPr>
          <w:trHeight w:val="517"/>
        </w:trPr>
        <w:tc>
          <w:tcPr>
            <w:tcW w:w="921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441117" w:rsidRPr="007874B4" w:rsidP="00980DA4">
            <w:pPr>
              <w:jc w:val="center"/>
              <w:rPr>
                <w:rFonts w:cs="Times New Roman"/>
                <w:sz w:val="28"/>
                <w:szCs w:val="26"/>
              </w:rPr>
            </w:pPr>
            <w:r w:rsidRPr="007874B4">
              <w:rPr>
                <w:rFonts w:cs="Times New Roman"/>
                <w:sz w:val="28"/>
                <w:szCs w:val="26"/>
              </w:rPr>
              <w:t>IV. Tiesību akta projekta ietekme uz spēkā esošo tiesību normu sistēmu</w:t>
            </w:r>
          </w:p>
        </w:tc>
      </w:tr>
      <w:tr w:rsidTr="00802485">
        <w:tblPrEx>
          <w:tblW w:w="9214" w:type="dxa"/>
          <w:tblInd w:w="30" w:type="dxa"/>
          <w:shd w:val="clear" w:color="auto" w:fill="FFFFFF"/>
          <w:tblCellMar>
            <w:left w:w="0" w:type="dxa"/>
            <w:right w:w="0" w:type="dxa"/>
          </w:tblCellMar>
          <w:tblLook w:val="04A0"/>
        </w:tblPrEx>
        <w:trPr>
          <w:trHeight w:val="330"/>
        </w:trPr>
        <w:tc>
          <w:tcPr>
            <w:tcW w:w="921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441117" w:rsidRPr="00441117" w:rsidP="00441117">
            <w:pPr>
              <w:jc w:val="center"/>
              <w:rPr>
                <w:rFonts w:cs="Times New Roman"/>
                <w:sz w:val="28"/>
                <w:szCs w:val="26"/>
              </w:rPr>
            </w:pPr>
            <w:r w:rsidRPr="00441117">
              <w:rPr>
                <w:rFonts w:cs="Times New Roman"/>
                <w:sz w:val="28"/>
                <w:szCs w:val="26"/>
              </w:rPr>
              <w:t>Projekts šo jomu neskar</w:t>
            </w:r>
          </w:p>
        </w:tc>
      </w:tr>
    </w:tbl>
    <w:p w:rsidR="00EE411C" w:rsidRPr="007874B4" w:rsidP="0088048C">
      <w:pPr>
        <w:tabs>
          <w:tab w:val="right" w:pos="9072"/>
        </w:tabs>
        <w:ind w:right="-766"/>
        <w:rPr>
          <w:rFonts w:eastAsia="Calibri" w:cs="Times New Roman"/>
          <w:sz w:val="28"/>
          <w:szCs w:val="26"/>
        </w:rPr>
      </w:pPr>
    </w:p>
    <w:tbl>
      <w:tblPr>
        <w:tblW w:w="9214" w:type="dxa"/>
        <w:tblInd w:w="30" w:type="dxa"/>
        <w:shd w:val="clear" w:color="auto" w:fill="FFFFFF"/>
        <w:tblCellMar>
          <w:left w:w="0" w:type="dxa"/>
          <w:right w:w="0" w:type="dxa"/>
        </w:tblCellMar>
        <w:tblLook w:val="04A0"/>
      </w:tblPr>
      <w:tblGrid>
        <w:gridCol w:w="9214"/>
      </w:tblGrid>
      <w:tr w:rsidTr="00802485">
        <w:tblPrEx>
          <w:tblW w:w="9214" w:type="dxa"/>
          <w:tblInd w:w="30" w:type="dxa"/>
          <w:shd w:val="clear" w:color="auto" w:fill="FFFFFF"/>
          <w:tblCellMar>
            <w:left w:w="0" w:type="dxa"/>
            <w:right w:w="0" w:type="dxa"/>
          </w:tblCellMar>
          <w:tblLook w:val="04A0"/>
        </w:tblPrEx>
        <w:trPr>
          <w:trHeight w:val="427"/>
        </w:trPr>
        <w:tc>
          <w:tcPr>
            <w:tcW w:w="5000"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88048C" w:rsidRPr="007874B4" w:rsidP="00F43717">
            <w:pPr>
              <w:rPr>
                <w:rFonts w:eastAsia="Times New Roman" w:cs="Times New Roman"/>
                <w:sz w:val="28"/>
                <w:szCs w:val="26"/>
              </w:rPr>
            </w:pPr>
            <w:r w:rsidRPr="007874B4">
              <w:rPr>
                <w:rFonts w:eastAsia="Times New Roman" w:cs="Times New Roman"/>
                <w:sz w:val="28"/>
                <w:szCs w:val="26"/>
              </w:rPr>
              <w:t>V. Tiesību akta projekta atbilstība Latvijas Republikas starptautiskajām saistībām</w:t>
            </w:r>
          </w:p>
        </w:tc>
      </w:tr>
      <w:tr w:rsidTr="00802485">
        <w:tblPrEx>
          <w:tblW w:w="9214" w:type="dxa"/>
          <w:tblInd w:w="30" w:type="dxa"/>
          <w:shd w:val="clear" w:color="auto" w:fill="FFFFFF"/>
          <w:tblCellMar>
            <w:left w:w="0" w:type="dxa"/>
            <w:right w:w="0" w:type="dxa"/>
          </w:tblCellMar>
          <w:tblLook w:val="04A0"/>
        </w:tblPrEx>
        <w:trPr>
          <w:trHeight w:val="356"/>
        </w:trPr>
        <w:tc>
          <w:tcPr>
            <w:tcW w:w="500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15742" w:rsidRPr="007874B4" w:rsidP="00115742">
            <w:pPr>
              <w:jc w:val="center"/>
              <w:rPr>
                <w:rFonts w:eastAsia="Times New Roman" w:cs="Times New Roman"/>
                <w:sz w:val="28"/>
                <w:szCs w:val="26"/>
              </w:rPr>
            </w:pPr>
            <w:r w:rsidRPr="007874B4">
              <w:rPr>
                <w:rFonts w:eastAsia="Times New Roman" w:cs="Times New Roman"/>
                <w:sz w:val="28"/>
                <w:szCs w:val="26"/>
              </w:rPr>
              <w:t>Projekts šo jomu neskar</w:t>
            </w:r>
          </w:p>
        </w:tc>
      </w:tr>
    </w:tbl>
    <w:p w:rsidR="0088048C" w:rsidRPr="007874B4" w:rsidP="0088048C">
      <w:pPr>
        <w:tabs>
          <w:tab w:val="right" w:pos="9072"/>
        </w:tabs>
        <w:ind w:right="-766"/>
        <w:rPr>
          <w:rFonts w:eastAsia="Calibri" w:cs="Times New Roman"/>
          <w:sz w:val="28"/>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347"/>
        <w:gridCol w:w="6237"/>
      </w:tblGrid>
      <w:tr w:rsidTr="00802485">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35"/>
        </w:trPr>
        <w:tc>
          <w:tcPr>
            <w:tcW w:w="9214" w:type="dxa"/>
            <w:gridSpan w:val="3"/>
            <w:tcBorders>
              <w:top w:val="single" w:sz="4" w:space="0" w:color="auto"/>
              <w:left w:val="single" w:sz="4" w:space="0" w:color="auto"/>
              <w:bottom w:val="single" w:sz="4" w:space="0" w:color="auto"/>
              <w:right w:val="single" w:sz="4" w:space="0" w:color="auto"/>
            </w:tcBorders>
            <w:hideMark/>
          </w:tcPr>
          <w:p w:rsidR="0088048C" w:rsidRPr="007874B4" w:rsidP="00F43717">
            <w:pPr>
              <w:rPr>
                <w:rFonts w:cs="Times New Roman"/>
                <w:sz w:val="28"/>
                <w:szCs w:val="26"/>
              </w:rPr>
            </w:pPr>
            <w:r w:rsidRPr="007874B4">
              <w:rPr>
                <w:rFonts w:cs="Times New Roman"/>
                <w:bCs/>
                <w:sz w:val="28"/>
                <w:szCs w:val="26"/>
              </w:rPr>
              <w:t>VI. Sabiedrības līdzdalība un komunikācijas aktivitātes</w:t>
            </w:r>
          </w:p>
        </w:tc>
      </w:tr>
      <w:tr w:rsidTr="00802485">
        <w:tblPrEx>
          <w:tblW w:w="9214" w:type="dxa"/>
          <w:tblInd w:w="108" w:type="dxa"/>
          <w:tblLook w:val="01E0"/>
        </w:tblPrEx>
        <w:trPr>
          <w:trHeight w:val="530"/>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1.</w:t>
            </w:r>
          </w:p>
        </w:tc>
        <w:tc>
          <w:tcPr>
            <w:tcW w:w="2347"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 xml:space="preserve">Plānotās sabiedrības līdzdalības un </w:t>
            </w:r>
            <w:r w:rsidRPr="007874B4">
              <w:rPr>
                <w:rFonts w:cs="Times New Roman"/>
                <w:sz w:val="28"/>
                <w:szCs w:val="26"/>
              </w:rPr>
              <w:t>komunikācijas aktivitātes saistībā ar projektu</w:t>
            </w:r>
          </w:p>
        </w:tc>
        <w:tc>
          <w:tcPr>
            <w:tcW w:w="6237" w:type="dxa"/>
            <w:tcBorders>
              <w:top w:val="single" w:sz="4" w:space="0" w:color="auto"/>
              <w:left w:val="single" w:sz="4" w:space="0" w:color="auto"/>
              <w:bottom w:val="single" w:sz="4" w:space="0" w:color="auto"/>
              <w:right w:val="single" w:sz="4" w:space="0" w:color="auto"/>
            </w:tcBorders>
            <w:hideMark/>
          </w:tcPr>
          <w:p w:rsidR="0088048C" w:rsidRPr="007874B4" w:rsidP="005D503A">
            <w:pPr>
              <w:tabs>
                <w:tab w:val="left" w:pos="317"/>
              </w:tabs>
              <w:jc w:val="both"/>
              <w:rPr>
                <w:rFonts w:cs="Times New Roman"/>
                <w:sz w:val="28"/>
                <w:szCs w:val="26"/>
                <w:highlight w:val="yellow"/>
              </w:rPr>
            </w:pPr>
            <w:r w:rsidRPr="007874B4">
              <w:rPr>
                <w:rFonts w:cs="Times New Roman"/>
                <w:color w:val="000000"/>
                <w:sz w:val="28"/>
                <w:szCs w:val="26"/>
                <w:shd w:val="clear" w:color="auto" w:fill="FFFFFF"/>
              </w:rPr>
              <w:t xml:space="preserve">Informācija Veselības ministrijas mājas lapā par projekta virzību. </w:t>
            </w:r>
          </w:p>
        </w:tc>
      </w:tr>
      <w:tr w:rsidTr="00802485">
        <w:tblPrEx>
          <w:tblW w:w="9214" w:type="dxa"/>
          <w:tblInd w:w="108" w:type="dxa"/>
          <w:tblLook w:val="01E0"/>
        </w:tblPrEx>
        <w:trPr>
          <w:trHeight w:val="655"/>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2.</w:t>
            </w:r>
          </w:p>
        </w:tc>
        <w:tc>
          <w:tcPr>
            <w:tcW w:w="2347"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Sabiedrības līdzdalība projekta izstrādē</w:t>
            </w:r>
          </w:p>
        </w:tc>
        <w:tc>
          <w:tcPr>
            <w:tcW w:w="6237" w:type="dxa"/>
            <w:tcBorders>
              <w:top w:val="single" w:sz="4" w:space="0" w:color="auto"/>
              <w:left w:val="single" w:sz="4" w:space="0" w:color="auto"/>
              <w:bottom w:val="single" w:sz="4" w:space="0" w:color="auto"/>
              <w:right w:val="single" w:sz="4" w:space="0" w:color="auto"/>
            </w:tcBorders>
            <w:hideMark/>
          </w:tcPr>
          <w:p w:rsidR="0088048C" w:rsidP="009072D5">
            <w:pPr>
              <w:tabs>
                <w:tab w:val="left" w:pos="317"/>
              </w:tabs>
              <w:jc w:val="both"/>
              <w:rPr>
                <w:rFonts w:cs="Times New Roman"/>
                <w:sz w:val="28"/>
                <w:szCs w:val="26"/>
              </w:rPr>
            </w:pPr>
            <w:r w:rsidRPr="005D503A">
              <w:rPr>
                <w:rFonts w:cs="Times New Roman"/>
                <w:sz w:val="28"/>
                <w:szCs w:val="26"/>
              </w:rPr>
              <w:t>Tika</w:t>
            </w:r>
            <w:r>
              <w:rPr>
                <w:rFonts w:cs="Times New Roman"/>
                <w:sz w:val="28"/>
                <w:szCs w:val="26"/>
              </w:rPr>
              <w:t xml:space="preserve"> saņemts priekšlikums no Latvijas Ārstu biedrības papildināt likumprojektu, piešķirot tiesības Latvijas Ārstu biedrībai, </w:t>
            </w:r>
            <w:r w:rsidR="009072D5">
              <w:rPr>
                <w:rFonts w:cs="Times New Roman"/>
                <w:sz w:val="28"/>
                <w:szCs w:val="26"/>
              </w:rPr>
              <w:t>Latvijas Māsu asociācijai un Latvijas Ārstniecības personu profesionālo organizāciju savienībai tiesības iepazīties ar informāciju par pacientu. Kā norādīja Latvijas Ārstu biedrība, tad minētajām sertifikācijas institūcijām ir uzlikts pienākums veikt ārstniecības personas profesionālās darbības izvērtēšanu un gadījumā, ja tiek konstatēti būtiski normatīvo aktu un ētikas pārkāpumi, anulēt ārstniecības personai izdoto sertifikātu. Pašlaik šo pienākumu būtībā nav iespējams izpildīt, jo minētām institūcijām nav dotas tiesības pieprasīt un apstrādāt pacienta datus, bet bez pacienta medicīniskajiem dokumentiem un informācijas no iesaistītajām ārstniecības personām nav iespējams veikt profesionālās darbības izvērtēšanu. Šobrīd, lai veiktu ārstniecības personas profesionālās darbības izvērtēšanu, tiek prasīta pacienta piekrišana, bet prakse liecina, ka pacientu uz šiem pieprasījumiem neatbild un līdz ar to izvērtēšanas process tiek apturēts.</w:t>
            </w:r>
          </w:p>
          <w:p w:rsidR="00441117" w:rsidRPr="007874B4" w:rsidP="009072D5">
            <w:pPr>
              <w:tabs>
                <w:tab w:val="left" w:pos="317"/>
              </w:tabs>
              <w:jc w:val="both"/>
              <w:rPr>
                <w:rFonts w:cs="Times New Roman"/>
                <w:sz w:val="28"/>
                <w:szCs w:val="26"/>
                <w:highlight w:val="yellow"/>
              </w:rPr>
            </w:pPr>
            <w:r>
              <w:rPr>
                <w:rFonts w:cs="Times New Roman"/>
                <w:sz w:val="28"/>
                <w:szCs w:val="26"/>
              </w:rPr>
              <w:t xml:space="preserve">Tika saņemts priekšlikums no Latvijas Apdrošinātāju asociācijas </w:t>
            </w:r>
            <w:r w:rsidR="00170DD4">
              <w:rPr>
                <w:rFonts w:cs="Times New Roman"/>
                <w:sz w:val="28"/>
                <w:szCs w:val="26"/>
              </w:rPr>
              <w:t>ar priekšlikumu papildināt likuma 10.panta piekto daļu un noteikt apdrošinātāju tiesības saņemt informāciju no ārstniecības iestādēm un ārstniecības personām. Saskaņā ar likuma “Par apdrošināšanas līgumu” 24.panta otrajā daļā noteikto, apdrošinātājam ir uzlikts pienākums pārliecināties par apdrošinātā riska iestāšanos. Lai apdrošinātājam būtu iespējams izpildīt iepriekš minēto normu, Pacientu tiesību likumā ir jāietver pienākums ārstniecības personām sniegt apdrošinātāju pieprasīto informāciju par pacientu, kas nepieciešama konkrētas atlīdzību lietas izskatīšanai.</w:t>
            </w:r>
          </w:p>
        </w:tc>
      </w:tr>
      <w:tr w:rsidTr="00802485">
        <w:tblPrEx>
          <w:tblW w:w="9214" w:type="dxa"/>
          <w:tblInd w:w="108" w:type="dxa"/>
          <w:tblLook w:val="01E0"/>
        </w:tblPrEx>
        <w:trPr>
          <w:trHeight w:val="655"/>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3.</w:t>
            </w:r>
          </w:p>
        </w:tc>
        <w:tc>
          <w:tcPr>
            <w:tcW w:w="2347"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 xml:space="preserve">Sabiedrības līdzdalības </w:t>
            </w:r>
            <w:r w:rsidRPr="007874B4">
              <w:rPr>
                <w:rFonts w:cs="Times New Roman"/>
                <w:sz w:val="28"/>
                <w:szCs w:val="26"/>
              </w:rPr>
              <w:t>rezultāti</w:t>
            </w:r>
          </w:p>
        </w:tc>
        <w:tc>
          <w:tcPr>
            <w:tcW w:w="6237" w:type="dxa"/>
            <w:tcBorders>
              <w:top w:val="single" w:sz="4" w:space="0" w:color="auto"/>
              <w:left w:val="single" w:sz="4" w:space="0" w:color="auto"/>
              <w:bottom w:val="single" w:sz="4" w:space="0" w:color="auto"/>
              <w:right w:val="single" w:sz="4" w:space="0" w:color="auto"/>
            </w:tcBorders>
            <w:hideMark/>
          </w:tcPr>
          <w:p w:rsidR="0088048C" w:rsidRPr="007874B4" w:rsidP="001B1460">
            <w:pPr>
              <w:tabs>
                <w:tab w:val="left" w:pos="317"/>
              </w:tabs>
              <w:jc w:val="both"/>
              <w:rPr>
                <w:rFonts w:cs="Times New Roman"/>
                <w:sz w:val="28"/>
                <w:szCs w:val="26"/>
              </w:rPr>
            </w:pPr>
            <w:r>
              <w:rPr>
                <w:rFonts w:cs="Times New Roman"/>
                <w:sz w:val="28"/>
                <w:szCs w:val="26"/>
              </w:rPr>
              <w:t>Min</w:t>
            </w:r>
            <w:r w:rsidR="00170DD4">
              <w:rPr>
                <w:rFonts w:cs="Times New Roman"/>
                <w:sz w:val="28"/>
                <w:szCs w:val="26"/>
              </w:rPr>
              <w:t>ētie</w:t>
            </w:r>
            <w:r>
              <w:rPr>
                <w:rFonts w:cs="Times New Roman"/>
                <w:sz w:val="28"/>
                <w:szCs w:val="26"/>
              </w:rPr>
              <w:t xml:space="preserve"> priek</w:t>
            </w:r>
            <w:r w:rsidR="00170DD4">
              <w:rPr>
                <w:rFonts w:cs="Times New Roman"/>
                <w:sz w:val="28"/>
                <w:szCs w:val="26"/>
              </w:rPr>
              <w:t>šlikumi</w:t>
            </w:r>
            <w:r>
              <w:rPr>
                <w:rFonts w:cs="Times New Roman"/>
                <w:sz w:val="28"/>
                <w:szCs w:val="26"/>
              </w:rPr>
              <w:t xml:space="preserve"> tiks vērtēts kontekstā ar nepieciešamajām izmaiņām saistībā ar Eiropas </w:t>
            </w:r>
            <w:r>
              <w:rPr>
                <w:rFonts w:cs="Times New Roman"/>
                <w:sz w:val="28"/>
                <w:szCs w:val="26"/>
              </w:rPr>
              <w:t>Parlamenta un Padomes regulu Nr.2016/679 par fizisku personu aizsardzību attiecībā uz personas datu apstrādi un šādu datu brīvu apriti un ar ko atceļ Direktīvu 95/46/EK.</w:t>
            </w:r>
          </w:p>
        </w:tc>
      </w:tr>
      <w:tr w:rsidTr="00802485">
        <w:tblPrEx>
          <w:tblW w:w="9214" w:type="dxa"/>
          <w:tblInd w:w="108" w:type="dxa"/>
          <w:tblLook w:val="01E0"/>
        </w:tblPrEx>
        <w:trPr>
          <w:trHeight w:val="413"/>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4.</w:t>
            </w:r>
          </w:p>
        </w:tc>
        <w:tc>
          <w:tcPr>
            <w:tcW w:w="2347"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Cita informācija</w:t>
            </w:r>
          </w:p>
        </w:tc>
        <w:tc>
          <w:tcPr>
            <w:tcW w:w="6237" w:type="dxa"/>
            <w:tcBorders>
              <w:top w:val="single" w:sz="4" w:space="0" w:color="auto"/>
              <w:left w:val="single" w:sz="4" w:space="0" w:color="auto"/>
              <w:bottom w:val="single" w:sz="4" w:space="0" w:color="auto"/>
              <w:right w:val="single" w:sz="4" w:space="0" w:color="auto"/>
            </w:tcBorders>
            <w:hideMark/>
          </w:tcPr>
          <w:p w:rsidR="0088048C" w:rsidRPr="007874B4" w:rsidP="00D90B13">
            <w:pPr>
              <w:tabs>
                <w:tab w:val="left" w:pos="317"/>
              </w:tabs>
              <w:jc w:val="both"/>
              <w:rPr>
                <w:rFonts w:cs="Times New Roman"/>
                <w:sz w:val="28"/>
                <w:szCs w:val="26"/>
              </w:rPr>
            </w:pPr>
            <w:r>
              <w:rPr>
                <w:rFonts w:cs="Times New Roman"/>
                <w:sz w:val="28"/>
                <w:szCs w:val="26"/>
              </w:rPr>
              <w:t>Nav</w:t>
            </w:r>
          </w:p>
        </w:tc>
      </w:tr>
    </w:tbl>
    <w:p w:rsidR="0088048C" w:rsidRPr="007874B4" w:rsidP="0088048C">
      <w:pPr>
        <w:tabs>
          <w:tab w:val="right" w:pos="9072"/>
        </w:tabs>
        <w:ind w:right="-766"/>
        <w:rPr>
          <w:rFonts w:eastAsia="Calibri" w:cs="Times New Roman"/>
          <w:sz w:val="28"/>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056"/>
        <w:gridCol w:w="5528"/>
      </w:tblGrid>
      <w:tr w:rsidTr="00802485">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61"/>
        </w:trPr>
        <w:tc>
          <w:tcPr>
            <w:tcW w:w="9214" w:type="dxa"/>
            <w:gridSpan w:val="3"/>
            <w:tcBorders>
              <w:top w:val="single" w:sz="4" w:space="0" w:color="auto"/>
              <w:left w:val="single" w:sz="4" w:space="0" w:color="auto"/>
              <w:bottom w:val="single" w:sz="4" w:space="0" w:color="auto"/>
              <w:right w:val="single" w:sz="4" w:space="0" w:color="auto"/>
            </w:tcBorders>
            <w:hideMark/>
          </w:tcPr>
          <w:p w:rsidR="0088048C" w:rsidRPr="007874B4" w:rsidP="00F43717">
            <w:pPr>
              <w:rPr>
                <w:rFonts w:cs="Times New Roman"/>
                <w:sz w:val="28"/>
                <w:szCs w:val="26"/>
              </w:rPr>
            </w:pPr>
            <w:r w:rsidRPr="007874B4">
              <w:rPr>
                <w:rFonts w:cs="Times New Roman"/>
                <w:bCs/>
                <w:sz w:val="28"/>
                <w:szCs w:val="26"/>
              </w:rPr>
              <w:t>VII. Tiesību akta projekta izpildes nodrošināšana un tās ietekme uz institūcijām</w:t>
            </w:r>
          </w:p>
        </w:tc>
      </w:tr>
      <w:tr w:rsidTr="00802485">
        <w:tblPrEx>
          <w:tblW w:w="9214" w:type="dxa"/>
          <w:tblInd w:w="108" w:type="dxa"/>
          <w:tblLook w:val="01E0"/>
        </w:tblPrEx>
        <w:trPr>
          <w:trHeight w:val="984"/>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1.</w:t>
            </w:r>
          </w:p>
        </w:tc>
        <w:tc>
          <w:tcPr>
            <w:tcW w:w="3056"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Projekta izpildē iesaistītās institūcijas</w:t>
            </w:r>
          </w:p>
        </w:tc>
        <w:tc>
          <w:tcPr>
            <w:tcW w:w="5528" w:type="dxa"/>
            <w:tcBorders>
              <w:top w:val="single" w:sz="4" w:space="0" w:color="auto"/>
              <w:left w:val="single" w:sz="4" w:space="0" w:color="auto"/>
              <w:bottom w:val="single" w:sz="4" w:space="0" w:color="auto"/>
              <w:right w:val="single" w:sz="4" w:space="0" w:color="auto"/>
            </w:tcBorders>
          </w:tcPr>
          <w:p w:rsidR="0088048C" w:rsidRPr="007874B4" w:rsidP="00322819">
            <w:pPr>
              <w:jc w:val="both"/>
              <w:rPr>
                <w:rFonts w:cs="Times New Roman"/>
                <w:sz w:val="28"/>
                <w:szCs w:val="26"/>
                <w:shd w:val="clear" w:color="auto" w:fill="FFFFFF"/>
              </w:rPr>
            </w:pPr>
            <w:r>
              <w:rPr>
                <w:rFonts w:cs="Times New Roman"/>
                <w:sz w:val="28"/>
                <w:szCs w:val="26"/>
                <w:shd w:val="clear" w:color="auto" w:fill="FFFFFF"/>
              </w:rPr>
              <w:t>Valsts darba inspekcija</w:t>
            </w:r>
            <w:r w:rsidR="009072D5">
              <w:rPr>
                <w:rFonts w:cs="Times New Roman"/>
                <w:sz w:val="28"/>
                <w:szCs w:val="26"/>
                <w:shd w:val="clear" w:color="auto" w:fill="FFFFFF"/>
              </w:rPr>
              <w:t>, Veselības un darbspēju ekspertīzes ārstu valsts komisija</w:t>
            </w:r>
          </w:p>
        </w:tc>
      </w:tr>
      <w:tr w:rsidTr="00802485">
        <w:tblPrEx>
          <w:tblW w:w="9214" w:type="dxa"/>
          <w:tblInd w:w="108" w:type="dxa"/>
          <w:tblLook w:val="01E0"/>
        </w:tblPrEx>
        <w:trPr>
          <w:trHeight w:val="592"/>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2.</w:t>
            </w:r>
          </w:p>
        </w:tc>
        <w:tc>
          <w:tcPr>
            <w:tcW w:w="3056" w:type="dxa"/>
            <w:tcBorders>
              <w:top w:val="single" w:sz="4" w:space="0" w:color="auto"/>
              <w:left w:val="single" w:sz="4" w:space="0" w:color="auto"/>
              <w:bottom w:val="single" w:sz="4" w:space="0" w:color="auto"/>
              <w:right w:val="single" w:sz="4" w:space="0" w:color="auto"/>
            </w:tcBorders>
            <w:hideMark/>
          </w:tcPr>
          <w:p w:rsidR="0088048C" w:rsidRPr="007874B4">
            <w:pPr>
              <w:jc w:val="both"/>
              <w:rPr>
                <w:rFonts w:cs="Times New Roman"/>
                <w:sz w:val="28"/>
                <w:szCs w:val="26"/>
              </w:rPr>
            </w:pPr>
            <w:r w:rsidRPr="007874B4">
              <w:rPr>
                <w:rFonts w:cs="Times New Roman"/>
                <w:sz w:val="28"/>
                <w:szCs w:val="26"/>
              </w:rPr>
              <w:t>Projekta izpildes ietekme uz pārvaldes funkcijām un institucionālo struktūru. Jaunu institūciju izveide, esošo institūciju likvidācija vai reorganizācija, to ietekme uz institūcijas cilvēkresursiem</w:t>
            </w:r>
          </w:p>
        </w:tc>
        <w:tc>
          <w:tcPr>
            <w:tcW w:w="5528" w:type="dxa"/>
            <w:tcBorders>
              <w:top w:val="single" w:sz="4" w:space="0" w:color="auto"/>
              <w:left w:val="single" w:sz="4" w:space="0" w:color="auto"/>
              <w:bottom w:val="single" w:sz="4" w:space="0" w:color="auto"/>
              <w:right w:val="single" w:sz="4" w:space="0" w:color="auto"/>
            </w:tcBorders>
            <w:hideMark/>
          </w:tcPr>
          <w:p w:rsidR="0088048C" w:rsidRPr="007874B4">
            <w:pPr>
              <w:jc w:val="both"/>
              <w:rPr>
                <w:rFonts w:cs="Times New Roman"/>
                <w:sz w:val="28"/>
                <w:szCs w:val="26"/>
                <w:highlight w:val="yellow"/>
              </w:rPr>
            </w:pPr>
            <w:r w:rsidRPr="007874B4">
              <w:rPr>
                <w:rFonts w:cs="Times New Roman"/>
                <w:sz w:val="28"/>
                <w:szCs w:val="26"/>
              </w:rPr>
              <w:t>Jaunu institūciju izveide nav nepieciešama.</w:t>
            </w:r>
            <w:r w:rsidRPr="007874B4" w:rsidR="00115742">
              <w:rPr>
                <w:rFonts w:cs="Times New Roman"/>
                <w:sz w:val="28"/>
                <w:szCs w:val="26"/>
              </w:rPr>
              <w:t xml:space="preserve"> Projekta izpilde tiks nodrošināta esošo cilvēkresursu ietvaros.</w:t>
            </w:r>
          </w:p>
        </w:tc>
      </w:tr>
      <w:tr w:rsidTr="00802485">
        <w:tblPrEx>
          <w:tblW w:w="9214" w:type="dxa"/>
          <w:tblInd w:w="108" w:type="dxa"/>
          <w:tblLook w:val="01E0"/>
        </w:tblPrEx>
        <w:trPr>
          <w:trHeight w:val="338"/>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3.</w:t>
            </w:r>
          </w:p>
        </w:tc>
        <w:tc>
          <w:tcPr>
            <w:tcW w:w="3056"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Cita informācija</w:t>
            </w:r>
          </w:p>
        </w:tc>
        <w:tc>
          <w:tcPr>
            <w:tcW w:w="5528"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Nav</w:t>
            </w:r>
          </w:p>
        </w:tc>
      </w:tr>
    </w:tbl>
    <w:p w:rsidR="002A223C" w:rsidRPr="007874B4" w:rsidP="009A140A">
      <w:pPr>
        <w:tabs>
          <w:tab w:val="right" w:pos="9072"/>
        </w:tabs>
        <w:ind w:right="-766"/>
        <w:rPr>
          <w:rFonts w:eastAsia="Calibri" w:cs="Times New Roman"/>
          <w:sz w:val="28"/>
          <w:szCs w:val="26"/>
        </w:rPr>
      </w:pPr>
    </w:p>
    <w:p w:rsidR="009A140A" w:rsidP="009A140A">
      <w:pPr>
        <w:tabs>
          <w:tab w:val="right" w:pos="8820"/>
        </w:tabs>
        <w:ind w:right="-766"/>
        <w:rPr>
          <w:rFonts w:eastAsia="Calibri" w:cs="Times New Roman"/>
          <w:sz w:val="28"/>
          <w:szCs w:val="26"/>
        </w:rPr>
      </w:pPr>
    </w:p>
    <w:p w:rsidR="009A140A" w:rsidP="009A140A">
      <w:pPr>
        <w:tabs>
          <w:tab w:val="right" w:pos="8820"/>
        </w:tabs>
        <w:ind w:right="-766"/>
        <w:rPr>
          <w:rFonts w:eastAsia="Calibri" w:cs="Times New Roman"/>
          <w:sz w:val="28"/>
          <w:szCs w:val="26"/>
        </w:rPr>
      </w:pPr>
      <w:r>
        <w:rPr>
          <w:rFonts w:eastAsia="Calibri" w:cs="Times New Roman"/>
          <w:sz w:val="28"/>
          <w:szCs w:val="26"/>
        </w:rPr>
        <w:t>Veselības ministre</w:t>
      </w:r>
      <w:r w:rsidRPr="007874B4" w:rsidR="0088048C">
        <w:rPr>
          <w:rFonts w:eastAsia="Calibri" w:cs="Times New Roman"/>
          <w:sz w:val="28"/>
          <w:szCs w:val="26"/>
        </w:rPr>
        <w:tab/>
      </w:r>
      <w:r w:rsidR="003C3F43">
        <w:rPr>
          <w:rFonts w:eastAsia="Calibri" w:cs="Times New Roman"/>
          <w:sz w:val="28"/>
          <w:szCs w:val="26"/>
        </w:rPr>
        <w:t xml:space="preserve">Anda </w:t>
      </w:r>
      <w:r>
        <w:rPr>
          <w:rFonts w:eastAsia="Calibri" w:cs="Times New Roman"/>
          <w:sz w:val="28"/>
          <w:szCs w:val="26"/>
        </w:rPr>
        <w:t>Čakša</w:t>
      </w:r>
    </w:p>
    <w:p w:rsidR="009A140A" w:rsidP="009A140A">
      <w:pPr>
        <w:tabs>
          <w:tab w:val="right" w:pos="8820"/>
        </w:tabs>
        <w:ind w:right="-766"/>
        <w:rPr>
          <w:rFonts w:eastAsia="Calibri" w:cs="Times New Roman"/>
          <w:sz w:val="28"/>
          <w:szCs w:val="26"/>
        </w:rPr>
      </w:pPr>
    </w:p>
    <w:p w:rsidR="009A140A" w:rsidP="009A140A">
      <w:pPr>
        <w:tabs>
          <w:tab w:val="right" w:pos="8820"/>
        </w:tabs>
        <w:ind w:right="-766"/>
        <w:rPr>
          <w:rFonts w:eastAsia="Calibri" w:cs="Times New Roman"/>
          <w:sz w:val="28"/>
          <w:szCs w:val="26"/>
        </w:rPr>
      </w:pPr>
    </w:p>
    <w:p w:rsidR="007874B4" w:rsidRPr="007874B4" w:rsidP="00802485">
      <w:pPr>
        <w:tabs>
          <w:tab w:val="right" w:pos="8820"/>
        </w:tabs>
        <w:ind w:right="-1"/>
        <w:rPr>
          <w:rFonts w:eastAsia="Calibri" w:cs="Times New Roman"/>
          <w:sz w:val="28"/>
          <w:szCs w:val="26"/>
        </w:rPr>
      </w:pPr>
      <w:r>
        <w:rPr>
          <w:rFonts w:eastAsia="Calibri" w:cs="Times New Roman"/>
          <w:sz w:val="28"/>
          <w:szCs w:val="26"/>
        </w:rPr>
        <w:t>Vīza: Valsts sekretārs</w:t>
      </w:r>
      <w:r>
        <w:rPr>
          <w:rFonts w:eastAsia="Calibri" w:cs="Times New Roman"/>
          <w:sz w:val="28"/>
          <w:szCs w:val="26"/>
        </w:rPr>
        <w:tab/>
        <w:t xml:space="preserve">Kārlis </w:t>
      </w:r>
      <w:bookmarkStart w:id="2" w:name="_GoBack"/>
      <w:bookmarkEnd w:id="2"/>
      <w:r w:rsidR="009072D5">
        <w:rPr>
          <w:rFonts w:eastAsia="Calibri" w:cs="Times New Roman"/>
          <w:sz w:val="28"/>
          <w:szCs w:val="26"/>
        </w:rPr>
        <w:t>Ketners</w:t>
      </w:r>
    </w:p>
    <w:p w:rsidR="002A223C" w:rsidP="0088048C">
      <w:pPr>
        <w:ind w:right="-3228"/>
        <w:rPr>
          <w:rFonts w:eastAsia="Times New Roman" w:cs="Times New Roman"/>
          <w:sz w:val="22"/>
          <w:szCs w:val="26"/>
          <w:lang w:eastAsia="lv-LV"/>
        </w:rPr>
      </w:pPr>
    </w:p>
    <w:p w:rsidR="009A140A" w:rsidP="0088048C">
      <w:pPr>
        <w:ind w:right="-3228"/>
        <w:rPr>
          <w:rFonts w:eastAsia="Times New Roman" w:cs="Times New Roman"/>
          <w:sz w:val="22"/>
          <w:szCs w:val="26"/>
          <w:lang w:eastAsia="lv-LV"/>
        </w:rPr>
      </w:pPr>
    </w:p>
    <w:p w:rsidR="00F14EEE" w:rsidP="0088048C">
      <w:pPr>
        <w:ind w:right="-3228"/>
        <w:rPr>
          <w:rFonts w:eastAsia="Times New Roman" w:cs="Times New Roman"/>
          <w:sz w:val="22"/>
          <w:szCs w:val="26"/>
          <w:lang w:eastAsia="lv-LV"/>
        </w:rPr>
      </w:pPr>
    </w:p>
    <w:p w:rsidR="00884FDC" w:rsidP="008E7A63">
      <w:pPr>
        <w:rPr>
          <w:rFonts w:eastAsia="Calibri" w:cs="Times New Roman"/>
          <w:szCs w:val="24"/>
        </w:rPr>
      </w:pPr>
      <w:r w:rsidRPr="008E7A63">
        <w:rPr>
          <w:rFonts w:eastAsia="Calibri" w:cs="Times New Roman"/>
          <w:szCs w:val="24"/>
        </w:rPr>
        <w:t>A.Jurševica</w:t>
      </w:r>
      <w:r>
        <w:rPr>
          <w:rFonts w:eastAsia="Calibri" w:cs="Times New Roman"/>
          <w:szCs w:val="24"/>
        </w:rPr>
        <w:t>,  67876186</w:t>
      </w:r>
      <w:r w:rsidRPr="008E7A63">
        <w:rPr>
          <w:rFonts w:eastAsia="Calibri" w:cs="Times New Roman"/>
          <w:szCs w:val="24"/>
        </w:rPr>
        <w:t xml:space="preserve"> </w:t>
      </w:r>
    </w:p>
    <w:p w:rsidR="008E7A63" w:rsidRPr="008E7A63" w:rsidP="008E7A63">
      <w:pPr>
        <w:rPr>
          <w:rFonts w:eastAsia="Calibri" w:cs="Times New Roman"/>
          <w:szCs w:val="24"/>
        </w:rPr>
      </w:pPr>
      <w:r w:rsidRPr="00802485">
        <w:rPr>
          <w:rFonts w:eastAsia="Calibri" w:cs="Times New Roman"/>
        </w:rPr>
        <w:t>Anita.Jursevica@vm.gov.lv</w:t>
      </w:r>
    </w:p>
    <w:p w:rsidR="008E7A63" w:rsidRPr="007874B4">
      <w:pPr>
        <w:rPr>
          <w:rFonts w:cs="Times New Roman"/>
          <w:sz w:val="22"/>
          <w:szCs w:val="26"/>
        </w:rPr>
      </w:pPr>
    </w:p>
    <w:sectPr w:rsidSect="00802485">
      <w:headerReference w:type="default" r:id="rId5"/>
      <w:footerReference w:type="default" r:id="rId6"/>
      <w:footerReference w:type="first" r:id="rId7"/>
      <w:pgSz w:w="12240" w:h="15840"/>
      <w:pgMar w:top="1418" w:right="1134" w:bottom="1134" w:left="1701" w:header="720" w:footer="79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2247" w:rsidRPr="00802485" w:rsidP="00B95BD9">
    <w:pPr>
      <w:jc w:val="both"/>
      <w:rPr>
        <w:rFonts w:eastAsia="Times New Roman" w:cs="Times New Roman"/>
        <w:bCs/>
        <w:sz w:val="20"/>
        <w:szCs w:val="20"/>
        <w:lang w:eastAsia="lv-LV"/>
      </w:rPr>
    </w:pPr>
    <w:r>
      <w:rPr>
        <w:sz w:val="20"/>
        <w:szCs w:val="20"/>
      </w:rPr>
      <w:t>VMa</w:t>
    </w:r>
    <w:r w:rsidR="00E02A29">
      <w:rPr>
        <w:sz w:val="20"/>
        <w:szCs w:val="20"/>
      </w:rPr>
      <w:t>not_0308</w:t>
    </w:r>
    <w:r w:rsidRPr="00802485" w:rsidR="00170DD4">
      <w:rPr>
        <w:sz w:val="20"/>
        <w:szCs w:val="20"/>
      </w:rPr>
      <w:t>17</w:t>
    </w:r>
    <w:r w:rsidRPr="00802485" w:rsidR="00884FDC">
      <w:rPr>
        <w:sz w:val="20"/>
        <w:szCs w:val="20"/>
      </w:rPr>
      <w:t>_pactl</w:t>
    </w:r>
  </w:p>
  <w:p w:rsidR="00A72247" w:rsidP="00B95BD9">
    <w:pPr>
      <w:pStyle w:val="Footer"/>
      <w:tabs>
        <w:tab w:val="clear" w:pos="4320"/>
        <w:tab w:val="left" w:pos="5400"/>
        <w:tab w:val="clear" w:pos="86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2247" w:rsidRPr="00802485" w:rsidP="00827C01">
    <w:pPr>
      <w:jc w:val="both"/>
      <w:rPr>
        <w:rFonts w:eastAsia="Times New Roman" w:cs="Times New Roman"/>
        <w:bCs/>
        <w:sz w:val="20"/>
        <w:szCs w:val="20"/>
        <w:lang w:eastAsia="lv-LV"/>
      </w:rPr>
    </w:pPr>
    <w:r>
      <w:rPr>
        <w:sz w:val="20"/>
        <w:szCs w:val="20"/>
      </w:rPr>
      <w:t>VMa</w:t>
    </w:r>
    <w:r w:rsidR="00E02A29">
      <w:rPr>
        <w:sz w:val="20"/>
        <w:szCs w:val="20"/>
      </w:rPr>
      <w:t>not_0308</w:t>
    </w:r>
    <w:r w:rsidRPr="00802485" w:rsidR="00C724CE">
      <w:rPr>
        <w:sz w:val="20"/>
        <w:szCs w:val="20"/>
      </w:rPr>
      <w:t>17_pactl</w:t>
    </w:r>
  </w:p>
  <w:p w:rsidR="00A7224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98477020"/>
      <w:docPartObj>
        <w:docPartGallery w:val="Page Numbers (Top of Page)"/>
        <w:docPartUnique/>
      </w:docPartObj>
    </w:sdtPr>
    <w:sdtContent>
      <w:p w:rsidR="00A72247">
        <w:pPr>
          <w:pStyle w:val="Header"/>
          <w:jc w:val="center"/>
        </w:pPr>
        <w:r>
          <w:fldChar w:fldCharType="begin"/>
        </w:r>
        <w:r>
          <w:instrText xml:space="preserve"> PAGE   \* MERGEFORMAT </w:instrText>
        </w:r>
        <w:r>
          <w:fldChar w:fldCharType="separate"/>
        </w:r>
        <w:r w:rsidR="003C3F43">
          <w:rPr>
            <w:noProof/>
          </w:rPr>
          <w:t>7</w:t>
        </w:r>
        <w:r>
          <w:rPr>
            <w:noProof/>
          </w:rPr>
          <w:fldChar w:fldCharType="end"/>
        </w:r>
      </w:p>
    </w:sdtContent>
  </w:sdt>
  <w:p w:rsidR="00A72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2863C9"/>
    <w:multiLevelType w:val="hybridMultilevel"/>
    <w:tmpl w:val="CE82F3A2"/>
    <w:lvl w:ilvl="0">
      <w:start w:val="1"/>
      <w:numFmt w:val="decimal"/>
      <w:lvlText w:val="%1)"/>
      <w:lvlJc w:val="left"/>
      <w:pPr>
        <w:ind w:left="834" w:hanging="360"/>
      </w:pPr>
    </w:lvl>
    <w:lvl w:ilvl="1" w:tentative="1">
      <w:start w:val="1"/>
      <w:numFmt w:val="lowerLetter"/>
      <w:lvlText w:val="%2."/>
      <w:lvlJc w:val="left"/>
      <w:pPr>
        <w:ind w:left="1554" w:hanging="360"/>
      </w:pPr>
    </w:lvl>
    <w:lvl w:ilvl="2" w:tentative="1">
      <w:start w:val="1"/>
      <w:numFmt w:val="lowerRoman"/>
      <w:lvlText w:val="%3."/>
      <w:lvlJc w:val="right"/>
      <w:pPr>
        <w:ind w:left="2274" w:hanging="180"/>
      </w:pPr>
    </w:lvl>
    <w:lvl w:ilvl="3" w:tentative="1">
      <w:start w:val="1"/>
      <w:numFmt w:val="decimal"/>
      <w:lvlText w:val="%4."/>
      <w:lvlJc w:val="left"/>
      <w:pPr>
        <w:ind w:left="2994" w:hanging="360"/>
      </w:pPr>
    </w:lvl>
    <w:lvl w:ilvl="4" w:tentative="1">
      <w:start w:val="1"/>
      <w:numFmt w:val="lowerLetter"/>
      <w:lvlText w:val="%5."/>
      <w:lvlJc w:val="left"/>
      <w:pPr>
        <w:ind w:left="3714" w:hanging="360"/>
      </w:pPr>
    </w:lvl>
    <w:lvl w:ilvl="5" w:tentative="1">
      <w:start w:val="1"/>
      <w:numFmt w:val="lowerRoman"/>
      <w:lvlText w:val="%6."/>
      <w:lvlJc w:val="right"/>
      <w:pPr>
        <w:ind w:left="4434" w:hanging="180"/>
      </w:pPr>
    </w:lvl>
    <w:lvl w:ilvl="6" w:tentative="1">
      <w:start w:val="1"/>
      <w:numFmt w:val="decimal"/>
      <w:lvlText w:val="%7."/>
      <w:lvlJc w:val="left"/>
      <w:pPr>
        <w:ind w:left="5154" w:hanging="360"/>
      </w:pPr>
    </w:lvl>
    <w:lvl w:ilvl="7" w:tentative="1">
      <w:start w:val="1"/>
      <w:numFmt w:val="lowerLetter"/>
      <w:lvlText w:val="%8."/>
      <w:lvlJc w:val="left"/>
      <w:pPr>
        <w:ind w:left="5874" w:hanging="360"/>
      </w:pPr>
    </w:lvl>
    <w:lvl w:ilvl="8" w:tentative="1">
      <w:start w:val="1"/>
      <w:numFmt w:val="lowerRoman"/>
      <w:lvlText w:val="%9."/>
      <w:lvlJc w:val="right"/>
      <w:pPr>
        <w:ind w:left="65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8C"/>
    <w:rsid w:val="00020F02"/>
    <w:rsid w:val="000266F0"/>
    <w:rsid w:val="0003641D"/>
    <w:rsid w:val="00050EBB"/>
    <w:rsid w:val="00057BB7"/>
    <w:rsid w:val="00061253"/>
    <w:rsid w:val="00090284"/>
    <w:rsid w:val="000C78E8"/>
    <w:rsid w:val="000E2493"/>
    <w:rsid w:val="000F0747"/>
    <w:rsid w:val="00110029"/>
    <w:rsid w:val="00115742"/>
    <w:rsid w:val="00132EBE"/>
    <w:rsid w:val="001427FF"/>
    <w:rsid w:val="00170DD4"/>
    <w:rsid w:val="001727FC"/>
    <w:rsid w:val="001777E0"/>
    <w:rsid w:val="001847CF"/>
    <w:rsid w:val="001862AB"/>
    <w:rsid w:val="00192720"/>
    <w:rsid w:val="001B1460"/>
    <w:rsid w:val="001C2BA2"/>
    <w:rsid w:val="001E035D"/>
    <w:rsid w:val="001F6225"/>
    <w:rsid w:val="002057B1"/>
    <w:rsid w:val="00214CFD"/>
    <w:rsid w:val="002207A1"/>
    <w:rsid w:val="00222E4C"/>
    <w:rsid w:val="00223D09"/>
    <w:rsid w:val="00245A7F"/>
    <w:rsid w:val="002561FA"/>
    <w:rsid w:val="00283401"/>
    <w:rsid w:val="0028614C"/>
    <w:rsid w:val="002A223C"/>
    <w:rsid w:val="002B1A48"/>
    <w:rsid w:val="002D5711"/>
    <w:rsid w:val="002E6B19"/>
    <w:rsid w:val="002E73D2"/>
    <w:rsid w:val="00313F78"/>
    <w:rsid w:val="00322819"/>
    <w:rsid w:val="0034795A"/>
    <w:rsid w:val="00354BCE"/>
    <w:rsid w:val="003708DC"/>
    <w:rsid w:val="00372EEA"/>
    <w:rsid w:val="003A3A56"/>
    <w:rsid w:val="003B78C2"/>
    <w:rsid w:val="003C3F43"/>
    <w:rsid w:val="003D3119"/>
    <w:rsid w:val="003E7AD4"/>
    <w:rsid w:val="003F1C60"/>
    <w:rsid w:val="003F3649"/>
    <w:rsid w:val="003F3A3C"/>
    <w:rsid w:val="00404928"/>
    <w:rsid w:val="00412D8F"/>
    <w:rsid w:val="0042042B"/>
    <w:rsid w:val="00436329"/>
    <w:rsid w:val="00441117"/>
    <w:rsid w:val="00456BE3"/>
    <w:rsid w:val="00482DF5"/>
    <w:rsid w:val="00482FAE"/>
    <w:rsid w:val="004D6E0C"/>
    <w:rsid w:val="004F55DE"/>
    <w:rsid w:val="00516AEC"/>
    <w:rsid w:val="00550DD1"/>
    <w:rsid w:val="00563668"/>
    <w:rsid w:val="005717A9"/>
    <w:rsid w:val="00571BC8"/>
    <w:rsid w:val="00572F0D"/>
    <w:rsid w:val="00591F88"/>
    <w:rsid w:val="005928CA"/>
    <w:rsid w:val="005B6651"/>
    <w:rsid w:val="005C4A5F"/>
    <w:rsid w:val="005D254C"/>
    <w:rsid w:val="005D2A64"/>
    <w:rsid w:val="005D503A"/>
    <w:rsid w:val="005F1229"/>
    <w:rsid w:val="005F1F90"/>
    <w:rsid w:val="00604400"/>
    <w:rsid w:val="006266A0"/>
    <w:rsid w:val="00627096"/>
    <w:rsid w:val="00641EA7"/>
    <w:rsid w:val="00647ECB"/>
    <w:rsid w:val="00654352"/>
    <w:rsid w:val="006620A7"/>
    <w:rsid w:val="0066337B"/>
    <w:rsid w:val="00673C1A"/>
    <w:rsid w:val="00674438"/>
    <w:rsid w:val="00683F5B"/>
    <w:rsid w:val="00695990"/>
    <w:rsid w:val="006A12D6"/>
    <w:rsid w:val="006B112E"/>
    <w:rsid w:val="006D157F"/>
    <w:rsid w:val="006E7C7A"/>
    <w:rsid w:val="006F60F3"/>
    <w:rsid w:val="0070245D"/>
    <w:rsid w:val="0072421D"/>
    <w:rsid w:val="007254BC"/>
    <w:rsid w:val="007264AE"/>
    <w:rsid w:val="00750856"/>
    <w:rsid w:val="007647B4"/>
    <w:rsid w:val="00771785"/>
    <w:rsid w:val="00786F7D"/>
    <w:rsid w:val="007874B4"/>
    <w:rsid w:val="0079790B"/>
    <w:rsid w:val="00797E14"/>
    <w:rsid w:val="007A3B57"/>
    <w:rsid w:val="007B273F"/>
    <w:rsid w:val="007B586D"/>
    <w:rsid w:val="007C0474"/>
    <w:rsid w:val="007C3A4D"/>
    <w:rsid w:val="007C54F8"/>
    <w:rsid w:val="007D47B3"/>
    <w:rsid w:val="00802365"/>
    <w:rsid w:val="00802485"/>
    <w:rsid w:val="0080252C"/>
    <w:rsid w:val="00813506"/>
    <w:rsid w:val="00827C01"/>
    <w:rsid w:val="00845F12"/>
    <w:rsid w:val="00855065"/>
    <w:rsid w:val="00857C84"/>
    <w:rsid w:val="00872F90"/>
    <w:rsid w:val="0088048C"/>
    <w:rsid w:val="00882479"/>
    <w:rsid w:val="00884FDC"/>
    <w:rsid w:val="00892617"/>
    <w:rsid w:val="00893D24"/>
    <w:rsid w:val="0089533F"/>
    <w:rsid w:val="008C5717"/>
    <w:rsid w:val="008D5FAC"/>
    <w:rsid w:val="008E554B"/>
    <w:rsid w:val="008E7752"/>
    <w:rsid w:val="008E7A63"/>
    <w:rsid w:val="009066BD"/>
    <w:rsid w:val="009072D5"/>
    <w:rsid w:val="00916EB2"/>
    <w:rsid w:val="00917804"/>
    <w:rsid w:val="00921C7D"/>
    <w:rsid w:val="00935FF6"/>
    <w:rsid w:val="00941617"/>
    <w:rsid w:val="009445D1"/>
    <w:rsid w:val="0095350C"/>
    <w:rsid w:val="00953AB9"/>
    <w:rsid w:val="00961D82"/>
    <w:rsid w:val="00962301"/>
    <w:rsid w:val="00980DA4"/>
    <w:rsid w:val="009A140A"/>
    <w:rsid w:val="009A28E7"/>
    <w:rsid w:val="009B4CF2"/>
    <w:rsid w:val="009C591D"/>
    <w:rsid w:val="009C5A6C"/>
    <w:rsid w:val="009C5BD6"/>
    <w:rsid w:val="009C7BEA"/>
    <w:rsid w:val="009D36C1"/>
    <w:rsid w:val="009D4562"/>
    <w:rsid w:val="009D755C"/>
    <w:rsid w:val="009D7DC6"/>
    <w:rsid w:val="009E0BB9"/>
    <w:rsid w:val="009F3995"/>
    <w:rsid w:val="00A069FF"/>
    <w:rsid w:val="00A11674"/>
    <w:rsid w:val="00A202A7"/>
    <w:rsid w:val="00A205F6"/>
    <w:rsid w:val="00A27DEF"/>
    <w:rsid w:val="00A63646"/>
    <w:rsid w:val="00A63F7B"/>
    <w:rsid w:val="00A72247"/>
    <w:rsid w:val="00A80E29"/>
    <w:rsid w:val="00AB5FC1"/>
    <w:rsid w:val="00AC6595"/>
    <w:rsid w:val="00AE121F"/>
    <w:rsid w:val="00AE5DCF"/>
    <w:rsid w:val="00B020DF"/>
    <w:rsid w:val="00B03E0D"/>
    <w:rsid w:val="00B130BA"/>
    <w:rsid w:val="00B374F1"/>
    <w:rsid w:val="00B37D6F"/>
    <w:rsid w:val="00B72EAF"/>
    <w:rsid w:val="00B95BD9"/>
    <w:rsid w:val="00C10C20"/>
    <w:rsid w:val="00C27C35"/>
    <w:rsid w:val="00C3528F"/>
    <w:rsid w:val="00C52A0B"/>
    <w:rsid w:val="00C57A54"/>
    <w:rsid w:val="00C62379"/>
    <w:rsid w:val="00C724CE"/>
    <w:rsid w:val="00C776BF"/>
    <w:rsid w:val="00C96AB1"/>
    <w:rsid w:val="00CA4477"/>
    <w:rsid w:val="00CA5570"/>
    <w:rsid w:val="00D02490"/>
    <w:rsid w:val="00D27043"/>
    <w:rsid w:val="00D53596"/>
    <w:rsid w:val="00D56E79"/>
    <w:rsid w:val="00D639DB"/>
    <w:rsid w:val="00D73331"/>
    <w:rsid w:val="00D90B13"/>
    <w:rsid w:val="00D93072"/>
    <w:rsid w:val="00D93E59"/>
    <w:rsid w:val="00DB18AA"/>
    <w:rsid w:val="00DC7AE2"/>
    <w:rsid w:val="00DD7F50"/>
    <w:rsid w:val="00E022CC"/>
    <w:rsid w:val="00E02A29"/>
    <w:rsid w:val="00E216DF"/>
    <w:rsid w:val="00E252E8"/>
    <w:rsid w:val="00E508E6"/>
    <w:rsid w:val="00E704C7"/>
    <w:rsid w:val="00E81F71"/>
    <w:rsid w:val="00E831DD"/>
    <w:rsid w:val="00E86501"/>
    <w:rsid w:val="00E86604"/>
    <w:rsid w:val="00E94024"/>
    <w:rsid w:val="00EB7E05"/>
    <w:rsid w:val="00EE411C"/>
    <w:rsid w:val="00EE66FC"/>
    <w:rsid w:val="00F14EEE"/>
    <w:rsid w:val="00F21986"/>
    <w:rsid w:val="00F43717"/>
    <w:rsid w:val="00F52E95"/>
    <w:rsid w:val="00F565E4"/>
    <w:rsid w:val="00F56CC9"/>
    <w:rsid w:val="00F75C21"/>
    <w:rsid w:val="00F7669F"/>
    <w:rsid w:val="00F94E3D"/>
    <w:rsid w:val="00F95EE1"/>
    <w:rsid w:val="00F9794C"/>
    <w:rsid w:val="00FC7994"/>
    <w:rsid w:val="00FC7CD1"/>
    <w:rsid w:val="00FD2265"/>
    <w:rsid w:val="00FE484E"/>
    <w:rsid w:val="00FE4C1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F8F0EA1-6152-45DF-BCF4-A5CF9EC5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8C"/>
    <w:pPr>
      <w:spacing w:after="0" w:line="240" w:lineRule="auto"/>
    </w:pPr>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48C"/>
    <w:pPr>
      <w:spacing w:before="75" w:after="75"/>
    </w:pPr>
    <w:rPr>
      <w:rFonts w:eastAsia="Times New Roman" w:cs="Times New Roman"/>
      <w:szCs w:val="24"/>
      <w:lang w:eastAsia="lv-LV"/>
    </w:rPr>
  </w:style>
  <w:style w:type="character" w:customStyle="1" w:styleId="apple-converted-space">
    <w:name w:val="apple-converted-space"/>
    <w:basedOn w:val="DefaultParagraphFont"/>
    <w:rsid w:val="0088048C"/>
  </w:style>
  <w:style w:type="paragraph" w:customStyle="1" w:styleId="naiskr">
    <w:name w:val="naiskr"/>
    <w:basedOn w:val="Normal"/>
    <w:rsid w:val="00313F78"/>
    <w:pPr>
      <w:spacing w:before="75" w:after="75"/>
    </w:pPr>
    <w:rPr>
      <w:rFonts w:eastAsia="Times New Roman" w:cs="Times New Roman"/>
      <w:szCs w:val="24"/>
      <w:lang w:eastAsia="lv-LV"/>
    </w:rPr>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
    <w:rsid w:val="00313F78"/>
    <w:rPr>
      <w:rFonts w:eastAsia="Times New Roman" w:cs="Times New Roman"/>
      <w:sz w:val="20"/>
      <w:szCs w:val="20"/>
      <w:lang w:eastAsia="lv-LV"/>
    </w:rPr>
  </w:style>
  <w:style w:type="character" w:customStyle="1" w:styleId="FootnoteTextChar">
    <w:name w:val="Footnote Text Char"/>
    <w:aliases w:val="Char Char Char Char Char Char Char Char Char Char Char Char Char,Footnote Char Char,Footnote Char1,Fußnote Char Char,Fußnote Char1,Reference Rakstz. Char Char Char Char Char Char Char Char,Vēres teksts Char Char Char Char Char Char"/>
    <w:basedOn w:val="DefaultParagraphFont"/>
    <w:link w:val="FootnoteText"/>
    <w:rsid w:val="00313F78"/>
    <w:rPr>
      <w:rFonts w:ascii="Times New Roman" w:eastAsia="Times New Roman" w:hAnsi="Times New Roman" w:cs="Times New Roman"/>
      <w:sz w:val="20"/>
      <w:szCs w:val="20"/>
      <w:lang w:val="lv-LV" w:eastAsia="lv-LV"/>
    </w:rPr>
  </w:style>
  <w:style w:type="character" w:styleId="FootnoteReference">
    <w:name w:val="footnote reference"/>
    <w:aliases w:val="Footnote Reference Number,Footnote symbol,ftref"/>
    <w:rsid w:val="00313F78"/>
    <w:rPr>
      <w:vertAlign w:val="superscript"/>
    </w:rPr>
  </w:style>
  <w:style w:type="character" w:styleId="Hyperlink">
    <w:name w:val="Hyperlink"/>
    <w:rsid w:val="00313F78"/>
    <w:rPr>
      <w:color w:val="0000FF"/>
      <w:u w:val="single"/>
    </w:rPr>
  </w:style>
  <w:style w:type="paragraph" w:customStyle="1" w:styleId="Default">
    <w:name w:val="Default"/>
    <w:rsid w:val="00313F78"/>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Header">
    <w:name w:val="header"/>
    <w:basedOn w:val="Normal"/>
    <w:link w:val="HeaderChar"/>
    <w:uiPriority w:val="99"/>
    <w:unhideWhenUsed/>
    <w:rsid w:val="00550DD1"/>
    <w:pPr>
      <w:tabs>
        <w:tab w:val="center" w:pos="4320"/>
        <w:tab w:val="right" w:pos="8640"/>
      </w:tabs>
    </w:pPr>
  </w:style>
  <w:style w:type="character" w:customStyle="1" w:styleId="HeaderChar">
    <w:name w:val="Header Char"/>
    <w:basedOn w:val="DefaultParagraphFont"/>
    <w:link w:val="Header"/>
    <w:uiPriority w:val="99"/>
    <w:rsid w:val="00550DD1"/>
    <w:rPr>
      <w:rFonts w:ascii="Times New Roman" w:hAnsi="Times New Roman"/>
      <w:sz w:val="24"/>
      <w:lang w:val="lv-LV"/>
    </w:rPr>
  </w:style>
  <w:style w:type="paragraph" w:styleId="Footer">
    <w:name w:val="footer"/>
    <w:basedOn w:val="Normal"/>
    <w:link w:val="FooterChar"/>
    <w:uiPriority w:val="99"/>
    <w:unhideWhenUsed/>
    <w:rsid w:val="00550DD1"/>
    <w:pPr>
      <w:tabs>
        <w:tab w:val="center" w:pos="4320"/>
        <w:tab w:val="right" w:pos="8640"/>
      </w:tabs>
    </w:pPr>
  </w:style>
  <w:style w:type="character" w:customStyle="1" w:styleId="FooterChar">
    <w:name w:val="Footer Char"/>
    <w:basedOn w:val="DefaultParagraphFont"/>
    <w:link w:val="Footer"/>
    <w:uiPriority w:val="99"/>
    <w:rsid w:val="00550DD1"/>
    <w:rPr>
      <w:rFonts w:ascii="Times New Roman" w:hAnsi="Times New Roman"/>
      <w:sz w:val="24"/>
      <w:lang w:val="lv-LV"/>
    </w:rPr>
  </w:style>
  <w:style w:type="paragraph" w:styleId="ListParagraph">
    <w:name w:val="List Paragraph"/>
    <w:basedOn w:val="Normal"/>
    <w:uiPriority w:val="34"/>
    <w:qFormat/>
    <w:rsid w:val="007A3B57"/>
    <w:pPr>
      <w:ind w:left="720"/>
      <w:contextualSpacing/>
    </w:pPr>
  </w:style>
  <w:style w:type="paragraph" w:styleId="NoSpacing">
    <w:name w:val="No Spacing"/>
    <w:link w:val="NoSpacingChar"/>
    <w:uiPriority w:val="99"/>
    <w:qFormat/>
    <w:rsid w:val="00591F88"/>
    <w:pPr>
      <w:spacing w:after="0" w:line="240" w:lineRule="auto"/>
    </w:pPr>
    <w:rPr>
      <w:rFonts w:ascii="Times New Roman" w:eastAsia="Times New Roman" w:hAnsi="Times New Roman" w:cs="Times New Roman"/>
      <w:sz w:val="24"/>
      <w:szCs w:val="24"/>
      <w:lang w:val="lv-LV" w:eastAsia="lv-LV"/>
    </w:rPr>
  </w:style>
  <w:style w:type="character" w:customStyle="1" w:styleId="NoSpacingChar">
    <w:name w:val="No Spacing Char"/>
    <w:basedOn w:val="DefaultParagraphFont"/>
    <w:link w:val="NoSpacing"/>
    <w:uiPriority w:val="99"/>
    <w:rsid w:val="00591F88"/>
    <w:rPr>
      <w:rFonts w:ascii="Times New Roman" w:eastAsia="Times New Roman" w:hAnsi="Times New Roman" w:cs="Times New Roman"/>
      <w:sz w:val="24"/>
      <w:szCs w:val="24"/>
      <w:lang w:val="lv-LV" w:eastAsia="lv-LV"/>
    </w:rPr>
  </w:style>
  <w:style w:type="character" w:styleId="Emphasis">
    <w:name w:val="Emphasis"/>
    <w:basedOn w:val="DefaultParagraphFont"/>
    <w:uiPriority w:val="20"/>
    <w:qFormat/>
    <w:rsid w:val="00322819"/>
    <w:rPr>
      <w:i/>
      <w:iCs/>
    </w:rPr>
  </w:style>
  <w:style w:type="paragraph" w:styleId="BalloonText">
    <w:name w:val="Balloon Text"/>
    <w:basedOn w:val="Normal"/>
    <w:link w:val="BalloonTextChar"/>
    <w:uiPriority w:val="99"/>
    <w:semiHidden/>
    <w:unhideWhenUsed/>
    <w:rsid w:val="00115742"/>
    <w:rPr>
      <w:rFonts w:ascii="Tahoma" w:hAnsi="Tahoma" w:cs="Tahoma"/>
      <w:sz w:val="16"/>
      <w:szCs w:val="16"/>
    </w:rPr>
  </w:style>
  <w:style w:type="character" w:customStyle="1" w:styleId="BalloonTextChar">
    <w:name w:val="Balloon Text Char"/>
    <w:basedOn w:val="DefaultParagraphFont"/>
    <w:link w:val="BalloonText"/>
    <w:uiPriority w:val="99"/>
    <w:semiHidden/>
    <w:rsid w:val="00115742"/>
    <w:rPr>
      <w:rFonts w:ascii="Tahoma" w:hAnsi="Tahoma" w:cs="Tahoma"/>
      <w:sz w:val="16"/>
      <w:szCs w:val="16"/>
      <w:lang w:val="lv-LV"/>
    </w:rPr>
  </w:style>
  <w:style w:type="character" w:styleId="CommentReference">
    <w:name w:val="annotation reference"/>
    <w:basedOn w:val="DefaultParagraphFont"/>
    <w:uiPriority w:val="99"/>
    <w:semiHidden/>
    <w:unhideWhenUsed/>
    <w:rsid w:val="009066BD"/>
    <w:rPr>
      <w:sz w:val="16"/>
      <w:szCs w:val="16"/>
    </w:rPr>
  </w:style>
  <w:style w:type="paragraph" w:styleId="CommentText">
    <w:name w:val="annotation text"/>
    <w:basedOn w:val="Normal"/>
    <w:link w:val="CommentTextChar"/>
    <w:uiPriority w:val="99"/>
    <w:semiHidden/>
    <w:unhideWhenUsed/>
    <w:rsid w:val="009066BD"/>
    <w:rPr>
      <w:sz w:val="20"/>
      <w:szCs w:val="20"/>
    </w:rPr>
  </w:style>
  <w:style w:type="character" w:customStyle="1" w:styleId="CommentTextChar">
    <w:name w:val="Comment Text Char"/>
    <w:basedOn w:val="DefaultParagraphFont"/>
    <w:link w:val="CommentText"/>
    <w:uiPriority w:val="99"/>
    <w:semiHidden/>
    <w:rsid w:val="009066BD"/>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9066BD"/>
    <w:rPr>
      <w:b/>
      <w:bCs/>
    </w:rPr>
  </w:style>
  <w:style w:type="character" w:customStyle="1" w:styleId="CommentSubjectChar">
    <w:name w:val="Comment Subject Char"/>
    <w:basedOn w:val="CommentTextChar"/>
    <w:link w:val="CommentSubject"/>
    <w:uiPriority w:val="99"/>
    <w:semiHidden/>
    <w:rsid w:val="009066BD"/>
    <w:rPr>
      <w:rFonts w:ascii="Times New Roman" w:hAnsi="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B99B-F598-45C4-8D72-5737D327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7928</Words>
  <Characters>4520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Likumprojekta "Grozījums Pacientu tiesību likumā" sākotnējās ietekmes novērtējuma ziņojums (anotācija) </vt:lpstr>
    </vt:vector>
  </TitlesOfParts>
  <Company>Veselības ministrija</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Pacientu tiesību likumā" sākotnējās ietekmes novērtējuma ziņojums (anotācija)</dc:title>
  <dc:subject>Anotācija</dc:subject>
  <dc:creator>Anita Jurševica</dc:creator>
  <dc:description>67876186, Anita.Jursevica@vm.gov.lv</dc:description>
  <cp:lastModifiedBy>Signe Vītoliņa</cp:lastModifiedBy>
  <cp:revision>16</cp:revision>
  <cp:lastPrinted>2016-03-31T11:00:00Z</cp:lastPrinted>
  <dcterms:created xsi:type="dcterms:W3CDTF">2016-08-18T10:58:00Z</dcterms:created>
  <dcterms:modified xsi:type="dcterms:W3CDTF">2017-08-03T08:10:00Z</dcterms:modified>
</cp:coreProperties>
</file>