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D9641C" w:rsidRPr="001616A4" w:rsidP="00E101BB">
      <w:pPr>
        <w:pStyle w:val="naisc"/>
        <w:spacing w:before="0" w:after="0"/>
        <w:rPr>
          <w:b/>
        </w:rPr>
      </w:pPr>
      <w:bookmarkStart w:id="0" w:name="OLE_LINK1"/>
      <w:bookmarkStart w:id="1" w:name="OLE_LINK2"/>
      <w:r w:rsidRPr="001616A4">
        <w:rPr>
          <w:b/>
          <w:bCs/>
        </w:rPr>
        <w:t xml:space="preserve">Likumprojekta </w:t>
      </w:r>
      <w:r w:rsidR="003B27BA">
        <w:rPr>
          <w:b/>
        </w:rPr>
        <w:t>„</w:t>
      </w:r>
      <w:r w:rsidRPr="001616A4" w:rsidR="006D66FB">
        <w:rPr>
          <w:b/>
        </w:rPr>
        <w:t>Grozījum</w:t>
      </w:r>
      <w:r w:rsidR="003B27BA">
        <w:rPr>
          <w:b/>
        </w:rPr>
        <w:t>i</w:t>
      </w:r>
      <w:r w:rsidRPr="001616A4" w:rsidR="006D66FB">
        <w:rPr>
          <w:b/>
        </w:rPr>
        <w:t xml:space="preserve"> likumā </w:t>
      </w:r>
      <w:r w:rsidR="003B27BA">
        <w:rPr>
          <w:b/>
        </w:rPr>
        <w:t>„</w:t>
      </w:r>
      <w:r w:rsidRPr="001616A4">
        <w:rPr>
          <w:b/>
        </w:rPr>
        <w:t>Par Krimināllikuma spēkā st</w:t>
      </w:r>
      <w:r w:rsidRPr="001616A4" w:rsidR="006D66FB">
        <w:rPr>
          <w:b/>
        </w:rPr>
        <w:t>āšanās un piemērošanas kārtību</w:t>
      </w:r>
      <w:r w:rsidR="003B27BA">
        <w:rPr>
          <w:b/>
        </w:rPr>
        <w:t>””</w:t>
      </w:r>
    </w:p>
    <w:p w:rsidR="00D9641C" w:rsidP="00274301">
      <w:pPr>
        <w:pStyle w:val="naisc"/>
        <w:spacing w:before="0" w:after="0"/>
        <w:rPr>
          <w:b/>
        </w:rPr>
      </w:pPr>
      <w:bookmarkStart w:id="2" w:name="OLE_LINK3"/>
      <w:bookmarkStart w:id="3" w:name="OLE_LINK4"/>
      <w:r w:rsidRPr="001616A4">
        <w:rPr>
          <w:b/>
        </w:rPr>
        <w:t xml:space="preserve">sākotnējās ietekmes novērtējuma </w:t>
      </w:r>
      <w:smartTag w:uri="schemas-tilde-lv/tildestengine" w:element="veidnes">
        <w:smartTagPr>
          <w:attr w:name="baseform" w:val="ziņojums"/>
          <w:attr w:name="id" w:val="-1"/>
          <w:attr w:name="text" w:val="ziņojums"/>
        </w:smartTagPr>
        <w:r w:rsidRPr="001616A4">
          <w:rPr>
            <w:b/>
          </w:rPr>
          <w:t>ziņojums</w:t>
        </w:r>
      </w:smartTag>
      <w:bookmarkEnd w:id="2"/>
      <w:bookmarkEnd w:id="3"/>
      <w:r w:rsidRPr="001616A4">
        <w:rPr>
          <w:b/>
        </w:rPr>
        <w:t xml:space="preserve"> (anotācija)</w:t>
      </w:r>
      <w:bookmarkEnd w:id="0"/>
      <w:bookmarkEnd w:id="1"/>
    </w:p>
    <w:p w:rsidR="00CD3AA8" w:rsidRPr="001616A4" w:rsidP="00274301">
      <w:pPr>
        <w:pStyle w:val="naisc"/>
        <w:spacing w:before="0" w:after="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1545"/>
        <w:gridCol w:w="7057"/>
      </w:tblGrid>
      <w:tr w:rsidTr="001B328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05"/>
        </w:trPr>
        <w:tc>
          <w:tcPr>
            <w:tcW w:w="0" w:type="auto"/>
            <w:gridSpan w:val="3"/>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I. Tiesību akta projekta izstrādes nepieciešamība</w:t>
            </w:r>
          </w:p>
        </w:tc>
      </w:tr>
      <w:tr w:rsidTr="009C212A">
        <w:tblPrEx>
          <w:tblW w:w="5000" w:type="pct"/>
          <w:tblCellMar>
            <w:top w:w="30" w:type="dxa"/>
            <w:left w:w="30" w:type="dxa"/>
            <w:bottom w:w="30" w:type="dxa"/>
            <w:right w:w="30" w:type="dxa"/>
          </w:tblCellMar>
          <w:tblLook w:val="00A0"/>
        </w:tblPrEx>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Pamatojums</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P="001C0354">
            <w:pPr>
              <w:pStyle w:val="NoSpacing"/>
              <w:jc w:val="both"/>
            </w:pPr>
            <w:r w:rsidRPr="001616A4">
              <w:t>Grozījum</w:t>
            </w:r>
            <w:r w:rsidR="003B27BA">
              <w:t>i</w:t>
            </w:r>
            <w:r w:rsidRPr="001616A4" w:rsidR="006D66FB">
              <w:t xml:space="preserve"> likumā </w:t>
            </w:r>
            <w:r w:rsidR="003B27BA">
              <w:t>„</w:t>
            </w:r>
            <w:r w:rsidRPr="001616A4">
              <w:t>Par Krimināllikuma spēkā s</w:t>
            </w:r>
            <w:r w:rsidRPr="001616A4" w:rsidR="006D66FB">
              <w:t>tāšanās un piemērošanas kārtību</w:t>
            </w:r>
            <w:r w:rsidR="003B27BA">
              <w:t>”</w:t>
            </w:r>
            <w:r w:rsidRPr="001616A4">
              <w:t xml:space="preserve"> (tur</w:t>
            </w:r>
            <w:r w:rsidRPr="001616A4" w:rsidR="009C212A">
              <w:t>pmāk – likumprojekts) izstrādāts</w:t>
            </w:r>
            <w:r w:rsidRPr="001616A4">
              <w:t xml:space="preserve"> saskaņā ar: </w:t>
            </w:r>
          </w:p>
          <w:p w:rsidR="00D9641C" w:rsidRPr="001616A4" w:rsidP="00012D03">
            <w:pPr>
              <w:pStyle w:val="NoSpacing"/>
              <w:numPr>
                <w:ilvl w:val="0"/>
                <w:numId w:val="2"/>
              </w:numPr>
              <w:jc w:val="both"/>
            </w:pPr>
            <w:r w:rsidRPr="001616A4">
              <w:t xml:space="preserve">Latvijas Republikas Augstākās Padomes 1993. gada 11. maija lēmumu Par pievienošanos 1961. gada 30. marta Vienotajai konvencijai par narkotiskajām vielām un grozījumiem, kas izdarīti saskaņā ar 1972. gada Protokolu par grozījumiem 1961. gada 30. marta Vienotajā konvencijā par narkotiskajām vielām, </w:t>
            </w:r>
          </w:p>
          <w:p w:rsidR="00D9641C" w:rsidRPr="001616A4" w:rsidP="00012D03">
            <w:pPr>
              <w:pStyle w:val="NoSpacing"/>
              <w:numPr>
                <w:ilvl w:val="0"/>
                <w:numId w:val="2"/>
              </w:numPr>
              <w:jc w:val="both"/>
            </w:pPr>
            <w:r w:rsidRPr="001616A4">
              <w:t>Latvijas Republikas Augstākās Padomes 1993. gada 11. maija lēmumu Par pievienošanos 1971. gada 21. februāra Konvencijai par psihotropām vielām,</w:t>
            </w:r>
          </w:p>
          <w:p w:rsidR="00531F16" w:rsidRPr="00531F16" w:rsidP="00FB3539">
            <w:pPr>
              <w:pStyle w:val="NoSpacing"/>
              <w:numPr>
                <w:ilvl w:val="0"/>
                <w:numId w:val="2"/>
              </w:numPr>
              <w:jc w:val="both"/>
            </w:pPr>
            <w:r w:rsidRPr="001616A4">
              <w:t>Latvijas Republikas Augtākās Padomes 1993. gada 11. maija lēmumu Par pievienošanos 1988. gada 19. decembra Konvencijai pret narkotiku un psihotropo vielu nelegālu apgrozījumu</w:t>
            </w:r>
            <w:r w:rsidR="00FB3539">
              <w:t>.</w:t>
            </w:r>
          </w:p>
        </w:tc>
      </w:tr>
      <w:tr w:rsidTr="009C212A">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443B6B" w:rsidP="001B3285">
            <w:pPr>
              <w:pStyle w:val="NoSpacing"/>
              <w:jc w:val="both"/>
            </w:pPr>
            <w:r w:rsidRPr="001616A4">
              <w:t>Pašreizējā situācija un problēmas, kuru risināšanai tiesību akta projekts izstrādāts, tiesiskā regulējuma mērķis un būtība</w:t>
            </w: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443B6B" w:rsidRPr="00443B6B" w:rsidP="00443B6B">
            <w:pPr>
              <w:rPr>
                <w:lang w:eastAsia="lv-LV"/>
              </w:rPr>
            </w:pPr>
          </w:p>
          <w:p w:rsidR="00D9641C" w:rsidRPr="00443B6B" w:rsidP="00443B6B">
            <w:pPr>
              <w:jc w:val="center"/>
              <w:rPr>
                <w:lang w:eastAsia="lv-LV"/>
              </w:rPr>
            </w:pPr>
          </w:p>
        </w:tc>
        <w:tc>
          <w:tcPr>
            <w:tcW w:w="3897" w:type="pct"/>
            <w:tcBorders>
              <w:top w:val="outset" w:sz="6" w:space="0" w:color="414142"/>
              <w:left w:val="outset" w:sz="6" w:space="0" w:color="414142"/>
              <w:bottom w:val="outset" w:sz="6" w:space="0" w:color="414142"/>
            </w:tcBorders>
            <w:shd w:val="clear" w:color="auto" w:fill="FFFFFF"/>
          </w:tcPr>
          <w:p w:rsidR="00D9641C" w:rsidRPr="001616A4" w:rsidP="00031318">
            <w:pPr>
              <w:pStyle w:val="NoSpacing"/>
              <w:jc w:val="both"/>
            </w:pPr>
            <w:r w:rsidRPr="001616A4">
              <w:t>Latvijā kontrolējamo narkotisko vielu un psihotropo vielu sarakstus nosaka Ministru kabineta 2005. gada</w:t>
            </w:r>
            <w:r w:rsidRPr="001616A4" w:rsidR="006A1AD7">
              <w:t xml:space="preserve"> 8. novembra noteikumi Nr. 847 </w:t>
            </w:r>
            <w:r w:rsidR="003B27BA">
              <w:t>„</w:t>
            </w:r>
            <w:r w:rsidRPr="001616A4">
              <w:t>Noteikumi par Latvijā kontrolējamajām narkotiskajām vielām, psihotropajām vielām un prekursoriem</w:t>
            </w:r>
            <w:r w:rsidR="003B27BA">
              <w:t>”</w:t>
            </w:r>
            <w:r w:rsidRPr="001616A4">
              <w:t xml:space="preserve"> (turpmāk – MK noteikumi Nr.</w:t>
            </w:r>
            <w:r w:rsidRPr="001616A4" w:rsidR="006A1AD7">
              <w:t xml:space="preserve"> </w:t>
            </w:r>
            <w:r w:rsidRPr="001616A4">
              <w:t xml:space="preserve">847), kas izstrādāti saskaņā ar Apvienoto Nāciju Organizācijas (turpmāk – ANO) 1961. gada </w:t>
            </w:r>
            <w:bookmarkStart w:id="4" w:name="bkm54"/>
            <w:r w:rsidRPr="001616A4">
              <w:t xml:space="preserve">30. marta </w:t>
            </w:r>
            <w:bookmarkEnd w:id="4"/>
            <w:r w:rsidRPr="001616A4">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CA75A7" w:rsidRPr="00511BCF" w:rsidP="00511BCF">
            <w:pPr>
              <w:pStyle w:val="NoSpacing"/>
              <w:jc w:val="both"/>
            </w:pPr>
            <w:r w:rsidRPr="001616A4">
              <w:t xml:space="preserve">Likuma </w:t>
            </w:r>
            <w:r w:rsidR="003B27BA">
              <w:t>„</w:t>
            </w:r>
            <w:r w:rsidRPr="001616A4">
              <w:t>Par Krimināllikuma spēkā stāšanās un piemērošanas kārtību</w:t>
            </w:r>
            <w:r w:rsidR="003B27BA">
              <w:t>”</w:t>
            </w:r>
            <w:r w:rsidRPr="001616A4">
              <w:t xml:space="preserve"> 2. pielikumā (turpmāk – likuma 2. pielikums) noteikti kontrolējamo narkotisko vielu un psihotropo vielu apmēri, līdz kuriem vielu daudzumi atzīstami par nelieliem, un apmēri, sākot ar kuriem to daudzumi atzīstami par lieliem. </w:t>
            </w:r>
          </w:p>
          <w:p w:rsidR="00F520CA" w:rsidRPr="001616A4" w:rsidP="00031318">
            <w:pPr>
              <w:pStyle w:val="NoSpacing"/>
              <w:jc w:val="both"/>
            </w:pPr>
            <w:r w:rsidRPr="001616A4">
              <w:t xml:space="preserve">1961. gada 30. marta Vienotās konvencijas par narkotiskajām vielām 39. pantā, 1971. gada 21. februāra Konvencijas par psihotropām vielām 23. pantā, kā arī </w:t>
            </w:r>
            <w:r w:rsidRPr="001616A4" w:rsidR="00D9641C">
              <w:t>1988. gada 19. decembra Konvencijas pret narkotisko un psihotropo vielu nelegālu apriti 24. pantā ir noteikts, ka valstīm ir tiesības pieņemt stingrākus pasākumus nekā noteikts šajā</w:t>
            </w:r>
            <w:r w:rsidRPr="001616A4">
              <w:t>s</w:t>
            </w:r>
            <w:r w:rsidRPr="001616A4" w:rsidR="00D9641C">
              <w:t xml:space="preserve"> Konvencijā</w:t>
            </w:r>
            <w:r w:rsidRPr="001616A4">
              <w:t>s</w:t>
            </w:r>
            <w:r w:rsidRPr="001616A4" w:rsidR="00D9641C">
              <w:t>, ja tās uzskata šādus pasākumus par vēlamiem vai nepieciešamiem narkotisko un psihotropo vielu nelegālā apgrozījuma novēršanai vai likvidēšanai</w:t>
            </w:r>
            <w:r w:rsidRPr="001616A4">
              <w:t>, kā arī</w:t>
            </w:r>
            <w:r w:rsidRPr="001616A4" w:rsidR="00682AE4">
              <w:t>,</w:t>
            </w:r>
            <w:r w:rsidRPr="001616A4">
              <w:t xml:space="preserve"> lai aizsargātu sabiedrības veselību un labklājību</w:t>
            </w:r>
            <w:r w:rsidRPr="001616A4" w:rsidR="00D9641C">
              <w:t xml:space="preserve">. Tāpēc kontrolējamo narkotisko vielu un psihotropo vielu saraksti vairākkārt ir papildināti ar apritē esošām, iepriekš sarakstos neiekļautām vielām. </w:t>
            </w:r>
          </w:p>
          <w:p w:rsidR="00D9641C" w:rsidRPr="001616A4" w:rsidP="00031318">
            <w:pPr>
              <w:pStyle w:val="NoSpacing"/>
              <w:jc w:val="both"/>
            </w:pPr>
            <w:r w:rsidRPr="001616A4">
              <w:t>Kopš 2013. gada 23. februāra MK noteikumu Nr. 847 un likuma 2. pielikumā vielas tiek iekļautas ne tikai individuāli, bet arī pēc ģenēriskās sistēmas principa, t.i., kontrolei tiek pakļautas vielu ķīmisko grupu pamatformulas ar aprakstiem, kas nosaka grupā ietilpstošās vielas.</w:t>
            </w:r>
          </w:p>
          <w:p w:rsidR="00977D98" w:rsidP="005035EA">
            <w:pPr>
              <w:pStyle w:val="NoSpacing"/>
              <w:jc w:val="both"/>
            </w:pPr>
            <w:r w:rsidRPr="001616A4">
              <w:t>Savukārt kopš 2013. gada 14. nove</w:t>
            </w:r>
            <w:r w:rsidRPr="001616A4" w:rsidR="00682AE4">
              <w:t xml:space="preserve">mbra spēkā ir grozījumi likumā </w:t>
            </w:r>
            <w:r w:rsidR="003B27BA">
              <w:t>„</w:t>
            </w:r>
            <w:r w:rsidRPr="001616A4">
              <w:t>Par narkotisko un psihotropo vielu un zāļu likumīgās aprites kārtību</w:t>
            </w:r>
            <w:r w:rsidR="003B27BA">
              <w:t>”</w:t>
            </w:r>
            <w:r w:rsidRPr="001616A4" w:rsidR="00863D8B">
              <w:t xml:space="preserve"> (4. panta otrā daļa)</w:t>
            </w:r>
            <w:r w:rsidRPr="001616A4">
              <w:t xml:space="preserve">, kas paredz, ka ar Slimību profilakses un kontroles centra </w:t>
            </w:r>
            <w:r w:rsidRPr="001616A4">
              <w:t>lēmumu uz laikposmu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Ņemot vērā to, ka vielas, par kurām patlaban pieņemti Slimību profilakses un kontroles c</w:t>
            </w:r>
            <w:r w:rsidRPr="001616A4" w:rsidR="007B0008">
              <w:t>entra lēmumi par attiecīgo jaunu</w:t>
            </w:r>
            <w:r w:rsidRPr="001616A4">
              <w:t xml:space="preserve"> psihoaktīvu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un likuma 2. pielikumā, lai nepieļautu šo vielu atgriešanos apritē.</w:t>
            </w:r>
            <w:r w:rsidRPr="001616A4" w:rsidR="00682AE4">
              <w:t xml:space="preserve"> </w:t>
            </w:r>
          </w:p>
          <w:p w:rsidR="005035EA" w:rsidRPr="001616A4" w:rsidP="005035EA">
            <w:pPr>
              <w:pStyle w:val="NoSpacing"/>
              <w:jc w:val="both"/>
            </w:pPr>
            <w:r w:rsidRPr="001616A4">
              <w:t xml:space="preserve">Ņemot vērā minēto, likuma 2. pielikumam </w:t>
            </w:r>
            <w:r w:rsidRPr="001616A4" w:rsidR="00753035">
              <w:t xml:space="preserve">ir </w:t>
            </w:r>
            <w:r w:rsidRPr="001616A4">
              <w:t>sagatavo</w:t>
            </w:r>
            <w:r w:rsidRPr="001616A4" w:rsidR="00753035">
              <w:t>ti</w:t>
            </w:r>
            <w:r w:rsidRPr="001616A4">
              <w:t xml:space="preserve"> </w:t>
            </w:r>
            <w:r w:rsidRPr="001616A4" w:rsidR="00682AE4">
              <w:t xml:space="preserve">šādi </w:t>
            </w:r>
            <w:r w:rsidRPr="001616A4">
              <w:t>papildinājum</w:t>
            </w:r>
            <w:r w:rsidRPr="001616A4" w:rsidR="00CA75A7">
              <w:t>i</w:t>
            </w:r>
            <w:r w:rsidRPr="001616A4" w:rsidR="00682AE4">
              <w:t xml:space="preserve">: </w:t>
            </w:r>
          </w:p>
          <w:p w:rsidR="003804A3" w:rsidRPr="003804A3" w:rsidP="00511BCF">
            <w:pPr>
              <w:pStyle w:val="NoSpacing"/>
              <w:numPr>
                <w:ilvl w:val="0"/>
                <w:numId w:val="4"/>
              </w:numPr>
              <w:ind w:left="113" w:hanging="113"/>
              <w:rPr>
                <w:b/>
                <w:bCs/>
              </w:rPr>
            </w:pPr>
            <w:r>
              <w:t> </w:t>
            </w:r>
            <w:r w:rsidRPr="001616A4" w:rsidR="005035EA">
              <w:t>iekļaušanai II nodaļā (</w:t>
            </w:r>
            <w:r w:rsidR="00531F16">
              <w:t xml:space="preserve">attiecībā uz </w:t>
            </w:r>
            <w:r w:rsidRPr="001616A4" w:rsidR="005035EA">
              <w:t xml:space="preserve">Latvijā </w:t>
            </w:r>
            <w:r w:rsidRPr="00D32BE4" w:rsidR="005035EA">
              <w:t xml:space="preserve">kontrolējamo vielu </w:t>
            </w:r>
            <w:r w:rsidRPr="00D32BE4" w:rsidR="005035EA">
              <w:rPr>
                <w:rFonts w:eastAsia="Calibri"/>
                <w:bCs/>
                <w:shd w:val="clear" w:color="auto" w:fill="FFFFFF"/>
                <w:lang w:eastAsia="en-US"/>
              </w:rPr>
              <w:t>I sarakst</w:t>
            </w:r>
            <w:r w:rsidR="00531F16">
              <w:rPr>
                <w:rFonts w:eastAsia="Calibri"/>
                <w:bCs/>
                <w:shd w:val="clear" w:color="auto" w:fill="FFFFFF"/>
                <w:lang w:eastAsia="en-US"/>
              </w:rPr>
              <w:t>u</w:t>
            </w:r>
            <w:r w:rsidRPr="00D32BE4" w:rsidR="005035EA">
              <w:rPr>
                <w:rFonts w:eastAsia="Calibri"/>
                <w:bCs/>
                <w:shd w:val="clear" w:color="auto" w:fill="FFFFFF"/>
                <w:lang w:eastAsia="en-US"/>
              </w:rPr>
              <w:t>)</w:t>
            </w:r>
            <w:r>
              <w:rPr>
                <w:rFonts w:eastAsia="Calibri"/>
                <w:bCs/>
                <w:shd w:val="clear" w:color="auto" w:fill="FFFFFF"/>
                <w:lang w:eastAsia="en-US"/>
              </w:rPr>
              <w:t>:</w:t>
            </w:r>
            <w:r w:rsidRPr="00D32BE4" w:rsidR="005035EA">
              <w:rPr>
                <w:rFonts w:eastAsia="Calibri"/>
                <w:bCs/>
                <w:shd w:val="clear" w:color="auto" w:fill="FFFFFF"/>
                <w:lang w:eastAsia="en-US"/>
              </w:rPr>
              <w:t xml:space="preserve"> </w:t>
            </w:r>
          </w:p>
          <w:p w:rsidR="003804A3" w:rsidP="003804A3">
            <w:pPr>
              <w:pStyle w:val="NoSpacing"/>
              <w:numPr>
                <w:ilvl w:val="0"/>
                <w:numId w:val="9"/>
              </w:numPr>
              <w:ind w:left="643"/>
            </w:pPr>
            <w:r w:rsidRPr="00D32BE4">
              <w:t>pievienota</w:t>
            </w:r>
            <w:r w:rsidR="00470E13">
              <w:t>s</w:t>
            </w:r>
            <w:r w:rsidRPr="00D32BE4">
              <w:t xml:space="preserve"> individuāla</w:t>
            </w:r>
            <w:r w:rsidR="00470E13">
              <w:t>s</w:t>
            </w:r>
            <w:r w:rsidRPr="00D32BE4">
              <w:t xml:space="preserve"> viela</w:t>
            </w:r>
            <w:r w:rsidR="00470E13">
              <w:t>s</w:t>
            </w:r>
            <w:r w:rsidRPr="00D32BE4">
              <w:t xml:space="preserve"> </w:t>
            </w:r>
            <w:r w:rsidRPr="00D32BE4">
              <w:rPr>
                <w:b/>
              </w:rPr>
              <w:t>U-</w:t>
            </w:r>
            <w:r w:rsidR="00511BCF">
              <w:rPr>
                <w:b/>
              </w:rPr>
              <w:t>51754</w:t>
            </w:r>
            <w:r w:rsidR="00470E13">
              <w:t xml:space="preserve"> un</w:t>
            </w:r>
            <w:r w:rsidR="00D34CED">
              <w:t xml:space="preserve"> </w:t>
            </w:r>
            <w:r w:rsidRPr="00D34CED" w:rsidR="00D34CED">
              <w:rPr>
                <w:b/>
              </w:rPr>
              <w:t>dihlorpāns</w:t>
            </w:r>
            <w:r w:rsidRPr="00D34CED" w:rsidR="0048793D">
              <w:rPr>
                <w:b/>
              </w:rPr>
              <w:t xml:space="preserve"> </w:t>
            </w:r>
            <w:r w:rsidR="00D34CED">
              <w:rPr>
                <w:b/>
              </w:rPr>
              <w:t>(</w:t>
            </w:r>
            <w:r w:rsidR="00690B33">
              <w:rPr>
                <w:b/>
              </w:rPr>
              <w:t xml:space="preserve">angliski: </w:t>
            </w:r>
            <w:r w:rsidRPr="00B61287" w:rsidR="0048793D">
              <w:rPr>
                <w:b/>
                <w:bCs/>
              </w:rPr>
              <w:t>dichloropane</w:t>
            </w:r>
            <w:r w:rsidR="00D34CED">
              <w:rPr>
                <w:b/>
                <w:bCs/>
              </w:rPr>
              <w:t>)</w:t>
            </w:r>
            <w:r w:rsidR="00470E13">
              <w:rPr>
                <w:b/>
              </w:rPr>
              <w:t>,</w:t>
            </w:r>
            <w:r w:rsidR="00C931FB">
              <w:t xml:space="preserve"> </w:t>
            </w:r>
          </w:p>
          <w:p w:rsidR="003804A3" w:rsidP="003804A3">
            <w:pPr>
              <w:pStyle w:val="NoSpacing"/>
              <w:numPr>
                <w:ilvl w:val="0"/>
                <w:numId w:val="9"/>
              </w:numPr>
              <w:ind w:left="643"/>
            </w:pPr>
            <w:r w:rsidRPr="00A0748E">
              <w:t xml:space="preserve">precizēts apraksts izžāvētam augu maisījumam, kas satur marihuānu, un pievienots jauns apraksts </w:t>
            </w:r>
            <w:r w:rsidRPr="00A0748E">
              <w:rPr>
                <w:b/>
              </w:rPr>
              <w:t>neizžāvētam augu maisījumam, kas satur marihuānu</w:t>
            </w:r>
            <w:r w:rsidRPr="00A0748E" w:rsidR="00C931FB">
              <w:t>,</w:t>
            </w:r>
            <w:r w:rsidR="00C931FB">
              <w:t xml:space="preserve"> </w:t>
            </w:r>
            <w:r w:rsidRPr="00D32BE4" w:rsidR="005035EA">
              <w:t xml:space="preserve"> </w:t>
            </w:r>
          </w:p>
          <w:p w:rsidR="003804A3" w:rsidP="003804A3">
            <w:pPr>
              <w:pStyle w:val="NoSpacing"/>
              <w:numPr>
                <w:ilvl w:val="0"/>
                <w:numId w:val="9"/>
              </w:numPr>
              <w:ind w:left="643"/>
            </w:pPr>
            <w:r w:rsidRPr="00D32BE4">
              <w:t>precizēt</w:t>
            </w:r>
            <w:r w:rsidR="006A6EDE">
              <w:t>i</w:t>
            </w:r>
            <w:r w:rsidRPr="00D32BE4">
              <w:t xml:space="preserve"> grup</w:t>
            </w:r>
            <w:r w:rsidR="006A6EDE">
              <w:t xml:space="preserve">u </w:t>
            </w:r>
            <w:r w:rsidR="00511BCF">
              <w:rPr>
                <w:b/>
              </w:rPr>
              <w:t>amfetamīni</w:t>
            </w:r>
            <w:r w:rsidR="00ED191D">
              <w:rPr>
                <w:b/>
              </w:rPr>
              <w:t>,</w:t>
            </w:r>
            <w:r w:rsidR="00511BCF">
              <w:rPr>
                <w:b/>
              </w:rPr>
              <w:t xml:space="preserve"> </w:t>
            </w:r>
            <w:r w:rsidRPr="00511BCF" w:rsidR="00511BCF">
              <w:rPr>
                <w:b/>
                <w:bCs/>
              </w:rPr>
              <w:t>1-Arilcikloheksilamīni u</w:t>
            </w:r>
            <w:r w:rsidR="00511BCF">
              <w:rPr>
                <w:b/>
                <w:bCs/>
              </w:rPr>
              <w:t>n (1-arilcikloheksil) metānamīni</w:t>
            </w:r>
            <w:r w:rsidR="00E237B8">
              <w:rPr>
                <w:b/>
                <w:bCs/>
              </w:rPr>
              <w:t xml:space="preserve"> </w:t>
            </w:r>
            <w:r w:rsidR="00E237B8">
              <w:rPr>
                <w:bCs/>
              </w:rPr>
              <w:t>aprakst</w:t>
            </w:r>
            <w:r w:rsidR="006A6EDE">
              <w:rPr>
                <w:bCs/>
              </w:rPr>
              <w:t>i</w:t>
            </w:r>
            <w:r>
              <w:t>,</w:t>
            </w:r>
          </w:p>
          <w:p w:rsidR="005035EA" w:rsidRPr="00166417" w:rsidP="003804A3">
            <w:pPr>
              <w:pStyle w:val="NoSpacing"/>
              <w:numPr>
                <w:ilvl w:val="0"/>
                <w:numId w:val="9"/>
              </w:numPr>
              <w:ind w:left="643"/>
              <w:rPr>
                <w:b/>
                <w:bCs/>
              </w:rPr>
            </w:pPr>
            <w:r w:rsidRPr="00531F16">
              <w:t>izveidotas</w:t>
            </w:r>
            <w:r w:rsidR="00E237B8">
              <w:t xml:space="preserve"> jau</w:t>
            </w:r>
            <w:bookmarkStart w:id="5" w:name="_GoBack"/>
            <w:bookmarkEnd w:id="5"/>
            <w:r w:rsidR="00E237B8">
              <w:t>nas</w:t>
            </w:r>
            <w:r w:rsidRPr="00531F16">
              <w:t xml:space="preserve"> ģenēriskās grupas:</w:t>
            </w:r>
            <w:r w:rsidRPr="00511BCF">
              <w:rPr>
                <w:b/>
              </w:rPr>
              <w:t xml:space="preserve"> </w:t>
            </w:r>
            <w:r w:rsidR="00511BCF">
              <w:rPr>
                <w:b/>
                <w:bCs/>
              </w:rPr>
              <w:t xml:space="preserve">Indolin-2-ona-3 </w:t>
            </w:r>
            <w:r w:rsidRPr="00511BCF" w:rsidR="00511BCF">
              <w:rPr>
                <w:b/>
                <w:bCs/>
              </w:rPr>
              <w:t>hidrazīnkarbonilatvasinājumi</w:t>
            </w:r>
            <w:r w:rsidR="00511BCF">
              <w:rPr>
                <w:b/>
                <w:bCs/>
              </w:rPr>
              <w:t>,</w:t>
            </w:r>
            <w:r w:rsidRPr="00511BCF" w:rsidR="00511BCF">
              <w:rPr>
                <w:b/>
                <w:bCs/>
                <w:noProof/>
                <w:sz w:val="28"/>
              </w:rPr>
              <w:t xml:space="preserve"> </w:t>
            </w:r>
            <w:r w:rsidR="00511BCF">
              <w:rPr>
                <w:b/>
                <w:bCs/>
              </w:rPr>
              <w:t xml:space="preserve">Gamma-karbolin-1-oni </w:t>
            </w:r>
            <w:r w:rsidRPr="0096328F" w:rsidR="00511BCF">
              <w:rPr>
                <w:bCs/>
              </w:rPr>
              <w:t>un</w:t>
            </w:r>
            <w:r w:rsidR="00511BCF">
              <w:rPr>
                <w:b/>
                <w:bCs/>
              </w:rPr>
              <w:t xml:space="preserve"> </w:t>
            </w:r>
            <w:r w:rsidRPr="00511BCF" w:rsidR="00511BCF">
              <w:rPr>
                <w:b/>
                <w:bCs/>
              </w:rPr>
              <w:t>Acetilfentanili</w:t>
            </w:r>
            <w:r w:rsidR="00166417">
              <w:t>;</w:t>
            </w:r>
          </w:p>
          <w:p w:rsidR="00166417" w:rsidRPr="00511BCF" w:rsidP="00511BCF">
            <w:pPr>
              <w:pStyle w:val="NoSpacing"/>
              <w:numPr>
                <w:ilvl w:val="0"/>
                <w:numId w:val="4"/>
              </w:numPr>
              <w:ind w:left="113" w:hanging="113"/>
              <w:rPr>
                <w:b/>
                <w:bCs/>
              </w:rPr>
            </w:pPr>
            <w:r>
              <w:t> </w:t>
            </w:r>
            <w:r>
              <w:t>III nodaļas 10., 11., 12. un 12.</w:t>
            </w:r>
            <w:r w:rsidRPr="00166417">
              <w:rPr>
                <w:vertAlign w:val="superscript"/>
              </w:rPr>
              <w:t>1</w:t>
            </w:r>
            <w:r>
              <w:rPr>
                <w:vertAlign w:val="superscript"/>
              </w:rPr>
              <w:t xml:space="preserve"> </w:t>
            </w:r>
            <w:r>
              <w:t>punktā, IV nodaļas 13. punktā un V nodaļas 14., 15., un 16. punktā</w:t>
            </w:r>
            <w:r>
              <w:t xml:space="preserve"> esošās tabulas</w:t>
            </w:r>
            <w:r>
              <w:t xml:space="preserve"> </w:t>
            </w:r>
            <w:r>
              <w:t>papildinātas</w:t>
            </w:r>
            <w:r>
              <w:t xml:space="preserve"> </w:t>
            </w:r>
            <w:r w:rsidR="0082010C">
              <w:t>ar</w:t>
            </w:r>
            <w:r>
              <w:t xml:space="preserve"> </w:t>
            </w:r>
            <w:r w:rsidR="006518A6">
              <w:t xml:space="preserve">jaunu </w:t>
            </w:r>
            <w:r>
              <w:t>kolonn</w:t>
            </w:r>
            <w:r w:rsidR="0082010C">
              <w:t>u</w:t>
            </w:r>
            <w:r w:rsidR="00BB1A89">
              <w:t xml:space="preserve"> “</w:t>
            </w:r>
            <w:r w:rsidR="00BB1A89">
              <w:rPr>
                <w:b/>
              </w:rPr>
              <w:t>CAS Nr</w:t>
            </w:r>
            <w:r w:rsidRPr="00BB1A89" w:rsidR="00BB1A89">
              <w:rPr>
                <w:b/>
              </w:rPr>
              <w:t>.</w:t>
            </w:r>
            <w:r w:rsidR="00BB1A89">
              <w:t>”</w:t>
            </w:r>
            <w:r>
              <w:t xml:space="preserve">, </w:t>
            </w:r>
            <w:r w:rsidR="0082010C">
              <w:t>kurā</w:t>
            </w:r>
            <w:r w:rsidR="002C6AAE">
              <w:t xml:space="preserve"> vielām</w:t>
            </w:r>
            <w:r>
              <w:t xml:space="preserve"> </w:t>
            </w:r>
            <w:r w:rsidR="0082010C">
              <w:t>pievienoti</w:t>
            </w:r>
            <w:r>
              <w:t xml:space="preserve"> ķīmisko vielu re</w:t>
            </w:r>
            <w:r w:rsidR="0082010C">
              <w:t>ģistra numuri</w:t>
            </w:r>
            <w:r>
              <w:t xml:space="preserve"> (</w:t>
            </w:r>
            <w:r w:rsidR="0082010C">
              <w:t xml:space="preserve">turpmāk – </w:t>
            </w:r>
            <w:r w:rsidR="00977D98">
              <w:t>CAS</w:t>
            </w:r>
            <w:r>
              <w:t xml:space="preserve"> Nr.).</w:t>
            </w:r>
          </w:p>
          <w:p w:rsidR="00D9641C" w:rsidRPr="001616A4" w:rsidP="00031318">
            <w:pPr>
              <w:pStyle w:val="NoSpacing"/>
              <w:jc w:val="both"/>
            </w:pPr>
          </w:p>
          <w:p w:rsidR="00EF3D2B" w:rsidP="007E0EC4">
            <w:pPr>
              <w:pStyle w:val="NoSpacing"/>
              <w:jc w:val="both"/>
            </w:pPr>
            <w:r w:rsidRPr="001616A4">
              <w:t>1</w:t>
            </w:r>
            <w:r w:rsidR="00D56961">
              <w:t>) </w:t>
            </w:r>
            <w:r w:rsidRPr="001616A4" w:rsidR="007E0EC4">
              <w:t xml:space="preserve">Viela </w:t>
            </w:r>
            <w:r w:rsidRPr="001616A4" w:rsidR="007E0EC4">
              <w:rPr>
                <w:b/>
              </w:rPr>
              <w:t>U-</w:t>
            </w:r>
            <w:r w:rsidR="00ED191D">
              <w:rPr>
                <w:b/>
              </w:rPr>
              <w:t>51754</w:t>
            </w:r>
            <w:r w:rsidRPr="001616A4" w:rsidR="007E0EC4">
              <w:t xml:space="preserve"> </w:t>
            </w:r>
            <w:r w:rsidRPr="00075CBC" w:rsidR="00075CBC">
              <w:t>ir opioīds, kas strukturāli līdzinās vielai U-47700</w:t>
            </w:r>
            <w:r w:rsidR="00075CBC">
              <w:t xml:space="preserve"> </w:t>
            </w:r>
            <w:r w:rsidRPr="00075CBC" w:rsidR="00075CBC">
              <w:t xml:space="preserve">ar </w:t>
            </w:r>
            <w:r w:rsidR="00075CBC">
              <w:t>kuru</w:t>
            </w:r>
            <w:r w:rsidR="002C6AAE">
              <w:t xml:space="preserve"> saistīti vismaz trīs</w:t>
            </w:r>
            <w:r w:rsidRPr="00075CBC" w:rsidR="00075CBC">
              <w:t xml:space="preserve"> nāves gadījumi Eiropā. Vielas U-51754 un tās saturošu izstrādājumu lietošana var radīt nopietnu kaitējumu personas veselībai, bīstamību dzīvībai, kā arī apdraudējumu sabiedrības drošībai kopumā.</w:t>
            </w:r>
            <w:r w:rsidR="00075CBC">
              <w:t xml:space="preserve"> </w:t>
            </w:r>
            <w:r w:rsidRPr="001616A4" w:rsidR="00E46E4C">
              <w:t>Viela U-</w:t>
            </w:r>
            <w:r w:rsidR="00075CBC">
              <w:t>51754</w:t>
            </w:r>
            <w:r w:rsidRPr="001616A4" w:rsidR="00E46E4C">
              <w:t xml:space="preserve"> līdz šim konstatēta</w:t>
            </w:r>
            <w:r w:rsidRPr="001616A4" w:rsidR="00E46E4C">
              <w:rPr>
                <w:rFonts w:eastAsia="Calibri"/>
              </w:rPr>
              <w:t xml:space="preserve"> Slovēnijā</w:t>
            </w:r>
            <w:r w:rsidR="00075CBC">
              <w:rPr>
                <w:rFonts w:eastAsia="Calibri"/>
              </w:rPr>
              <w:t xml:space="preserve">. </w:t>
            </w:r>
            <w:r w:rsidRPr="001616A4">
              <w:rPr>
                <w:shd w:val="clear" w:color="auto" w:fill="FEFEFE"/>
              </w:rPr>
              <w:t xml:space="preserve">Vielai </w:t>
            </w:r>
            <w:r w:rsidRPr="002C6AAE">
              <w:t>U-</w:t>
            </w:r>
            <w:r w:rsidRPr="002C6AAE" w:rsidR="00075CBC">
              <w:t>51754</w:t>
            </w:r>
            <w:r w:rsidRPr="001616A4" w:rsidR="00F82676">
              <w:rPr>
                <w:b/>
              </w:rPr>
              <w:t xml:space="preserve"> </w:t>
            </w:r>
            <w:r w:rsidRPr="001616A4">
              <w:rPr>
                <w:shd w:val="clear" w:color="auto" w:fill="FEFEFE"/>
              </w:rPr>
              <w:t>Latvijā piemērots pagaidu aizliegums uz laika posmu līdz 12 mēnešiem ar Slimību profilakses un kontroles centra 201</w:t>
            </w:r>
            <w:r w:rsidR="00075CBC">
              <w:rPr>
                <w:shd w:val="clear" w:color="auto" w:fill="FEFEFE"/>
              </w:rPr>
              <w:t>7</w:t>
            </w:r>
            <w:r w:rsidRPr="001616A4">
              <w:rPr>
                <w:shd w:val="clear" w:color="auto" w:fill="FEFEFE"/>
              </w:rPr>
              <w:t>.</w:t>
            </w:r>
            <w:r w:rsidR="00075CBC">
              <w:rPr>
                <w:shd w:val="clear" w:color="auto" w:fill="FEFEFE"/>
              </w:rPr>
              <w:t xml:space="preserve"> gada 3. februāra lēmumu Nr. 2</w:t>
            </w:r>
            <w:r>
              <w:rPr>
                <w:rStyle w:val="FootnoteReference"/>
                <w:shd w:val="clear" w:color="auto" w:fill="FEFEFE"/>
              </w:rPr>
              <w:footnoteReference w:id="2"/>
            </w:r>
            <w:r w:rsidRPr="001616A4">
              <w:t>.</w:t>
            </w:r>
          </w:p>
          <w:p w:rsidR="003C0E6D" w:rsidRPr="001616A4" w:rsidP="007E0EC4">
            <w:pPr>
              <w:pStyle w:val="NoSpacing"/>
              <w:jc w:val="both"/>
            </w:pPr>
          </w:p>
          <w:p w:rsidR="00B61287" w:rsidRPr="00B61287" w:rsidP="00B61287">
            <w:pPr>
              <w:pStyle w:val="NoSpacing"/>
              <w:jc w:val="both"/>
              <w:rPr>
                <w:b/>
                <w:bCs/>
              </w:rPr>
            </w:pPr>
            <w:r>
              <w:t xml:space="preserve">2) Viela </w:t>
            </w:r>
            <w:r w:rsidR="00B97B52">
              <w:rPr>
                <w:b/>
              </w:rPr>
              <w:t>dihlor</w:t>
            </w:r>
            <w:r w:rsidRPr="00D34CED" w:rsidR="00D34CED">
              <w:rPr>
                <w:b/>
              </w:rPr>
              <w:t>pāns (</w:t>
            </w:r>
            <w:r w:rsidRPr="00B61287">
              <w:rPr>
                <w:b/>
                <w:bCs/>
              </w:rPr>
              <w:t>dichloropane</w:t>
            </w:r>
            <w:r w:rsidR="00D34CED">
              <w:rPr>
                <w:b/>
                <w:bCs/>
              </w:rPr>
              <w:t>)</w:t>
            </w:r>
            <w:r>
              <w:rPr>
                <w:b/>
                <w:bCs/>
              </w:rPr>
              <w:t xml:space="preserve"> </w:t>
            </w:r>
            <w:r>
              <w:t xml:space="preserve">ir </w:t>
            </w:r>
            <w:r w:rsidRPr="00B61287">
              <w:t>3-feniltropāns, kas strukt</w:t>
            </w:r>
            <w:r>
              <w:t>urāli līdzinās kokaīnam,</w:t>
            </w:r>
            <w:r w:rsidRPr="00B61287">
              <w:rPr>
                <w:rFonts w:ascii="Calibri" w:eastAsia="Calibri" w:hAnsi="Calibri" w:cs="Calibri"/>
                <w:color w:val="000000"/>
                <w:sz w:val="22"/>
                <w:szCs w:val="22"/>
                <w:shd w:val="clear" w:color="auto" w:fill="FFFFFF"/>
                <w:lang w:eastAsia="en-US"/>
              </w:rPr>
              <w:t xml:space="preserve"> </w:t>
            </w:r>
            <w:r w:rsidRPr="00B61287">
              <w:t>taču pagaidām nav zināms</w:t>
            </w:r>
            <w:r w:rsidR="002C6AAE">
              <w:t>,</w:t>
            </w:r>
            <w:r w:rsidRPr="00B61287">
              <w:t xml:space="preserve"> vai tai piemīt kardiotoksicitāte kā tas ir kokaīna gadījumā. Vielas </w:t>
            </w:r>
            <w:r w:rsidR="00B97B52">
              <w:t>dihlor</w:t>
            </w:r>
            <w:r w:rsidR="00D34CED">
              <w:t>pāns (</w:t>
            </w:r>
            <w:r w:rsidRPr="00B61287">
              <w:t>dichloropane</w:t>
            </w:r>
            <w:r w:rsidR="00D34CED">
              <w:t>)</w:t>
            </w:r>
            <w:r w:rsidRPr="00B61287">
              <w:t xml:space="preserve"> un tās saturošu izstrādājumu lietošana var radīt nopietnu kaitējumu personas veselībai, bīstamību dzīvībai, kā arī apdraudējumu sabiedrības drošībai kopumā.</w:t>
            </w:r>
            <w:r w:rsidRPr="00B61287">
              <w:rPr>
                <w:rFonts w:ascii="Calibri" w:eastAsia="Calibri" w:hAnsi="Calibri" w:cs="Calibri"/>
                <w:color w:val="000000"/>
                <w:sz w:val="22"/>
                <w:szCs w:val="22"/>
                <w:shd w:val="clear" w:color="auto" w:fill="FFFFFF"/>
                <w:lang w:eastAsia="en-US"/>
              </w:rPr>
              <w:t xml:space="preserve"> </w:t>
            </w:r>
            <w:r w:rsidRPr="00B61287">
              <w:t>Viela</w:t>
            </w:r>
            <w:r w:rsidR="00B97B52">
              <w:t xml:space="preserve"> dihlor</w:t>
            </w:r>
            <w:r w:rsidR="00D34CED">
              <w:t>pāns</w:t>
            </w:r>
            <w:r>
              <w:t xml:space="preserve"> </w:t>
            </w:r>
            <w:r w:rsidR="00D34CED">
              <w:t>(</w:t>
            </w:r>
            <w:r w:rsidRPr="00D34CED">
              <w:rPr>
                <w:bCs/>
              </w:rPr>
              <w:t>dichloropane</w:t>
            </w:r>
            <w:r w:rsidR="00D34CED">
              <w:rPr>
                <w:bCs/>
              </w:rPr>
              <w:t>)</w:t>
            </w:r>
            <w:r w:rsidRPr="00B61287">
              <w:t xml:space="preserve"> zināma ar</w:t>
            </w:r>
            <w:r w:rsidR="002C6AAE">
              <w:t xml:space="preserve">ī </w:t>
            </w:r>
            <w:r w:rsidR="002C6AAE">
              <w:t>ar šādiem nosaukumiem</w:t>
            </w:r>
            <w:r w:rsidR="00CF0E3E">
              <w:t>:</w:t>
            </w:r>
            <w:r w:rsidR="002C6AAE">
              <w:t xml:space="preserve"> RTI-111,</w:t>
            </w:r>
            <w:r w:rsidRPr="00B61287">
              <w:t xml:space="preserve"> RTI-4229-111</w:t>
            </w:r>
            <w:r w:rsidR="002C6AAE">
              <w:t>,</w:t>
            </w:r>
            <w:r w:rsidRPr="00B61287">
              <w:t xml:space="preserve"> O-401.</w:t>
            </w:r>
            <w:r>
              <w:t xml:space="preserve"> </w:t>
            </w:r>
            <w:r w:rsidRPr="00B61287">
              <w:t xml:space="preserve">Agrīnās brīdināšanas sistēmā saņemts ziņojums par Slovēnijā reģistrētu vielas </w:t>
            </w:r>
            <w:r w:rsidR="00B97B52">
              <w:t>dihlor</w:t>
            </w:r>
            <w:r w:rsidR="00D34CED">
              <w:t>pāns</w:t>
            </w:r>
            <w:r w:rsidRPr="00B61287" w:rsidR="00D34CED">
              <w:rPr>
                <w:bCs/>
              </w:rPr>
              <w:t xml:space="preserve"> </w:t>
            </w:r>
            <w:r w:rsidR="00D34CED">
              <w:rPr>
                <w:bCs/>
              </w:rPr>
              <w:t>(</w:t>
            </w:r>
            <w:r w:rsidRPr="00B61287">
              <w:rPr>
                <w:bCs/>
              </w:rPr>
              <w:t>dichloropane</w:t>
            </w:r>
            <w:r w:rsidR="00D34CED">
              <w:rPr>
                <w:bCs/>
              </w:rPr>
              <w:t>)</w:t>
            </w:r>
            <w:r>
              <w:t xml:space="preserve"> identifikāciju 2016. gada 14. oktobrī, kā arī 2016.</w:t>
            </w:r>
            <w:r w:rsidR="002C6AAE">
              <w:t> </w:t>
            </w:r>
            <w:r>
              <w:t>gada oktobrī</w:t>
            </w:r>
            <w:r w:rsidR="002C6AAE">
              <w:t xml:space="preserve"> šī</w:t>
            </w:r>
            <w:r>
              <w:t xml:space="preserve"> viela</w:t>
            </w:r>
            <w:r w:rsidRPr="00B61287">
              <w:t xml:space="preserve"> </w:t>
            </w:r>
            <w:r>
              <w:t>(</w:t>
            </w:r>
            <w:r w:rsidRPr="00B61287">
              <w:t>1 grams gaiši dzeltena pulvera</w:t>
            </w:r>
            <w:r>
              <w:t>)</w:t>
            </w:r>
            <w:r w:rsidRPr="00B61287">
              <w:t xml:space="preserve"> izņemta arī Zviedrijā.</w:t>
            </w:r>
            <w:r>
              <w:t xml:space="preserve"> </w:t>
            </w:r>
            <w:r w:rsidRPr="00B61287">
              <w:t xml:space="preserve">Vielai </w:t>
            </w:r>
            <w:r w:rsidR="00B97B52">
              <w:t>dihlor</w:t>
            </w:r>
            <w:r w:rsidRPr="002C6AAE" w:rsidR="00D34CED">
              <w:t>pāns</w:t>
            </w:r>
            <w:r w:rsidRPr="002C6AAE" w:rsidR="00D34CED">
              <w:rPr>
                <w:bCs/>
              </w:rPr>
              <w:t xml:space="preserve"> (</w:t>
            </w:r>
            <w:r w:rsidRPr="002C6AAE">
              <w:rPr>
                <w:bCs/>
              </w:rPr>
              <w:t>dichloropane</w:t>
            </w:r>
            <w:r w:rsidRPr="002C6AAE" w:rsidR="00D34CED">
              <w:rPr>
                <w:bCs/>
              </w:rPr>
              <w:t>)</w:t>
            </w:r>
            <w:r w:rsidRPr="00B61287">
              <w:rPr>
                <w:b/>
              </w:rPr>
              <w:t xml:space="preserve"> </w:t>
            </w:r>
            <w:r w:rsidRPr="00B61287">
              <w:t>Latvijā piemērots pagaidu aizliegums uz laika posmu līdz 12 mēnešiem ar Slimību profilakses un kontroles centra 2017.</w:t>
            </w:r>
            <w:r>
              <w:t xml:space="preserve"> gada 9</w:t>
            </w:r>
            <w:r w:rsidRPr="00B61287">
              <w:t xml:space="preserve">. </w:t>
            </w:r>
            <w:r>
              <w:t>janvāra</w:t>
            </w:r>
            <w:r w:rsidRPr="00B61287">
              <w:t xml:space="preserve"> lēmumu Nr. </w:t>
            </w:r>
            <w:r>
              <w:t>1</w:t>
            </w:r>
            <w:r>
              <w:rPr>
                <w:rStyle w:val="FootnoteReference"/>
              </w:rPr>
              <w:footnoteReference w:id="3"/>
            </w:r>
            <w:r>
              <w:t>.</w:t>
            </w:r>
          </w:p>
          <w:p w:rsidR="003C0E6D" w:rsidP="002B7EAB">
            <w:pPr>
              <w:pStyle w:val="NoSpacing"/>
              <w:jc w:val="both"/>
            </w:pPr>
          </w:p>
          <w:p w:rsidR="009B4535" w:rsidP="002B7EAB">
            <w:pPr>
              <w:pStyle w:val="NoSpacing"/>
              <w:jc w:val="both"/>
            </w:pPr>
            <w:r>
              <w:t>3</w:t>
            </w:r>
            <w:r w:rsidR="00D56961">
              <w:t>) </w:t>
            </w:r>
            <w:r w:rsidR="00A708A6">
              <w:t>Likumprojektā ir preciz</w:t>
            </w:r>
            <w:r w:rsidR="000120BB">
              <w:t>ēts</w:t>
            </w:r>
            <w:r w:rsidR="002C6AAE">
              <w:t xml:space="preserve"> apraksts</w:t>
            </w:r>
            <w:r w:rsidR="000120BB">
              <w:t xml:space="preserve"> </w:t>
            </w:r>
            <w:r w:rsidR="00A708A6">
              <w:t>izžāvēta</w:t>
            </w:r>
            <w:r w:rsidR="002C6AAE">
              <w:t>m</w:t>
            </w:r>
            <w:r w:rsidR="000120BB">
              <w:t xml:space="preserve"> augu </w:t>
            </w:r>
            <w:r w:rsidR="00A708A6">
              <w:t>maisījuma</w:t>
            </w:r>
            <w:r w:rsidR="002C6AAE">
              <w:t>m, kas satur</w:t>
            </w:r>
            <w:r w:rsidR="000120BB">
              <w:t xml:space="preserve"> </w:t>
            </w:r>
            <w:r w:rsidR="002C6AAE">
              <w:t>marihuānu,</w:t>
            </w:r>
            <w:r w:rsidR="000120BB">
              <w:t xml:space="preserve"> kā arī</w:t>
            </w:r>
            <w:r w:rsidRPr="009B4535">
              <w:t xml:space="preserve"> pievienots jauns</w:t>
            </w:r>
            <w:r w:rsidR="002C6AAE">
              <w:t xml:space="preserve"> apraksts</w:t>
            </w:r>
            <w:r w:rsidRPr="009B4535">
              <w:t xml:space="preserve"> </w:t>
            </w:r>
            <w:r w:rsidR="00B97B52">
              <w:rPr>
                <w:b/>
              </w:rPr>
              <w:t>ne</w:t>
            </w:r>
            <w:r w:rsidRPr="009B4535">
              <w:rPr>
                <w:b/>
              </w:rPr>
              <w:t>žāvēta</w:t>
            </w:r>
            <w:r w:rsidR="002C6AAE">
              <w:rPr>
                <w:b/>
              </w:rPr>
              <w:t>m</w:t>
            </w:r>
            <w:r w:rsidRPr="009B4535">
              <w:rPr>
                <w:b/>
              </w:rPr>
              <w:t xml:space="preserve"> augu maisījuma</w:t>
            </w:r>
            <w:r w:rsidR="002C6AAE">
              <w:rPr>
                <w:b/>
              </w:rPr>
              <w:t>m, kas satur marihuānu,</w:t>
            </w:r>
            <w:r w:rsidRPr="009B4535">
              <w:t xml:space="preserve"> </w:t>
            </w:r>
            <w:r w:rsidR="000120BB">
              <w:t>un apmērs, līdz kuram maisījuma daudzumi atzīstami par nelieliem un</w:t>
            </w:r>
            <w:r w:rsidR="002C6AAE">
              <w:t xml:space="preserve"> sākot ar kuru</w:t>
            </w:r>
            <w:r w:rsidR="000120BB">
              <w:t xml:space="preserve"> – par lieliem. </w:t>
            </w:r>
          </w:p>
          <w:p w:rsidR="009B4535" w:rsidP="002B7EAB">
            <w:pPr>
              <w:pStyle w:val="NoSpacing"/>
              <w:jc w:val="both"/>
            </w:pPr>
          </w:p>
          <w:p w:rsidR="00F82676" w:rsidRPr="001616A4" w:rsidP="002B7EAB">
            <w:pPr>
              <w:pStyle w:val="NoSpacing"/>
              <w:jc w:val="both"/>
            </w:pPr>
            <w:r>
              <w:t>4</w:t>
            </w:r>
            <w:r w:rsidR="009B4535">
              <w:t>) </w:t>
            </w:r>
            <w:r w:rsidRPr="00D32BE4">
              <w:t>Grupa</w:t>
            </w:r>
            <w:r w:rsidRPr="00D32BE4" w:rsidR="005035EA">
              <w:t xml:space="preserve"> </w:t>
            </w:r>
            <w:r w:rsidR="009B4535">
              <w:rPr>
                <w:b/>
              </w:rPr>
              <w:t xml:space="preserve">Amfetamīni </w:t>
            </w:r>
            <w:r w:rsidRPr="00D32BE4" w:rsidR="00D3281A">
              <w:t>precizēta,</w:t>
            </w:r>
            <w:r w:rsidRPr="00D32BE4">
              <w:t xml:space="preserve"> lai pakļautu kontrolei vielu </w:t>
            </w:r>
            <w:r w:rsidR="009B4535">
              <w:rPr>
                <w:b/>
              </w:rPr>
              <w:t>NDT</w:t>
            </w:r>
            <w:r w:rsidR="00E52A4E">
              <w:rPr>
                <w:b/>
              </w:rPr>
              <w:t>D</w:t>
            </w:r>
            <w:r w:rsidR="009B4535">
              <w:rPr>
                <w:b/>
              </w:rPr>
              <w:t>I</w:t>
            </w:r>
            <w:r w:rsidRPr="00D32BE4">
              <w:t xml:space="preserve"> un citus šai vielai līdzīgus savienojumus. Viela </w:t>
            </w:r>
            <w:r w:rsidR="009B4535">
              <w:t>NDT</w:t>
            </w:r>
            <w:r w:rsidR="00E52A4E">
              <w:t>D</w:t>
            </w:r>
            <w:r w:rsidR="009B4535">
              <w:t xml:space="preserve">I </w:t>
            </w:r>
            <w:r w:rsidRPr="009B4535" w:rsidR="009B4535">
              <w:t xml:space="preserve">strukturāli līdzinās starptautiski kontrolētai vielai LSD. Vielas NDTDI un tās saturošu izstrādājumu lietošana var radīt nopietnu kaitējumu personas veselībai, bīstamību dzīvībai, kā arī apdraudējumu sabiedrības drošībai kopumā. </w:t>
            </w:r>
            <w:r w:rsidRPr="00D32BE4">
              <w:t xml:space="preserve">Agrīnās brīdināšanas sistēmā saņemts ziņojums par Slovēnijā reģistrētu vielas </w:t>
            </w:r>
            <w:r w:rsidR="009B4535">
              <w:t>NDT</w:t>
            </w:r>
            <w:r w:rsidR="00E52A4E">
              <w:t>D</w:t>
            </w:r>
            <w:r w:rsidR="009B4535">
              <w:t>I</w:t>
            </w:r>
            <w:r w:rsidRPr="00D32BE4">
              <w:t xml:space="preserve"> identifikācijas gadījumu</w:t>
            </w:r>
            <w:r w:rsidR="009B4535">
              <w:t>.</w:t>
            </w:r>
            <w:r w:rsidRPr="00D32BE4">
              <w:t xml:space="preserve"> </w:t>
            </w:r>
            <w:r w:rsidRPr="00D32BE4" w:rsidR="002B7EAB">
              <w:t xml:space="preserve">Vielai </w:t>
            </w:r>
            <w:r w:rsidRPr="002C6AAE" w:rsidR="009B4535">
              <w:t>NDT</w:t>
            </w:r>
            <w:r w:rsidRPr="002C6AAE" w:rsidR="00E52A4E">
              <w:t>D</w:t>
            </w:r>
            <w:r w:rsidRPr="002C6AAE" w:rsidR="009B4535">
              <w:t>I</w:t>
            </w:r>
            <w:r w:rsidRPr="002C6AAE" w:rsidR="002B7EAB">
              <w:t xml:space="preserve"> </w:t>
            </w:r>
            <w:r w:rsidRPr="00D32BE4" w:rsidR="002B7EAB">
              <w:t xml:space="preserve">piemērots pagaidu aizliegums uz laika posmu līdz 12 mēnešiem ar Slimību profilakses un </w:t>
            </w:r>
            <w:r w:rsidR="009B4535">
              <w:t>kontroles centra 2017</w:t>
            </w:r>
            <w:r w:rsidRPr="00D32BE4" w:rsidR="002B7EAB">
              <w:t xml:space="preserve">. gada 3. marta lēmumu Nr. </w:t>
            </w:r>
            <w:r w:rsidRPr="009B4535" w:rsidR="009B4535">
              <w:rPr>
                <w:bCs/>
              </w:rPr>
              <w:t>5-4/7</w:t>
            </w:r>
            <w:bookmarkStart w:id="6" w:name="_Ref479240805"/>
            <w:r>
              <w:rPr>
                <w:rStyle w:val="FootnoteReference"/>
              </w:rPr>
              <w:footnoteReference w:id="4"/>
            </w:r>
            <w:bookmarkEnd w:id="6"/>
            <w:r w:rsidRPr="00D32BE4" w:rsidR="002B7EAB">
              <w:t xml:space="preserve">. </w:t>
            </w:r>
          </w:p>
          <w:p w:rsidR="002F1458" w:rsidRPr="001616A4" w:rsidP="00E474AE">
            <w:pPr>
              <w:pStyle w:val="NoSpacing"/>
              <w:jc w:val="both"/>
            </w:pPr>
          </w:p>
          <w:p w:rsidR="0078292F" w:rsidRPr="001616A4" w:rsidP="00E474AE">
            <w:pPr>
              <w:pStyle w:val="NoSpacing"/>
              <w:jc w:val="both"/>
            </w:pPr>
            <w:r>
              <w:t>5</w:t>
            </w:r>
            <w:r w:rsidRPr="001616A4" w:rsidR="002B7EAB">
              <w:t xml:space="preserve">) </w:t>
            </w:r>
            <w:r w:rsidRPr="001616A4" w:rsidR="005035EA">
              <w:t>G</w:t>
            </w:r>
            <w:r w:rsidRPr="001616A4">
              <w:t xml:space="preserve">rupa </w:t>
            </w:r>
            <w:r w:rsidRPr="00FA1E49" w:rsidR="00FA1E49">
              <w:rPr>
                <w:b/>
                <w:bCs/>
              </w:rPr>
              <w:t>1-Arilcikloheksilamīni un (1-arilcikloheksil) metānamīni</w:t>
            </w:r>
            <w:r w:rsidRPr="001616A4">
              <w:t xml:space="preserve"> </w:t>
            </w:r>
            <w:r w:rsidR="00FA1E49">
              <w:t xml:space="preserve"> precizēta,</w:t>
            </w:r>
            <w:r w:rsidRPr="001616A4">
              <w:t xml:space="preserve"> lai pakļautu kontrolei vielu </w:t>
            </w:r>
            <w:r w:rsidR="0095471F">
              <w:rPr>
                <w:b/>
              </w:rPr>
              <w:t>3-MeO-PCMMo</w:t>
            </w:r>
            <w:r w:rsidRPr="001616A4">
              <w:t xml:space="preserve"> un tai līdzīgus savienojumus. Viela </w:t>
            </w:r>
            <w:r w:rsidRPr="0095471F" w:rsidR="0095471F">
              <w:t>3-MeO-PCMMo</w:t>
            </w:r>
            <w:r w:rsidRPr="001616A4">
              <w:t xml:space="preserve"> </w:t>
            </w:r>
            <w:r w:rsidRPr="0095471F" w:rsidR="0095471F">
              <w:t xml:space="preserve">ir disociatīvs NMDA receptoru antagonists. Vielas 3-MeO-PCMMo un tās saturošu izstrādājumu lietošana var radīt nopietnu kaitējumu personas veselībai, bīstamību dzīvībai, kā arī apdraudējumu sabiedrības drošībai kopumā. </w:t>
            </w:r>
            <w:r w:rsidRPr="002C4995" w:rsidR="002C4995">
              <w:t>Agrīnās brīdināšanas sistēmā 2016.gada 10.novembrī saņemts brīdinājuma ziņojums par vielas 3-MeO-PCMMo identifikāciju Slovēnijā.</w:t>
            </w:r>
            <w:r w:rsidR="0095471F">
              <w:t xml:space="preserve"> </w:t>
            </w:r>
            <w:r w:rsidRPr="002C6AAE">
              <w:t xml:space="preserve">Vielai </w:t>
            </w:r>
            <w:r w:rsidRPr="002C6AAE" w:rsidR="0095471F">
              <w:t xml:space="preserve">3-MeO-PCMMo </w:t>
            </w:r>
            <w:r w:rsidRPr="002C6AAE">
              <w:t>Latvijā</w:t>
            </w:r>
            <w:r w:rsidRPr="001616A4">
              <w:t xml:space="preserve"> piemērots pagaidu aizliegums uz laika posmu līdz 12 mēnešiem ar Slimību profilakses </w:t>
            </w:r>
            <w:r w:rsidR="0095471F">
              <w:t>un kontroles centra 2016. gada 16</w:t>
            </w:r>
            <w:r w:rsidRPr="001616A4">
              <w:t xml:space="preserve">. </w:t>
            </w:r>
            <w:r w:rsidR="0095471F">
              <w:t>novembra lēmumu Nr. 8</w:t>
            </w:r>
            <w:r>
              <w:rPr>
                <w:vertAlign w:val="superscript"/>
              </w:rPr>
              <w:footnoteReference w:id="5"/>
            </w:r>
            <w:r w:rsidRPr="001616A4">
              <w:t xml:space="preserve">. </w:t>
            </w:r>
          </w:p>
          <w:p w:rsidR="002B7EAB" w:rsidRPr="001616A4" w:rsidP="00E474AE">
            <w:pPr>
              <w:pStyle w:val="NoSpacing"/>
              <w:jc w:val="both"/>
            </w:pPr>
          </w:p>
          <w:p w:rsidR="00673EC1" w:rsidRPr="001616A4" w:rsidP="00D343B9">
            <w:pPr>
              <w:pStyle w:val="NoSpacing"/>
              <w:jc w:val="both"/>
            </w:pPr>
            <w:r>
              <w:t>6</w:t>
            </w:r>
            <w:r w:rsidR="00FB3539">
              <w:t>) </w:t>
            </w:r>
            <w:r w:rsidRPr="001616A4" w:rsidR="001220C1">
              <w:t>L</w:t>
            </w:r>
            <w:r w:rsidRPr="001616A4" w:rsidR="00525DF4">
              <w:t>ikumprojektā iekļauta jauna grupa</w:t>
            </w:r>
            <w:r w:rsidR="0095471F">
              <w:rPr>
                <w:b/>
              </w:rPr>
              <w:t xml:space="preserve"> </w:t>
            </w:r>
            <w:r w:rsidRPr="0095471F" w:rsidR="0095471F">
              <w:rPr>
                <w:b/>
                <w:bCs/>
              </w:rPr>
              <w:t>Indolin-2-ona-3 hidrazīnkarbonilatvasinājumi</w:t>
            </w:r>
            <w:r w:rsidRPr="001616A4" w:rsidR="00525DF4">
              <w:t>, a</w:t>
            </w:r>
            <w:r w:rsidR="00D343B9">
              <w:t xml:space="preserve">r kuru kontrolei tiek pakļauta viela </w:t>
            </w:r>
            <w:r w:rsidRPr="00D343B9" w:rsidR="00D343B9">
              <w:rPr>
                <w:b/>
              </w:rPr>
              <w:t>MDA-19</w:t>
            </w:r>
            <w:r w:rsidR="00D343B9">
              <w:t xml:space="preserve"> un tai līdzīgi savienojumi. </w:t>
            </w:r>
            <w:r w:rsidRPr="00D343B9" w:rsidR="00D343B9">
              <w:t>Viela MDA 19 ir sintētiskais kanabinoīds.</w:t>
            </w:r>
            <w:r w:rsidR="00D343B9">
              <w:t xml:space="preserve"> </w:t>
            </w:r>
            <w:r w:rsidRPr="00D343B9" w:rsidR="00D343B9">
              <w:t>Vielas MDA 19 un tās saturošu izstrādājumu lietošana var radīt nopietnu kaitējumu personas veselībai, bīstamību dzīvībai, kā arī apdraudējumu sabiedrības drošībai kopumā.</w:t>
            </w:r>
            <w:r w:rsidR="00D343B9">
              <w:t xml:space="preserve"> </w:t>
            </w:r>
            <w:r w:rsidRPr="00D343B9" w:rsidR="00D343B9">
              <w:t>Agrīnās brīdināšanas sistēmā 2016.</w:t>
            </w:r>
            <w:r w:rsidR="00D343B9">
              <w:t> </w:t>
            </w:r>
            <w:r w:rsidRPr="00D343B9" w:rsidR="00D343B9">
              <w:t>gada 19.</w:t>
            </w:r>
            <w:r w:rsidR="00D343B9">
              <w:t> </w:t>
            </w:r>
            <w:r w:rsidRPr="00D343B9" w:rsidR="00D343B9">
              <w:t>oktobrī saņemts brīd</w:t>
            </w:r>
            <w:r w:rsidR="00D343B9">
              <w:t>inājuma ziņojums par vielas MDA-</w:t>
            </w:r>
            <w:r w:rsidRPr="00D343B9" w:rsidR="00D343B9">
              <w:t>19 identifikāciju Spānijā.</w:t>
            </w:r>
            <w:r w:rsidR="00D343B9">
              <w:t xml:space="preserve"> </w:t>
            </w:r>
            <w:r w:rsidRPr="00D343B9" w:rsidR="00D343B9">
              <w:t>Latvijā</w:t>
            </w:r>
            <w:r w:rsidR="00D343B9">
              <w:t xml:space="preserve"> vielai </w:t>
            </w:r>
            <w:r w:rsidRPr="002C6AAE" w:rsidR="00D343B9">
              <w:t>MDA-19</w:t>
            </w:r>
            <w:r w:rsidRPr="00D343B9" w:rsidR="00D343B9">
              <w:t xml:space="preserve"> piemērots </w:t>
            </w:r>
            <w:r w:rsidRPr="00D343B9" w:rsidR="00D343B9">
              <w:t xml:space="preserve">pagaidu aizliegums uz laika posmu līdz 12 mēnešiem ar Slimību profilakses un kontroles centra 2016. gada </w:t>
            </w:r>
            <w:r w:rsidR="00D343B9">
              <w:t>27</w:t>
            </w:r>
            <w:r w:rsidRPr="00D343B9" w:rsidR="00D343B9">
              <w:t xml:space="preserve">. </w:t>
            </w:r>
            <w:r w:rsidR="00D343B9">
              <w:t>okto</w:t>
            </w:r>
            <w:r w:rsidRPr="00D343B9" w:rsidR="00D343B9">
              <w:t>br</w:t>
            </w:r>
            <w:r w:rsidR="00D343B9">
              <w:t>a lēmumu Nr. 7</w:t>
            </w:r>
            <w:r>
              <w:rPr>
                <w:rStyle w:val="FootnoteReference"/>
              </w:rPr>
              <w:footnoteReference w:id="6"/>
            </w:r>
            <w:r w:rsidR="00D343B9">
              <w:t>.</w:t>
            </w:r>
          </w:p>
          <w:p w:rsidR="00673EC1" w:rsidRPr="001616A4" w:rsidP="006E2F3A">
            <w:pPr>
              <w:pStyle w:val="NoSpacing"/>
              <w:jc w:val="both"/>
            </w:pPr>
          </w:p>
          <w:p w:rsidR="005035EA" w:rsidRPr="00D343B9" w:rsidP="005035EA">
            <w:pPr>
              <w:pStyle w:val="NoSpacing"/>
              <w:jc w:val="both"/>
              <w:rPr>
                <w:b/>
                <w:bCs/>
                <w:shd w:val="clear" w:color="auto" w:fill="FFFFFF"/>
              </w:rPr>
            </w:pPr>
            <w:r>
              <w:t>7</w:t>
            </w:r>
            <w:r w:rsidRPr="001616A4">
              <w:t xml:space="preserve">) </w:t>
            </w:r>
            <w:r w:rsidRPr="001616A4" w:rsidR="00D343B9">
              <w:t>Likumprojektā iekļauta jauna grupa</w:t>
            </w:r>
            <w:r w:rsidRPr="001616A4">
              <w:t xml:space="preserve"> </w:t>
            </w:r>
            <w:r w:rsidRPr="00D343B9" w:rsidR="00D343B9">
              <w:rPr>
                <w:b/>
                <w:bCs/>
              </w:rPr>
              <w:t>Gamma-karbolin-1-oni</w:t>
            </w:r>
            <w:r w:rsidR="00D343B9">
              <w:rPr>
                <w:b/>
                <w:bCs/>
              </w:rPr>
              <w:t>,</w:t>
            </w:r>
            <w:r w:rsidRPr="00D343B9" w:rsidR="00D343B9">
              <w:rPr>
                <w:b/>
                <w:bCs/>
              </w:rPr>
              <w:t xml:space="preserve"> </w:t>
            </w:r>
            <w:r w:rsidRPr="00D343B9" w:rsidR="00D343B9">
              <w:rPr>
                <w:bCs/>
              </w:rPr>
              <w:t>ar kuru kontrolei tiek pakļauta viela</w:t>
            </w:r>
            <w:r w:rsidR="00D343B9">
              <w:rPr>
                <w:shd w:val="clear" w:color="auto" w:fill="FFFFFF"/>
              </w:rPr>
              <w:t xml:space="preserve"> </w:t>
            </w:r>
            <w:r w:rsidRPr="00D343B9" w:rsidR="00D343B9">
              <w:rPr>
                <w:b/>
                <w:bCs/>
                <w:shd w:val="clear" w:color="auto" w:fill="FFFFFF"/>
              </w:rPr>
              <w:t>CUMYL-PeGACLONE</w:t>
            </w:r>
            <w:r w:rsidRPr="00F32D43" w:rsidR="00F32D43">
              <w:rPr>
                <w:rFonts w:ascii="Calibri" w:eastAsia="Calibri" w:hAnsi="Calibri"/>
                <w:sz w:val="22"/>
                <w:szCs w:val="22"/>
                <w:lang w:eastAsia="en-US"/>
              </w:rPr>
              <w:t xml:space="preserve"> </w:t>
            </w:r>
            <w:r w:rsidRPr="00F32D43" w:rsidR="00F32D43">
              <w:rPr>
                <w:bCs/>
                <w:shd w:val="clear" w:color="auto" w:fill="FFFFFF"/>
              </w:rPr>
              <w:t>un tai līdzīgi savienojumi</w:t>
            </w:r>
            <w:r w:rsidR="00F32D43">
              <w:rPr>
                <w:bCs/>
                <w:shd w:val="clear" w:color="auto" w:fill="FFFFFF"/>
              </w:rPr>
              <w:t xml:space="preserve">. </w:t>
            </w:r>
            <w:r w:rsidRPr="00F32D43" w:rsidR="00F32D43">
              <w:rPr>
                <w:bCs/>
                <w:shd w:val="clear" w:color="auto" w:fill="FFFFFF"/>
              </w:rPr>
              <w:t>Viela CUMYL-PeGACLONE ir sintētiskais kanabinoīds, kas strukturāli līdzinās vielai CUMYL-PICA, taču satur jaunu, līdz šim neidentificēta veida kodolu. Vielas CUMYL-PeGACLONE un tās saturošu izstrādājumu lietošana var radīt nopietnu kaitējumu personas veselībai, bīstamību dzīvībai, kā arī apdraudējumu sabiedrības drošībai kopumā.</w:t>
            </w:r>
            <w:r w:rsidRPr="00F32D43" w:rsidR="00F32D43">
              <w:rPr>
                <w:rFonts w:ascii="PT Serif" w:eastAsia="Calibri" w:hAnsi="PT Serif"/>
                <w:color w:val="333333"/>
                <w:sz w:val="22"/>
                <w:szCs w:val="22"/>
                <w:shd w:val="clear" w:color="auto" w:fill="FFFFFF"/>
                <w:lang w:eastAsia="en-US"/>
              </w:rPr>
              <w:t xml:space="preserve"> </w:t>
            </w:r>
            <w:r w:rsidRPr="00F32D43" w:rsidR="00F32D43">
              <w:rPr>
                <w:bCs/>
                <w:shd w:val="clear" w:color="auto" w:fill="FFFFFF"/>
              </w:rPr>
              <w:t>Agrīnās brīdināšanas sistēmā saņemts brīdinājuma ziņojums par vielas CUMYL-PeGACLONE identifikāciju Vācijā</w:t>
            </w:r>
            <w:r w:rsidR="00F32D43">
              <w:rPr>
                <w:bCs/>
                <w:shd w:val="clear" w:color="auto" w:fill="FFFFFF"/>
              </w:rPr>
              <w:t xml:space="preserve">, kur </w:t>
            </w:r>
            <w:r w:rsidR="002D341F">
              <w:rPr>
                <w:bCs/>
                <w:shd w:val="clear" w:color="auto" w:fill="FFFFFF"/>
              </w:rPr>
              <w:t xml:space="preserve">viela </w:t>
            </w:r>
            <w:r w:rsidRPr="00F32D43" w:rsidR="00F32D43">
              <w:rPr>
                <w:bCs/>
                <w:shd w:val="clear" w:color="auto" w:fill="FFFFFF"/>
              </w:rPr>
              <w:t>tika identificēta (kolekcijas materiāls) smēķējamos augu maisījumos ar nosaukumiem “Desert”, “Joker”, “Kush Mango”, “Kush Pineapple”, “Kush Pomegranate” un “Mary Joy Classic” 2016.gada decembrī.</w:t>
            </w:r>
            <w:r w:rsidR="00D343B9">
              <w:rPr>
                <w:b/>
                <w:bCs/>
                <w:shd w:val="clear" w:color="auto" w:fill="FFFFFF"/>
              </w:rPr>
              <w:t xml:space="preserve"> </w:t>
            </w:r>
            <w:r w:rsidRPr="001616A4">
              <w:rPr>
                <w:shd w:val="clear" w:color="auto" w:fill="FFFFFF"/>
              </w:rPr>
              <w:t xml:space="preserve">Vielai </w:t>
            </w:r>
            <w:r w:rsidRPr="002C6AAE" w:rsidR="00F32D43">
              <w:rPr>
                <w:bCs/>
                <w:shd w:val="clear" w:color="auto" w:fill="FFFFFF"/>
              </w:rPr>
              <w:t>CUMYL-PeGACLONE</w:t>
            </w:r>
            <w:r w:rsidRPr="001616A4">
              <w:t xml:space="preserve"> </w:t>
            </w:r>
            <w:r w:rsidRPr="001616A4">
              <w:rPr>
                <w:shd w:val="clear" w:color="auto" w:fill="FFFFFF"/>
              </w:rPr>
              <w:t>Latvijā piemērots pagaidu aizliegums uz laika posmu līdz 12 mēnešiem ar Slimību prof</w:t>
            </w:r>
            <w:r w:rsidR="00F32D43">
              <w:rPr>
                <w:shd w:val="clear" w:color="auto" w:fill="FFFFFF"/>
              </w:rPr>
              <w:t>ilakses un kontroles centra 2017. gada 9</w:t>
            </w:r>
            <w:r w:rsidRPr="001616A4">
              <w:rPr>
                <w:shd w:val="clear" w:color="auto" w:fill="FFFFFF"/>
              </w:rPr>
              <w:t xml:space="preserve">. </w:t>
            </w:r>
            <w:r w:rsidR="00F32D43">
              <w:rPr>
                <w:shd w:val="clear" w:color="auto" w:fill="FFFFFF"/>
              </w:rPr>
              <w:t>februāra lēmumu Nr. 5</w:t>
            </w:r>
            <w:r>
              <w:rPr>
                <w:rStyle w:val="FootnoteReference"/>
                <w:shd w:val="clear" w:color="auto" w:fill="FFFFFF"/>
              </w:rPr>
              <w:footnoteReference w:id="7"/>
            </w:r>
            <w:r w:rsidRPr="001616A4">
              <w:rPr>
                <w:shd w:val="clear" w:color="auto" w:fill="FFFFFF"/>
              </w:rPr>
              <w:t xml:space="preserve">. </w:t>
            </w:r>
          </w:p>
          <w:p w:rsidR="005035EA" w:rsidRPr="001616A4" w:rsidP="006E2F3A">
            <w:pPr>
              <w:pStyle w:val="NoSpacing"/>
              <w:jc w:val="both"/>
            </w:pPr>
          </w:p>
          <w:p w:rsidR="001616A4" w:rsidP="006518A6">
            <w:pPr>
              <w:pStyle w:val="NoSpacing"/>
              <w:jc w:val="both"/>
            </w:pPr>
            <w:r>
              <w:t>8</w:t>
            </w:r>
            <w:r w:rsidRPr="001616A4" w:rsidR="001220C1">
              <w:t xml:space="preserve">) </w:t>
            </w:r>
            <w:r w:rsidRPr="001616A4" w:rsidR="00FD1B98">
              <w:t>L</w:t>
            </w:r>
            <w:r w:rsidR="00F32D43">
              <w:t>ikumprojektā iekļauta jauna grupa</w:t>
            </w:r>
            <w:r w:rsidRPr="001616A4" w:rsidR="001220C1">
              <w:t xml:space="preserve"> </w:t>
            </w:r>
            <w:r w:rsidRPr="00511BCF" w:rsidR="00F32D43">
              <w:rPr>
                <w:b/>
                <w:bCs/>
              </w:rPr>
              <w:t>Acetilfentanili</w:t>
            </w:r>
            <w:r w:rsidR="00D04C3B">
              <w:rPr>
                <w:b/>
                <w:bCs/>
              </w:rPr>
              <w:t>,</w:t>
            </w:r>
            <w:r w:rsidR="005C4354">
              <w:rPr>
                <w:b/>
                <w:bCs/>
              </w:rPr>
              <w:t xml:space="preserve"> </w:t>
            </w:r>
            <w:r w:rsidRPr="005C4354" w:rsidR="005C4354">
              <w:rPr>
                <w:bCs/>
              </w:rPr>
              <w:t>ar mērķi novērst fentanila atvasinājumu apdraudējumu sabiedrības veselībai,</w:t>
            </w:r>
            <w:r w:rsidR="005C4354">
              <w:rPr>
                <w:b/>
                <w:bCs/>
              </w:rPr>
              <w:t xml:space="preserve"> </w:t>
            </w:r>
            <w:r w:rsidR="005C4354">
              <w:rPr>
                <w:bCs/>
              </w:rPr>
              <w:t>jo nelegālajā apritē aizvien biežāk parādās gan fentanila atvasinājumi, gan tādi fentanila struktūranalogi, kuri nav atvasinājumi, bet kuriem ir līdzīga farmakoloģiskā iedarbība.</w:t>
            </w:r>
            <w:r w:rsidRPr="00DF28DC" w:rsidR="00DF28DC">
              <w:rPr>
                <w:bCs/>
              </w:rPr>
              <w:t xml:space="preserve"> Fentanili ir vairākkārt spēcīgāki par citām opioīdu narkotiskajām vielām, piemēram, morfiju un heroīnu. Baltijas valstīs karfentanils, kas ir visspēcīgākais zināmais opioīds, ir atklāts Latvijā un Lietuvā.</w:t>
            </w:r>
            <w:r>
              <w:rPr>
                <w:rStyle w:val="FootnoteReference"/>
                <w:bCs/>
              </w:rPr>
              <w:footnoteReference w:id="8"/>
            </w:r>
            <w:r w:rsidRPr="00DF28DC" w:rsidR="00DF28DC">
              <w:rPr>
                <w:bCs/>
              </w:rPr>
              <w:t xml:space="preserve"> </w:t>
            </w:r>
            <w:r w:rsidR="0082010C">
              <w:rPr>
                <w:bCs/>
              </w:rPr>
              <w:t>F</w:t>
            </w:r>
            <w:r w:rsidRPr="00DF28DC" w:rsidR="00DF28DC">
              <w:rPr>
                <w:bCs/>
              </w:rPr>
              <w:t>entanilu iespējamā plašākā izplatība un pieejamība ir potenciāls drauds</w:t>
            </w:r>
            <w:r w:rsidR="00DF28DC">
              <w:rPr>
                <w:bCs/>
              </w:rPr>
              <w:t>, l</w:t>
            </w:r>
            <w:r w:rsidR="005C4354">
              <w:rPr>
                <w:bCs/>
              </w:rPr>
              <w:t xml:space="preserve">īdz ar to tika izstrādāta un likumprojektā iekļauta jauna ģenēriskā grupa </w:t>
            </w:r>
            <w:r w:rsidRPr="00D34CED" w:rsidR="005C4354">
              <w:rPr>
                <w:bCs/>
              </w:rPr>
              <w:t>Acetilfentanili</w:t>
            </w:r>
            <w:r w:rsidR="005C4354">
              <w:rPr>
                <w:bCs/>
              </w:rPr>
              <w:t>,</w:t>
            </w:r>
            <w:r w:rsidR="00D04C3B">
              <w:rPr>
                <w:b/>
                <w:bCs/>
              </w:rPr>
              <w:t xml:space="preserve"> </w:t>
            </w:r>
            <w:r w:rsidR="00D04C3B">
              <w:rPr>
                <w:bCs/>
              </w:rPr>
              <w:t>lai kontrolei pakļautu fentanila atvasinājumus un struktūranalogus</w:t>
            </w:r>
            <w:r w:rsidR="002D341F">
              <w:rPr>
                <w:bCs/>
              </w:rPr>
              <w:t>.</w:t>
            </w:r>
            <w:r w:rsidRPr="001616A4" w:rsidR="00FD1B98">
              <w:t xml:space="preserve"> </w:t>
            </w:r>
            <w:r w:rsidR="002D341F">
              <w:t>P</w:t>
            </w:r>
            <w:r w:rsidR="005C4354">
              <w:t>amatojoties uz iepriekš minēto informāciju,</w:t>
            </w:r>
            <w:r w:rsidR="00D04C3B">
              <w:t xml:space="preserve"> </w:t>
            </w:r>
            <w:r w:rsidRPr="00D04C3B" w:rsidR="00D04C3B">
              <w:t>no likuma 2. pielikuma</w:t>
            </w:r>
            <w:r w:rsidR="002D341F">
              <w:t xml:space="preserve"> II nodaļas</w:t>
            </w:r>
            <w:r w:rsidR="00D04C3B">
              <w:t xml:space="preserve"> tiek izslēgts</w:t>
            </w:r>
            <w:r w:rsidRPr="00D04C3B" w:rsidR="00D04C3B">
              <w:t xml:space="preserve"> </w:t>
            </w:r>
            <w:r w:rsidR="00D04C3B">
              <w:t>6</w:t>
            </w:r>
            <w:r w:rsidRPr="00D04C3B" w:rsidR="00D04C3B">
              <w:t>. punkt</w:t>
            </w:r>
            <w:r w:rsidR="00D04C3B">
              <w:t xml:space="preserve">s, </w:t>
            </w:r>
            <w:r w:rsidRPr="00D04C3B" w:rsidR="00D04C3B">
              <w:t xml:space="preserve"> </w:t>
            </w:r>
            <w:r w:rsidR="00D04C3B">
              <w:t xml:space="preserve">jo jaunā ģenēriskā grupa ietver visas 6. punktā minētās vielas. </w:t>
            </w:r>
            <w:r w:rsidR="00434DC4">
              <w:t xml:space="preserve"> </w:t>
            </w:r>
            <w:r w:rsidR="00D04C3B">
              <w:t xml:space="preserve">Vienlaikus ar ģenēriskās </w:t>
            </w:r>
            <w:r w:rsidR="002D341F">
              <w:t>grupas</w:t>
            </w:r>
            <w:r w:rsidR="00D04C3B">
              <w:t xml:space="preserve"> </w:t>
            </w:r>
            <w:r w:rsidRPr="00D34CED" w:rsidR="00D04C3B">
              <w:t>Acetilfentanili</w:t>
            </w:r>
            <w:r w:rsidR="00CD3AA8">
              <w:t xml:space="preserve"> iekļaušanu</w:t>
            </w:r>
            <w:r w:rsidR="00D04C3B">
              <w:rPr>
                <w:b/>
              </w:rPr>
              <w:t xml:space="preserve"> </w:t>
            </w:r>
            <w:r w:rsidR="00D04C3B">
              <w:t>kontrolei tiek pakļautas arī tādas vielas</w:t>
            </w:r>
            <w:r w:rsidR="005C4354">
              <w:t xml:space="preserve"> </w:t>
            </w:r>
            <w:r w:rsidRPr="00B129A5" w:rsidR="005C4354">
              <w:t>kā</w:t>
            </w:r>
            <w:r w:rsidRPr="00B129A5" w:rsidR="00B129A5">
              <w:t>,</w:t>
            </w:r>
            <w:r w:rsidRPr="00B129A5" w:rsidR="00CD3AA8">
              <w:t xml:space="preserve"> piemēram,</w:t>
            </w:r>
            <w:r w:rsidR="005C4354">
              <w:t xml:space="preserve"> </w:t>
            </w:r>
            <w:r w:rsidR="00B97B52">
              <w:t>2-fluorfentanils, 3-fluor</w:t>
            </w:r>
            <w:r w:rsidRPr="005C4354" w:rsidR="005C4354">
              <w:t xml:space="preserve">fentanils, 4Cl-iBF, 4F-BF, 4F-iBF, 4-MeO-BF, akriloilfentanils, alfa-metilfentanila butānamīda analogs, benzodioksofentanils, ciklopentilfentanils, furanilfentanils, metoksiacetilfentanils, Okfentanils, tetrahidrofurānfentanils, valerilfentanils, </w:t>
            </w:r>
            <w:r w:rsidRPr="005C4354" w:rsidR="005C4354">
              <w:rPr>
                <w:lang w:val="en-GB"/>
              </w:rPr>
              <w:t>β</w:t>
            </w:r>
            <w:r w:rsidRPr="005C4354" w:rsidR="005C4354">
              <w:t xml:space="preserve">-hidroksitiofentanils, </w:t>
            </w:r>
            <w:r w:rsidRPr="00CD3AA8" w:rsidR="005C4354">
              <w:t>brifentanils, karfentanils u.c. Papildus likumprojektā</w:t>
            </w:r>
            <w:r w:rsidRPr="00CD3AA8" w:rsidR="002E144E">
              <w:t xml:space="preserve"> 8.6</w:t>
            </w:r>
            <w:r w:rsidRPr="00CD3AA8" w:rsidR="00CD3AA8">
              <w:t>.</w:t>
            </w:r>
            <w:r w:rsidRPr="00CD3AA8" w:rsidR="002E144E">
              <w:t xml:space="preserve"> punkts tiek papildināts ar 7. apakšpunktu, kurā </w:t>
            </w:r>
            <w:r w:rsidRPr="00CD3AA8" w:rsidR="005C4354">
              <w:t>tiek iestrādāta norma, ka kontrolei tiek pakļauti maisījumi, kuri satur ģenēriskajā grupā Acetilfentanili minētās vielas jebkurā daudzumā.</w:t>
            </w:r>
          </w:p>
          <w:p w:rsidR="00F5643D" w:rsidP="00DE603D">
            <w:pPr>
              <w:pStyle w:val="ListParagraph"/>
              <w:ind w:left="0"/>
            </w:pPr>
          </w:p>
          <w:p w:rsidR="008B2680" w:rsidRPr="00C84017" w:rsidP="00C84017">
            <w:pPr>
              <w:pStyle w:val="NoSpacing"/>
              <w:jc w:val="both"/>
            </w:pPr>
            <w:r>
              <w:t>9</w:t>
            </w:r>
            <w:r w:rsidR="0082010C">
              <w:t>) Likumprojekt</w:t>
            </w:r>
            <w:r w:rsidR="005E34B1">
              <w:t>ā</w:t>
            </w:r>
            <w:r>
              <w:t xml:space="preserve"> ir iekļautas redakcionālas izmaiņas un</w:t>
            </w:r>
            <w:r w:rsidR="006518A6">
              <w:t xml:space="preserve"> papildinājumi</w:t>
            </w:r>
            <w:r w:rsidR="00B129A5">
              <w:t xml:space="preserve"> 2. pielikuma </w:t>
            </w:r>
            <w:r w:rsidRPr="00B129A5" w:rsidR="00B129A5">
              <w:rPr>
                <w:bCs/>
              </w:rPr>
              <w:t>III nodaļas 10., 11., 12. un 12.</w:t>
            </w:r>
            <w:r w:rsidRPr="00B129A5" w:rsidR="00B129A5">
              <w:rPr>
                <w:bCs/>
                <w:vertAlign w:val="superscript"/>
              </w:rPr>
              <w:t>1</w:t>
            </w:r>
            <w:r w:rsidRPr="00B129A5" w:rsidR="00B129A5">
              <w:rPr>
                <w:bCs/>
              </w:rPr>
              <w:t xml:space="preserve"> </w:t>
            </w:r>
            <w:r w:rsidR="00B129A5">
              <w:rPr>
                <w:bCs/>
              </w:rPr>
              <w:t>punktā,</w:t>
            </w:r>
            <w:r w:rsidRPr="00B129A5" w:rsidR="00B129A5">
              <w:rPr>
                <w:sz w:val="28"/>
                <w:szCs w:val="28"/>
                <w:lang w:eastAsia="en-GB"/>
              </w:rPr>
              <w:t xml:space="preserve"> </w:t>
            </w:r>
            <w:r w:rsidRPr="00B129A5" w:rsidR="00B129A5">
              <w:rPr>
                <w:bCs/>
              </w:rPr>
              <w:t xml:space="preserve">IV nodaļas </w:t>
            </w:r>
            <w:r w:rsidR="00B129A5">
              <w:rPr>
                <w:bCs/>
              </w:rPr>
              <w:t xml:space="preserve">13. punktā </w:t>
            </w:r>
            <w:r w:rsidR="00B129A5">
              <w:rPr>
                <w:bCs/>
              </w:rPr>
              <w:t xml:space="preserve">un V nodaļas 14., 15. un 16. punktā esošajām </w:t>
            </w:r>
            <w:r w:rsidR="006518A6">
              <w:t xml:space="preserve">tabulām, </w:t>
            </w:r>
            <w:r w:rsidRPr="006518A6" w:rsidR="006518A6">
              <w:t>definētajām vielām</w:t>
            </w:r>
            <w:r w:rsidR="00CD3AA8">
              <w:t xml:space="preserve"> pievienojot ķīmisko vielu reģistra numurus</w:t>
            </w:r>
            <w:r w:rsidR="00C84017">
              <w:t xml:space="preserve"> – tabulās ir pievienota jauna kolonna ar nosaukumu </w:t>
            </w:r>
            <w:r w:rsidRPr="008B2680" w:rsidR="00C84017">
              <w:rPr>
                <w:b/>
              </w:rPr>
              <w:t>“</w:t>
            </w:r>
            <w:r w:rsidRPr="008B2680" w:rsidR="00CD3AA8">
              <w:rPr>
                <w:b/>
              </w:rPr>
              <w:t>CAS</w:t>
            </w:r>
            <w:r w:rsidRPr="008B2680" w:rsidR="00C84017">
              <w:rPr>
                <w:b/>
              </w:rPr>
              <w:t xml:space="preserve"> Nr.”</w:t>
            </w:r>
            <w:r w:rsidR="00C84017">
              <w:t>. Pasaulē k</w:t>
            </w:r>
            <w:r w:rsidRPr="00C84017" w:rsidR="00C84017">
              <w:t>atrai ķīmiskai vielai tiek piešķirts unikāls numurs</w:t>
            </w:r>
            <w:r w:rsidR="00C84017">
              <w:t xml:space="preserve"> </w:t>
            </w:r>
            <w:r w:rsidRPr="00C84017" w:rsidR="00C84017">
              <w:rPr>
                <w:i/>
              </w:rPr>
              <w:t>(Chemical Abstracts Service)</w:t>
            </w:r>
            <w:r w:rsidRPr="00C84017" w:rsidR="00C84017">
              <w:t>, kas ir starptautisks</w:t>
            </w:r>
            <w:r w:rsidR="00C84017">
              <w:t>, tādējādi viela ir viegli atrodama dažādās datu bāzes. Mūsdienās ķīmiskajām vielām ir vairāk kā viens nosaukums un starp dažādām valstīm šie nosaukumi var atš</w:t>
            </w:r>
            <w:r w:rsidR="00A0025F">
              <w:t xml:space="preserve">ķirties. Tā kā CAS Nr. ir starptautisks ķīmisko vielu identifikators, </w:t>
            </w:r>
            <w:r w:rsidR="00C84017">
              <w:t>ir nepieciešams</w:t>
            </w:r>
            <w:r w:rsidR="00A0025F">
              <w:t xml:space="preserve"> papildināt </w:t>
            </w:r>
            <w:r w:rsidR="00C84017">
              <w:t xml:space="preserve"> </w:t>
            </w:r>
            <w:r w:rsidRPr="00A0025F" w:rsidR="00A0025F">
              <w:t xml:space="preserve">Latvijā </w:t>
            </w:r>
            <w:r w:rsidR="00A0025F">
              <w:t>kontrolējamo narkotisko vielu,</w:t>
            </w:r>
            <w:r w:rsidRPr="00A0025F" w:rsidR="00A0025F">
              <w:t xml:space="preserve"> psihotropo vielu</w:t>
            </w:r>
            <w:r w:rsidR="00A0025F">
              <w:t xml:space="preserve"> un prekursoru</w:t>
            </w:r>
            <w:r w:rsidRPr="00A0025F" w:rsidR="00A0025F">
              <w:t xml:space="preserve"> sarakstus</w:t>
            </w:r>
            <w:r w:rsidR="00A0025F">
              <w:t xml:space="preserve"> ar šādu informāciju.</w:t>
            </w:r>
            <w:r>
              <w:t xml:space="preserve"> Vienlaikus veiktas tehniskas izmaiņas III nodaļas 11., 12. un </w:t>
            </w:r>
            <w:r w:rsidRPr="00B129A5">
              <w:rPr>
                <w:bCs/>
              </w:rPr>
              <w:t>12.</w:t>
            </w:r>
            <w:r w:rsidRPr="00B129A5">
              <w:rPr>
                <w:bCs/>
                <w:vertAlign w:val="superscript"/>
              </w:rPr>
              <w:t>1</w:t>
            </w:r>
            <w:r w:rsidRPr="00B129A5">
              <w:rPr>
                <w:bCs/>
              </w:rPr>
              <w:t xml:space="preserve"> </w:t>
            </w:r>
            <w:r>
              <w:rPr>
                <w:bCs/>
              </w:rPr>
              <w:t>punktā, kā arī V nodaļas 15. un 16. punktā</w:t>
            </w:r>
            <w:r>
              <w:t>, tabulām pievienojot kolonnu nosaukumus, lai tabulās ietvertā informācija būtu vieglāk uztverama.</w:t>
            </w:r>
            <w:r>
              <w:t xml:space="preserve"> Vienlaikus no</w:t>
            </w:r>
            <w:r w:rsidRPr="00F5643D">
              <w:t xml:space="preserve"> likuma 2. pielikuma </w:t>
            </w:r>
            <w:r w:rsidRPr="00F5643D">
              <w:rPr>
                <w:bCs/>
              </w:rPr>
              <w:t xml:space="preserve">III nodaļas 11. punkta 9. apakšpunkta izslēgtas vielas </w:t>
            </w:r>
            <w:r w:rsidRPr="00F5643D">
              <w:rPr>
                <w:b/>
                <w:bCs/>
              </w:rPr>
              <w:t>nātrija oksibutirāts</w:t>
            </w:r>
            <w:r w:rsidRPr="00F5643D">
              <w:rPr>
                <w:bCs/>
              </w:rPr>
              <w:t xml:space="preserve"> un </w:t>
            </w:r>
            <w:r w:rsidRPr="00F5643D">
              <w:rPr>
                <w:b/>
                <w:bCs/>
              </w:rPr>
              <w:t>litija oksibutirāts</w:t>
            </w:r>
            <w:r w:rsidRPr="00F5643D">
              <w:rPr>
                <w:bCs/>
              </w:rPr>
              <w:t>, jo tās ir šī</w:t>
            </w:r>
            <w:r w:rsidRPr="00F5643D">
              <w:rPr>
                <w:rFonts w:ascii="Calibri" w:eastAsia="Calibri" w:hAnsi="Calibri"/>
                <w:bCs/>
                <w:sz w:val="22"/>
                <w:szCs w:val="22"/>
                <w:lang w:eastAsia="en-US"/>
              </w:rPr>
              <w:t xml:space="preserve"> </w:t>
            </w:r>
            <w:r w:rsidRPr="00F5643D">
              <w:rPr>
                <w:bCs/>
              </w:rPr>
              <w:t>apakšpunktā minētās vielas gammahidroksibutirskābe (turpmāk – GHB) sāļi. Pamatojoties uz likuma 2. pielikuma I nodaļas 2. punkta 1. apakšpunktu, noteiktie GHB daudzumi attiecināmi arī uz šīs vielas sāļiem.</w:t>
            </w:r>
          </w:p>
          <w:p w:rsidR="001616A4" w:rsidRPr="001B181A" w:rsidP="001616A4">
            <w:pPr>
              <w:pStyle w:val="NoSpacing"/>
              <w:jc w:val="both"/>
            </w:pPr>
          </w:p>
          <w:p w:rsidR="00AD2277" w:rsidRPr="001616A4" w:rsidP="002F63F2">
            <w:pPr>
              <w:pStyle w:val="NoSpacing"/>
              <w:jc w:val="both"/>
            </w:pPr>
            <w:r w:rsidRPr="001B181A">
              <w:t>Lai nodrošinātu savlaicīgu minēto vielu iekļaušanu MK noteikumos Nr. 847 un likuma 2. pielikumā, par likuma spēkā stāš</w:t>
            </w:r>
            <w:r w:rsidRPr="001B181A" w:rsidR="001B7D45">
              <w:t>anās datumu ir noteikts 2017</w:t>
            </w:r>
            <w:r w:rsidRPr="001B181A">
              <w:t xml:space="preserve">. gada </w:t>
            </w:r>
            <w:r w:rsidR="00CD3AA8">
              <w:t>1</w:t>
            </w:r>
            <w:r w:rsidRPr="001B181A">
              <w:t xml:space="preserve">. </w:t>
            </w:r>
            <w:r w:rsidR="005C4354">
              <w:t>oktobri</w:t>
            </w:r>
            <w:r w:rsidRPr="001B181A" w:rsidR="001B7D45">
              <w:t>s</w:t>
            </w:r>
            <w:r w:rsidRPr="001B181A">
              <w:t>.</w:t>
            </w:r>
          </w:p>
        </w:tc>
      </w:tr>
      <w:tr w:rsidTr="009C212A">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P="00365E3A">
            <w:pPr>
              <w:pStyle w:val="NoSpacing"/>
              <w:jc w:val="both"/>
            </w:pPr>
            <w:r w:rsidRPr="001616A4">
              <w:t>Slimību p</w:t>
            </w:r>
            <w:r w:rsidRPr="001616A4" w:rsidR="00536B6A">
              <w:t xml:space="preserve">rofilakses un kontroles centrs, </w:t>
            </w:r>
            <w:r w:rsidRPr="001616A4">
              <w:t>valsts sabi</w:t>
            </w:r>
            <w:r w:rsidRPr="001616A4" w:rsidR="00365E3A">
              <w:t xml:space="preserve">edrība ar ierobežotu atbildību </w:t>
            </w:r>
            <w:r w:rsidR="003B27BA">
              <w:t>„</w:t>
            </w:r>
            <w:r w:rsidRPr="001616A4">
              <w:t>Rīgas psihiatrijas un narkoloģijas centrs</w:t>
            </w:r>
            <w:r w:rsidR="003B27BA">
              <w:t>”</w:t>
            </w:r>
            <w:r w:rsidRPr="001616A4">
              <w:t>, Valsts policijas Kriminālistikas pārvalde</w:t>
            </w:r>
            <w:r w:rsidRPr="001616A4" w:rsidR="00536B6A">
              <w:t>, Latvijas Organiskās sintēzes institūts</w:t>
            </w:r>
            <w:r w:rsidRPr="001616A4" w:rsidR="005601F6">
              <w:t>, Zāļu valsts aģentūra</w:t>
            </w:r>
            <w:r w:rsidRPr="001616A4" w:rsidR="00536B6A">
              <w:t>.</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 informācija</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P="00225E5D">
            <w:pPr>
              <w:pStyle w:val="ListParagraph"/>
              <w:shd w:val="clear" w:color="auto" w:fill="FFFFFF"/>
              <w:ind w:left="0"/>
              <w:jc w:val="both"/>
            </w:pPr>
            <w:r w:rsidRPr="001616A4">
              <w:t>Nav</w:t>
            </w:r>
          </w:p>
        </w:tc>
      </w:tr>
    </w:tbl>
    <w:p w:rsidR="00CD3AA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1827"/>
        <w:gridCol w:w="6775"/>
      </w:tblGrid>
      <w:tr w:rsidTr="009C21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555"/>
        </w:trPr>
        <w:tc>
          <w:tcPr>
            <w:tcW w:w="5000" w:type="pct"/>
            <w:gridSpan w:val="3"/>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II. Tiesību akta projekta ietekme uz sabiedrību, tautsaimniecības attīstību un administratīvo slogu</w:t>
            </w:r>
          </w:p>
        </w:tc>
      </w:tr>
      <w:tr w:rsidTr="00A0025F">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Sabiedrības mērķgrupas, kuras tiesiskais regulējums ietekmē vai varētu ietekmēt</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 xml:space="preserve">Likumprojektam ir pozitīva ietekme uz sabiedrības veselību – </w:t>
            </w:r>
            <w:r w:rsidRPr="001616A4">
              <w:rPr>
                <w:u w:val="single"/>
              </w:rPr>
              <w:t>tiek aizstāvētas sabiedrības intereses kopumā</w:t>
            </w:r>
            <w:r w:rsidRPr="001616A4">
              <w:t>, kavējot narkotisko un psihotropo vielu piedāvājuma un pieprasījuma pieaugumu Latvijā.</w:t>
            </w:r>
          </w:p>
          <w:p w:rsidR="00D9641C" w:rsidRPr="001616A4" w:rsidP="001B3285">
            <w:pPr>
              <w:pStyle w:val="NoSpacing"/>
              <w:jc w:val="both"/>
            </w:pPr>
            <w:r w:rsidRPr="001616A4">
              <w:t>Likumprojekts ietekmēs:</w:t>
            </w:r>
          </w:p>
          <w:p w:rsidR="00D9641C" w:rsidRPr="001616A4" w:rsidP="001B3285">
            <w:pPr>
              <w:pStyle w:val="NoSpacing"/>
              <w:jc w:val="both"/>
              <w:rPr>
                <w:lang w:eastAsia="en-US"/>
              </w:rPr>
            </w:pPr>
            <w:r w:rsidRPr="001616A4">
              <w:t>1) </w:t>
            </w:r>
            <w:r w:rsidRPr="001616A4" w:rsidR="009C212A">
              <w:rPr>
                <w:lang w:eastAsia="en-US"/>
              </w:rPr>
              <w:t>tiesībsargājošās iestāde</w:t>
            </w:r>
            <w:r w:rsidRPr="001616A4">
              <w:rPr>
                <w:lang w:eastAsia="en-US"/>
              </w:rPr>
              <w:t>s (Valsts policija, Pašvaldību policija, Valsts ieņēmumu dienesta Muitas policijas pārvalde);</w:t>
            </w:r>
          </w:p>
          <w:p w:rsidR="00D9641C" w:rsidRPr="001616A4" w:rsidP="001B3285">
            <w:pPr>
              <w:pStyle w:val="NoSpacing"/>
              <w:jc w:val="both"/>
              <w:rPr>
                <w:lang w:eastAsia="en-US"/>
              </w:rPr>
            </w:pPr>
            <w:r w:rsidRPr="001616A4">
              <w:rPr>
                <w:lang w:eastAsia="en-US"/>
              </w:rPr>
              <w:t>2) iestāde</w:t>
            </w:r>
            <w:r w:rsidRPr="001616A4">
              <w:rPr>
                <w:lang w:eastAsia="en-US"/>
              </w:rPr>
              <w:t>s, kurām ir tiesības veikt ekspertīzes;</w:t>
            </w:r>
          </w:p>
          <w:p w:rsidR="00D9641C" w:rsidRPr="001616A4" w:rsidP="001B3285">
            <w:pPr>
              <w:pStyle w:val="NoSpacing"/>
              <w:jc w:val="both"/>
              <w:rPr>
                <w:lang w:eastAsia="en-US"/>
              </w:rPr>
            </w:pPr>
            <w:r w:rsidRPr="001616A4">
              <w:rPr>
                <w:lang w:eastAsia="en-US"/>
              </w:rPr>
              <w:t>3) ārstniecības iestāde</w:t>
            </w:r>
            <w:r w:rsidRPr="001616A4">
              <w:rPr>
                <w:lang w:eastAsia="en-US"/>
              </w:rPr>
              <w:t xml:space="preserve">s, kurās var atrasties pacients minēto </w:t>
            </w:r>
            <w:r w:rsidRPr="001616A4">
              <w:rPr>
                <w:lang w:eastAsia="en-US"/>
              </w:rPr>
              <w:t xml:space="preserve"> vielu ietekmē vai iespaidā</w:t>
            </w:r>
            <w:r w:rsidRPr="001616A4">
              <w:rPr>
                <w:lang w:eastAsia="en-US"/>
              </w:rPr>
              <w:t>;</w:t>
            </w:r>
          </w:p>
          <w:p w:rsidR="005601F6" w:rsidRPr="001616A4" w:rsidP="005601F6">
            <w:pPr>
              <w:pStyle w:val="NoSpacing"/>
              <w:jc w:val="both"/>
              <w:rPr>
                <w:lang w:eastAsia="en-US"/>
              </w:rPr>
            </w:pPr>
            <w:r w:rsidRPr="001616A4">
              <w:rPr>
                <w:lang w:eastAsia="en-US"/>
              </w:rPr>
              <w:t>4) fiziskas personas, kas lieto minētās vielas</w:t>
            </w:r>
            <w:r w:rsidR="00C04CE3">
              <w:rPr>
                <w:lang w:eastAsia="en-US"/>
              </w:rPr>
              <w:t xml:space="preserve">. </w:t>
            </w:r>
          </w:p>
        </w:tc>
      </w:tr>
      <w:tr w:rsidTr="00A0025F">
        <w:tblPrEx>
          <w:tblW w:w="5000" w:type="pct"/>
          <w:tblCellMar>
            <w:top w:w="30" w:type="dxa"/>
            <w:left w:w="30" w:type="dxa"/>
            <w:bottom w:w="30" w:type="dxa"/>
            <w:right w:w="30" w:type="dxa"/>
          </w:tblCellMar>
          <w:tblLook w:val="00A0"/>
        </w:tblPrEx>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Tiesiskā regulējuma ietekme uz tautsaimniecību un administratīvo slogu</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P="008D71D6">
            <w:pPr>
              <w:pStyle w:val="NoSpacing"/>
              <w:jc w:val="both"/>
              <w:rPr>
                <w:highlight w:val="yellow"/>
              </w:rPr>
            </w:pPr>
            <w:r w:rsidRPr="001616A4">
              <w:t>Projekts šo jomu neskar</w:t>
            </w:r>
          </w:p>
        </w:tc>
      </w:tr>
      <w:tr w:rsidTr="00A0025F">
        <w:tblPrEx>
          <w:tblW w:w="5000" w:type="pct"/>
          <w:tblCellMar>
            <w:top w:w="30" w:type="dxa"/>
            <w:left w:w="30" w:type="dxa"/>
            <w:bottom w:w="30" w:type="dxa"/>
            <w:right w:w="30" w:type="dxa"/>
          </w:tblCellMar>
          <w:tblLook w:val="00A0"/>
        </w:tblPrEx>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Administratīvo izmaksu monetārs novērtējums</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Projekts šo jomu neskar</w:t>
            </w:r>
          </w:p>
        </w:tc>
      </w:tr>
      <w:tr w:rsidTr="00A0025F">
        <w:tblPrEx>
          <w:tblW w:w="5000" w:type="pct"/>
          <w:tblCellMar>
            <w:top w:w="30" w:type="dxa"/>
            <w:left w:w="30" w:type="dxa"/>
            <w:bottom w:w="30" w:type="dxa"/>
            <w:right w:w="30" w:type="dxa"/>
          </w:tblCellMar>
          <w:tblLook w:val="00A0"/>
        </w:tblPrEx>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 informācija</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Nav</w:t>
            </w:r>
          </w:p>
        </w:tc>
      </w:tr>
    </w:tbl>
    <w:p w:rsidR="00D9641C" w:rsidRPr="001616A4"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055"/>
      </w:tblGrid>
      <w:tr w:rsidTr="001B328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360"/>
        </w:trPr>
        <w:tc>
          <w:tcPr>
            <w:tcW w:w="0" w:type="auto"/>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III. Tiesību akta projekta ietekme uz valsts budžetu un pašvaldību budžetiem</w:t>
            </w:r>
          </w:p>
        </w:tc>
      </w:tr>
      <w:tr w:rsidTr="00031318">
        <w:tblPrEx>
          <w:tblW w:w="5000" w:type="pct"/>
          <w:tblCellMar>
            <w:top w:w="30" w:type="dxa"/>
            <w:left w:w="30" w:type="dxa"/>
            <w:bottom w:w="30" w:type="dxa"/>
            <w:right w:w="30" w:type="dxa"/>
          </w:tblCellMar>
          <w:tblLook w:val="00A0"/>
        </w:tblPrEx>
        <w:tc>
          <w:tcPr>
            <w:tcW w:w="5000" w:type="pct"/>
            <w:tcBorders>
              <w:top w:val="outset" w:sz="6" w:space="0" w:color="414142"/>
              <w:bottom w:val="outset" w:sz="6" w:space="0" w:color="414142"/>
            </w:tcBorders>
            <w:shd w:val="clear" w:color="auto" w:fill="FFFFFF"/>
            <w:vAlign w:val="center"/>
          </w:tcPr>
          <w:p w:rsidR="00D9641C" w:rsidRPr="001616A4" w:rsidP="00031318">
            <w:pPr>
              <w:pStyle w:val="NoSpacing"/>
              <w:jc w:val="center"/>
              <w:rPr>
                <w:i/>
              </w:rPr>
            </w:pPr>
            <w:r w:rsidRPr="001616A4">
              <w:rPr>
                <w:i/>
              </w:rPr>
              <w:t>Projekts šo jomu neskar.</w:t>
            </w:r>
          </w:p>
        </w:tc>
      </w:tr>
    </w:tbl>
    <w:p w:rsidR="00D9641C" w:rsidRPr="001616A4"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1695"/>
        <w:gridCol w:w="6907"/>
      </w:tblGrid>
      <w:tr w:rsidTr="001B328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50"/>
        </w:trPr>
        <w:tc>
          <w:tcPr>
            <w:tcW w:w="0" w:type="auto"/>
            <w:gridSpan w:val="3"/>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IV. Tiesību akta projekta ietekme uz spēkā esošo tiesību normu sistēmu</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P="003B27BA">
            <w:pPr>
              <w:pStyle w:val="NoSpacing"/>
              <w:jc w:val="both"/>
            </w:pPr>
            <w:r w:rsidRPr="001616A4">
              <w:t>Vienlaicīgi ar šo Likumprojektu virzāms Minist</w:t>
            </w:r>
            <w:r w:rsidRPr="001616A4" w:rsidR="001B7D45">
              <w:t>ru kabineta noteikumu projekts "</w:t>
            </w:r>
            <w:r w:rsidRPr="001616A4">
              <w:t xml:space="preserve">Grozījumi Ministru kabineta 2005. gada </w:t>
            </w:r>
            <w:r w:rsidRPr="001616A4" w:rsidR="001B7D45">
              <w:t xml:space="preserve">8. novembra noteikumos Nr. 847 </w:t>
            </w:r>
            <w:r w:rsidR="003B27BA">
              <w:t>„</w:t>
            </w:r>
            <w:r w:rsidRPr="001616A4">
              <w:t>Noteikumi par Latvijā kontrolējamajām narkotiskajām vielām, psihot</w:t>
            </w:r>
            <w:r w:rsidRPr="001616A4" w:rsidR="001B7D45">
              <w:t>ropajām vielām un prekursoriem</w:t>
            </w:r>
            <w:r w:rsidR="003B27BA">
              <w:t>””</w:t>
            </w:r>
            <w:r w:rsidRPr="001616A4">
              <w:t>, papildinot Latvijā kontrolējamo narkotisko vielu, psihotropo vielu un prekursoru sarakstu</w:t>
            </w:r>
            <w:r w:rsidRPr="001616A4" w:rsidR="001B7D45">
              <w:t>s</w:t>
            </w:r>
            <w:r w:rsidRPr="001616A4">
              <w:t xml:space="preserve"> ar </w:t>
            </w:r>
            <w:r w:rsidRPr="001616A4" w:rsidR="00C34A2B">
              <w:t>jaunām vielām</w:t>
            </w:r>
            <w:r w:rsidRPr="001616A4">
              <w:t>.</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Atbildīgā institūcija</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Veselības ministrija</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 informācija</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Nav</w:t>
            </w:r>
          </w:p>
        </w:tc>
      </w:tr>
    </w:tbl>
    <w:p w:rsidR="00D9641C" w:rsidRPr="001616A4"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1572"/>
        <w:gridCol w:w="7030"/>
      </w:tblGrid>
      <w:tr w:rsidTr="0027430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c>
          <w:tcPr>
            <w:tcW w:w="5000" w:type="pct"/>
            <w:gridSpan w:val="3"/>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V. Tiesību akta projekta atbilstība Latvijas Republikas starptautiskajām saistībām</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1.</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Saistības pret Eiropas Savienību</w:t>
            </w:r>
          </w:p>
        </w:tc>
        <w:tc>
          <w:tcPr>
            <w:tcW w:w="3882" w:type="pct"/>
            <w:tcBorders>
              <w:top w:val="outset" w:sz="6" w:space="0" w:color="414142"/>
              <w:left w:val="outset" w:sz="6" w:space="0" w:color="414142"/>
              <w:bottom w:val="outset" w:sz="6" w:space="0" w:color="414142"/>
            </w:tcBorders>
            <w:shd w:val="clear" w:color="auto" w:fill="FFFFFF"/>
          </w:tcPr>
          <w:p w:rsidR="001616A4" w:rsidRPr="001616A4" w:rsidP="00B262FF">
            <w:pPr>
              <w:pStyle w:val="NoSpacing"/>
              <w:jc w:val="both"/>
            </w:pPr>
            <w:r>
              <w:t>Nav</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2.</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Citas starptautiskās saistības</w:t>
            </w:r>
          </w:p>
        </w:tc>
        <w:tc>
          <w:tcPr>
            <w:tcW w:w="3882" w:type="pct"/>
            <w:tcBorders>
              <w:top w:val="outset" w:sz="6" w:space="0" w:color="414142"/>
              <w:left w:val="outset" w:sz="6" w:space="0" w:color="414142"/>
              <w:bottom w:val="outset" w:sz="6" w:space="0" w:color="414142"/>
            </w:tcBorders>
            <w:shd w:val="clear" w:color="auto" w:fill="FFFFFF"/>
          </w:tcPr>
          <w:p w:rsidR="00D9641C" w:rsidRPr="001616A4" w:rsidP="000709FD">
            <w:pPr>
              <w:pStyle w:val="NoSpacing"/>
              <w:jc w:val="both"/>
            </w:pPr>
            <w:r w:rsidRPr="001616A4">
              <w:t>Nav</w:t>
            </w:r>
          </w:p>
        </w:tc>
      </w:tr>
      <w:tr w:rsidTr="009C212A">
        <w:tblPrEx>
          <w:tblW w:w="5000" w:type="pct"/>
          <w:tblCellMar>
            <w:top w:w="30" w:type="dxa"/>
            <w:left w:w="30" w:type="dxa"/>
            <w:bottom w:w="30" w:type="dxa"/>
            <w:right w:w="30" w:type="dxa"/>
          </w:tblCellMar>
          <w:tblLook w:val="00A0"/>
        </w:tblPrEx>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3.</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 informācija</w:t>
            </w:r>
          </w:p>
        </w:tc>
        <w:tc>
          <w:tcPr>
            <w:tcW w:w="3882" w:type="pct"/>
            <w:tcBorders>
              <w:top w:val="outset" w:sz="6" w:space="0" w:color="414142"/>
              <w:left w:val="outset" w:sz="6" w:space="0" w:color="414142"/>
              <w:bottom w:val="outset" w:sz="6" w:space="0" w:color="414142"/>
            </w:tcBorders>
            <w:shd w:val="clear" w:color="auto" w:fill="FFFFFF"/>
          </w:tcPr>
          <w:p w:rsidR="00D9641C" w:rsidRPr="001616A4" w:rsidP="001E1C1B">
            <w:pPr>
              <w:pStyle w:val="NoSpacing"/>
              <w:jc w:val="both"/>
            </w:pPr>
            <w:r w:rsidRPr="001616A4">
              <w:t>Nav</w:t>
            </w:r>
          </w:p>
        </w:tc>
      </w:tr>
    </w:tbl>
    <w:p w:rsidR="00D9641C" w:rsidRPr="001616A4" w:rsidP="00E101BB">
      <w:pPr>
        <w:pStyle w:val="NoSpacing"/>
        <w:jc w:val="both"/>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562"/>
        <w:gridCol w:w="2256"/>
        <w:gridCol w:w="1094"/>
        <w:gridCol w:w="948"/>
        <w:gridCol w:w="2275"/>
      </w:tblGrid>
      <w:tr w:rsidTr="00E206BA">
        <w:tblPrEx>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c>
          <w:tcPr>
            <w:tcW w:w="0" w:type="auto"/>
            <w:gridSpan w:val="5"/>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1.tabula</w:t>
            </w:r>
            <w:r w:rsidRPr="001616A4">
              <w:br/>
              <w:t>Tiesību akta projekta atbilstība ES tiesību aktiem</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Attiecīgā ES tiesību akta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D9641C" w:rsidRPr="001B181A" w:rsidP="00B262FF">
            <w:pPr>
              <w:pStyle w:val="NoSpacing"/>
              <w:jc w:val="both"/>
            </w:pP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vAlign w:val="center"/>
          </w:tcPr>
          <w:p w:rsidR="00D9641C" w:rsidRPr="001616A4" w:rsidP="001B3285">
            <w:pPr>
              <w:pStyle w:val="NoSpacing"/>
              <w:jc w:val="both"/>
            </w:pPr>
            <w:r w:rsidRPr="001616A4">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1616A4" w:rsidP="001B3285">
            <w:pPr>
              <w:pStyle w:val="NoSpacing"/>
              <w:jc w:val="both"/>
            </w:pPr>
            <w:r w:rsidRPr="001616A4">
              <w:t>B</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1616A4" w:rsidP="001B3285">
            <w:pPr>
              <w:pStyle w:val="NoSpacing"/>
              <w:jc w:val="both"/>
            </w:pPr>
            <w:r w:rsidRPr="001616A4">
              <w:t>C</w:t>
            </w:r>
          </w:p>
        </w:tc>
        <w:tc>
          <w:tcPr>
            <w:tcW w:w="1245" w:type="pct"/>
            <w:tcBorders>
              <w:top w:val="outset" w:sz="6" w:space="0" w:color="414142"/>
              <w:left w:val="outset" w:sz="6" w:space="0" w:color="414142"/>
              <w:bottom w:val="outset" w:sz="6" w:space="0" w:color="414142"/>
            </w:tcBorders>
            <w:shd w:val="clear" w:color="auto" w:fill="FFFFFF"/>
            <w:vAlign w:val="center"/>
          </w:tcPr>
          <w:p w:rsidR="00D9641C" w:rsidRPr="001616A4" w:rsidP="001B3285">
            <w:pPr>
              <w:pStyle w:val="NoSpacing"/>
              <w:jc w:val="both"/>
            </w:pPr>
            <w:r w:rsidRPr="001616A4">
              <w:t>D</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Projekta vienība, kas pārņem vai ievieš katru šīs tabulas A ailē minēto ES tiesību akta vienību, vai tiesību akts, kur attiecīgā ES tiesību akta vienība pārņemta vai ieviesta</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Informācija par to, vai šīs tabulas A ailē minētās ES tiesību akta vienības tiek pārņemtas vai ieviestas pilnībā vai daļēji.</w:t>
            </w:r>
          </w:p>
          <w:p w:rsidR="00D9641C" w:rsidRPr="001616A4" w:rsidP="001B3285">
            <w:pPr>
              <w:pStyle w:val="NoSpacing"/>
              <w:jc w:val="both"/>
            </w:pPr>
            <w:r w:rsidRPr="001616A4">
              <w:t xml:space="preserve">Ja attiecīgā ES tiesību akta vienība tiek pārņemta vai </w:t>
            </w:r>
            <w:r w:rsidRPr="001616A4">
              <w:t>ieviesta daļēji, sniedz attiecīgu skaidrojumu, kā arī precīzi norāda, kad un kādā veidā ES tiesību akta vienība tiks pārņemta vai ieviesta pilnībā.</w:t>
            </w:r>
          </w:p>
          <w:p w:rsidR="00D9641C" w:rsidRPr="001616A4" w:rsidP="001B3285">
            <w:pPr>
              <w:pStyle w:val="NoSpacing"/>
              <w:jc w:val="both"/>
            </w:pPr>
            <w:r w:rsidRPr="001616A4">
              <w:t>Norāda institūciju, kas ir atbildīga par šo saistību izpildi pilnībā</w:t>
            </w:r>
          </w:p>
        </w:tc>
        <w:tc>
          <w:tcPr>
            <w:tcW w:w="1245"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Informācija par to, vai šīs tabulas B ailē minētās projekta vienības paredz stingrākas prasības nekā šīs tabulas A ailē minētās ES tiesību akta vienības.</w:t>
            </w:r>
          </w:p>
          <w:p w:rsidR="00D9641C" w:rsidRPr="001616A4" w:rsidP="001B3285">
            <w:pPr>
              <w:pStyle w:val="NoSpacing"/>
              <w:jc w:val="both"/>
            </w:pPr>
            <w:r w:rsidRPr="001616A4">
              <w:t xml:space="preserve">Ja projekts satur stingrākas prasības </w:t>
            </w:r>
            <w:r w:rsidRPr="001616A4">
              <w:t>nekā attiecīgais ES tiesību akts, norāda pamatojumu un samērīgumu.</w:t>
            </w:r>
          </w:p>
          <w:p w:rsidR="00D9641C" w:rsidRPr="001616A4" w:rsidP="001B3285">
            <w:pPr>
              <w:pStyle w:val="NoSpacing"/>
              <w:jc w:val="both"/>
            </w:pPr>
            <w:r w:rsidRPr="001616A4">
              <w:t>Norāda iespējamās alternatīvas (t.sk. alternatīvas, kas neparedz tiesiskā regulējuma izstrādi) - kādos gadījumos būtu iespējams izvairīties no stingrāku prasību noteikšanas, nekā paredzēts attiecīgajos ES tiesību aktos</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B262FF" w:rsidP="001B3285">
            <w:pPr>
              <w:pStyle w:val="NoSpacing"/>
              <w:jc w:val="both"/>
            </w:pPr>
            <w:r>
              <w:t xml:space="preserve"> </w:t>
            </w:r>
            <w:r w:rsidR="00E52A4E">
              <w:t>Nav</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B262FF" w:rsidRPr="00B262FF" w:rsidP="00B262FF">
            <w:pPr>
              <w:pStyle w:val="NoSpacing"/>
              <w:jc w:val="both"/>
            </w:pPr>
            <w:r>
              <w:t>Nav</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B262FF" w:rsidP="001B3285">
            <w:pPr>
              <w:pStyle w:val="NoSpacing"/>
              <w:jc w:val="both"/>
            </w:pPr>
            <w:r>
              <w:t>Nav</w:t>
            </w:r>
          </w:p>
        </w:tc>
        <w:tc>
          <w:tcPr>
            <w:tcW w:w="1245" w:type="pct"/>
            <w:tcBorders>
              <w:top w:val="outset" w:sz="6" w:space="0" w:color="414142"/>
              <w:left w:val="outset" w:sz="6" w:space="0" w:color="414142"/>
              <w:bottom w:val="outset" w:sz="6" w:space="0" w:color="414142"/>
            </w:tcBorders>
            <w:shd w:val="clear" w:color="auto" w:fill="FFFFFF"/>
          </w:tcPr>
          <w:p w:rsidR="00B262FF" w:rsidRPr="00B262FF" w:rsidP="001B3285">
            <w:pPr>
              <w:pStyle w:val="NoSpacing"/>
              <w:jc w:val="both"/>
            </w:pPr>
            <w:r>
              <w:t>Nav</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1B3285">
            <w:pPr>
              <w:pStyle w:val="NoSpacing"/>
              <w:jc w:val="both"/>
            </w:pPr>
            <w:r w:rsidRPr="001616A4">
              <w:t>Kā ir izmantota ES tiesību aktā paredzētā rīcības brīvība dalībvalstij pārņemt vai ieviest noteiktas ES tiesību akta normas?</w:t>
            </w:r>
            <w:r w:rsidRPr="001616A4">
              <w:br/>
              <w:t>Kādēļ?</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P="001B3285">
            <w:pPr>
              <w:pStyle w:val="NoSpacing"/>
              <w:jc w:val="both"/>
            </w:pPr>
            <w:r w:rsidRPr="001616A4">
              <w:t>Nav attiecināms</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1B3285">
            <w:pPr>
              <w:pStyle w:val="NoSpacing"/>
              <w:jc w:val="both"/>
            </w:pPr>
            <w:r w:rsidRPr="001616A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P="00315DA5">
            <w:pPr>
              <w:pStyle w:val="NoSpacing"/>
              <w:jc w:val="both"/>
            </w:pPr>
            <w:r w:rsidRPr="001616A4">
              <w:t xml:space="preserve">Par likumprojektu nepieciešams sniegt paziņojumu Eiropas Komisijai saskaņā ar Ministru kabineta 2010. gada 23. februāra instrukcijas Nr. 1 "Kārtība, kādā valsts pārvaldes iestādes sniedz informāciju par tehnisko noteikumu projektiem" 2.3. un 2.4. apakšpunktiem. </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1B3285">
            <w:pPr>
              <w:pStyle w:val="NoSpacing"/>
              <w:jc w:val="both"/>
            </w:pPr>
            <w:r w:rsidRPr="001616A4">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P="008602B2">
            <w:pPr>
              <w:pStyle w:val="NoSpacing"/>
              <w:jc w:val="both"/>
            </w:pPr>
            <w:r w:rsidRPr="001616A4">
              <w:t>Nav</w:t>
            </w:r>
          </w:p>
        </w:tc>
      </w:tr>
      <w:tr w:rsidTr="00E206BA">
        <w:tblPrEx>
          <w:tblW w:w="5044" w:type="pct"/>
          <w:tblCellMar>
            <w:top w:w="30" w:type="dxa"/>
            <w:left w:w="30" w:type="dxa"/>
            <w:bottom w:w="30" w:type="dxa"/>
            <w:right w:w="30" w:type="dxa"/>
          </w:tblCellMar>
          <w:tblLook w:val="00A0"/>
        </w:tblPrEx>
        <w:tc>
          <w:tcPr>
            <w:tcW w:w="5000" w:type="pct"/>
            <w:gridSpan w:val="5"/>
            <w:tcBorders>
              <w:top w:val="outset" w:sz="6" w:space="0" w:color="414142"/>
              <w:bottom w:val="outset" w:sz="6" w:space="0" w:color="414142"/>
            </w:tcBorders>
            <w:shd w:val="clear" w:color="auto" w:fill="FFFFFF"/>
            <w:vAlign w:val="center"/>
          </w:tcPr>
          <w:p w:rsidR="00B262FF" w:rsidRPr="001616A4" w:rsidP="002E538B">
            <w:pPr>
              <w:pStyle w:val="NoSpacing"/>
              <w:jc w:val="both"/>
            </w:pPr>
            <w:r w:rsidRPr="001616A4">
              <w:t>2.tabula</w:t>
            </w:r>
            <w:r w:rsidRPr="001616A4">
              <w:br/>
              <w:t>Ar tiesību akta projektu izpildītās vai uzņemtās saistības, kas izriet no starptautiskajiem tiesību aktiem vai starptautiskas institūcijas vai organizācijas dokumentiem.</w:t>
            </w:r>
            <w:r w:rsidRPr="001616A4">
              <w:br/>
              <w:t>Pasākumi šo saistību izpildei</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vAlign w:val="center"/>
          </w:tcPr>
          <w:p w:rsidR="00B262FF" w:rsidRPr="001616A4" w:rsidP="002E538B">
            <w:pPr>
              <w:pStyle w:val="NoSpacing"/>
              <w:jc w:val="both"/>
            </w:pPr>
            <w:r w:rsidRPr="001616A4">
              <w:t>Attiecīgā starptautiskā tiesību akta vai starptautiskas institūcijas vai organizācijas dokumenta (turpmāk - starptautiskais dokuments)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P="000709FD">
            <w:pPr>
              <w:pStyle w:val="NoSpacing"/>
              <w:jc w:val="both"/>
            </w:pPr>
            <w:r w:rsidRPr="001616A4">
              <w:t>Nav</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vAlign w:val="center"/>
          </w:tcPr>
          <w:p w:rsidR="00B262FF" w:rsidRPr="001616A4" w:rsidP="002E538B">
            <w:pPr>
              <w:pStyle w:val="NoSpacing"/>
              <w:jc w:val="both"/>
            </w:pPr>
            <w:r w:rsidRPr="001616A4">
              <w:t>A</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B262FF" w:rsidRPr="001616A4" w:rsidP="002E538B">
            <w:pPr>
              <w:pStyle w:val="NoSpacing"/>
              <w:jc w:val="both"/>
            </w:pPr>
            <w:r w:rsidRPr="001616A4">
              <w:t>B</w:t>
            </w:r>
          </w:p>
        </w:tc>
        <w:tc>
          <w:tcPr>
            <w:tcW w:w="1764" w:type="pct"/>
            <w:gridSpan w:val="2"/>
            <w:tcBorders>
              <w:top w:val="outset" w:sz="6" w:space="0" w:color="414142"/>
              <w:left w:val="outset" w:sz="6" w:space="0" w:color="414142"/>
              <w:bottom w:val="outset" w:sz="6" w:space="0" w:color="414142"/>
            </w:tcBorders>
            <w:shd w:val="clear" w:color="auto" w:fill="FFFFFF"/>
            <w:vAlign w:val="center"/>
          </w:tcPr>
          <w:p w:rsidR="00B262FF" w:rsidRPr="001616A4" w:rsidP="002E538B">
            <w:pPr>
              <w:pStyle w:val="NoSpacing"/>
              <w:jc w:val="both"/>
            </w:pPr>
            <w:r w:rsidRPr="001616A4">
              <w:t>C</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2E538B">
            <w:pPr>
              <w:pStyle w:val="NoSpacing"/>
              <w:jc w:val="both"/>
            </w:pPr>
            <w:r w:rsidRPr="001616A4">
              <w:t>Starptautiskās saistības (pēc būtības), kas izriet no norādītā starptautiskā dokumenta.</w:t>
            </w:r>
          </w:p>
          <w:p w:rsidR="00B262FF" w:rsidRPr="001616A4" w:rsidP="002E538B">
            <w:pPr>
              <w:pStyle w:val="NoSpacing"/>
              <w:jc w:val="both"/>
            </w:pPr>
            <w:r w:rsidRPr="001616A4">
              <w:t>Konkrēti veicamie pasākumi vai uzdevumi, kas nepieciešami šo starptautisko saistību izpildei</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1616A4" w:rsidP="002E538B">
            <w:pPr>
              <w:pStyle w:val="NoSpacing"/>
              <w:jc w:val="both"/>
            </w:pPr>
            <w:r w:rsidRPr="001616A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64" w:type="pct"/>
            <w:gridSpan w:val="2"/>
            <w:tcBorders>
              <w:top w:val="outset" w:sz="6" w:space="0" w:color="414142"/>
              <w:left w:val="outset" w:sz="6" w:space="0" w:color="414142"/>
              <w:bottom w:val="outset" w:sz="6" w:space="0" w:color="414142"/>
            </w:tcBorders>
            <w:shd w:val="clear" w:color="auto" w:fill="FFFFFF"/>
          </w:tcPr>
          <w:p w:rsidR="00B262FF" w:rsidRPr="001616A4" w:rsidP="002E538B">
            <w:pPr>
              <w:pStyle w:val="NoSpacing"/>
              <w:jc w:val="both"/>
            </w:pPr>
            <w:r w:rsidRPr="001616A4">
              <w:t>Informācija par to, vai starptautiskās saistības, kas minētas šīs tabulas A ailē, tiek izpildītas pilnībā vai daļēji.</w:t>
            </w:r>
          </w:p>
          <w:p w:rsidR="00B262FF" w:rsidRPr="001616A4" w:rsidP="002E538B">
            <w:pPr>
              <w:pStyle w:val="NoSpacing"/>
              <w:jc w:val="both"/>
            </w:pPr>
            <w:r w:rsidRPr="001616A4">
              <w:t>Ja attiecīgās starptautiskās saistības tiek izpildītas daļēji, sniedz skaidrojumu, kā arī precīzi norāda, kad un kādā veidā starptautiskās saistības tiks izpildītas pilnībā.</w:t>
            </w:r>
          </w:p>
          <w:p w:rsidR="00B262FF" w:rsidRPr="001616A4" w:rsidP="002E538B">
            <w:pPr>
              <w:pStyle w:val="NoSpacing"/>
              <w:jc w:val="both"/>
            </w:pPr>
            <w:r w:rsidRPr="001616A4">
              <w:t>Norāda institūciju, kas ir atbildīga par šo saistību izpildi pilnībā</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2E538B">
            <w:pPr>
              <w:pStyle w:val="NoSpacing"/>
              <w:jc w:val="both"/>
            </w:pPr>
            <w:r w:rsidRPr="001616A4">
              <w:rPr>
                <w:noProof/>
              </w:rPr>
              <w:t>Nav</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1616A4" w:rsidP="0091779D">
            <w:pPr>
              <w:pStyle w:val="NoSpacing"/>
              <w:jc w:val="both"/>
              <w:rPr>
                <w:b/>
              </w:rPr>
            </w:pPr>
            <w:r w:rsidRPr="001616A4">
              <w:t>Nav</w:t>
            </w:r>
          </w:p>
        </w:tc>
        <w:tc>
          <w:tcPr>
            <w:tcW w:w="1764" w:type="pct"/>
            <w:gridSpan w:val="2"/>
            <w:tcBorders>
              <w:top w:val="outset" w:sz="6" w:space="0" w:color="414142"/>
              <w:left w:val="outset" w:sz="6" w:space="0" w:color="414142"/>
              <w:bottom w:val="outset" w:sz="6" w:space="0" w:color="414142"/>
            </w:tcBorders>
            <w:shd w:val="clear" w:color="auto" w:fill="FFFFFF"/>
          </w:tcPr>
          <w:p w:rsidR="00B262FF" w:rsidRPr="001616A4" w:rsidP="002E538B">
            <w:pPr>
              <w:pStyle w:val="NoSpacing"/>
              <w:jc w:val="both"/>
              <w:rPr>
                <w:b/>
              </w:rPr>
            </w:pPr>
            <w:r w:rsidRPr="001616A4">
              <w:t>Nav</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2E538B">
            <w:pPr>
              <w:pStyle w:val="NoSpacing"/>
              <w:jc w:val="both"/>
            </w:pPr>
            <w:r w:rsidRPr="001616A4">
              <w:t>Vai starptautiskajā dokumentā paredzētās saistības nav pretrunā ar jau esošajām Latvijas Republikas starptautiskajām saistībām</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P="002E538B">
            <w:pPr>
              <w:pStyle w:val="NoSpacing"/>
              <w:jc w:val="both"/>
              <w:rPr>
                <w:b/>
              </w:rPr>
            </w:pPr>
            <w:r w:rsidRPr="001616A4">
              <w:t>Projekts neparedz jaunas starptautiskas saistības.</w:t>
            </w:r>
          </w:p>
        </w:tc>
      </w:tr>
      <w:tr w:rsidTr="009C212A">
        <w:tblPrEx>
          <w:tblW w:w="5044" w:type="pct"/>
          <w:tblCellMar>
            <w:top w:w="30" w:type="dxa"/>
            <w:left w:w="30" w:type="dxa"/>
            <w:bottom w:w="30" w:type="dxa"/>
            <w:right w:w="30" w:type="dxa"/>
          </w:tblCellMar>
          <w:tblLook w:val="00A0"/>
        </w:tblPrEx>
        <w:tc>
          <w:tcPr>
            <w:tcW w:w="1402" w:type="pct"/>
            <w:tcBorders>
              <w:top w:val="outset" w:sz="6" w:space="0" w:color="414142"/>
              <w:bottom w:val="outset" w:sz="6" w:space="0" w:color="414142"/>
              <w:right w:val="outset" w:sz="6" w:space="0" w:color="414142"/>
            </w:tcBorders>
            <w:shd w:val="clear" w:color="auto" w:fill="FFFFFF"/>
          </w:tcPr>
          <w:p w:rsidR="00B262FF" w:rsidRPr="001616A4" w:rsidP="002E538B">
            <w:pPr>
              <w:pStyle w:val="NoSpacing"/>
              <w:jc w:val="both"/>
            </w:pPr>
            <w:r w:rsidRPr="001616A4">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P="002E538B">
            <w:pPr>
              <w:pStyle w:val="NoSpacing"/>
              <w:jc w:val="both"/>
            </w:pPr>
            <w:r w:rsidRPr="001616A4">
              <w:t>Nav</w:t>
            </w:r>
          </w:p>
        </w:tc>
      </w:tr>
    </w:tbl>
    <w:p w:rsidR="00D9641C" w:rsidRPr="001616A4"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2108"/>
        <w:gridCol w:w="6494"/>
      </w:tblGrid>
      <w:tr w:rsidTr="001B328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20"/>
        </w:trPr>
        <w:tc>
          <w:tcPr>
            <w:tcW w:w="0" w:type="auto"/>
            <w:gridSpan w:val="3"/>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VI. Sabiedrības līdzdalība un komunikācijas aktivitātes</w:t>
            </w:r>
          </w:p>
        </w:tc>
      </w:tr>
      <w:tr w:rsidTr="009C212A">
        <w:tblPrEx>
          <w:tblW w:w="5000" w:type="pct"/>
          <w:tblCellMar>
            <w:top w:w="30" w:type="dxa"/>
            <w:left w:w="30" w:type="dxa"/>
            <w:bottom w:w="30" w:type="dxa"/>
            <w:right w:w="30" w:type="dxa"/>
          </w:tblCellMar>
          <w:tblLook w:val="00A0"/>
        </w:tblPrEx>
        <w:trPr>
          <w:trHeight w:val="54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4112E3">
            <w:pPr>
              <w:pStyle w:val="NoSpacing"/>
              <w:jc w:val="both"/>
            </w:pPr>
            <w:r w:rsidRPr="001616A4">
              <w:t>Projekts šo jomu neskar.</w:t>
            </w:r>
          </w:p>
        </w:tc>
      </w:tr>
      <w:tr w:rsidTr="009C212A">
        <w:tblPrEx>
          <w:tblW w:w="5000" w:type="pct"/>
          <w:tblCellMar>
            <w:top w:w="30" w:type="dxa"/>
            <w:left w:w="30" w:type="dxa"/>
            <w:bottom w:w="30" w:type="dxa"/>
            <w:right w:w="30" w:type="dxa"/>
          </w:tblCellMar>
          <w:tblLook w:val="00A0"/>
        </w:tblPrEx>
        <w:trPr>
          <w:trHeight w:val="33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557324">
            <w:pPr>
              <w:pStyle w:val="NoSpacing"/>
              <w:jc w:val="both"/>
            </w:pPr>
            <w:r w:rsidRPr="001616A4">
              <w:t>Projekts šo jomu neskar.</w:t>
            </w:r>
          </w:p>
        </w:tc>
      </w:tr>
      <w:tr w:rsidTr="009C212A">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Projekts šo jomu neskar.</w:t>
            </w:r>
          </w:p>
        </w:tc>
      </w:tr>
      <w:tr w:rsidTr="009C212A">
        <w:tblPrEx>
          <w:tblW w:w="5000" w:type="pct"/>
          <w:tblCellMar>
            <w:top w:w="30" w:type="dxa"/>
            <w:left w:w="30" w:type="dxa"/>
            <w:bottom w:w="30" w:type="dxa"/>
            <w:right w:w="30" w:type="dxa"/>
          </w:tblCellMar>
          <w:tblLook w:val="00A0"/>
        </w:tblPrEx>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1B7D45">
            <w:pPr>
              <w:pStyle w:val="NoSpacing"/>
              <w:jc w:val="both"/>
            </w:pPr>
            <w:r w:rsidRPr="001616A4">
              <w:t xml:space="preserve">Sabiedrības līdzdalība likumprojekta izstrādē netika nodrošināta, jo </w:t>
            </w:r>
            <w:r w:rsidRPr="001616A4" w:rsidR="007B0008">
              <w:t>jaunu</w:t>
            </w:r>
            <w:r w:rsidRPr="001616A4">
              <w:t xml:space="preserve"> </w:t>
            </w:r>
            <w:r w:rsidRPr="001616A4" w:rsidR="007B0008">
              <w:t>psihoaktīvu</w:t>
            </w:r>
            <w:r w:rsidRPr="001616A4">
              <w:t xml:space="preserve"> vielu pakļaušana kontrolei un iedalījumu apmēru noteikšana ir specifisks jautājums, ko risina attiecīgās jomas eksperti saskaņā ar Jauno psihoaktīvo vielu riska novērtējuma vadlīnijām, kas apstiprinātas ar Narkotiku kontroles un narkomānijas ierobežošanas koordinācijas padomes 2012. gada 5. janvāra sēdes lēmumu (protokols Nr.17, 2.§., 4. punkts). </w:t>
            </w:r>
          </w:p>
        </w:tc>
      </w:tr>
    </w:tbl>
    <w:p w:rsidR="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2108"/>
        <w:gridCol w:w="6494"/>
      </w:tblGrid>
      <w:tr w:rsidTr="001B328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375"/>
        </w:trPr>
        <w:tc>
          <w:tcPr>
            <w:tcW w:w="0" w:type="auto"/>
            <w:gridSpan w:val="3"/>
            <w:tcBorders>
              <w:top w:val="outset" w:sz="6" w:space="0" w:color="414142"/>
              <w:bottom w:val="outset" w:sz="6" w:space="0" w:color="414142"/>
            </w:tcBorders>
            <w:shd w:val="clear" w:color="auto" w:fill="FFFFFF"/>
            <w:vAlign w:val="center"/>
          </w:tcPr>
          <w:p w:rsidR="00D9641C" w:rsidRPr="001616A4" w:rsidP="001B3285">
            <w:pPr>
              <w:pStyle w:val="NoSpacing"/>
              <w:jc w:val="both"/>
            </w:pPr>
            <w:r w:rsidRPr="001616A4">
              <w:t>VII. Tiesību akta projekta izpildes nodrošināšana un tās ietekme uz institūcijām</w:t>
            </w:r>
          </w:p>
        </w:tc>
      </w:tr>
      <w:tr w:rsidTr="00365E3A">
        <w:tblPrEx>
          <w:tblW w:w="5000" w:type="pct"/>
          <w:tblCellMar>
            <w:top w:w="30" w:type="dxa"/>
            <w:left w:w="30" w:type="dxa"/>
            <w:bottom w:w="30" w:type="dxa"/>
            <w:right w:w="30" w:type="dxa"/>
          </w:tblCellMar>
          <w:tblLook w:val="00A0"/>
        </w:tblPrEx>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Projekta izpildē iesaistītās institūcijas</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3B27BA">
            <w:pPr>
              <w:pStyle w:val="NoSpacing"/>
              <w:jc w:val="both"/>
            </w:pPr>
            <w:r w:rsidRPr="001616A4">
              <w:rPr>
                <w:lang w:eastAsia="en-US"/>
              </w:rPr>
              <w:t xml:space="preserve">Tiesībsargājošās iestādes (Valsts policija, Pašvaldību policija, Valsts ieņēmumu dienesta Muitas policijas pārvalde), iestādes, kurām ir tiesības veikt ekspertīzes (Valsts policijas Kriminālistikas pārvalde, Valsts tiesu ekspertīžu birojs, Valsts tiesu medicīnas </w:t>
            </w:r>
            <w:r w:rsidRPr="001616A4">
              <w:rPr>
                <w:lang w:eastAsia="en-US"/>
              </w:rPr>
              <w:t>ekspertīzes centrs, valsts sabi</w:t>
            </w:r>
            <w:r w:rsidRPr="001616A4" w:rsidR="001B7D45">
              <w:rPr>
                <w:lang w:eastAsia="en-US"/>
              </w:rPr>
              <w:t xml:space="preserve">edrība ar ierobežotu atbildību </w:t>
            </w:r>
            <w:r w:rsidR="003B27BA">
              <w:rPr>
                <w:lang w:eastAsia="en-US"/>
              </w:rPr>
              <w:t>„</w:t>
            </w:r>
            <w:r w:rsidRPr="001616A4">
              <w:rPr>
                <w:lang w:eastAsia="en-US"/>
              </w:rPr>
              <w:t>Rīgas psihi</w:t>
            </w:r>
            <w:r w:rsidRPr="001616A4" w:rsidR="001B7D45">
              <w:rPr>
                <w:lang w:eastAsia="en-US"/>
              </w:rPr>
              <w:t>atrijas un narkoloģijas centrs</w:t>
            </w:r>
            <w:r w:rsidR="003B27BA">
              <w:rPr>
                <w:lang w:eastAsia="en-US"/>
              </w:rPr>
              <w:t>”</w:t>
            </w:r>
            <w:r w:rsidRPr="001616A4" w:rsidR="00F368A5">
              <w:rPr>
                <w:lang w:eastAsia="en-US"/>
              </w:rPr>
              <w:t>, Valsts ieņēmumu dienesta Muitas pārvaldes Muitas laboratorija</w:t>
            </w:r>
            <w:r w:rsidRPr="001616A4">
              <w:rPr>
                <w:lang w:eastAsia="en-US"/>
              </w:rPr>
              <w:t>).</w:t>
            </w:r>
          </w:p>
        </w:tc>
      </w:tr>
      <w:tr w:rsidTr="00365E3A">
        <w:tblPrEx>
          <w:tblW w:w="5000" w:type="pct"/>
          <w:tblCellMar>
            <w:top w:w="30" w:type="dxa"/>
            <w:left w:w="30" w:type="dxa"/>
            <w:bottom w:w="30" w:type="dxa"/>
            <w:right w:w="30" w:type="dxa"/>
          </w:tblCellMar>
          <w:tblLook w:val="00A0"/>
        </w:tblPrEx>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Projekta izpildes ietekme uz pārvaldes funkcijām un institucionālo struktūru.</w:t>
            </w:r>
          </w:p>
          <w:p w:rsidR="00D9641C" w:rsidRPr="001616A4" w:rsidP="001B3285">
            <w:pPr>
              <w:pStyle w:val="NoSpacing"/>
              <w:jc w:val="both"/>
            </w:pPr>
            <w:r w:rsidRPr="001616A4">
              <w:t>Jaunu institūciju izveide, esošu institūciju likvidācija vai reorganizācija, to ietekme uz institūcijas cilvēkresursiem</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 xml:space="preserve">Projekts šo jomu neskar </w:t>
            </w:r>
          </w:p>
        </w:tc>
      </w:tr>
      <w:tr w:rsidTr="00365E3A">
        <w:tblPrEx>
          <w:tblW w:w="5000" w:type="pct"/>
          <w:tblCellMar>
            <w:top w:w="30" w:type="dxa"/>
            <w:left w:w="30" w:type="dxa"/>
            <w:bottom w:w="30" w:type="dxa"/>
            <w:right w:w="30" w:type="dxa"/>
          </w:tblCellMar>
          <w:tblLook w:val="00A0"/>
        </w:tblPrEx>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P="001B3285">
            <w:pPr>
              <w:pStyle w:val="NoSpacing"/>
              <w:jc w:val="both"/>
            </w:pPr>
            <w:r w:rsidRPr="001616A4">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P="001B3285">
            <w:pPr>
              <w:pStyle w:val="NoSpacing"/>
              <w:jc w:val="both"/>
            </w:pPr>
            <w:r w:rsidRPr="001616A4">
              <w:t>Nav</w:t>
            </w:r>
          </w:p>
        </w:tc>
      </w:tr>
    </w:tbl>
    <w:p w:rsidR="00D9641C" w:rsidP="00A0025F">
      <w:pPr>
        <w:pStyle w:val="NoSpacing"/>
      </w:pPr>
    </w:p>
    <w:p w:rsidR="00A0025F" w:rsidRPr="001616A4" w:rsidP="00A0025F">
      <w:pPr>
        <w:pStyle w:val="NoSpacing"/>
      </w:pPr>
    </w:p>
    <w:p w:rsidR="00D9641C" w:rsidRPr="002744CD" w:rsidP="00A0025F">
      <w:pPr>
        <w:pStyle w:val="NoSpacing"/>
        <w:rPr>
          <w:sz w:val="28"/>
          <w:szCs w:val="28"/>
        </w:rPr>
      </w:pPr>
      <w:r w:rsidRPr="002744CD">
        <w:rPr>
          <w:sz w:val="28"/>
          <w:szCs w:val="28"/>
        </w:rPr>
        <w:t>Veselīb</w:t>
      </w:r>
      <w:r w:rsidRPr="002744CD" w:rsidR="00B650AB">
        <w:rPr>
          <w:sz w:val="28"/>
          <w:szCs w:val="28"/>
        </w:rPr>
        <w:t>as ministre</w:t>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A07870">
        <w:rPr>
          <w:sz w:val="28"/>
          <w:szCs w:val="28"/>
        </w:rPr>
        <w:tab/>
      </w:r>
      <w:r w:rsidRPr="002744CD" w:rsidR="008804A8">
        <w:rPr>
          <w:sz w:val="28"/>
          <w:szCs w:val="28"/>
        </w:rPr>
        <w:tab/>
      </w:r>
      <w:r w:rsidRPr="002744CD" w:rsidR="00B650AB">
        <w:rPr>
          <w:sz w:val="28"/>
          <w:szCs w:val="28"/>
        </w:rPr>
        <w:t>Anda</w:t>
      </w:r>
      <w:r w:rsidRPr="002744CD">
        <w:rPr>
          <w:sz w:val="28"/>
          <w:szCs w:val="28"/>
        </w:rPr>
        <w:t xml:space="preserve"> </w:t>
      </w:r>
      <w:r w:rsidRPr="002744CD" w:rsidR="00B650AB">
        <w:rPr>
          <w:sz w:val="28"/>
          <w:szCs w:val="28"/>
        </w:rPr>
        <w:t>Čakša</w:t>
      </w:r>
    </w:p>
    <w:p w:rsidR="009C212A" w:rsidRPr="002744CD" w:rsidP="009C212A">
      <w:pPr>
        <w:tabs>
          <w:tab w:val="left" w:pos="2955"/>
        </w:tabs>
        <w:spacing w:after="0" w:line="240" w:lineRule="auto"/>
        <w:jc w:val="both"/>
        <w:rPr>
          <w:rFonts w:ascii="Times New Roman" w:hAnsi="Times New Roman"/>
          <w:sz w:val="28"/>
          <w:szCs w:val="28"/>
        </w:rPr>
      </w:pPr>
    </w:p>
    <w:p w:rsidR="009C212A" w:rsidRPr="002744CD" w:rsidP="009C212A">
      <w:pPr>
        <w:tabs>
          <w:tab w:val="left" w:pos="2955"/>
        </w:tabs>
        <w:spacing w:after="0" w:line="240" w:lineRule="auto"/>
        <w:jc w:val="both"/>
        <w:rPr>
          <w:rFonts w:ascii="Times New Roman" w:hAnsi="Times New Roman"/>
          <w:sz w:val="28"/>
          <w:szCs w:val="28"/>
        </w:rPr>
      </w:pPr>
    </w:p>
    <w:p w:rsidR="009C212A" w:rsidRPr="002744CD" w:rsidP="009C212A">
      <w:pPr>
        <w:tabs>
          <w:tab w:val="left" w:pos="2955"/>
        </w:tabs>
        <w:spacing w:after="0" w:line="240" w:lineRule="auto"/>
        <w:jc w:val="both"/>
        <w:rPr>
          <w:rFonts w:ascii="Times New Roman" w:hAnsi="Times New Roman"/>
          <w:sz w:val="28"/>
          <w:szCs w:val="28"/>
        </w:rPr>
      </w:pPr>
      <w:r w:rsidRPr="002744CD">
        <w:rPr>
          <w:rFonts w:ascii="Times New Roman" w:hAnsi="Times New Roman"/>
          <w:sz w:val="28"/>
          <w:szCs w:val="28"/>
        </w:rPr>
        <w:t>Vīza: Valsts sekretārs</w:t>
      </w:r>
      <w:r w:rsidRPr="002744CD">
        <w:rPr>
          <w:rFonts w:ascii="Times New Roman" w:hAnsi="Times New Roman"/>
          <w:sz w:val="28"/>
          <w:szCs w:val="28"/>
        </w:rPr>
        <w:tab/>
      </w:r>
      <w:r w:rsidRPr="002744CD">
        <w:rPr>
          <w:rFonts w:ascii="Times New Roman" w:hAnsi="Times New Roman"/>
          <w:sz w:val="28"/>
          <w:szCs w:val="28"/>
        </w:rPr>
        <w:tab/>
      </w:r>
      <w:r w:rsidRPr="002744CD">
        <w:rPr>
          <w:rFonts w:ascii="Times New Roman" w:hAnsi="Times New Roman"/>
          <w:sz w:val="28"/>
          <w:szCs w:val="28"/>
        </w:rPr>
        <w:tab/>
      </w:r>
      <w:r w:rsidRPr="002744CD">
        <w:rPr>
          <w:rFonts w:ascii="Times New Roman" w:hAnsi="Times New Roman"/>
          <w:sz w:val="28"/>
          <w:szCs w:val="28"/>
        </w:rPr>
        <w:tab/>
      </w:r>
      <w:r w:rsidRPr="002744CD" w:rsidR="00A07870">
        <w:rPr>
          <w:rFonts w:ascii="Times New Roman" w:hAnsi="Times New Roman"/>
          <w:sz w:val="28"/>
          <w:szCs w:val="28"/>
        </w:rPr>
        <w:t xml:space="preserve"> </w:t>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Pr="002744CD" w:rsidR="00A07870">
        <w:rPr>
          <w:rFonts w:ascii="Times New Roman" w:hAnsi="Times New Roman"/>
          <w:sz w:val="28"/>
          <w:szCs w:val="28"/>
        </w:rPr>
        <w:tab/>
      </w:r>
      <w:r w:rsidR="002744CD">
        <w:rPr>
          <w:rFonts w:ascii="Times New Roman" w:hAnsi="Times New Roman"/>
          <w:sz w:val="28"/>
          <w:szCs w:val="28"/>
        </w:rPr>
        <w:t xml:space="preserve">     </w:t>
      </w:r>
      <w:r w:rsidRPr="002744CD" w:rsidR="00B650AB">
        <w:rPr>
          <w:rFonts w:ascii="Times New Roman" w:hAnsi="Times New Roman"/>
          <w:sz w:val="28"/>
          <w:szCs w:val="28"/>
        </w:rPr>
        <w:t>Kārlis</w:t>
      </w:r>
      <w:r w:rsidRPr="002744CD">
        <w:rPr>
          <w:rFonts w:ascii="Times New Roman" w:hAnsi="Times New Roman"/>
          <w:sz w:val="28"/>
          <w:szCs w:val="28"/>
        </w:rPr>
        <w:t xml:space="preserve"> </w:t>
      </w:r>
      <w:r w:rsidRPr="002744CD" w:rsidR="00B650AB">
        <w:rPr>
          <w:rFonts w:ascii="Times New Roman" w:hAnsi="Times New Roman"/>
          <w:sz w:val="28"/>
          <w:szCs w:val="28"/>
        </w:rPr>
        <w:t>Ketners</w:t>
      </w:r>
    </w:p>
    <w:p w:rsidR="009C212A" w:rsidP="009C212A">
      <w:pPr>
        <w:tabs>
          <w:tab w:val="left" w:pos="2955"/>
        </w:tabs>
        <w:spacing w:after="0" w:line="240" w:lineRule="auto"/>
        <w:jc w:val="both"/>
        <w:rPr>
          <w:rFonts w:ascii="Times New Roman" w:hAnsi="Times New Roman"/>
          <w:sz w:val="24"/>
          <w:szCs w:val="24"/>
        </w:rPr>
      </w:pPr>
    </w:p>
    <w:p w:rsidR="00274301" w:rsidP="004112E3">
      <w:pPr>
        <w:pStyle w:val="ListParagraph"/>
        <w:tabs>
          <w:tab w:val="left" w:pos="3735"/>
        </w:tabs>
        <w:ind w:left="0"/>
        <w:jc w:val="both"/>
      </w:pPr>
    </w:p>
    <w:p w:rsidR="001932D0" w:rsidP="004112E3">
      <w:pPr>
        <w:pStyle w:val="ListParagraph"/>
        <w:tabs>
          <w:tab w:val="left" w:pos="3735"/>
        </w:tabs>
        <w:ind w:left="0"/>
        <w:jc w:val="both"/>
      </w:pPr>
    </w:p>
    <w:p w:rsidR="001932D0" w:rsidP="004112E3">
      <w:pPr>
        <w:pStyle w:val="ListParagraph"/>
        <w:tabs>
          <w:tab w:val="left" w:pos="3735"/>
        </w:tabs>
        <w:ind w:left="0"/>
        <w:jc w:val="both"/>
      </w:pPr>
    </w:p>
    <w:p w:rsidR="001932D0" w:rsidP="004112E3">
      <w:pPr>
        <w:pStyle w:val="ListParagraph"/>
        <w:tabs>
          <w:tab w:val="left" w:pos="3735"/>
        </w:tabs>
        <w:ind w:left="0"/>
        <w:jc w:val="both"/>
      </w:pPr>
    </w:p>
    <w:p w:rsidR="001932D0" w:rsidRPr="002744CD" w:rsidP="004112E3">
      <w:pPr>
        <w:pStyle w:val="ListParagraph"/>
        <w:tabs>
          <w:tab w:val="left" w:pos="3735"/>
        </w:tabs>
        <w:ind w:left="0"/>
        <w:jc w:val="both"/>
      </w:pPr>
    </w:p>
    <w:p w:rsidR="001932D0" w:rsidRPr="002744CD" w:rsidP="004112E3">
      <w:pPr>
        <w:pStyle w:val="ListParagraph"/>
        <w:tabs>
          <w:tab w:val="left" w:pos="3735"/>
        </w:tabs>
        <w:ind w:left="0"/>
        <w:jc w:val="both"/>
      </w:pPr>
      <w:r w:rsidRPr="002744CD">
        <w:t>Gaile 67876099</w:t>
      </w:r>
    </w:p>
    <w:p w:rsidR="003B27BA" w:rsidRPr="002744CD" w:rsidP="004112E3">
      <w:pPr>
        <w:pStyle w:val="ListParagraph"/>
        <w:tabs>
          <w:tab w:val="left" w:pos="3735"/>
        </w:tabs>
        <w:ind w:left="0"/>
        <w:jc w:val="both"/>
      </w:pPr>
      <w:r w:rsidRPr="002744CD">
        <w:t>evija.gaile@vm.gov.lv</w:t>
      </w:r>
    </w:p>
    <w:p w:rsidR="001932D0" w:rsidRPr="001616A4" w:rsidP="004112E3">
      <w:pPr>
        <w:pStyle w:val="ListParagraph"/>
        <w:tabs>
          <w:tab w:val="left" w:pos="3735"/>
        </w:tabs>
        <w:ind w:left="0"/>
        <w:jc w:val="both"/>
      </w:pPr>
    </w:p>
    <w:p w:rsidR="00D9641C" w:rsidRPr="001B181A" w:rsidP="003E5684">
      <w:pPr>
        <w:pStyle w:val="ListParagraph"/>
        <w:ind w:left="0"/>
        <w:rPr>
          <w:sz w:val="20"/>
          <w:szCs w:val="20"/>
        </w:rPr>
      </w:pPr>
    </w:p>
    <w:sectPr w:rsidSect="002744CD">
      <w:headerReference w:type="default" r:id="rId6"/>
      <w:footerReference w:type="default" r:id="rId7"/>
      <w:headerReference w:type="first" r:id="rId8"/>
      <w:footerReference w:type="first" r:id="rId9"/>
      <w:pgSz w:w="11906" w:h="16838"/>
      <w:pgMar w:top="1418"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T Serif">
    <w:altName w:val="MS Mincho"/>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D95" w:rsidP="00B262FF">
    <w:pPr>
      <w:pStyle w:val="naisc"/>
      <w:spacing w:before="0" w:after="0"/>
      <w:jc w:val="both"/>
      <w:rPr>
        <w:sz w:val="22"/>
        <w:szCs w:val="22"/>
      </w:rPr>
    </w:pPr>
  </w:p>
  <w:p w:rsidR="00531F16" w:rsidRPr="002744CD" w:rsidP="00B262FF">
    <w:pPr>
      <w:pStyle w:val="naisc"/>
      <w:spacing w:before="0" w:after="0"/>
      <w:jc w:val="both"/>
      <w:rPr>
        <w:sz w:val="20"/>
        <w:szCs w:val="20"/>
      </w:rPr>
    </w:pPr>
    <w:r w:rsidRPr="002744CD">
      <w:rPr>
        <w:sz w:val="20"/>
        <w:szCs w:val="20"/>
      </w:rPr>
      <w:t>VManot_16</w:t>
    </w:r>
    <w:r w:rsidRPr="002744CD">
      <w:rPr>
        <w:sz w:val="20"/>
        <w:szCs w:val="20"/>
      </w:rPr>
      <w:t>0</w:t>
    </w:r>
    <w:r w:rsidRPr="002744CD">
      <w:rPr>
        <w:sz w:val="20"/>
        <w:szCs w:val="20"/>
      </w:rPr>
      <w:t>5</w:t>
    </w:r>
    <w:r w:rsidRPr="002744CD">
      <w:rPr>
        <w:sz w:val="20"/>
        <w:szCs w:val="20"/>
      </w:rPr>
      <w:t>1</w:t>
    </w:r>
    <w:r w:rsidRPr="002744CD" w:rsidR="003D6EA8">
      <w:rPr>
        <w:sz w:val="20"/>
        <w:szCs w:val="20"/>
      </w:rPr>
      <w:t>7</w:t>
    </w:r>
    <w:r w:rsidRPr="002744CD">
      <w:rPr>
        <w:sz w:val="20"/>
        <w:szCs w:val="20"/>
      </w:rPr>
      <w:t xml:space="preserve">_nark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F16" w:rsidRPr="002744CD" w:rsidP="00FE7D03">
    <w:pPr>
      <w:pStyle w:val="naisc"/>
      <w:spacing w:before="0" w:after="0"/>
      <w:jc w:val="both"/>
      <w:rPr>
        <w:sz w:val="20"/>
        <w:szCs w:val="20"/>
      </w:rPr>
    </w:pPr>
    <w:r w:rsidRPr="002744CD">
      <w:rPr>
        <w:sz w:val="20"/>
        <w:szCs w:val="20"/>
      </w:rPr>
      <w:t>VManot_</w:t>
    </w:r>
    <w:r w:rsidRPr="002744CD" w:rsidR="00B97B52">
      <w:rPr>
        <w:sz w:val="20"/>
        <w:szCs w:val="20"/>
      </w:rPr>
      <w:t>1605</w:t>
    </w:r>
    <w:r w:rsidRPr="002744CD">
      <w:rPr>
        <w:sz w:val="20"/>
        <w:szCs w:val="20"/>
      </w:rPr>
      <w:t>1</w:t>
    </w:r>
    <w:r w:rsidRPr="002744CD" w:rsidR="00443B6B">
      <w:rPr>
        <w:sz w:val="20"/>
        <w:szCs w:val="20"/>
      </w:rPr>
      <w:t>7</w:t>
    </w:r>
    <w:r w:rsidRPr="002744CD">
      <w:rPr>
        <w:sz w:val="20"/>
        <w:szCs w:val="20"/>
      </w:rPr>
      <w:t xml:space="preserve">_nark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0D71" w:rsidP="00B44DB8">
      <w:pPr>
        <w:spacing w:after="0" w:line="240" w:lineRule="auto"/>
      </w:pPr>
      <w:r>
        <w:separator/>
      </w:r>
    </w:p>
  </w:footnote>
  <w:footnote w:type="continuationSeparator" w:id="1">
    <w:p w:rsidR="00070D71" w:rsidP="00B44DB8">
      <w:pPr>
        <w:spacing w:after="0" w:line="240" w:lineRule="auto"/>
      </w:pPr>
      <w:r>
        <w:continuationSeparator/>
      </w:r>
    </w:p>
  </w:footnote>
  <w:footnote w:id="2">
    <w:p w:rsidR="00FA1E49" w:rsidRPr="00FA1E49">
      <w:pPr>
        <w:pStyle w:val="FootnoteText"/>
        <w:rPr>
          <w:rFonts w:ascii="Times New Roman" w:hAnsi="Times New Roman"/>
        </w:rPr>
      </w:pPr>
      <w:r w:rsidRPr="00FA1E49">
        <w:rPr>
          <w:rStyle w:val="FootnoteReference"/>
          <w:rFonts w:ascii="Times New Roman" w:hAnsi="Times New Roman"/>
        </w:rPr>
        <w:footnoteRef/>
      </w:r>
      <w:r w:rsidRPr="00FA1E49">
        <w:rPr>
          <w:rFonts w:ascii="Times New Roman" w:hAnsi="Times New Roman"/>
        </w:rPr>
        <w:t xml:space="preserve"> Slimību profilakses un kontroles centra 2017. gada 3. februāra lēmums Nr. 2 "Par aizlieguma noteikšanu vielai U-51754 un tās saturošiem izstrādājumiem"; https://www.vestnesis.lv/op/2017/28.9</w:t>
      </w:r>
    </w:p>
  </w:footnote>
  <w:footnote w:id="3">
    <w:p w:rsidR="00B61287" w:rsidRPr="00AF6D86" w:rsidP="00B61287">
      <w:pPr>
        <w:pStyle w:val="NoSpacing"/>
        <w:jc w:val="both"/>
        <w:rPr>
          <w:sz w:val="20"/>
          <w:szCs w:val="20"/>
        </w:rPr>
      </w:pPr>
      <w:r w:rsidRPr="00AF6D86">
        <w:rPr>
          <w:rStyle w:val="FootnoteReference"/>
          <w:sz w:val="20"/>
          <w:szCs w:val="20"/>
        </w:rPr>
        <w:footnoteRef/>
      </w:r>
      <w:r w:rsidRPr="00AF6D86">
        <w:rPr>
          <w:sz w:val="20"/>
          <w:szCs w:val="20"/>
        </w:rPr>
        <w:t xml:space="preserve"> Slimību profilakses un kontroles centra 2017. gada 9. janvāra lēmums Nr.</w:t>
      </w:r>
      <w:r w:rsidRPr="00AF6D86">
        <w:rPr>
          <w:rFonts w:eastAsia="Calibri"/>
          <w:bCs/>
          <w:sz w:val="20"/>
          <w:szCs w:val="20"/>
          <w:lang w:eastAsia="en-US"/>
        </w:rPr>
        <w:t xml:space="preserve"> </w:t>
      </w:r>
      <w:r w:rsidRPr="00AF6D86">
        <w:rPr>
          <w:bCs/>
          <w:sz w:val="20"/>
          <w:szCs w:val="20"/>
        </w:rPr>
        <w:t>1</w:t>
      </w:r>
      <w:r w:rsidRPr="00AF6D86">
        <w:rPr>
          <w:sz w:val="20"/>
          <w:szCs w:val="20"/>
        </w:rPr>
        <w:t xml:space="preserve"> "Par aizlieguma noteikšanu vielai dichloropane un tās saturošiem izstrādājumiem"; https://www.vestnesis.lv/op/2017/10.1</w:t>
      </w:r>
    </w:p>
  </w:footnote>
  <w:footnote w:id="4">
    <w:p w:rsidR="00531F16" w:rsidRPr="00AF6D86" w:rsidP="007967D6">
      <w:pPr>
        <w:pStyle w:val="NoSpacing"/>
        <w:jc w:val="both"/>
        <w:rPr>
          <w:sz w:val="20"/>
          <w:szCs w:val="20"/>
        </w:rPr>
      </w:pPr>
      <w:r w:rsidRPr="00AF6D86">
        <w:rPr>
          <w:rStyle w:val="FootnoteReference"/>
          <w:rFonts w:eastAsia="Calibri"/>
          <w:sz w:val="20"/>
          <w:szCs w:val="20"/>
          <w:lang w:eastAsia="en-US"/>
        </w:rPr>
        <w:footnoteRef/>
      </w:r>
      <w:r w:rsidRPr="00AF6D86">
        <w:rPr>
          <w:sz w:val="20"/>
          <w:szCs w:val="20"/>
          <w:vertAlign w:val="superscript"/>
        </w:rPr>
        <w:t xml:space="preserve"> </w:t>
      </w:r>
      <w:r w:rsidRPr="00AF6D86">
        <w:rPr>
          <w:sz w:val="20"/>
          <w:szCs w:val="20"/>
        </w:rPr>
        <w:t>Slimību prof</w:t>
      </w:r>
      <w:r w:rsidRPr="00AF6D86" w:rsidR="00F33D95">
        <w:rPr>
          <w:sz w:val="20"/>
          <w:szCs w:val="20"/>
        </w:rPr>
        <w:t>ilakses un kontroles centra 2017</w:t>
      </w:r>
      <w:r w:rsidRPr="00AF6D86">
        <w:rPr>
          <w:sz w:val="20"/>
          <w:szCs w:val="20"/>
        </w:rPr>
        <w:t xml:space="preserve">. gada </w:t>
      </w:r>
      <w:r w:rsidRPr="00AF6D86" w:rsidR="00F33D95">
        <w:rPr>
          <w:sz w:val="20"/>
          <w:szCs w:val="20"/>
        </w:rPr>
        <w:t>3</w:t>
      </w:r>
      <w:r w:rsidRPr="00AF6D86">
        <w:rPr>
          <w:sz w:val="20"/>
          <w:szCs w:val="20"/>
        </w:rPr>
        <w:t xml:space="preserve">. </w:t>
      </w:r>
      <w:r w:rsidRPr="00AF6D86">
        <w:rPr>
          <w:sz w:val="20"/>
          <w:szCs w:val="20"/>
        </w:rPr>
        <w:t>marta</w:t>
      </w:r>
      <w:r w:rsidRPr="00AF6D86" w:rsidR="00F33D95">
        <w:rPr>
          <w:sz w:val="20"/>
          <w:szCs w:val="20"/>
        </w:rPr>
        <w:t xml:space="preserve"> lēmums Nr.</w:t>
      </w:r>
      <w:r w:rsidRPr="00AF6D86">
        <w:rPr>
          <w:rFonts w:eastAsia="Calibri"/>
          <w:bCs/>
          <w:sz w:val="20"/>
          <w:szCs w:val="20"/>
          <w:lang w:eastAsia="en-US"/>
        </w:rPr>
        <w:t xml:space="preserve"> </w:t>
      </w:r>
      <w:r w:rsidRPr="00AF6D86">
        <w:rPr>
          <w:bCs/>
          <w:sz w:val="20"/>
          <w:szCs w:val="20"/>
        </w:rPr>
        <w:t>5-4/7</w:t>
      </w:r>
      <w:r w:rsidRPr="00AF6D86" w:rsidR="00F33D95">
        <w:rPr>
          <w:sz w:val="20"/>
          <w:szCs w:val="20"/>
        </w:rPr>
        <w:t xml:space="preserve"> </w:t>
      </w:r>
      <w:r w:rsidRPr="00AF6D86">
        <w:rPr>
          <w:sz w:val="20"/>
          <w:szCs w:val="20"/>
        </w:rPr>
        <w:t xml:space="preserve">"Par aizlieguma noteikšanu vielai </w:t>
      </w:r>
      <w:r w:rsidRPr="00AF6D86">
        <w:rPr>
          <w:sz w:val="20"/>
          <w:szCs w:val="20"/>
        </w:rPr>
        <w:t>NDT</w:t>
      </w:r>
      <w:r w:rsidRPr="00AF6D86" w:rsidR="00E52A4E">
        <w:rPr>
          <w:sz w:val="20"/>
          <w:szCs w:val="20"/>
        </w:rPr>
        <w:t>D</w:t>
      </w:r>
      <w:r w:rsidRPr="00AF6D86">
        <w:rPr>
          <w:sz w:val="20"/>
          <w:szCs w:val="20"/>
        </w:rPr>
        <w:t>I</w:t>
      </w:r>
      <w:r w:rsidRPr="00AF6D86">
        <w:rPr>
          <w:sz w:val="20"/>
          <w:szCs w:val="20"/>
        </w:rPr>
        <w:t xml:space="preserve"> un tās saturošiem izstrādājumiem"; </w:t>
      </w:r>
      <w:r w:rsidRPr="00AF6D86">
        <w:rPr>
          <w:sz w:val="20"/>
          <w:szCs w:val="20"/>
        </w:rPr>
        <w:t>https://www.vestnesis.lv/op/2017/48.7</w:t>
      </w:r>
    </w:p>
  </w:footnote>
  <w:footnote w:id="5">
    <w:p w:rsidR="00531F16" w:rsidRPr="00AF6D86" w:rsidP="007967D6">
      <w:pPr>
        <w:pStyle w:val="FootnoteText"/>
        <w:jc w:val="both"/>
        <w:rPr>
          <w:rFonts w:ascii="Times New Roman" w:hAnsi="Times New Roman"/>
        </w:rPr>
      </w:pPr>
      <w:r w:rsidRPr="00AF6D86">
        <w:rPr>
          <w:rStyle w:val="FootnoteReference"/>
          <w:rFonts w:ascii="Times New Roman" w:hAnsi="Times New Roman"/>
        </w:rPr>
        <w:footnoteRef/>
      </w:r>
      <w:r w:rsidRPr="00AF6D86">
        <w:rPr>
          <w:rFonts w:ascii="Times New Roman" w:hAnsi="Times New Roman"/>
        </w:rPr>
        <w:t xml:space="preserve"> Slimību profilakses un kontroles centra 2016. gada </w:t>
      </w:r>
      <w:r w:rsidRPr="00AF6D86" w:rsidR="0095471F">
        <w:rPr>
          <w:rFonts w:ascii="Times New Roman" w:hAnsi="Times New Roman"/>
        </w:rPr>
        <w:t>16</w:t>
      </w:r>
      <w:r w:rsidRPr="00AF6D86">
        <w:rPr>
          <w:rFonts w:ascii="Times New Roman" w:hAnsi="Times New Roman"/>
        </w:rPr>
        <w:t xml:space="preserve">. </w:t>
      </w:r>
      <w:r w:rsidRPr="00AF6D86" w:rsidR="0095471F">
        <w:rPr>
          <w:rFonts w:ascii="Times New Roman" w:hAnsi="Times New Roman"/>
        </w:rPr>
        <w:t>novembr</w:t>
      </w:r>
      <w:r w:rsidRPr="00AF6D86">
        <w:rPr>
          <w:rFonts w:ascii="Times New Roman" w:hAnsi="Times New Roman"/>
        </w:rPr>
        <w:t xml:space="preserve">a lēmums Nr. </w:t>
      </w:r>
      <w:r w:rsidRPr="00AF6D86" w:rsidR="0095471F">
        <w:rPr>
          <w:rFonts w:ascii="Times New Roman" w:hAnsi="Times New Roman"/>
        </w:rPr>
        <w:t>8</w:t>
      </w:r>
      <w:r w:rsidRPr="00AF6D86">
        <w:rPr>
          <w:rFonts w:ascii="Times New Roman" w:hAnsi="Times New Roman"/>
        </w:rPr>
        <w:t xml:space="preserve"> "Par aizlieguma noteikšanu vielai</w:t>
      </w:r>
      <w:r w:rsidRPr="00AF6D86" w:rsidR="0095471F">
        <w:rPr>
          <w:rFonts w:ascii="Times New Roman" w:hAnsi="Times New Roman"/>
        </w:rPr>
        <w:t xml:space="preserve"> </w:t>
      </w:r>
      <w:r w:rsidRPr="00AF6D86" w:rsidR="00D343B9">
        <w:rPr>
          <w:rFonts w:ascii="Times New Roman" w:hAnsi="Times New Roman"/>
        </w:rPr>
        <w:t>3-MeO-PCMMo</w:t>
      </w:r>
      <w:r w:rsidRPr="00AF6D86">
        <w:rPr>
          <w:rFonts w:ascii="Times New Roman" w:hAnsi="Times New Roman"/>
        </w:rPr>
        <w:t xml:space="preserve"> un tās saturošiem izstrādājumiem"; </w:t>
      </w:r>
      <w:r w:rsidRPr="00AF6D86" w:rsidR="0095471F">
        <w:rPr>
          <w:rFonts w:ascii="Times New Roman" w:hAnsi="Times New Roman"/>
        </w:rPr>
        <w:t>https://www.vestnesis.lv/op/2016/225.5</w:t>
      </w:r>
    </w:p>
  </w:footnote>
  <w:footnote w:id="6">
    <w:p w:rsidR="00D343B9" w:rsidRPr="00D343B9">
      <w:pPr>
        <w:pStyle w:val="FootnoteText"/>
        <w:rPr>
          <w:rFonts w:ascii="Times New Roman" w:hAnsi="Times New Roman"/>
        </w:rPr>
      </w:pPr>
      <w:r w:rsidRPr="00D343B9">
        <w:rPr>
          <w:rStyle w:val="FootnoteReference"/>
          <w:rFonts w:ascii="Times New Roman" w:hAnsi="Times New Roman"/>
        </w:rPr>
        <w:footnoteRef/>
      </w:r>
      <w:r w:rsidRPr="00D343B9">
        <w:rPr>
          <w:rFonts w:ascii="Times New Roman" w:hAnsi="Times New Roman"/>
        </w:rPr>
        <w:t xml:space="preserve"> Slimību profilakses </w:t>
      </w:r>
      <w:r>
        <w:rPr>
          <w:rFonts w:ascii="Times New Roman" w:hAnsi="Times New Roman"/>
        </w:rPr>
        <w:t>un kontroles centra 2016. gada 27</w:t>
      </w:r>
      <w:r w:rsidRPr="00D343B9">
        <w:rPr>
          <w:rFonts w:ascii="Times New Roman" w:hAnsi="Times New Roman"/>
        </w:rPr>
        <w:t xml:space="preserve">. </w:t>
      </w:r>
      <w:r>
        <w:rPr>
          <w:rFonts w:ascii="Times New Roman" w:hAnsi="Times New Roman"/>
        </w:rPr>
        <w:t>oktobra lēmums Nr. 7</w:t>
      </w:r>
      <w:r w:rsidRPr="00D343B9">
        <w:rPr>
          <w:rFonts w:ascii="Times New Roman" w:hAnsi="Times New Roman"/>
        </w:rPr>
        <w:t xml:space="preserve"> "Par aizlieguma noteikšanu vielai </w:t>
      </w:r>
      <w:r>
        <w:rPr>
          <w:rFonts w:ascii="Times New Roman" w:hAnsi="Times New Roman"/>
        </w:rPr>
        <w:t>MDA-17</w:t>
      </w:r>
      <w:r w:rsidRPr="00D343B9">
        <w:rPr>
          <w:rFonts w:ascii="Times New Roman" w:hAnsi="Times New Roman"/>
        </w:rPr>
        <w:t xml:space="preserve"> un tās saturošiem izstrādājumiem"; https://www.vestnesis.lv/op/2016/210.10</w:t>
      </w:r>
    </w:p>
  </w:footnote>
  <w:footnote w:id="7">
    <w:p w:rsidR="00531F16" w:rsidRPr="00DA7AA5" w:rsidP="005035EA">
      <w:pPr>
        <w:pStyle w:val="FootnoteText"/>
        <w:jc w:val="both"/>
        <w:rPr>
          <w:rFonts w:ascii="Times New Roman" w:hAnsi="Times New Roman"/>
        </w:rPr>
      </w:pPr>
      <w:r w:rsidRPr="00D343B9">
        <w:rPr>
          <w:rStyle w:val="FootnoteReference"/>
          <w:rFonts w:ascii="Times New Roman" w:hAnsi="Times New Roman"/>
        </w:rPr>
        <w:footnoteRef/>
      </w:r>
      <w:r w:rsidRPr="00D343B9">
        <w:rPr>
          <w:rFonts w:ascii="Times New Roman" w:hAnsi="Times New Roman"/>
        </w:rPr>
        <w:t xml:space="preserve"> Slimību prof</w:t>
      </w:r>
      <w:r w:rsidR="00F32D43">
        <w:rPr>
          <w:rFonts w:ascii="Times New Roman" w:hAnsi="Times New Roman"/>
        </w:rPr>
        <w:t>ilakses un kontroles centra 2017. gada 9</w:t>
      </w:r>
      <w:r w:rsidRPr="00D343B9">
        <w:rPr>
          <w:rFonts w:ascii="Times New Roman" w:hAnsi="Times New Roman"/>
        </w:rPr>
        <w:t xml:space="preserve">. </w:t>
      </w:r>
      <w:r w:rsidR="00F32D43">
        <w:rPr>
          <w:rFonts w:ascii="Times New Roman" w:hAnsi="Times New Roman"/>
        </w:rPr>
        <w:t>februār</w:t>
      </w:r>
      <w:r w:rsidRPr="00D343B9">
        <w:rPr>
          <w:rFonts w:ascii="Times New Roman" w:hAnsi="Times New Roman"/>
        </w:rPr>
        <w:t xml:space="preserve">a lēmums Nr. </w:t>
      </w:r>
      <w:r w:rsidR="00F32D43">
        <w:rPr>
          <w:rFonts w:ascii="Times New Roman" w:hAnsi="Times New Roman"/>
        </w:rPr>
        <w:t>5</w:t>
      </w:r>
      <w:r w:rsidRPr="00D343B9">
        <w:rPr>
          <w:rFonts w:ascii="Times New Roman" w:hAnsi="Times New Roman"/>
        </w:rPr>
        <w:t xml:space="preserve"> "Par aizlieguma noteikšanu vielai</w:t>
      </w:r>
      <w:r w:rsidRPr="00DA7AA5">
        <w:rPr>
          <w:rFonts w:ascii="Times New Roman" w:hAnsi="Times New Roman"/>
        </w:rPr>
        <w:t xml:space="preserve"> </w:t>
      </w:r>
      <w:r w:rsidRPr="00F32D43" w:rsidR="00F32D43">
        <w:rPr>
          <w:rFonts w:ascii="Times New Roman" w:hAnsi="Times New Roman"/>
          <w:bCs/>
        </w:rPr>
        <w:t>CUMYL-PeGACLONE</w:t>
      </w:r>
      <w:r w:rsidRPr="00F32D43" w:rsidR="00F32D43">
        <w:rPr>
          <w:rFonts w:ascii="Times New Roman" w:hAnsi="Times New Roman"/>
        </w:rPr>
        <w:t xml:space="preserve"> </w:t>
      </w:r>
      <w:r w:rsidRPr="00DA7AA5">
        <w:rPr>
          <w:rFonts w:ascii="Times New Roman" w:hAnsi="Times New Roman"/>
        </w:rPr>
        <w:t xml:space="preserve">un tās saturošiem izstrādājumiem"; </w:t>
      </w:r>
      <w:r w:rsidRPr="00F32D43" w:rsidR="00F32D43">
        <w:rPr>
          <w:rFonts w:ascii="Times New Roman" w:hAnsi="Times New Roman"/>
        </w:rPr>
        <w:t>https://www.vestnesis.lv/op/2017/32.7</w:t>
      </w:r>
    </w:p>
  </w:footnote>
  <w:footnote w:id="8">
    <w:p w:rsidR="00A949E9" w:rsidRPr="00A949E9">
      <w:pPr>
        <w:pStyle w:val="FootnoteText"/>
        <w:rPr>
          <w:rFonts w:ascii="Times New Roman" w:hAnsi="Times New Roman"/>
        </w:rPr>
      </w:pPr>
      <w:r w:rsidRPr="00A949E9">
        <w:rPr>
          <w:rStyle w:val="FootnoteReference"/>
          <w:rFonts w:ascii="Times New Roman" w:hAnsi="Times New Roman"/>
        </w:rPr>
        <w:footnoteRef/>
      </w:r>
      <w:r>
        <w:rPr>
          <w:rFonts w:ascii="Times New Roman" w:hAnsi="Times New Roman"/>
        </w:rPr>
        <w:t xml:space="preserve"> </w:t>
      </w:r>
      <w:r w:rsidRPr="00A949E9">
        <w:rPr>
          <w:rFonts w:ascii="Times New Roman" w:hAnsi="Times New Roman"/>
        </w:rPr>
        <w:t>Paziņojums Nr. 2016/495/EE (Igaunija); http://ec.europa.eu/growth/tools-databases/tris/lv/search/?trisaction=search.detail&amp;year=2016&amp;num=495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F16" w:rsidRPr="008B54F5">
    <w:pPr>
      <w:pStyle w:val="Header"/>
      <w:jc w:val="center"/>
      <w:rPr>
        <w:rFonts w:ascii="Times New Roman" w:hAnsi="Times New Roman"/>
        <w:sz w:val="24"/>
        <w:szCs w:val="24"/>
      </w:rPr>
    </w:pPr>
    <w:r w:rsidRPr="008B54F5">
      <w:rPr>
        <w:rFonts w:ascii="Times New Roman" w:hAnsi="Times New Roman"/>
        <w:sz w:val="24"/>
        <w:szCs w:val="24"/>
      </w:rPr>
      <w:fldChar w:fldCharType="begin"/>
    </w:r>
    <w:r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2744CD">
      <w:rPr>
        <w:rFonts w:ascii="Times New Roman" w:hAnsi="Times New Roman"/>
        <w:noProof/>
        <w:sz w:val="24"/>
        <w:szCs w:val="24"/>
      </w:rPr>
      <w:t>9</w:t>
    </w:r>
    <w:r w:rsidRPr="008B54F5">
      <w:rPr>
        <w:rFonts w:ascii="Times New Roman" w:hAnsi="Times New Roman"/>
        <w:sz w:val="24"/>
        <w:szCs w:val="24"/>
      </w:rPr>
      <w:fldChar w:fldCharType="end"/>
    </w:r>
  </w:p>
  <w:p w:rsidR="0053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F16">
    <w:pPr>
      <w:pStyle w:val="Header"/>
      <w:jc w:val="center"/>
    </w:pPr>
  </w:p>
  <w:p w:rsidR="0053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2C63CD"/>
    <w:multiLevelType w:val="hybridMultilevel"/>
    <w:tmpl w:val="0B4A5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C96CB0"/>
    <w:multiLevelType w:val="hybridMultilevel"/>
    <w:tmpl w:val="D8B893FC"/>
    <w:lvl w:ilvl="0">
      <w:start w:va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DEC4B33"/>
    <w:multiLevelType w:val="hybridMultilevel"/>
    <w:tmpl w:val="C5109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6993180"/>
    <w:multiLevelType w:val="multilevel"/>
    <w:tmpl w:val="637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6293B"/>
    <w:multiLevelType w:val="hybridMultilevel"/>
    <w:tmpl w:val="E620E42E"/>
    <w:lvl w:ilvl="0">
      <w:start w:va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4D6B39DF"/>
    <w:multiLevelType w:val="hybridMultilevel"/>
    <w:tmpl w:val="188AEF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634E97"/>
    <w:multiLevelType w:val="hybridMultilevel"/>
    <w:tmpl w:val="63308A34"/>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CA775E6"/>
    <w:multiLevelType w:val="hybridMultilevel"/>
    <w:tmpl w:val="8722CDCC"/>
    <w:lvl w:ilvl="0">
      <w:start w:val="0"/>
      <w:numFmt w:val="bullet"/>
      <w:lvlText w:val="-"/>
      <w:lvlJc w:val="left"/>
      <w:pPr>
        <w:ind w:left="435" w:hanging="360"/>
      </w:pPr>
      <w:rPr>
        <w:rFonts w:ascii="Times New Roman" w:eastAsia="Times New Roman" w:hAnsi="Times New Roman" w:hint="default"/>
      </w:rPr>
    </w:lvl>
    <w:lvl w:ilvl="1" w:tentative="1">
      <w:start w:val="1"/>
      <w:numFmt w:val="bullet"/>
      <w:lvlText w:val="o"/>
      <w:lvlJc w:val="left"/>
      <w:pPr>
        <w:ind w:left="1155" w:hanging="360"/>
      </w:pPr>
      <w:rPr>
        <w:rFonts w:ascii="Courier New" w:hAnsi="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hint="default"/>
      </w:rPr>
    </w:lvl>
    <w:lvl w:ilvl="8" w:tentative="1">
      <w:start w:val="1"/>
      <w:numFmt w:val="bullet"/>
      <w:lvlText w:val=""/>
      <w:lvlJc w:val="left"/>
      <w:pPr>
        <w:ind w:left="6195"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3"/>
  </w:num>
  <w:num w:numId="7">
    <w:abstractNumId w:val="0"/>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B"/>
    <w:rsid w:val="00004252"/>
    <w:rsid w:val="000105C7"/>
    <w:rsid w:val="000120BB"/>
    <w:rsid w:val="000124F2"/>
    <w:rsid w:val="00012D03"/>
    <w:rsid w:val="00013197"/>
    <w:rsid w:val="0001469A"/>
    <w:rsid w:val="000149C9"/>
    <w:rsid w:val="000159D7"/>
    <w:rsid w:val="00020E21"/>
    <w:rsid w:val="0002138E"/>
    <w:rsid w:val="00023864"/>
    <w:rsid w:val="00023E39"/>
    <w:rsid w:val="0002755D"/>
    <w:rsid w:val="00031318"/>
    <w:rsid w:val="0004026F"/>
    <w:rsid w:val="000440D8"/>
    <w:rsid w:val="000501C6"/>
    <w:rsid w:val="00050589"/>
    <w:rsid w:val="00053FD4"/>
    <w:rsid w:val="00056418"/>
    <w:rsid w:val="00057B46"/>
    <w:rsid w:val="00063DEB"/>
    <w:rsid w:val="000709FD"/>
    <w:rsid w:val="00070D71"/>
    <w:rsid w:val="000732CF"/>
    <w:rsid w:val="00073A03"/>
    <w:rsid w:val="00075CBC"/>
    <w:rsid w:val="000777C3"/>
    <w:rsid w:val="00080B28"/>
    <w:rsid w:val="00082F13"/>
    <w:rsid w:val="00084D10"/>
    <w:rsid w:val="00092CA8"/>
    <w:rsid w:val="00094A1B"/>
    <w:rsid w:val="00095A34"/>
    <w:rsid w:val="000A05EE"/>
    <w:rsid w:val="000B0665"/>
    <w:rsid w:val="000B7B9D"/>
    <w:rsid w:val="000C3EEB"/>
    <w:rsid w:val="000C73E1"/>
    <w:rsid w:val="000E19A5"/>
    <w:rsid w:val="000E6206"/>
    <w:rsid w:val="000F08E8"/>
    <w:rsid w:val="0010218E"/>
    <w:rsid w:val="00103BA0"/>
    <w:rsid w:val="00110F6D"/>
    <w:rsid w:val="00111282"/>
    <w:rsid w:val="00115C04"/>
    <w:rsid w:val="00120363"/>
    <w:rsid w:val="001210E3"/>
    <w:rsid w:val="001220C1"/>
    <w:rsid w:val="001252B4"/>
    <w:rsid w:val="00134534"/>
    <w:rsid w:val="00134EE4"/>
    <w:rsid w:val="00135691"/>
    <w:rsid w:val="00137328"/>
    <w:rsid w:val="00140BF2"/>
    <w:rsid w:val="001416AC"/>
    <w:rsid w:val="001418D6"/>
    <w:rsid w:val="00156600"/>
    <w:rsid w:val="001616A4"/>
    <w:rsid w:val="001617C1"/>
    <w:rsid w:val="001625B6"/>
    <w:rsid w:val="00162F6D"/>
    <w:rsid w:val="00165572"/>
    <w:rsid w:val="001660D0"/>
    <w:rsid w:val="00166417"/>
    <w:rsid w:val="0016713E"/>
    <w:rsid w:val="00171740"/>
    <w:rsid w:val="00172FB9"/>
    <w:rsid w:val="001745D7"/>
    <w:rsid w:val="0017529D"/>
    <w:rsid w:val="0017734C"/>
    <w:rsid w:val="00184F91"/>
    <w:rsid w:val="001870C4"/>
    <w:rsid w:val="001932D0"/>
    <w:rsid w:val="00194909"/>
    <w:rsid w:val="00194E22"/>
    <w:rsid w:val="00195D69"/>
    <w:rsid w:val="001974FA"/>
    <w:rsid w:val="001A2347"/>
    <w:rsid w:val="001A55A7"/>
    <w:rsid w:val="001B181A"/>
    <w:rsid w:val="001B1EA7"/>
    <w:rsid w:val="001B3285"/>
    <w:rsid w:val="001B7D45"/>
    <w:rsid w:val="001C0354"/>
    <w:rsid w:val="001C15B5"/>
    <w:rsid w:val="001C31D0"/>
    <w:rsid w:val="001C4FC5"/>
    <w:rsid w:val="001C678C"/>
    <w:rsid w:val="001D40C2"/>
    <w:rsid w:val="001D4A2A"/>
    <w:rsid w:val="001D5A54"/>
    <w:rsid w:val="001E00A8"/>
    <w:rsid w:val="001E07DF"/>
    <w:rsid w:val="001E1C1B"/>
    <w:rsid w:val="001E291A"/>
    <w:rsid w:val="001E2F02"/>
    <w:rsid w:val="001F3F27"/>
    <w:rsid w:val="001F6690"/>
    <w:rsid w:val="002010B7"/>
    <w:rsid w:val="00206027"/>
    <w:rsid w:val="00225E5D"/>
    <w:rsid w:val="00231C6A"/>
    <w:rsid w:val="00234F62"/>
    <w:rsid w:val="0024265A"/>
    <w:rsid w:val="00242A19"/>
    <w:rsid w:val="0024394E"/>
    <w:rsid w:val="002574B9"/>
    <w:rsid w:val="00266047"/>
    <w:rsid w:val="00273324"/>
    <w:rsid w:val="00274301"/>
    <w:rsid w:val="002744CD"/>
    <w:rsid w:val="00281C79"/>
    <w:rsid w:val="00283ED4"/>
    <w:rsid w:val="00287245"/>
    <w:rsid w:val="0029006A"/>
    <w:rsid w:val="0029161D"/>
    <w:rsid w:val="00293489"/>
    <w:rsid w:val="00293AB2"/>
    <w:rsid w:val="002967BB"/>
    <w:rsid w:val="002A0D64"/>
    <w:rsid w:val="002A6B0C"/>
    <w:rsid w:val="002A6F88"/>
    <w:rsid w:val="002B7EAB"/>
    <w:rsid w:val="002C011F"/>
    <w:rsid w:val="002C12F8"/>
    <w:rsid w:val="002C28A6"/>
    <w:rsid w:val="002C4995"/>
    <w:rsid w:val="002C5893"/>
    <w:rsid w:val="002C6AAE"/>
    <w:rsid w:val="002D2103"/>
    <w:rsid w:val="002D341F"/>
    <w:rsid w:val="002D34BF"/>
    <w:rsid w:val="002E144E"/>
    <w:rsid w:val="002E538B"/>
    <w:rsid w:val="002F1458"/>
    <w:rsid w:val="002F63F2"/>
    <w:rsid w:val="00303700"/>
    <w:rsid w:val="00307AD9"/>
    <w:rsid w:val="003143B3"/>
    <w:rsid w:val="00314E05"/>
    <w:rsid w:val="00315DA5"/>
    <w:rsid w:val="00321247"/>
    <w:rsid w:val="003213AC"/>
    <w:rsid w:val="00326A1D"/>
    <w:rsid w:val="00327691"/>
    <w:rsid w:val="0033033F"/>
    <w:rsid w:val="00331876"/>
    <w:rsid w:val="003373EF"/>
    <w:rsid w:val="00337B20"/>
    <w:rsid w:val="0034154E"/>
    <w:rsid w:val="00345516"/>
    <w:rsid w:val="00347E3D"/>
    <w:rsid w:val="00353F44"/>
    <w:rsid w:val="00360FFC"/>
    <w:rsid w:val="00363EC5"/>
    <w:rsid w:val="00365E3A"/>
    <w:rsid w:val="0036760F"/>
    <w:rsid w:val="00373DD6"/>
    <w:rsid w:val="00374F7D"/>
    <w:rsid w:val="00377871"/>
    <w:rsid w:val="003804A3"/>
    <w:rsid w:val="00380BAC"/>
    <w:rsid w:val="003815DA"/>
    <w:rsid w:val="0038177D"/>
    <w:rsid w:val="003817D9"/>
    <w:rsid w:val="00382C8C"/>
    <w:rsid w:val="003868F9"/>
    <w:rsid w:val="00397639"/>
    <w:rsid w:val="003A3A9F"/>
    <w:rsid w:val="003A3C01"/>
    <w:rsid w:val="003A6F78"/>
    <w:rsid w:val="003B27BA"/>
    <w:rsid w:val="003B3456"/>
    <w:rsid w:val="003C0E6D"/>
    <w:rsid w:val="003C2A63"/>
    <w:rsid w:val="003C5777"/>
    <w:rsid w:val="003D0BB8"/>
    <w:rsid w:val="003D2DB4"/>
    <w:rsid w:val="003D5DF7"/>
    <w:rsid w:val="003D606E"/>
    <w:rsid w:val="003D6EA8"/>
    <w:rsid w:val="003E31FC"/>
    <w:rsid w:val="003E5684"/>
    <w:rsid w:val="003F4F30"/>
    <w:rsid w:val="003F6FDC"/>
    <w:rsid w:val="00410DA2"/>
    <w:rsid w:val="004112E3"/>
    <w:rsid w:val="004147D9"/>
    <w:rsid w:val="00415276"/>
    <w:rsid w:val="00415EEB"/>
    <w:rsid w:val="00416DB8"/>
    <w:rsid w:val="00426C76"/>
    <w:rsid w:val="00432B27"/>
    <w:rsid w:val="00434CCF"/>
    <w:rsid w:val="00434DC4"/>
    <w:rsid w:val="00441F1B"/>
    <w:rsid w:val="00442D14"/>
    <w:rsid w:val="00443B6B"/>
    <w:rsid w:val="00454137"/>
    <w:rsid w:val="00460DFF"/>
    <w:rsid w:val="00464C81"/>
    <w:rsid w:val="00464D74"/>
    <w:rsid w:val="00470E13"/>
    <w:rsid w:val="004802D7"/>
    <w:rsid w:val="00480637"/>
    <w:rsid w:val="00481480"/>
    <w:rsid w:val="00483322"/>
    <w:rsid w:val="00485C9C"/>
    <w:rsid w:val="00486498"/>
    <w:rsid w:val="0048793D"/>
    <w:rsid w:val="00492249"/>
    <w:rsid w:val="00495F8F"/>
    <w:rsid w:val="004A0D43"/>
    <w:rsid w:val="004B138B"/>
    <w:rsid w:val="004B1DB1"/>
    <w:rsid w:val="004B1F82"/>
    <w:rsid w:val="004B212C"/>
    <w:rsid w:val="004B3B89"/>
    <w:rsid w:val="004C6EC8"/>
    <w:rsid w:val="004D351F"/>
    <w:rsid w:val="004D6E50"/>
    <w:rsid w:val="004E294B"/>
    <w:rsid w:val="004E4F02"/>
    <w:rsid w:val="004F1436"/>
    <w:rsid w:val="004F7D97"/>
    <w:rsid w:val="005035EA"/>
    <w:rsid w:val="005048BE"/>
    <w:rsid w:val="00504E2A"/>
    <w:rsid w:val="00507CB3"/>
    <w:rsid w:val="00507DE6"/>
    <w:rsid w:val="00510CA2"/>
    <w:rsid w:val="00511745"/>
    <w:rsid w:val="00511BCF"/>
    <w:rsid w:val="00512221"/>
    <w:rsid w:val="00516BE1"/>
    <w:rsid w:val="005229CD"/>
    <w:rsid w:val="00525DF4"/>
    <w:rsid w:val="00530067"/>
    <w:rsid w:val="00531F16"/>
    <w:rsid w:val="00536B6A"/>
    <w:rsid w:val="0054134B"/>
    <w:rsid w:val="00542951"/>
    <w:rsid w:val="00542A67"/>
    <w:rsid w:val="005443CD"/>
    <w:rsid w:val="00551A36"/>
    <w:rsid w:val="00553FAF"/>
    <w:rsid w:val="00555453"/>
    <w:rsid w:val="00557324"/>
    <w:rsid w:val="005601F6"/>
    <w:rsid w:val="00560A7D"/>
    <w:rsid w:val="0056457B"/>
    <w:rsid w:val="00570A54"/>
    <w:rsid w:val="0057346C"/>
    <w:rsid w:val="00576C43"/>
    <w:rsid w:val="005802CA"/>
    <w:rsid w:val="00580438"/>
    <w:rsid w:val="00584C97"/>
    <w:rsid w:val="00590FD8"/>
    <w:rsid w:val="00592DCD"/>
    <w:rsid w:val="0059392F"/>
    <w:rsid w:val="00596853"/>
    <w:rsid w:val="005A1917"/>
    <w:rsid w:val="005A4A69"/>
    <w:rsid w:val="005B4289"/>
    <w:rsid w:val="005B4BAD"/>
    <w:rsid w:val="005C4354"/>
    <w:rsid w:val="005C6009"/>
    <w:rsid w:val="005D3652"/>
    <w:rsid w:val="005D46C2"/>
    <w:rsid w:val="005D7249"/>
    <w:rsid w:val="005D75D1"/>
    <w:rsid w:val="005E26A6"/>
    <w:rsid w:val="005E34B1"/>
    <w:rsid w:val="005E3D9F"/>
    <w:rsid w:val="005E3FBD"/>
    <w:rsid w:val="005E5593"/>
    <w:rsid w:val="005F0E3B"/>
    <w:rsid w:val="005F4204"/>
    <w:rsid w:val="00605FD3"/>
    <w:rsid w:val="00613185"/>
    <w:rsid w:val="0061700A"/>
    <w:rsid w:val="006227C5"/>
    <w:rsid w:val="0062321B"/>
    <w:rsid w:val="006279F9"/>
    <w:rsid w:val="0063645C"/>
    <w:rsid w:val="00636D8D"/>
    <w:rsid w:val="00637DB3"/>
    <w:rsid w:val="006451C0"/>
    <w:rsid w:val="006518A6"/>
    <w:rsid w:val="006567B5"/>
    <w:rsid w:val="00660604"/>
    <w:rsid w:val="006649CC"/>
    <w:rsid w:val="00672575"/>
    <w:rsid w:val="00673B5B"/>
    <w:rsid w:val="00673C20"/>
    <w:rsid w:val="00673EC1"/>
    <w:rsid w:val="00682AE4"/>
    <w:rsid w:val="00683476"/>
    <w:rsid w:val="00684DBF"/>
    <w:rsid w:val="00690B33"/>
    <w:rsid w:val="006A1AD7"/>
    <w:rsid w:val="006A1C76"/>
    <w:rsid w:val="006A244C"/>
    <w:rsid w:val="006A2BCC"/>
    <w:rsid w:val="006A593C"/>
    <w:rsid w:val="006A6EDE"/>
    <w:rsid w:val="006B34A8"/>
    <w:rsid w:val="006B59A3"/>
    <w:rsid w:val="006B7EC7"/>
    <w:rsid w:val="006C3D0A"/>
    <w:rsid w:val="006C3DD1"/>
    <w:rsid w:val="006D078F"/>
    <w:rsid w:val="006D109B"/>
    <w:rsid w:val="006D4F4B"/>
    <w:rsid w:val="006D66FB"/>
    <w:rsid w:val="006E2568"/>
    <w:rsid w:val="006E2F3A"/>
    <w:rsid w:val="006E35DB"/>
    <w:rsid w:val="006E481F"/>
    <w:rsid w:val="006E6093"/>
    <w:rsid w:val="006F1BFB"/>
    <w:rsid w:val="006F43B4"/>
    <w:rsid w:val="006F5BF2"/>
    <w:rsid w:val="007029FA"/>
    <w:rsid w:val="007153AC"/>
    <w:rsid w:val="0072012A"/>
    <w:rsid w:val="00724324"/>
    <w:rsid w:val="007325B0"/>
    <w:rsid w:val="00734372"/>
    <w:rsid w:val="00735447"/>
    <w:rsid w:val="007356FC"/>
    <w:rsid w:val="007365FF"/>
    <w:rsid w:val="007437AA"/>
    <w:rsid w:val="00746DF0"/>
    <w:rsid w:val="00753035"/>
    <w:rsid w:val="0075325A"/>
    <w:rsid w:val="00754FA7"/>
    <w:rsid w:val="00756BC9"/>
    <w:rsid w:val="00757359"/>
    <w:rsid w:val="00757DBB"/>
    <w:rsid w:val="00765E3F"/>
    <w:rsid w:val="00775B24"/>
    <w:rsid w:val="00775C03"/>
    <w:rsid w:val="0078292F"/>
    <w:rsid w:val="00783DC9"/>
    <w:rsid w:val="00787E72"/>
    <w:rsid w:val="00794F1E"/>
    <w:rsid w:val="007967D6"/>
    <w:rsid w:val="007A42CE"/>
    <w:rsid w:val="007A4F2D"/>
    <w:rsid w:val="007A5310"/>
    <w:rsid w:val="007B0008"/>
    <w:rsid w:val="007B012C"/>
    <w:rsid w:val="007B03DE"/>
    <w:rsid w:val="007B3FE5"/>
    <w:rsid w:val="007C1E60"/>
    <w:rsid w:val="007C445C"/>
    <w:rsid w:val="007C4E6D"/>
    <w:rsid w:val="007C7B41"/>
    <w:rsid w:val="007D4810"/>
    <w:rsid w:val="007E0EC4"/>
    <w:rsid w:val="007E1DCD"/>
    <w:rsid w:val="007F0332"/>
    <w:rsid w:val="007F7814"/>
    <w:rsid w:val="00804734"/>
    <w:rsid w:val="008126B6"/>
    <w:rsid w:val="0081344A"/>
    <w:rsid w:val="00816CA0"/>
    <w:rsid w:val="0082010C"/>
    <w:rsid w:val="008243D8"/>
    <w:rsid w:val="00824450"/>
    <w:rsid w:val="00826495"/>
    <w:rsid w:val="00830E73"/>
    <w:rsid w:val="008351C2"/>
    <w:rsid w:val="00840117"/>
    <w:rsid w:val="008534CA"/>
    <w:rsid w:val="008602B2"/>
    <w:rsid w:val="00860C43"/>
    <w:rsid w:val="00861F5A"/>
    <w:rsid w:val="00863D8B"/>
    <w:rsid w:val="00870350"/>
    <w:rsid w:val="008720A4"/>
    <w:rsid w:val="00872821"/>
    <w:rsid w:val="00877990"/>
    <w:rsid w:val="008804A8"/>
    <w:rsid w:val="008809A0"/>
    <w:rsid w:val="00880A75"/>
    <w:rsid w:val="0088384E"/>
    <w:rsid w:val="00891EEB"/>
    <w:rsid w:val="00897620"/>
    <w:rsid w:val="008A1FF1"/>
    <w:rsid w:val="008A4C09"/>
    <w:rsid w:val="008A6932"/>
    <w:rsid w:val="008B2680"/>
    <w:rsid w:val="008B54F5"/>
    <w:rsid w:val="008C0533"/>
    <w:rsid w:val="008C29E2"/>
    <w:rsid w:val="008C6444"/>
    <w:rsid w:val="008D056F"/>
    <w:rsid w:val="008D0868"/>
    <w:rsid w:val="008D3A5C"/>
    <w:rsid w:val="008D3C13"/>
    <w:rsid w:val="008D5856"/>
    <w:rsid w:val="008D5AE0"/>
    <w:rsid w:val="008D71D6"/>
    <w:rsid w:val="008E0AD3"/>
    <w:rsid w:val="008E1A54"/>
    <w:rsid w:val="008E3B68"/>
    <w:rsid w:val="008E5934"/>
    <w:rsid w:val="008F034C"/>
    <w:rsid w:val="008F480E"/>
    <w:rsid w:val="00901846"/>
    <w:rsid w:val="0091009C"/>
    <w:rsid w:val="009106D2"/>
    <w:rsid w:val="0091085E"/>
    <w:rsid w:val="0091779D"/>
    <w:rsid w:val="00921536"/>
    <w:rsid w:val="00921738"/>
    <w:rsid w:val="00926B1D"/>
    <w:rsid w:val="009307B0"/>
    <w:rsid w:val="0093272B"/>
    <w:rsid w:val="00932AEB"/>
    <w:rsid w:val="00932DAD"/>
    <w:rsid w:val="00934A49"/>
    <w:rsid w:val="0093686B"/>
    <w:rsid w:val="00937E9E"/>
    <w:rsid w:val="00947100"/>
    <w:rsid w:val="009538F4"/>
    <w:rsid w:val="0095471F"/>
    <w:rsid w:val="00954912"/>
    <w:rsid w:val="009562EC"/>
    <w:rsid w:val="009606B5"/>
    <w:rsid w:val="009618CC"/>
    <w:rsid w:val="0096328F"/>
    <w:rsid w:val="00966B49"/>
    <w:rsid w:val="00972CFC"/>
    <w:rsid w:val="00977D98"/>
    <w:rsid w:val="0098393A"/>
    <w:rsid w:val="009859D7"/>
    <w:rsid w:val="00986B43"/>
    <w:rsid w:val="009921E8"/>
    <w:rsid w:val="00994CF5"/>
    <w:rsid w:val="00994F26"/>
    <w:rsid w:val="009A0510"/>
    <w:rsid w:val="009A6631"/>
    <w:rsid w:val="009A76E5"/>
    <w:rsid w:val="009B08BE"/>
    <w:rsid w:val="009B4144"/>
    <w:rsid w:val="009B4535"/>
    <w:rsid w:val="009B5566"/>
    <w:rsid w:val="009B6DF2"/>
    <w:rsid w:val="009C212A"/>
    <w:rsid w:val="009D2685"/>
    <w:rsid w:val="009D69E1"/>
    <w:rsid w:val="009D6D88"/>
    <w:rsid w:val="009E5550"/>
    <w:rsid w:val="009E759E"/>
    <w:rsid w:val="009F6DDD"/>
    <w:rsid w:val="00A0025F"/>
    <w:rsid w:val="00A03138"/>
    <w:rsid w:val="00A0351B"/>
    <w:rsid w:val="00A0748E"/>
    <w:rsid w:val="00A07870"/>
    <w:rsid w:val="00A111DC"/>
    <w:rsid w:val="00A11370"/>
    <w:rsid w:val="00A160C6"/>
    <w:rsid w:val="00A16969"/>
    <w:rsid w:val="00A21351"/>
    <w:rsid w:val="00A215C7"/>
    <w:rsid w:val="00A23C80"/>
    <w:rsid w:val="00A24790"/>
    <w:rsid w:val="00A2692D"/>
    <w:rsid w:val="00A326B2"/>
    <w:rsid w:val="00A352E0"/>
    <w:rsid w:val="00A44996"/>
    <w:rsid w:val="00A46106"/>
    <w:rsid w:val="00A509CC"/>
    <w:rsid w:val="00A51E93"/>
    <w:rsid w:val="00A57FFD"/>
    <w:rsid w:val="00A61B5F"/>
    <w:rsid w:val="00A627C6"/>
    <w:rsid w:val="00A66DF8"/>
    <w:rsid w:val="00A67BD5"/>
    <w:rsid w:val="00A708A6"/>
    <w:rsid w:val="00A731F1"/>
    <w:rsid w:val="00A74F61"/>
    <w:rsid w:val="00A7630E"/>
    <w:rsid w:val="00A84E04"/>
    <w:rsid w:val="00A949E9"/>
    <w:rsid w:val="00A95721"/>
    <w:rsid w:val="00A9594D"/>
    <w:rsid w:val="00AA0694"/>
    <w:rsid w:val="00AA09B8"/>
    <w:rsid w:val="00AA2D96"/>
    <w:rsid w:val="00AC01A3"/>
    <w:rsid w:val="00AC11E2"/>
    <w:rsid w:val="00AC3781"/>
    <w:rsid w:val="00AC5345"/>
    <w:rsid w:val="00AC5C1D"/>
    <w:rsid w:val="00AD2277"/>
    <w:rsid w:val="00AE0158"/>
    <w:rsid w:val="00AE2E49"/>
    <w:rsid w:val="00AE5EF3"/>
    <w:rsid w:val="00AE6612"/>
    <w:rsid w:val="00AE7470"/>
    <w:rsid w:val="00AF0FA4"/>
    <w:rsid w:val="00AF315F"/>
    <w:rsid w:val="00AF33DD"/>
    <w:rsid w:val="00AF45D8"/>
    <w:rsid w:val="00AF6D86"/>
    <w:rsid w:val="00B041FF"/>
    <w:rsid w:val="00B058EE"/>
    <w:rsid w:val="00B129A5"/>
    <w:rsid w:val="00B20414"/>
    <w:rsid w:val="00B20BD7"/>
    <w:rsid w:val="00B211AD"/>
    <w:rsid w:val="00B2493E"/>
    <w:rsid w:val="00B262FF"/>
    <w:rsid w:val="00B4122F"/>
    <w:rsid w:val="00B43706"/>
    <w:rsid w:val="00B44DB8"/>
    <w:rsid w:val="00B50FD9"/>
    <w:rsid w:val="00B55A53"/>
    <w:rsid w:val="00B55AB0"/>
    <w:rsid w:val="00B61287"/>
    <w:rsid w:val="00B61994"/>
    <w:rsid w:val="00B650AB"/>
    <w:rsid w:val="00B72406"/>
    <w:rsid w:val="00B746D5"/>
    <w:rsid w:val="00B75EE3"/>
    <w:rsid w:val="00B760A6"/>
    <w:rsid w:val="00B8065C"/>
    <w:rsid w:val="00B858C6"/>
    <w:rsid w:val="00B868A4"/>
    <w:rsid w:val="00B87DB1"/>
    <w:rsid w:val="00B909D1"/>
    <w:rsid w:val="00B9131E"/>
    <w:rsid w:val="00B91FD8"/>
    <w:rsid w:val="00B92968"/>
    <w:rsid w:val="00B9364A"/>
    <w:rsid w:val="00B94241"/>
    <w:rsid w:val="00B9658F"/>
    <w:rsid w:val="00B97B52"/>
    <w:rsid w:val="00BA2FD6"/>
    <w:rsid w:val="00BA67B3"/>
    <w:rsid w:val="00BB0BD6"/>
    <w:rsid w:val="00BB1A89"/>
    <w:rsid w:val="00BB6821"/>
    <w:rsid w:val="00BB6CF7"/>
    <w:rsid w:val="00BB7DEF"/>
    <w:rsid w:val="00BC14B1"/>
    <w:rsid w:val="00BC415A"/>
    <w:rsid w:val="00BC626A"/>
    <w:rsid w:val="00BE3707"/>
    <w:rsid w:val="00BE5B2D"/>
    <w:rsid w:val="00BF3D8F"/>
    <w:rsid w:val="00C04CE3"/>
    <w:rsid w:val="00C102FD"/>
    <w:rsid w:val="00C15772"/>
    <w:rsid w:val="00C17CFA"/>
    <w:rsid w:val="00C205ED"/>
    <w:rsid w:val="00C2599F"/>
    <w:rsid w:val="00C26386"/>
    <w:rsid w:val="00C26E7A"/>
    <w:rsid w:val="00C34A2B"/>
    <w:rsid w:val="00C3636B"/>
    <w:rsid w:val="00C36A6A"/>
    <w:rsid w:val="00C4035B"/>
    <w:rsid w:val="00C41CAC"/>
    <w:rsid w:val="00C45497"/>
    <w:rsid w:val="00C5125C"/>
    <w:rsid w:val="00C53BFA"/>
    <w:rsid w:val="00C6172C"/>
    <w:rsid w:val="00C63BB6"/>
    <w:rsid w:val="00C64652"/>
    <w:rsid w:val="00C70093"/>
    <w:rsid w:val="00C800EA"/>
    <w:rsid w:val="00C81DF9"/>
    <w:rsid w:val="00C81F4C"/>
    <w:rsid w:val="00C84017"/>
    <w:rsid w:val="00C931FB"/>
    <w:rsid w:val="00C94AA3"/>
    <w:rsid w:val="00C969BD"/>
    <w:rsid w:val="00C97784"/>
    <w:rsid w:val="00C97C37"/>
    <w:rsid w:val="00CA634C"/>
    <w:rsid w:val="00CA75A7"/>
    <w:rsid w:val="00CB0A3D"/>
    <w:rsid w:val="00CB54D0"/>
    <w:rsid w:val="00CB74E4"/>
    <w:rsid w:val="00CC0482"/>
    <w:rsid w:val="00CC0D61"/>
    <w:rsid w:val="00CC5EDB"/>
    <w:rsid w:val="00CD3AA8"/>
    <w:rsid w:val="00CD631C"/>
    <w:rsid w:val="00CD6541"/>
    <w:rsid w:val="00CD6CFE"/>
    <w:rsid w:val="00CE0A91"/>
    <w:rsid w:val="00CE27A8"/>
    <w:rsid w:val="00CF0BD8"/>
    <w:rsid w:val="00CF0E3E"/>
    <w:rsid w:val="00CF259D"/>
    <w:rsid w:val="00CF773E"/>
    <w:rsid w:val="00D01B24"/>
    <w:rsid w:val="00D01C3D"/>
    <w:rsid w:val="00D04C3B"/>
    <w:rsid w:val="00D12F34"/>
    <w:rsid w:val="00D13282"/>
    <w:rsid w:val="00D16518"/>
    <w:rsid w:val="00D2172A"/>
    <w:rsid w:val="00D304E0"/>
    <w:rsid w:val="00D3281A"/>
    <w:rsid w:val="00D32BE4"/>
    <w:rsid w:val="00D343B9"/>
    <w:rsid w:val="00D34CED"/>
    <w:rsid w:val="00D438B8"/>
    <w:rsid w:val="00D47478"/>
    <w:rsid w:val="00D53AD1"/>
    <w:rsid w:val="00D56961"/>
    <w:rsid w:val="00D56C8C"/>
    <w:rsid w:val="00D57677"/>
    <w:rsid w:val="00D60BB8"/>
    <w:rsid w:val="00D643FF"/>
    <w:rsid w:val="00D65C6C"/>
    <w:rsid w:val="00D74C6D"/>
    <w:rsid w:val="00D74C8A"/>
    <w:rsid w:val="00D74D19"/>
    <w:rsid w:val="00D7530B"/>
    <w:rsid w:val="00D8014D"/>
    <w:rsid w:val="00D84113"/>
    <w:rsid w:val="00D9641C"/>
    <w:rsid w:val="00DA5B76"/>
    <w:rsid w:val="00DA7AA5"/>
    <w:rsid w:val="00DB0D59"/>
    <w:rsid w:val="00DB10C5"/>
    <w:rsid w:val="00DB4412"/>
    <w:rsid w:val="00DD2A23"/>
    <w:rsid w:val="00DD3CA9"/>
    <w:rsid w:val="00DE06CF"/>
    <w:rsid w:val="00DE06DD"/>
    <w:rsid w:val="00DE0B55"/>
    <w:rsid w:val="00DE3F15"/>
    <w:rsid w:val="00DE603D"/>
    <w:rsid w:val="00DE750A"/>
    <w:rsid w:val="00DF28DC"/>
    <w:rsid w:val="00DF3170"/>
    <w:rsid w:val="00DF61F4"/>
    <w:rsid w:val="00E0292C"/>
    <w:rsid w:val="00E06023"/>
    <w:rsid w:val="00E0610A"/>
    <w:rsid w:val="00E101BB"/>
    <w:rsid w:val="00E16558"/>
    <w:rsid w:val="00E171E9"/>
    <w:rsid w:val="00E206BA"/>
    <w:rsid w:val="00E2251A"/>
    <w:rsid w:val="00E237B8"/>
    <w:rsid w:val="00E30527"/>
    <w:rsid w:val="00E352A2"/>
    <w:rsid w:val="00E4278A"/>
    <w:rsid w:val="00E447DC"/>
    <w:rsid w:val="00E46E4C"/>
    <w:rsid w:val="00E474AE"/>
    <w:rsid w:val="00E510FA"/>
    <w:rsid w:val="00E52A4E"/>
    <w:rsid w:val="00E52F87"/>
    <w:rsid w:val="00E60D21"/>
    <w:rsid w:val="00E64577"/>
    <w:rsid w:val="00E65E72"/>
    <w:rsid w:val="00E668ED"/>
    <w:rsid w:val="00E70894"/>
    <w:rsid w:val="00E738E9"/>
    <w:rsid w:val="00E7439B"/>
    <w:rsid w:val="00E74EE7"/>
    <w:rsid w:val="00E8109F"/>
    <w:rsid w:val="00E8392A"/>
    <w:rsid w:val="00E879CB"/>
    <w:rsid w:val="00E90CE3"/>
    <w:rsid w:val="00E90F59"/>
    <w:rsid w:val="00E93A91"/>
    <w:rsid w:val="00EA16F6"/>
    <w:rsid w:val="00EA2305"/>
    <w:rsid w:val="00EB2B5C"/>
    <w:rsid w:val="00EB69CA"/>
    <w:rsid w:val="00EC170F"/>
    <w:rsid w:val="00EC423C"/>
    <w:rsid w:val="00EC5385"/>
    <w:rsid w:val="00ED191D"/>
    <w:rsid w:val="00ED3040"/>
    <w:rsid w:val="00ED394D"/>
    <w:rsid w:val="00ED3B50"/>
    <w:rsid w:val="00EE27EA"/>
    <w:rsid w:val="00EF3D2B"/>
    <w:rsid w:val="00F1133E"/>
    <w:rsid w:val="00F11923"/>
    <w:rsid w:val="00F2041B"/>
    <w:rsid w:val="00F21FEB"/>
    <w:rsid w:val="00F27679"/>
    <w:rsid w:val="00F325C3"/>
    <w:rsid w:val="00F32D43"/>
    <w:rsid w:val="00F33D95"/>
    <w:rsid w:val="00F368A5"/>
    <w:rsid w:val="00F520CA"/>
    <w:rsid w:val="00F52AED"/>
    <w:rsid w:val="00F549A2"/>
    <w:rsid w:val="00F55865"/>
    <w:rsid w:val="00F5643D"/>
    <w:rsid w:val="00F712C1"/>
    <w:rsid w:val="00F71F84"/>
    <w:rsid w:val="00F729D0"/>
    <w:rsid w:val="00F7498B"/>
    <w:rsid w:val="00F776BC"/>
    <w:rsid w:val="00F8166A"/>
    <w:rsid w:val="00F82676"/>
    <w:rsid w:val="00F83785"/>
    <w:rsid w:val="00F86C26"/>
    <w:rsid w:val="00F90EA5"/>
    <w:rsid w:val="00F922CC"/>
    <w:rsid w:val="00F93367"/>
    <w:rsid w:val="00F95B12"/>
    <w:rsid w:val="00FA1E49"/>
    <w:rsid w:val="00FA4A3A"/>
    <w:rsid w:val="00FB3539"/>
    <w:rsid w:val="00FB35D9"/>
    <w:rsid w:val="00FB406B"/>
    <w:rsid w:val="00FB747B"/>
    <w:rsid w:val="00FB7E0B"/>
    <w:rsid w:val="00FC0BE1"/>
    <w:rsid w:val="00FD14AE"/>
    <w:rsid w:val="00FD1B98"/>
    <w:rsid w:val="00FD2807"/>
    <w:rsid w:val="00FD4051"/>
    <w:rsid w:val="00FE2661"/>
    <w:rsid w:val="00FE35F0"/>
    <w:rsid w:val="00FE3B7A"/>
    <w:rsid w:val="00FE7138"/>
    <w:rsid w:val="00FE7D03"/>
    <w:rsid w:val="00FF3F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CFD08DC-37A5-414E-8440-3EBADE1A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BB"/>
    <w:pPr>
      <w:spacing w:after="200" w:line="276" w:lineRule="auto"/>
    </w:pPr>
    <w:rPr>
      <w:lang w:val="lv-LV"/>
    </w:rPr>
  </w:style>
  <w:style w:type="paragraph" w:styleId="Heading3">
    <w:name w:val="heading 3"/>
    <w:basedOn w:val="Normal"/>
    <w:link w:val="Heading3Char"/>
    <w:uiPriority w:val="9"/>
    <w:qFormat/>
    <w:locked/>
    <w:rsid w:val="002B7EAB"/>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semiHidden/>
    <w:rsid w:val="008401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rsid w:val="00FB35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35D9"/>
    <w:rPr>
      <w:rFonts w:cs="Times New Roman"/>
      <w:sz w:val="20"/>
      <w:szCs w:val="20"/>
    </w:rPr>
  </w:style>
  <w:style w:type="character" w:styleId="FootnoteReference">
    <w:name w:val="footnote reference"/>
    <w:basedOn w:val="DefaultParagraphFont"/>
    <w:uiPriority w:val="99"/>
    <w:semiHidden/>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7E0EC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kdat">
    <w:name w:val="lik_dat"/>
    <w:basedOn w:val="Normal"/>
    <w:rsid w:val="007E0EC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2B7EAB"/>
    <w:rPr>
      <w:rFonts w:ascii="Times New Roman" w:eastAsia="Times New Roman" w:hAnsi="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F427-8536-41E3-A2BF-992728C0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2551</Words>
  <Characters>17358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Likumprojekta "Grozījums likumā "Par Krimināllikuma spēkā stāšanās un piemērošanas kārtību"" sākotnējās ietekmes novērtējuma ziņojums (anotācija)</vt:lpstr>
    </vt:vector>
  </TitlesOfParts>
  <Company>Veselības ministrija</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Evija Gaile</dc:creator>
  <dc:description>Gaile 67876099_x000D_
evija.gaile@vm.gov.lv</dc:description>
  <cp:lastModifiedBy>Zaiga Valtere</cp:lastModifiedBy>
  <cp:revision>2</cp:revision>
  <cp:lastPrinted>2017-05-16T06:03:00Z</cp:lastPrinted>
  <dcterms:created xsi:type="dcterms:W3CDTF">2017-05-16T10:08:00Z</dcterms:created>
  <dcterms:modified xsi:type="dcterms:W3CDTF">2017-05-16T10:08:00Z</dcterms:modified>
</cp:coreProperties>
</file>