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94C55" w:rsidRPr="001521F8" w:rsidP="00BA6DE4">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1521F8">
        <w:rPr>
          <w:rFonts w:ascii="Times New Roman" w:eastAsia="Times New Roman" w:hAnsi="Times New Roman" w:cs="Times New Roman"/>
          <w:b/>
          <w:bCs/>
          <w:sz w:val="28"/>
          <w:szCs w:val="24"/>
          <w:lang w:eastAsia="lv-LV"/>
        </w:rPr>
        <w:t>Ministru kabineta noteikumu projekta</w:t>
      </w:r>
      <w:r w:rsidRPr="001521F8" w:rsidR="00BA6DE4">
        <w:rPr>
          <w:rFonts w:ascii="Times New Roman" w:eastAsia="Times New Roman" w:hAnsi="Times New Roman" w:cs="Times New Roman"/>
          <w:b/>
          <w:bCs/>
          <w:sz w:val="28"/>
          <w:szCs w:val="24"/>
          <w:lang w:eastAsia="lv-LV"/>
        </w:rPr>
        <w:t xml:space="preserve"> </w:t>
      </w:r>
      <w:r w:rsidR="005D2713">
        <w:rPr>
          <w:rFonts w:ascii="Times New Roman" w:eastAsia="Times New Roman" w:hAnsi="Times New Roman" w:cs="Times New Roman"/>
          <w:b/>
          <w:bCs/>
          <w:sz w:val="28"/>
          <w:szCs w:val="24"/>
          <w:lang w:eastAsia="lv-LV"/>
        </w:rPr>
        <w:t>“</w:t>
      </w:r>
      <w:r w:rsidRPr="001521F8" w:rsidR="001330BA">
        <w:rPr>
          <w:rFonts w:ascii="Times New Roman" w:hAnsi="Times New Roman" w:cs="Times New Roman"/>
          <w:b/>
          <w:sz w:val="28"/>
          <w:szCs w:val="28"/>
        </w:rPr>
        <w:t xml:space="preserve">Noteikumi par </w:t>
      </w:r>
      <w:r w:rsidRPr="001521F8" w:rsidR="00E17DF8">
        <w:rPr>
          <w:rFonts w:ascii="Times New Roman" w:eastAsia="Times New Roman" w:hAnsi="Times New Roman" w:cs="Times New Roman"/>
          <w:b/>
          <w:bCs/>
          <w:sz w:val="28"/>
          <w:szCs w:val="28"/>
          <w:lang w:eastAsia="lv-LV"/>
        </w:rPr>
        <w:t>tiesai sniedzamās</w:t>
      </w:r>
      <w:r w:rsidRPr="001521F8" w:rsidR="00BA6DE4">
        <w:rPr>
          <w:rFonts w:ascii="Times New Roman" w:eastAsia="Times New Roman" w:hAnsi="Times New Roman" w:cs="Times New Roman"/>
          <w:b/>
          <w:bCs/>
          <w:sz w:val="28"/>
          <w:szCs w:val="24"/>
          <w:lang w:eastAsia="lv-LV"/>
        </w:rPr>
        <w:t xml:space="preserve"> </w:t>
      </w:r>
      <w:r w:rsidRPr="001521F8" w:rsidR="00E17DF8">
        <w:rPr>
          <w:rFonts w:ascii="Times New Roman" w:eastAsia="Times New Roman" w:hAnsi="Times New Roman" w:cs="Times New Roman"/>
          <w:b/>
          <w:bCs/>
          <w:sz w:val="28"/>
          <w:szCs w:val="24"/>
          <w:lang w:eastAsia="lv-LV"/>
        </w:rPr>
        <w:t>informācijas saturu un apjomu par per</w:t>
      </w:r>
      <w:r w:rsidRPr="001521F8" w:rsidR="00D8723A">
        <w:rPr>
          <w:rFonts w:ascii="Times New Roman" w:eastAsia="Times New Roman" w:hAnsi="Times New Roman" w:cs="Times New Roman"/>
          <w:b/>
          <w:bCs/>
          <w:sz w:val="28"/>
          <w:szCs w:val="24"/>
          <w:lang w:eastAsia="lv-LV"/>
        </w:rPr>
        <w:t>s</w:t>
      </w:r>
      <w:r w:rsidRPr="001521F8" w:rsidR="00BA6DE4">
        <w:rPr>
          <w:rFonts w:ascii="Times New Roman" w:eastAsia="Times New Roman" w:hAnsi="Times New Roman" w:cs="Times New Roman"/>
          <w:b/>
          <w:bCs/>
          <w:sz w:val="28"/>
          <w:szCs w:val="24"/>
          <w:lang w:eastAsia="lv-LV"/>
        </w:rPr>
        <w:t xml:space="preserve">onu, kurai kriminālprocesā noteikts medicīniska rakstura piespiedu līdzeklis, no kura persona izvairās vai nepilda tā nosacījumus” </w:t>
      </w:r>
      <w:r w:rsidRPr="001521F8">
        <w:rPr>
          <w:rFonts w:ascii="Times New Roman" w:eastAsia="Times New Roman" w:hAnsi="Times New Roman" w:cs="Times New Roman"/>
          <w:b/>
          <w:bCs/>
          <w:sz w:val="28"/>
          <w:szCs w:val="24"/>
          <w:lang w:eastAsia="lv-LV"/>
        </w:rPr>
        <w:t>sākotnējā</w:t>
      </w:r>
      <w:r w:rsidRPr="001521F8" w:rsidR="00BA6DE4">
        <w:rPr>
          <w:rFonts w:ascii="Times New Roman" w:eastAsia="Times New Roman" w:hAnsi="Times New Roman" w:cs="Times New Roman"/>
          <w:b/>
          <w:bCs/>
          <w:sz w:val="28"/>
          <w:szCs w:val="24"/>
          <w:lang w:eastAsia="lv-LV"/>
        </w:rPr>
        <w:t xml:space="preserve">s ietekmes novērtējuma ziņojums </w:t>
      </w:r>
      <w:r w:rsidRPr="001521F8">
        <w:rPr>
          <w:rFonts w:ascii="Times New Roman" w:eastAsia="Times New Roman" w:hAnsi="Times New Roman" w:cs="Times New Roman"/>
          <w:b/>
          <w:bCs/>
          <w:sz w:val="28"/>
          <w:szCs w:val="24"/>
          <w:lang w:eastAsia="lv-LV"/>
        </w:rPr>
        <w:t>(anotācija)</w:t>
      </w:r>
    </w:p>
    <w:p w:rsidR="00484644" w:rsidRPr="001521F8" w:rsidP="0093796E">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1824"/>
        <w:gridCol w:w="6779"/>
      </w:tblGrid>
      <w:tr w:rsidTr="0081533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1521F8"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I.</w:t>
            </w:r>
            <w:r w:rsidRPr="001521F8" w:rsidR="0050178F">
              <w:rPr>
                <w:rFonts w:ascii="Times New Roman" w:eastAsia="Times New Roman" w:hAnsi="Times New Roman" w:cs="Times New Roman"/>
                <w:b/>
                <w:bCs/>
                <w:sz w:val="24"/>
                <w:szCs w:val="24"/>
                <w:lang w:eastAsia="lv-LV"/>
              </w:rPr>
              <w:t> </w:t>
            </w:r>
            <w:r w:rsidRPr="001521F8">
              <w:rPr>
                <w:rFonts w:ascii="Times New Roman" w:eastAsia="Times New Roman" w:hAnsi="Times New Roman" w:cs="Times New Roman"/>
                <w:b/>
                <w:bCs/>
                <w:sz w:val="24"/>
                <w:szCs w:val="24"/>
                <w:lang w:eastAsia="lv-LV"/>
              </w:rPr>
              <w:t>Tiesību akta projekta izstrādes nepieciešamība</w:t>
            </w:r>
          </w:p>
        </w:tc>
      </w:tr>
      <w:tr w:rsidTr="008908DE">
        <w:tblPrEx>
          <w:tblW w:w="5000" w:type="pct"/>
          <w:tblCellMar>
            <w:top w:w="24" w:type="dxa"/>
            <w:left w:w="24" w:type="dxa"/>
            <w:bottom w:w="24" w:type="dxa"/>
            <w:right w:w="24" w:type="dxa"/>
          </w:tblCellMar>
          <w:tblLook w:val="04A0"/>
        </w:tblPrEx>
        <w:trPr>
          <w:trHeight w:val="384"/>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1521F8" w:rsidP="008908DE">
            <w:pPr>
              <w:spacing w:before="80"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Pamatojums</w:t>
            </w:r>
          </w:p>
        </w:tc>
        <w:tc>
          <w:tcPr>
            <w:tcW w:w="3743" w:type="pct"/>
            <w:tcBorders>
              <w:top w:val="outset" w:sz="6" w:space="0" w:color="414142"/>
              <w:left w:val="outset" w:sz="6" w:space="0" w:color="414142"/>
              <w:bottom w:val="outset" w:sz="6" w:space="0" w:color="414142"/>
              <w:right w:val="outset" w:sz="6" w:space="0" w:color="414142"/>
            </w:tcBorders>
            <w:hideMark/>
          </w:tcPr>
          <w:p w:rsidR="00464A51" w:rsidRPr="001521F8" w:rsidP="008908DE">
            <w:pPr>
              <w:spacing w:before="80" w:after="0" w:line="240" w:lineRule="auto"/>
              <w:ind w:left="119" w:right="140"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Ārstniecības likuma 70.</w:t>
            </w:r>
            <w:r w:rsidRPr="001521F8">
              <w:rPr>
                <w:rFonts w:ascii="Times New Roman" w:eastAsia="Times New Roman" w:hAnsi="Times New Roman" w:cs="Times New Roman"/>
                <w:sz w:val="24"/>
                <w:szCs w:val="24"/>
                <w:vertAlign w:val="superscript"/>
                <w:lang w:eastAsia="lv-LV"/>
              </w:rPr>
              <w:t>1</w:t>
            </w:r>
            <w:r w:rsidRPr="001521F8">
              <w:rPr>
                <w:rFonts w:ascii="Times New Roman" w:eastAsia="Times New Roman" w:hAnsi="Times New Roman" w:cs="Times New Roman"/>
                <w:sz w:val="24"/>
                <w:szCs w:val="24"/>
                <w:lang w:eastAsia="lv-LV"/>
              </w:rPr>
              <w:t xml:space="preserve"> panta otrā daļa</w:t>
            </w:r>
          </w:p>
        </w:tc>
      </w:tr>
      <w:tr w:rsidTr="0093796E">
        <w:tblPrEx>
          <w:tblW w:w="5000" w:type="pct"/>
          <w:tblCellMar>
            <w:top w:w="24" w:type="dxa"/>
            <w:left w:w="24" w:type="dxa"/>
            <w:bottom w:w="24" w:type="dxa"/>
            <w:right w:w="24" w:type="dxa"/>
          </w:tblCellMar>
          <w:tblLook w:val="04A0"/>
        </w:tblPrEx>
        <w:trPr>
          <w:trHeight w:val="664"/>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007" w:type="pct"/>
            <w:tcBorders>
              <w:top w:val="outset" w:sz="6" w:space="0" w:color="414142"/>
              <w:left w:val="outset" w:sz="6" w:space="0" w:color="414142"/>
              <w:bottom w:val="outset" w:sz="6" w:space="0" w:color="414142"/>
              <w:right w:val="outset" w:sz="6" w:space="0" w:color="414142"/>
            </w:tcBorders>
            <w:hideMark/>
          </w:tcPr>
          <w:p w:rsidR="00AE1B31" w:rsidRPr="001521F8"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AE1B31" w:rsidRPr="001521F8" w:rsidP="00AE1B31">
            <w:pPr>
              <w:rPr>
                <w:rFonts w:ascii="Times New Roman" w:eastAsia="Times New Roman" w:hAnsi="Times New Roman" w:cs="Times New Roman"/>
                <w:sz w:val="24"/>
                <w:szCs w:val="24"/>
                <w:lang w:eastAsia="lv-LV"/>
              </w:rPr>
            </w:pPr>
          </w:p>
          <w:p w:rsidR="00894C55" w:rsidRPr="001521F8" w:rsidP="00AE1B31">
            <w:pPr>
              <w:rPr>
                <w:rFonts w:ascii="Times New Roman" w:eastAsia="Times New Roman" w:hAnsi="Times New Roman" w:cs="Times New Roman"/>
                <w:sz w:val="24"/>
                <w:szCs w:val="24"/>
                <w:lang w:eastAsia="lv-LV"/>
              </w:rPr>
            </w:pPr>
          </w:p>
        </w:tc>
        <w:tc>
          <w:tcPr>
            <w:tcW w:w="3743" w:type="pct"/>
            <w:tcBorders>
              <w:top w:val="outset" w:sz="6" w:space="0" w:color="414142"/>
              <w:left w:val="outset" w:sz="6" w:space="0" w:color="414142"/>
              <w:bottom w:val="outset" w:sz="6" w:space="0" w:color="414142"/>
              <w:right w:val="outset" w:sz="6" w:space="0" w:color="414142"/>
            </w:tcBorders>
          </w:tcPr>
          <w:p w:rsidR="00BA6DE4" w:rsidRPr="001521F8" w:rsidP="00FD0ED2">
            <w:pPr>
              <w:spacing w:after="0" w:line="240" w:lineRule="auto"/>
              <w:ind w:left="116" w:right="140"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2016.gada 1.decembrī Saeimā tika pieņemti grozījumi Ārstniecības likumā, to papildinot ar jaunu 70.</w:t>
            </w:r>
            <w:r w:rsidRPr="001521F8">
              <w:rPr>
                <w:rFonts w:ascii="Times New Roman" w:eastAsia="Times New Roman" w:hAnsi="Times New Roman" w:cs="Times New Roman"/>
                <w:sz w:val="24"/>
                <w:szCs w:val="24"/>
                <w:vertAlign w:val="superscript"/>
                <w:lang w:eastAsia="lv-LV"/>
              </w:rPr>
              <w:t>1</w:t>
            </w:r>
            <w:r w:rsidRPr="001521F8">
              <w:rPr>
                <w:rFonts w:ascii="Times New Roman" w:eastAsia="Times New Roman" w:hAnsi="Times New Roman" w:cs="Times New Roman"/>
                <w:sz w:val="24"/>
                <w:szCs w:val="24"/>
                <w:lang w:eastAsia="lv-LV"/>
              </w:rPr>
              <w:t xml:space="preserve"> pantu, kura pirmajā daļā noteikts, ka ārstniecības persona, konstatējot, ka persona, kurai kriminālprocesā tika noteikts</w:t>
            </w:r>
            <w:r w:rsidRPr="001521F8" w:rsidR="00AE1B31">
              <w:rPr>
                <w:rFonts w:ascii="Times New Roman" w:eastAsia="Times New Roman" w:hAnsi="Times New Roman" w:cs="Times New Roman"/>
                <w:sz w:val="24"/>
                <w:szCs w:val="24"/>
                <w:lang w:eastAsia="lv-LV"/>
              </w:rPr>
              <w:t xml:space="preserve"> medicīniska rakstura</w:t>
            </w:r>
            <w:r w:rsidRPr="001521F8">
              <w:rPr>
                <w:rFonts w:ascii="Times New Roman" w:eastAsia="Times New Roman" w:hAnsi="Times New Roman" w:cs="Times New Roman"/>
                <w:sz w:val="24"/>
                <w:szCs w:val="24"/>
                <w:lang w:eastAsia="lv-LV"/>
              </w:rPr>
              <w:t xml:space="preserve"> piespiedu līdzeklis, izvairās no tā vai nepilda tā nosacījumus, nekavējoties informē par to tiesu, kura pieņēmusi lēmumu par piespiedu līdzekļa noteikšanu</w:t>
            </w:r>
            <w:r w:rsidRPr="001521F8" w:rsidR="008367D6">
              <w:rPr>
                <w:rFonts w:ascii="Times New Roman" w:eastAsia="Times New Roman" w:hAnsi="Times New Roman" w:cs="Times New Roman"/>
                <w:sz w:val="24"/>
                <w:szCs w:val="24"/>
                <w:lang w:eastAsia="lv-LV"/>
              </w:rPr>
              <w:t xml:space="preserve"> (turpmāk – lēmums)</w:t>
            </w:r>
            <w:r w:rsidRPr="001521F8">
              <w:rPr>
                <w:rFonts w:ascii="Times New Roman" w:eastAsia="Times New Roman" w:hAnsi="Times New Roman" w:cs="Times New Roman"/>
                <w:sz w:val="24"/>
                <w:szCs w:val="24"/>
                <w:lang w:eastAsia="lv-LV"/>
              </w:rPr>
              <w:t>. Ņemot vērā minēto ārstniecības personas pienākumu, kā arī, lai īstenotu Ārstniecības likuma 70.</w:t>
            </w:r>
            <w:r w:rsidRPr="001521F8">
              <w:rPr>
                <w:rFonts w:ascii="Times New Roman" w:eastAsia="Times New Roman" w:hAnsi="Times New Roman" w:cs="Times New Roman"/>
                <w:sz w:val="24"/>
                <w:szCs w:val="24"/>
                <w:vertAlign w:val="superscript"/>
                <w:lang w:eastAsia="lv-LV"/>
              </w:rPr>
              <w:t>1</w:t>
            </w:r>
            <w:r w:rsidRPr="001521F8">
              <w:rPr>
                <w:rFonts w:ascii="Times New Roman" w:eastAsia="Times New Roman" w:hAnsi="Times New Roman" w:cs="Times New Roman"/>
                <w:sz w:val="24"/>
                <w:szCs w:val="24"/>
                <w:lang w:eastAsia="lv-LV"/>
              </w:rPr>
              <w:t xml:space="preserve"> panta otrajā </w:t>
            </w:r>
            <w:r w:rsidRPr="001521F8" w:rsidR="00F94A00">
              <w:rPr>
                <w:rFonts w:ascii="Times New Roman" w:eastAsia="Times New Roman" w:hAnsi="Times New Roman" w:cs="Times New Roman"/>
                <w:sz w:val="24"/>
                <w:szCs w:val="24"/>
                <w:lang w:eastAsia="lv-LV"/>
              </w:rPr>
              <w:t xml:space="preserve">daļā </w:t>
            </w:r>
            <w:r w:rsidRPr="001521F8">
              <w:rPr>
                <w:rFonts w:ascii="Times New Roman" w:eastAsia="Times New Roman" w:hAnsi="Times New Roman" w:cs="Times New Roman"/>
                <w:sz w:val="24"/>
                <w:szCs w:val="24"/>
                <w:lang w:eastAsia="lv-LV"/>
              </w:rPr>
              <w:t>doto uzdevumu Ministru kabinetam noteikt tiesai sniedzamās informācijas saturu un apjomu, Veselības ministrija ir izstrādājusi Ministru kabineta noteikumu projektu “Noteikumi par tiesai sniedzamās informācijas saturu un apjomu par personu, kurai kriminālprocesā noteikts medicīniska rakstura piespiedu līdzeklis, no kura persona izvairās vai nepilda tā nosacījumus” (turpmāk – Projekts)</w:t>
            </w:r>
            <w:r w:rsidRPr="001521F8" w:rsidR="00AE1B31">
              <w:rPr>
                <w:rFonts w:ascii="Times New Roman" w:eastAsia="Times New Roman" w:hAnsi="Times New Roman" w:cs="Times New Roman"/>
                <w:sz w:val="24"/>
                <w:szCs w:val="24"/>
                <w:lang w:eastAsia="lv-LV"/>
              </w:rPr>
              <w:t>.</w:t>
            </w:r>
          </w:p>
          <w:p w:rsidR="003A19F1" w:rsidRPr="001521F8" w:rsidP="00FD0ED2">
            <w:pPr>
              <w:spacing w:after="0" w:line="240" w:lineRule="auto"/>
              <w:ind w:left="116" w:right="137"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tiesiskā regulējuma mērķis ir noteikt visām psihiatriskajām ārstniecības iestādēm vienotas prasības attiecībā uz tiesai sniedzamo informāciju par personām, kuras izvairās no tām noteiktā medicīniska rakstura piespiedu līdzekļa, vai nepilda tā nosac</w:t>
            </w:r>
            <w:r w:rsidRPr="001521F8" w:rsidR="008633FD">
              <w:rPr>
                <w:rFonts w:ascii="Times New Roman" w:eastAsia="Times New Roman" w:hAnsi="Times New Roman" w:cs="Times New Roman"/>
                <w:sz w:val="24"/>
                <w:szCs w:val="24"/>
                <w:lang w:eastAsia="lv-LV"/>
              </w:rPr>
              <w:t>ījumus</w:t>
            </w:r>
            <w:r w:rsidRPr="001521F8">
              <w:rPr>
                <w:rFonts w:ascii="Times New Roman" w:eastAsia="Times New Roman" w:hAnsi="Times New Roman" w:cs="Times New Roman"/>
                <w:sz w:val="24"/>
                <w:szCs w:val="24"/>
                <w:lang w:eastAsia="lv-LV"/>
              </w:rPr>
              <w:t xml:space="preserve">, ievērojot to, ka tiesas kompetencē ietilpst </w:t>
            </w:r>
            <w:r w:rsidRPr="001521F8" w:rsidR="00021999">
              <w:rPr>
                <w:rFonts w:ascii="Times New Roman" w:eastAsia="Times New Roman" w:hAnsi="Times New Roman" w:cs="Times New Roman"/>
                <w:sz w:val="24"/>
                <w:szCs w:val="24"/>
                <w:lang w:eastAsia="lv-LV"/>
              </w:rPr>
              <w:t>lēmuma</w:t>
            </w:r>
            <w:r w:rsidRPr="001521F8">
              <w:rPr>
                <w:rFonts w:ascii="Times New Roman" w:eastAsia="Times New Roman" w:hAnsi="Times New Roman" w:cs="Times New Roman"/>
                <w:sz w:val="24"/>
                <w:szCs w:val="24"/>
                <w:lang w:eastAsia="lv-LV"/>
              </w:rPr>
              <w:t xml:space="preserve"> izpildes kontrole.</w:t>
            </w:r>
          </w:p>
          <w:p w:rsidR="003A19F1" w:rsidRPr="00486BF7" w:rsidP="00FD0ED2">
            <w:pPr>
              <w:pStyle w:val="tv213"/>
              <w:spacing w:before="0" w:beforeAutospacing="0" w:after="0" w:afterAutospacing="0" w:line="293" w:lineRule="atLeast"/>
              <w:ind w:left="116" w:right="137" w:firstLine="403"/>
              <w:jc w:val="both"/>
            </w:pPr>
            <w:r w:rsidRPr="001521F8">
              <w:t>A</w:t>
            </w:r>
            <w:r w:rsidRPr="001521F8" w:rsidR="00A01DEF">
              <w:t xml:space="preserve">tbilstoši </w:t>
            </w:r>
            <w:r w:rsidRPr="001521F8">
              <w:t>Krimināllikuma 68.panta pir</w:t>
            </w:r>
            <w:r w:rsidRPr="001521F8" w:rsidR="00021999">
              <w:t>majai daļai, tiesa personām, kas</w:t>
            </w:r>
            <w:r w:rsidRPr="001521F8">
              <w:t xml:space="preserve"> izdarījušas Krimināllikumā par</w:t>
            </w:r>
            <w:r w:rsidRPr="001521F8" w:rsidR="00021999">
              <w:t>edzētus noziedzīgus nodarījumus,</w:t>
            </w:r>
            <w:r w:rsidRPr="001521F8">
              <w:t xml:space="preserve"> </w:t>
            </w:r>
            <w:r w:rsidRPr="001521F8" w:rsidR="00F94A00">
              <w:t>slimo</w:t>
            </w:r>
            <w:r w:rsidRPr="001521F8">
              <w:t xml:space="preserve"> ar psihiskiem traucējumiem un ir atzītas par nepieskaitām vai ierobežoti pieskaitāmām</w:t>
            </w:r>
            <w:r w:rsidRPr="001521F8" w:rsidR="00600FDD">
              <w:t>, atkarībā no to bīstamības sabiedrībai,</w:t>
            </w:r>
            <w:r w:rsidRPr="001521F8" w:rsidR="00E920CD">
              <w:t xml:space="preserve"> kā medicīniska </w:t>
            </w:r>
            <w:r w:rsidRPr="00486BF7" w:rsidR="00E920CD">
              <w:t xml:space="preserve">rakstura piespiedu līdzekli var noteikt </w:t>
            </w:r>
            <w:r w:rsidRPr="00486BF7">
              <w:t>ambulat</w:t>
            </w:r>
            <w:r w:rsidRPr="00486BF7" w:rsidR="00E920CD">
              <w:t>oru ārstēšanos medicīnas iestādē, ārstēšanos</w:t>
            </w:r>
            <w:r w:rsidRPr="00486BF7">
              <w:t xml:space="preserve"> vispārēja tipa p</w:t>
            </w:r>
            <w:r w:rsidRPr="00486BF7" w:rsidR="00E920CD">
              <w:t>sihiatriskajā slimnīcā</w:t>
            </w:r>
            <w:r w:rsidRPr="00486BF7" w:rsidR="002771C5">
              <w:t xml:space="preserve"> (nodaļā)</w:t>
            </w:r>
            <w:r w:rsidRPr="00486BF7" w:rsidR="00E920CD">
              <w:t xml:space="preserve"> vai ārstēšanos</w:t>
            </w:r>
            <w:r w:rsidRPr="00486BF7">
              <w:t xml:space="preserve"> specializētā psihiatriskajā slimnīcā </w:t>
            </w:r>
            <w:r w:rsidRPr="00486BF7" w:rsidR="002771C5">
              <w:t xml:space="preserve">(nodaļā) </w:t>
            </w:r>
            <w:r w:rsidRPr="00486BF7">
              <w:t>ar apsardzi</w:t>
            </w:r>
            <w:r w:rsidRPr="00486BF7" w:rsidR="00600FDD">
              <w:t>.</w:t>
            </w:r>
          </w:p>
          <w:p w:rsidR="00486BF7" w:rsidP="00FD0ED2">
            <w:pPr>
              <w:spacing w:after="0" w:line="240" w:lineRule="auto"/>
              <w:ind w:left="116" w:right="137" w:firstLine="403"/>
              <w:jc w:val="both"/>
              <w:rPr>
                <w:rFonts w:ascii="Times New Roman" w:eastAsia="Times New Roman" w:hAnsi="Times New Roman" w:cs="Times New Roman"/>
                <w:sz w:val="24"/>
                <w:szCs w:val="24"/>
                <w:lang w:eastAsia="lv-LV"/>
              </w:rPr>
            </w:pPr>
            <w:r w:rsidRPr="00486BF7">
              <w:rPr>
                <w:rFonts w:ascii="Times New Roman" w:eastAsia="Times New Roman" w:hAnsi="Times New Roman" w:cs="Times New Roman"/>
                <w:sz w:val="24"/>
                <w:szCs w:val="24"/>
                <w:lang w:eastAsia="lv-LV"/>
              </w:rPr>
              <w:t>Projekt</w:t>
            </w:r>
            <w:r w:rsidRPr="00486BF7" w:rsidR="00672809">
              <w:rPr>
                <w:rFonts w:ascii="Times New Roman" w:eastAsia="Times New Roman" w:hAnsi="Times New Roman" w:cs="Times New Roman"/>
                <w:sz w:val="24"/>
                <w:szCs w:val="24"/>
                <w:lang w:eastAsia="lv-LV"/>
              </w:rPr>
              <w:t>a 2</w:t>
            </w:r>
            <w:r w:rsidRPr="00486BF7">
              <w:rPr>
                <w:rFonts w:ascii="Times New Roman" w:eastAsia="Times New Roman" w:hAnsi="Times New Roman" w:cs="Times New Roman"/>
                <w:sz w:val="24"/>
                <w:szCs w:val="24"/>
                <w:lang w:eastAsia="lv-LV"/>
              </w:rPr>
              <w:t>.punktā noteikts</w:t>
            </w:r>
            <w:r w:rsidRPr="00486BF7" w:rsidR="00F67D38">
              <w:rPr>
                <w:rFonts w:ascii="Times New Roman" w:eastAsia="Times New Roman" w:hAnsi="Times New Roman" w:cs="Times New Roman"/>
                <w:sz w:val="24"/>
                <w:szCs w:val="24"/>
                <w:lang w:eastAsia="lv-LV"/>
              </w:rPr>
              <w:t>, kāda</w:t>
            </w:r>
            <w:r w:rsidRPr="00486BF7">
              <w:rPr>
                <w:rFonts w:ascii="Times New Roman" w:eastAsia="Times New Roman" w:hAnsi="Times New Roman" w:cs="Times New Roman"/>
                <w:sz w:val="24"/>
                <w:szCs w:val="24"/>
                <w:lang w:eastAsia="lv-LV"/>
              </w:rPr>
              <w:t xml:space="preserve"> inform</w:t>
            </w:r>
            <w:r w:rsidRPr="00486BF7" w:rsidR="00F67D38">
              <w:rPr>
                <w:rFonts w:ascii="Times New Roman" w:eastAsia="Times New Roman" w:hAnsi="Times New Roman" w:cs="Times New Roman"/>
                <w:sz w:val="24"/>
                <w:szCs w:val="24"/>
                <w:lang w:eastAsia="lv-LV"/>
              </w:rPr>
              <w:t>ācija</w:t>
            </w:r>
            <w:r w:rsidRPr="00486BF7">
              <w:rPr>
                <w:rFonts w:ascii="Times New Roman" w:eastAsia="Times New Roman" w:hAnsi="Times New Roman" w:cs="Times New Roman"/>
                <w:sz w:val="24"/>
                <w:szCs w:val="24"/>
                <w:lang w:eastAsia="lv-LV"/>
              </w:rPr>
              <w:t xml:space="preserve"> </w:t>
            </w:r>
            <w:r w:rsidRPr="00486BF7" w:rsidR="00F67D38">
              <w:rPr>
                <w:rFonts w:ascii="Times New Roman" w:eastAsia="Times New Roman" w:hAnsi="Times New Roman" w:cs="Times New Roman"/>
                <w:sz w:val="24"/>
                <w:szCs w:val="24"/>
                <w:lang w:eastAsia="lv-LV"/>
              </w:rPr>
              <w:t xml:space="preserve">norādāma </w:t>
            </w:r>
            <w:r w:rsidRPr="00486BF7">
              <w:rPr>
                <w:rFonts w:ascii="Times New Roman" w:eastAsia="Times New Roman" w:hAnsi="Times New Roman" w:cs="Times New Roman"/>
                <w:sz w:val="24"/>
                <w:szCs w:val="24"/>
                <w:lang w:eastAsia="lv-LV"/>
              </w:rPr>
              <w:t>paziņojumā tiesai</w:t>
            </w:r>
            <w:r w:rsidRPr="00486BF7" w:rsidR="008367D6">
              <w:rPr>
                <w:rFonts w:ascii="Times New Roman" w:eastAsia="Times New Roman" w:hAnsi="Times New Roman" w:cs="Times New Roman"/>
                <w:sz w:val="24"/>
                <w:szCs w:val="24"/>
                <w:lang w:eastAsia="lv-LV"/>
              </w:rPr>
              <w:t xml:space="preserve">, proti, </w:t>
            </w:r>
            <w:r w:rsidRPr="00486BF7" w:rsidR="008633FD">
              <w:rPr>
                <w:rFonts w:ascii="Times New Roman" w:eastAsia="Times New Roman" w:hAnsi="Times New Roman" w:cs="Times New Roman"/>
                <w:sz w:val="24"/>
                <w:szCs w:val="24"/>
                <w:lang w:eastAsia="lv-LV"/>
              </w:rPr>
              <w:t>tiesa, kura pieņēmusi</w:t>
            </w:r>
            <w:r w:rsidRPr="00486BF7" w:rsidR="00F67D38">
              <w:rPr>
                <w:rFonts w:ascii="Times New Roman" w:eastAsia="Times New Roman" w:hAnsi="Times New Roman" w:cs="Times New Roman"/>
                <w:sz w:val="24"/>
                <w:szCs w:val="24"/>
                <w:lang w:eastAsia="lv-LV"/>
              </w:rPr>
              <w:t xml:space="preserve">, </w:t>
            </w:r>
            <w:r w:rsidRPr="00486BF7" w:rsidR="008633FD">
              <w:rPr>
                <w:rFonts w:ascii="Times New Roman" w:eastAsia="Times New Roman" w:hAnsi="Times New Roman" w:cs="Times New Roman"/>
                <w:sz w:val="24"/>
                <w:szCs w:val="24"/>
                <w:lang w:eastAsia="lv-LV"/>
              </w:rPr>
              <w:t>lēmuma pieņemšanas un spēkā stāšanā</w:t>
            </w:r>
            <w:r w:rsidRPr="00486BF7" w:rsidR="004877DD">
              <w:rPr>
                <w:rFonts w:ascii="Times New Roman" w:eastAsia="Times New Roman" w:hAnsi="Times New Roman" w:cs="Times New Roman"/>
                <w:sz w:val="24"/>
                <w:szCs w:val="24"/>
                <w:lang w:eastAsia="lv-LV"/>
              </w:rPr>
              <w:t xml:space="preserve">s datums, krimināllietas numurs, </w:t>
            </w:r>
            <w:r w:rsidRPr="00486BF7" w:rsidR="00552AB6">
              <w:rPr>
                <w:rFonts w:ascii="Times New Roman" w:eastAsia="Times New Roman" w:hAnsi="Times New Roman" w:cs="Times New Roman"/>
                <w:sz w:val="24"/>
                <w:szCs w:val="24"/>
                <w:lang w:eastAsia="lv-LV"/>
              </w:rPr>
              <w:t>personu</w:t>
            </w:r>
            <w:r w:rsidRPr="00486BF7" w:rsidR="008367D6">
              <w:rPr>
                <w:rFonts w:ascii="Times New Roman" w:eastAsia="Times New Roman" w:hAnsi="Times New Roman" w:cs="Times New Roman"/>
                <w:sz w:val="24"/>
                <w:szCs w:val="24"/>
                <w:lang w:eastAsia="lv-LV"/>
              </w:rPr>
              <w:t xml:space="preserve"> </w:t>
            </w:r>
            <w:r w:rsidRPr="00486BF7" w:rsidR="00F67D38">
              <w:rPr>
                <w:rFonts w:ascii="Times New Roman" w:eastAsia="Times New Roman" w:hAnsi="Times New Roman" w:cs="Times New Roman"/>
                <w:sz w:val="24"/>
                <w:szCs w:val="24"/>
                <w:lang w:eastAsia="lv-LV"/>
              </w:rPr>
              <w:t xml:space="preserve">identificējošie dati, </w:t>
            </w:r>
            <w:r w:rsidRPr="00486BF7" w:rsidR="008367D6">
              <w:rPr>
                <w:rFonts w:ascii="Times New Roman" w:eastAsia="Times New Roman" w:hAnsi="Times New Roman" w:cs="Times New Roman"/>
                <w:sz w:val="24"/>
                <w:szCs w:val="24"/>
                <w:lang w:eastAsia="lv-LV"/>
              </w:rPr>
              <w:t xml:space="preserve">kā arī </w:t>
            </w:r>
            <w:r w:rsidRPr="00486BF7" w:rsidR="008633FD">
              <w:rPr>
                <w:rFonts w:ascii="Times New Roman" w:eastAsia="Times New Roman" w:hAnsi="Times New Roman" w:cs="Times New Roman"/>
                <w:sz w:val="24"/>
                <w:szCs w:val="24"/>
                <w:lang w:eastAsia="lv-LV"/>
              </w:rPr>
              <w:t xml:space="preserve">lēmuma izpildes pārkāpuma raksturs, kas </w:t>
            </w:r>
            <w:r w:rsidRPr="00486BF7" w:rsidR="00F67D38">
              <w:rPr>
                <w:rFonts w:ascii="Times New Roman" w:eastAsia="Times New Roman" w:hAnsi="Times New Roman" w:cs="Times New Roman"/>
                <w:sz w:val="24"/>
                <w:szCs w:val="24"/>
                <w:lang w:eastAsia="lv-LV"/>
              </w:rPr>
              <w:t xml:space="preserve">var izpausties </w:t>
            </w:r>
            <w:r w:rsidRPr="00486BF7" w:rsidR="008633FD">
              <w:rPr>
                <w:rFonts w:ascii="Times New Roman" w:eastAsia="Times New Roman" w:hAnsi="Times New Roman" w:cs="Times New Roman"/>
                <w:sz w:val="24"/>
                <w:szCs w:val="24"/>
                <w:lang w:eastAsia="lv-LV"/>
              </w:rPr>
              <w:t xml:space="preserve">kā izvairīšanās no lēmuma izpildes, neierodoties ārstniecības iestādē </w:t>
            </w:r>
            <w:r w:rsidRPr="00486BF7" w:rsidR="008367D6">
              <w:rPr>
                <w:rFonts w:ascii="Times New Roman" w:eastAsia="Times New Roman" w:hAnsi="Times New Roman" w:cs="Times New Roman"/>
                <w:sz w:val="24"/>
                <w:szCs w:val="24"/>
                <w:lang w:eastAsia="lv-LV"/>
              </w:rPr>
              <w:t xml:space="preserve">līdz </w:t>
            </w:r>
            <w:r w:rsidRPr="00486BF7" w:rsidR="00716441">
              <w:rPr>
                <w:rFonts w:ascii="Times New Roman" w:eastAsia="Times New Roman" w:hAnsi="Times New Roman" w:cs="Times New Roman"/>
                <w:sz w:val="24"/>
                <w:szCs w:val="24"/>
                <w:lang w:eastAsia="lv-LV"/>
              </w:rPr>
              <w:t>lēmuma spēkā stāšanās datumam</w:t>
            </w:r>
            <w:r w:rsidRPr="00486BF7" w:rsidR="008633FD">
              <w:rPr>
                <w:rFonts w:ascii="Times New Roman" w:eastAsia="Times New Roman" w:hAnsi="Times New Roman" w:cs="Times New Roman"/>
                <w:sz w:val="24"/>
                <w:szCs w:val="24"/>
                <w:lang w:eastAsia="lv-LV"/>
              </w:rPr>
              <w:t xml:space="preserve"> vai </w:t>
            </w:r>
            <w:r w:rsidRPr="00486BF7" w:rsidR="00716441">
              <w:rPr>
                <w:rFonts w:ascii="Times New Roman" w:eastAsia="Times New Roman" w:hAnsi="Times New Roman" w:cs="Times New Roman"/>
                <w:sz w:val="24"/>
                <w:szCs w:val="24"/>
                <w:lang w:eastAsia="lv-LV"/>
              </w:rPr>
              <w:t>gadījumā, ja persona ir uzsākusi kriminālprocesā noteiktā medicīniska rakstura piespiedu līdzekļa izpildi, bet nepilda tā nosacījumus vai ir ne</w:t>
            </w:r>
            <w:r>
              <w:rPr>
                <w:rFonts w:ascii="Times New Roman" w:eastAsia="Times New Roman" w:hAnsi="Times New Roman" w:cs="Times New Roman"/>
                <w:sz w:val="24"/>
                <w:szCs w:val="24"/>
                <w:lang w:eastAsia="lv-LV"/>
              </w:rPr>
              <w:t>turpina ārstēšanos – informācija</w:t>
            </w:r>
            <w:r w:rsidRPr="00486BF7" w:rsidR="00716441">
              <w:rPr>
                <w:rFonts w:ascii="Times New Roman" w:eastAsia="Times New Roman" w:hAnsi="Times New Roman" w:cs="Times New Roman"/>
                <w:sz w:val="24"/>
                <w:szCs w:val="24"/>
                <w:lang w:eastAsia="lv-LV"/>
              </w:rPr>
              <w:t xml:space="preserve"> par </w:t>
            </w:r>
            <w:r w:rsidRPr="00486BF7">
              <w:rPr>
                <w:rFonts w:ascii="Times New Roman" w:eastAsia="Times New Roman" w:hAnsi="Times New Roman" w:cs="Times New Roman"/>
                <w:sz w:val="24"/>
                <w:szCs w:val="24"/>
                <w:lang w:eastAsia="lv-LV"/>
              </w:rPr>
              <w:t>ārstniecības iestādes vai ārsta apmeklējumu skaitu, kā arī personas veselības stāvokli pēdējā apmeklējuma</w:t>
            </w:r>
            <w:r w:rsidR="001C39AD">
              <w:rPr>
                <w:rFonts w:ascii="Times New Roman" w:eastAsia="Times New Roman" w:hAnsi="Times New Roman" w:cs="Times New Roman"/>
                <w:sz w:val="24"/>
                <w:szCs w:val="24"/>
                <w:lang w:eastAsia="lv-LV"/>
              </w:rPr>
              <w:t xml:space="preserve"> laikā</w:t>
            </w:r>
            <w:r w:rsidRPr="00486BF7">
              <w:rPr>
                <w:rFonts w:ascii="Times New Roman" w:eastAsia="Times New Roman" w:hAnsi="Times New Roman" w:cs="Times New Roman"/>
                <w:sz w:val="24"/>
                <w:szCs w:val="24"/>
                <w:lang w:eastAsia="lv-LV"/>
              </w:rPr>
              <w:t xml:space="preserve"> (secin</w:t>
            </w:r>
            <w:r>
              <w:rPr>
                <w:rFonts w:ascii="Times New Roman" w:eastAsia="Times New Roman" w:hAnsi="Times New Roman" w:cs="Times New Roman"/>
                <w:sz w:val="24"/>
                <w:szCs w:val="24"/>
                <w:lang w:eastAsia="lv-LV"/>
              </w:rPr>
              <w:t>ājumi</w:t>
            </w:r>
            <w:r w:rsidRPr="00486BF7">
              <w:rPr>
                <w:rFonts w:ascii="Times New Roman" w:eastAsia="Times New Roman" w:hAnsi="Times New Roman" w:cs="Times New Roman"/>
                <w:sz w:val="24"/>
                <w:szCs w:val="24"/>
                <w:lang w:eastAsia="lv-LV"/>
              </w:rPr>
              <w:t xml:space="preserve"> par nepieciešamību turpināt ārstēšanos).</w:t>
            </w:r>
            <w:bookmarkStart w:id="2" w:name="_GoBack"/>
            <w:bookmarkEnd w:id="2"/>
          </w:p>
          <w:p w:rsidR="008367D6" w:rsidRPr="001521F8" w:rsidP="008367D6">
            <w:pPr>
              <w:spacing w:after="0" w:line="240" w:lineRule="auto"/>
              <w:ind w:left="116" w:right="137"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1521F8" w:rsidR="00F67D38">
              <w:rPr>
                <w:rFonts w:ascii="Times New Roman" w:eastAsia="Times New Roman" w:hAnsi="Times New Roman" w:cs="Times New Roman"/>
                <w:sz w:val="24"/>
                <w:szCs w:val="24"/>
                <w:lang w:eastAsia="lv-LV"/>
              </w:rPr>
              <w:t xml:space="preserve">nformācija tiesai sniedzama </w:t>
            </w:r>
            <w:r w:rsidRPr="001521F8">
              <w:rPr>
                <w:rFonts w:ascii="Times New Roman" w:eastAsia="Times New Roman" w:hAnsi="Times New Roman" w:cs="Times New Roman"/>
                <w:sz w:val="24"/>
                <w:szCs w:val="24"/>
                <w:lang w:eastAsia="lv-LV"/>
              </w:rPr>
              <w:t xml:space="preserve">ievērojot </w:t>
            </w:r>
            <w:r w:rsidRPr="001521F8" w:rsidR="00F67D38">
              <w:rPr>
                <w:rFonts w:ascii="Times New Roman" w:eastAsia="Times New Roman" w:hAnsi="Times New Roman" w:cs="Times New Roman"/>
                <w:sz w:val="24"/>
                <w:szCs w:val="24"/>
                <w:lang w:eastAsia="lv-LV"/>
              </w:rPr>
              <w:t xml:space="preserve">normatīvajos aktos par </w:t>
            </w:r>
            <w:r w:rsidRPr="001521F8" w:rsidR="008633FD">
              <w:rPr>
                <w:rFonts w:ascii="Times New Roman" w:eastAsia="Times New Roman" w:hAnsi="Times New Roman" w:cs="Times New Roman"/>
                <w:sz w:val="24"/>
                <w:szCs w:val="24"/>
                <w:lang w:eastAsia="lv-LV"/>
              </w:rPr>
              <w:t>f</w:t>
            </w:r>
            <w:r w:rsidRPr="001521F8" w:rsidR="00F67D38">
              <w:rPr>
                <w:rFonts w:ascii="Times New Roman" w:eastAsia="Times New Roman" w:hAnsi="Times New Roman" w:cs="Times New Roman"/>
                <w:sz w:val="24"/>
                <w:szCs w:val="24"/>
                <w:lang w:eastAsia="lv-LV"/>
              </w:rPr>
              <w:t>izisko personu datu</w:t>
            </w:r>
            <w:r w:rsidRPr="001521F8">
              <w:rPr>
                <w:rFonts w:ascii="Times New Roman" w:eastAsia="Times New Roman" w:hAnsi="Times New Roman" w:cs="Times New Roman"/>
                <w:sz w:val="24"/>
                <w:szCs w:val="24"/>
                <w:lang w:eastAsia="lv-LV"/>
              </w:rPr>
              <w:t xml:space="preserve"> </w:t>
            </w:r>
            <w:r w:rsidR="00552AB6">
              <w:rPr>
                <w:rFonts w:ascii="Times New Roman" w:eastAsia="Times New Roman" w:hAnsi="Times New Roman" w:cs="Times New Roman"/>
                <w:sz w:val="24"/>
                <w:szCs w:val="24"/>
                <w:lang w:eastAsia="lv-LV"/>
              </w:rPr>
              <w:t>apstrādi</w:t>
            </w:r>
            <w:r w:rsidRPr="001521F8">
              <w:rPr>
                <w:rFonts w:ascii="Times New Roman" w:eastAsia="Times New Roman" w:hAnsi="Times New Roman" w:cs="Times New Roman"/>
                <w:sz w:val="24"/>
                <w:szCs w:val="24"/>
                <w:lang w:eastAsia="lv-LV"/>
              </w:rPr>
              <w:t xml:space="preserve"> noteiktās prasības.</w:t>
            </w:r>
          </w:p>
          <w:p w:rsidR="003D7FAC" w:rsidRPr="001521F8" w:rsidP="008367D6">
            <w:pPr>
              <w:spacing w:after="0" w:line="240" w:lineRule="auto"/>
              <w:ind w:left="116" w:right="137"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Vienlaikus </w:t>
            </w:r>
            <w:r w:rsidRPr="001521F8" w:rsidR="008367D6">
              <w:rPr>
                <w:rFonts w:ascii="Times New Roman" w:eastAsia="Times New Roman" w:hAnsi="Times New Roman" w:cs="Times New Roman"/>
                <w:sz w:val="24"/>
                <w:szCs w:val="24"/>
                <w:lang w:eastAsia="lv-LV"/>
              </w:rPr>
              <w:t>P</w:t>
            </w:r>
            <w:r w:rsidRPr="001521F8" w:rsidR="00FD0ED2">
              <w:rPr>
                <w:rFonts w:ascii="Times New Roman" w:eastAsia="Times New Roman" w:hAnsi="Times New Roman" w:cs="Times New Roman"/>
                <w:sz w:val="24"/>
                <w:szCs w:val="24"/>
                <w:lang w:eastAsia="lv-LV"/>
              </w:rPr>
              <w:t>rojekts nosaka ārstniecības personas pienākumu p</w:t>
            </w:r>
            <w:r w:rsidRPr="001521F8" w:rsidR="008633FD">
              <w:rPr>
                <w:rFonts w:ascii="Times New Roman" w:eastAsia="Times New Roman" w:hAnsi="Times New Roman" w:cs="Times New Roman"/>
                <w:sz w:val="24"/>
                <w:szCs w:val="24"/>
                <w:lang w:eastAsia="lv-LV"/>
              </w:rPr>
              <w:t>aziņojuma tiesai kopiju pievieno</w:t>
            </w:r>
            <w:r w:rsidRPr="001521F8" w:rsidR="00FD0ED2">
              <w:rPr>
                <w:rFonts w:ascii="Times New Roman" w:eastAsia="Times New Roman" w:hAnsi="Times New Roman" w:cs="Times New Roman"/>
                <w:sz w:val="24"/>
                <w:szCs w:val="24"/>
                <w:lang w:eastAsia="lv-LV"/>
              </w:rPr>
              <w:t>t</w:t>
            </w:r>
            <w:r w:rsidRPr="001521F8" w:rsidR="008633FD">
              <w:rPr>
                <w:rFonts w:ascii="Times New Roman" w:eastAsia="Times New Roman" w:hAnsi="Times New Roman" w:cs="Times New Roman"/>
                <w:sz w:val="24"/>
                <w:szCs w:val="24"/>
                <w:lang w:eastAsia="lv-LV"/>
              </w:rPr>
              <w:t xml:space="preserve"> pacienta medicīniskajai dokumentācijai.</w:t>
            </w:r>
          </w:p>
        </w:tc>
      </w:tr>
      <w:tr w:rsidTr="00FD0ED2">
        <w:tblPrEx>
          <w:tblW w:w="5000" w:type="pct"/>
          <w:tblCellMar>
            <w:top w:w="24" w:type="dxa"/>
            <w:left w:w="24" w:type="dxa"/>
            <w:bottom w:w="24" w:type="dxa"/>
            <w:right w:w="24" w:type="dxa"/>
          </w:tblCellMar>
          <w:tblLook w:val="04A0"/>
        </w:tblPrEx>
        <w:trPr>
          <w:trHeight w:val="807"/>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3.</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izstrādē iesaistītās institūcijas</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1521F8" w:rsidP="008367D6">
            <w:pPr>
              <w:spacing w:after="0" w:line="240" w:lineRule="auto"/>
              <w:ind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Tieslietu ministrija</w:t>
            </w:r>
          </w:p>
        </w:tc>
      </w:tr>
      <w:tr w:rsidTr="0093796E">
        <w:tblPrEx>
          <w:tblW w:w="5000" w:type="pct"/>
          <w:tblCellMar>
            <w:top w:w="24" w:type="dxa"/>
            <w:left w:w="24" w:type="dxa"/>
            <w:bottom w:w="24" w:type="dxa"/>
            <w:right w:w="24" w:type="dxa"/>
          </w:tblCellMar>
          <w:tblLook w:val="04A0"/>
        </w:tblPrEx>
        <w:trPr>
          <w:trHeight w:val="351"/>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4.</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1521F8" w:rsidP="00FD0ED2">
            <w:pPr>
              <w:spacing w:after="0" w:line="240" w:lineRule="auto"/>
              <w:ind w:left="116" w:right="145" w:firstLine="28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Nav </w:t>
            </w:r>
          </w:p>
        </w:tc>
      </w:tr>
    </w:tbl>
    <w:p w:rsidR="00894C55" w:rsidRPr="001521F8" w:rsidP="00F4768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59"/>
        <w:gridCol w:w="5944"/>
      </w:tblGrid>
      <w:tr w:rsidTr="005069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66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521F8"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II.</w:t>
            </w:r>
            <w:r w:rsidRPr="001521F8" w:rsidR="0050178F">
              <w:rPr>
                <w:rFonts w:ascii="Times New Roman" w:eastAsia="Times New Roman" w:hAnsi="Times New Roman" w:cs="Times New Roman"/>
                <w:b/>
                <w:bCs/>
                <w:sz w:val="24"/>
                <w:szCs w:val="24"/>
                <w:lang w:eastAsia="lv-LV"/>
              </w:rPr>
              <w:t> </w:t>
            </w:r>
            <w:r w:rsidRPr="001521F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Tr="000C65A5">
        <w:tblPrEx>
          <w:tblW w:w="5000" w:type="pct"/>
          <w:tblCellMar>
            <w:top w:w="24" w:type="dxa"/>
            <w:left w:w="24" w:type="dxa"/>
            <w:bottom w:w="24" w:type="dxa"/>
            <w:right w:w="24" w:type="dxa"/>
          </w:tblCellMar>
          <w:tblLook w:val="04A0"/>
        </w:tblPrEx>
        <w:trPr>
          <w:trHeight w:val="1192"/>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7E300B">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1521F8" w:rsidP="008908DE">
            <w:pPr>
              <w:spacing w:after="0" w:line="240" w:lineRule="auto"/>
              <w:ind w:left="88"/>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Sabiedrības </w:t>
            </w:r>
            <w:r w:rsidRPr="001521F8">
              <w:rPr>
                <w:rFonts w:ascii="Times New Roman" w:eastAsia="Times New Roman" w:hAnsi="Times New Roman" w:cs="Times New Roman"/>
                <w:sz w:val="24"/>
                <w:szCs w:val="24"/>
                <w:lang w:eastAsia="lv-LV"/>
              </w:rPr>
              <w:t>mērķgrupas</w:t>
            </w:r>
            <w:r w:rsidRPr="001521F8">
              <w:rPr>
                <w:rFonts w:ascii="Times New Roman" w:eastAsia="Times New Roman" w:hAnsi="Times New Roman" w:cs="Times New Roman"/>
                <w:sz w:val="24"/>
                <w:szCs w:val="24"/>
                <w:lang w:eastAsia="lv-LV"/>
              </w:rPr>
              <w:t>,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1521F8" w:rsidP="00FD0ED2">
            <w:pPr>
              <w:spacing w:after="0" w:line="240" w:lineRule="auto"/>
              <w:ind w:left="119"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w:t>
            </w:r>
            <w:r w:rsidRPr="001521F8" w:rsidR="00544621">
              <w:rPr>
                <w:rFonts w:ascii="Times New Roman" w:eastAsia="Times New Roman" w:hAnsi="Times New Roman" w:cs="Times New Roman"/>
                <w:sz w:val="24"/>
                <w:szCs w:val="24"/>
                <w:lang w:eastAsia="lv-LV"/>
              </w:rPr>
              <w:t>rstniecības iestādes</w:t>
            </w:r>
            <w:r w:rsidR="00BB03C9">
              <w:rPr>
                <w:rFonts w:ascii="Times New Roman" w:eastAsia="Times New Roman" w:hAnsi="Times New Roman" w:cs="Times New Roman"/>
                <w:sz w:val="24"/>
                <w:szCs w:val="24"/>
                <w:lang w:eastAsia="lv-LV"/>
              </w:rPr>
              <w:t xml:space="preserve"> un ārstniecības personas, </w:t>
            </w:r>
            <w:r>
              <w:rPr>
                <w:rFonts w:ascii="Times New Roman" w:eastAsia="Times New Roman" w:hAnsi="Times New Roman" w:cs="Times New Roman"/>
                <w:sz w:val="24"/>
                <w:szCs w:val="24"/>
                <w:lang w:eastAsia="lv-LV"/>
              </w:rPr>
              <w:t>kuras sniedz psihiatrisko palīdzību</w:t>
            </w:r>
            <w:r w:rsidR="00FB4F6F">
              <w:rPr>
                <w:rFonts w:ascii="Times New Roman" w:eastAsia="Times New Roman" w:hAnsi="Times New Roman" w:cs="Times New Roman"/>
                <w:sz w:val="24"/>
                <w:szCs w:val="24"/>
                <w:lang w:eastAsia="lv-LV"/>
              </w:rPr>
              <w:t>,</w:t>
            </w:r>
            <w:r w:rsidRPr="001521F8" w:rsidR="00544621">
              <w:rPr>
                <w:rFonts w:ascii="Times New Roman" w:eastAsia="Times New Roman" w:hAnsi="Times New Roman" w:cs="Times New Roman"/>
                <w:sz w:val="24"/>
                <w:szCs w:val="24"/>
                <w:lang w:eastAsia="lv-LV"/>
              </w:rPr>
              <w:t xml:space="preserve"> </w:t>
            </w:r>
            <w:r w:rsidRPr="001521F8" w:rsidR="00984763">
              <w:rPr>
                <w:rFonts w:ascii="Times New Roman" w:eastAsia="Times New Roman" w:hAnsi="Times New Roman" w:cs="Times New Roman"/>
                <w:sz w:val="24"/>
                <w:szCs w:val="24"/>
                <w:lang w:eastAsia="lv-LV"/>
              </w:rPr>
              <w:t xml:space="preserve">tiesas, personas, </w:t>
            </w:r>
            <w:r w:rsidRPr="001521F8" w:rsidR="00FD0ED2">
              <w:rPr>
                <w:rFonts w:ascii="Times New Roman" w:eastAsia="Times New Roman" w:hAnsi="Times New Roman" w:cs="Times New Roman"/>
                <w:sz w:val="24"/>
                <w:szCs w:val="24"/>
                <w:lang w:eastAsia="lv-LV"/>
              </w:rPr>
              <w:t>kurām</w:t>
            </w:r>
            <w:r w:rsidRPr="001521F8" w:rsidR="00544621">
              <w:rPr>
                <w:rFonts w:ascii="Times New Roman" w:eastAsia="Times New Roman" w:hAnsi="Times New Roman" w:cs="Times New Roman"/>
                <w:sz w:val="24"/>
                <w:szCs w:val="24"/>
                <w:lang w:eastAsia="lv-LV"/>
              </w:rPr>
              <w:t xml:space="preserve"> </w:t>
            </w:r>
            <w:r w:rsidRPr="001521F8" w:rsidR="00984763">
              <w:rPr>
                <w:rFonts w:ascii="Times New Roman" w:eastAsia="Times New Roman" w:hAnsi="Times New Roman" w:cs="Times New Roman"/>
                <w:sz w:val="24"/>
                <w:szCs w:val="24"/>
                <w:lang w:eastAsia="lv-LV"/>
              </w:rPr>
              <w:t xml:space="preserve">kriminālprocesā </w:t>
            </w:r>
            <w:r w:rsidRPr="001521F8" w:rsidR="00FD0ED2">
              <w:rPr>
                <w:rFonts w:ascii="Times New Roman" w:eastAsia="Times New Roman" w:hAnsi="Times New Roman" w:cs="Times New Roman"/>
                <w:sz w:val="24"/>
                <w:szCs w:val="24"/>
                <w:lang w:eastAsia="lv-LV"/>
              </w:rPr>
              <w:t>noteikts</w:t>
            </w:r>
            <w:r w:rsidRPr="001521F8" w:rsidR="00544621">
              <w:rPr>
                <w:rFonts w:ascii="Times New Roman" w:eastAsia="Times New Roman" w:hAnsi="Times New Roman" w:cs="Times New Roman"/>
                <w:sz w:val="24"/>
                <w:szCs w:val="24"/>
                <w:lang w:eastAsia="lv-LV"/>
              </w:rPr>
              <w:t xml:space="preserve"> medicīni</w:t>
            </w:r>
            <w:r w:rsidRPr="001521F8" w:rsidR="00FD0ED2">
              <w:rPr>
                <w:rFonts w:ascii="Times New Roman" w:eastAsia="Times New Roman" w:hAnsi="Times New Roman" w:cs="Times New Roman"/>
                <w:sz w:val="24"/>
                <w:szCs w:val="24"/>
                <w:lang w:eastAsia="lv-LV"/>
              </w:rPr>
              <w:t>ska rakstura piespiedu līdzeklis.</w:t>
            </w:r>
          </w:p>
        </w:tc>
      </w:tr>
      <w:tr w:rsidTr="000C65A5">
        <w:tblPrEx>
          <w:tblW w:w="5000" w:type="pct"/>
          <w:tblCellMar>
            <w:top w:w="24" w:type="dxa"/>
            <w:left w:w="24" w:type="dxa"/>
            <w:bottom w:w="24" w:type="dxa"/>
            <w:right w:w="24" w:type="dxa"/>
          </w:tblCellMar>
          <w:tblLook w:val="04A0"/>
        </w:tblPrEx>
        <w:trPr>
          <w:trHeight w:val="1210"/>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7E300B">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1521F8" w:rsidP="008908DE">
            <w:pPr>
              <w:spacing w:after="0" w:line="240" w:lineRule="auto"/>
              <w:ind w:left="88"/>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tcPr>
          <w:p w:rsidR="00AF7BFE" w:rsidRPr="001521F8" w:rsidP="00AF7BFE">
            <w:pPr>
              <w:spacing w:after="0" w:line="240" w:lineRule="auto"/>
              <w:ind w:left="119" w:right="145"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Admin</w:t>
            </w:r>
            <w:r w:rsidR="00552AB6">
              <w:rPr>
                <w:rFonts w:ascii="Times New Roman" w:eastAsia="Times New Roman" w:hAnsi="Times New Roman" w:cs="Times New Roman"/>
                <w:sz w:val="24"/>
                <w:szCs w:val="24"/>
                <w:lang w:eastAsia="lv-LV"/>
              </w:rPr>
              <w:t xml:space="preserve">istratīvais slogs palielināsies </w:t>
            </w:r>
            <w:r w:rsidRPr="001521F8">
              <w:rPr>
                <w:rFonts w:ascii="Times New Roman" w:eastAsia="Times New Roman" w:hAnsi="Times New Roman" w:cs="Times New Roman"/>
                <w:sz w:val="24"/>
                <w:szCs w:val="24"/>
                <w:lang w:eastAsia="lv-LV"/>
              </w:rPr>
              <w:t>ārstniecības iestā</w:t>
            </w:r>
            <w:r w:rsidRPr="001521F8" w:rsidR="005B2CF1">
              <w:rPr>
                <w:rFonts w:ascii="Times New Roman" w:eastAsia="Times New Roman" w:hAnsi="Times New Roman" w:cs="Times New Roman"/>
                <w:sz w:val="24"/>
                <w:szCs w:val="24"/>
                <w:lang w:eastAsia="lv-LV"/>
              </w:rPr>
              <w:t>dēm</w:t>
            </w:r>
            <w:r w:rsidRPr="001521F8">
              <w:rPr>
                <w:rFonts w:ascii="Times New Roman" w:eastAsia="Times New Roman" w:hAnsi="Times New Roman" w:cs="Times New Roman"/>
                <w:sz w:val="24"/>
                <w:szCs w:val="24"/>
                <w:lang w:eastAsia="lv-LV"/>
              </w:rPr>
              <w:t xml:space="preserve">, </w:t>
            </w:r>
            <w:r w:rsidR="00552AB6">
              <w:rPr>
                <w:rFonts w:ascii="Times New Roman" w:eastAsia="Times New Roman" w:hAnsi="Times New Roman" w:cs="Times New Roman"/>
                <w:sz w:val="24"/>
                <w:szCs w:val="24"/>
                <w:lang w:eastAsia="lv-LV"/>
              </w:rPr>
              <w:t xml:space="preserve">kuras </w:t>
            </w:r>
            <w:r w:rsidRPr="001521F8">
              <w:rPr>
                <w:rFonts w:ascii="Times New Roman" w:eastAsia="Times New Roman" w:hAnsi="Times New Roman" w:cs="Times New Roman"/>
                <w:sz w:val="24"/>
                <w:szCs w:val="24"/>
                <w:lang w:eastAsia="lv-LV"/>
              </w:rPr>
              <w:t>tiesai sniegs informāciju par personu, kura izvairās no tai kriminālprocesā noteiktā medicīniska rakstura piespiedu līdzekļa vai nepilda tā nosacījumus.</w:t>
            </w:r>
          </w:p>
        </w:tc>
      </w:tr>
      <w:tr w:rsidTr="004646C7">
        <w:tblPrEx>
          <w:tblW w:w="5000" w:type="pct"/>
          <w:tblCellMar>
            <w:top w:w="24" w:type="dxa"/>
            <w:left w:w="24" w:type="dxa"/>
            <w:bottom w:w="24" w:type="dxa"/>
            <w:right w:w="24" w:type="dxa"/>
          </w:tblCellMar>
          <w:tblLook w:val="04A0"/>
        </w:tblPrEx>
        <w:trPr>
          <w:trHeight w:val="1090"/>
        </w:trPr>
        <w:tc>
          <w:tcPr>
            <w:tcW w:w="250" w:type="pct"/>
            <w:tcBorders>
              <w:top w:val="outset" w:sz="6" w:space="0" w:color="414142"/>
              <w:left w:val="outset" w:sz="6" w:space="0" w:color="414142"/>
              <w:bottom w:val="outset" w:sz="6" w:space="0" w:color="414142"/>
              <w:right w:val="outset" w:sz="6" w:space="0" w:color="414142"/>
            </w:tcBorders>
          </w:tcPr>
          <w:p w:rsidR="004646C7" w:rsidRPr="001521F8" w:rsidP="007E30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tcPr>
          <w:p w:rsidR="004646C7" w:rsidRPr="001521F8" w:rsidP="008908DE">
            <w:pPr>
              <w:spacing w:after="0" w:line="240" w:lineRule="auto"/>
              <w:ind w:left="88"/>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rsidR="004646C7" w:rsidRPr="001521F8" w:rsidP="004646C7">
            <w:pPr>
              <w:spacing w:after="0" w:line="240" w:lineRule="auto"/>
              <w:ind w:left="115" w:right="140" w:firstLine="426"/>
              <w:jc w:val="both"/>
              <w:rPr>
                <w:rFonts w:ascii="Times New Roman" w:eastAsia="Times New Roman" w:hAnsi="Times New Roman" w:cs="Times New Roman"/>
                <w:sz w:val="24"/>
                <w:szCs w:val="24"/>
                <w:lang w:eastAsia="en-GB"/>
              </w:rPr>
            </w:pPr>
            <w:r w:rsidRPr="001521F8">
              <w:rPr>
                <w:rFonts w:ascii="Times New Roman" w:hAnsi="Times New Roman" w:cs="Times New Roman"/>
                <w:sz w:val="24"/>
                <w:szCs w:val="24"/>
              </w:rPr>
              <w:t xml:space="preserve">Stacionārajām ārstniecības iestādēm, kuras tiesai sniegs informāciju par personām, kuras izvairās no piespiedu ārstēšanās psihiatriskajā slimnīcā (ar un bez apsardzes), administratīvās izmaksas gadā par informācijas sniegšanu tiesai varētu būt 64,32 </w:t>
            </w:r>
            <w:r w:rsidRPr="001521F8">
              <w:rPr>
                <w:rFonts w:ascii="Times New Roman" w:hAnsi="Times New Roman" w:cs="Times New Roman"/>
                <w:i/>
                <w:sz w:val="24"/>
                <w:szCs w:val="24"/>
              </w:rPr>
              <w:t>euro</w:t>
            </w:r>
            <w:r w:rsidRPr="001521F8">
              <w:rPr>
                <w:rFonts w:ascii="Times New Roman" w:hAnsi="Times New Roman" w:cs="Times New Roman"/>
                <w:sz w:val="24"/>
                <w:szCs w:val="24"/>
              </w:rPr>
              <w:t xml:space="preserve"> (</w:t>
            </w:r>
            <w:r w:rsidRPr="001521F8">
              <w:rPr>
                <w:rFonts w:ascii="Times New Roman" w:eastAsia="Times New Roman" w:hAnsi="Times New Roman" w:cs="Times New Roman"/>
                <w:sz w:val="24"/>
                <w:szCs w:val="24"/>
                <w:lang w:eastAsia="en-GB"/>
              </w:rPr>
              <w:t xml:space="preserve">(5,36 x 0,5) x (6 x 4) = 64,32 </w:t>
            </w:r>
            <w:r w:rsidRPr="001521F8">
              <w:rPr>
                <w:rFonts w:ascii="Times New Roman" w:eastAsia="Times New Roman" w:hAnsi="Times New Roman" w:cs="Times New Roman"/>
                <w:i/>
                <w:sz w:val="24"/>
                <w:szCs w:val="24"/>
                <w:lang w:eastAsia="en-GB"/>
              </w:rPr>
              <w:t>euro</w:t>
            </w:r>
            <w:r w:rsidRPr="001521F8">
              <w:rPr>
                <w:rFonts w:ascii="Times New Roman" w:eastAsia="Times New Roman" w:hAnsi="Times New Roman" w:cs="Times New Roman"/>
                <w:i/>
                <w:sz w:val="24"/>
                <w:szCs w:val="24"/>
                <w:lang w:eastAsia="en-GB"/>
              </w:rPr>
              <w:t xml:space="preserve">), </w:t>
            </w:r>
            <w:r w:rsidRPr="001521F8">
              <w:rPr>
                <w:rFonts w:ascii="Times New Roman" w:hAnsi="Times New Roman" w:cs="Times New Roman"/>
                <w:sz w:val="24"/>
                <w:szCs w:val="24"/>
              </w:rPr>
              <w:t xml:space="preserve">pieņemot, </w:t>
            </w:r>
            <w:r w:rsidRPr="001521F8">
              <w:rPr>
                <w:rFonts w:ascii="Times New Roman" w:eastAsia="Times New Roman" w:hAnsi="Times New Roman" w:cs="Times New Roman"/>
                <w:sz w:val="24"/>
                <w:szCs w:val="24"/>
                <w:lang w:eastAsia="en-GB"/>
              </w:rPr>
              <w:t xml:space="preserve">ka vidējā darba samaksa stundā 2016.gadā </w:t>
            </w:r>
            <w:r w:rsidRPr="001521F8">
              <w:rPr>
                <w:rFonts w:ascii="Times New Roman" w:hAnsi="Times New Roman" w:cs="Times New Roman"/>
                <w:sz w:val="24"/>
                <w:szCs w:val="24"/>
              </w:rPr>
              <w:t xml:space="preserve">atbilstoši Centrālās statistikas pārvaldes datiem ir 5,36 </w:t>
            </w:r>
            <w:r w:rsidRPr="001521F8">
              <w:rPr>
                <w:rFonts w:ascii="Times New Roman" w:hAnsi="Times New Roman" w:cs="Times New Roman"/>
                <w:i/>
                <w:sz w:val="24"/>
                <w:szCs w:val="24"/>
              </w:rPr>
              <w:t>euro</w:t>
            </w:r>
            <w:r w:rsidRPr="001521F8">
              <w:rPr>
                <w:rFonts w:ascii="Times New Roman" w:hAnsi="Times New Roman" w:cs="Times New Roman"/>
                <w:sz w:val="24"/>
                <w:szCs w:val="24"/>
              </w:rPr>
              <w:t xml:space="preserve">, </w:t>
            </w:r>
            <w:r w:rsidRPr="001521F8">
              <w:rPr>
                <w:rFonts w:ascii="Times New Roman" w:eastAsia="Times New Roman" w:hAnsi="Times New Roman" w:cs="Times New Roman"/>
                <w:sz w:val="24"/>
                <w:szCs w:val="24"/>
                <w:lang w:eastAsia="en-GB"/>
              </w:rPr>
              <w:t>laiks, kas ir nepieciešams paziņojuma tiesai sagatavošanai ir 0,5 h jeb 30 minūtes, 6 psihiatriskās ārstniecības iestādēs tiek nodrošināta piespiedu stacionārā psihiatriskā ārstēšana. Ņemot vērā, ka paziņojumu tiesai jāsagatavo par katru personu, kas izvairās no ārstēšanās stacionārā, bet tiesa personai nosaka ārstēšanos pēc dzīvesvietas (katrā ārstniecības iestādē atšķiras to personu skaits, kas izvairās no stacionārās ārstēšanās), aprēķinā izmantots vidējais personu skaits,</w:t>
            </w:r>
            <w:r>
              <w:rPr>
                <w:rFonts w:ascii="Times New Roman" w:eastAsia="Times New Roman" w:hAnsi="Times New Roman" w:cs="Times New Roman"/>
                <w:sz w:val="24"/>
                <w:szCs w:val="24"/>
                <w:lang w:eastAsia="en-GB"/>
              </w:rPr>
              <w:t>*</w:t>
            </w:r>
            <w:r w:rsidRPr="001521F8">
              <w:rPr>
                <w:rFonts w:ascii="Times New Roman" w:eastAsia="Times New Roman" w:hAnsi="Times New Roman" w:cs="Times New Roman"/>
                <w:sz w:val="24"/>
                <w:szCs w:val="24"/>
                <w:lang w:eastAsia="en-GB"/>
              </w:rPr>
              <w:t xml:space="preserve"> par kurām gada laikā katra ārstniecības iestāde varētu sniegt informāciju tiesai.</w:t>
            </w:r>
          </w:p>
          <w:p w:rsidR="004646C7" w:rsidP="004646C7">
            <w:pPr>
              <w:spacing w:after="0" w:line="240" w:lineRule="auto"/>
              <w:ind w:left="115" w:right="140" w:firstLine="426"/>
              <w:jc w:val="both"/>
              <w:rPr>
                <w:rFonts w:ascii="Times New Roman" w:eastAsia="Times New Roman" w:hAnsi="Times New Roman" w:cs="Times New Roman"/>
                <w:sz w:val="24"/>
                <w:szCs w:val="24"/>
                <w:lang w:eastAsia="en-GB"/>
              </w:rPr>
            </w:pPr>
            <w:r w:rsidRPr="001521F8">
              <w:rPr>
                <w:rFonts w:ascii="Times New Roman" w:hAnsi="Times New Roman" w:cs="Times New Roman"/>
                <w:sz w:val="24"/>
                <w:szCs w:val="24"/>
              </w:rPr>
              <w:t xml:space="preserve">Ārstniecības iestādēm, kuras tiesai sniegs informāciju par personām, kuras izvairās no ambulatorās ārstēšanās, administratīvās izmaksas gadā par informācijas sniegšanu tiesai varētu būt </w:t>
            </w:r>
            <w:r>
              <w:rPr>
                <w:rFonts w:ascii="Times New Roman" w:hAnsi="Times New Roman" w:cs="Times New Roman"/>
                <w:sz w:val="24"/>
                <w:szCs w:val="24"/>
              </w:rPr>
              <w:t>278,72</w:t>
            </w:r>
            <w:r w:rsidRPr="001521F8">
              <w:rPr>
                <w:rFonts w:ascii="Times New Roman" w:hAnsi="Times New Roman" w:cs="Times New Roman"/>
                <w:sz w:val="24"/>
                <w:szCs w:val="24"/>
              </w:rPr>
              <w:t xml:space="preserve"> </w:t>
            </w:r>
            <w:r w:rsidRPr="001521F8">
              <w:rPr>
                <w:rFonts w:ascii="Times New Roman" w:hAnsi="Times New Roman" w:cs="Times New Roman"/>
                <w:sz w:val="24"/>
                <w:szCs w:val="24"/>
              </w:rPr>
              <w:t>euro</w:t>
            </w:r>
            <w:r w:rsidRPr="001521F8">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(5,36 x 0,5) x (52 x 2</w:t>
            </w:r>
            <w:r w:rsidRPr="001521F8">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278,72</w:t>
            </w:r>
            <w:r w:rsidRPr="001521F8">
              <w:rPr>
                <w:rFonts w:ascii="Times New Roman" w:eastAsia="Times New Roman" w:hAnsi="Times New Roman" w:cs="Times New Roman"/>
                <w:sz w:val="24"/>
                <w:szCs w:val="24"/>
                <w:lang w:eastAsia="en-GB"/>
              </w:rPr>
              <w:t xml:space="preserve"> </w:t>
            </w:r>
            <w:r w:rsidRPr="001521F8">
              <w:rPr>
                <w:rFonts w:ascii="Times New Roman" w:eastAsia="Times New Roman" w:hAnsi="Times New Roman" w:cs="Times New Roman"/>
                <w:sz w:val="24"/>
                <w:szCs w:val="24"/>
                <w:lang w:eastAsia="en-GB"/>
              </w:rPr>
              <w:t>euro</w:t>
            </w:r>
            <w:r w:rsidRPr="001521F8">
              <w:rPr>
                <w:rFonts w:ascii="Times New Roman" w:eastAsia="Times New Roman" w:hAnsi="Times New Roman" w:cs="Times New Roman"/>
                <w:sz w:val="24"/>
                <w:szCs w:val="24"/>
                <w:lang w:eastAsia="en-GB"/>
              </w:rPr>
              <w:t xml:space="preserve">)), </w:t>
            </w:r>
            <w:r w:rsidRPr="001521F8">
              <w:rPr>
                <w:rFonts w:ascii="Times New Roman" w:hAnsi="Times New Roman" w:cs="Times New Roman"/>
                <w:sz w:val="24"/>
                <w:szCs w:val="24"/>
              </w:rPr>
              <w:t xml:space="preserve">pieņemot, </w:t>
            </w:r>
            <w:r w:rsidRPr="001521F8">
              <w:rPr>
                <w:rFonts w:ascii="Times New Roman" w:eastAsia="Times New Roman" w:hAnsi="Times New Roman" w:cs="Times New Roman"/>
                <w:sz w:val="24"/>
                <w:szCs w:val="24"/>
                <w:lang w:eastAsia="en-GB"/>
              </w:rPr>
              <w:t xml:space="preserve">ka vidējā darba samaksa stundā 2016.gadā </w:t>
            </w:r>
            <w:r w:rsidRPr="001521F8">
              <w:rPr>
                <w:rFonts w:ascii="Times New Roman" w:hAnsi="Times New Roman" w:cs="Times New Roman"/>
                <w:sz w:val="24"/>
                <w:szCs w:val="24"/>
              </w:rPr>
              <w:t xml:space="preserve">atbilstoši Centrālās statistikas pārvaldes datiem ir 5,36 </w:t>
            </w:r>
            <w:r w:rsidRPr="001521F8">
              <w:rPr>
                <w:rFonts w:ascii="Times New Roman" w:hAnsi="Times New Roman" w:cs="Times New Roman"/>
                <w:sz w:val="24"/>
                <w:szCs w:val="24"/>
              </w:rPr>
              <w:t>euro</w:t>
            </w:r>
            <w:r w:rsidRPr="001521F8">
              <w:rPr>
                <w:rFonts w:ascii="Times New Roman" w:hAnsi="Times New Roman" w:cs="Times New Roman"/>
                <w:sz w:val="24"/>
                <w:szCs w:val="24"/>
              </w:rPr>
              <w:t xml:space="preserve">, </w:t>
            </w:r>
            <w:r w:rsidRPr="001521F8">
              <w:rPr>
                <w:rFonts w:ascii="Times New Roman" w:eastAsia="Times New Roman" w:hAnsi="Times New Roman" w:cs="Times New Roman"/>
                <w:sz w:val="24"/>
                <w:szCs w:val="24"/>
                <w:lang w:eastAsia="en-GB"/>
              </w:rPr>
              <w:t xml:space="preserve">laiks, kas ir nepieciešams paziņojuma tiesai sagatavošanai ir 0,5 h jeb 30 minūtes, 52 psihiatriskās ārstniecības iestādēs un ārstu praksēs tiek nodrošināta ambulatorā psihiatriskā ārstēšana. Ņemot vērā to, ka katrā ārstniecības iestādē var atšķirties to personu skaits, kas </w:t>
            </w:r>
            <w:r w:rsidRPr="001521F8">
              <w:rPr>
                <w:rFonts w:ascii="Times New Roman" w:eastAsia="Times New Roman" w:hAnsi="Times New Roman" w:cs="Times New Roman"/>
                <w:sz w:val="24"/>
                <w:szCs w:val="24"/>
                <w:lang w:eastAsia="en-GB"/>
              </w:rPr>
              <w:t>izvairās no ārstēšanās, aprēķinā izmantots vidējais personu skaits,</w:t>
            </w:r>
            <w:r>
              <w:rPr>
                <w:rFonts w:ascii="Times New Roman" w:eastAsia="Times New Roman" w:hAnsi="Times New Roman" w:cs="Times New Roman"/>
                <w:sz w:val="24"/>
                <w:szCs w:val="24"/>
                <w:lang w:eastAsia="en-GB"/>
              </w:rPr>
              <w:t>*</w:t>
            </w:r>
            <w:r w:rsidRPr="001521F8">
              <w:rPr>
                <w:rFonts w:ascii="Times New Roman" w:eastAsia="Times New Roman" w:hAnsi="Times New Roman" w:cs="Times New Roman"/>
                <w:sz w:val="24"/>
                <w:szCs w:val="24"/>
                <w:lang w:eastAsia="en-GB"/>
              </w:rPr>
              <w:t xml:space="preserve"> par kurām gada laikā katra ārstniecības iestāde varētu sniegt informāciju tiesai.</w:t>
            </w:r>
          </w:p>
          <w:p w:rsidR="004646C7" w:rsidP="004646C7">
            <w:pPr>
              <w:spacing w:after="0" w:line="240" w:lineRule="auto"/>
              <w:ind w:left="119" w:right="145" w:firstLine="403"/>
              <w:jc w:val="both"/>
              <w:rPr>
                <w:rFonts w:ascii="Times New Roman" w:eastAsia="Times New Roman" w:hAnsi="Times New Roman" w:cs="Times New Roman"/>
                <w:i/>
                <w:sz w:val="20"/>
                <w:szCs w:val="24"/>
                <w:lang w:eastAsia="en-GB"/>
              </w:rPr>
            </w:pPr>
          </w:p>
          <w:p w:rsidR="004646C7" w:rsidRPr="001521F8" w:rsidP="004646C7">
            <w:pPr>
              <w:spacing w:after="0" w:line="240" w:lineRule="auto"/>
              <w:ind w:right="145" w:hanging="7"/>
              <w:jc w:val="both"/>
              <w:rPr>
                <w:rFonts w:ascii="Times New Roman" w:eastAsia="Times New Roman" w:hAnsi="Times New Roman" w:cs="Times New Roman"/>
                <w:sz w:val="24"/>
                <w:szCs w:val="24"/>
                <w:lang w:eastAsia="lv-LV"/>
              </w:rPr>
            </w:pPr>
            <w:r w:rsidRPr="004646C7">
              <w:rPr>
                <w:rFonts w:ascii="Times New Roman" w:eastAsia="Times New Roman" w:hAnsi="Times New Roman" w:cs="Times New Roman"/>
                <w:i/>
                <w:szCs w:val="24"/>
                <w:lang w:eastAsia="en-GB"/>
              </w:rPr>
              <w:t xml:space="preserve">*VSIA “Rīgas psihiatrijas un narkoloģijas centrs” </w:t>
            </w:r>
            <w:r>
              <w:rPr>
                <w:rFonts w:ascii="Times New Roman" w:eastAsia="Times New Roman" w:hAnsi="Times New Roman" w:cs="Times New Roman"/>
                <w:i/>
                <w:szCs w:val="24"/>
                <w:lang w:eastAsia="en-GB"/>
              </w:rPr>
              <w:t>sniegtie</w:t>
            </w:r>
            <w:r w:rsidRPr="004646C7">
              <w:rPr>
                <w:rFonts w:ascii="Times New Roman" w:eastAsia="Times New Roman" w:hAnsi="Times New Roman" w:cs="Times New Roman"/>
                <w:i/>
                <w:szCs w:val="24"/>
                <w:lang w:eastAsia="en-GB"/>
              </w:rPr>
              <w:t xml:space="preserve"> dati</w:t>
            </w:r>
          </w:p>
        </w:tc>
      </w:tr>
      <w:tr w:rsidTr="008908DE">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AF7BFE" w:rsidRPr="001521F8" w:rsidP="007E300B">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rsidR="00AF7BFE" w:rsidRPr="001521F8" w:rsidP="00AF7BFE">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AF7BFE" w:rsidRPr="001521F8" w:rsidP="00AF7BFE">
            <w:pPr>
              <w:spacing w:after="0" w:line="240" w:lineRule="auto"/>
              <w:ind w:left="119" w:firstLine="403"/>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Nav</w:t>
            </w:r>
          </w:p>
        </w:tc>
      </w:tr>
    </w:tbl>
    <w:p w:rsidR="00894C55" w:rsidRPr="001521F8" w:rsidP="008908DE">
      <w:pPr>
        <w:shd w:val="clear" w:color="auto" w:fill="FFFFFF"/>
        <w:spacing w:before="120"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082"/>
        <w:gridCol w:w="5520"/>
      </w:tblGrid>
      <w:tr w:rsidTr="00F47682">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84763" w:rsidRPr="001521F8" w:rsidP="008908DE">
            <w:pPr>
              <w:spacing w:before="100" w:beforeAutospacing="1" w:after="0"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VI. Sabiedrības līdzdalība un komunikācijas aktivitātes</w:t>
            </w:r>
          </w:p>
        </w:tc>
      </w:tr>
      <w:tr w:rsidTr="005D2713">
        <w:tblPrEx>
          <w:tblW w:w="5000" w:type="pct"/>
          <w:jc w:val="center"/>
          <w:tblCellMar>
            <w:top w:w="24" w:type="dxa"/>
            <w:left w:w="24" w:type="dxa"/>
            <w:bottom w:w="24" w:type="dxa"/>
            <w:right w:w="24" w:type="dxa"/>
          </w:tblCellMar>
          <w:tblLook w:val="04A0"/>
        </w:tblPrEx>
        <w:trPr>
          <w:trHeight w:val="1461"/>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before="40"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Plānotās sabiedrības līdzdalības un komunikācijas aktivitātes saistībā ar projektu</w:t>
            </w:r>
          </w:p>
        </w:tc>
        <w:tc>
          <w:tcPr>
            <w:tcW w:w="3047"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before="40" w:after="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Projekta izstrādes laikā ir notikušas vairākas sanāksmes un konsultācijas ar nozares ekspertiem, kā arī </w:t>
            </w:r>
            <w:r w:rsidRPr="001521F8" w:rsidR="00A617A7">
              <w:rPr>
                <w:rFonts w:ascii="Times New Roman" w:eastAsia="Times New Roman" w:hAnsi="Times New Roman" w:cs="Times New Roman"/>
                <w:sz w:val="24"/>
                <w:szCs w:val="24"/>
                <w:lang w:eastAsia="lv-LV"/>
              </w:rPr>
              <w:t xml:space="preserve">Projekts </w:t>
            </w:r>
            <w:r w:rsidRPr="001521F8" w:rsidR="008367D6">
              <w:rPr>
                <w:rFonts w:ascii="Times New Roman" w:eastAsia="Times New Roman" w:hAnsi="Times New Roman" w:cs="Times New Roman"/>
                <w:sz w:val="24"/>
                <w:szCs w:val="24"/>
                <w:lang w:eastAsia="lv-LV"/>
              </w:rPr>
              <w:t xml:space="preserve">2017.gada </w:t>
            </w:r>
            <w:r w:rsidRPr="001521F8" w:rsidR="00964187">
              <w:rPr>
                <w:rFonts w:ascii="Times New Roman" w:eastAsia="Times New Roman" w:hAnsi="Times New Roman" w:cs="Times New Roman"/>
                <w:sz w:val="24"/>
                <w:szCs w:val="24"/>
                <w:lang w:eastAsia="lv-LV"/>
              </w:rPr>
              <w:t>23</w:t>
            </w:r>
            <w:r w:rsidRPr="001521F8" w:rsidR="008367D6">
              <w:rPr>
                <w:rFonts w:ascii="Times New Roman" w:eastAsia="Times New Roman" w:hAnsi="Times New Roman" w:cs="Times New Roman"/>
                <w:sz w:val="24"/>
                <w:szCs w:val="24"/>
                <w:lang w:eastAsia="lv-LV"/>
              </w:rPr>
              <w:t>.februārī nosūtīts bied</w:t>
            </w:r>
            <w:r w:rsidRPr="001521F8">
              <w:rPr>
                <w:rFonts w:ascii="Times New Roman" w:eastAsia="Times New Roman" w:hAnsi="Times New Roman" w:cs="Times New Roman"/>
                <w:sz w:val="24"/>
                <w:szCs w:val="24"/>
                <w:lang w:eastAsia="lv-LV"/>
              </w:rPr>
              <w:t>rībai</w:t>
            </w:r>
            <w:r w:rsidRPr="001521F8" w:rsidR="008367D6">
              <w:rPr>
                <w:rFonts w:ascii="Times New Roman" w:eastAsia="Times New Roman" w:hAnsi="Times New Roman" w:cs="Times New Roman"/>
                <w:sz w:val="24"/>
                <w:szCs w:val="24"/>
                <w:lang w:eastAsia="lv-LV"/>
              </w:rPr>
              <w:t xml:space="preserve"> ”Resursu centrs cilvēkiem ar garīgiem traucējumiem ”ZELDA”” viedokļa sniegšanai.</w:t>
            </w:r>
          </w:p>
        </w:tc>
      </w:tr>
      <w:tr w:rsidTr="008908DE">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before="40"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Sabiedrības līdzdalība projekta izstrādē</w:t>
            </w:r>
          </w:p>
        </w:tc>
        <w:tc>
          <w:tcPr>
            <w:tcW w:w="3047" w:type="pct"/>
            <w:tcBorders>
              <w:top w:val="outset" w:sz="6" w:space="0" w:color="414142"/>
              <w:left w:val="outset" w:sz="6" w:space="0" w:color="414142"/>
              <w:bottom w:val="outset" w:sz="6" w:space="0" w:color="414142"/>
              <w:right w:val="outset" w:sz="6" w:space="0" w:color="414142"/>
            </w:tcBorders>
          </w:tcPr>
          <w:p w:rsidR="00FD0ED2" w:rsidRPr="001521F8" w:rsidP="008908DE">
            <w:pPr>
              <w:spacing w:before="40" w:after="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2017.gada 8. un 21.februārī Veselības ministrijā notika sanāksmes, lai ar </w:t>
            </w:r>
            <w:r w:rsidRPr="001521F8" w:rsidR="002E6234">
              <w:rPr>
                <w:rFonts w:ascii="Times New Roman" w:eastAsia="Times New Roman" w:hAnsi="Times New Roman" w:cs="Times New Roman"/>
                <w:sz w:val="24"/>
                <w:szCs w:val="24"/>
                <w:lang w:eastAsia="lv-LV"/>
              </w:rPr>
              <w:t xml:space="preserve">Tieslietu ministrijas, </w:t>
            </w:r>
            <w:r w:rsidRPr="001521F8">
              <w:rPr>
                <w:rFonts w:ascii="Times New Roman" w:eastAsia="Times New Roman" w:hAnsi="Times New Roman" w:cs="Times New Roman"/>
                <w:sz w:val="24"/>
                <w:szCs w:val="24"/>
                <w:lang w:eastAsia="lv-LV"/>
              </w:rPr>
              <w:t xml:space="preserve">VSIA „Rīgas psihiatrijas un narkoloģijas centrs” pārstāvjiem, kā arī Kurzemes apgabaltiesas tiesnesi </w:t>
            </w:r>
            <w:r w:rsidRPr="001521F8">
              <w:rPr>
                <w:rFonts w:ascii="Times New Roman" w:eastAsia="Times New Roman" w:hAnsi="Times New Roman" w:cs="Times New Roman"/>
                <w:sz w:val="24"/>
                <w:szCs w:val="24"/>
                <w:lang w:eastAsia="lv-LV"/>
              </w:rPr>
              <w:t>D.Aktumani</w:t>
            </w:r>
            <w:r w:rsidRPr="001521F8">
              <w:rPr>
                <w:rFonts w:ascii="Times New Roman" w:eastAsia="Times New Roman" w:hAnsi="Times New Roman" w:cs="Times New Roman"/>
                <w:sz w:val="24"/>
                <w:szCs w:val="24"/>
                <w:lang w:eastAsia="lv-LV"/>
              </w:rPr>
              <w:t xml:space="preserve"> un Veselības ministrijas galveno speciālistu psihiatrijā </w:t>
            </w:r>
            <w:r w:rsidRPr="001521F8">
              <w:rPr>
                <w:rFonts w:ascii="Times New Roman" w:eastAsia="Times New Roman" w:hAnsi="Times New Roman" w:cs="Times New Roman"/>
                <w:sz w:val="24"/>
                <w:szCs w:val="24"/>
                <w:lang w:eastAsia="lv-LV"/>
              </w:rPr>
              <w:t>E.Tēraudu</w:t>
            </w:r>
            <w:r w:rsidRPr="001521F8">
              <w:rPr>
                <w:rFonts w:ascii="Times New Roman" w:eastAsia="Times New Roman" w:hAnsi="Times New Roman" w:cs="Times New Roman"/>
                <w:sz w:val="24"/>
                <w:szCs w:val="24"/>
                <w:lang w:eastAsia="lv-LV"/>
              </w:rPr>
              <w:t xml:space="preserve"> apspriestu Projektā iekļaujamo regulējumu. </w:t>
            </w:r>
          </w:p>
        </w:tc>
      </w:tr>
      <w:tr w:rsidTr="005D2713">
        <w:tblPrEx>
          <w:tblW w:w="5000" w:type="pct"/>
          <w:jc w:val="center"/>
          <w:tblCellMar>
            <w:top w:w="24" w:type="dxa"/>
            <w:left w:w="24" w:type="dxa"/>
            <w:bottom w:w="24" w:type="dxa"/>
            <w:right w:w="24" w:type="dxa"/>
          </w:tblCellMar>
          <w:tblLook w:val="04A0"/>
        </w:tblPrEx>
        <w:trPr>
          <w:trHeight w:val="4856"/>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before="40"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Sabiedrības līdzdalības rezultāti</w:t>
            </w:r>
          </w:p>
        </w:tc>
        <w:tc>
          <w:tcPr>
            <w:tcW w:w="3047" w:type="pct"/>
            <w:tcBorders>
              <w:top w:val="outset" w:sz="6" w:space="0" w:color="414142"/>
              <w:left w:val="outset" w:sz="6" w:space="0" w:color="414142"/>
              <w:bottom w:val="outset" w:sz="6" w:space="0" w:color="414142"/>
              <w:right w:val="outset" w:sz="6" w:space="0" w:color="414142"/>
            </w:tcBorders>
          </w:tcPr>
          <w:p w:rsidR="00984763" w:rsidRPr="001521F8" w:rsidP="008908DE">
            <w:pPr>
              <w:spacing w:before="40" w:after="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2017.gada 21.februāra sanāksmē</w:t>
            </w:r>
            <w:r w:rsidRPr="001521F8" w:rsidR="007B77FB">
              <w:rPr>
                <w:rFonts w:ascii="Times New Roman" w:eastAsia="Times New Roman" w:hAnsi="Times New Roman" w:cs="Times New Roman"/>
                <w:sz w:val="24"/>
                <w:szCs w:val="24"/>
                <w:lang w:eastAsia="lv-LV"/>
              </w:rPr>
              <w:t xml:space="preserve"> tika panākta vienošanās par Projekta tālāko virzību, kā arī atbilstoši sanāksmes laikā izteiktajiem</w:t>
            </w:r>
            <w:r w:rsidRPr="001521F8">
              <w:rPr>
                <w:rFonts w:ascii="Times New Roman" w:eastAsia="Times New Roman" w:hAnsi="Times New Roman" w:cs="Times New Roman"/>
                <w:sz w:val="24"/>
                <w:szCs w:val="24"/>
                <w:lang w:eastAsia="lv-LV"/>
              </w:rPr>
              <w:t xml:space="preserve"> priek</w:t>
            </w:r>
            <w:r w:rsidRPr="001521F8" w:rsidR="002E6234">
              <w:rPr>
                <w:rFonts w:ascii="Times New Roman" w:eastAsia="Times New Roman" w:hAnsi="Times New Roman" w:cs="Times New Roman"/>
                <w:sz w:val="24"/>
                <w:szCs w:val="24"/>
                <w:lang w:eastAsia="lv-LV"/>
              </w:rPr>
              <w:t>šlikumiem Projekts ticis</w:t>
            </w:r>
            <w:r w:rsidRPr="001521F8" w:rsidR="007B77FB">
              <w:rPr>
                <w:rFonts w:ascii="Times New Roman" w:eastAsia="Times New Roman" w:hAnsi="Times New Roman" w:cs="Times New Roman"/>
                <w:sz w:val="24"/>
                <w:szCs w:val="24"/>
                <w:lang w:eastAsia="lv-LV"/>
              </w:rPr>
              <w:t xml:space="preserve"> precizēts.</w:t>
            </w:r>
          </w:p>
          <w:p w:rsidR="005821A7" w:rsidRPr="001521F8" w:rsidP="008908DE">
            <w:pPr>
              <w:spacing w:after="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2017.gada 7.martā saņemts biedrības ”Resursu centrs cilvēkiem ar garīgiem traucējumiem ”ZELDA”” viedoklis par Projektu</w:t>
            </w:r>
            <w:r w:rsidRPr="001521F8" w:rsidR="00DC06CE">
              <w:rPr>
                <w:rFonts w:ascii="Times New Roman" w:eastAsia="Times New Roman" w:hAnsi="Times New Roman" w:cs="Times New Roman"/>
                <w:sz w:val="24"/>
                <w:szCs w:val="24"/>
                <w:lang w:eastAsia="lv-LV"/>
              </w:rPr>
              <w:t>. Ņemot vērā biedrības izteiktos priekšlikumus, kā arī to, ka Projekta mērķis n</w:t>
            </w:r>
            <w:r w:rsidRPr="001521F8" w:rsidR="00C33E30">
              <w:rPr>
                <w:rFonts w:ascii="Times New Roman" w:eastAsia="Times New Roman" w:hAnsi="Times New Roman" w:cs="Times New Roman"/>
                <w:sz w:val="24"/>
                <w:szCs w:val="24"/>
                <w:lang w:eastAsia="lv-LV"/>
              </w:rPr>
              <w:t>av</w:t>
            </w:r>
            <w:r w:rsidRPr="001521F8" w:rsidR="00DC06CE">
              <w:rPr>
                <w:rFonts w:ascii="Times New Roman" w:eastAsia="Times New Roman" w:hAnsi="Times New Roman" w:cs="Times New Roman"/>
                <w:sz w:val="24"/>
                <w:szCs w:val="24"/>
                <w:lang w:eastAsia="lv-LV"/>
              </w:rPr>
              <w:t xml:space="preserve"> </w:t>
            </w:r>
            <w:r w:rsidRPr="001521F8" w:rsidR="00C33E30">
              <w:rPr>
                <w:rFonts w:ascii="Times New Roman" w:eastAsia="Times New Roman" w:hAnsi="Times New Roman" w:cs="Times New Roman"/>
                <w:sz w:val="24"/>
                <w:szCs w:val="24"/>
                <w:lang w:eastAsia="lv-LV"/>
              </w:rPr>
              <w:t>noteikt</w:t>
            </w:r>
            <w:r w:rsidRPr="001521F8" w:rsidR="00DC06CE">
              <w:rPr>
                <w:rFonts w:ascii="Times New Roman" w:eastAsia="Times New Roman" w:hAnsi="Times New Roman" w:cs="Times New Roman"/>
                <w:sz w:val="24"/>
                <w:szCs w:val="24"/>
                <w:lang w:eastAsia="lv-LV"/>
              </w:rPr>
              <w:t xml:space="preserve"> </w:t>
            </w:r>
            <w:r w:rsidRPr="001521F8" w:rsidR="00AD668A">
              <w:rPr>
                <w:rFonts w:ascii="Times New Roman" w:eastAsia="Times New Roman" w:hAnsi="Times New Roman" w:cs="Times New Roman"/>
                <w:sz w:val="24"/>
                <w:szCs w:val="24"/>
                <w:lang w:eastAsia="lv-LV"/>
              </w:rPr>
              <w:t>kārtību personas paskaidrojumu sniegšanai par lēmuma  izpildes pārkāpuma</w:t>
            </w:r>
            <w:r w:rsidRPr="001521F8" w:rsidR="00DC06CE">
              <w:rPr>
                <w:rFonts w:ascii="Times New Roman" w:eastAsia="Times New Roman" w:hAnsi="Times New Roman" w:cs="Times New Roman"/>
                <w:sz w:val="24"/>
                <w:szCs w:val="24"/>
                <w:lang w:eastAsia="lv-LV"/>
              </w:rPr>
              <w:t xml:space="preserve"> iemesliem,</w:t>
            </w:r>
            <w:r w:rsidRPr="001521F8" w:rsidR="00AD668A">
              <w:rPr>
                <w:rFonts w:ascii="Times New Roman" w:eastAsia="Times New Roman" w:hAnsi="Times New Roman" w:cs="Times New Roman"/>
                <w:sz w:val="24"/>
                <w:szCs w:val="24"/>
                <w:lang w:eastAsia="lv-LV"/>
              </w:rPr>
              <w:t xml:space="preserve"> bet gan informēt </w:t>
            </w:r>
            <w:r w:rsidRPr="001521F8" w:rsidR="00C33E30">
              <w:rPr>
                <w:rFonts w:ascii="Times New Roman" w:eastAsia="Times New Roman" w:hAnsi="Times New Roman" w:cs="Times New Roman"/>
                <w:sz w:val="24"/>
                <w:szCs w:val="24"/>
                <w:lang w:eastAsia="lv-LV"/>
              </w:rPr>
              <w:t xml:space="preserve">tiesu </w:t>
            </w:r>
            <w:r w:rsidRPr="001521F8" w:rsidR="00AD668A">
              <w:rPr>
                <w:rFonts w:ascii="Times New Roman" w:eastAsia="Times New Roman" w:hAnsi="Times New Roman" w:cs="Times New Roman"/>
                <w:sz w:val="24"/>
                <w:szCs w:val="24"/>
                <w:lang w:eastAsia="lv-LV"/>
              </w:rPr>
              <w:t xml:space="preserve">par </w:t>
            </w:r>
            <w:r w:rsidRPr="001521F8" w:rsidR="00CC0DFE">
              <w:rPr>
                <w:rFonts w:ascii="Times New Roman" w:eastAsia="Times New Roman" w:hAnsi="Times New Roman" w:cs="Times New Roman"/>
                <w:sz w:val="24"/>
                <w:szCs w:val="24"/>
                <w:lang w:eastAsia="lv-LV"/>
              </w:rPr>
              <w:t>personas izvairīšanos no tai noteiktā medicīniska rakstura piespiedu līdzekļa pildīšanas</w:t>
            </w:r>
            <w:r w:rsidRPr="001521F8" w:rsidR="00AD668A">
              <w:rPr>
                <w:rFonts w:ascii="Times New Roman" w:eastAsia="Times New Roman" w:hAnsi="Times New Roman" w:cs="Times New Roman"/>
                <w:sz w:val="24"/>
                <w:szCs w:val="24"/>
                <w:lang w:eastAsia="lv-LV"/>
              </w:rPr>
              <w:t>,</w:t>
            </w:r>
            <w:r w:rsidRPr="001521F8" w:rsidR="00DC06CE">
              <w:rPr>
                <w:rFonts w:ascii="Times New Roman" w:eastAsia="Times New Roman" w:hAnsi="Times New Roman" w:cs="Times New Roman"/>
                <w:sz w:val="24"/>
                <w:szCs w:val="24"/>
                <w:lang w:eastAsia="lv-LV"/>
              </w:rPr>
              <w:t xml:space="preserve"> lai neradītu papildus slogu ārstniecības personām, no Projekta svītrota norma, kas paredzēja, ka </w:t>
            </w:r>
            <w:r w:rsidRPr="001521F8" w:rsidR="00C537CD">
              <w:rPr>
                <w:rFonts w:ascii="Times New Roman" w:eastAsia="Times New Roman" w:hAnsi="Times New Roman" w:cs="Times New Roman"/>
                <w:sz w:val="24"/>
                <w:szCs w:val="24"/>
                <w:lang w:eastAsia="lv-LV"/>
              </w:rPr>
              <w:t>informācija par personas sniegtajiem paskaidrojumiem</w:t>
            </w:r>
            <w:r w:rsidRPr="001521F8" w:rsidR="00DC06CE">
              <w:rPr>
                <w:rFonts w:ascii="Times New Roman" w:eastAsia="Times New Roman" w:hAnsi="Times New Roman" w:cs="Times New Roman"/>
                <w:sz w:val="24"/>
                <w:szCs w:val="24"/>
                <w:lang w:eastAsia="lv-LV"/>
              </w:rPr>
              <w:t xml:space="preserve"> </w:t>
            </w:r>
            <w:r w:rsidRPr="001521F8" w:rsidR="00C537CD">
              <w:rPr>
                <w:rFonts w:ascii="Times New Roman" w:eastAsia="Times New Roman" w:hAnsi="Times New Roman" w:cs="Times New Roman"/>
                <w:sz w:val="24"/>
                <w:szCs w:val="24"/>
                <w:lang w:eastAsia="lv-LV"/>
              </w:rPr>
              <w:t xml:space="preserve">(ja tādi ir) </w:t>
            </w:r>
            <w:r w:rsidRPr="001521F8" w:rsidR="00DC06CE">
              <w:rPr>
                <w:rFonts w:ascii="Times New Roman" w:eastAsia="Times New Roman" w:hAnsi="Times New Roman" w:cs="Times New Roman"/>
                <w:sz w:val="24"/>
                <w:szCs w:val="24"/>
                <w:lang w:eastAsia="lv-LV"/>
              </w:rPr>
              <w:t>iekļaujama paziņojumā tiesai.</w:t>
            </w:r>
          </w:p>
        </w:tc>
      </w:tr>
      <w:tr w:rsidTr="008908DE">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before="40"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rsidR="00984763" w:rsidRPr="001521F8" w:rsidP="008908DE">
            <w:pPr>
              <w:spacing w:before="40" w:after="0" w:line="240" w:lineRule="auto"/>
              <w:ind w:left="125" w:firstLine="28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Nav</w:t>
            </w:r>
          </w:p>
        </w:tc>
      </w:tr>
    </w:tbl>
    <w:p w:rsidR="00984763" w:rsidRPr="001521F8" w:rsidP="008908DE">
      <w:pPr>
        <w:shd w:val="clear" w:color="auto" w:fill="FFFFFF"/>
        <w:spacing w:before="240"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231"/>
        <w:gridCol w:w="5371"/>
      </w:tblGrid>
      <w:tr w:rsidTr="00F47682">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7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521F8"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VII.</w:t>
            </w:r>
            <w:r w:rsidRPr="001521F8" w:rsidR="00816C11">
              <w:rPr>
                <w:rFonts w:ascii="Times New Roman" w:eastAsia="Times New Roman" w:hAnsi="Times New Roman" w:cs="Times New Roman"/>
                <w:b/>
                <w:bCs/>
                <w:sz w:val="24"/>
                <w:szCs w:val="24"/>
                <w:lang w:eastAsia="lv-LV"/>
              </w:rPr>
              <w:t> </w:t>
            </w:r>
            <w:r w:rsidRPr="001521F8">
              <w:rPr>
                <w:rFonts w:ascii="Times New Roman" w:eastAsia="Times New Roman" w:hAnsi="Times New Roman" w:cs="Times New Roman"/>
                <w:b/>
                <w:bCs/>
                <w:sz w:val="24"/>
                <w:szCs w:val="24"/>
                <w:lang w:eastAsia="lv-LV"/>
              </w:rPr>
              <w:t>Tiesību akta projekta izpildes nodrošināšana un tās ietekme uz institūcijām</w:t>
            </w:r>
          </w:p>
        </w:tc>
      </w:tr>
      <w:tr w:rsidTr="0093796E">
        <w:tblPrEx>
          <w:tblW w:w="5000" w:type="pct"/>
          <w:jc w:val="center"/>
          <w:tblCellMar>
            <w:top w:w="24" w:type="dxa"/>
            <w:left w:w="24" w:type="dxa"/>
            <w:bottom w:w="24" w:type="dxa"/>
            <w:right w:w="24" w:type="dxa"/>
          </w:tblCellMar>
          <w:tblLook w:val="04A0"/>
        </w:tblPrEx>
        <w:trPr>
          <w:trHeight w:val="699"/>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7E300B">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izpildē iesaistītās institūcijas</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1521F8" w:rsidP="00A617A7">
            <w:pPr>
              <w:spacing w:after="0" w:line="240" w:lineRule="auto"/>
              <w:ind w:left="118" w:right="140" w:firstLine="47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w:t>
            </w:r>
            <w:r w:rsidRPr="001521F8" w:rsidR="0050692D">
              <w:rPr>
                <w:rFonts w:ascii="Times New Roman" w:eastAsia="Times New Roman" w:hAnsi="Times New Roman" w:cs="Times New Roman"/>
                <w:sz w:val="24"/>
                <w:szCs w:val="24"/>
                <w:lang w:eastAsia="lv-LV"/>
              </w:rPr>
              <w:t>sihiatriskās ārstniecības iestādes</w:t>
            </w:r>
            <w:r w:rsidRPr="001521F8" w:rsidR="00003601">
              <w:rPr>
                <w:rFonts w:ascii="Times New Roman" w:eastAsia="Times New Roman" w:hAnsi="Times New Roman" w:cs="Times New Roman"/>
                <w:sz w:val="24"/>
                <w:szCs w:val="24"/>
                <w:lang w:eastAsia="lv-LV"/>
              </w:rPr>
              <w:t>.</w:t>
            </w:r>
          </w:p>
        </w:tc>
      </w:tr>
      <w:tr w:rsidTr="00F47682">
        <w:tblPrEx>
          <w:tblW w:w="5000" w:type="pct"/>
          <w:jc w:val="center"/>
          <w:tblCellMar>
            <w:top w:w="24" w:type="dxa"/>
            <w:left w:w="24" w:type="dxa"/>
            <w:bottom w:w="24" w:type="dxa"/>
            <w:right w:w="24" w:type="dxa"/>
          </w:tblCellMar>
          <w:tblLook w:val="04A0"/>
        </w:tblPrEx>
        <w:trPr>
          <w:trHeight w:val="237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7E300B">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1521F8" w:rsidP="00F47682">
            <w:pPr>
              <w:spacing w:before="40"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izpildes ietekme uz pārvaldes funkcijām un institucionālo struktūru.</w:t>
            </w:r>
          </w:p>
          <w:p w:rsidR="00894C55" w:rsidRPr="001521F8"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1521F8" w:rsidP="00F47682">
            <w:pPr>
              <w:spacing w:before="40" w:after="0" w:line="240" w:lineRule="auto"/>
              <w:ind w:left="118" w:firstLine="47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Projekts šo jomu neskar</w:t>
            </w:r>
          </w:p>
        </w:tc>
      </w:tr>
      <w:tr w:rsidTr="00B85CB1">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P="007E300B">
            <w:pPr>
              <w:spacing w:after="0" w:line="240" w:lineRule="auto"/>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3.</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1521F8"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1521F8" w:rsidP="00464A51">
            <w:pPr>
              <w:spacing w:after="0" w:line="240" w:lineRule="auto"/>
              <w:ind w:firstLine="47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Nav</w:t>
            </w:r>
          </w:p>
        </w:tc>
      </w:tr>
    </w:tbl>
    <w:p w:rsidR="00720585" w:rsidRPr="001521F8" w:rsidP="00894C55">
      <w:pPr>
        <w:spacing w:after="0" w:line="240" w:lineRule="auto"/>
        <w:rPr>
          <w:rFonts w:ascii="Times New Roman" w:hAnsi="Times New Roman" w:cs="Times New Roman"/>
          <w:sz w:val="28"/>
          <w:szCs w:val="28"/>
        </w:rPr>
      </w:pPr>
    </w:p>
    <w:p w:rsidR="00F32503" w:rsidRPr="001521F8" w:rsidP="00DB7FD5">
      <w:pPr>
        <w:spacing w:after="0" w:line="240" w:lineRule="auto"/>
        <w:rPr>
          <w:rFonts w:ascii="Times New Roman" w:hAnsi="Times New Roman" w:cs="Times New Roman"/>
          <w:i/>
          <w:sz w:val="28"/>
          <w:szCs w:val="28"/>
        </w:rPr>
      </w:pPr>
      <w:r w:rsidRPr="001521F8">
        <w:rPr>
          <w:rFonts w:ascii="Times New Roman" w:hAnsi="Times New Roman" w:cs="Times New Roman"/>
          <w:i/>
          <w:sz w:val="28"/>
          <w:szCs w:val="28"/>
        </w:rPr>
        <w:t>Anotācijas III, IV un</w:t>
      </w:r>
      <w:r w:rsidRPr="001521F8" w:rsidR="004F72F6">
        <w:rPr>
          <w:rFonts w:ascii="Times New Roman" w:hAnsi="Times New Roman" w:cs="Times New Roman"/>
          <w:i/>
          <w:sz w:val="28"/>
          <w:szCs w:val="28"/>
        </w:rPr>
        <w:t xml:space="preserve"> </w:t>
      </w:r>
      <w:r w:rsidRPr="001521F8">
        <w:rPr>
          <w:rFonts w:ascii="Times New Roman" w:hAnsi="Times New Roman" w:cs="Times New Roman"/>
          <w:i/>
          <w:sz w:val="28"/>
          <w:szCs w:val="28"/>
        </w:rPr>
        <w:t>V</w:t>
      </w:r>
      <w:r w:rsidRPr="001521F8" w:rsidR="004F72F6">
        <w:rPr>
          <w:rFonts w:ascii="Times New Roman" w:hAnsi="Times New Roman" w:cs="Times New Roman"/>
          <w:i/>
          <w:sz w:val="28"/>
          <w:szCs w:val="28"/>
        </w:rPr>
        <w:t xml:space="preserve"> </w:t>
      </w:r>
      <w:r w:rsidRPr="001521F8">
        <w:rPr>
          <w:rFonts w:ascii="Times New Roman" w:hAnsi="Times New Roman" w:cs="Times New Roman"/>
          <w:i/>
          <w:sz w:val="28"/>
          <w:szCs w:val="28"/>
        </w:rPr>
        <w:t>sadaļa – projekts šīs jomas neskar.</w:t>
      </w:r>
    </w:p>
    <w:p w:rsidR="00C25B49" w:rsidRPr="001521F8" w:rsidP="00894C55">
      <w:pPr>
        <w:spacing w:after="0" w:line="240" w:lineRule="auto"/>
        <w:rPr>
          <w:rFonts w:ascii="Times New Roman" w:hAnsi="Times New Roman" w:cs="Times New Roman"/>
          <w:sz w:val="28"/>
          <w:szCs w:val="28"/>
        </w:rPr>
      </w:pPr>
    </w:p>
    <w:p w:rsidR="005871D8" w:rsidRPr="001521F8" w:rsidP="00894C55">
      <w:pPr>
        <w:spacing w:after="0" w:line="240" w:lineRule="auto"/>
        <w:rPr>
          <w:rFonts w:ascii="Times New Roman" w:hAnsi="Times New Roman" w:cs="Times New Roman"/>
          <w:sz w:val="28"/>
          <w:szCs w:val="28"/>
        </w:rPr>
      </w:pPr>
    </w:p>
    <w:p w:rsidR="005871D8" w:rsidRPr="001521F8" w:rsidP="005871D8">
      <w:pPr>
        <w:tabs>
          <w:tab w:val="left" w:pos="7230"/>
        </w:tabs>
        <w:spacing w:after="720" w:line="240" w:lineRule="auto"/>
        <w:ind w:right="-766"/>
        <w:rPr>
          <w:rFonts w:ascii="Times New Roman" w:eastAsia="Calibri" w:hAnsi="Times New Roman" w:cs="Times New Roman"/>
          <w:sz w:val="28"/>
          <w:szCs w:val="28"/>
        </w:rPr>
      </w:pPr>
      <w:r w:rsidRPr="001521F8">
        <w:rPr>
          <w:rFonts w:ascii="Times New Roman" w:eastAsia="Calibri" w:hAnsi="Times New Roman" w:cs="Times New Roman"/>
          <w:sz w:val="28"/>
          <w:szCs w:val="28"/>
        </w:rPr>
        <w:t>Veselības ministre</w:t>
      </w:r>
      <w:r w:rsidRPr="001521F8">
        <w:rPr>
          <w:rFonts w:ascii="Times New Roman" w:eastAsia="Calibri" w:hAnsi="Times New Roman" w:cs="Times New Roman"/>
          <w:sz w:val="28"/>
          <w:szCs w:val="28"/>
        </w:rPr>
        <w:tab/>
        <w:t xml:space="preserve">Anda </w:t>
      </w:r>
      <w:r w:rsidRPr="001521F8">
        <w:rPr>
          <w:rFonts w:ascii="Times New Roman" w:eastAsia="Calibri" w:hAnsi="Times New Roman" w:cs="Times New Roman"/>
          <w:sz w:val="28"/>
          <w:szCs w:val="28"/>
        </w:rPr>
        <w:t>Čakša</w:t>
      </w:r>
      <w:r w:rsidRPr="001521F8">
        <w:rPr>
          <w:rFonts w:ascii="Times New Roman" w:eastAsia="Calibri" w:hAnsi="Times New Roman" w:cs="Times New Roman"/>
          <w:sz w:val="28"/>
          <w:szCs w:val="28"/>
        </w:rPr>
        <w:tab/>
      </w:r>
    </w:p>
    <w:p w:rsidR="005871D8" w:rsidRPr="001521F8" w:rsidP="005871D8">
      <w:pPr>
        <w:tabs>
          <w:tab w:val="right" w:pos="9072"/>
        </w:tabs>
        <w:spacing w:after="0" w:line="240" w:lineRule="auto"/>
        <w:ind w:right="-1"/>
        <w:rPr>
          <w:rFonts w:ascii="Times New Roman" w:eastAsia="Calibri" w:hAnsi="Times New Roman" w:cs="Times New Roman"/>
          <w:sz w:val="28"/>
          <w:szCs w:val="28"/>
        </w:rPr>
      </w:pPr>
      <w:r w:rsidRPr="001521F8">
        <w:rPr>
          <w:rFonts w:ascii="Times New Roman" w:eastAsia="Calibri" w:hAnsi="Times New Roman" w:cs="Times New Roman"/>
          <w:sz w:val="28"/>
          <w:szCs w:val="28"/>
        </w:rPr>
        <w:t xml:space="preserve">Vīza: Valsts sekretārs                                                                     Kārlis </w:t>
      </w:r>
      <w:r w:rsidRPr="001521F8">
        <w:rPr>
          <w:rFonts w:ascii="Times New Roman" w:eastAsia="Calibri" w:hAnsi="Times New Roman" w:cs="Times New Roman"/>
          <w:sz w:val="28"/>
          <w:szCs w:val="28"/>
        </w:rPr>
        <w:t>Ketners</w:t>
      </w:r>
      <w:r w:rsidRPr="001521F8">
        <w:rPr>
          <w:rFonts w:ascii="Times New Roman" w:eastAsia="Calibri" w:hAnsi="Times New Roman" w:cs="Times New Roman"/>
          <w:sz w:val="28"/>
          <w:szCs w:val="28"/>
        </w:rPr>
        <w:t xml:space="preserve">   </w:t>
      </w:r>
    </w:p>
    <w:p w:rsidR="005871D8" w:rsidRPr="001521F8" w:rsidP="005871D8">
      <w:pPr>
        <w:tabs>
          <w:tab w:val="right" w:pos="9072"/>
        </w:tabs>
        <w:spacing w:after="0" w:line="240" w:lineRule="auto"/>
        <w:ind w:right="-766"/>
        <w:rPr>
          <w:rFonts w:ascii="Times New Roman" w:eastAsia="Calibri" w:hAnsi="Times New Roman" w:cs="Times New Roman"/>
          <w:sz w:val="28"/>
          <w:szCs w:val="28"/>
        </w:rPr>
      </w:pPr>
    </w:p>
    <w:p w:rsidR="002E6234" w:rsidRPr="001521F8" w:rsidP="005871D8">
      <w:pPr>
        <w:tabs>
          <w:tab w:val="left" w:pos="6237"/>
        </w:tabs>
        <w:spacing w:after="0" w:line="240" w:lineRule="auto"/>
        <w:rPr>
          <w:rFonts w:ascii="Times New Roman" w:eastAsia="Calibri" w:hAnsi="Times New Roman" w:cs="Times New Roman"/>
          <w:sz w:val="24"/>
          <w:szCs w:val="24"/>
        </w:rPr>
      </w:pPr>
    </w:p>
    <w:p w:rsidR="00150CE8" w:rsidRPr="001521F8" w:rsidP="005871D8">
      <w:pPr>
        <w:tabs>
          <w:tab w:val="left" w:pos="6237"/>
        </w:tabs>
        <w:spacing w:after="0" w:line="240" w:lineRule="auto"/>
        <w:rPr>
          <w:rFonts w:ascii="Times New Roman" w:eastAsia="Calibri" w:hAnsi="Times New Roman" w:cs="Times New Roman"/>
          <w:sz w:val="24"/>
          <w:szCs w:val="24"/>
        </w:rPr>
      </w:pPr>
    </w:p>
    <w:p w:rsidR="005821A7" w:rsidRPr="001521F8" w:rsidP="005871D8">
      <w:pPr>
        <w:tabs>
          <w:tab w:val="left" w:pos="6237"/>
        </w:tabs>
        <w:spacing w:after="0" w:line="240" w:lineRule="auto"/>
        <w:rPr>
          <w:rFonts w:ascii="Times New Roman" w:eastAsia="Calibri" w:hAnsi="Times New Roman" w:cs="Times New Roman"/>
          <w:sz w:val="24"/>
          <w:szCs w:val="24"/>
        </w:rPr>
      </w:pPr>
    </w:p>
    <w:p w:rsidR="005821A7" w:rsidRPr="001521F8" w:rsidP="005871D8">
      <w:pPr>
        <w:tabs>
          <w:tab w:val="left" w:pos="6237"/>
        </w:tabs>
        <w:spacing w:after="0" w:line="240" w:lineRule="auto"/>
        <w:rPr>
          <w:rFonts w:ascii="Times New Roman" w:eastAsia="Calibri" w:hAnsi="Times New Roman" w:cs="Times New Roman"/>
          <w:sz w:val="24"/>
          <w:szCs w:val="24"/>
        </w:rPr>
      </w:pPr>
    </w:p>
    <w:p w:rsidR="005821A7" w:rsidRPr="001521F8" w:rsidP="005871D8">
      <w:pPr>
        <w:tabs>
          <w:tab w:val="left" w:pos="6237"/>
        </w:tabs>
        <w:spacing w:after="0" w:line="240" w:lineRule="auto"/>
        <w:rPr>
          <w:rFonts w:ascii="Times New Roman" w:eastAsia="Calibri" w:hAnsi="Times New Roman" w:cs="Times New Roman"/>
          <w:sz w:val="24"/>
          <w:szCs w:val="24"/>
        </w:rPr>
      </w:pPr>
    </w:p>
    <w:p w:rsidR="00A8166A" w:rsidRPr="001521F8" w:rsidP="005871D8">
      <w:pPr>
        <w:tabs>
          <w:tab w:val="left" w:pos="6237"/>
        </w:tabs>
        <w:spacing w:after="0" w:line="240" w:lineRule="auto"/>
        <w:rPr>
          <w:rFonts w:ascii="Times New Roman" w:eastAsia="Calibri" w:hAnsi="Times New Roman" w:cs="Times New Roman"/>
          <w:sz w:val="24"/>
          <w:szCs w:val="24"/>
        </w:rPr>
      </w:pPr>
    </w:p>
    <w:p w:rsidR="00A8166A" w:rsidP="005871D8">
      <w:pPr>
        <w:tabs>
          <w:tab w:val="left" w:pos="6237"/>
        </w:tabs>
        <w:spacing w:after="0" w:line="240" w:lineRule="auto"/>
        <w:rPr>
          <w:rFonts w:ascii="Times New Roman" w:eastAsia="Calibri" w:hAnsi="Times New Roman" w:cs="Times New Roman"/>
          <w:sz w:val="24"/>
          <w:szCs w:val="24"/>
        </w:rPr>
      </w:pPr>
    </w:p>
    <w:p w:rsidR="00486BF7" w:rsidRPr="001521F8" w:rsidP="005871D8">
      <w:pPr>
        <w:tabs>
          <w:tab w:val="left" w:pos="6237"/>
        </w:tabs>
        <w:spacing w:after="0" w:line="240" w:lineRule="auto"/>
        <w:rPr>
          <w:rFonts w:ascii="Times New Roman" w:eastAsia="Calibri" w:hAnsi="Times New Roman" w:cs="Times New Roman"/>
          <w:sz w:val="24"/>
          <w:szCs w:val="24"/>
        </w:rPr>
      </w:pPr>
    </w:p>
    <w:p w:rsidR="00A8166A" w:rsidRPr="001521F8" w:rsidP="005871D8">
      <w:pPr>
        <w:tabs>
          <w:tab w:val="left" w:pos="6237"/>
        </w:tabs>
        <w:spacing w:after="0" w:line="240" w:lineRule="auto"/>
        <w:rPr>
          <w:rFonts w:ascii="Times New Roman" w:eastAsia="Calibri" w:hAnsi="Times New Roman" w:cs="Times New Roman"/>
          <w:sz w:val="24"/>
          <w:szCs w:val="24"/>
        </w:rPr>
      </w:pPr>
    </w:p>
    <w:p w:rsidR="00A8166A" w:rsidP="005871D8">
      <w:pPr>
        <w:tabs>
          <w:tab w:val="left" w:pos="6237"/>
        </w:tabs>
        <w:spacing w:after="0" w:line="240" w:lineRule="auto"/>
        <w:rPr>
          <w:rFonts w:ascii="Times New Roman" w:eastAsia="Calibri" w:hAnsi="Times New Roman" w:cs="Times New Roman"/>
          <w:sz w:val="24"/>
          <w:szCs w:val="24"/>
        </w:rPr>
      </w:pPr>
    </w:p>
    <w:p w:rsidR="00F47682" w:rsidP="005871D8">
      <w:pPr>
        <w:tabs>
          <w:tab w:val="left" w:pos="6237"/>
        </w:tabs>
        <w:spacing w:after="0" w:line="240" w:lineRule="auto"/>
        <w:rPr>
          <w:rFonts w:ascii="Times New Roman" w:eastAsia="Calibri" w:hAnsi="Times New Roman" w:cs="Times New Roman"/>
          <w:sz w:val="24"/>
          <w:szCs w:val="24"/>
        </w:rPr>
      </w:pPr>
    </w:p>
    <w:p w:rsidR="00F47682" w:rsidRPr="001521F8" w:rsidP="005871D8">
      <w:pPr>
        <w:tabs>
          <w:tab w:val="left" w:pos="6237"/>
        </w:tabs>
        <w:spacing w:after="0" w:line="240" w:lineRule="auto"/>
        <w:rPr>
          <w:rFonts w:ascii="Times New Roman" w:eastAsia="Calibri" w:hAnsi="Times New Roman" w:cs="Times New Roman"/>
          <w:sz w:val="24"/>
          <w:szCs w:val="24"/>
        </w:rPr>
      </w:pPr>
    </w:p>
    <w:p w:rsidR="00A8166A" w:rsidRPr="001521F8" w:rsidP="005871D8">
      <w:pPr>
        <w:tabs>
          <w:tab w:val="left" w:pos="6237"/>
        </w:tabs>
        <w:spacing w:after="0" w:line="240" w:lineRule="auto"/>
        <w:rPr>
          <w:rFonts w:ascii="Times New Roman" w:eastAsia="Calibri" w:hAnsi="Times New Roman" w:cs="Times New Roman"/>
          <w:sz w:val="24"/>
          <w:szCs w:val="24"/>
        </w:rPr>
      </w:pPr>
    </w:p>
    <w:p w:rsidR="00A8166A" w:rsidRPr="001521F8" w:rsidP="005871D8">
      <w:pPr>
        <w:tabs>
          <w:tab w:val="left" w:pos="6237"/>
        </w:tabs>
        <w:spacing w:after="0" w:line="240" w:lineRule="auto"/>
        <w:rPr>
          <w:rFonts w:ascii="Times New Roman" w:eastAsia="Calibri" w:hAnsi="Times New Roman" w:cs="Times New Roman"/>
          <w:sz w:val="24"/>
          <w:szCs w:val="24"/>
        </w:rPr>
      </w:pPr>
    </w:p>
    <w:p w:rsidR="00A8166A" w:rsidRPr="001521F8" w:rsidP="005871D8">
      <w:pPr>
        <w:tabs>
          <w:tab w:val="left" w:pos="6237"/>
        </w:tabs>
        <w:spacing w:after="0" w:line="240" w:lineRule="auto"/>
        <w:rPr>
          <w:rFonts w:ascii="Times New Roman" w:eastAsia="Calibri" w:hAnsi="Times New Roman" w:cs="Times New Roman"/>
          <w:sz w:val="24"/>
          <w:szCs w:val="24"/>
        </w:rPr>
      </w:pPr>
    </w:p>
    <w:p w:rsidR="005821A7" w:rsidRPr="001521F8" w:rsidP="005871D8">
      <w:pPr>
        <w:tabs>
          <w:tab w:val="left" w:pos="6237"/>
        </w:tabs>
        <w:spacing w:after="0" w:line="240" w:lineRule="auto"/>
        <w:rPr>
          <w:rFonts w:ascii="Times New Roman" w:eastAsia="Calibri" w:hAnsi="Times New Roman" w:cs="Times New Roman"/>
          <w:sz w:val="24"/>
          <w:szCs w:val="24"/>
        </w:rPr>
      </w:pPr>
    </w:p>
    <w:p w:rsidR="00150CE8" w:rsidRPr="001521F8" w:rsidP="005871D8">
      <w:pPr>
        <w:tabs>
          <w:tab w:val="left" w:pos="6237"/>
        </w:tabs>
        <w:spacing w:after="0" w:line="240" w:lineRule="auto"/>
        <w:rPr>
          <w:rFonts w:ascii="Times New Roman" w:eastAsia="Calibri" w:hAnsi="Times New Roman" w:cs="Times New Roman"/>
          <w:sz w:val="24"/>
          <w:szCs w:val="24"/>
        </w:rPr>
      </w:pPr>
    </w:p>
    <w:p w:rsidR="00150CE8" w:rsidRPr="001521F8" w:rsidP="005871D8">
      <w:pPr>
        <w:tabs>
          <w:tab w:val="left" w:pos="6237"/>
        </w:tabs>
        <w:spacing w:after="0" w:line="240" w:lineRule="auto"/>
        <w:rPr>
          <w:rFonts w:ascii="Times New Roman" w:eastAsia="Calibri" w:hAnsi="Times New Roman" w:cs="Times New Roman"/>
          <w:sz w:val="24"/>
          <w:szCs w:val="24"/>
        </w:rPr>
      </w:pPr>
    </w:p>
    <w:p w:rsidR="005871D8" w:rsidRPr="001521F8" w:rsidP="005871D8">
      <w:pPr>
        <w:tabs>
          <w:tab w:val="left" w:pos="6237"/>
        </w:tabs>
        <w:spacing w:after="0" w:line="240" w:lineRule="auto"/>
        <w:rPr>
          <w:rFonts w:ascii="Times New Roman" w:eastAsia="Calibri" w:hAnsi="Times New Roman" w:cs="Times New Roman"/>
          <w:sz w:val="24"/>
          <w:szCs w:val="24"/>
        </w:rPr>
      </w:pPr>
      <w:r w:rsidRPr="001521F8">
        <w:rPr>
          <w:rFonts w:ascii="Times New Roman" w:eastAsia="Calibri" w:hAnsi="Times New Roman" w:cs="Times New Roman"/>
          <w:sz w:val="24"/>
          <w:szCs w:val="24"/>
        </w:rPr>
        <w:t>Ozoliņa</w:t>
      </w:r>
      <w:r w:rsidRPr="001521F8">
        <w:rPr>
          <w:rFonts w:ascii="Times New Roman" w:eastAsia="Calibri" w:hAnsi="Times New Roman" w:cs="Times New Roman"/>
          <w:sz w:val="24"/>
          <w:szCs w:val="24"/>
        </w:rPr>
        <w:t xml:space="preserve"> </w:t>
      </w:r>
      <w:r w:rsidRPr="001521F8">
        <w:rPr>
          <w:rFonts w:ascii="Times New Roman" w:eastAsia="Times New Roman" w:hAnsi="Times New Roman" w:cs="Times New Roman"/>
          <w:sz w:val="24"/>
          <w:szCs w:val="24"/>
        </w:rPr>
        <w:t>67876</w:t>
      </w:r>
      <w:r w:rsidRPr="001521F8">
        <w:rPr>
          <w:rFonts w:ascii="Times New Roman" w:eastAsia="Times New Roman" w:hAnsi="Times New Roman" w:cs="Times New Roman"/>
          <w:sz w:val="24"/>
          <w:szCs w:val="24"/>
        </w:rPr>
        <w:t>087</w:t>
      </w:r>
    </w:p>
    <w:p w:rsidR="00894C55" w:rsidRPr="00894C55" w:rsidP="002E6234">
      <w:pPr>
        <w:tabs>
          <w:tab w:val="left" w:pos="6237"/>
        </w:tabs>
        <w:spacing w:after="0" w:line="240" w:lineRule="auto"/>
        <w:rPr>
          <w:rFonts w:ascii="Times New Roman" w:hAnsi="Times New Roman" w:cs="Times New Roman"/>
          <w:sz w:val="24"/>
          <w:szCs w:val="28"/>
        </w:rPr>
      </w:pPr>
      <w:r w:rsidRPr="001521F8">
        <w:rPr>
          <w:rFonts w:ascii="Times New Roman" w:eastAsia="Calibri" w:hAnsi="Times New Roman" w:cs="Times New Roman"/>
          <w:sz w:val="24"/>
          <w:szCs w:val="24"/>
        </w:rPr>
        <w:t>ruta.ozolina@vm.gov.lv</w:t>
      </w:r>
    </w:p>
    <w:sectPr w:rsidSect="005722BE">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99" w:rsidRPr="00484644" w:rsidP="00484644">
    <w:pPr>
      <w:pStyle w:val="Footer"/>
      <w:rPr>
        <w:rFonts w:ascii="Times New Roman" w:hAnsi="Times New Roman" w:cs="Times New Roman"/>
        <w:sz w:val="20"/>
        <w:szCs w:val="20"/>
      </w:rPr>
    </w:pPr>
    <w:r>
      <w:rPr>
        <w:rFonts w:ascii="Times New Roman" w:hAnsi="Times New Roman" w:cs="Times New Roman"/>
        <w:sz w:val="20"/>
        <w:szCs w:val="20"/>
      </w:rPr>
      <w:t>VManot_26</w:t>
    </w:r>
    <w:r w:rsidR="008E74FA">
      <w:rPr>
        <w:rFonts w:ascii="Times New Roman" w:hAnsi="Times New Roman" w:cs="Times New Roman"/>
        <w:sz w:val="20"/>
        <w:szCs w:val="20"/>
      </w:rPr>
      <w:t>07</w:t>
    </w:r>
    <w:r w:rsidR="002C23DC">
      <w:rPr>
        <w:rFonts w:ascii="Times New Roman" w:hAnsi="Times New Roman" w:cs="Times New Roman"/>
        <w:sz w:val="20"/>
        <w:szCs w:val="20"/>
      </w:rPr>
      <w:t>17</w:t>
    </w:r>
    <w:r w:rsidRPr="005E5000">
      <w:rPr>
        <w:rFonts w:ascii="Times New Roman" w:hAnsi="Times New Roman" w:cs="Times New Roman"/>
        <w:sz w:val="20"/>
        <w:szCs w:val="20"/>
      </w:rPr>
      <w:t>_</w:t>
    </w:r>
    <w:r w:rsidR="00687A91">
      <w:rPr>
        <w:rFonts w:ascii="Times New Roman" w:hAnsi="Times New Roman" w:cs="Times New Roman"/>
        <w:sz w:val="20"/>
        <w:szCs w:val="20"/>
      </w:rPr>
      <w:t>Arstn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99" w:rsidRPr="00845908" w:rsidP="00845908">
    <w:pPr>
      <w:pStyle w:val="Footer"/>
      <w:rPr>
        <w:rFonts w:ascii="Times New Roman" w:hAnsi="Times New Roman" w:cs="Times New Roman"/>
        <w:sz w:val="20"/>
        <w:szCs w:val="20"/>
      </w:rPr>
    </w:pPr>
    <w:r>
      <w:rPr>
        <w:rFonts w:ascii="Times New Roman" w:hAnsi="Times New Roman" w:cs="Times New Roman"/>
        <w:sz w:val="20"/>
        <w:szCs w:val="20"/>
      </w:rPr>
      <w:t>VManot_2</w:t>
    </w:r>
    <w:r w:rsidR="001C39AD">
      <w:rPr>
        <w:rFonts w:ascii="Times New Roman" w:hAnsi="Times New Roman" w:cs="Times New Roman"/>
        <w:sz w:val="20"/>
        <w:szCs w:val="20"/>
      </w:rPr>
      <w:t>6</w:t>
    </w:r>
    <w:r w:rsidR="008E74FA">
      <w:rPr>
        <w:rFonts w:ascii="Times New Roman" w:hAnsi="Times New Roman" w:cs="Times New Roman"/>
        <w:sz w:val="20"/>
        <w:szCs w:val="20"/>
      </w:rPr>
      <w:t>07</w:t>
    </w:r>
    <w:r w:rsidR="00845908">
      <w:rPr>
        <w:rFonts w:ascii="Times New Roman" w:hAnsi="Times New Roman" w:cs="Times New Roman"/>
        <w:sz w:val="20"/>
        <w:szCs w:val="20"/>
      </w:rPr>
      <w:t>17</w:t>
    </w:r>
    <w:r w:rsidRPr="005E5000" w:rsidR="00845908">
      <w:rPr>
        <w:rFonts w:ascii="Times New Roman" w:hAnsi="Times New Roman" w:cs="Times New Roman"/>
        <w:sz w:val="20"/>
        <w:szCs w:val="20"/>
      </w:rPr>
      <w:t>_</w:t>
    </w:r>
    <w:r w:rsidR="00845908">
      <w:rPr>
        <w:rFonts w:ascii="Times New Roman" w:hAnsi="Times New Roman" w:cs="Times New Roman"/>
        <w:sz w:val="20"/>
        <w:szCs w:val="20"/>
      </w:rPr>
      <w:t>Arstn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6662431"/>
      <w:docPartObj>
        <w:docPartGallery w:val="Page Numbers (Top of Page)"/>
        <w:docPartUnique/>
      </w:docPartObj>
    </w:sdtPr>
    <w:sdtEndPr>
      <w:rPr>
        <w:rFonts w:ascii="Times New Roman" w:hAnsi="Times New Roman" w:cs="Times New Roman"/>
        <w:noProof/>
        <w:sz w:val="24"/>
        <w:szCs w:val="20"/>
      </w:rPr>
    </w:sdtEndPr>
    <w:sdtContent>
      <w:p w:rsidR="00514F99"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39A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D0215"/>
    <w:multiLevelType w:val="hybridMultilevel"/>
    <w:tmpl w:val="16D8D6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2285BC0"/>
    <w:multiLevelType w:val="multilevel"/>
    <w:tmpl w:val="437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759CA"/>
    <w:multiLevelType w:val="multilevel"/>
    <w:tmpl w:val="E8E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4223D"/>
    <w:multiLevelType w:val="multilevel"/>
    <w:tmpl w:val="7CA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601"/>
    <w:rsid w:val="00014AF9"/>
    <w:rsid w:val="00021999"/>
    <w:rsid w:val="00041279"/>
    <w:rsid w:val="0004771D"/>
    <w:rsid w:val="00050FE6"/>
    <w:rsid w:val="00073ED6"/>
    <w:rsid w:val="000A34ED"/>
    <w:rsid w:val="000C65A5"/>
    <w:rsid w:val="000E3632"/>
    <w:rsid w:val="000E5C68"/>
    <w:rsid w:val="000E7C04"/>
    <w:rsid w:val="000F0C3E"/>
    <w:rsid w:val="000F57C5"/>
    <w:rsid w:val="000F7A08"/>
    <w:rsid w:val="0010070E"/>
    <w:rsid w:val="00120341"/>
    <w:rsid w:val="00122E58"/>
    <w:rsid w:val="00124D2A"/>
    <w:rsid w:val="001330BA"/>
    <w:rsid w:val="00150CE8"/>
    <w:rsid w:val="001521F8"/>
    <w:rsid w:val="0017321F"/>
    <w:rsid w:val="00173453"/>
    <w:rsid w:val="00186A6A"/>
    <w:rsid w:val="001B10D9"/>
    <w:rsid w:val="001C39AD"/>
    <w:rsid w:val="001E064F"/>
    <w:rsid w:val="001E79E4"/>
    <w:rsid w:val="001F54D6"/>
    <w:rsid w:val="00243426"/>
    <w:rsid w:val="00262597"/>
    <w:rsid w:val="002707FD"/>
    <w:rsid w:val="00273082"/>
    <w:rsid w:val="00276692"/>
    <w:rsid w:val="002771C5"/>
    <w:rsid w:val="0029670D"/>
    <w:rsid w:val="002B754B"/>
    <w:rsid w:val="002C23DC"/>
    <w:rsid w:val="002C48C8"/>
    <w:rsid w:val="002C4C12"/>
    <w:rsid w:val="002C5EB2"/>
    <w:rsid w:val="002C6683"/>
    <w:rsid w:val="002E6234"/>
    <w:rsid w:val="00305444"/>
    <w:rsid w:val="0033084C"/>
    <w:rsid w:val="00334EF9"/>
    <w:rsid w:val="00397F20"/>
    <w:rsid w:val="003A19F1"/>
    <w:rsid w:val="003A3ED0"/>
    <w:rsid w:val="003B0BF9"/>
    <w:rsid w:val="003C5376"/>
    <w:rsid w:val="003D7FAC"/>
    <w:rsid w:val="003E0791"/>
    <w:rsid w:val="003E0E29"/>
    <w:rsid w:val="003E15D7"/>
    <w:rsid w:val="003E25C6"/>
    <w:rsid w:val="003E3219"/>
    <w:rsid w:val="003E6E1B"/>
    <w:rsid w:val="003F27C8"/>
    <w:rsid w:val="003F28AC"/>
    <w:rsid w:val="004100A1"/>
    <w:rsid w:val="00420AE5"/>
    <w:rsid w:val="004454FE"/>
    <w:rsid w:val="00446CD9"/>
    <w:rsid w:val="00453FBF"/>
    <w:rsid w:val="004646C7"/>
    <w:rsid w:val="00464A51"/>
    <w:rsid w:val="00471F27"/>
    <w:rsid w:val="004767A6"/>
    <w:rsid w:val="00484644"/>
    <w:rsid w:val="00486BF7"/>
    <w:rsid w:val="004877DD"/>
    <w:rsid w:val="004E4A3B"/>
    <w:rsid w:val="004F72F6"/>
    <w:rsid w:val="00500D8D"/>
    <w:rsid w:val="0050178F"/>
    <w:rsid w:val="00506906"/>
    <w:rsid w:val="0050692D"/>
    <w:rsid w:val="0051085D"/>
    <w:rsid w:val="00514F99"/>
    <w:rsid w:val="00544621"/>
    <w:rsid w:val="00552AB6"/>
    <w:rsid w:val="00553761"/>
    <w:rsid w:val="00557E31"/>
    <w:rsid w:val="005722BE"/>
    <w:rsid w:val="00573C8C"/>
    <w:rsid w:val="005821A7"/>
    <w:rsid w:val="00582B60"/>
    <w:rsid w:val="005871D8"/>
    <w:rsid w:val="005B2CF1"/>
    <w:rsid w:val="005D2713"/>
    <w:rsid w:val="005E5000"/>
    <w:rsid w:val="005F7CA8"/>
    <w:rsid w:val="00600FDD"/>
    <w:rsid w:val="00601E15"/>
    <w:rsid w:val="006265F9"/>
    <w:rsid w:val="00640DAB"/>
    <w:rsid w:val="00653443"/>
    <w:rsid w:val="00660C68"/>
    <w:rsid w:val="006630DC"/>
    <w:rsid w:val="00672809"/>
    <w:rsid w:val="00672BCC"/>
    <w:rsid w:val="00677E81"/>
    <w:rsid w:val="006819EF"/>
    <w:rsid w:val="00687A91"/>
    <w:rsid w:val="006B1EBE"/>
    <w:rsid w:val="006B2958"/>
    <w:rsid w:val="006E1081"/>
    <w:rsid w:val="006E6B47"/>
    <w:rsid w:val="006F593B"/>
    <w:rsid w:val="006F7443"/>
    <w:rsid w:val="00716441"/>
    <w:rsid w:val="00720585"/>
    <w:rsid w:val="00734167"/>
    <w:rsid w:val="00771A3E"/>
    <w:rsid w:val="00772A49"/>
    <w:rsid w:val="00773AF6"/>
    <w:rsid w:val="007A269F"/>
    <w:rsid w:val="007B0BE1"/>
    <w:rsid w:val="007B77FB"/>
    <w:rsid w:val="007E1E02"/>
    <w:rsid w:val="007E300B"/>
    <w:rsid w:val="0081533D"/>
    <w:rsid w:val="00815BDE"/>
    <w:rsid w:val="008160C1"/>
    <w:rsid w:val="0081666B"/>
    <w:rsid w:val="00816C11"/>
    <w:rsid w:val="008367D6"/>
    <w:rsid w:val="0084105B"/>
    <w:rsid w:val="00845908"/>
    <w:rsid w:val="00854F85"/>
    <w:rsid w:val="008564F1"/>
    <w:rsid w:val="008633FD"/>
    <w:rsid w:val="00863C7D"/>
    <w:rsid w:val="00867BFA"/>
    <w:rsid w:val="00874C11"/>
    <w:rsid w:val="00875169"/>
    <w:rsid w:val="00876BB6"/>
    <w:rsid w:val="00886A90"/>
    <w:rsid w:val="008908DE"/>
    <w:rsid w:val="00894C55"/>
    <w:rsid w:val="008A3261"/>
    <w:rsid w:val="008B4615"/>
    <w:rsid w:val="008C0BA5"/>
    <w:rsid w:val="008C0BE1"/>
    <w:rsid w:val="008C77B9"/>
    <w:rsid w:val="008E74FA"/>
    <w:rsid w:val="0092550A"/>
    <w:rsid w:val="0093796E"/>
    <w:rsid w:val="009408CB"/>
    <w:rsid w:val="00964187"/>
    <w:rsid w:val="00975ECF"/>
    <w:rsid w:val="00981B41"/>
    <w:rsid w:val="00983418"/>
    <w:rsid w:val="00984763"/>
    <w:rsid w:val="009A07CE"/>
    <w:rsid w:val="009B455C"/>
    <w:rsid w:val="009C3742"/>
    <w:rsid w:val="009E37F3"/>
    <w:rsid w:val="00A0039D"/>
    <w:rsid w:val="00A01DEF"/>
    <w:rsid w:val="00A27039"/>
    <w:rsid w:val="00A27A84"/>
    <w:rsid w:val="00A32294"/>
    <w:rsid w:val="00A330C7"/>
    <w:rsid w:val="00A42C30"/>
    <w:rsid w:val="00A51061"/>
    <w:rsid w:val="00A57BB0"/>
    <w:rsid w:val="00A617A7"/>
    <w:rsid w:val="00A77037"/>
    <w:rsid w:val="00A8166A"/>
    <w:rsid w:val="00A859B1"/>
    <w:rsid w:val="00AB5478"/>
    <w:rsid w:val="00AD668A"/>
    <w:rsid w:val="00AE1B31"/>
    <w:rsid w:val="00AE5567"/>
    <w:rsid w:val="00AF15C0"/>
    <w:rsid w:val="00AF7BFE"/>
    <w:rsid w:val="00B2165C"/>
    <w:rsid w:val="00B25A2A"/>
    <w:rsid w:val="00B41DEB"/>
    <w:rsid w:val="00B47867"/>
    <w:rsid w:val="00B66F26"/>
    <w:rsid w:val="00B769C0"/>
    <w:rsid w:val="00B85CB1"/>
    <w:rsid w:val="00BA6359"/>
    <w:rsid w:val="00BA6DE4"/>
    <w:rsid w:val="00BB03C9"/>
    <w:rsid w:val="00BC2C33"/>
    <w:rsid w:val="00BD4425"/>
    <w:rsid w:val="00BE55CB"/>
    <w:rsid w:val="00BF695E"/>
    <w:rsid w:val="00C01D52"/>
    <w:rsid w:val="00C25B49"/>
    <w:rsid w:val="00C33E30"/>
    <w:rsid w:val="00C50239"/>
    <w:rsid w:val="00C503F3"/>
    <w:rsid w:val="00C537CD"/>
    <w:rsid w:val="00C53BBE"/>
    <w:rsid w:val="00C75F66"/>
    <w:rsid w:val="00C76ED0"/>
    <w:rsid w:val="00C80902"/>
    <w:rsid w:val="00C847AE"/>
    <w:rsid w:val="00CA2B9F"/>
    <w:rsid w:val="00CC0DFE"/>
    <w:rsid w:val="00CE5657"/>
    <w:rsid w:val="00CF220A"/>
    <w:rsid w:val="00D034F0"/>
    <w:rsid w:val="00D26DEB"/>
    <w:rsid w:val="00D47306"/>
    <w:rsid w:val="00D62D54"/>
    <w:rsid w:val="00D74CEB"/>
    <w:rsid w:val="00D8723A"/>
    <w:rsid w:val="00DA6078"/>
    <w:rsid w:val="00DA6B42"/>
    <w:rsid w:val="00DB038B"/>
    <w:rsid w:val="00DB7FD5"/>
    <w:rsid w:val="00DC06CE"/>
    <w:rsid w:val="00DC2949"/>
    <w:rsid w:val="00E02FA3"/>
    <w:rsid w:val="00E17DF8"/>
    <w:rsid w:val="00E235A3"/>
    <w:rsid w:val="00E24A60"/>
    <w:rsid w:val="00E4016E"/>
    <w:rsid w:val="00E5687B"/>
    <w:rsid w:val="00E63706"/>
    <w:rsid w:val="00E70F20"/>
    <w:rsid w:val="00E7471E"/>
    <w:rsid w:val="00E90C01"/>
    <w:rsid w:val="00E920CD"/>
    <w:rsid w:val="00E92DA2"/>
    <w:rsid w:val="00EA486E"/>
    <w:rsid w:val="00EB0A98"/>
    <w:rsid w:val="00EC0158"/>
    <w:rsid w:val="00EE77BF"/>
    <w:rsid w:val="00F32503"/>
    <w:rsid w:val="00F34891"/>
    <w:rsid w:val="00F368CA"/>
    <w:rsid w:val="00F47682"/>
    <w:rsid w:val="00F54F49"/>
    <w:rsid w:val="00F57B0C"/>
    <w:rsid w:val="00F674E7"/>
    <w:rsid w:val="00F67D38"/>
    <w:rsid w:val="00F7136B"/>
    <w:rsid w:val="00F729BB"/>
    <w:rsid w:val="00F76A51"/>
    <w:rsid w:val="00F86780"/>
    <w:rsid w:val="00F879F6"/>
    <w:rsid w:val="00F94A00"/>
    <w:rsid w:val="00FA70E0"/>
    <w:rsid w:val="00FB4F6F"/>
    <w:rsid w:val="00FC74DA"/>
    <w:rsid w:val="00FD0ED2"/>
    <w:rsid w:val="00FF708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C0BA5"/>
    <w:pPr>
      <w:spacing w:after="200" w:line="276" w:lineRule="auto"/>
      <w:ind w:left="720"/>
      <w:contextualSpacing/>
    </w:pPr>
    <w:rPr>
      <w:rFonts w:ascii="Calibri" w:eastAsia="Times New Roman" w:hAnsi="Calibri" w:cs="Times New Roman"/>
      <w:lang w:eastAsia="lv-LV"/>
    </w:rPr>
  </w:style>
  <w:style w:type="paragraph" w:customStyle="1" w:styleId="tv213">
    <w:name w:val="tv213"/>
    <w:basedOn w:val="Normal"/>
    <w:rsid w:val="003A19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E7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4FA"/>
    <w:rPr>
      <w:sz w:val="20"/>
      <w:szCs w:val="20"/>
    </w:rPr>
  </w:style>
  <w:style w:type="character" w:styleId="FootnoteReference">
    <w:name w:val="footnote reference"/>
    <w:basedOn w:val="DefaultParagraphFont"/>
    <w:uiPriority w:val="99"/>
    <w:semiHidden/>
    <w:unhideWhenUsed/>
    <w:rsid w:val="008E7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1BE9-9030-4DAF-97BA-0B07B04B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5200</Words>
  <Characters>2965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”Noteikumi par tiesai sniedzamās informācijas saturu un apjomu par personu, kurai kriminālprocesā noteikts medicīniska rakstura piespiedu līdzeklis, no kura persona izvairās vai nepilda tā nosacījumus” sākotnējās ietek</vt:lpstr>
    </vt:vector>
  </TitlesOfParts>
  <Company>Veselības ministrija</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tiesai sniedzamās informācijas saturu un apjomu par personu, kurai kriminālprocesā noteikts medicīniska rakstura piespiedu līdzeklis, no kura persona izvairās vai nepilda tā nosacījumus” sākotnējās ietekmes novērtējuma ziņojums (anotācija)</dc:title>
  <dc:subject>Anotācija</dc:subject>
  <dc:creator>Rūta Ozoliņa</dc:creator>
  <dc:description>67876087, ruta.ozolina@vm.gov.lv</dc:description>
  <cp:lastModifiedBy>Rūta Ozoliņa</cp:lastModifiedBy>
  <cp:revision>24</cp:revision>
  <cp:lastPrinted>2017-03-21T06:38:00Z</cp:lastPrinted>
  <dcterms:created xsi:type="dcterms:W3CDTF">2017-03-20T09:32:00Z</dcterms:created>
  <dcterms:modified xsi:type="dcterms:W3CDTF">2017-07-26T07:33:00Z</dcterms:modified>
</cp:coreProperties>
</file>