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16DC3" w:rsidRPr="00696C9A" w:rsidP="00696C9A">
      <w:pPr>
        <w:spacing w:after="0"/>
        <w:jc w:val="center"/>
        <w:rPr>
          <w:rFonts w:ascii="Times New Roman" w:hAnsi="Times New Roman" w:cs="Times New Roman"/>
          <w:b/>
          <w:sz w:val="28"/>
          <w:szCs w:val="28"/>
        </w:rPr>
      </w:pPr>
      <w:r>
        <w:rPr>
          <w:rFonts w:ascii="Times New Roman" w:hAnsi="Times New Roman" w:cs="Times New Roman"/>
          <w:b/>
          <w:sz w:val="28"/>
          <w:szCs w:val="28"/>
        </w:rPr>
        <w:t>Informatīvais ziņojums “</w:t>
      </w:r>
      <w:r w:rsidRPr="00696C9A">
        <w:rPr>
          <w:rFonts w:ascii="Times New Roman" w:hAnsi="Times New Roman" w:cs="Times New Roman"/>
          <w:b/>
          <w:sz w:val="28"/>
          <w:szCs w:val="28"/>
        </w:rPr>
        <w:t>Par iespēju organizēt centralizētos iepirkumus zāļu iegādei valsts ārstniecības iestādēs”</w:t>
      </w:r>
    </w:p>
    <w:p w:rsidR="00B16DC3" w:rsidRPr="00696C9A" w:rsidP="00696C9A">
      <w:pPr>
        <w:autoSpaceDE w:val="0"/>
        <w:autoSpaceDN w:val="0"/>
        <w:adjustRightInd w:val="0"/>
        <w:spacing w:after="0"/>
        <w:jc w:val="both"/>
        <w:rPr>
          <w:rFonts w:ascii="Times New Roman" w:hAnsi="Times New Roman" w:cs="Times New Roman"/>
          <w:color w:val="000000"/>
          <w:sz w:val="28"/>
          <w:szCs w:val="28"/>
        </w:rPr>
      </w:pPr>
    </w:p>
    <w:p w:rsidR="00B16DC3" w:rsidRPr="00696C9A" w:rsidP="00696C9A">
      <w:pPr>
        <w:autoSpaceDE w:val="0"/>
        <w:autoSpaceDN w:val="0"/>
        <w:adjustRightInd w:val="0"/>
        <w:spacing w:after="0"/>
        <w:ind w:firstLine="709"/>
        <w:jc w:val="both"/>
        <w:rPr>
          <w:rFonts w:ascii="Times New Roman" w:hAnsi="Times New Roman" w:cs="Times New Roman"/>
          <w:color w:val="000000"/>
          <w:sz w:val="28"/>
          <w:szCs w:val="28"/>
        </w:rPr>
      </w:pPr>
      <w:r w:rsidRPr="00696C9A">
        <w:rPr>
          <w:rFonts w:ascii="Times New Roman" w:hAnsi="Times New Roman" w:cs="Times New Roman"/>
          <w:color w:val="000000"/>
          <w:sz w:val="28"/>
          <w:szCs w:val="28"/>
        </w:rPr>
        <w:t>Veselības ministrija, pamatojoties uz 2017.gada 22.augusta Ministru kabineta sēdē doto uzdevumu (protokols Nr.40, 43</w:t>
      </w:r>
      <w:bookmarkStart w:id="0" w:name="1"/>
      <w:r w:rsidRPr="00696C9A">
        <w:rPr>
          <w:rFonts w:ascii="Times New Roman" w:eastAsia="Calibri" w:hAnsi="Times New Roman" w:cs="Times New Roman"/>
          <w:b/>
          <w:bCs/>
          <w:color w:val="A0A0A0"/>
          <w:sz w:val="20"/>
          <w:szCs w:val="20"/>
          <w:shd w:val="clear" w:color="auto" w:fill="FFFFFF"/>
        </w:rPr>
        <w:t xml:space="preserve"> </w:t>
      </w:r>
      <w:r w:rsidRPr="00696C9A">
        <w:rPr>
          <w:rFonts w:ascii="Times New Roman" w:eastAsia="Calibri" w:hAnsi="Times New Roman" w:cs="Times New Roman"/>
          <w:bCs/>
          <w:sz w:val="28"/>
          <w:szCs w:val="28"/>
          <w:shd w:val="clear" w:color="auto" w:fill="FFFFFF"/>
        </w:rPr>
        <w:t>§</w:t>
      </w:r>
      <w:bookmarkEnd w:id="0"/>
      <w:r w:rsidRPr="00696C9A">
        <w:rPr>
          <w:rFonts w:ascii="Times New Roman" w:eastAsia="Calibri" w:hAnsi="Times New Roman" w:cs="Times New Roman"/>
          <w:bCs/>
          <w:sz w:val="28"/>
          <w:szCs w:val="28"/>
          <w:shd w:val="clear" w:color="auto" w:fill="FFFFFF"/>
        </w:rPr>
        <w:t>,</w:t>
      </w:r>
      <w:r w:rsidRPr="00696C9A">
        <w:rPr>
          <w:rFonts w:ascii="Times New Roman" w:hAnsi="Times New Roman" w:cs="Times New Roman"/>
          <w:color w:val="000000"/>
          <w:sz w:val="28"/>
          <w:szCs w:val="28"/>
        </w:rPr>
        <w:t xml:space="preserve"> 28.punkts), sadarbībā ar Nacionālo veselības dienestu sagatavojusi izvērtējumu par iespēju organizēt centralizētos iepirkumus zāļu iegādei valsts ārstniecības iestādēs.</w:t>
      </w:r>
    </w:p>
    <w:p w:rsidR="00B16DC3" w:rsidRPr="00696C9A" w:rsidP="00696C9A">
      <w:pPr>
        <w:autoSpaceDE w:val="0"/>
        <w:autoSpaceDN w:val="0"/>
        <w:adjustRightInd w:val="0"/>
        <w:spacing w:after="0"/>
        <w:ind w:firstLine="360"/>
        <w:jc w:val="both"/>
        <w:rPr>
          <w:rFonts w:ascii="Times New Roman" w:hAnsi="Times New Roman" w:cs="Times New Roman"/>
          <w:bCs/>
          <w:color w:val="000000"/>
          <w:sz w:val="28"/>
          <w:szCs w:val="28"/>
        </w:rPr>
      </w:pPr>
    </w:p>
    <w:p w:rsidR="00B16DC3" w:rsidRPr="00696C9A" w:rsidP="00696C9A">
      <w:pPr>
        <w:pStyle w:val="ListParagraph"/>
        <w:numPr>
          <w:ilvl w:val="0"/>
          <w:numId w:val="1"/>
        </w:numPr>
        <w:spacing w:line="276" w:lineRule="auto"/>
        <w:jc w:val="center"/>
        <w:rPr>
          <w:b/>
          <w:sz w:val="28"/>
          <w:szCs w:val="28"/>
          <w:u w:val="single"/>
        </w:rPr>
      </w:pPr>
      <w:r w:rsidRPr="00696C9A">
        <w:rPr>
          <w:b/>
          <w:sz w:val="28"/>
          <w:szCs w:val="28"/>
          <w:u w:val="single"/>
        </w:rPr>
        <w:t xml:space="preserve">Esošā situācija </w:t>
      </w:r>
      <w:r w:rsidRPr="00696C9A" w:rsidR="0026655B">
        <w:rPr>
          <w:b/>
          <w:sz w:val="28"/>
          <w:szCs w:val="28"/>
          <w:u w:val="single"/>
        </w:rPr>
        <w:t>zāļu nodrošinājumā</w:t>
      </w:r>
    </w:p>
    <w:p w:rsidR="00730AE5" w:rsidRPr="00696C9A" w:rsidP="00696C9A">
      <w:pPr>
        <w:ind w:left="360"/>
        <w:jc w:val="both"/>
        <w:rPr>
          <w:rFonts w:ascii="Times New Roman" w:hAnsi="Times New Roman" w:cs="Times New Roman"/>
          <w:b/>
          <w:sz w:val="28"/>
          <w:szCs w:val="28"/>
          <w:u w:val="single"/>
        </w:rPr>
      </w:pPr>
    </w:p>
    <w:p w:rsidR="00BA27CD"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Pašreiz zāļu iegāde tiek īstenota no šādām budžeta apakšprogrammām: </w:t>
      </w:r>
    </w:p>
    <w:p w:rsidR="00BA27CD" w:rsidRPr="00696C9A" w:rsidP="00696C9A">
      <w:pPr>
        <w:pStyle w:val="ListParagraph"/>
        <w:numPr>
          <w:ilvl w:val="0"/>
          <w:numId w:val="2"/>
        </w:numPr>
        <w:spacing w:line="276" w:lineRule="auto"/>
        <w:jc w:val="both"/>
        <w:rPr>
          <w:sz w:val="28"/>
          <w:szCs w:val="28"/>
        </w:rPr>
      </w:pPr>
      <w:r w:rsidRPr="00696C9A">
        <w:rPr>
          <w:sz w:val="28"/>
          <w:szCs w:val="28"/>
        </w:rPr>
        <w:t xml:space="preserve">33.03.00 “Kompensējamo medikamentu un materiālu apmaksāšana” – tiek apmaksātas ambulatorai ārstēšanai paredzētās zāles un medicīniskās ierīces, kas iekļautas kompensējamo zāļu sarakstā (A, B un C saraksts), M sarakstā, kā arī individuālās kompensācijas gadījumi. Kompensācijas kārtību nosaka MK 31.10.2006. noteikumi Nr.899 “Ambulatorajai ārstēšanai paredzēto zāļu un medicīnisko ierīču iegādes izdevumu kompensācijas kārtība”; </w:t>
      </w:r>
    </w:p>
    <w:p w:rsidR="00BA27CD" w:rsidRPr="00696C9A" w:rsidP="00696C9A">
      <w:pPr>
        <w:pStyle w:val="ListParagraph"/>
        <w:numPr>
          <w:ilvl w:val="0"/>
          <w:numId w:val="2"/>
        </w:numPr>
        <w:spacing w:line="276" w:lineRule="auto"/>
        <w:jc w:val="both"/>
        <w:rPr>
          <w:sz w:val="28"/>
          <w:szCs w:val="28"/>
        </w:rPr>
      </w:pPr>
      <w:r w:rsidRPr="00696C9A">
        <w:rPr>
          <w:sz w:val="28"/>
          <w:szCs w:val="28"/>
        </w:rPr>
        <w:t>33.04.00 “Centralizēta medikamentu un materiālu iegāde” – tiek iepirktas vakcīnas, kā arī imūnbioloģiskie preparāti;</w:t>
      </w:r>
    </w:p>
    <w:p w:rsidR="00BA27CD" w:rsidRPr="00696C9A" w:rsidP="00696C9A">
      <w:pPr>
        <w:pStyle w:val="ListParagraph"/>
        <w:numPr>
          <w:ilvl w:val="0"/>
          <w:numId w:val="2"/>
        </w:numPr>
        <w:spacing w:line="276" w:lineRule="auto"/>
        <w:jc w:val="both"/>
        <w:rPr>
          <w:sz w:val="28"/>
          <w:szCs w:val="28"/>
        </w:rPr>
      </w:pPr>
      <w:r w:rsidRPr="00696C9A">
        <w:rPr>
          <w:sz w:val="28"/>
          <w:szCs w:val="28"/>
        </w:rPr>
        <w:t>no programmām stacionārās aprūpes nodrošināšanai – ārstniecības iestādes iepērk zāles savas darbības nodrošināšanai.</w:t>
      </w:r>
    </w:p>
    <w:p w:rsidR="00BA27CD"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201</w:t>
      </w:r>
      <w:r>
        <w:rPr>
          <w:rFonts w:ascii="Times New Roman" w:hAnsi="Times New Roman" w:cs="Times New Roman"/>
          <w:sz w:val="28"/>
          <w:szCs w:val="28"/>
        </w:rPr>
        <w:t>7</w:t>
      </w:r>
      <w:r w:rsidRPr="00696C9A">
        <w:rPr>
          <w:rFonts w:ascii="Times New Roman" w:hAnsi="Times New Roman" w:cs="Times New Roman"/>
          <w:sz w:val="28"/>
          <w:szCs w:val="28"/>
        </w:rPr>
        <w:t xml:space="preserve">.gadā zāļu kompensācijas sistēmas (turpmāk – KZS) ietvaros </w:t>
      </w:r>
      <w:r>
        <w:rPr>
          <w:rFonts w:ascii="Times New Roman" w:hAnsi="Times New Roman" w:cs="Times New Roman"/>
          <w:sz w:val="28"/>
          <w:szCs w:val="28"/>
        </w:rPr>
        <w:t>plānots finansējums</w:t>
      </w:r>
      <w:r w:rsidRPr="00696C9A">
        <w:rPr>
          <w:rFonts w:ascii="Times New Roman" w:hAnsi="Times New Roman" w:cs="Times New Roman"/>
          <w:sz w:val="28"/>
          <w:szCs w:val="28"/>
        </w:rPr>
        <w:t xml:space="preserve"> </w:t>
      </w:r>
      <w:r>
        <w:rPr>
          <w:rFonts w:ascii="Times New Roman" w:hAnsi="Times New Roman" w:cs="Times New Roman"/>
          <w:sz w:val="28"/>
          <w:szCs w:val="28"/>
        </w:rPr>
        <w:t> 142,8</w:t>
      </w:r>
      <w:r w:rsidRPr="00696C9A">
        <w:rPr>
          <w:rFonts w:ascii="Times New Roman" w:hAnsi="Times New Roman" w:cs="Times New Roman"/>
          <w:sz w:val="28"/>
          <w:szCs w:val="28"/>
        </w:rPr>
        <w:t xml:space="preserve"> miljon</w:t>
      </w:r>
      <w:r>
        <w:rPr>
          <w:rFonts w:ascii="Times New Roman" w:hAnsi="Times New Roman" w:cs="Times New Roman"/>
          <w:sz w:val="28"/>
          <w:szCs w:val="28"/>
        </w:rPr>
        <w:t>i</w:t>
      </w:r>
      <w:r w:rsidRPr="00696C9A">
        <w:rPr>
          <w:rFonts w:ascii="Times New Roman" w:hAnsi="Times New Roman" w:cs="Times New Roman"/>
          <w:sz w:val="28"/>
          <w:szCs w:val="28"/>
        </w:rPr>
        <w:t xml:space="preserve"> </w:t>
      </w:r>
      <w:r w:rsidRPr="00696C9A">
        <w:rPr>
          <w:rFonts w:ascii="Times New Roman" w:hAnsi="Times New Roman" w:cs="Times New Roman"/>
          <w:sz w:val="28"/>
          <w:szCs w:val="28"/>
        </w:rPr>
        <w:t xml:space="preserve">eiro apmērā, </w:t>
      </w:r>
      <w:r>
        <w:rPr>
          <w:rFonts w:ascii="Times New Roman" w:hAnsi="Times New Roman" w:cs="Times New Roman"/>
          <w:sz w:val="28"/>
          <w:szCs w:val="28"/>
        </w:rPr>
        <w:t>centralizēto medikamentu iepirkšanai</w:t>
      </w:r>
      <w:r w:rsidRPr="00696C9A">
        <w:rPr>
          <w:rFonts w:ascii="Times New Roman" w:hAnsi="Times New Roman" w:cs="Times New Roman"/>
          <w:sz w:val="28"/>
          <w:szCs w:val="28"/>
        </w:rPr>
        <w:t xml:space="preserve"> </w:t>
      </w:r>
      <w:r>
        <w:rPr>
          <w:rFonts w:ascii="Times New Roman" w:hAnsi="Times New Roman" w:cs="Times New Roman"/>
          <w:sz w:val="28"/>
          <w:szCs w:val="28"/>
        </w:rPr>
        <w:t>11,5</w:t>
      </w:r>
      <w:r w:rsidRPr="00696C9A">
        <w:rPr>
          <w:rFonts w:ascii="Times New Roman" w:hAnsi="Times New Roman" w:cs="Times New Roman"/>
          <w:sz w:val="28"/>
          <w:szCs w:val="28"/>
        </w:rPr>
        <w:t xml:space="preserve"> miljoni eiro, bet slimnīcas </w:t>
      </w:r>
      <w:r>
        <w:rPr>
          <w:rFonts w:ascii="Times New Roman" w:hAnsi="Times New Roman" w:cs="Times New Roman"/>
          <w:sz w:val="28"/>
          <w:szCs w:val="28"/>
        </w:rPr>
        <w:t xml:space="preserve">2016.gadā </w:t>
      </w:r>
      <w:r w:rsidRPr="00696C9A">
        <w:rPr>
          <w:rFonts w:ascii="Times New Roman" w:hAnsi="Times New Roman" w:cs="Times New Roman"/>
          <w:sz w:val="28"/>
          <w:szCs w:val="28"/>
        </w:rPr>
        <w:t xml:space="preserve">iepirkušas zāles </w:t>
      </w:r>
      <w:r w:rsidRPr="00AF5AC0">
        <w:rPr>
          <w:rFonts w:ascii="Times New Roman" w:hAnsi="Times New Roman" w:cs="Times New Roman"/>
          <w:sz w:val="28"/>
          <w:szCs w:val="28"/>
        </w:rPr>
        <w:t>par 45</w:t>
      </w:r>
      <w:r w:rsidRPr="00696C9A">
        <w:rPr>
          <w:rFonts w:ascii="Times New Roman" w:hAnsi="Times New Roman" w:cs="Times New Roman"/>
          <w:sz w:val="28"/>
          <w:szCs w:val="28"/>
        </w:rPr>
        <w:t xml:space="preserve"> miljoniem eiro</w:t>
      </w:r>
      <w:r w:rsidRPr="00696C9A">
        <w:rPr>
          <w:rFonts w:ascii="Times New Roman" w:hAnsi="Times New Roman" w:cs="Times New Roman"/>
          <w:sz w:val="28"/>
          <w:szCs w:val="28"/>
        </w:rPr>
        <w:t>.</w:t>
      </w:r>
    </w:p>
    <w:p w:rsidR="00730AE5" w:rsidRPr="00696C9A" w:rsidP="00696C9A">
      <w:pPr>
        <w:spacing w:after="0"/>
        <w:ind w:firstLine="709"/>
        <w:jc w:val="both"/>
        <w:rPr>
          <w:rFonts w:ascii="Times New Roman" w:eastAsia="Calibri" w:hAnsi="Times New Roman" w:cs="Times New Roman"/>
          <w:sz w:val="28"/>
          <w:szCs w:val="28"/>
        </w:rPr>
      </w:pPr>
      <w:r w:rsidRPr="00696C9A">
        <w:rPr>
          <w:rFonts w:ascii="Times New Roman" w:hAnsi="Times New Roman" w:cs="Times New Roman"/>
          <w:sz w:val="28"/>
          <w:szCs w:val="28"/>
        </w:rPr>
        <w:t>Jau šobrīd medikamentus ir iespējams iegādāties arī Elektronisko iepirkumu sistēmā (turpmāk – EIS).</w:t>
      </w:r>
      <w:r w:rsidRPr="00696C9A">
        <w:rPr>
          <w:rFonts w:ascii="Times New Roman" w:eastAsia="Times New Roman" w:hAnsi="Times New Roman" w:cs="Times New Roman"/>
          <w:sz w:val="28"/>
          <w:szCs w:val="28"/>
        </w:rPr>
        <w:t xml:space="preserve"> Valsts reģionālās</w:t>
      </w:r>
      <w:r w:rsidR="004C2738">
        <w:rPr>
          <w:rFonts w:ascii="Times New Roman" w:hAnsi="Times New Roman" w:cs="Times New Roman"/>
          <w:sz w:val="28"/>
          <w:szCs w:val="28"/>
        </w:rPr>
        <w:t xml:space="preserve"> attīstības aģentūra</w:t>
      </w:r>
      <w:r w:rsidRPr="00696C9A">
        <w:rPr>
          <w:rFonts w:ascii="Times New Roman" w:eastAsia="Calibri" w:hAnsi="Times New Roman" w:cs="Times New Roman"/>
          <w:sz w:val="28"/>
          <w:szCs w:val="28"/>
        </w:rPr>
        <w:t xml:space="preserve"> tās uzturētajā EIS līdz šim ir attīstījusi un uztur šādus veselības aprūpes nozares e-katalogus:  </w:t>
      </w:r>
    </w:p>
    <w:p w:rsidR="00730AE5" w:rsidRPr="00696C9A" w:rsidP="00696C9A">
      <w:pPr>
        <w:widowControl w:val="0"/>
        <w:numPr>
          <w:ilvl w:val="0"/>
          <w:numId w:val="3"/>
        </w:numPr>
        <w:spacing w:after="0"/>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 xml:space="preserve">Medikamenti (nereģistrēti zāļu reģistrā) </w:t>
      </w:r>
      <w:r>
        <w:fldChar w:fldCharType="begin"/>
      </w:r>
      <w:r>
        <w:instrText xml:space="preserve"> HYPERLINK "https://www.eis.gov.lv/EIS/Categories/CategoryList.aspx?CategoryId=10687" </w:instrText>
      </w:r>
      <w:r>
        <w:fldChar w:fldCharType="separate"/>
      </w:r>
      <w:r w:rsidRPr="00696C9A">
        <w:rPr>
          <w:rFonts w:ascii="Times New Roman" w:eastAsia="Calibri" w:hAnsi="Times New Roman" w:cs="Times New Roman"/>
          <w:sz w:val="28"/>
          <w:szCs w:val="28"/>
        </w:rPr>
        <w:t>Nr. CI94N</w:t>
      </w:r>
      <w:r>
        <w:fldChar w:fldCharType="end"/>
      </w:r>
      <w:r w:rsidRPr="00696C9A">
        <w:rPr>
          <w:rFonts w:ascii="Times New Roman" w:eastAsia="Calibri" w:hAnsi="Times New Roman" w:cs="Times New Roman"/>
          <w:sz w:val="28"/>
          <w:szCs w:val="28"/>
        </w:rPr>
        <w:t>, ar preču grupām</w:t>
      </w:r>
      <w:r>
        <w:rPr>
          <w:rFonts w:ascii="Times New Roman" w:eastAsia="Calibri" w:hAnsi="Times New Roman" w:cs="Times New Roman"/>
          <w:sz w:val="28"/>
          <w:szCs w:val="28"/>
          <w:vertAlign w:val="superscript"/>
        </w:rPr>
        <w:footnoteReference w:id="2"/>
      </w:r>
      <w:r w:rsidRPr="00696C9A">
        <w:rPr>
          <w:rFonts w:ascii="Times New Roman" w:eastAsia="Calibri" w:hAnsi="Times New Roman" w:cs="Times New Roman"/>
          <w:sz w:val="28"/>
          <w:szCs w:val="28"/>
        </w:rPr>
        <w:t>:</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CI94N.1 A-Gastrointestinālais trakts un vielmaiņa;</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CI94N.2 B-Asinis un asinsrades orgāni;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CI94N.3 C-Kardiovaskulārā sistēma;</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CI94N.4 G-Uroģenitālā sistēma un dzimumhormoni;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CI94N.5 J-Pretinfekciju medikamenti;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CI94N.6 L-Pretaudzēju un imūnsistēmu ietekmējoši līdzekļi;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CI94N.7 M-Muskuļu un skeleta sistēmas ārstniecības līdzekļi;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CI94N.8 N-Nervu sistēma;</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CI94N.9 R-Elpošanas sistēma;</w:t>
      </w:r>
    </w:p>
    <w:p w:rsidR="00730AE5" w:rsidRPr="00696C9A" w:rsidP="00696C9A">
      <w:pPr>
        <w:widowControl w:val="0"/>
        <w:numPr>
          <w:ilvl w:val="0"/>
          <w:numId w:val="3"/>
        </w:numPr>
        <w:spacing w:after="0"/>
        <w:ind w:left="1015" w:hanging="357"/>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 xml:space="preserve">Medikamenti (reģistrēti zāļu reģistrā) </w:t>
      </w:r>
      <w:r>
        <w:fldChar w:fldCharType="begin"/>
      </w:r>
      <w:r>
        <w:instrText xml:space="preserve"> HYPERLINK "https://www.eis.gov.lv/EIS/Categories/CategoryList.aspx?CategoryId=10539" </w:instrText>
      </w:r>
      <w:r>
        <w:fldChar w:fldCharType="separate"/>
      </w:r>
      <w:r w:rsidRPr="00696C9A">
        <w:rPr>
          <w:rFonts w:ascii="Times New Roman" w:eastAsia="Calibri" w:hAnsi="Times New Roman" w:cs="Times New Roman"/>
          <w:sz w:val="28"/>
          <w:szCs w:val="28"/>
        </w:rPr>
        <w:t>Nr. CI94R</w:t>
      </w:r>
      <w:r>
        <w:fldChar w:fldCharType="end"/>
      </w:r>
      <w:r w:rsidRPr="00696C9A">
        <w:rPr>
          <w:rFonts w:ascii="Times New Roman" w:eastAsia="Calibri" w:hAnsi="Times New Roman" w:cs="Times New Roman"/>
          <w:sz w:val="28"/>
          <w:szCs w:val="28"/>
        </w:rPr>
        <w:t>, ar preču grupām</w:t>
      </w:r>
      <w:r w:rsidRPr="00696C9A">
        <w:rPr>
          <w:rFonts w:ascii="Times New Roman" w:eastAsia="Calibri" w:hAnsi="Times New Roman" w:cs="Times New Roman"/>
          <w:sz w:val="28"/>
          <w:szCs w:val="28"/>
          <w:vertAlign w:val="superscript"/>
        </w:rPr>
        <w:t>1</w:t>
      </w:r>
      <w:r w:rsidRPr="00696C9A">
        <w:rPr>
          <w:rFonts w:ascii="Times New Roman" w:eastAsia="Calibri" w:hAnsi="Times New Roman" w:cs="Times New Roman"/>
          <w:sz w:val="28"/>
          <w:szCs w:val="28"/>
        </w:rPr>
        <w:t>:</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CI94R.1 A-Gastrointestinālais trakts un vielmaiņa;</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CI94R.2 B-Asinis un asinsrades orgāni;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CI94R.3 C-Kardiovaskulārā sistēma;</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CI94R.4 D-Dermatoloģiski līdzekļi;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CI94R.5 G-Uroģenitālā sistēma un dzimumhormoni;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CI94R.6 H-Hormonus, izņemot dzimumhormonus un insulīnus, saturoši zāļu līdzekļi sistēmiskai lietošanai;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CI94R.7 J-Pretinfekciju medikamenti;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CI94R.8 L-Pretaudzēju un imūnsistēmu ietekmējoši līdzekļi;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CI94R.9 M-Muskuļu un skeleta sistēmas ārstniecības līdzekļi;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CI94R.10 N-Nervu sistēma;</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CI94R.11 P-Pretparazītu, insekticīdi līdzekļi un repelenti;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CI94R.12 R-Elpošanas sistēma;</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CI94R.13 S-Maņu orgāni;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CI94R.14 V-Dažādi līdzekļi;</w:t>
      </w:r>
    </w:p>
    <w:p w:rsidR="00730AE5" w:rsidRPr="00696C9A" w:rsidP="00696C9A">
      <w:pPr>
        <w:widowControl w:val="0"/>
        <w:numPr>
          <w:ilvl w:val="0"/>
          <w:numId w:val="3"/>
        </w:numPr>
        <w:spacing w:after="0"/>
        <w:ind w:left="1015" w:hanging="357"/>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 xml:space="preserve">Enterālās barošanas līdzekļi un aprīkojums </w:t>
      </w:r>
      <w:r>
        <w:fldChar w:fldCharType="begin"/>
      </w:r>
      <w:r>
        <w:instrText xml:space="preserve"> HYPERLINK "https://www.eis.gov.lv/EIS/Categories/CategoryList.aspx?CategoryId=11044" </w:instrText>
      </w:r>
      <w:r>
        <w:fldChar w:fldCharType="separate"/>
      </w:r>
      <w:r w:rsidRPr="00696C9A">
        <w:rPr>
          <w:rFonts w:ascii="Times New Roman" w:eastAsia="Calibri" w:hAnsi="Times New Roman" w:cs="Times New Roman"/>
          <w:sz w:val="28"/>
          <w:szCs w:val="28"/>
        </w:rPr>
        <w:t>Nr. CI94E</w:t>
      </w:r>
      <w:r>
        <w:fldChar w:fldCharType="end"/>
      </w:r>
      <w:r w:rsidRPr="00696C9A">
        <w:rPr>
          <w:rFonts w:ascii="Times New Roman" w:eastAsia="Calibri" w:hAnsi="Times New Roman" w:cs="Times New Roman"/>
          <w:sz w:val="28"/>
          <w:szCs w:val="28"/>
        </w:rPr>
        <w:t>, ar šādām preču grupām</w:t>
      </w:r>
      <w:r>
        <w:rPr>
          <w:rFonts w:ascii="Times New Roman" w:eastAsia="Calibri" w:hAnsi="Times New Roman" w:cs="Times New Roman"/>
          <w:sz w:val="28"/>
          <w:szCs w:val="28"/>
          <w:vertAlign w:val="superscript"/>
        </w:rPr>
        <w:footnoteReference w:id="3"/>
      </w:r>
      <w:r w:rsidRPr="00696C9A">
        <w:rPr>
          <w:rFonts w:ascii="Times New Roman" w:eastAsia="Calibri" w:hAnsi="Times New Roman" w:cs="Times New Roman"/>
          <w:sz w:val="28"/>
          <w:szCs w:val="28"/>
        </w:rPr>
        <w:t>:</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CI94E.1 Dzerami enterālās barošanas līdzekļi;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CI94E.2 Pulverveida enterālās barošanas līdzekļi;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CI94E.3 Dzerami un caur zondi ievadāmi enterālās barošanas līdzekļi;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CI94E.4 Caur zondi ievadāmi enterālās barošanas līdzekļi;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CI94E.5 Sistēmas un šļirces enterālās barošanas līdzekļu ievadīšanai;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CI94E.6 Nazo-gastrālās zondes;</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CI94E.7 Perkutānās endoskopiskās gastrostomijas (PEG) komplekti;</w:t>
      </w:r>
    </w:p>
    <w:p w:rsidR="00730AE5" w:rsidRPr="00696C9A" w:rsidP="00696C9A">
      <w:pPr>
        <w:widowControl w:val="0"/>
        <w:numPr>
          <w:ilvl w:val="1"/>
          <w:numId w:val="3"/>
        </w:numPr>
        <w:spacing w:after="0"/>
        <w:ind w:left="1650" w:hanging="62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CI94E.8 Gastrostomijas zondes;</w:t>
      </w:r>
    </w:p>
    <w:p w:rsidR="00730AE5" w:rsidRPr="00696C9A" w:rsidP="00696C9A">
      <w:pPr>
        <w:widowControl w:val="0"/>
        <w:numPr>
          <w:ilvl w:val="0"/>
          <w:numId w:val="3"/>
        </w:numPr>
        <w:spacing w:after="0"/>
        <w:ind w:left="1015" w:hanging="357"/>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 xml:space="preserve">Medicīnas preces </w:t>
      </w:r>
      <w:r>
        <w:fldChar w:fldCharType="begin"/>
      </w:r>
      <w:r>
        <w:instrText xml:space="preserve"> HYPERLINK "https://www.eis.gov.lv/EIS/Categories/CategoryList.aspx?CategoryId=9513" </w:instrText>
      </w:r>
      <w:r>
        <w:fldChar w:fldCharType="separate"/>
      </w:r>
      <w:r w:rsidRPr="00696C9A">
        <w:rPr>
          <w:rFonts w:ascii="Times New Roman" w:eastAsia="Calibri" w:hAnsi="Times New Roman" w:cs="Times New Roman"/>
          <w:sz w:val="28"/>
          <w:szCs w:val="28"/>
        </w:rPr>
        <w:t>Nr. CI91</w:t>
      </w:r>
      <w:r>
        <w:fldChar w:fldCharType="end"/>
      </w:r>
      <w:r w:rsidRPr="00696C9A">
        <w:rPr>
          <w:rFonts w:ascii="Times New Roman" w:eastAsia="Calibri" w:hAnsi="Times New Roman" w:cs="Times New Roman"/>
          <w:sz w:val="28"/>
          <w:szCs w:val="28"/>
        </w:rPr>
        <w:t>, ar šādām preču grupām:</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 Pārsēji, salvetes, saites, ģipša saites;</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CI91.2 Tamponi, hemostātiski sūkļi, vate, lignīns, pārklāji;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CI91.3 Sterilizācijas materiāli;</w:t>
      </w:r>
      <w:r>
        <w:rPr>
          <w:rFonts w:ascii="Times New Roman" w:eastAsia="Calibri" w:hAnsi="Times New Roman" w:cs="Times New Roman"/>
          <w:sz w:val="28"/>
          <w:szCs w:val="28"/>
          <w:vertAlign w:val="superscript"/>
        </w:rPr>
        <w:footnoteReference w:id="4"/>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CI91.4 Cimdi un to turētāji;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CI91.5 Cepures, maskas, aizsargbrilles, bahilas;</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CI91.6 Materiāli un to komplekti procedūrām un operācijām;</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CI91.7 Vēnu katetri;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CI91.8 Adatas un šļirces;</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CI91.9 Skābekļa maskas;</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CI91.10 Zondes, intubācijas caurules, urīnpūšļa katetri;</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CI91.11 Elektrodi;</w:t>
      </w:r>
      <w:r w:rsidRPr="00696C9A">
        <w:rPr>
          <w:rFonts w:ascii="Times New Roman" w:eastAsia="Calibri" w:hAnsi="Times New Roman" w:cs="Times New Roman"/>
          <w:sz w:val="28"/>
          <w:szCs w:val="28"/>
          <w:vertAlign w:val="superscript"/>
        </w:rPr>
        <w:t>3</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CI91.12 Ginekoloģiskie materiāli;</w:t>
      </w:r>
      <w:r w:rsidRPr="00696C9A">
        <w:rPr>
          <w:rFonts w:ascii="Times New Roman" w:eastAsia="Calibri" w:hAnsi="Times New Roman" w:cs="Times New Roman"/>
          <w:sz w:val="28"/>
          <w:szCs w:val="28"/>
          <w:vertAlign w:val="superscript"/>
        </w:rPr>
        <w:t>3</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CI91.13 Skalpeļi;</w:t>
      </w:r>
      <w:r w:rsidRPr="00696C9A">
        <w:rPr>
          <w:rFonts w:ascii="Times New Roman" w:eastAsia="Calibri" w:hAnsi="Times New Roman" w:cs="Times New Roman"/>
          <w:sz w:val="28"/>
          <w:szCs w:val="28"/>
          <w:vertAlign w:val="superscript"/>
        </w:rPr>
        <w:t>3</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CI91.14 Fonendoskopi;</w:t>
      </w:r>
      <w:r w:rsidRPr="00696C9A">
        <w:rPr>
          <w:rFonts w:ascii="Times New Roman" w:eastAsia="Calibri" w:hAnsi="Times New Roman" w:cs="Times New Roman"/>
          <w:sz w:val="28"/>
          <w:szCs w:val="28"/>
          <w:vertAlign w:val="superscript"/>
        </w:rPr>
        <w:t>3</w:t>
      </w:r>
    </w:p>
    <w:p w:rsidR="00730AE5" w:rsidRPr="00696C9A" w:rsidP="00696C9A">
      <w:pPr>
        <w:widowControl w:val="0"/>
        <w:numPr>
          <w:ilvl w:val="1"/>
          <w:numId w:val="3"/>
        </w:numPr>
        <w:spacing w:after="0"/>
        <w:ind w:left="1650" w:hanging="632"/>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CI91.15 Pacientu kopšanas materiāli.</w:t>
      </w:r>
    </w:p>
    <w:p w:rsidR="00730AE5" w:rsidRPr="00696C9A" w:rsidP="00696C9A">
      <w:pPr>
        <w:spacing w:after="0"/>
        <w:ind w:firstLine="709"/>
        <w:jc w:val="both"/>
        <w:rPr>
          <w:rFonts w:ascii="Times New Roman" w:eastAsia="Calibri" w:hAnsi="Times New Roman" w:cs="Times New Roman"/>
          <w:sz w:val="28"/>
          <w:szCs w:val="28"/>
        </w:rPr>
      </w:pPr>
      <w:r w:rsidRPr="00696C9A">
        <w:rPr>
          <w:rFonts w:ascii="Times New Roman" w:eastAsia="Calibri" w:hAnsi="Times New Roman" w:cs="Times New Roman"/>
          <w:sz w:val="28"/>
          <w:szCs w:val="28"/>
        </w:rPr>
        <w:t xml:space="preserve">Minētos katalogus izmanto 148 organizācijas, iegādājoties preces 2016.gada laikā par kopējo vērtību 4 997 365,92 </w:t>
      </w:r>
      <w:r w:rsidRPr="00696C9A" w:rsidR="00F231F8">
        <w:rPr>
          <w:rFonts w:ascii="Times New Roman" w:eastAsia="Calibri" w:hAnsi="Times New Roman" w:cs="Times New Roman"/>
          <w:i/>
          <w:sz w:val="28"/>
          <w:szCs w:val="28"/>
        </w:rPr>
        <w:t>euro</w:t>
      </w:r>
      <w:r w:rsidRPr="00696C9A">
        <w:rPr>
          <w:rFonts w:ascii="Times New Roman" w:eastAsia="Calibri" w:hAnsi="Times New Roman" w:cs="Times New Roman"/>
          <w:sz w:val="28"/>
          <w:szCs w:val="28"/>
        </w:rPr>
        <w:t xml:space="preserve">, tai skaitā medikamentu iegādei EIS izmanto 69 organizācijas ar kopējo piegādāto preču vērtību 2016.gadā 3 274 064,99 </w:t>
      </w:r>
      <w:r w:rsidRPr="00696C9A" w:rsidR="00F231F8">
        <w:rPr>
          <w:rFonts w:ascii="Times New Roman" w:eastAsia="Calibri" w:hAnsi="Times New Roman" w:cs="Times New Roman"/>
          <w:i/>
          <w:sz w:val="28"/>
          <w:szCs w:val="28"/>
        </w:rPr>
        <w:t>euro</w:t>
      </w:r>
      <w:r w:rsidRPr="00696C9A">
        <w:rPr>
          <w:rFonts w:ascii="Times New Roman" w:eastAsia="Calibri" w:hAnsi="Times New Roman" w:cs="Times New Roman"/>
          <w:sz w:val="28"/>
          <w:szCs w:val="28"/>
        </w:rPr>
        <w:t xml:space="preserve"> apmērā.</w:t>
      </w:r>
    </w:p>
    <w:p w:rsidR="00730AE5" w:rsidRPr="00696C9A" w:rsidP="00696C9A">
      <w:pPr>
        <w:spacing w:after="0"/>
        <w:ind w:firstLine="709"/>
        <w:jc w:val="both"/>
        <w:rPr>
          <w:rFonts w:ascii="Times New Roman" w:eastAsia="Calibri" w:hAnsi="Times New Roman" w:cs="Times New Roman"/>
          <w:color w:val="212121"/>
          <w:sz w:val="28"/>
          <w:szCs w:val="28"/>
          <w:shd w:val="clear" w:color="auto" w:fill="FFFFFF"/>
        </w:rPr>
      </w:pPr>
      <w:r w:rsidRPr="00696C9A">
        <w:rPr>
          <w:rFonts w:ascii="Times New Roman" w:eastAsia="Calibri" w:hAnsi="Times New Roman" w:cs="Times New Roman"/>
          <w:sz w:val="28"/>
          <w:szCs w:val="28"/>
        </w:rPr>
        <w:t xml:space="preserve">Izvērtējot </w:t>
      </w:r>
      <w:r w:rsidR="000D7A3B">
        <w:rPr>
          <w:rFonts w:ascii="Times New Roman" w:eastAsia="Calibri" w:hAnsi="Times New Roman" w:cs="Times New Roman"/>
          <w:sz w:val="28"/>
          <w:szCs w:val="28"/>
        </w:rPr>
        <w:t>ārstniecības iestāžu</w:t>
      </w:r>
      <w:r w:rsidRPr="00696C9A">
        <w:rPr>
          <w:rFonts w:ascii="Times New Roman" w:eastAsia="Calibri" w:hAnsi="Times New Roman" w:cs="Times New Roman"/>
          <w:sz w:val="28"/>
          <w:szCs w:val="28"/>
        </w:rPr>
        <w:t xml:space="preserve"> sniegto informāciju, var secināt, ka šobrīd EIS nespēj pilnībā un stabili nodrošināt elektroniskos iepirkumus visās medikamentu pozīcijās. Tas jo īpaši jāņem vērā, jo ir virkne specifisku medik</w:t>
      </w:r>
      <w:r w:rsidR="003C1130">
        <w:rPr>
          <w:rFonts w:ascii="Times New Roman" w:eastAsia="Calibri" w:hAnsi="Times New Roman" w:cs="Times New Roman"/>
          <w:sz w:val="28"/>
          <w:szCs w:val="28"/>
        </w:rPr>
        <w:t xml:space="preserve">amentu, kurus lieto atsevišķas </w:t>
      </w:r>
      <w:r w:rsidR="000D7A3B">
        <w:rPr>
          <w:rFonts w:ascii="Times New Roman" w:eastAsia="Calibri" w:hAnsi="Times New Roman" w:cs="Times New Roman"/>
          <w:sz w:val="28"/>
          <w:szCs w:val="28"/>
        </w:rPr>
        <w:t>ārstniecības iestādes</w:t>
      </w:r>
      <w:r w:rsidRPr="00696C9A">
        <w:rPr>
          <w:rFonts w:ascii="Times New Roman" w:eastAsia="Calibri" w:hAnsi="Times New Roman" w:cs="Times New Roman"/>
          <w:sz w:val="28"/>
          <w:szCs w:val="28"/>
        </w:rPr>
        <w:t xml:space="preserve"> (VSIA </w:t>
      </w:r>
      <w:r w:rsidRPr="00696C9A">
        <w:rPr>
          <w:rFonts w:ascii="Times New Roman" w:eastAsia="Calibri" w:hAnsi="Times New Roman" w:cs="Times New Roman"/>
          <w:sz w:val="28"/>
          <w:szCs w:val="28"/>
          <w:lang w:val="en-US"/>
        </w:rPr>
        <w:t>“</w:t>
      </w:r>
      <w:r w:rsidRPr="00696C9A">
        <w:rPr>
          <w:rFonts w:ascii="Times New Roman" w:eastAsia="Calibri" w:hAnsi="Times New Roman" w:cs="Times New Roman"/>
          <w:sz w:val="28"/>
          <w:szCs w:val="28"/>
        </w:rPr>
        <w:t xml:space="preserve">Paula Stradiņa klīniskā universitātes slimnīca”, SIA </w:t>
      </w:r>
      <w:r w:rsidRPr="00696C9A">
        <w:rPr>
          <w:rFonts w:ascii="Times New Roman" w:eastAsia="Calibri" w:hAnsi="Times New Roman" w:cs="Times New Roman"/>
          <w:sz w:val="28"/>
          <w:szCs w:val="28"/>
          <w:lang w:val="en-US"/>
        </w:rPr>
        <w:t>“</w:t>
      </w:r>
      <w:r w:rsidRPr="00696C9A">
        <w:rPr>
          <w:rFonts w:ascii="Times New Roman" w:eastAsia="Calibri" w:hAnsi="Times New Roman" w:cs="Times New Roman"/>
          <w:sz w:val="28"/>
          <w:szCs w:val="28"/>
        </w:rPr>
        <w:t>Rīgas Austrumu klīniskā universitātes slimnīca</w:t>
      </w:r>
      <w:r w:rsidRPr="00696C9A">
        <w:rPr>
          <w:rFonts w:ascii="Times New Roman" w:eastAsia="Calibri" w:hAnsi="Times New Roman" w:cs="Times New Roman"/>
          <w:sz w:val="28"/>
          <w:szCs w:val="28"/>
          <w:lang w:val="en-US"/>
        </w:rPr>
        <w:t>”</w:t>
      </w:r>
      <w:r w:rsidRPr="00696C9A">
        <w:rPr>
          <w:rFonts w:ascii="Times New Roman" w:eastAsia="Calibri" w:hAnsi="Times New Roman" w:cs="Times New Roman"/>
          <w:sz w:val="28"/>
          <w:szCs w:val="28"/>
        </w:rPr>
        <w:t xml:space="preserve">, VSIA </w:t>
      </w:r>
      <w:r w:rsidRPr="00696C9A">
        <w:rPr>
          <w:rFonts w:ascii="Times New Roman" w:eastAsia="Calibri" w:hAnsi="Times New Roman" w:cs="Times New Roman"/>
          <w:sz w:val="28"/>
          <w:szCs w:val="28"/>
          <w:lang w:val="en-US"/>
        </w:rPr>
        <w:t>“</w:t>
      </w:r>
      <w:r w:rsidRPr="00696C9A">
        <w:rPr>
          <w:rFonts w:ascii="Times New Roman" w:eastAsia="Calibri" w:hAnsi="Times New Roman" w:cs="Times New Roman"/>
          <w:sz w:val="28"/>
          <w:szCs w:val="28"/>
        </w:rPr>
        <w:t xml:space="preserve">Bērnu klīniskā universitātes slimnīca”, VSIA </w:t>
      </w:r>
      <w:r w:rsidRPr="00696C9A">
        <w:rPr>
          <w:rFonts w:ascii="Times New Roman" w:eastAsia="Calibri" w:hAnsi="Times New Roman" w:cs="Times New Roman"/>
          <w:sz w:val="28"/>
          <w:szCs w:val="28"/>
          <w:lang w:val="en-US"/>
        </w:rPr>
        <w:t>“</w:t>
      </w:r>
      <w:r w:rsidRPr="00696C9A">
        <w:rPr>
          <w:rFonts w:ascii="Times New Roman" w:eastAsia="Calibri" w:hAnsi="Times New Roman" w:cs="Times New Roman"/>
          <w:sz w:val="28"/>
          <w:szCs w:val="28"/>
        </w:rPr>
        <w:t>Rīgas psihiatrijas un narkoloģijas centrs</w:t>
      </w:r>
      <w:r w:rsidRPr="00696C9A">
        <w:rPr>
          <w:rFonts w:ascii="Times New Roman" w:eastAsia="Calibri" w:hAnsi="Times New Roman" w:cs="Times New Roman"/>
          <w:sz w:val="28"/>
          <w:szCs w:val="28"/>
          <w:lang w:val="en-US"/>
        </w:rPr>
        <w:t xml:space="preserve">”) un </w:t>
      </w:r>
      <w:r w:rsidRPr="00696C9A">
        <w:rPr>
          <w:rFonts w:ascii="Times New Roman" w:eastAsia="Calibri" w:hAnsi="Times New Roman" w:cs="Times New Roman"/>
          <w:sz w:val="28"/>
          <w:szCs w:val="28"/>
        </w:rPr>
        <w:t xml:space="preserve">kurus EIS nespēj nodrošināt. Būtiski ir arī tas, ka EIS nespēj nodrošināt pilnu pasūtījuma apjomu, kā arī nespēj veikt piegādes lielajos transporta iepakojumos (piem., eiropaletēs). Ārstnieciskajā procesā būtisks aspekts ir pacientu drošība un nepārtrauktība medikamentozajā terapijā – tas visspilgtāk izpaužas, ja pacientam ilgstošā laika periodā ir jāsaņem antibakteriālie līdzekļi vai ķīmijterapija, bet EIS šobrīd negarantē, ka pacients visu ārstēšanās periodu saņems viena un tā paša ražotāja medikamentus, jo sistēmā dinamiski mainās piedāvātās cenas un līdz ar to mainās arī piegādātāji un to piedāvātie zāļu ražotāji. Tas pats attiecas uz reto slimību medikamentiem, kur attiecībā uz biosimilāriem ir ierobežojumi, jo nav pieļaujams aizvietot viena ražotāja medikamentu ar cita ražotāja ekvivalentu. Lielākā daļa </w:t>
      </w:r>
      <w:r w:rsidR="000D7A3B">
        <w:rPr>
          <w:rFonts w:ascii="Times New Roman" w:eastAsia="Calibri" w:hAnsi="Times New Roman" w:cs="Times New Roman"/>
          <w:sz w:val="28"/>
          <w:szCs w:val="28"/>
        </w:rPr>
        <w:t>ārstniecības iestāžu</w:t>
      </w:r>
      <w:r w:rsidRPr="00696C9A">
        <w:rPr>
          <w:rFonts w:ascii="Times New Roman" w:eastAsia="Calibri" w:hAnsi="Times New Roman" w:cs="Times New Roman"/>
          <w:sz w:val="28"/>
          <w:szCs w:val="28"/>
        </w:rPr>
        <w:t xml:space="preserve"> norāda arī uz to, ka o</w:t>
      </w:r>
      <w:r w:rsidRPr="00696C9A">
        <w:rPr>
          <w:rFonts w:ascii="Times New Roman" w:eastAsia="Calibri" w:hAnsi="Times New Roman" w:cs="Times New Roman"/>
          <w:color w:val="212121"/>
          <w:sz w:val="28"/>
          <w:szCs w:val="28"/>
          <w:shd w:val="clear" w:color="auto" w:fill="FFFFFF"/>
        </w:rPr>
        <w:t xml:space="preserve">rganizējot slimnīcas iepirkumus, pretendentu iesniegtajos piedāvājumos lielākai daļai medikamentu cenas ir zemākas nekā EIS, kā arī piegādes noteikumi ir elastīgāki. EIS arī nevar uzlikt nepieciešamos </w:t>
      </w:r>
      <w:r w:rsidRPr="00696C9A">
        <w:rPr>
          <w:rFonts w:ascii="Times New Roman" w:eastAsia="Calibri" w:hAnsi="Times New Roman" w:cs="Times New Roman"/>
          <w:color w:val="212121"/>
          <w:sz w:val="28"/>
          <w:szCs w:val="28"/>
          <w:shd w:val="clear" w:color="auto" w:fill="FFFFFF"/>
        </w:rPr>
        <w:t xml:space="preserve">papildus nosacījumus piegādātājiem, kas parasti tiek iekļauti iepirkumu līgumos un atsevišķos gadījumos var būt ļoti specifiski. Šobrīd </w:t>
      </w:r>
      <w:r w:rsidR="000D7A3B">
        <w:rPr>
          <w:rFonts w:ascii="Times New Roman" w:eastAsia="Calibri" w:hAnsi="Times New Roman" w:cs="Times New Roman"/>
          <w:color w:val="212121"/>
          <w:sz w:val="28"/>
          <w:szCs w:val="28"/>
          <w:shd w:val="clear" w:color="auto" w:fill="FFFFFF"/>
        </w:rPr>
        <w:t>ārstniecības iestādes</w:t>
      </w:r>
      <w:r w:rsidRPr="00696C9A">
        <w:rPr>
          <w:rFonts w:ascii="Times New Roman" w:eastAsia="Calibri" w:hAnsi="Times New Roman" w:cs="Times New Roman"/>
          <w:color w:val="212121"/>
          <w:sz w:val="28"/>
          <w:szCs w:val="28"/>
          <w:shd w:val="clear" w:color="auto" w:fill="FFFFFF"/>
        </w:rPr>
        <w:t xml:space="preserve"> pirms pasūtījuma veikšanas pārbauda EIS piedāvājumu.</w:t>
      </w:r>
    </w:p>
    <w:p w:rsidR="00E67B20" w:rsidRPr="00696C9A" w:rsidP="00696C9A">
      <w:pPr>
        <w:spacing w:after="0"/>
        <w:ind w:firstLine="709"/>
        <w:jc w:val="both"/>
        <w:rPr>
          <w:rFonts w:ascii="Times New Roman" w:eastAsia="Calibri" w:hAnsi="Times New Roman" w:cs="Times New Roman"/>
          <w:sz w:val="28"/>
          <w:szCs w:val="28"/>
        </w:rPr>
      </w:pPr>
    </w:p>
    <w:p w:rsidR="00B16DC3" w:rsidRPr="00696C9A" w:rsidP="00696C9A">
      <w:pPr>
        <w:pStyle w:val="ListParagraph"/>
        <w:numPr>
          <w:ilvl w:val="0"/>
          <w:numId w:val="1"/>
        </w:numPr>
        <w:spacing w:line="276" w:lineRule="auto"/>
        <w:jc w:val="center"/>
        <w:rPr>
          <w:b/>
          <w:sz w:val="28"/>
          <w:szCs w:val="28"/>
          <w:u w:val="single"/>
        </w:rPr>
      </w:pPr>
      <w:r w:rsidRPr="00696C9A">
        <w:rPr>
          <w:b/>
          <w:sz w:val="28"/>
          <w:szCs w:val="28"/>
          <w:u w:val="single"/>
        </w:rPr>
        <w:t>Iespējamie risinājumi zāļu iegādes centralizācijai</w:t>
      </w:r>
    </w:p>
    <w:p w:rsidR="00730AE5" w:rsidRPr="00696C9A" w:rsidP="00696C9A">
      <w:pPr>
        <w:spacing w:after="0"/>
        <w:jc w:val="both"/>
        <w:rPr>
          <w:rFonts w:ascii="Times New Roman" w:hAnsi="Times New Roman" w:cs="Times New Roman"/>
          <w:sz w:val="28"/>
          <w:szCs w:val="28"/>
        </w:rPr>
      </w:pPr>
    </w:p>
    <w:p w:rsidR="0026655B"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Saskaņā ar plānoto veselības aprūpes sistēmas reformu, lai nodrošinātu efektīvāku onkoloģisko medikamentu iepirkšanu un izlietošanu, nodrošinot pacientu līdzestību, plānots</w:t>
      </w:r>
      <w:r w:rsidRPr="00696C9A">
        <w:rPr>
          <w:rFonts w:ascii="Times New Roman" w:eastAsia="Times New Roman" w:hAnsi="Times New Roman" w:cs="Times New Roman"/>
          <w:sz w:val="28"/>
          <w:szCs w:val="28"/>
          <w:lang w:eastAsia="lv-LV"/>
        </w:rPr>
        <w:t xml:space="preserve">, ka sākot ar 2018.gada 1.janvāri onkoloģisko slimību ārstēšanai lietojamās parenterāli ievadāmās zāles (izņemot tās, par kuru kompensācijas nodrošināšanu ir noslēgts finansiālas līdzdalības līgums ar </w:t>
      </w:r>
      <w:r w:rsidRPr="00696C9A">
        <w:rPr>
          <w:rFonts w:ascii="Times New Roman" w:hAnsi="Times New Roman" w:cs="Times New Roman"/>
          <w:sz w:val="28"/>
          <w:szCs w:val="28"/>
        </w:rPr>
        <w:t>zāļu reģistrācijas apliecības īpašnieku vai viņa pilnvarotām personām),</w:t>
      </w:r>
      <w:r w:rsidRPr="00696C9A">
        <w:rPr>
          <w:rFonts w:ascii="Times New Roman" w:hAnsi="Times New Roman" w:cs="Times New Roman"/>
          <w:color w:val="FF0000"/>
          <w:sz w:val="28"/>
          <w:szCs w:val="28"/>
        </w:rPr>
        <w:t xml:space="preserve"> </w:t>
      </w:r>
      <w:r w:rsidRPr="00696C9A">
        <w:rPr>
          <w:rFonts w:ascii="Times New Roman" w:eastAsia="Times New Roman" w:hAnsi="Times New Roman" w:cs="Times New Roman"/>
          <w:sz w:val="28"/>
          <w:szCs w:val="28"/>
          <w:lang w:eastAsia="lv-LV"/>
        </w:rPr>
        <w:t>kuru iegāde tiek apmaksāta no valsts budžeta līdzekļiem (turpmāk – Medikamenti), tiks iepirktas centralizēti</w:t>
      </w:r>
      <w:r w:rsidRPr="00696C9A">
        <w:rPr>
          <w:rFonts w:ascii="Times New Roman" w:hAnsi="Times New Roman" w:cs="Times New Roman"/>
          <w:sz w:val="28"/>
          <w:szCs w:val="28"/>
        </w:rPr>
        <w:t>, plānojot rast ietaupījumu uz aptieku uzcenojuma rēķina, novērstajiem zāļu zudumiem pacienta nelīdzestīgas rīcības gadījumā un iepirkuma centralizēšanas, iegūstot zemākas cenas.</w:t>
      </w:r>
    </w:p>
    <w:p w:rsidR="0026655B"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2016.gadā apmaksāto Medikamentu izlietoto iepakojumu skaits ir 99 643 iepakojumi. Vidējais svērtais aptiekas piecenojums – 2,598205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/par 1 iepakojumu, attiecīgi 99 643 iepakojumi x 2,598205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 258 893 </w:t>
      </w:r>
      <w:r w:rsidRPr="00696C9A">
        <w:rPr>
          <w:rFonts w:ascii="Times New Roman" w:hAnsi="Times New Roman" w:cs="Times New Roman"/>
          <w:i/>
          <w:sz w:val="28"/>
          <w:szCs w:val="28"/>
        </w:rPr>
        <w:t>euro</w:t>
      </w:r>
      <w:r w:rsidRPr="00696C9A">
        <w:rPr>
          <w:rFonts w:ascii="Times New Roman" w:hAnsi="Times New Roman" w:cs="Times New Roman"/>
          <w:sz w:val="28"/>
          <w:szCs w:val="28"/>
        </w:rPr>
        <w:t>.</w:t>
      </w:r>
    </w:p>
    <w:p w:rsidR="0026655B"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Atbilstoši </w:t>
      </w:r>
      <w:r w:rsidRPr="00696C9A" w:rsidR="00AF5AC0">
        <w:rPr>
          <w:rFonts w:ascii="Times New Roman" w:eastAsia="Calibri" w:hAnsi="Times New Roman" w:cs="Times New Roman"/>
          <w:sz w:val="28"/>
          <w:szCs w:val="28"/>
        </w:rPr>
        <w:t xml:space="preserve">SIA </w:t>
      </w:r>
      <w:r w:rsidRPr="00696C9A" w:rsidR="00AF5AC0">
        <w:rPr>
          <w:rFonts w:ascii="Times New Roman" w:eastAsia="Calibri" w:hAnsi="Times New Roman" w:cs="Times New Roman"/>
          <w:sz w:val="28"/>
          <w:szCs w:val="28"/>
          <w:lang w:val="en-US"/>
        </w:rPr>
        <w:t>“</w:t>
      </w:r>
      <w:r w:rsidRPr="00696C9A" w:rsidR="00AF5AC0">
        <w:rPr>
          <w:rFonts w:ascii="Times New Roman" w:eastAsia="Calibri" w:hAnsi="Times New Roman" w:cs="Times New Roman"/>
          <w:sz w:val="28"/>
          <w:szCs w:val="28"/>
        </w:rPr>
        <w:t>Rīgas Austrumu klīniskā universitātes slimnīca</w:t>
      </w:r>
      <w:r w:rsidRPr="00696C9A" w:rsidR="00AF5AC0">
        <w:rPr>
          <w:rFonts w:ascii="Times New Roman" w:eastAsia="Calibri" w:hAnsi="Times New Roman" w:cs="Times New Roman"/>
          <w:sz w:val="28"/>
          <w:szCs w:val="28"/>
          <w:lang w:val="en-US"/>
        </w:rPr>
        <w:t>”</w:t>
      </w:r>
      <w:r w:rsidR="00AF5AC0">
        <w:rPr>
          <w:rFonts w:ascii="Times New Roman" w:eastAsia="Calibri" w:hAnsi="Times New Roman" w:cs="Times New Roman"/>
          <w:sz w:val="28"/>
          <w:szCs w:val="28"/>
          <w:lang w:val="en-US"/>
        </w:rPr>
        <w:t xml:space="preserve"> </w:t>
      </w:r>
      <w:r w:rsidRPr="00696C9A">
        <w:rPr>
          <w:rFonts w:ascii="Times New Roman" w:hAnsi="Times New Roman" w:cs="Times New Roman"/>
          <w:sz w:val="28"/>
          <w:szCs w:val="28"/>
        </w:rPr>
        <w:t xml:space="preserve">ekspertu novērtējumam, iespējamie Medikamentu, kas tika </w:t>
      </w:r>
      <w:r w:rsidR="00AF5AC0">
        <w:rPr>
          <w:rFonts w:ascii="Times New Roman" w:hAnsi="Times New Roman" w:cs="Times New Roman"/>
          <w:sz w:val="28"/>
          <w:szCs w:val="28"/>
        </w:rPr>
        <w:t xml:space="preserve">iegādāti </w:t>
      </w:r>
      <w:r w:rsidRPr="00696C9A" w:rsidR="00F231F8">
        <w:rPr>
          <w:rFonts w:ascii="Times New Roman" w:hAnsi="Times New Roman" w:cs="Times New Roman"/>
          <w:sz w:val="28"/>
          <w:szCs w:val="28"/>
        </w:rPr>
        <w:t>KZS</w:t>
      </w:r>
      <w:r w:rsidRPr="00696C9A">
        <w:rPr>
          <w:rFonts w:ascii="Times New Roman" w:hAnsi="Times New Roman" w:cs="Times New Roman"/>
          <w:sz w:val="28"/>
          <w:szCs w:val="28"/>
        </w:rPr>
        <w:t xml:space="preserve">, zudumi ir 3-5%, vidēji 4%. Kopējais no KZS pārdalāmais finansējums ir 2 700 000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līdz ar to iespējamais ietaupījums sastāda 108 000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w:t>
      </w:r>
    </w:p>
    <w:p w:rsidR="006A769E"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Kopējā summa, iekļaujot no KZS pārdalāmo finansējumu un stacionāro ārstniecības iestāžu esošo Medikamentu iegādei paredzēto finansējumu, centralizētā iepirkuma veikšanai sastāda 3 819 265 </w:t>
      </w:r>
      <w:r w:rsidRPr="00696C9A">
        <w:rPr>
          <w:rFonts w:ascii="Times New Roman" w:hAnsi="Times New Roman" w:cs="Times New Roman"/>
          <w:i/>
          <w:sz w:val="28"/>
          <w:szCs w:val="28"/>
        </w:rPr>
        <w:t>euro</w:t>
      </w:r>
      <w:r w:rsidRPr="00696C9A">
        <w:rPr>
          <w:rFonts w:ascii="Times New Roman" w:hAnsi="Times New Roman" w:cs="Times New Roman"/>
          <w:sz w:val="28"/>
          <w:szCs w:val="28"/>
        </w:rPr>
        <w:t>.</w:t>
      </w:r>
    </w:p>
    <w:p w:rsidR="0026655B"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Veicot centralizētu iepirkuma procedūru, iespējamais finansējuma ietaupījums sastāda 4% jeb 152 771 </w:t>
      </w:r>
      <w:r w:rsidRPr="00696C9A">
        <w:rPr>
          <w:rFonts w:ascii="Times New Roman" w:hAnsi="Times New Roman" w:cs="Times New Roman"/>
          <w:i/>
          <w:sz w:val="28"/>
          <w:szCs w:val="28"/>
        </w:rPr>
        <w:t>euro</w:t>
      </w:r>
      <w:r w:rsidRPr="00696C9A">
        <w:rPr>
          <w:rFonts w:ascii="Times New Roman" w:hAnsi="Times New Roman" w:cs="Times New Roman"/>
          <w:sz w:val="28"/>
          <w:szCs w:val="28"/>
        </w:rPr>
        <w:t>.</w:t>
      </w:r>
    </w:p>
    <w:p w:rsidR="0026655B" w:rsidRPr="00696C9A"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Kopējais iespējamais ieguvums sastāda 519 664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gadā, tomēr ņemot vērā, ka centralizētais iepirkums atbilstoši plānotajiem reformas uzsākšanas un iepirkuma procedūras termiņiem varētu noslēgties 2018.gada februārī, 2018.gadā ietaupījums plānojams 10 mēnešiem 433 053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apmērā.</w:t>
      </w:r>
    </w:p>
    <w:p w:rsidR="00F231F8" w:rsidRPr="00696C9A" w:rsidP="00F323B7">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 xml:space="preserve">Daļēji finansējuma ietaupījums tiks novirzīts papildus Medikamentu iegādei saistībā ar to, ka kompensācijas izdevumi onkoloģijas pacientiem ik gadus pieaug par aptuveni 6%. Līdz ar to pacientu skaita pieauguma finansēšanai nepieciešams novirzīt 229 156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Tādējādi kopējā 2018.gadā pieejamā ietaupījuma summa būs 203 897 </w:t>
      </w:r>
      <w:r w:rsidRPr="00696C9A">
        <w:rPr>
          <w:rFonts w:ascii="Times New Roman" w:hAnsi="Times New Roman" w:cs="Times New Roman"/>
          <w:i/>
          <w:sz w:val="28"/>
          <w:szCs w:val="28"/>
        </w:rPr>
        <w:t>euro</w:t>
      </w:r>
      <w:r w:rsidRPr="00696C9A">
        <w:rPr>
          <w:rFonts w:ascii="Times New Roman" w:hAnsi="Times New Roman" w:cs="Times New Roman"/>
          <w:sz w:val="28"/>
          <w:szCs w:val="28"/>
        </w:rPr>
        <w:t>.</w:t>
      </w:r>
    </w:p>
    <w:p w:rsidR="00F231F8" w:rsidP="00696C9A">
      <w:pPr>
        <w:spacing w:after="0"/>
        <w:ind w:firstLine="709"/>
        <w:jc w:val="both"/>
        <w:rPr>
          <w:rFonts w:ascii="Times New Roman" w:hAnsi="Times New Roman" w:cs="Times New Roman"/>
          <w:sz w:val="28"/>
          <w:szCs w:val="28"/>
        </w:rPr>
      </w:pPr>
      <w:r w:rsidRPr="00696C9A">
        <w:rPr>
          <w:rFonts w:ascii="Times New Roman" w:hAnsi="Times New Roman" w:cs="Times New Roman"/>
          <w:sz w:val="28"/>
          <w:szCs w:val="28"/>
        </w:rPr>
        <w:t>Savukārt a</w:t>
      </w:r>
      <w:r w:rsidRPr="00696C9A" w:rsidR="0026655B">
        <w:rPr>
          <w:rFonts w:ascii="Times New Roman" w:hAnsi="Times New Roman" w:cs="Times New Roman"/>
          <w:sz w:val="28"/>
          <w:szCs w:val="28"/>
        </w:rPr>
        <w:t xml:space="preserve">tbilstoši jaunā Publisko iepirkumu likuma un pakārtoto Ministru kabineta noteikumu prasībām, Veselības ministrijai jānodrošina turpmāka </w:t>
      </w:r>
      <w:r w:rsidR="004C2738">
        <w:rPr>
          <w:rFonts w:ascii="Times New Roman" w:hAnsi="Times New Roman" w:cs="Times New Roman"/>
          <w:sz w:val="28"/>
          <w:szCs w:val="28"/>
        </w:rPr>
        <w:t>EIS</w:t>
      </w:r>
      <w:r w:rsidRPr="00696C9A" w:rsidR="0026655B">
        <w:rPr>
          <w:rFonts w:ascii="Times New Roman" w:hAnsi="Times New Roman" w:cs="Times New Roman"/>
          <w:sz w:val="28"/>
          <w:szCs w:val="28"/>
        </w:rPr>
        <w:t xml:space="preserve"> medicīnas preču un medikamentu katalogu uzturēšana, sākot ar 2019.gada februāri.</w:t>
      </w:r>
      <w:r w:rsidRPr="00696C9A">
        <w:rPr>
          <w:rFonts w:ascii="Times New Roman" w:hAnsi="Times New Roman" w:cs="Times New Roman"/>
          <w:sz w:val="28"/>
          <w:szCs w:val="28"/>
        </w:rPr>
        <w:t xml:space="preserve"> Veicot centralizētu iepirkumu turpmākai katalogu uzturēšanai, ņemot vērā ārstniecības iestāžu prasības, iespējams ietaupījums līdz 10% no kopējās iepirkumu vērtības jeb 499 737 </w:t>
      </w:r>
      <w:r w:rsidRPr="00696C9A">
        <w:rPr>
          <w:rFonts w:ascii="Times New Roman" w:hAnsi="Times New Roman" w:cs="Times New Roman"/>
          <w:i/>
          <w:sz w:val="28"/>
          <w:szCs w:val="28"/>
        </w:rPr>
        <w:t>euro</w:t>
      </w:r>
      <w:r w:rsidRPr="00696C9A">
        <w:rPr>
          <w:rFonts w:ascii="Times New Roman" w:hAnsi="Times New Roman" w:cs="Times New Roman"/>
          <w:sz w:val="28"/>
          <w:szCs w:val="28"/>
        </w:rPr>
        <w:t xml:space="preserve"> 2019.gadā. Turpmākos gados, paplašinot EIS pieejamo medikamentu apjomu un dažādību, iespējams turpmāks iegādāto preču apgrozījuma pieaugums, nodrošinot papildus ietaupījumu, 2020.gadā līdz 549</w:t>
      </w:r>
      <w:r w:rsidR="003C1130">
        <w:rPr>
          <w:rFonts w:ascii="Times New Roman" w:hAnsi="Times New Roman" w:cs="Times New Roman"/>
          <w:sz w:val="28"/>
          <w:szCs w:val="28"/>
        </w:rPr>
        <w:t> </w:t>
      </w:r>
      <w:r w:rsidRPr="00696C9A">
        <w:rPr>
          <w:rFonts w:ascii="Times New Roman" w:hAnsi="Times New Roman" w:cs="Times New Roman"/>
          <w:sz w:val="28"/>
          <w:szCs w:val="28"/>
        </w:rPr>
        <w:t xml:space="preserve">711 </w:t>
      </w:r>
      <w:r w:rsidRPr="00696C9A">
        <w:rPr>
          <w:rFonts w:ascii="Times New Roman" w:hAnsi="Times New Roman" w:cs="Times New Roman"/>
          <w:i/>
          <w:sz w:val="28"/>
          <w:szCs w:val="28"/>
        </w:rPr>
        <w:t>euro</w:t>
      </w:r>
      <w:r w:rsidRPr="00696C9A">
        <w:rPr>
          <w:rFonts w:ascii="Times New Roman" w:hAnsi="Times New Roman" w:cs="Times New Roman"/>
          <w:sz w:val="28"/>
          <w:szCs w:val="28"/>
        </w:rPr>
        <w:t>.</w:t>
      </w:r>
    </w:p>
    <w:p w:rsidR="00AF5AC0" w:rsidP="00AF5AC0">
      <w:pPr>
        <w:spacing w:after="0"/>
        <w:ind w:firstLine="709"/>
        <w:jc w:val="both"/>
        <w:rPr>
          <w:rFonts w:ascii="Times New Roman" w:hAnsi="Times New Roman" w:cs="Times New Roman"/>
          <w:sz w:val="28"/>
          <w:szCs w:val="28"/>
        </w:rPr>
      </w:pPr>
      <w:r>
        <w:rPr>
          <w:rFonts w:ascii="Times New Roman" w:hAnsi="Times New Roman" w:cs="Times New Roman"/>
          <w:sz w:val="28"/>
          <w:szCs w:val="28"/>
        </w:rPr>
        <w:t>Kopējais ietaupījums no minētās rīcības norādīts tabulā.</w:t>
      </w:r>
    </w:p>
    <w:p w:rsidR="00AF5AC0" w:rsidP="00AF5AC0">
      <w:pPr>
        <w:spacing w:after="0"/>
        <w:ind w:firstLine="709"/>
        <w:jc w:val="both"/>
        <w:rPr>
          <w:rFonts w:ascii="Times New Roman" w:hAnsi="Times New Roman" w:cs="Times New Roman"/>
          <w:sz w:val="28"/>
          <w:szCs w:val="28"/>
        </w:rPr>
      </w:pPr>
    </w:p>
    <w:p w:rsidR="00AF5AC0" w:rsidP="00AF5AC0">
      <w:pPr>
        <w:spacing w:after="0"/>
        <w:ind w:firstLine="709"/>
        <w:jc w:val="right"/>
        <w:rPr>
          <w:rFonts w:ascii="Times New Roman" w:hAnsi="Times New Roman" w:cs="Times New Roman"/>
          <w:i/>
          <w:sz w:val="28"/>
          <w:szCs w:val="28"/>
        </w:rPr>
      </w:pPr>
      <w:r w:rsidRPr="00FC11DB">
        <w:rPr>
          <w:rFonts w:ascii="Times New Roman" w:hAnsi="Times New Roman" w:cs="Times New Roman"/>
          <w:i/>
          <w:sz w:val="28"/>
          <w:szCs w:val="28"/>
        </w:rPr>
        <w:t>1.tabula</w:t>
      </w:r>
    </w:p>
    <w:p w:rsidR="00AF5AC0" w:rsidRPr="00FC11DB" w:rsidP="00AF5AC0">
      <w:pPr>
        <w:spacing w:after="0"/>
        <w:ind w:firstLine="709"/>
        <w:jc w:val="center"/>
        <w:rPr>
          <w:rFonts w:ascii="Times New Roman" w:hAnsi="Times New Roman" w:cs="Times New Roman"/>
          <w:sz w:val="28"/>
          <w:szCs w:val="28"/>
        </w:rPr>
      </w:pPr>
      <w:r>
        <w:rPr>
          <w:rFonts w:ascii="Times New Roman" w:hAnsi="Times New Roman" w:cs="Times New Roman"/>
          <w:sz w:val="28"/>
          <w:szCs w:val="28"/>
        </w:rPr>
        <w:t>Iespējamais ietaupījums no centralizētas medikamentu iegādes</w:t>
      </w:r>
      <w:r w:rsidR="008157B3">
        <w:rPr>
          <w:rFonts w:ascii="Times New Roman" w:hAnsi="Times New Roman" w:cs="Times New Roman"/>
          <w:sz w:val="28"/>
          <w:szCs w:val="28"/>
        </w:rPr>
        <w:t xml:space="preserve">, </w:t>
      </w:r>
      <w:r w:rsidRPr="008157B3" w:rsidR="008157B3">
        <w:rPr>
          <w:rFonts w:ascii="Times New Roman" w:hAnsi="Times New Roman" w:cs="Times New Roman"/>
          <w:i/>
          <w:sz w:val="28"/>
          <w:szCs w:val="28"/>
        </w:rPr>
        <w:t>euro</w:t>
      </w:r>
    </w:p>
    <w:tbl>
      <w:tblPr>
        <w:tblW w:w="9639" w:type="dxa"/>
        <w:jc w:val="center"/>
        <w:tblLook w:val="04A0"/>
      </w:tblPr>
      <w:tblGrid>
        <w:gridCol w:w="5103"/>
        <w:gridCol w:w="1418"/>
        <w:gridCol w:w="1417"/>
        <w:gridCol w:w="1701"/>
      </w:tblGrid>
      <w:tr w:rsidTr="00AF5AC0">
        <w:tblPrEx>
          <w:tblW w:w="9639" w:type="dxa"/>
          <w:jc w:val="center"/>
          <w:tblLook w:val="04A0"/>
        </w:tblPrEx>
        <w:trPr>
          <w:trHeight w:val="300"/>
          <w:jc w:val="center"/>
        </w:trPr>
        <w:tc>
          <w:tcPr>
            <w:tcW w:w="5103" w:type="dxa"/>
            <w:tcBorders>
              <w:top w:val="single" w:sz="8" w:space="0" w:color="FFFFFF"/>
              <w:left w:val="nil"/>
              <w:bottom w:val="nil"/>
              <w:right w:val="nil"/>
            </w:tcBorders>
            <w:shd w:val="clear" w:color="auto" w:fill="ED7D31" w:themeFill="accent2"/>
            <w:vAlign w:val="center"/>
            <w:hideMark/>
          </w:tcPr>
          <w:p w:rsidR="00AF5AC0" w:rsidRPr="00BA385F" w:rsidP="0035719C">
            <w:pPr>
              <w:spacing w:after="0" w:line="240" w:lineRule="auto"/>
              <w:jc w:val="center"/>
              <w:rPr>
                <w:rFonts w:ascii="Calibri" w:eastAsia="Times New Roman" w:hAnsi="Calibri" w:cs="Calibri"/>
                <w:lang w:eastAsia="lv-LV"/>
              </w:rPr>
            </w:pPr>
            <w:r w:rsidRPr="00BA385F">
              <w:rPr>
                <w:rFonts w:ascii="Calibri" w:eastAsia="Times New Roman" w:hAnsi="Calibri" w:cs="Calibri"/>
                <w:lang w:eastAsia="lv-LV"/>
              </w:rPr>
              <w:t> </w:t>
            </w:r>
          </w:p>
        </w:tc>
        <w:tc>
          <w:tcPr>
            <w:tcW w:w="1418" w:type="dxa"/>
            <w:vMerge w:val="restart"/>
            <w:tcBorders>
              <w:top w:val="single" w:sz="8" w:space="0" w:color="FFFFFF"/>
              <w:left w:val="nil"/>
              <w:bottom w:val="single" w:sz="8" w:space="0" w:color="FFFFFF"/>
              <w:right w:val="nil"/>
            </w:tcBorders>
            <w:shd w:val="clear" w:color="auto" w:fill="ED7D31" w:themeFill="accent2"/>
            <w:vAlign w:val="center"/>
            <w:hideMark/>
          </w:tcPr>
          <w:p w:rsidR="00AF5AC0" w:rsidRPr="00BA385F" w:rsidP="0035719C">
            <w:pPr>
              <w:spacing w:after="0" w:line="240" w:lineRule="auto"/>
              <w:jc w:val="center"/>
              <w:rPr>
                <w:rFonts w:ascii="Times New Roman" w:eastAsia="Times New Roman" w:hAnsi="Times New Roman" w:cs="Times New Roman"/>
                <w:b/>
                <w:bCs/>
                <w:lang w:eastAsia="lv-LV"/>
              </w:rPr>
            </w:pPr>
            <w:r w:rsidRPr="00BA385F">
              <w:rPr>
                <w:rFonts w:ascii="Times New Roman" w:eastAsia="Times New Roman" w:hAnsi="Times New Roman" w:cs="Times New Roman"/>
                <w:b/>
                <w:bCs/>
                <w:lang w:eastAsia="lv-LV"/>
              </w:rPr>
              <w:t>2018</w:t>
            </w:r>
          </w:p>
        </w:tc>
        <w:tc>
          <w:tcPr>
            <w:tcW w:w="1417" w:type="dxa"/>
            <w:vMerge w:val="restart"/>
            <w:tcBorders>
              <w:top w:val="single" w:sz="8" w:space="0" w:color="FFFFFF"/>
              <w:left w:val="nil"/>
              <w:bottom w:val="single" w:sz="8" w:space="0" w:color="FFFFFF"/>
              <w:right w:val="nil"/>
            </w:tcBorders>
            <w:shd w:val="clear" w:color="auto" w:fill="ED7D31" w:themeFill="accent2"/>
            <w:vAlign w:val="center"/>
            <w:hideMark/>
          </w:tcPr>
          <w:p w:rsidR="00AF5AC0" w:rsidRPr="00BA385F" w:rsidP="0035719C">
            <w:pPr>
              <w:spacing w:after="0" w:line="240" w:lineRule="auto"/>
              <w:jc w:val="center"/>
              <w:rPr>
                <w:rFonts w:ascii="Times New Roman" w:eastAsia="Times New Roman" w:hAnsi="Times New Roman" w:cs="Times New Roman"/>
                <w:b/>
                <w:bCs/>
                <w:lang w:eastAsia="lv-LV"/>
              </w:rPr>
            </w:pPr>
            <w:r w:rsidRPr="00BA385F">
              <w:rPr>
                <w:rFonts w:ascii="Times New Roman" w:eastAsia="Times New Roman" w:hAnsi="Times New Roman" w:cs="Times New Roman"/>
                <w:b/>
                <w:bCs/>
                <w:lang w:eastAsia="lv-LV"/>
              </w:rPr>
              <w:t>2019</w:t>
            </w:r>
          </w:p>
        </w:tc>
        <w:tc>
          <w:tcPr>
            <w:tcW w:w="1701" w:type="dxa"/>
            <w:vMerge w:val="restart"/>
            <w:tcBorders>
              <w:top w:val="single" w:sz="8" w:space="0" w:color="FFFFFF"/>
              <w:left w:val="nil"/>
              <w:bottom w:val="single" w:sz="8" w:space="0" w:color="FFFFFF"/>
              <w:right w:val="single" w:sz="8" w:space="0" w:color="FFFFFF"/>
            </w:tcBorders>
            <w:shd w:val="clear" w:color="auto" w:fill="ED7D31" w:themeFill="accent2"/>
            <w:vAlign w:val="center"/>
            <w:hideMark/>
          </w:tcPr>
          <w:p w:rsidR="00AF5AC0" w:rsidRPr="00BA385F" w:rsidP="0035719C">
            <w:pPr>
              <w:spacing w:after="0" w:line="240" w:lineRule="auto"/>
              <w:jc w:val="center"/>
              <w:rPr>
                <w:rFonts w:ascii="Times New Roman" w:eastAsia="Times New Roman" w:hAnsi="Times New Roman" w:cs="Times New Roman"/>
                <w:b/>
                <w:bCs/>
                <w:lang w:eastAsia="lv-LV"/>
              </w:rPr>
            </w:pPr>
            <w:r w:rsidRPr="00BA385F">
              <w:rPr>
                <w:rFonts w:ascii="Times New Roman" w:eastAsia="Times New Roman" w:hAnsi="Times New Roman" w:cs="Times New Roman"/>
                <w:b/>
                <w:bCs/>
                <w:lang w:eastAsia="lv-LV"/>
              </w:rPr>
              <w:t>2020</w:t>
            </w:r>
          </w:p>
        </w:tc>
      </w:tr>
      <w:tr w:rsidTr="00AF5AC0">
        <w:tblPrEx>
          <w:tblW w:w="9639" w:type="dxa"/>
          <w:jc w:val="center"/>
          <w:tblLook w:val="04A0"/>
        </w:tblPrEx>
        <w:trPr>
          <w:trHeight w:val="315"/>
          <w:jc w:val="center"/>
        </w:trPr>
        <w:tc>
          <w:tcPr>
            <w:tcW w:w="5103" w:type="dxa"/>
            <w:tcBorders>
              <w:top w:val="nil"/>
              <w:left w:val="nil"/>
              <w:bottom w:val="single" w:sz="8" w:space="0" w:color="FFFFFF"/>
              <w:right w:val="nil"/>
            </w:tcBorders>
            <w:shd w:val="clear" w:color="auto" w:fill="ED7D31" w:themeFill="accent2"/>
            <w:vAlign w:val="center"/>
            <w:hideMark/>
          </w:tcPr>
          <w:p w:rsidR="00AF5AC0" w:rsidRPr="00BA385F" w:rsidP="0035719C">
            <w:pPr>
              <w:spacing w:after="0" w:line="240" w:lineRule="auto"/>
              <w:jc w:val="center"/>
              <w:rPr>
                <w:rFonts w:ascii="Times New Roman" w:eastAsia="Times New Roman" w:hAnsi="Times New Roman" w:cs="Times New Roman"/>
                <w:b/>
                <w:bCs/>
                <w:lang w:eastAsia="lv-LV"/>
              </w:rPr>
            </w:pPr>
            <w:r w:rsidRPr="00BA385F">
              <w:rPr>
                <w:rFonts w:ascii="Times New Roman" w:eastAsia="Times New Roman" w:hAnsi="Times New Roman" w:cs="Times New Roman"/>
                <w:b/>
                <w:bCs/>
                <w:lang w:eastAsia="lv-LV"/>
              </w:rPr>
              <w:t> </w:t>
            </w:r>
          </w:p>
        </w:tc>
        <w:tc>
          <w:tcPr>
            <w:tcW w:w="1418" w:type="dxa"/>
            <w:vMerge/>
            <w:tcBorders>
              <w:top w:val="single" w:sz="8" w:space="0" w:color="FFFFFF"/>
              <w:left w:val="nil"/>
              <w:bottom w:val="single" w:sz="8" w:space="0" w:color="FFFFFF"/>
              <w:right w:val="nil"/>
            </w:tcBorders>
            <w:shd w:val="clear" w:color="auto" w:fill="ED7D31" w:themeFill="accent2"/>
            <w:vAlign w:val="center"/>
            <w:hideMark/>
          </w:tcPr>
          <w:p w:rsidR="00AF5AC0" w:rsidRPr="00BA385F" w:rsidP="0035719C">
            <w:pPr>
              <w:spacing w:after="0" w:line="240" w:lineRule="auto"/>
              <w:rPr>
                <w:rFonts w:ascii="Times New Roman" w:eastAsia="Times New Roman" w:hAnsi="Times New Roman" w:cs="Times New Roman"/>
                <w:b/>
                <w:bCs/>
                <w:lang w:eastAsia="lv-LV"/>
              </w:rPr>
            </w:pPr>
          </w:p>
        </w:tc>
        <w:tc>
          <w:tcPr>
            <w:tcW w:w="1417" w:type="dxa"/>
            <w:vMerge/>
            <w:tcBorders>
              <w:top w:val="single" w:sz="8" w:space="0" w:color="FFFFFF"/>
              <w:left w:val="nil"/>
              <w:bottom w:val="single" w:sz="8" w:space="0" w:color="FFFFFF"/>
              <w:right w:val="nil"/>
            </w:tcBorders>
            <w:shd w:val="clear" w:color="auto" w:fill="ED7D31" w:themeFill="accent2"/>
            <w:vAlign w:val="center"/>
            <w:hideMark/>
          </w:tcPr>
          <w:p w:rsidR="00AF5AC0" w:rsidRPr="00BA385F" w:rsidP="0035719C">
            <w:pPr>
              <w:spacing w:after="0" w:line="240" w:lineRule="auto"/>
              <w:rPr>
                <w:rFonts w:ascii="Times New Roman" w:eastAsia="Times New Roman" w:hAnsi="Times New Roman" w:cs="Times New Roman"/>
                <w:b/>
                <w:bCs/>
                <w:lang w:eastAsia="lv-LV"/>
              </w:rPr>
            </w:pPr>
          </w:p>
        </w:tc>
        <w:tc>
          <w:tcPr>
            <w:tcW w:w="1701" w:type="dxa"/>
            <w:vMerge/>
            <w:tcBorders>
              <w:top w:val="single" w:sz="8" w:space="0" w:color="FFFFFF"/>
              <w:left w:val="nil"/>
              <w:bottom w:val="single" w:sz="8" w:space="0" w:color="FFFFFF"/>
              <w:right w:val="single" w:sz="8" w:space="0" w:color="FFFFFF"/>
            </w:tcBorders>
            <w:shd w:val="clear" w:color="auto" w:fill="ED7D31" w:themeFill="accent2"/>
            <w:vAlign w:val="center"/>
            <w:hideMark/>
          </w:tcPr>
          <w:p w:rsidR="00AF5AC0" w:rsidRPr="00BA385F" w:rsidP="0035719C">
            <w:pPr>
              <w:spacing w:after="0" w:line="240" w:lineRule="auto"/>
              <w:rPr>
                <w:rFonts w:ascii="Times New Roman" w:eastAsia="Times New Roman" w:hAnsi="Times New Roman" w:cs="Times New Roman"/>
                <w:b/>
                <w:bCs/>
                <w:lang w:eastAsia="lv-LV"/>
              </w:rPr>
            </w:pPr>
          </w:p>
        </w:tc>
      </w:tr>
      <w:tr w:rsidTr="00AF5AC0">
        <w:tblPrEx>
          <w:tblW w:w="9639" w:type="dxa"/>
          <w:jc w:val="center"/>
          <w:tblLook w:val="04A0"/>
        </w:tblPrEx>
        <w:trPr>
          <w:trHeight w:val="615"/>
          <w:jc w:val="center"/>
        </w:trPr>
        <w:tc>
          <w:tcPr>
            <w:tcW w:w="5103" w:type="dxa"/>
            <w:tcBorders>
              <w:top w:val="nil"/>
              <w:left w:val="single" w:sz="8" w:space="0" w:color="FFFFFF"/>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1.  Onkoloģisko slimību ārstēšanai lietojamo parenterāli ievadāmo medikamentu centralizēta iepirkšana</w:t>
            </w:r>
          </w:p>
        </w:tc>
        <w:tc>
          <w:tcPr>
            <w:tcW w:w="1418" w:type="dxa"/>
            <w:tcBorders>
              <w:top w:val="nil"/>
              <w:left w:val="nil"/>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center"/>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xml:space="preserve">      203 897 </w:t>
            </w:r>
          </w:p>
        </w:tc>
        <w:tc>
          <w:tcPr>
            <w:tcW w:w="1417" w:type="dxa"/>
            <w:tcBorders>
              <w:top w:val="nil"/>
              <w:left w:val="nil"/>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center"/>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xml:space="preserve">      290 508 </w:t>
            </w:r>
          </w:p>
        </w:tc>
        <w:tc>
          <w:tcPr>
            <w:tcW w:w="1701" w:type="dxa"/>
            <w:tcBorders>
              <w:top w:val="nil"/>
              <w:left w:val="nil"/>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center"/>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xml:space="preserve">      290 508 </w:t>
            </w:r>
          </w:p>
        </w:tc>
      </w:tr>
      <w:tr w:rsidTr="00AF5AC0">
        <w:tblPrEx>
          <w:tblW w:w="9639" w:type="dxa"/>
          <w:jc w:val="center"/>
          <w:tblLook w:val="04A0"/>
        </w:tblPrEx>
        <w:trPr>
          <w:trHeight w:val="615"/>
          <w:jc w:val="center"/>
        </w:trPr>
        <w:tc>
          <w:tcPr>
            <w:tcW w:w="5103" w:type="dxa"/>
            <w:tcBorders>
              <w:top w:val="nil"/>
              <w:left w:val="single" w:sz="8" w:space="0" w:color="FFFFFF"/>
              <w:bottom w:val="single" w:sz="8" w:space="0" w:color="FFFFFF"/>
              <w:right w:val="single" w:sz="8" w:space="0" w:color="FFFFFF"/>
            </w:tcBorders>
            <w:shd w:val="clear" w:color="auto" w:fill="FBE5D5" w:themeFill="accent2" w:themeFillTint="33"/>
            <w:vAlign w:val="center"/>
            <w:hideMark/>
          </w:tcPr>
          <w:p w:rsidR="00AF5AC0" w:rsidRPr="00BA385F" w:rsidP="0035719C">
            <w:pPr>
              <w:spacing w:after="0" w:line="240" w:lineRule="auto"/>
              <w:jc w:val="both"/>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xml:space="preserve">2. </w:t>
            </w:r>
            <w:r w:rsidR="000A41CA">
              <w:rPr>
                <w:rFonts w:ascii="Times New Roman" w:eastAsia="Times New Roman" w:hAnsi="Times New Roman" w:cs="Times New Roman"/>
                <w:lang w:eastAsia="lv-LV"/>
              </w:rPr>
              <w:t xml:space="preserve">EIS </w:t>
            </w:r>
            <w:bookmarkStart w:id="1" w:name="_GoBack"/>
            <w:bookmarkEnd w:id="1"/>
            <w:r w:rsidRPr="00BA385F">
              <w:rPr>
                <w:rFonts w:ascii="Times New Roman" w:eastAsia="Times New Roman" w:hAnsi="Times New Roman" w:cs="Times New Roman"/>
                <w:lang w:eastAsia="lv-LV"/>
              </w:rPr>
              <w:t>medicīnas preču un medikamentu katalogu uzturēšana</w:t>
            </w:r>
          </w:p>
        </w:tc>
        <w:tc>
          <w:tcPr>
            <w:tcW w:w="1418" w:type="dxa"/>
            <w:tcBorders>
              <w:top w:val="nil"/>
              <w:left w:val="nil"/>
              <w:bottom w:val="single" w:sz="8" w:space="0" w:color="FFFFFF"/>
              <w:right w:val="single" w:sz="8" w:space="0" w:color="FFFFFF"/>
            </w:tcBorders>
            <w:shd w:val="clear" w:color="auto" w:fill="FBE5D5" w:themeFill="accent2" w:themeFillTint="33"/>
            <w:vAlign w:val="center"/>
            <w:hideMark/>
          </w:tcPr>
          <w:p w:rsidR="00AF5AC0" w:rsidRPr="00BA385F" w:rsidP="0035719C">
            <w:pPr>
              <w:spacing w:after="0" w:line="240" w:lineRule="auto"/>
              <w:jc w:val="center"/>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w:t>
            </w:r>
          </w:p>
        </w:tc>
        <w:tc>
          <w:tcPr>
            <w:tcW w:w="1417" w:type="dxa"/>
            <w:tcBorders>
              <w:top w:val="nil"/>
              <w:left w:val="nil"/>
              <w:bottom w:val="single" w:sz="8" w:space="0" w:color="FFFFFF"/>
              <w:right w:val="single" w:sz="8" w:space="0" w:color="FFFFFF"/>
            </w:tcBorders>
            <w:shd w:val="clear" w:color="auto" w:fill="FBE5D5" w:themeFill="accent2" w:themeFillTint="33"/>
            <w:vAlign w:val="center"/>
            <w:hideMark/>
          </w:tcPr>
          <w:p w:rsidR="00AF5AC0" w:rsidRPr="00BA385F" w:rsidP="0035719C">
            <w:pPr>
              <w:spacing w:after="0" w:line="240" w:lineRule="auto"/>
              <w:jc w:val="center"/>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xml:space="preserve">      499 737 </w:t>
            </w:r>
          </w:p>
        </w:tc>
        <w:tc>
          <w:tcPr>
            <w:tcW w:w="1701" w:type="dxa"/>
            <w:tcBorders>
              <w:top w:val="nil"/>
              <w:left w:val="nil"/>
              <w:bottom w:val="single" w:sz="8" w:space="0" w:color="FFFFFF"/>
              <w:right w:val="single" w:sz="8" w:space="0" w:color="FFFFFF"/>
            </w:tcBorders>
            <w:shd w:val="clear" w:color="auto" w:fill="FBE5D5" w:themeFill="accent2" w:themeFillTint="33"/>
            <w:vAlign w:val="center"/>
            <w:hideMark/>
          </w:tcPr>
          <w:p w:rsidR="00AF5AC0" w:rsidRPr="00BA385F" w:rsidP="0035719C">
            <w:pPr>
              <w:spacing w:after="0" w:line="240" w:lineRule="auto"/>
              <w:jc w:val="center"/>
              <w:rPr>
                <w:rFonts w:ascii="Times New Roman" w:eastAsia="Times New Roman" w:hAnsi="Times New Roman" w:cs="Times New Roman"/>
                <w:lang w:eastAsia="lv-LV"/>
              </w:rPr>
            </w:pPr>
            <w:r w:rsidRPr="00BA385F">
              <w:rPr>
                <w:rFonts w:ascii="Times New Roman" w:eastAsia="Times New Roman" w:hAnsi="Times New Roman" w:cs="Times New Roman"/>
                <w:lang w:eastAsia="lv-LV"/>
              </w:rPr>
              <w:t xml:space="preserve">      549 711 </w:t>
            </w:r>
          </w:p>
        </w:tc>
      </w:tr>
      <w:tr w:rsidTr="00AF5AC0">
        <w:tblPrEx>
          <w:tblW w:w="9639" w:type="dxa"/>
          <w:jc w:val="center"/>
          <w:tblLook w:val="04A0"/>
        </w:tblPrEx>
        <w:trPr>
          <w:trHeight w:val="315"/>
          <w:jc w:val="center"/>
        </w:trPr>
        <w:tc>
          <w:tcPr>
            <w:tcW w:w="5103" w:type="dxa"/>
            <w:tcBorders>
              <w:top w:val="nil"/>
              <w:left w:val="single" w:sz="8" w:space="0" w:color="FFFFFF"/>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right"/>
              <w:rPr>
                <w:rFonts w:ascii="Times New Roman" w:eastAsia="Times New Roman" w:hAnsi="Times New Roman" w:cs="Times New Roman"/>
                <w:b/>
                <w:bCs/>
                <w:lang w:eastAsia="lv-LV"/>
              </w:rPr>
            </w:pPr>
            <w:r w:rsidRPr="00BA385F">
              <w:rPr>
                <w:rFonts w:ascii="Times New Roman" w:eastAsia="Times New Roman" w:hAnsi="Times New Roman" w:cs="Times New Roman"/>
                <w:b/>
                <w:bCs/>
                <w:lang w:eastAsia="lv-LV"/>
              </w:rPr>
              <w:t>Kopā</w:t>
            </w:r>
          </w:p>
        </w:tc>
        <w:tc>
          <w:tcPr>
            <w:tcW w:w="1418" w:type="dxa"/>
            <w:tcBorders>
              <w:top w:val="nil"/>
              <w:left w:val="nil"/>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center"/>
              <w:rPr>
                <w:rFonts w:ascii="Times New Roman" w:eastAsia="Times New Roman" w:hAnsi="Times New Roman" w:cs="Times New Roman"/>
                <w:b/>
                <w:lang w:eastAsia="lv-LV"/>
              </w:rPr>
            </w:pPr>
            <w:r w:rsidRPr="00BA385F">
              <w:rPr>
                <w:rFonts w:ascii="Times New Roman" w:eastAsia="Times New Roman" w:hAnsi="Times New Roman" w:cs="Times New Roman"/>
                <w:b/>
                <w:lang w:eastAsia="lv-LV"/>
              </w:rPr>
              <w:t xml:space="preserve">      203 897 </w:t>
            </w:r>
          </w:p>
        </w:tc>
        <w:tc>
          <w:tcPr>
            <w:tcW w:w="1417" w:type="dxa"/>
            <w:tcBorders>
              <w:top w:val="nil"/>
              <w:left w:val="nil"/>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center"/>
              <w:rPr>
                <w:rFonts w:ascii="Times New Roman" w:eastAsia="Times New Roman" w:hAnsi="Times New Roman" w:cs="Times New Roman"/>
                <w:b/>
                <w:lang w:eastAsia="lv-LV"/>
              </w:rPr>
            </w:pPr>
            <w:r w:rsidRPr="00BA385F">
              <w:rPr>
                <w:rFonts w:ascii="Times New Roman" w:eastAsia="Times New Roman" w:hAnsi="Times New Roman" w:cs="Times New Roman"/>
                <w:b/>
                <w:lang w:eastAsia="lv-LV"/>
              </w:rPr>
              <w:t xml:space="preserve">      790 245 </w:t>
            </w:r>
          </w:p>
        </w:tc>
        <w:tc>
          <w:tcPr>
            <w:tcW w:w="1701" w:type="dxa"/>
            <w:tcBorders>
              <w:top w:val="nil"/>
              <w:left w:val="nil"/>
              <w:bottom w:val="single" w:sz="8" w:space="0" w:color="FFFFFF"/>
              <w:right w:val="single" w:sz="8" w:space="0" w:color="FFFFFF"/>
            </w:tcBorders>
            <w:shd w:val="clear" w:color="auto" w:fill="F4B183" w:themeFill="accent2" w:themeFillTint="99"/>
            <w:vAlign w:val="center"/>
            <w:hideMark/>
          </w:tcPr>
          <w:p w:rsidR="00AF5AC0" w:rsidRPr="00BA385F" w:rsidP="0035719C">
            <w:pPr>
              <w:spacing w:after="0" w:line="240" w:lineRule="auto"/>
              <w:jc w:val="center"/>
              <w:rPr>
                <w:rFonts w:ascii="Times New Roman" w:eastAsia="Times New Roman" w:hAnsi="Times New Roman" w:cs="Times New Roman"/>
                <w:b/>
                <w:lang w:eastAsia="lv-LV"/>
              </w:rPr>
            </w:pPr>
            <w:r w:rsidRPr="00BA385F">
              <w:rPr>
                <w:rFonts w:ascii="Times New Roman" w:eastAsia="Times New Roman" w:hAnsi="Times New Roman" w:cs="Times New Roman"/>
                <w:b/>
                <w:lang w:eastAsia="lv-LV"/>
              </w:rPr>
              <w:t xml:space="preserve">      840 219 </w:t>
            </w:r>
          </w:p>
        </w:tc>
      </w:tr>
    </w:tbl>
    <w:p w:rsidR="00AF5AC0" w:rsidRPr="00696C9A" w:rsidP="00696C9A">
      <w:pPr>
        <w:spacing w:after="0"/>
        <w:ind w:firstLine="709"/>
        <w:jc w:val="both"/>
        <w:rPr>
          <w:rFonts w:ascii="Times New Roman" w:hAnsi="Times New Roman" w:cs="Times New Roman"/>
          <w:sz w:val="28"/>
          <w:szCs w:val="28"/>
        </w:rPr>
      </w:pPr>
    </w:p>
    <w:p w:rsidR="00D17012" w:rsidRPr="00696C9A" w:rsidP="00696C9A">
      <w:pPr>
        <w:spacing w:after="0"/>
        <w:jc w:val="both"/>
        <w:rPr>
          <w:rFonts w:ascii="Times New Roman" w:hAnsi="Times New Roman" w:cs="Times New Roman"/>
          <w:sz w:val="28"/>
          <w:szCs w:val="28"/>
        </w:rPr>
      </w:pPr>
    </w:p>
    <w:p w:rsidR="00D17012" w:rsidRPr="00696C9A" w:rsidP="00696C9A">
      <w:pPr>
        <w:pStyle w:val="ListParagraph"/>
        <w:numPr>
          <w:ilvl w:val="0"/>
          <w:numId w:val="1"/>
        </w:numPr>
        <w:autoSpaceDE w:val="0"/>
        <w:autoSpaceDN w:val="0"/>
        <w:adjustRightInd w:val="0"/>
        <w:jc w:val="center"/>
        <w:rPr>
          <w:rFonts w:eastAsia="Calibri"/>
          <w:b/>
          <w:color w:val="000000"/>
          <w:sz w:val="28"/>
          <w:szCs w:val="28"/>
          <w:u w:val="single"/>
        </w:rPr>
      </w:pPr>
      <w:r w:rsidRPr="00696C9A">
        <w:rPr>
          <w:rFonts w:eastAsia="Calibri"/>
          <w:b/>
          <w:color w:val="000000"/>
          <w:sz w:val="28"/>
          <w:szCs w:val="28"/>
          <w:u w:val="single"/>
        </w:rPr>
        <w:t>Ieteikumi</w:t>
      </w:r>
      <w:r w:rsidRPr="00696C9A" w:rsidR="00E67B20">
        <w:rPr>
          <w:rFonts w:eastAsia="Calibri"/>
          <w:b/>
          <w:color w:val="000000"/>
          <w:sz w:val="28"/>
          <w:szCs w:val="28"/>
          <w:u w:val="single"/>
        </w:rPr>
        <w:t xml:space="preserve"> turpmākai </w:t>
      </w:r>
      <w:r w:rsidRPr="00696C9A">
        <w:rPr>
          <w:rFonts w:eastAsia="Calibri"/>
          <w:b/>
          <w:color w:val="000000"/>
          <w:sz w:val="28"/>
          <w:szCs w:val="28"/>
          <w:u w:val="single"/>
        </w:rPr>
        <w:t>rīcība</w:t>
      </w:r>
      <w:r w:rsidRPr="00696C9A" w:rsidR="00E67B20">
        <w:rPr>
          <w:rFonts w:eastAsia="Calibri"/>
          <w:b/>
          <w:color w:val="000000"/>
          <w:sz w:val="28"/>
          <w:szCs w:val="28"/>
          <w:u w:val="single"/>
        </w:rPr>
        <w:t>i</w:t>
      </w:r>
    </w:p>
    <w:p w:rsidR="00E67B20" w:rsidRPr="00696C9A" w:rsidP="00696C9A">
      <w:pPr>
        <w:autoSpaceDE w:val="0"/>
        <w:autoSpaceDN w:val="0"/>
        <w:adjustRightInd w:val="0"/>
        <w:ind w:left="360"/>
        <w:jc w:val="both"/>
        <w:rPr>
          <w:rFonts w:ascii="Times New Roman" w:eastAsia="Calibri" w:hAnsi="Times New Roman" w:cs="Times New Roman"/>
          <w:b/>
          <w:color w:val="000000"/>
          <w:sz w:val="28"/>
          <w:szCs w:val="28"/>
          <w:u w:val="single"/>
        </w:rPr>
      </w:pPr>
    </w:p>
    <w:p w:rsidR="003F51E7" w:rsidP="00585FEF">
      <w:pPr>
        <w:autoSpaceDE w:val="0"/>
        <w:autoSpaceDN w:val="0"/>
        <w:adjustRightInd w:val="0"/>
        <w:ind w:firstLine="709"/>
        <w:jc w:val="both"/>
        <w:rPr>
          <w:rFonts w:ascii="Times New Roman" w:hAnsi="Times New Roman" w:cs="Times New Roman"/>
          <w:sz w:val="28"/>
        </w:rPr>
      </w:pPr>
      <w:r>
        <w:rPr>
          <w:rFonts w:ascii="Times New Roman" w:hAnsi="Times New Roman" w:cs="Times New Roman"/>
          <w:sz w:val="28"/>
          <w:szCs w:val="28"/>
        </w:rPr>
        <w:t xml:space="preserve">1. </w:t>
      </w:r>
      <w:r>
        <w:rPr>
          <w:rFonts w:ascii="Times New Roman" w:hAnsi="Times New Roman" w:cs="Times New Roman"/>
          <w:sz w:val="28"/>
          <w:szCs w:val="28"/>
        </w:rPr>
        <w:t>L</w:t>
      </w:r>
      <w:r w:rsidRPr="00696C9A">
        <w:rPr>
          <w:rFonts w:ascii="Times New Roman" w:hAnsi="Times New Roman" w:cs="Times New Roman"/>
          <w:sz w:val="28"/>
          <w:szCs w:val="28"/>
        </w:rPr>
        <w:t>ai nodrošinātu efektīvāku onkoloģisko medikamentu iepirkšanu un izlietošanu, nodrošinot pacientu līdzestību</w:t>
      </w:r>
      <w:r w:rsidRPr="00696C9A">
        <w:rPr>
          <w:rFonts w:ascii="Times New Roman" w:hAnsi="Times New Roman" w:cs="Times New Roman"/>
          <w:sz w:val="28"/>
        </w:rPr>
        <w:t xml:space="preserve"> </w:t>
      </w:r>
      <w:r>
        <w:rPr>
          <w:rFonts w:ascii="Times New Roman" w:hAnsi="Times New Roman" w:cs="Times New Roman"/>
          <w:sz w:val="28"/>
        </w:rPr>
        <w:t>Veselības ministrijai iesniegt izskatīšanai</w:t>
      </w:r>
      <w:r w:rsidR="00585FEF">
        <w:rPr>
          <w:rFonts w:ascii="Times New Roman" w:hAnsi="Times New Roman" w:cs="Times New Roman"/>
          <w:sz w:val="28"/>
        </w:rPr>
        <w:t xml:space="preserve"> Ministru kabinetā</w:t>
      </w:r>
      <w:r>
        <w:rPr>
          <w:rFonts w:ascii="Times New Roman" w:hAnsi="Times New Roman" w:cs="Times New Roman"/>
          <w:sz w:val="28"/>
        </w:rPr>
        <w:t xml:space="preserve"> </w:t>
      </w:r>
      <w:r w:rsidR="00585FEF">
        <w:rPr>
          <w:rFonts w:ascii="Times New Roman" w:hAnsi="Times New Roman" w:cs="Times New Roman"/>
          <w:sz w:val="28"/>
        </w:rPr>
        <w:t>nepieciešamos grozījumus MK 31.10.2006. noteikumos</w:t>
      </w:r>
      <w:r w:rsidRPr="00585FEF" w:rsidR="00585FEF">
        <w:rPr>
          <w:rFonts w:ascii="Times New Roman" w:hAnsi="Times New Roman" w:cs="Times New Roman"/>
          <w:sz w:val="28"/>
        </w:rPr>
        <w:t xml:space="preserve"> Nr.899 “Ambulatorajai ārstēšanai paredzēto zāļu un medicīnisko ierīču iegādes izdevumu kompensācijas kārtība”</w:t>
      </w:r>
      <w:r w:rsidR="00585FEF">
        <w:rPr>
          <w:rFonts w:ascii="Times New Roman" w:hAnsi="Times New Roman" w:cs="Times New Roman"/>
          <w:sz w:val="28"/>
        </w:rPr>
        <w:t xml:space="preserve"> un MK 17.12.2013 noteikumos Nr.1529 “</w:t>
      </w:r>
      <w:r w:rsidRPr="00585FEF" w:rsidR="00585FEF">
        <w:rPr>
          <w:rFonts w:ascii="Times New Roman" w:hAnsi="Times New Roman" w:cs="Times New Roman"/>
          <w:sz w:val="28"/>
        </w:rPr>
        <w:t>Veselības aprūpes organizēšanas un finansēšanas kārtība</w:t>
      </w:r>
      <w:r w:rsidR="00585FEF">
        <w:rPr>
          <w:rFonts w:ascii="Times New Roman" w:hAnsi="Times New Roman" w:cs="Times New Roman"/>
          <w:sz w:val="28"/>
        </w:rPr>
        <w:t xml:space="preserve">”, nosakot, </w:t>
      </w:r>
      <w:r w:rsidRPr="00696C9A" w:rsidR="00585FEF">
        <w:rPr>
          <w:rFonts w:ascii="Times New Roman" w:eastAsia="Times New Roman" w:hAnsi="Times New Roman" w:cs="Times New Roman"/>
          <w:sz w:val="28"/>
          <w:szCs w:val="28"/>
          <w:lang w:eastAsia="lv-LV"/>
        </w:rPr>
        <w:t>ka sākot ar 2018.gada 1.</w:t>
      </w:r>
      <w:r w:rsidR="00AF5AC0">
        <w:rPr>
          <w:rFonts w:ascii="Times New Roman" w:eastAsia="Times New Roman" w:hAnsi="Times New Roman" w:cs="Times New Roman"/>
          <w:sz w:val="28"/>
          <w:szCs w:val="28"/>
          <w:lang w:eastAsia="lv-LV"/>
        </w:rPr>
        <w:t>martu</w:t>
      </w:r>
      <w:r w:rsidRPr="00696C9A" w:rsidR="00585FEF">
        <w:rPr>
          <w:rFonts w:ascii="Times New Roman" w:eastAsia="Times New Roman" w:hAnsi="Times New Roman" w:cs="Times New Roman"/>
          <w:sz w:val="28"/>
          <w:szCs w:val="28"/>
          <w:lang w:eastAsia="lv-LV"/>
        </w:rPr>
        <w:t xml:space="preserve"> onkoloģisko slimību ārstēšanai lietojamās parenterāli ievadāmās zāles (izņemot tās, par kuru kompensācijas nodrošināšanu ir noslēgts finansiālas līdzdalības līgums ar </w:t>
      </w:r>
      <w:r w:rsidRPr="00696C9A" w:rsidR="00585FEF">
        <w:rPr>
          <w:rFonts w:ascii="Times New Roman" w:hAnsi="Times New Roman" w:cs="Times New Roman"/>
          <w:sz w:val="28"/>
          <w:szCs w:val="28"/>
        </w:rPr>
        <w:t>zāļu reģistrācijas apliecības īpašnieku vai viņa pilnvarotām personām),</w:t>
      </w:r>
      <w:r w:rsidRPr="00696C9A" w:rsidR="00585FEF">
        <w:rPr>
          <w:rFonts w:ascii="Times New Roman" w:hAnsi="Times New Roman" w:cs="Times New Roman"/>
          <w:color w:val="FF0000"/>
          <w:sz w:val="28"/>
          <w:szCs w:val="28"/>
        </w:rPr>
        <w:t xml:space="preserve"> </w:t>
      </w:r>
      <w:r w:rsidRPr="00696C9A" w:rsidR="00585FEF">
        <w:rPr>
          <w:rFonts w:ascii="Times New Roman" w:eastAsia="Times New Roman" w:hAnsi="Times New Roman" w:cs="Times New Roman"/>
          <w:sz w:val="28"/>
          <w:szCs w:val="28"/>
          <w:lang w:eastAsia="lv-LV"/>
        </w:rPr>
        <w:t>kuru iegāde tiek apmaksāta no valsts budžeta līdzekļiem (turpmāk – Medikamenti), tiks iepirktas centralizēti</w:t>
      </w:r>
    </w:p>
    <w:p w:rsidR="00AB4E04" w:rsidP="007B5D50">
      <w:pPr>
        <w:autoSpaceDE w:val="0"/>
        <w:autoSpaceDN w:val="0"/>
        <w:adjustRightInd w:val="0"/>
        <w:ind w:firstLine="709"/>
        <w:jc w:val="both"/>
        <w:rPr>
          <w:rFonts w:ascii="Times New Roman" w:hAnsi="Times New Roman" w:cs="Times New Roman"/>
          <w:sz w:val="28"/>
        </w:rPr>
      </w:pPr>
      <w:r>
        <w:rPr>
          <w:rFonts w:ascii="Times New Roman" w:hAnsi="Times New Roman" w:cs="Times New Roman"/>
          <w:sz w:val="28"/>
        </w:rPr>
        <w:t xml:space="preserve">2. </w:t>
      </w:r>
      <w:r>
        <w:rPr>
          <w:rFonts w:ascii="Times New Roman" w:hAnsi="Times New Roman" w:cs="Times New Roman"/>
          <w:sz w:val="28"/>
        </w:rPr>
        <w:t xml:space="preserve">Atbilstoši 2016.gada 29.novembra MK sēdes protokola Nr.65 32.paragrāfā Informatīvais ziņojums “Par medikamentu iepirkumu organizēšanu kapitālsabiedrībās, kurās Veselības ministrija ir valsts kapitāla daļu turētāja, </w:t>
      </w:r>
      <w:r>
        <w:rPr>
          <w:rFonts w:ascii="Times New Roman" w:hAnsi="Times New Roman" w:cs="Times New Roman"/>
          <w:sz w:val="28"/>
        </w:rPr>
        <w:t>izmantojot Elektronisko iepirkumu sistēmu” Veselības ministrijai līdz 2017.gada 31.decembrim izveidot institūciju centralizētai medikamentu un medicīnas preču iepirkumu organizēšanai Veselības ministrijai piešķirto budžeta līdzekļu ietvaros.</w:t>
      </w:r>
    </w:p>
    <w:p w:rsidR="00E67B20" w:rsidRPr="00696C9A" w:rsidP="007B5D50">
      <w:pPr>
        <w:autoSpaceDE w:val="0"/>
        <w:autoSpaceDN w:val="0"/>
        <w:adjustRightInd w:val="0"/>
        <w:ind w:firstLine="709"/>
        <w:jc w:val="both"/>
        <w:rPr>
          <w:rFonts w:ascii="Times New Roman" w:eastAsia="Calibri" w:hAnsi="Times New Roman" w:cs="Times New Roman"/>
          <w:b/>
          <w:color w:val="000000"/>
          <w:sz w:val="28"/>
          <w:szCs w:val="28"/>
          <w:u w:val="single"/>
        </w:rPr>
      </w:pPr>
      <w:r>
        <w:rPr>
          <w:rFonts w:ascii="Times New Roman" w:hAnsi="Times New Roman" w:cs="Times New Roman"/>
          <w:sz w:val="28"/>
        </w:rPr>
        <w:t xml:space="preserve">3. </w:t>
      </w:r>
      <w:r w:rsidR="00FC1619">
        <w:rPr>
          <w:rFonts w:ascii="Times New Roman" w:hAnsi="Times New Roman" w:cs="Times New Roman"/>
          <w:sz w:val="28"/>
        </w:rPr>
        <w:t xml:space="preserve">Papildus </w:t>
      </w:r>
      <w:r w:rsidRPr="00696C9A" w:rsidR="00FC1619">
        <w:rPr>
          <w:rFonts w:ascii="Times New Roman" w:hAnsi="Times New Roman" w:cs="Times New Roman"/>
          <w:sz w:val="28"/>
        </w:rPr>
        <w:t>Veselības ministrijai</w:t>
      </w:r>
      <w:r w:rsidR="00FC1619">
        <w:rPr>
          <w:rFonts w:ascii="Times New Roman" w:hAnsi="Times New Roman" w:cs="Times New Roman"/>
          <w:sz w:val="28"/>
        </w:rPr>
        <w:t xml:space="preserve"> līdz 2018.gada </w:t>
      </w:r>
      <w:r w:rsidRPr="00696C9A" w:rsidR="00FC1619">
        <w:rPr>
          <w:rFonts w:ascii="Times New Roman" w:hAnsi="Times New Roman" w:cs="Times New Roman"/>
          <w:sz w:val="28"/>
        </w:rPr>
        <w:t xml:space="preserve">1.jūnijam </w:t>
      </w:r>
      <w:r w:rsidR="00FC1619">
        <w:rPr>
          <w:rFonts w:ascii="Times New Roman" w:hAnsi="Times New Roman" w:cs="Times New Roman"/>
          <w:sz w:val="28"/>
        </w:rPr>
        <w:t>sagatavot priekšlikumus par medikamentu grupām,</w:t>
      </w:r>
      <w:r w:rsidRPr="00696C9A" w:rsidR="00FC1619">
        <w:rPr>
          <w:rFonts w:ascii="Times New Roman" w:hAnsi="Times New Roman" w:cs="Times New Roman"/>
          <w:sz w:val="28"/>
        </w:rPr>
        <w:t xml:space="preserve"> </w:t>
      </w:r>
      <w:r w:rsidR="00FC1619">
        <w:rPr>
          <w:rFonts w:ascii="Times New Roman" w:hAnsi="Times New Roman" w:cs="Times New Roman"/>
          <w:sz w:val="28"/>
        </w:rPr>
        <w:t>kuru iepirkšanu iespējams nodrošināt centralizēti.</w:t>
      </w:r>
    </w:p>
    <w:p w:rsidR="003C1130" w:rsidP="003C1130">
      <w:pPr>
        <w:ind w:right="-766"/>
        <w:rPr>
          <w:rFonts w:ascii="Times New Roman" w:eastAsia="Calibri" w:hAnsi="Times New Roman" w:cs="Times New Roman"/>
          <w:sz w:val="28"/>
          <w:szCs w:val="28"/>
        </w:rPr>
      </w:pPr>
    </w:p>
    <w:p w:rsidR="003C1130" w:rsidRPr="003C1130" w:rsidP="003C1130">
      <w:pPr>
        <w:ind w:right="-766"/>
        <w:rPr>
          <w:rFonts w:ascii="Times New Roman" w:eastAsia="Calibri" w:hAnsi="Times New Roman" w:cs="Times New Roman"/>
          <w:sz w:val="28"/>
          <w:szCs w:val="28"/>
        </w:rPr>
      </w:pPr>
      <w:r w:rsidRPr="003C1130">
        <w:rPr>
          <w:rFonts w:ascii="Times New Roman" w:eastAsia="Calibri" w:hAnsi="Times New Roman" w:cs="Times New Roman"/>
          <w:sz w:val="28"/>
          <w:szCs w:val="28"/>
        </w:rPr>
        <w:t>Veselības ministre</w:t>
      </w:r>
      <w:r w:rsidRPr="003C1130">
        <w:rPr>
          <w:rFonts w:ascii="Times New Roman" w:eastAsia="Calibri" w:hAnsi="Times New Roman" w:cs="Times New Roman"/>
          <w:sz w:val="28"/>
          <w:szCs w:val="28"/>
        </w:rPr>
        <w:tab/>
      </w:r>
      <w:r w:rsidRPr="003C1130">
        <w:rPr>
          <w:rFonts w:ascii="Times New Roman" w:eastAsia="Calibri" w:hAnsi="Times New Roman" w:cs="Times New Roman"/>
          <w:sz w:val="28"/>
          <w:szCs w:val="28"/>
        </w:rPr>
        <w:tab/>
      </w:r>
      <w:r w:rsidRPr="003C1130">
        <w:rPr>
          <w:rFonts w:ascii="Times New Roman" w:eastAsia="Calibri" w:hAnsi="Times New Roman" w:cs="Times New Roman"/>
          <w:sz w:val="28"/>
          <w:szCs w:val="28"/>
        </w:rPr>
        <w:tab/>
      </w:r>
      <w:r w:rsidRPr="003C1130">
        <w:rPr>
          <w:rFonts w:ascii="Times New Roman" w:eastAsia="Calibri" w:hAnsi="Times New Roman" w:cs="Times New Roman"/>
          <w:sz w:val="28"/>
          <w:szCs w:val="28"/>
        </w:rPr>
        <w:tab/>
      </w:r>
      <w:r w:rsidRPr="003C1130">
        <w:rPr>
          <w:rFonts w:ascii="Times New Roman" w:eastAsia="Calibri" w:hAnsi="Times New Roman" w:cs="Times New Roman"/>
          <w:sz w:val="28"/>
          <w:szCs w:val="28"/>
        </w:rPr>
        <w:tab/>
      </w:r>
      <w:r w:rsidRPr="003C1130">
        <w:rPr>
          <w:rFonts w:ascii="Times New Roman" w:eastAsia="Calibri" w:hAnsi="Times New Roman" w:cs="Times New Roman"/>
          <w:sz w:val="28"/>
          <w:szCs w:val="28"/>
        </w:rPr>
        <w:tab/>
        <w:t xml:space="preserve"> </w:t>
      </w:r>
      <w:r w:rsidRPr="003C1130">
        <w:rPr>
          <w:rFonts w:ascii="Times New Roman" w:eastAsia="Calibri" w:hAnsi="Times New Roman" w:cs="Times New Roman"/>
          <w:sz w:val="28"/>
          <w:szCs w:val="28"/>
        </w:rPr>
        <w:tab/>
      </w:r>
      <w:r w:rsidRPr="003C1130">
        <w:rPr>
          <w:rFonts w:ascii="Times New Roman" w:eastAsia="Calibri" w:hAnsi="Times New Roman" w:cs="Times New Roman"/>
          <w:sz w:val="28"/>
          <w:szCs w:val="28"/>
        </w:rPr>
        <w:tab/>
      </w:r>
      <w:r>
        <w:rPr>
          <w:rFonts w:ascii="Times New Roman" w:eastAsia="Calibri" w:hAnsi="Times New Roman" w:cs="Times New Roman"/>
          <w:sz w:val="28"/>
          <w:szCs w:val="28"/>
        </w:rPr>
        <w:t xml:space="preserve">   </w:t>
      </w:r>
      <w:r w:rsidRPr="003C1130">
        <w:rPr>
          <w:rFonts w:ascii="Times New Roman" w:eastAsia="Calibri" w:hAnsi="Times New Roman" w:cs="Times New Roman"/>
          <w:sz w:val="28"/>
          <w:szCs w:val="28"/>
        </w:rPr>
        <w:t>Anda Čakša</w:t>
      </w:r>
    </w:p>
    <w:p w:rsidR="003C1130" w:rsidRPr="003C1130" w:rsidP="003C1130">
      <w:pPr>
        <w:tabs>
          <w:tab w:val="left" w:pos="7088"/>
          <w:tab w:val="right" w:pos="9072"/>
        </w:tabs>
        <w:ind w:right="-766"/>
        <w:rPr>
          <w:rFonts w:ascii="Times New Roman" w:eastAsia="Calibri" w:hAnsi="Times New Roman" w:cs="Times New Roman"/>
          <w:sz w:val="28"/>
          <w:szCs w:val="28"/>
        </w:rPr>
      </w:pPr>
      <w:r w:rsidRPr="003C1130">
        <w:rPr>
          <w:rFonts w:ascii="Times New Roman" w:eastAsia="Calibri" w:hAnsi="Times New Roman" w:cs="Times New Roman"/>
          <w:sz w:val="28"/>
          <w:szCs w:val="28"/>
        </w:rPr>
        <w:t>Iesniedzējs: Veselības ministre</w:t>
      </w:r>
      <w:r w:rsidRPr="003C1130">
        <w:rPr>
          <w:rFonts w:ascii="Times New Roman" w:eastAsia="Calibri" w:hAnsi="Times New Roman" w:cs="Times New Roman"/>
          <w:sz w:val="28"/>
          <w:szCs w:val="28"/>
        </w:rPr>
        <w:tab/>
        <w:t xml:space="preserve">    </w:t>
      </w:r>
      <w:r>
        <w:rPr>
          <w:rFonts w:ascii="Times New Roman" w:eastAsia="Calibri" w:hAnsi="Times New Roman" w:cs="Times New Roman"/>
          <w:sz w:val="28"/>
          <w:szCs w:val="28"/>
        </w:rPr>
        <w:t xml:space="preserve"> </w:t>
      </w:r>
      <w:r w:rsidRPr="003C1130">
        <w:rPr>
          <w:rFonts w:ascii="Times New Roman" w:eastAsia="Calibri" w:hAnsi="Times New Roman" w:cs="Times New Roman"/>
          <w:sz w:val="28"/>
          <w:szCs w:val="28"/>
        </w:rPr>
        <w:t>Anda Čakša</w:t>
      </w:r>
    </w:p>
    <w:p w:rsidR="00413A76" w:rsidRPr="00696C9A" w:rsidP="004C2738">
      <w:pPr>
        <w:tabs>
          <w:tab w:val="right" w:pos="9072"/>
        </w:tabs>
        <w:ind w:right="-1"/>
        <w:rPr>
          <w:rFonts w:ascii="Times New Roman" w:hAnsi="Times New Roman" w:cs="Times New Roman"/>
          <w:sz w:val="28"/>
          <w:szCs w:val="28"/>
        </w:rPr>
      </w:pPr>
      <w:r w:rsidRPr="003C1130">
        <w:rPr>
          <w:rFonts w:ascii="Times New Roman" w:eastAsia="Calibri" w:hAnsi="Times New Roman" w:cs="Times New Roman"/>
          <w:sz w:val="28"/>
          <w:szCs w:val="28"/>
        </w:rPr>
        <w:t xml:space="preserve">Vīza: Valsts sekretārs </w:t>
      </w:r>
      <w:r w:rsidRPr="003C1130">
        <w:rPr>
          <w:rFonts w:ascii="Times New Roman" w:eastAsia="Calibri" w:hAnsi="Times New Roman" w:cs="Times New Roman"/>
          <w:sz w:val="28"/>
          <w:szCs w:val="28"/>
        </w:rPr>
        <w:tab/>
        <w:t xml:space="preserve">Kārlis Ketners   </w:t>
      </w:r>
    </w:p>
    <w:sectPr w:rsidSect="003C1130">
      <w:headerReference w:type="default" r:id="rId5"/>
      <w:footerReference w:type="default" r:id="rId6"/>
      <w:footerReference w:type="first" r:id="rId7"/>
      <w:pgSz w:w="11906" w:h="16838"/>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130" w:rsidRPr="003C1130" w:rsidP="003C1130">
    <w:pPr>
      <w:pStyle w:val="Footer"/>
      <w:rPr>
        <w:rFonts w:ascii="Times New Roman" w:hAnsi="Times New Roman" w:cs="Times New Roman"/>
        <w:sz w:val="20"/>
        <w:szCs w:val="20"/>
      </w:rPr>
    </w:pPr>
    <w:r w:rsidRPr="003C1130">
      <w:rPr>
        <w:rFonts w:ascii="Times New Roman" w:hAnsi="Times New Roman" w:cs="Times New Roman"/>
        <w:sz w:val="20"/>
        <w:szCs w:val="20"/>
      </w:rPr>
      <w:t>VMzin_290817_centmed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130" w:rsidRPr="003C1130">
    <w:pPr>
      <w:pStyle w:val="Footer"/>
      <w:rPr>
        <w:rFonts w:ascii="Times New Roman" w:hAnsi="Times New Roman" w:cs="Times New Roman"/>
        <w:sz w:val="20"/>
        <w:szCs w:val="20"/>
      </w:rPr>
    </w:pPr>
    <w:r w:rsidRPr="003C1130">
      <w:rPr>
        <w:rFonts w:ascii="Times New Roman" w:hAnsi="Times New Roman" w:cs="Times New Roman"/>
        <w:sz w:val="20"/>
        <w:szCs w:val="20"/>
      </w:rPr>
      <w:t>VMzin_290817_centmed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E766F" w:rsidP="00730AE5">
      <w:pPr>
        <w:spacing w:after="0" w:line="240" w:lineRule="auto"/>
      </w:pPr>
      <w:r>
        <w:separator/>
      </w:r>
    </w:p>
  </w:footnote>
  <w:footnote w:type="continuationSeparator" w:id="1">
    <w:p w:rsidR="00DE766F" w:rsidP="00730AE5">
      <w:pPr>
        <w:spacing w:after="0" w:line="240" w:lineRule="auto"/>
      </w:pPr>
      <w:r>
        <w:continuationSeparator/>
      </w:r>
    </w:p>
  </w:footnote>
  <w:footnote w:id="2">
    <w:p w:rsidR="00730AE5" w:rsidRPr="005E3B71" w:rsidP="00730AE5">
      <w:pPr>
        <w:pStyle w:val="FootnoteText"/>
        <w:rPr>
          <w:rFonts w:ascii="Times New Roman" w:hAnsi="Times New Roman"/>
        </w:rPr>
      </w:pPr>
      <w:r w:rsidRPr="005E3B71">
        <w:rPr>
          <w:rStyle w:val="FootnoteReference"/>
          <w:rFonts w:ascii="Times New Roman" w:hAnsi="Times New Roman"/>
        </w:rPr>
        <w:footnoteRef/>
      </w:r>
      <w:r w:rsidRPr="005E3B71">
        <w:rPr>
          <w:rFonts w:ascii="Times New Roman" w:hAnsi="Times New Roman"/>
        </w:rPr>
        <w:t xml:space="preserve"> Preču grup</w:t>
      </w:r>
      <w:r>
        <w:rPr>
          <w:rFonts w:ascii="Times New Roman" w:hAnsi="Times New Roman"/>
        </w:rPr>
        <w:t>ās pamatā iekļauti medikamenti no Nacionālā veselības dienesta publicētā stacionāros lietojamo zāļu saraksta, savukārt sadalījums starp reģistrēto un nereģistrēto zāļu katalogu veikts balstoties uz Zāļu valsts aģentūras uzturēto Latvijas Zāļu reģistru.</w:t>
      </w:r>
    </w:p>
  </w:footnote>
  <w:footnote w:id="3">
    <w:p w:rsidR="00730AE5" w:rsidRPr="005E3B71" w:rsidP="00730AE5">
      <w:pPr>
        <w:pStyle w:val="FootnoteText"/>
        <w:rPr>
          <w:rFonts w:ascii="Times New Roman" w:hAnsi="Times New Roman"/>
        </w:rPr>
      </w:pPr>
      <w:r w:rsidRPr="005E3B71">
        <w:rPr>
          <w:rStyle w:val="FootnoteReference"/>
          <w:rFonts w:ascii="Times New Roman" w:hAnsi="Times New Roman"/>
        </w:rPr>
        <w:footnoteRef/>
      </w:r>
      <w:r w:rsidRPr="005E3B71">
        <w:rPr>
          <w:rFonts w:ascii="Times New Roman" w:hAnsi="Times New Roman"/>
        </w:rPr>
        <w:t xml:space="preserve"> Pēc kataloga darbības termiņa beigām (2017.gada 7.maija) katalogs vairs netiks atjaunots.</w:t>
      </w:r>
    </w:p>
  </w:footnote>
  <w:footnote w:id="4">
    <w:p w:rsidR="00730AE5" w:rsidRPr="00FA3C53" w:rsidP="00730AE5">
      <w:pPr>
        <w:pStyle w:val="FootnoteText"/>
      </w:pPr>
      <w:r w:rsidRPr="005E3B71">
        <w:rPr>
          <w:rStyle w:val="FootnoteReference"/>
          <w:rFonts w:ascii="Times New Roman" w:hAnsi="Times New Roman"/>
        </w:rPr>
        <w:footnoteRef/>
      </w:r>
      <w:r w:rsidRPr="005E3B71">
        <w:rPr>
          <w:rFonts w:ascii="Times New Roman" w:hAnsi="Times New Roman"/>
        </w:rPr>
        <w:t xml:space="preserve"> Pēc kataloga darbības termiņa beigām (2016.gada 2.oktobra) preču grupa vairs netiks pārstāvēta EIS katalogos.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819716465"/>
      <w:docPartObj>
        <w:docPartGallery w:val="Page Numbers (Top of Page)"/>
        <w:docPartUnique/>
      </w:docPartObj>
    </w:sdtPr>
    <w:sdtEndPr>
      <w:rPr>
        <w:noProof/>
      </w:rPr>
    </w:sdtEndPr>
    <w:sdtContent>
      <w:p w:rsidR="009C736C">
        <w:pPr>
          <w:pStyle w:val="Header"/>
          <w:jc w:val="center"/>
        </w:pPr>
        <w:r>
          <w:fldChar w:fldCharType="begin"/>
        </w:r>
        <w:r>
          <w:instrText xml:space="preserve"> PAGE   \* MERGEFORMAT </w:instrText>
        </w:r>
        <w:r>
          <w:fldChar w:fldCharType="separate"/>
        </w:r>
        <w:r w:rsidR="000A41CA">
          <w:rPr>
            <w:noProof/>
          </w:rPr>
          <w:t>6</w:t>
        </w:r>
        <w:r>
          <w:rPr>
            <w:noProof/>
          </w:rPr>
          <w:fldChar w:fldCharType="end"/>
        </w:r>
      </w:p>
    </w:sdtContent>
  </w:sdt>
  <w:p w:rsidR="009C73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55D18"/>
    <w:multiLevelType w:val="hybridMultilevel"/>
    <w:tmpl w:val="133AE4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366C0165"/>
    <w:multiLevelType w:val="multilevel"/>
    <w:tmpl w:val="4FF03262"/>
    <w:lvl w:ilvl="0">
      <w:start w:val="1"/>
      <w:numFmt w:val="decimal"/>
      <w:lvlText w:val="%1."/>
      <w:lvlJc w:val="left"/>
      <w:pPr>
        <w:ind w:left="1018" w:hanging="360"/>
      </w:pPr>
      <w:rPr>
        <w:rFonts w:hint="default"/>
      </w:rPr>
    </w:lvl>
    <w:lvl w:ilvl="1">
      <w:start w:val="1"/>
      <w:numFmt w:val="decimal"/>
      <w:isLgl/>
      <w:lvlText w:val="%1.%2."/>
      <w:lvlJc w:val="left"/>
      <w:pPr>
        <w:ind w:left="1378" w:hanging="360"/>
      </w:pPr>
      <w:rPr>
        <w:rFonts w:hint="default"/>
      </w:rPr>
    </w:lvl>
    <w:lvl w:ilvl="2">
      <w:start w:val="1"/>
      <w:numFmt w:val="decimal"/>
      <w:isLgl/>
      <w:lvlText w:val="%1.%2.%3."/>
      <w:lvlJc w:val="left"/>
      <w:pPr>
        <w:ind w:left="2098" w:hanging="720"/>
      </w:pPr>
      <w:rPr>
        <w:rFonts w:hint="default"/>
      </w:rPr>
    </w:lvl>
    <w:lvl w:ilvl="3">
      <w:start w:val="1"/>
      <w:numFmt w:val="decimal"/>
      <w:isLgl/>
      <w:lvlText w:val="%1.%2.%3.%4."/>
      <w:lvlJc w:val="left"/>
      <w:pPr>
        <w:ind w:left="2458" w:hanging="720"/>
      </w:pPr>
      <w:rPr>
        <w:rFonts w:hint="default"/>
      </w:rPr>
    </w:lvl>
    <w:lvl w:ilvl="4">
      <w:start w:val="1"/>
      <w:numFmt w:val="decimal"/>
      <w:isLgl/>
      <w:lvlText w:val="%1.%2.%3.%4.%5."/>
      <w:lvlJc w:val="left"/>
      <w:pPr>
        <w:ind w:left="3178" w:hanging="1080"/>
      </w:pPr>
      <w:rPr>
        <w:rFonts w:hint="default"/>
      </w:rPr>
    </w:lvl>
    <w:lvl w:ilvl="5">
      <w:start w:val="1"/>
      <w:numFmt w:val="decimal"/>
      <w:isLgl/>
      <w:lvlText w:val="%1.%2.%3.%4.%5.%6."/>
      <w:lvlJc w:val="left"/>
      <w:pPr>
        <w:ind w:left="3538" w:hanging="1080"/>
      </w:pPr>
      <w:rPr>
        <w:rFonts w:hint="default"/>
      </w:rPr>
    </w:lvl>
    <w:lvl w:ilvl="6">
      <w:start w:val="1"/>
      <w:numFmt w:val="decimal"/>
      <w:isLgl/>
      <w:lvlText w:val="%1.%2.%3.%4.%5.%6.%7."/>
      <w:lvlJc w:val="left"/>
      <w:pPr>
        <w:ind w:left="4258" w:hanging="1440"/>
      </w:pPr>
      <w:rPr>
        <w:rFonts w:hint="default"/>
      </w:rPr>
    </w:lvl>
    <w:lvl w:ilvl="7">
      <w:start w:val="1"/>
      <w:numFmt w:val="decimal"/>
      <w:isLgl/>
      <w:lvlText w:val="%1.%2.%3.%4.%5.%6.%7.%8."/>
      <w:lvlJc w:val="left"/>
      <w:pPr>
        <w:ind w:left="4618" w:hanging="1440"/>
      </w:pPr>
      <w:rPr>
        <w:rFonts w:hint="default"/>
      </w:rPr>
    </w:lvl>
    <w:lvl w:ilvl="8">
      <w:start w:val="1"/>
      <w:numFmt w:val="decimal"/>
      <w:isLgl/>
      <w:lvlText w:val="%1.%2.%3.%4.%5.%6.%7.%8.%9."/>
      <w:lvlJc w:val="left"/>
      <w:pPr>
        <w:ind w:left="5338" w:hanging="1800"/>
      </w:pPr>
      <w:rPr>
        <w:rFonts w:hint="default"/>
      </w:rPr>
    </w:lvl>
  </w:abstractNum>
  <w:abstractNum w:abstractNumId="2">
    <w:nsid w:val="5A5711D0"/>
    <w:multiLevelType w:val="hybridMultilevel"/>
    <w:tmpl w:val="9D3EBE7C"/>
    <w:lvl w:ilvl="0">
      <w:start w:val="1"/>
      <w:numFmt w:val="bullet"/>
      <w:lvlText w:val="-"/>
      <w:lvlJc w:val="left"/>
      <w:pPr>
        <w:ind w:left="720" w:hanging="360"/>
      </w:pPr>
      <w:rPr>
        <w:rFonts w:ascii="Times New Roman" w:hAnsi="Times New Roman" w:eastAsiaTheme="minorHAnsi"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DC3"/>
    <w:rsid w:val="000A41CA"/>
    <w:rsid w:val="000D7A3B"/>
    <w:rsid w:val="0026655B"/>
    <w:rsid w:val="0035719C"/>
    <w:rsid w:val="003C1130"/>
    <w:rsid w:val="003F51E7"/>
    <w:rsid w:val="00413A76"/>
    <w:rsid w:val="00421A2F"/>
    <w:rsid w:val="004C2738"/>
    <w:rsid w:val="00570728"/>
    <w:rsid w:val="00585FEF"/>
    <w:rsid w:val="005E3B71"/>
    <w:rsid w:val="00663F9A"/>
    <w:rsid w:val="00696C9A"/>
    <w:rsid w:val="006A769E"/>
    <w:rsid w:val="006C447E"/>
    <w:rsid w:val="00730AE5"/>
    <w:rsid w:val="00785AAF"/>
    <w:rsid w:val="007B5D50"/>
    <w:rsid w:val="008157B3"/>
    <w:rsid w:val="008F2D64"/>
    <w:rsid w:val="009674A2"/>
    <w:rsid w:val="009C736C"/>
    <w:rsid w:val="00AA6FFD"/>
    <w:rsid w:val="00AB4E04"/>
    <w:rsid w:val="00AF5AC0"/>
    <w:rsid w:val="00B16DC3"/>
    <w:rsid w:val="00BA27CD"/>
    <w:rsid w:val="00BA385F"/>
    <w:rsid w:val="00C64D28"/>
    <w:rsid w:val="00D17012"/>
    <w:rsid w:val="00D862CC"/>
    <w:rsid w:val="00DE766F"/>
    <w:rsid w:val="00E32EEE"/>
    <w:rsid w:val="00E67B20"/>
    <w:rsid w:val="00EB0ED7"/>
    <w:rsid w:val="00F231F8"/>
    <w:rsid w:val="00F323B7"/>
    <w:rsid w:val="00F9493F"/>
    <w:rsid w:val="00FA3C53"/>
    <w:rsid w:val="00FA3EFF"/>
    <w:rsid w:val="00FC11DB"/>
    <w:rsid w:val="00FC1619"/>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33BA2713-4DFA-43A3-A041-BE1C6258A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DC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DC3"/>
    <w:pPr>
      <w:spacing w:after="0" w:line="240" w:lineRule="auto"/>
      <w:ind w:left="720"/>
      <w:contextualSpacing/>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unhideWhenUsed/>
    <w:rsid w:val="00730AE5"/>
    <w:pPr>
      <w:spacing w:after="0" w:line="240" w:lineRule="auto"/>
    </w:pPr>
    <w:rPr>
      <w:rFonts w:eastAsiaTheme="minorEastAsia"/>
      <w:sz w:val="20"/>
      <w:szCs w:val="20"/>
      <w:lang w:eastAsia="lv-LV"/>
    </w:rPr>
  </w:style>
  <w:style w:type="character" w:customStyle="1" w:styleId="FootnoteTextChar">
    <w:name w:val="Footnote Text Char"/>
    <w:basedOn w:val="DefaultParagraphFont"/>
    <w:link w:val="FootnoteText"/>
    <w:uiPriority w:val="99"/>
    <w:rsid w:val="00730AE5"/>
    <w:rPr>
      <w:rFonts w:eastAsiaTheme="minorEastAsia"/>
      <w:sz w:val="20"/>
      <w:szCs w:val="20"/>
      <w:lang w:eastAsia="lv-LV"/>
    </w:rPr>
  </w:style>
  <w:style w:type="character" w:styleId="FootnoteReference">
    <w:name w:val="footnote reference"/>
    <w:basedOn w:val="DefaultParagraphFont"/>
    <w:unhideWhenUsed/>
    <w:rsid w:val="00730AE5"/>
    <w:rPr>
      <w:vertAlign w:val="superscript"/>
    </w:rPr>
  </w:style>
  <w:style w:type="paragraph" w:styleId="Header">
    <w:name w:val="header"/>
    <w:basedOn w:val="Normal"/>
    <w:link w:val="HeaderChar"/>
    <w:uiPriority w:val="99"/>
    <w:unhideWhenUsed/>
    <w:rsid w:val="009C73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6C"/>
  </w:style>
  <w:style w:type="paragraph" w:styleId="Footer">
    <w:name w:val="footer"/>
    <w:basedOn w:val="Normal"/>
    <w:link w:val="FooterChar"/>
    <w:uiPriority w:val="99"/>
    <w:unhideWhenUsed/>
    <w:rsid w:val="009C7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7076</Words>
  <Characters>4034</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Informatīvais ziņojums “Par iespēju organizēt centralizētos iepirkumus zāļu iegādei valsts ārstniecības iestādēs”</vt:lpstr>
    </vt:vector>
  </TitlesOfParts>
  <Company>Veselības ministrija</Company>
  <LinksUpToDate>false</LinksUpToDate>
  <CharactersWithSpaces>11088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iespēju organizēt centralizētos iepirkumus zāļu iegādei valsts ārstniecības iestādēs”</dc:title>
  <dc:subject>VM informatīvais ziņojums</dc:subject>
  <dc:creator>Āris Kasparāns</dc:creator>
  <dc:description>Āris Kasparāns
Departamenta direktors
Resursu vadības departaments
Tālrunis: +371 67876043
Aris.Kasparans@vm.gov.lv</dc:description>
  <cp:lastModifiedBy>Āris Kasparāns</cp:lastModifiedBy>
  <cp:revision>16</cp:revision>
  <dcterms:created xsi:type="dcterms:W3CDTF">2017-08-29T08:04:00Z</dcterms:created>
  <dcterms:modified xsi:type="dcterms:W3CDTF">2017-08-29T08:13:00Z</dcterms:modified>
</cp:coreProperties>
</file>