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E289" w14:textId="77777777" w:rsidR="00D12371" w:rsidRPr="008B0937" w:rsidRDefault="00D12371" w:rsidP="005D73DE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8B0937">
        <w:rPr>
          <w:b/>
          <w:sz w:val="28"/>
          <w:szCs w:val="28"/>
          <w:lang w:val="lv-LV"/>
        </w:rPr>
        <w:t>Ministru kabineta noteikumu projekta</w:t>
      </w:r>
    </w:p>
    <w:p w14:paraId="3AD3A39A" w14:textId="44F4E283" w:rsidR="00E312B1" w:rsidRPr="008B0937" w:rsidRDefault="002669C3" w:rsidP="00E312B1">
      <w:pPr>
        <w:jc w:val="center"/>
        <w:rPr>
          <w:b/>
          <w:bCs/>
          <w:sz w:val="28"/>
          <w:szCs w:val="28"/>
          <w:lang w:val="lv-LV"/>
        </w:rPr>
      </w:pPr>
      <w:r w:rsidRPr="008B0937">
        <w:rPr>
          <w:b/>
          <w:bCs/>
          <w:sz w:val="28"/>
          <w:szCs w:val="28"/>
          <w:lang w:val="lv-LV"/>
        </w:rPr>
        <w:t>„</w:t>
      </w:r>
      <w:bookmarkStart w:id="0" w:name="OLE_LINK7"/>
      <w:bookmarkStart w:id="1" w:name="OLE_LINK8"/>
      <w:r w:rsidR="00E312B1" w:rsidRPr="008B0937">
        <w:rPr>
          <w:b/>
          <w:bCs/>
          <w:sz w:val="28"/>
          <w:szCs w:val="28"/>
          <w:lang w:val="lv-LV"/>
        </w:rPr>
        <w:t>Grozījum</w:t>
      </w:r>
      <w:r w:rsidR="009741F2" w:rsidRPr="008B0937">
        <w:rPr>
          <w:b/>
          <w:bCs/>
          <w:sz w:val="28"/>
          <w:szCs w:val="28"/>
          <w:lang w:val="lv-LV"/>
        </w:rPr>
        <w:t>s</w:t>
      </w:r>
      <w:r w:rsidR="00E312B1" w:rsidRPr="008B0937">
        <w:rPr>
          <w:b/>
          <w:bCs/>
          <w:sz w:val="28"/>
          <w:szCs w:val="28"/>
          <w:lang w:val="lv-LV"/>
        </w:rPr>
        <w:t xml:space="preserve"> Ministru kabineta 2004.</w:t>
      </w:r>
      <w:r w:rsidR="007740E5" w:rsidRPr="008B0937">
        <w:rPr>
          <w:b/>
          <w:bCs/>
          <w:sz w:val="28"/>
          <w:szCs w:val="28"/>
          <w:lang w:val="lv-LV"/>
        </w:rPr>
        <w:t xml:space="preserve"> </w:t>
      </w:r>
      <w:r w:rsidR="00E312B1" w:rsidRPr="008B0937">
        <w:rPr>
          <w:b/>
          <w:bCs/>
          <w:sz w:val="28"/>
          <w:szCs w:val="28"/>
          <w:lang w:val="lv-LV"/>
        </w:rPr>
        <w:t>gada 17.</w:t>
      </w:r>
      <w:r w:rsidR="007740E5" w:rsidRPr="008B0937">
        <w:rPr>
          <w:b/>
          <w:bCs/>
          <w:sz w:val="28"/>
          <w:szCs w:val="28"/>
          <w:lang w:val="lv-LV"/>
        </w:rPr>
        <w:t xml:space="preserve"> </w:t>
      </w:r>
      <w:r w:rsidR="00E312B1" w:rsidRPr="008B0937">
        <w:rPr>
          <w:b/>
          <w:bCs/>
          <w:sz w:val="28"/>
          <w:szCs w:val="28"/>
          <w:lang w:val="lv-LV"/>
        </w:rPr>
        <w:t>februāra noteikumos Nr.</w:t>
      </w:r>
      <w:r w:rsidR="009956CF" w:rsidRPr="008B0937">
        <w:rPr>
          <w:b/>
          <w:bCs/>
          <w:sz w:val="28"/>
          <w:szCs w:val="28"/>
          <w:lang w:val="lv-LV"/>
        </w:rPr>
        <w:t xml:space="preserve"> </w:t>
      </w:r>
      <w:r w:rsidR="00E312B1" w:rsidRPr="008B0937">
        <w:rPr>
          <w:b/>
          <w:bCs/>
          <w:sz w:val="28"/>
          <w:szCs w:val="28"/>
          <w:lang w:val="lv-LV"/>
        </w:rPr>
        <w:t>83</w:t>
      </w:r>
    </w:p>
    <w:p w14:paraId="64382455" w14:textId="77777777" w:rsidR="00D12371" w:rsidRPr="008B0937" w:rsidRDefault="00E312B1" w:rsidP="00E312B1">
      <w:pPr>
        <w:jc w:val="center"/>
        <w:rPr>
          <w:b/>
          <w:bCs/>
          <w:sz w:val="28"/>
          <w:szCs w:val="28"/>
          <w:lang w:val="lv-LV"/>
        </w:rPr>
      </w:pPr>
      <w:r w:rsidRPr="008B0937">
        <w:rPr>
          <w:b/>
          <w:bCs/>
          <w:sz w:val="28"/>
          <w:szCs w:val="28"/>
          <w:lang w:val="lv-LV"/>
        </w:rPr>
        <w:t>„Āfrikas cūku mēra likvidēšanas un draudu novēršanas kārtība”</w:t>
      </w:r>
      <w:r w:rsidR="002669C3" w:rsidRPr="008B0937">
        <w:rPr>
          <w:b/>
          <w:bCs/>
          <w:sz w:val="28"/>
          <w:szCs w:val="28"/>
          <w:lang w:val="lv-LV"/>
        </w:rPr>
        <w:t>”</w:t>
      </w:r>
    </w:p>
    <w:p w14:paraId="58D6C577" w14:textId="77777777" w:rsidR="008B0C60" w:rsidRPr="008B0937" w:rsidRDefault="00E61AD5" w:rsidP="007B7907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8B0937">
        <w:rPr>
          <w:b/>
          <w:sz w:val="28"/>
          <w:szCs w:val="28"/>
          <w:lang w:val="lv-LV"/>
        </w:rPr>
        <w:t xml:space="preserve">sākotnējās </w:t>
      </w:r>
      <w:r w:rsidR="00757B05" w:rsidRPr="008B0937">
        <w:rPr>
          <w:b/>
          <w:sz w:val="28"/>
          <w:szCs w:val="28"/>
          <w:lang w:val="lv-LV"/>
        </w:rPr>
        <w:t>ietekmes novērtējuma ziņojums</w:t>
      </w:r>
      <w:r w:rsidR="00757B05" w:rsidRPr="008B0937">
        <w:rPr>
          <w:b/>
          <w:bCs/>
          <w:sz w:val="28"/>
          <w:szCs w:val="28"/>
          <w:lang w:val="lv-LV"/>
        </w:rPr>
        <w:t xml:space="preserve"> (anotācija)</w:t>
      </w:r>
    </w:p>
    <w:p w14:paraId="42625859" w14:textId="77777777" w:rsidR="00831A6C" w:rsidRPr="008B0937" w:rsidRDefault="00831A6C" w:rsidP="007B7907">
      <w:pPr>
        <w:pStyle w:val="naisf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9"/>
        <w:gridCol w:w="2105"/>
        <w:gridCol w:w="7179"/>
      </w:tblGrid>
      <w:tr w:rsidR="008B0937" w:rsidRPr="008B0937" w14:paraId="36D22995" w14:textId="77777777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14:paraId="51E41A4F" w14:textId="77777777" w:rsidR="00A162FE" w:rsidRPr="008B0937" w:rsidRDefault="00A162FE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8B0937">
              <w:rPr>
                <w:b/>
                <w:bCs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8B0937" w:rsidRPr="00B46D68" w14:paraId="63171C32" w14:textId="77777777" w:rsidTr="00C25CC1">
        <w:tc>
          <w:tcPr>
            <w:tcW w:w="250" w:type="pct"/>
          </w:tcPr>
          <w:p w14:paraId="37920DA6" w14:textId="77777777" w:rsidR="00A162FE" w:rsidRPr="008B0937" w:rsidRDefault="00A162FE" w:rsidP="00C21DCA">
            <w:pPr>
              <w:jc w:val="center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1077" w:type="pct"/>
          </w:tcPr>
          <w:p w14:paraId="79226EF2" w14:textId="77777777" w:rsidR="00A162FE" w:rsidRPr="008B0937" w:rsidRDefault="00A162FE" w:rsidP="005D73DE">
            <w:pPr>
              <w:jc w:val="both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Pamatojums</w:t>
            </w:r>
          </w:p>
        </w:tc>
        <w:tc>
          <w:tcPr>
            <w:tcW w:w="3673" w:type="pct"/>
          </w:tcPr>
          <w:p w14:paraId="39072B5B" w14:textId="04C6FF98" w:rsidR="00A162FE" w:rsidRPr="008B0937" w:rsidRDefault="00B46D68" w:rsidP="00B46D68">
            <w:pPr>
              <w:jc w:val="both"/>
              <w:rPr>
                <w:szCs w:val="28"/>
                <w:lang w:val="lv-LV"/>
              </w:rPr>
            </w:pPr>
            <w:r w:rsidRPr="00E312B1">
              <w:rPr>
                <w:lang w:val="lv-LV"/>
              </w:rPr>
              <w:t>Veterinārmedicīnas likuma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26.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</w:t>
            </w:r>
            <w:r>
              <w:rPr>
                <w:lang w:val="lv-LV"/>
              </w:rPr>
              <w:t xml:space="preserve"> pirmā daļa</w:t>
            </w:r>
            <w:r w:rsidRPr="00E312B1">
              <w:rPr>
                <w:lang w:val="lv-LV"/>
              </w:rPr>
              <w:t xml:space="preserve"> un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27.</w:t>
            </w:r>
            <w:r>
              <w:rPr>
                <w:lang w:val="lv-LV"/>
              </w:rPr>
              <w:t xml:space="preserve"> </w:t>
            </w:r>
            <w:r w:rsidRPr="00E312B1">
              <w:rPr>
                <w:lang w:val="lv-LV"/>
              </w:rPr>
              <w:t>panta treš</w:t>
            </w:r>
            <w:r>
              <w:rPr>
                <w:lang w:val="lv-LV"/>
              </w:rPr>
              <w:t>ā daļa</w:t>
            </w:r>
            <w:r w:rsidRPr="008B0937">
              <w:rPr>
                <w:lang w:val="lv-LV"/>
              </w:rPr>
              <w:t xml:space="preserve"> </w:t>
            </w:r>
          </w:p>
        </w:tc>
      </w:tr>
      <w:tr w:rsidR="008B0937" w:rsidRPr="008B0937" w14:paraId="667939C5" w14:textId="77777777" w:rsidTr="00C25CC1">
        <w:tc>
          <w:tcPr>
            <w:tcW w:w="250" w:type="pct"/>
          </w:tcPr>
          <w:p w14:paraId="08A197B7" w14:textId="77777777" w:rsidR="00A162FE" w:rsidRPr="008B0937" w:rsidRDefault="00A162FE" w:rsidP="00C21DCA">
            <w:pPr>
              <w:jc w:val="center"/>
              <w:rPr>
                <w:lang w:val="lv-LV" w:eastAsia="lv-LV"/>
              </w:rPr>
            </w:pPr>
            <w:r w:rsidRPr="008B0937">
              <w:rPr>
                <w:lang w:val="lv-LV" w:eastAsia="lv-LV"/>
              </w:rPr>
              <w:t>2.</w:t>
            </w:r>
          </w:p>
        </w:tc>
        <w:tc>
          <w:tcPr>
            <w:tcW w:w="1077" w:type="pct"/>
          </w:tcPr>
          <w:p w14:paraId="3A45EA06" w14:textId="77777777" w:rsidR="00A162FE" w:rsidRPr="008B0937" w:rsidRDefault="00A162FE" w:rsidP="005D73DE">
            <w:pPr>
              <w:jc w:val="both"/>
              <w:rPr>
                <w:lang w:val="lv-LV" w:eastAsia="lv-LV"/>
              </w:rPr>
            </w:pPr>
            <w:r w:rsidRPr="008B0937">
              <w:rPr>
                <w:lang w:val="lv-LV" w:eastAsia="lv-LV"/>
              </w:rPr>
              <w:t xml:space="preserve">Pašreizējā situācija </w:t>
            </w:r>
            <w:r w:rsidR="006A073E" w:rsidRPr="008B0937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673" w:type="pct"/>
          </w:tcPr>
          <w:p w14:paraId="272FB7E8" w14:textId="0CDF5E96" w:rsidR="00B61E57" w:rsidRPr="008B0937" w:rsidRDefault="0084313E" w:rsidP="00A10C84">
            <w:pPr>
              <w:jc w:val="both"/>
              <w:rPr>
                <w:bCs/>
                <w:lang w:val="lv-LV"/>
              </w:rPr>
            </w:pPr>
            <w:r w:rsidRPr="008B0937">
              <w:rPr>
                <w:lang w:val="lv-LV"/>
              </w:rPr>
              <w:t>Ir stājies spēkā</w:t>
            </w:r>
            <w:r w:rsidR="002B7EC7" w:rsidRPr="008B0937">
              <w:rPr>
                <w:bCs/>
                <w:lang w:val="lv-LV"/>
              </w:rPr>
              <w:t xml:space="preserve"> </w:t>
            </w:r>
            <w:r w:rsidR="00B46D68" w:rsidRPr="008B0937">
              <w:rPr>
                <w:lang w:val="lv-LV"/>
              </w:rPr>
              <w:t xml:space="preserve">Komisijas </w:t>
            </w:r>
            <w:r w:rsidR="00B46D68" w:rsidRPr="008B0937">
              <w:rPr>
                <w:bCs/>
                <w:lang w:val="lv-LV"/>
              </w:rPr>
              <w:t>2017. gada 14. augusta</w:t>
            </w:r>
            <w:r w:rsidR="00B46D68" w:rsidRPr="008B0937">
              <w:rPr>
                <w:lang w:val="lv-LV"/>
              </w:rPr>
              <w:t xml:space="preserve"> Īstenošanas lēmums </w:t>
            </w:r>
            <w:r w:rsidR="00B46D68" w:rsidRPr="008B0937">
              <w:rPr>
                <w:bCs/>
                <w:lang w:val="lv-LV"/>
              </w:rPr>
              <w:t>(ES) 2017/1</w:t>
            </w:r>
            <w:r w:rsidR="00687797">
              <w:rPr>
                <w:bCs/>
                <w:lang w:val="lv-LV"/>
              </w:rPr>
              <w:t>481</w:t>
            </w:r>
            <w:r w:rsidR="00B46D68">
              <w:rPr>
                <w:bCs/>
                <w:lang w:val="lv-LV"/>
              </w:rPr>
              <w:t>,</w:t>
            </w:r>
            <w:r w:rsidR="00B46D68" w:rsidRPr="008B0937">
              <w:rPr>
                <w:bCs/>
                <w:lang w:val="lv-LV"/>
              </w:rPr>
              <w:t xml:space="preserve"> ar ko groza pielikumu Īstenošanas lēmumam 2014/709/ES par dzīvnieku veselības kontroles pasākumiem saistībā ar Āfrikas cūku mēri dažās dalībvalstīs (turpmāk – Īstenošanas lēmums 2017/</w:t>
            </w:r>
            <w:r w:rsidR="00687797">
              <w:rPr>
                <w:bCs/>
                <w:lang w:val="lv-LV"/>
              </w:rPr>
              <w:t>148</w:t>
            </w:r>
            <w:r w:rsidR="00B46D68" w:rsidRPr="008B0937">
              <w:rPr>
                <w:bCs/>
                <w:lang w:val="lv-LV"/>
              </w:rPr>
              <w:t>1</w:t>
            </w:r>
            <w:r w:rsidR="00687797">
              <w:rPr>
                <w:bCs/>
                <w:lang w:val="lv-LV"/>
              </w:rPr>
              <w:t>)</w:t>
            </w:r>
            <w:r w:rsidR="00B46D68" w:rsidRPr="008B0937">
              <w:rPr>
                <w:bCs/>
                <w:lang w:val="lv-LV"/>
              </w:rPr>
              <w:t xml:space="preserve">.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19"/>
            </w:tblGrid>
            <w:tr w:rsidR="008B0937" w:rsidRPr="009A0DB8" w14:paraId="102ABC90" w14:textId="77777777" w:rsidTr="00FF76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B9DF3E6" w14:textId="6B8F1989" w:rsidR="008D433D" w:rsidRPr="008B0937" w:rsidRDefault="00FF7610" w:rsidP="005268D0">
                  <w:pPr>
                    <w:pStyle w:val="Sarakstarindkopa"/>
                    <w:ind w:left="0"/>
                    <w:jc w:val="both"/>
                    <w:rPr>
                      <w:lang w:val="lv-LV"/>
                    </w:rPr>
                  </w:pPr>
                  <w:r w:rsidRPr="008B0937">
                    <w:rPr>
                      <w:lang w:val="lv-LV"/>
                    </w:rPr>
                    <w:t xml:space="preserve">Kā </w:t>
                  </w:r>
                  <w:proofErr w:type="gramStart"/>
                  <w:r w:rsidRPr="008B0937">
                    <w:rPr>
                      <w:lang w:val="lv-LV"/>
                    </w:rPr>
                    <w:t xml:space="preserve">norādīts </w:t>
                  </w:r>
                  <w:r w:rsidR="005268D0" w:rsidRPr="008B0937">
                    <w:rPr>
                      <w:bCs/>
                      <w:lang w:val="lv-LV"/>
                    </w:rPr>
                    <w:t>Īstenošanas</w:t>
                  </w:r>
                  <w:proofErr w:type="gramEnd"/>
                  <w:r w:rsidR="005268D0" w:rsidRPr="008B0937">
                    <w:rPr>
                      <w:bCs/>
                      <w:lang w:val="lv-LV"/>
                    </w:rPr>
                    <w:t xml:space="preserve"> lēmuma 2017/</w:t>
                  </w:r>
                  <w:r w:rsidR="00B40C83" w:rsidRPr="008B0937">
                    <w:rPr>
                      <w:bCs/>
                      <w:lang w:val="lv-LV"/>
                    </w:rPr>
                    <w:t>1</w:t>
                  </w:r>
                  <w:r w:rsidR="00687797">
                    <w:rPr>
                      <w:bCs/>
                      <w:lang w:val="lv-LV"/>
                    </w:rPr>
                    <w:t>481</w:t>
                  </w:r>
                  <w:r w:rsidR="000611C3" w:rsidRPr="008B0937">
                    <w:rPr>
                      <w:bCs/>
                      <w:lang w:val="lv-LV"/>
                    </w:rPr>
                    <w:t xml:space="preserve"> </w:t>
                  </w:r>
                  <w:r w:rsidRPr="008B0937">
                    <w:rPr>
                      <w:lang w:val="lv-LV"/>
                    </w:rPr>
                    <w:t>pamatojumā, g</w:t>
                  </w:r>
                  <w:r w:rsidR="004A3463" w:rsidRPr="008B0937">
                    <w:rPr>
                      <w:lang w:val="lv-LV"/>
                    </w:rPr>
                    <w:t>rozījumi Komisijas</w:t>
                  </w:r>
                  <w:r w:rsidR="005F0F85" w:rsidRPr="008B0937">
                    <w:rPr>
                      <w:lang w:val="lv-LV"/>
                    </w:rPr>
                    <w:t xml:space="preserve"> 2014. gada 9. oktobra</w:t>
                  </w:r>
                  <w:r w:rsidR="004A3463" w:rsidRPr="008B0937">
                    <w:rPr>
                      <w:lang w:val="lv-LV"/>
                    </w:rPr>
                    <w:t xml:space="preserve"> </w:t>
                  </w:r>
                  <w:r w:rsidR="0007595E" w:rsidRPr="008B0937">
                    <w:rPr>
                      <w:lang w:val="lv-LV"/>
                    </w:rPr>
                    <w:t>Ī</w:t>
                  </w:r>
                  <w:r w:rsidR="004A3463" w:rsidRPr="008B0937">
                    <w:rPr>
                      <w:lang w:val="lv-LV"/>
                    </w:rPr>
                    <w:t xml:space="preserve">stenošanas lēmumā 2014/709/ES </w:t>
                  </w:r>
                  <w:r w:rsidR="005F0F85" w:rsidRPr="008B0937">
                    <w:rPr>
                      <w:lang w:val="lv-LV"/>
                    </w:rPr>
                    <w:t xml:space="preserve">par dzīvnieku veselības kontroles pasākumiem saistībā ar Āfrikas cūku mēri dažās dalībvalstīs un ar ko atceļ </w:t>
                  </w:r>
                  <w:r w:rsidR="00492C45" w:rsidRPr="008B0937">
                    <w:rPr>
                      <w:lang w:val="lv-LV"/>
                    </w:rPr>
                    <w:t>Ī</w:t>
                  </w:r>
                  <w:r w:rsidR="005F0F85" w:rsidRPr="008B0937">
                    <w:rPr>
                      <w:lang w:val="lv-LV"/>
                    </w:rPr>
                    <w:t>stenošanas lēmumu 2014/178/ES</w:t>
                  </w:r>
                  <w:r w:rsidR="007740E5" w:rsidRPr="008B0937">
                    <w:rPr>
                      <w:lang w:val="lv-LV"/>
                    </w:rPr>
                    <w:t xml:space="preserve"> </w:t>
                  </w:r>
                  <w:r w:rsidR="00FB3F9C" w:rsidRPr="008B0937">
                    <w:rPr>
                      <w:lang w:val="lv-LV"/>
                    </w:rPr>
                    <w:t>(turpmāk – Īstenošanas lēmums 2014/709</w:t>
                  </w:r>
                  <w:r w:rsidR="00B861A1" w:rsidRPr="008B0937">
                    <w:rPr>
                      <w:lang w:val="lv-LV"/>
                    </w:rPr>
                    <w:t>/ES</w:t>
                  </w:r>
                  <w:r w:rsidR="00FB3F9C" w:rsidRPr="008B0937">
                    <w:rPr>
                      <w:lang w:val="lv-LV"/>
                    </w:rPr>
                    <w:t xml:space="preserve">) </w:t>
                  </w:r>
                  <w:r w:rsidR="004A3463" w:rsidRPr="008B0937">
                    <w:rPr>
                      <w:lang w:val="lv-LV"/>
                    </w:rPr>
                    <w:t xml:space="preserve">tika </w:t>
                  </w:r>
                  <w:r w:rsidR="00BE33E4" w:rsidRPr="008B0937">
                    <w:rPr>
                      <w:lang w:val="lv-LV"/>
                    </w:rPr>
                    <w:t>izdar</w:t>
                  </w:r>
                  <w:r w:rsidR="004A3463" w:rsidRPr="008B0937">
                    <w:rPr>
                      <w:lang w:val="lv-LV"/>
                    </w:rPr>
                    <w:t>īt</w:t>
                  </w:r>
                  <w:r w:rsidR="0007595E" w:rsidRPr="008B0937">
                    <w:rPr>
                      <w:lang w:val="lv-LV"/>
                    </w:rPr>
                    <w:t>i</w:t>
                  </w:r>
                  <w:r w:rsidR="00BE33E4" w:rsidRPr="008B0937">
                    <w:rPr>
                      <w:lang w:val="lv-LV"/>
                    </w:rPr>
                    <w:t>,</w:t>
                  </w:r>
                  <w:r w:rsidR="004A3463" w:rsidRPr="008B0937">
                    <w:rPr>
                      <w:lang w:val="lv-LV"/>
                    </w:rPr>
                    <w:t xml:space="preserve"> </w:t>
                  </w:r>
                  <w:r w:rsidR="00BE33E4" w:rsidRPr="008B0937">
                    <w:rPr>
                      <w:lang w:val="lv-LV"/>
                    </w:rPr>
                    <w:t xml:space="preserve">ievērojot </w:t>
                  </w:r>
                  <w:r w:rsidR="00FB3F9C" w:rsidRPr="008B0937">
                    <w:rPr>
                      <w:lang w:val="lv-LV"/>
                    </w:rPr>
                    <w:t xml:space="preserve">to, </w:t>
                  </w:r>
                  <w:r w:rsidR="00A10C84" w:rsidRPr="008B0937">
                    <w:rPr>
                      <w:lang w:val="lv-LV"/>
                    </w:rPr>
                    <w:t>ka</w:t>
                  </w:r>
                  <w:r w:rsidR="008D433D" w:rsidRPr="008B0937">
                    <w:rPr>
                      <w:lang w:val="lv-LV"/>
                    </w:rPr>
                    <w:t xml:space="preserve"> 2017. gada </w:t>
                  </w:r>
                  <w:r w:rsidR="00B46D68">
                    <w:rPr>
                      <w:lang w:val="lv-LV"/>
                    </w:rPr>
                    <w:t>jūlijā</w:t>
                  </w:r>
                  <w:r w:rsidR="008D433D" w:rsidRPr="008B0937">
                    <w:rPr>
                      <w:lang w:val="lv-LV"/>
                    </w:rPr>
                    <w:t>:</w:t>
                  </w:r>
                </w:p>
                <w:p w14:paraId="4A383FAA" w14:textId="09494AA5" w:rsidR="008D433D" w:rsidRPr="008B0937" w:rsidRDefault="008D433D" w:rsidP="005268D0">
                  <w:pPr>
                    <w:pStyle w:val="Sarakstarindkopa"/>
                    <w:ind w:left="0"/>
                    <w:jc w:val="both"/>
                    <w:rPr>
                      <w:lang w:val="lv-LV"/>
                    </w:rPr>
                  </w:pPr>
                  <w:r w:rsidRPr="008B0937">
                    <w:rPr>
                      <w:lang w:val="lv-LV"/>
                    </w:rPr>
                    <w:t>1)</w:t>
                  </w:r>
                  <w:r w:rsidR="00D52D0F" w:rsidRPr="008B0937">
                    <w:rPr>
                      <w:lang w:val="lv-LV"/>
                    </w:rPr>
                    <w:t xml:space="preserve"> </w:t>
                  </w:r>
                  <w:proofErr w:type="spellStart"/>
                  <w:r w:rsidR="00B40C83" w:rsidRPr="008B0937">
                    <w:rPr>
                      <w:lang w:val="lv-LV"/>
                    </w:rPr>
                    <w:t>Kakoļevņicas</w:t>
                  </w:r>
                  <w:proofErr w:type="spellEnd"/>
                  <w:r w:rsidR="00B40C83" w:rsidRPr="008B0937">
                    <w:rPr>
                      <w:lang w:val="lv-LV"/>
                    </w:rPr>
                    <w:t xml:space="preserve">, </w:t>
                  </w:r>
                  <w:proofErr w:type="spellStart"/>
                  <w:r w:rsidR="00B40C83" w:rsidRPr="008B0937">
                    <w:rPr>
                      <w:lang w:val="lv-LV"/>
                    </w:rPr>
                    <w:t>Podedvužes</w:t>
                  </w:r>
                  <w:proofErr w:type="spellEnd"/>
                  <w:r w:rsidR="00B40C83" w:rsidRPr="008B0937">
                    <w:rPr>
                      <w:lang w:val="lv-LV"/>
                    </w:rPr>
                    <w:t xml:space="preserve"> un </w:t>
                  </w:r>
                  <w:proofErr w:type="spellStart"/>
                  <w:r w:rsidR="00B40C83" w:rsidRPr="008B0937">
                    <w:rPr>
                      <w:lang w:val="lv-LV"/>
                    </w:rPr>
                    <w:t>Vlodavas</w:t>
                  </w:r>
                  <w:proofErr w:type="spellEnd"/>
                  <w:r w:rsidR="00B40C83" w:rsidRPr="008B0937">
                    <w:rPr>
                      <w:lang w:val="lv-LV"/>
                    </w:rPr>
                    <w:t xml:space="preserve"> pašvaldības teritorijā</w:t>
                  </w:r>
                  <w:r w:rsidRPr="008B0937">
                    <w:rPr>
                      <w:lang w:val="lv-LV"/>
                    </w:rPr>
                    <w:t xml:space="preserve"> </w:t>
                  </w:r>
                  <w:r w:rsidR="002F3848" w:rsidRPr="008B0937">
                    <w:rPr>
                      <w:lang w:val="lv-LV"/>
                    </w:rPr>
                    <w:t xml:space="preserve">Polijā </w:t>
                  </w:r>
                  <w:r w:rsidRPr="008B0937">
                    <w:rPr>
                      <w:lang w:val="lv-LV"/>
                    </w:rPr>
                    <w:t>tika konstatēti Āfrikas cūku mēra uzliesmojumi mājas cūkā</w:t>
                  </w:r>
                  <w:r w:rsidR="001521BF" w:rsidRPr="008B0937">
                    <w:rPr>
                      <w:lang w:val="lv-LV"/>
                    </w:rPr>
                    <w:t>m</w:t>
                  </w:r>
                  <w:r w:rsidRPr="008B0937">
                    <w:rPr>
                      <w:lang w:val="lv-LV"/>
                    </w:rPr>
                    <w:t>. Tādējādi attiecīgie Polijas apgabali ir jāiekļauj Īstenošanas lēmuma 2014/709/ES pielikuma III daļā, bet atsevišķi jauni apgabali ir jāiekļauj Īstenošanas lēmuma 2014/709/ES pielikuma I un II daļā;</w:t>
                  </w:r>
                </w:p>
                <w:p w14:paraId="23A91803" w14:textId="77777777" w:rsidR="00C00768" w:rsidRPr="00695B14" w:rsidRDefault="008D433D" w:rsidP="002F3848">
                  <w:pPr>
                    <w:pStyle w:val="Sarakstarindkopa"/>
                    <w:ind w:left="0"/>
                    <w:jc w:val="both"/>
                    <w:rPr>
                      <w:lang w:val="lv-LV"/>
                    </w:rPr>
                  </w:pPr>
                  <w:r w:rsidRPr="008B0937">
                    <w:rPr>
                      <w:lang w:val="lv-LV"/>
                    </w:rPr>
                    <w:t>2) da</w:t>
                  </w:r>
                  <w:r w:rsidRPr="00695B14">
                    <w:rPr>
                      <w:lang w:val="lv-LV"/>
                    </w:rPr>
                    <w:t>ži Āfrikas cūku mēra gadījumi mežacūkām tika konstatēti Bauskas, Dobeles un Talsu novadā</w:t>
                  </w:r>
                  <w:r w:rsidR="002F3848" w:rsidRPr="00695B14">
                    <w:rPr>
                      <w:lang w:val="lv-LV"/>
                    </w:rPr>
                    <w:t xml:space="preserve"> Latvijā</w:t>
                  </w:r>
                  <w:r w:rsidRPr="00695B14">
                    <w:rPr>
                      <w:lang w:val="lv-LV"/>
                    </w:rPr>
                    <w:t xml:space="preserve">, </w:t>
                  </w:r>
                  <w:proofErr w:type="spellStart"/>
                  <w:r w:rsidRPr="00695B14">
                    <w:rPr>
                      <w:lang w:val="lv-LV"/>
                    </w:rPr>
                    <w:t>Pasvāles</w:t>
                  </w:r>
                  <w:proofErr w:type="spellEnd"/>
                  <w:r w:rsidRPr="00695B14">
                    <w:rPr>
                      <w:lang w:val="lv-LV"/>
                    </w:rPr>
                    <w:t xml:space="preserve"> rajona pašvaldībā</w:t>
                  </w:r>
                  <w:r w:rsidR="002F3848" w:rsidRPr="00695B14">
                    <w:rPr>
                      <w:lang w:val="lv-LV"/>
                    </w:rPr>
                    <w:t xml:space="preserve"> Lietuvā</w:t>
                  </w:r>
                  <w:r w:rsidRPr="00695B14">
                    <w:rPr>
                      <w:lang w:val="lv-LV"/>
                    </w:rPr>
                    <w:t xml:space="preserve">, kā arī Hannas un </w:t>
                  </w:r>
                  <w:proofErr w:type="spellStart"/>
                  <w:r w:rsidRPr="00695B14">
                    <w:rPr>
                      <w:lang w:val="lv-LV"/>
                    </w:rPr>
                    <w:t>Tučnas</w:t>
                  </w:r>
                  <w:proofErr w:type="spellEnd"/>
                  <w:r w:rsidRPr="00695B14">
                    <w:rPr>
                      <w:lang w:val="lv-LV"/>
                    </w:rPr>
                    <w:t xml:space="preserve"> pašvaldības teritorijā </w:t>
                  </w:r>
                  <w:r w:rsidR="002F3848" w:rsidRPr="00695B14">
                    <w:rPr>
                      <w:lang w:val="lv-LV"/>
                    </w:rPr>
                    <w:t xml:space="preserve">Polijā </w:t>
                  </w:r>
                  <w:r w:rsidRPr="00695B14">
                    <w:rPr>
                      <w:lang w:val="lv-LV"/>
                    </w:rPr>
                    <w:t xml:space="preserve">– apgabalos, kas patlaban ir iekļauti Īstenošanas lēmuma 2014/709/ES pielikuma I vai II daļā. Mežacūku saslimšanas vietas ir konstatētas </w:t>
                  </w:r>
                  <w:proofErr w:type="gramStart"/>
                  <w:r w:rsidRPr="00695B14">
                    <w:rPr>
                      <w:lang w:val="lv-LV"/>
                    </w:rPr>
                    <w:t>tuvu Īstenošanas lēmuma</w:t>
                  </w:r>
                  <w:proofErr w:type="gramEnd"/>
                  <w:r w:rsidRPr="00695B14">
                    <w:rPr>
                      <w:lang w:val="lv-LV"/>
                    </w:rPr>
                    <w:t xml:space="preserve"> 2014/709/ES pielikuma I </w:t>
                  </w:r>
                  <w:r w:rsidR="001E4625" w:rsidRPr="00695B14">
                    <w:rPr>
                      <w:lang w:val="lv-LV"/>
                    </w:rPr>
                    <w:t xml:space="preserve">vai II </w:t>
                  </w:r>
                  <w:r w:rsidRPr="00695B14">
                    <w:rPr>
                      <w:lang w:val="lv-LV"/>
                    </w:rPr>
                    <w:t>daļā noteiktajiem apgabaliem. Tādējādi atsevišķi Latvijas</w:t>
                  </w:r>
                  <w:r w:rsidR="001E4625" w:rsidRPr="00695B14">
                    <w:rPr>
                      <w:lang w:val="lv-LV"/>
                    </w:rPr>
                    <w:t xml:space="preserve">, Lietuvas un Polijas </w:t>
                  </w:r>
                  <w:r w:rsidRPr="00695B14">
                    <w:rPr>
                      <w:lang w:val="lv-LV"/>
                    </w:rPr>
                    <w:t>apgabali, kas minēti Īstenošanas lēmuma 2014/709/ES pielikuma I </w:t>
                  </w:r>
                  <w:r w:rsidR="001E4625" w:rsidRPr="00695B14">
                    <w:rPr>
                      <w:lang w:val="lv-LV"/>
                    </w:rPr>
                    <w:t xml:space="preserve"> vai II </w:t>
                  </w:r>
                  <w:r w:rsidRPr="00695B14">
                    <w:rPr>
                      <w:lang w:val="lv-LV"/>
                    </w:rPr>
                    <w:t>daļā, ir jāiekļauj Īstenošanas lēmuma 2014/709/ES pielikuma</w:t>
                  </w:r>
                  <w:r w:rsidR="001E4625" w:rsidRPr="00695B14">
                    <w:rPr>
                      <w:lang w:val="lv-LV"/>
                    </w:rPr>
                    <w:t xml:space="preserve"> II vai III daļā un Īstenošanas lēmuma 2014/709/ES pielikuma I, II un III daļa būtu jāpapildina ar jauniem apgabaliem.</w:t>
                  </w:r>
                </w:p>
                <w:p w14:paraId="43B6825D" w14:textId="0E1D9ACB" w:rsidR="007514F6" w:rsidRPr="00695B14" w:rsidRDefault="00365531" w:rsidP="007514F6">
                  <w:pPr>
                    <w:jc w:val="both"/>
                    <w:rPr>
                      <w:bCs/>
                      <w:lang w:val="lv-LV"/>
                    </w:rPr>
                  </w:pPr>
                  <w:r w:rsidRPr="00365531">
                    <w:rPr>
                      <w:lang w:val="lv-LV"/>
                    </w:rPr>
                    <w:t>Eiropas Komisija, ievērojot jaunus Āfrikas cūku mēra uzliesmojuma gadījumus augustā Latvijā, Lietuvā un Polijā, ir</w:t>
                  </w:r>
                  <w:r w:rsidRPr="007514F6">
                    <w:rPr>
                      <w:b/>
                      <w:lang w:val="lv-LV"/>
                    </w:rPr>
                    <w:t xml:space="preserve"> </w:t>
                  </w:r>
                  <w:r w:rsidR="007514F6" w:rsidRPr="00695B14">
                    <w:rPr>
                      <w:lang w:val="lv-LV"/>
                    </w:rPr>
                    <w:t xml:space="preserve">sagatavojusi un pieņēmusi jaunu Komisijas </w:t>
                  </w:r>
                  <w:r w:rsidR="007514F6" w:rsidRPr="00695B14">
                    <w:rPr>
                      <w:bCs/>
                      <w:lang w:val="lv-LV"/>
                    </w:rPr>
                    <w:t>2017. gada 1. septembra</w:t>
                  </w:r>
                  <w:r w:rsidR="007514F6" w:rsidRPr="00695B14">
                    <w:rPr>
                      <w:lang w:val="lv-LV"/>
                    </w:rPr>
                    <w:t xml:space="preserve"> Īstenošanas lēmumu </w:t>
                  </w:r>
                  <w:r w:rsidR="007514F6" w:rsidRPr="00695B14">
                    <w:rPr>
                      <w:bCs/>
                      <w:lang w:val="lv-LV"/>
                    </w:rPr>
                    <w:t xml:space="preserve">(ES) 2017/1521, ar ko groza pielikumu Īstenošanas lēmumam 2014/709/ES par dzīvnieku veselības kontroles pasākumiem saistībā ar Āfrikas cūku mēri dažās dalībvalstīs </w:t>
                  </w:r>
                  <w:proofErr w:type="gramStart"/>
                  <w:r w:rsidR="007514F6" w:rsidRPr="00695B14">
                    <w:rPr>
                      <w:bCs/>
                      <w:lang w:val="lv-LV"/>
                    </w:rPr>
                    <w:t>(</w:t>
                  </w:r>
                  <w:proofErr w:type="gramEnd"/>
                  <w:r w:rsidR="007514F6" w:rsidRPr="00695B14">
                    <w:rPr>
                      <w:bCs/>
                      <w:lang w:val="lv-LV"/>
                    </w:rPr>
                    <w:t>turpmāk –</w:t>
                  </w:r>
                  <w:r w:rsidR="00687797" w:rsidRPr="00695B14">
                    <w:rPr>
                      <w:bCs/>
                      <w:lang w:val="lv-LV"/>
                    </w:rPr>
                    <w:t xml:space="preserve"> Īstenošanas lēmums 2017/1521</w:t>
                  </w:r>
                  <w:r w:rsidR="007514F6" w:rsidRPr="00695B14">
                    <w:rPr>
                      <w:bCs/>
                      <w:lang w:val="lv-LV"/>
                    </w:rPr>
                    <w:t xml:space="preserve">). </w:t>
                  </w:r>
                </w:p>
                <w:p w14:paraId="2AFE450D" w14:textId="7AD73A94" w:rsidR="007514F6" w:rsidRPr="00695B14" w:rsidRDefault="007514F6" w:rsidP="007514F6">
                  <w:pPr>
                    <w:pStyle w:val="Sarakstarindkopa"/>
                    <w:ind w:left="0"/>
                    <w:jc w:val="both"/>
                    <w:rPr>
                      <w:lang w:val="lv-LV"/>
                    </w:rPr>
                  </w:pPr>
                  <w:r w:rsidRPr="00695B14">
                    <w:rPr>
                      <w:lang w:val="lv-LV"/>
                    </w:rPr>
                    <w:t xml:space="preserve">Kā </w:t>
                  </w:r>
                  <w:proofErr w:type="gramStart"/>
                  <w:r w:rsidRPr="00695B14">
                    <w:rPr>
                      <w:lang w:val="lv-LV"/>
                    </w:rPr>
                    <w:t xml:space="preserve">norādīts </w:t>
                  </w:r>
                  <w:r w:rsidRPr="00695B14">
                    <w:rPr>
                      <w:bCs/>
                      <w:lang w:val="lv-LV"/>
                    </w:rPr>
                    <w:t>Īstenošanas</w:t>
                  </w:r>
                  <w:proofErr w:type="gramEnd"/>
                  <w:r w:rsidRPr="00695B14">
                    <w:rPr>
                      <w:bCs/>
                      <w:lang w:val="lv-LV"/>
                    </w:rPr>
                    <w:t xml:space="preserve"> lē</w:t>
                  </w:r>
                  <w:r w:rsidR="00687797" w:rsidRPr="00695B14">
                    <w:rPr>
                      <w:bCs/>
                      <w:lang w:val="lv-LV"/>
                    </w:rPr>
                    <w:t>muma 2017/1521</w:t>
                  </w:r>
                  <w:r w:rsidRPr="00695B14">
                    <w:rPr>
                      <w:bCs/>
                      <w:lang w:val="lv-LV"/>
                    </w:rPr>
                    <w:t xml:space="preserve"> </w:t>
                  </w:r>
                  <w:r w:rsidRPr="00695B14">
                    <w:rPr>
                      <w:lang w:val="lv-LV"/>
                    </w:rPr>
                    <w:t>pamatojumā, grozījumi Īstenošanas lēmumā 2014/709/ES tika izdarīti, ievērojot to, ka 2017. gada augustā:</w:t>
                  </w:r>
                </w:p>
                <w:p w14:paraId="5E317F44" w14:textId="62C1A844" w:rsidR="00A70DB6" w:rsidRDefault="007514F6" w:rsidP="00A70DB6">
                  <w:pPr>
                    <w:pStyle w:val="Sarakstarindkopa"/>
                    <w:ind w:left="0"/>
                    <w:jc w:val="both"/>
                    <w:rPr>
                      <w:lang w:val="lv-LV"/>
                    </w:rPr>
                  </w:pPr>
                  <w:r w:rsidRPr="00695B14">
                    <w:rPr>
                      <w:lang w:val="lv-LV"/>
                    </w:rPr>
                    <w:t xml:space="preserve">1) </w:t>
                  </w:r>
                  <w:proofErr w:type="spellStart"/>
                  <w:r w:rsidRPr="00695B14">
                    <w:rPr>
                      <w:lang w:val="lv-LV"/>
                    </w:rPr>
                    <w:t>Šalčininku</w:t>
                  </w:r>
                  <w:proofErr w:type="spellEnd"/>
                  <w:r w:rsidRPr="00695B14">
                    <w:rPr>
                      <w:lang w:val="lv-LV"/>
                    </w:rPr>
                    <w:t xml:space="preserve"> un </w:t>
                  </w:r>
                  <w:proofErr w:type="spellStart"/>
                  <w:r w:rsidRPr="00695B14">
                    <w:rPr>
                      <w:lang w:val="lv-LV"/>
                    </w:rPr>
                    <w:t>Anīkšču</w:t>
                  </w:r>
                  <w:proofErr w:type="spellEnd"/>
                  <w:r w:rsidRPr="00695B14">
                    <w:rPr>
                      <w:lang w:val="lv-LV"/>
                    </w:rPr>
                    <w:t xml:space="preserve"> rajona pašvaldības teritorijā</w:t>
                  </w:r>
                  <w:r w:rsidR="00A70DB6" w:rsidRPr="00695B14">
                    <w:rPr>
                      <w:lang w:val="lv-LV"/>
                    </w:rPr>
                    <w:t xml:space="preserve"> Lietuvā un </w:t>
                  </w:r>
                  <w:proofErr w:type="spellStart"/>
                  <w:r w:rsidR="00A70DB6" w:rsidRPr="00695B14">
                    <w:rPr>
                      <w:lang w:val="lv-LV"/>
                    </w:rPr>
                    <w:t>Jedvabnes</w:t>
                  </w:r>
                  <w:proofErr w:type="spellEnd"/>
                  <w:r w:rsidR="00A70DB6" w:rsidRPr="00695B14">
                    <w:rPr>
                      <w:lang w:val="lv-LV"/>
                    </w:rPr>
                    <w:t xml:space="preserve"> pašvaldības teritorijā Polijā tika konstatēti Āfrikas cūku mēra uzliesmojumi mājas cūkām. Tādējādi attiecīgie Lietuvas un Polijas apgabali ir jāiekļauj Īstenošanas lēmuma 2014/709/ES pielikuma III daļā, bet atsevišķi jauni apgabali ir jāiekļauj Īstenošanas lēmuma 2014/709/ES pielikuma I un II daļā;</w:t>
                  </w:r>
                </w:p>
                <w:p w14:paraId="6CAEFCF2" w14:textId="0018928A" w:rsidR="007514F6" w:rsidRPr="00D61FD2" w:rsidRDefault="00D61FD2" w:rsidP="00CF2CA2">
                  <w:pPr>
                    <w:pStyle w:val="Sarakstarindkopa"/>
                    <w:ind w:left="0"/>
                    <w:jc w:val="both"/>
                    <w:rPr>
                      <w:lang w:val="lv-LV"/>
                    </w:rPr>
                  </w:pPr>
                  <w:r w:rsidRPr="00D61FD2">
                    <w:rPr>
                      <w:lang w:val="lv-LV"/>
                    </w:rPr>
                    <w:t xml:space="preserve">2) daži Āfrikas cūku mēra gadījumi mežacūkām tika konstatēti Bauskas un Jelgavas novadā Latvijā un </w:t>
                  </w:r>
                  <w:proofErr w:type="spellStart"/>
                  <w:r w:rsidRPr="00D61FD2">
                    <w:rPr>
                      <w:lang w:val="lv-LV"/>
                    </w:rPr>
                    <w:t>Komaruvkas</w:t>
                  </w:r>
                  <w:proofErr w:type="spellEnd"/>
                  <w:r w:rsidRPr="00D61FD2">
                    <w:rPr>
                      <w:lang w:val="lv-LV"/>
                    </w:rPr>
                    <w:t xml:space="preserve"> </w:t>
                  </w:r>
                  <w:proofErr w:type="spellStart"/>
                  <w:r w:rsidRPr="00D61FD2">
                    <w:rPr>
                      <w:lang w:val="lv-LV"/>
                    </w:rPr>
                    <w:t>Podlaskas</w:t>
                  </w:r>
                  <w:proofErr w:type="spellEnd"/>
                  <w:r w:rsidRPr="00D61FD2">
                    <w:rPr>
                      <w:lang w:val="lv-LV"/>
                    </w:rPr>
                    <w:t xml:space="preserve"> pašvaldības teritorijā Polijā – apgabalos, kas patlaban ir iekļauti Īstenošanas lēmuma </w:t>
                  </w:r>
                  <w:r w:rsidRPr="00D61FD2">
                    <w:rPr>
                      <w:lang w:val="lv-LV"/>
                    </w:rPr>
                    <w:lastRenderedPageBreak/>
                    <w:t xml:space="preserve">2014/709/ES pielikuma I daļā. Mežacūku saslimšanas vietas ir konstatētas </w:t>
                  </w:r>
                  <w:proofErr w:type="gramStart"/>
                  <w:r w:rsidRPr="00D61FD2">
                    <w:rPr>
                      <w:lang w:val="lv-LV"/>
                    </w:rPr>
                    <w:t>tuvu Īstenošanas lēmuma</w:t>
                  </w:r>
                  <w:proofErr w:type="gramEnd"/>
                  <w:r w:rsidRPr="00D61FD2">
                    <w:rPr>
                      <w:lang w:val="lv-LV"/>
                    </w:rPr>
                    <w:t xml:space="preserve"> 2014/709/ES pielikuma I vai II daļā noteiktajiem apgabaliem. Tādējādi vairāki Latvijas un Polijas apgabali, kas minēti Īstenošanas lēmuma 2014/709/ES pielikuma I  daļā, ir jāiekļauj Īstenošanas lēmuma 2014/709/ES pielikuma II vai III daļā un Īstenošanas lēmuma 2014/709/ES pielikuma I, II un III daļa būtu jāpapildina ar jauniem apgabaliem.</w:t>
                  </w:r>
                </w:p>
              </w:tc>
            </w:tr>
          </w:tbl>
          <w:p w14:paraId="153820F0" w14:textId="77777777" w:rsidR="00FF7610" w:rsidRPr="008B0937" w:rsidRDefault="00FF7610" w:rsidP="00FF7610">
            <w:pPr>
              <w:jc w:val="both"/>
              <w:rPr>
                <w:vanish/>
                <w:lang w:val="lv-LV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7107"/>
            </w:tblGrid>
            <w:tr w:rsidR="008B0937" w:rsidRPr="008B0937" w14:paraId="75ECFB90" w14:textId="77777777" w:rsidTr="007708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5458AD" w14:textId="77777777" w:rsidR="002D302A" w:rsidRPr="008B0937" w:rsidRDefault="002D302A" w:rsidP="00FF7610">
                  <w:pPr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0" w:type="auto"/>
                </w:tcPr>
                <w:p w14:paraId="26884CFE" w14:textId="77777777" w:rsidR="002D302A" w:rsidRPr="008B0937" w:rsidRDefault="002D302A" w:rsidP="00C254BA">
                  <w:pPr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E8457EB" w14:textId="2969A758" w:rsidR="002D302A" w:rsidRPr="008B0937" w:rsidRDefault="002D302A" w:rsidP="00C254BA">
                  <w:pPr>
                    <w:jc w:val="both"/>
                    <w:rPr>
                      <w:bCs/>
                      <w:lang w:val="lv-LV"/>
                    </w:rPr>
                  </w:pPr>
                  <w:r w:rsidRPr="008B0937">
                    <w:rPr>
                      <w:lang w:val="lv-LV"/>
                    </w:rPr>
                    <w:t xml:space="preserve">Ievērojot minēto, ir sagatavots Ministru kabineta noteikumu projekts </w:t>
                  </w:r>
                  <w:r w:rsidRPr="008B0937">
                    <w:rPr>
                      <w:bCs/>
                      <w:lang w:val="lv-LV"/>
                    </w:rPr>
                    <w:t xml:space="preserve">„Grozījums Ministru kabineta 2004. gada 17. februāra noteikumos Nr. 83 „Āfrikas cūku mēra likvidēšanas un draudu novēršanas kārtība”” (turpmāk – noteikumu projekts), kurā precizētas: </w:t>
                  </w:r>
                </w:p>
                <w:p w14:paraId="0A00C133" w14:textId="4D638CFB" w:rsidR="002D302A" w:rsidRPr="008B0937" w:rsidRDefault="00004FAC" w:rsidP="00C254BA">
                  <w:pPr>
                    <w:jc w:val="both"/>
                    <w:rPr>
                      <w:bCs/>
                      <w:lang w:val="lv-LV"/>
                    </w:rPr>
                  </w:pPr>
                  <w:r>
                    <w:rPr>
                      <w:bCs/>
                      <w:lang w:val="lv-LV"/>
                    </w:rPr>
                    <w:t>1) I un</w:t>
                  </w:r>
                  <w:r w:rsidR="002D302A" w:rsidRPr="008B0937">
                    <w:rPr>
                      <w:bCs/>
                      <w:lang w:val="lv-LV"/>
                    </w:rPr>
                    <w:t xml:space="preserve"> II riska zonas Latvijas teritorijā, izsakot jaunā redakcijā Ministru kabineta 2004. gada 17. februāra noteikumu Nr. 83 „Āfrikas cūku mēra likvidēšanas un draudu novēršanas kārtība”” (turpmāk – noteikumi Nr. 83) 3. pielikumu;</w:t>
                  </w:r>
                </w:p>
                <w:p w14:paraId="560416D6" w14:textId="53C40116" w:rsidR="002D302A" w:rsidRPr="008B0937" w:rsidRDefault="002D302A" w:rsidP="008726E9">
                  <w:pPr>
                    <w:jc w:val="both"/>
                    <w:rPr>
                      <w:bCs/>
                      <w:lang w:val="lv-LV"/>
                    </w:rPr>
                  </w:pPr>
                  <w:r w:rsidRPr="008B0937">
                    <w:rPr>
                      <w:bCs/>
                      <w:lang w:val="lv-LV"/>
                    </w:rPr>
                    <w:t>2) I, II un III riska zonas Polijas Republikā un Lietuvas Republikā, izsakot jaunā redakcijā noteikumu Nr. 83 4. pielikumu.</w:t>
                  </w:r>
                </w:p>
              </w:tc>
            </w:tr>
          </w:tbl>
          <w:p w14:paraId="1F7BABC4" w14:textId="77777777" w:rsidR="002058A8" w:rsidRPr="008B0937" w:rsidRDefault="002058A8">
            <w:pPr>
              <w:jc w:val="both"/>
              <w:rPr>
                <w:bCs/>
                <w:lang w:val="lv-LV"/>
              </w:rPr>
            </w:pPr>
          </w:p>
        </w:tc>
      </w:tr>
      <w:tr w:rsidR="008B0937" w:rsidRPr="008B0937" w14:paraId="34DDBB9B" w14:textId="77777777" w:rsidTr="00C25CC1">
        <w:tc>
          <w:tcPr>
            <w:tcW w:w="250" w:type="pct"/>
          </w:tcPr>
          <w:p w14:paraId="53AA23EA" w14:textId="77777777" w:rsidR="008D433D" w:rsidRPr="008B0937" w:rsidRDefault="008D433D" w:rsidP="008D433D">
            <w:pPr>
              <w:jc w:val="center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077" w:type="pct"/>
          </w:tcPr>
          <w:p w14:paraId="4130B0AF" w14:textId="77777777" w:rsidR="008D433D" w:rsidRPr="008B0937" w:rsidRDefault="008D433D" w:rsidP="008D433D">
            <w:pPr>
              <w:jc w:val="both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3673" w:type="pct"/>
          </w:tcPr>
          <w:p w14:paraId="03F6F9E7" w14:textId="77777777" w:rsidR="008D433D" w:rsidRPr="008B0937" w:rsidRDefault="008D433D" w:rsidP="008D433D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Pārtikas un veterinārais dienests</w:t>
            </w:r>
          </w:p>
        </w:tc>
      </w:tr>
      <w:tr w:rsidR="008D433D" w:rsidRPr="008B0937" w14:paraId="40DCC505" w14:textId="77777777" w:rsidTr="00C25CC1">
        <w:tc>
          <w:tcPr>
            <w:tcW w:w="250" w:type="pct"/>
          </w:tcPr>
          <w:p w14:paraId="3972F4FD" w14:textId="77777777" w:rsidR="008D433D" w:rsidRPr="008B0937" w:rsidRDefault="008D433D" w:rsidP="008D433D">
            <w:pPr>
              <w:jc w:val="center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4.</w:t>
            </w:r>
          </w:p>
        </w:tc>
        <w:tc>
          <w:tcPr>
            <w:tcW w:w="1077" w:type="pct"/>
          </w:tcPr>
          <w:p w14:paraId="0A2D52EC" w14:textId="77777777" w:rsidR="008D433D" w:rsidRPr="008B0937" w:rsidRDefault="008D433D" w:rsidP="008D433D">
            <w:pPr>
              <w:jc w:val="both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3673" w:type="pct"/>
          </w:tcPr>
          <w:p w14:paraId="07D2E661" w14:textId="77777777" w:rsidR="008D433D" w:rsidRPr="008B0937" w:rsidRDefault="008D433D" w:rsidP="008D433D">
            <w:pPr>
              <w:jc w:val="both"/>
              <w:rPr>
                <w:szCs w:val="28"/>
                <w:highlight w:val="yellow"/>
                <w:lang w:val="lv-LV"/>
              </w:rPr>
            </w:pPr>
            <w:r w:rsidRPr="008B0937">
              <w:rPr>
                <w:szCs w:val="28"/>
                <w:lang w:val="lv-LV"/>
              </w:rPr>
              <w:t>Nav.</w:t>
            </w:r>
          </w:p>
        </w:tc>
      </w:tr>
    </w:tbl>
    <w:p w14:paraId="707F29FA" w14:textId="77777777" w:rsidR="004D267D" w:rsidRPr="008B0937" w:rsidRDefault="004D267D">
      <w:pPr>
        <w:rPr>
          <w:sz w:val="28"/>
          <w:szCs w:val="28"/>
          <w:lang w:val="lv-LV"/>
        </w:rPr>
      </w:pPr>
    </w:p>
    <w:tbl>
      <w:tblPr>
        <w:tblW w:w="500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029"/>
        <w:gridCol w:w="7166"/>
      </w:tblGrid>
      <w:tr w:rsidR="008B0937" w:rsidRPr="009A0DB8" w14:paraId="470959D7" w14:textId="77777777" w:rsidTr="00AF7992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A61DE" w14:textId="77777777" w:rsidR="008F3459" w:rsidRPr="008B0937" w:rsidRDefault="008F3459" w:rsidP="005D73DE">
            <w:pPr>
              <w:jc w:val="center"/>
              <w:rPr>
                <w:b/>
                <w:szCs w:val="28"/>
                <w:lang w:val="lv-LV"/>
              </w:rPr>
            </w:pPr>
            <w:r w:rsidRPr="008B0937">
              <w:rPr>
                <w:b/>
                <w:szCs w:val="28"/>
                <w:lang w:val="lv-LV"/>
              </w:rPr>
              <w:t>II. Tiesību akta projekta ietekme uz sabiedrību</w:t>
            </w:r>
            <w:r w:rsidR="00D533EA" w:rsidRPr="008B0937">
              <w:rPr>
                <w:b/>
                <w:szCs w:val="28"/>
                <w:lang w:val="lv-LV"/>
              </w:rPr>
              <w:t>,</w:t>
            </w:r>
            <w:r w:rsidR="00D533EA" w:rsidRPr="008B0937">
              <w:rPr>
                <w:b/>
                <w:bCs/>
                <w:szCs w:val="28"/>
                <w:lang w:val="lv-LV"/>
              </w:rPr>
              <w:t xml:space="preserve"> tautsaimniecības attīstību un administratīvo slogu</w:t>
            </w:r>
          </w:p>
        </w:tc>
      </w:tr>
      <w:tr w:rsidR="008B0937" w:rsidRPr="009A0DB8" w14:paraId="3361B3C9" w14:textId="77777777" w:rsidTr="00C649A5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C85EED" w14:textId="77777777" w:rsidR="00BE26B5" w:rsidRPr="008B0937" w:rsidRDefault="00BE26B5" w:rsidP="00C649A5">
            <w:pPr>
              <w:jc w:val="center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1.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DEE916D" w14:textId="77777777" w:rsidR="00BE26B5" w:rsidRPr="008B0937" w:rsidRDefault="00BE26B5" w:rsidP="00C649A5">
            <w:pPr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Sabiedrības mērķgrupa</w:t>
            </w:r>
            <w:r w:rsidR="00BA3E1C" w:rsidRPr="008B0937">
              <w:rPr>
                <w:szCs w:val="28"/>
                <w:lang w:val="lv-LV"/>
              </w:rPr>
              <w:t>s, kuras tiesiskais regulējums ietekmē vai varētu ietekmēt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44DC896" w14:textId="5E2DA46D" w:rsidR="00460434" w:rsidRPr="008B0937" w:rsidRDefault="00E312B1" w:rsidP="00C649A5">
            <w:pPr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 xml:space="preserve">Noteikumu projekta tiesiskais regulējums attiecas uz lauksaimniecības dzīvnieku īpašniekiem un turētājiem, kas audzē un tur cūku sugas dzīvniekus. </w:t>
            </w:r>
            <w:r w:rsidR="009036E0" w:rsidRPr="008B0937">
              <w:rPr>
                <w:szCs w:val="28"/>
                <w:lang w:val="lv-LV"/>
              </w:rPr>
              <w:t xml:space="preserve">Pēc </w:t>
            </w:r>
            <w:r w:rsidRPr="008B0937">
              <w:rPr>
                <w:szCs w:val="28"/>
                <w:lang w:val="lv-LV"/>
              </w:rPr>
              <w:t>Lauksaimniecības datu centra tīmekļa vietnē pieejam</w:t>
            </w:r>
            <w:r w:rsidR="009036E0" w:rsidRPr="008B0937">
              <w:rPr>
                <w:szCs w:val="28"/>
                <w:lang w:val="lv-LV"/>
              </w:rPr>
              <w:t>ās</w:t>
            </w:r>
            <w:r w:rsidRPr="008B0937">
              <w:rPr>
                <w:szCs w:val="28"/>
                <w:lang w:val="lv-LV"/>
              </w:rPr>
              <w:t xml:space="preserve"> informācij</w:t>
            </w:r>
            <w:r w:rsidR="009036E0" w:rsidRPr="008B0937">
              <w:rPr>
                <w:szCs w:val="28"/>
                <w:lang w:val="lv-LV"/>
              </w:rPr>
              <w:t>as,</w:t>
            </w:r>
            <w:r w:rsidR="00985B95" w:rsidRPr="008B0937">
              <w:rPr>
                <w:szCs w:val="28"/>
                <w:lang w:val="lv-LV"/>
              </w:rPr>
              <w:t xml:space="preserve"> Latvijā</w:t>
            </w:r>
            <w:r w:rsidR="00B16224" w:rsidRPr="008B0937">
              <w:rPr>
                <w:szCs w:val="28"/>
                <w:lang w:val="lv-LV"/>
              </w:rPr>
              <w:t xml:space="preserve"> 0</w:t>
            </w:r>
            <w:r w:rsidR="00516605" w:rsidRPr="008B0937">
              <w:rPr>
                <w:szCs w:val="28"/>
                <w:lang w:val="lv-LV"/>
              </w:rPr>
              <w:t>1.0</w:t>
            </w:r>
            <w:r w:rsidR="003A46E8" w:rsidRPr="008B0937">
              <w:rPr>
                <w:szCs w:val="28"/>
                <w:lang w:val="lv-LV"/>
              </w:rPr>
              <w:t>7</w:t>
            </w:r>
            <w:r w:rsidR="00516605" w:rsidRPr="008B0937">
              <w:rPr>
                <w:szCs w:val="28"/>
                <w:lang w:val="lv-LV"/>
              </w:rPr>
              <w:t>.2017</w:t>
            </w:r>
            <w:r w:rsidR="006A29A5" w:rsidRPr="008B0937">
              <w:rPr>
                <w:szCs w:val="28"/>
                <w:lang w:val="lv-LV"/>
              </w:rPr>
              <w:t xml:space="preserve">. </w:t>
            </w:r>
            <w:r w:rsidR="00DD5642" w:rsidRPr="008B0937">
              <w:rPr>
                <w:szCs w:val="28"/>
                <w:lang w:val="lv-LV"/>
              </w:rPr>
              <w:t xml:space="preserve">bija </w:t>
            </w:r>
            <w:r w:rsidR="006A29A5" w:rsidRPr="008B0937">
              <w:rPr>
                <w:szCs w:val="28"/>
                <w:lang w:val="lv-LV"/>
              </w:rPr>
              <w:t>reģistrē</w:t>
            </w:r>
            <w:r w:rsidR="00756A4F" w:rsidRPr="008B0937">
              <w:rPr>
                <w:szCs w:val="28"/>
                <w:lang w:val="lv-LV"/>
              </w:rPr>
              <w:t xml:space="preserve">tas </w:t>
            </w:r>
            <w:r w:rsidR="003A46E8" w:rsidRPr="008B0937">
              <w:rPr>
                <w:szCs w:val="28"/>
                <w:lang w:val="lv-LV"/>
              </w:rPr>
              <w:t>3712</w:t>
            </w:r>
            <w:r w:rsidR="00460434" w:rsidRPr="008B0937">
              <w:rPr>
                <w:szCs w:val="28"/>
                <w:lang w:val="lv-LV"/>
              </w:rPr>
              <w:t xml:space="preserve"> cūku sugas dzīvnieku novietnes (novietnes, kurās dzīvnieki tiek turēti gan komerciālos nolūkos, gan pašpatēriņam).</w:t>
            </w:r>
          </w:p>
          <w:p w14:paraId="3714C8A2" w14:textId="6B7A522B" w:rsidR="00756A4F" w:rsidRPr="008B0937" w:rsidRDefault="00460434" w:rsidP="00B53191">
            <w:pPr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 xml:space="preserve">Kopējais reģistrētais cūku skaits </w:t>
            </w:r>
            <w:r w:rsidR="00F140F4" w:rsidRPr="008B0937">
              <w:rPr>
                <w:szCs w:val="28"/>
                <w:lang w:val="lv-LV"/>
              </w:rPr>
              <w:t>2017.</w:t>
            </w:r>
            <w:r w:rsidR="00C254BA" w:rsidRPr="008B0937">
              <w:rPr>
                <w:szCs w:val="28"/>
                <w:lang w:val="lv-LV"/>
              </w:rPr>
              <w:t> </w:t>
            </w:r>
            <w:r w:rsidR="00F140F4" w:rsidRPr="008B0937">
              <w:rPr>
                <w:szCs w:val="28"/>
                <w:lang w:val="lv-LV"/>
              </w:rPr>
              <w:t>gada 1.</w:t>
            </w:r>
            <w:r w:rsidR="00C254BA" w:rsidRPr="008B0937">
              <w:rPr>
                <w:szCs w:val="28"/>
                <w:lang w:val="lv-LV"/>
              </w:rPr>
              <w:t> </w:t>
            </w:r>
            <w:r w:rsidR="00B53191" w:rsidRPr="008B0937">
              <w:rPr>
                <w:szCs w:val="28"/>
                <w:lang w:val="lv-LV"/>
              </w:rPr>
              <w:t>jūlijā</w:t>
            </w:r>
            <w:r w:rsidR="0083414F" w:rsidRPr="008B0937">
              <w:rPr>
                <w:szCs w:val="28"/>
                <w:lang w:val="lv-LV"/>
              </w:rPr>
              <w:t> </w:t>
            </w:r>
            <w:r w:rsidRPr="008B0937">
              <w:rPr>
                <w:szCs w:val="28"/>
                <w:lang w:val="lv-LV"/>
              </w:rPr>
              <w:t xml:space="preserve">– </w:t>
            </w:r>
            <w:r w:rsidR="00B53191" w:rsidRPr="008B0937">
              <w:rPr>
                <w:lang w:val="lv-LV"/>
              </w:rPr>
              <w:t>318 986</w:t>
            </w:r>
            <w:r w:rsidRPr="008B0937">
              <w:rPr>
                <w:lang w:val="lv-LV"/>
              </w:rPr>
              <w:t>.</w:t>
            </w:r>
          </w:p>
        </w:tc>
      </w:tr>
      <w:tr w:rsidR="008B0937" w:rsidRPr="008B0937" w14:paraId="383DA641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63B040E" w14:textId="77777777" w:rsidR="00BE26B5" w:rsidRPr="008B0937" w:rsidRDefault="00BE26B5" w:rsidP="005D73DE">
            <w:pPr>
              <w:jc w:val="center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2.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117655A" w14:textId="77777777" w:rsidR="00BE26B5" w:rsidRPr="008B0937" w:rsidRDefault="00BA3E1C" w:rsidP="00C21DCA">
            <w:pPr>
              <w:widowControl w:val="0"/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Tiesiskā regulējuma ietekme uz tautsaimniecību un administratīvo slogu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998067C" w14:textId="407FA9DA" w:rsidR="00307454" w:rsidRPr="008B0937" w:rsidRDefault="001E4625" w:rsidP="00760987">
            <w:pPr>
              <w:widowControl w:val="0"/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Projekts šo jomu neskar.</w:t>
            </w:r>
          </w:p>
        </w:tc>
      </w:tr>
      <w:tr w:rsidR="008B0937" w:rsidRPr="008B0937" w14:paraId="6729E225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01FD1F9" w14:textId="77777777" w:rsidR="00BE26B5" w:rsidRPr="008B0937" w:rsidRDefault="00BE26B5" w:rsidP="005D73DE">
            <w:pPr>
              <w:pStyle w:val="Paraststmeklis"/>
              <w:spacing w:before="0" w:beforeAutospacing="0" w:after="0" w:afterAutospacing="0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3.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C70670" w14:textId="77777777" w:rsidR="00BE26B5" w:rsidRPr="008B0937" w:rsidRDefault="00153C68" w:rsidP="00C21DCA">
            <w:pPr>
              <w:pStyle w:val="Paraststmeklis"/>
              <w:spacing w:before="0" w:beforeAutospacing="0" w:after="0" w:afterAutospacing="0"/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Administratīvo izmaksu monetārs novērtējums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4ECD62" w14:textId="77777777" w:rsidR="002C59C1" w:rsidRPr="008B0937" w:rsidRDefault="00855B0F" w:rsidP="00855B0F">
            <w:pPr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P</w:t>
            </w:r>
            <w:r w:rsidR="00603F7B" w:rsidRPr="008B0937">
              <w:rPr>
                <w:szCs w:val="28"/>
                <w:lang w:val="lv-LV"/>
              </w:rPr>
              <w:t>rojekts šo jomu neskar.</w:t>
            </w:r>
          </w:p>
        </w:tc>
      </w:tr>
      <w:tr w:rsidR="008B0937" w:rsidRPr="008B0937" w14:paraId="36712BEA" w14:textId="77777777" w:rsidTr="00C25CC1">
        <w:tc>
          <w:tcPr>
            <w:tcW w:w="29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CD59276" w14:textId="77777777" w:rsidR="00BE26B5" w:rsidRPr="008B0937" w:rsidRDefault="00BE26B5" w:rsidP="005D73DE">
            <w:pPr>
              <w:pStyle w:val="Paraststmeklis"/>
              <w:spacing w:before="0" w:beforeAutospacing="0" w:after="0" w:afterAutospacing="0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4.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609DB9" w14:textId="77777777" w:rsidR="00BE26B5" w:rsidRPr="008B0937" w:rsidRDefault="00153C68" w:rsidP="00C21DCA">
            <w:pPr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Cita informācija</w:t>
            </w:r>
          </w:p>
        </w:tc>
        <w:tc>
          <w:tcPr>
            <w:tcW w:w="36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D8F886A" w14:textId="77777777" w:rsidR="00BE26B5" w:rsidRPr="008B0937" w:rsidRDefault="00C14BAF" w:rsidP="005D73DE">
            <w:pPr>
              <w:widowControl w:val="0"/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>Nav.</w:t>
            </w:r>
          </w:p>
        </w:tc>
      </w:tr>
    </w:tbl>
    <w:p w14:paraId="2EAE8EF1" w14:textId="77777777" w:rsidR="007F21AE" w:rsidRPr="008B0937" w:rsidRDefault="007F21AE" w:rsidP="00C21DCA">
      <w:pPr>
        <w:jc w:val="both"/>
        <w:rPr>
          <w:i/>
          <w:szCs w:val="28"/>
          <w:lang w:val="lv-LV" w:eastAsia="lv-LV"/>
        </w:rPr>
      </w:pPr>
    </w:p>
    <w:p w14:paraId="32C51627" w14:textId="2FC886EA" w:rsidR="008178FE" w:rsidRPr="008B0937" w:rsidRDefault="008178FE" w:rsidP="00C21DCA">
      <w:pPr>
        <w:jc w:val="both"/>
        <w:rPr>
          <w:i/>
          <w:szCs w:val="28"/>
          <w:lang w:val="lv-LV" w:eastAsia="lv-LV"/>
        </w:rPr>
      </w:pPr>
    </w:p>
    <w:tbl>
      <w:tblPr>
        <w:tblW w:w="5008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8B0937" w:rsidRPr="009A0DB8" w14:paraId="7E8536CD" w14:textId="77777777" w:rsidTr="008178FE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FAB23" w14:textId="77777777" w:rsidR="008178FE" w:rsidRPr="008B0937" w:rsidRDefault="008178FE" w:rsidP="0095098A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8B0937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8B0937" w:rsidRPr="008B0937" w14:paraId="70A2DE75" w14:textId="77777777" w:rsidTr="008178FE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94558D" w14:textId="77777777" w:rsidR="008178FE" w:rsidRPr="008B0937" w:rsidRDefault="008178FE" w:rsidP="0095098A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8B0937">
              <w:rPr>
                <w:lang w:val="lv-LV"/>
              </w:rPr>
              <w:t>Projekts šo jomu neskar.</w:t>
            </w:r>
          </w:p>
        </w:tc>
      </w:tr>
    </w:tbl>
    <w:p w14:paraId="333D1F59" w14:textId="77777777" w:rsidR="008178FE" w:rsidRPr="008B0937" w:rsidRDefault="008178FE" w:rsidP="008178FE">
      <w:pPr>
        <w:jc w:val="both"/>
        <w:rPr>
          <w:lang w:val="lv-LV"/>
        </w:rPr>
      </w:pPr>
    </w:p>
    <w:p w14:paraId="4AE86216" w14:textId="77777777" w:rsidR="008178FE" w:rsidRPr="008B0937" w:rsidRDefault="008178FE" w:rsidP="008178FE">
      <w:pPr>
        <w:jc w:val="both"/>
        <w:rPr>
          <w:sz w:val="2"/>
          <w:lang w:val="lv-LV"/>
        </w:rPr>
      </w:pPr>
    </w:p>
    <w:tbl>
      <w:tblPr>
        <w:tblW w:w="5000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71"/>
      </w:tblGrid>
      <w:tr w:rsidR="008B0937" w:rsidRPr="009A0DB8" w14:paraId="567C2759" w14:textId="77777777" w:rsidTr="009364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007CE24" w14:textId="77777777" w:rsidR="008178FE" w:rsidRPr="008B0937" w:rsidRDefault="008178FE" w:rsidP="0095098A">
            <w:pPr>
              <w:jc w:val="center"/>
              <w:rPr>
                <w:b/>
                <w:bCs/>
                <w:lang w:val="lv-LV"/>
              </w:rPr>
            </w:pPr>
            <w:r w:rsidRPr="008B0937">
              <w:rPr>
                <w:b/>
                <w:bCs/>
                <w:lang w:val="lv-LV"/>
              </w:rPr>
              <w:t>IV. Tiesību akta projekta ietekme uz spēkā esošo tiesību normu sistēmu</w:t>
            </w:r>
          </w:p>
        </w:tc>
      </w:tr>
      <w:tr w:rsidR="008B0937" w:rsidRPr="008B0937" w14:paraId="02B1397E" w14:textId="77777777" w:rsidTr="0093649F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E6D3A" w14:textId="77777777" w:rsidR="008178FE" w:rsidRPr="008B0937" w:rsidRDefault="008178FE" w:rsidP="0095098A">
            <w:pPr>
              <w:jc w:val="center"/>
              <w:rPr>
                <w:lang w:val="lv-LV"/>
              </w:rPr>
            </w:pPr>
            <w:r w:rsidRPr="008B0937">
              <w:rPr>
                <w:lang w:val="lv-LV"/>
              </w:rPr>
              <w:lastRenderedPageBreak/>
              <w:t>Projekts šo jomu neskar.</w:t>
            </w:r>
          </w:p>
        </w:tc>
      </w:tr>
    </w:tbl>
    <w:p w14:paraId="393F1DD2" w14:textId="07EF9D1D" w:rsidR="007F21AE" w:rsidRPr="008B0937" w:rsidRDefault="007F21AE" w:rsidP="00C21DCA">
      <w:pPr>
        <w:jc w:val="both"/>
        <w:rPr>
          <w:i/>
          <w:sz w:val="28"/>
          <w:szCs w:val="28"/>
          <w:lang w:val="lv-LV" w:eastAsia="lv-LV"/>
        </w:rPr>
      </w:pPr>
    </w:p>
    <w:tbl>
      <w:tblPr>
        <w:tblW w:w="5001" w:type="pct"/>
        <w:tblInd w:w="-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528"/>
        <w:gridCol w:w="2054"/>
        <w:gridCol w:w="2648"/>
        <w:gridCol w:w="2123"/>
        <w:gridCol w:w="2414"/>
      </w:tblGrid>
      <w:tr w:rsidR="008B0937" w:rsidRPr="008B0937" w14:paraId="38A53CD2" w14:textId="77777777" w:rsidTr="00AE174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567C2B4" w14:textId="77777777" w:rsidR="009E04D3" w:rsidRPr="008B0937" w:rsidRDefault="009E04D3" w:rsidP="00C21DCA">
            <w:pPr>
              <w:jc w:val="center"/>
              <w:rPr>
                <w:b/>
                <w:bCs/>
                <w:lang w:val="lv-LV"/>
              </w:rPr>
            </w:pPr>
            <w:r w:rsidRPr="008B0937">
              <w:rPr>
                <w:b/>
                <w:bCs/>
                <w:lang w:val="lv-LV"/>
              </w:rPr>
              <w:t>V. Tiesību akta projekta atbilstība Latvijas Republikas starptautiskajām saistībām</w:t>
            </w:r>
          </w:p>
        </w:tc>
      </w:tr>
      <w:tr w:rsidR="008B0937" w:rsidRPr="008B0937" w14:paraId="02A2DB0F" w14:textId="77777777" w:rsidTr="00AE174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B1E6E" w14:textId="77777777" w:rsidR="009E04D3" w:rsidRPr="008B0937" w:rsidRDefault="009E04D3" w:rsidP="005D73DE">
            <w:pPr>
              <w:rPr>
                <w:lang w:val="lv-LV"/>
              </w:rPr>
            </w:pPr>
            <w:r w:rsidRPr="008B0937">
              <w:rPr>
                <w:lang w:val="lv-LV"/>
              </w:rPr>
              <w:t>1.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B2924" w14:textId="77777777" w:rsidR="009E04D3" w:rsidRPr="008B0937" w:rsidRDefault="009E04D3" w:rsidP="00C21DCA">
            <w:pPr>
              <w:jc w:val="both"/>
              <w:rPr>
                <w:lang w:val="lv-LV"/>
              </w:rPr>
            </w:pPr>
            <w:r w:rsidRPr="008B0937">
              <w:rPr>
                <w:lang w:val="lv-LV"/>
              </w:rPr>
              <w:t>Saistības pret Eiropas Savienību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63959" w14:textId="3B02425F" w:rsidR="00B861A1" w:rsidRPr="008B0937" w:rsidRDefault="00C14BAF" w:rsidP="00CF2CA2">
            <w:pPr>
              <w:jc w:val="both"/>
              <w:rPr>
                <w:lang w:val="lv-LV"/>
              </w:rPr>
            </w:pPr>
            <w:r w:rsidRPr="008B0937">
              <w:rPr>
                <w:lang w:val="lv-LV"/>
              </w:rPr>
              <w:t>Noteikumu pr</w:t>
            </w:r>
            <w:r w:rsidR="00411451" w:rsidRPr="008B0937">
              <w:rPr>
                <w:lang w:val="lv-LV"/>
              </w:rPr>
              <w:t>ojektā iekļautas tiesību normas</w:t>
            </w:r>
            <w:r w:rsidRPr="008B0937">
              <w:rPr>
                <w:lang w:val="lv-LV"/>
              </w:rPr>
              <w:t xml:space="preserve"> izriet no</w:t>
            </w:r>
            <w:r w:rsidR="00196B16" w:rsidRPr="008B0937">
              <w:rPr>
                <w:lang w:val="lv-LV"/>
              </w:rPr>
              <w:t xml:space="preserve"> </w:t>
            </w:r>
            <w:r w:rsidR="00661162" w:rsidRPr="008B0937">
              <w:rPr>
                <w:bCs/>
                <w:lang w:val="lv-LV"/>
              </w:rPr>
              <w:t>Īstenošanas lēmum</w:t>
            </w:r>
            <w:r w:rsidR="00411451" w:rsidRPr="008B0937">
              <w:rPr>
                <w:bCs/>
                <w:lang w:val="lv-LV"/>
              </w:rPr>
              <w:t>a</w:t>
            </w:r>
            <w:r w:rsidR="00695B14">
              <w:rPr>
                <w:bCs/>
                <w:lang w:val="lv-LV"/>
              </w:rPr>
              <w:t> </w:t>
            </w:r>
            <w:r w:rsidR="00BB0BC9" w:rsidRPr="00695B14">
              <w:rPr>
                <w:bCs/>
                <w:lang w:val="lv-LV"/>
              </w:rPr>
              <w:t>2017/</w:t>
            </w:r>
            <w:r w:rsidR="00CF2CA2" w:rsidRPr="00695B14">
              <w:rPr>
                <w:bCs/>
                <w:lang w:val="lv-LV"/>
              </w:rPr>
              <w:t>1521</w:t>
            </w:r>
          </w:p>
        </w:tc>
      </w:tr>
      <w:tr w:rsidR="008B0937" w:rsidRPr="008B0937" w14:paraId="31A7011A" w14:textId="77777777" w:rsidTr="00AE174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A8C1E" w14:textId="77777777" w:rsidR="009E04D3" w:rsidRPr="008B0937" w:rsidRDefault="009E04D3" w:rsidP="005D73DE">
            <w:pPr>
              <w:rPr>
                <w:lang w:val="lv-LV"/>
              </w:rPr>
            </w:pPr>
            <w:r w:rsidRPr="008B0937">
              <w:rPr>
                <w:lang w:val="lv-LV"/>
              </w:rPr>
              <w:t>2.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9E212F" w14:textId="77777777" w:rsidR="009E04D3" w:rsidRPr="008B0937" w:rsidRDefault="009E04D3" w:rsidP="00C21DCA">
            <w:pPr>
              <w:jc w:val="both"/>
              <w:rPr>
                <w:lang w:val="lv-LV"/>
              </w:rPr>
            </w:pPr>
            <w:r w:rsidRPr="008B0937">
              <w:rPr>
                <w:lang w:val="lv-LV"/>
              </w:rPr>
              <w:t>Citas starptautiskās saistības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BE116" w14:textId="77777777" w:rsidR="009E04D3" w:rsidRPr="008B0937" w:rsidRDefault="00C14BAF" w:rsidP="005D73DE">
            <w:pPr>
              <w:rPr>
                <w:lang w:val="lv-LV"/>
              </w:rPr>
            </w:pPr>
            <w:r w:rsidRPr="008B0937">
              <w:rPr>
                <w:lang w:val="lv-LV"/>
              </w:rPr>
              <w:t>Projekts šo jomu neskar.</w:t>
            </w:r>
          </w:p>
        </w:tc>
      </w:tr>
      <w:tr w:rsidR="008B0937" w:rsidRPr="008B0937" w14:paraId="01CDF29E" w14:textId="77777777" w:rsidTr="00AE174B">
        <w:tc>
          <w:tcPr>
            <w:tcW w:w="2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E222CD" w14:textId="77777777" w:rsidR="009E04D3" w:rsidRPr="008B0937" w:rsidRDefault="009E04D3" w:rsidP="005D73DE">
            <w:pPr>
              <w:rPr>
                <w:lang w:val="lv-LV"/>
              </w:rPr>
            </w:pPr>
            <w:r w:rsidRPr="008B0937">
              <w:rPr>
                <w:lang w:val="lv-LV"/>
              </w:rPr>
              <w:t>3.</w:t>
            </w: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E02F0" w14:textId="77777777" w:rsidR="009E04D3" w:rsidRPr="008B0937" w:rsidRDefault="009E04D3" w:rsidP="00C21DCA">
            <w:pPr>
              <w:jc w:val="both"/>
              <w:rPr>
                <w:lang w:val="lv-LV"/>
              </w:rPr>
            </w:pPr>
            <w:r w:rsidRPr="008B0937">
              <w:rPr>
                <w:lang w:val="lv-LV"/>
              </w:rPr>
              <w:t>Cita informācija</w:t>
            </w:r>
          </w:p>
        </w:tc>
        <w:tc>
          <w:tcPr>
            <w:tcW w:w="36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A3A3C0" w14:textId="77777777" w:rsidR="009E04D3" w:rsidRPr="008B0937" w:rsidRDefault="00C14BAF" w:rsidP="005D73DE">
            <w:pPr>
              <w:rPr>
                <w:lang w:val="lv-LV"/>
              </w:rPr>
            </w:pPr>
            <w:r w:rsidRPr="008B0937">
              <w:rPr>
                <w:lang w:val="lv-LV"/>
              </w:rPr>
              <w:t>Nav.</w:t>
            </w:r>
          </w:p>
        </w:tc>
      </w:tr>
      <w:tr w:rsidR="008B0937" w:rsidRPr="008B0937" w14:paraId="72CAA762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523"/>
          <w:jc w:val="center"/>
        </w:trPr>
        <w:tc>
          <w:tcPr>
            <w:tcW w:w="4997" w:type="pct"/>
            <w:gridSpan w:val="5"/>
            <w:vAlign w:val="center"/>
          </w:tcPr>
          <w:p w14:paraId="54E14029" w14:textId="6B12A275" w:rsidR="00FB20CF" w:rsidRPr="008B0937" w:rsidRDefault="00FB20CF" w:rsidP="005D73DE">
            <w:pPr>
              <w:pStyle w:val="naisnod"/>
              <w:spacing w:before="0" w:after="0"/>
            </w:pPr>
            <w:r w:rsidRPr="008B0937">
              <w:t>1.</w:t>
            </w:r>
            <w:r w:rsidR="008B0937">
              <w:t> </w:t>
            </w:r>
            <w:r w:rsidRPr="008B0937">
              <w:t>tabula</w:t>
            </w:r>
          </w:p>
          <w:p w14:paraId="6067378B" w14:textId="77777777" w:rsidR="00FB20CF" w:rsidRPr="008B0937" w:rsidRDefault="00FB20CF" w:rsidP="005D73DE">
            <w:pPr>
              <w:pStyle w:val="naisnod"/>
              <w:spacing w:before="0" w:after="0"/>
              <w:rPr>
                <w:i/>
              </w:rPr>
            </w:pPr>
            <w:r w:rsidRPr="008B0937">
              <w:t>Tiesību akta projekta atbilstība ES tiesību aktiem</w:t>
            </w:r>
          </w:p>
        </w:tc>
      </w:tr>
      <w:tr w:rsidR="008B0937" w:rsidRPr="008B0937" w14:paraId="2C8F9502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906"/>
          <w:jc w:val="center"/>
        </w:trPr>
        <w:tc>
          <w:tcPr>
            <w:tcW w:w="1321" w:type="pct"/>
            <w:gridSpan w:val="2"/>
            <w:vAlign w:val="center"/>
          </w:tcPr>
          <w:p w14:paraId="63845D46" w14:textId="77777777" w:rsidR="00FB20CF" w:rsidRPr="008B0937" w:rsidRDefault="00FB20CF" w:rsidP="005D73DE">
            <w:pPr>
              <w:pStyle w:val="naiskr"/>
              <w:spacing w:before="0" w:beforeAutospacing="0" w:after="0" w:afterAutospacing="0"/>
              <w:ind w:hanging="10"/>
              <w:jc w:val="center"/>
            </w:pPr>
            <w:r w:rsidRPr="008B0937">
              <w:t>Attiecīgā ES tiesību akta datums, numurs un nosaukums</w:t>
            </w:r>
          </w:p>
        </w:tc>
        <w:tc>
          <w:tcPr>
            <w:tcW w:w="3676" w:type="pct"/>
            <w:gridSpan w:val="3"/>
          </w:tcPr>
          <w:p w14:paraId="67FB3E3D" w14:textId="68E5B274" w:rsidR="00825AF1" w:rsidRPr="008B0937" w:rsidRDefault="00661162" w:rsidP="00CF2CA2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8B0937">
              <w:rPr>
                <w:bCs/>
              </w:rPr>
              <w:t xml:space="preserve">Īstenošanas lēmums </w:t>
            </w:r>
            <w:r w:rsidR="00BB0BC9" w:rsidRPr="00CF2CA2">
              <w:rPr>
                <w:b/>
                <w:bCs/>
              </w:rPr>
              <w:t>2017/1</w:t>
            </w:r>
            <w:r w:rsidR="00CF2CA2" w:rsidRPr="00CF2CA2">
              <w:rPr>
                <w:b/>
                <w:bCs/>
              </w:rPr>
              <w:t>521</w:t>
            </w:r>
          </w:p>
        </w:tc>
      </w:tr>
      <w:tr w:rsidR="008B0937" w:rsidRPr="008B0937" w14:paraId="6DD67CC4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  <w:vAlign w:val="center"/>
          </w:tcPr>
          <w:p w14:paraId="1B544851" w14:textId="77777777" w:rsidR="00FB20CF" w:rsidRPr="008B093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8B0937">
              <w:t>A</w:t>
            </w:r>
          </w:p>
        </w:tc>
        <w:tc>
          <w:tcPr>
            <w:tcW w:w="1355" w:type="pct"/>
            <w:vAlign w:val="center"/>
          </w:tcPr>
          <w:p w14:paraId="0B67160F" w14:textId="77777777" w:rsidR="00FB20CF" w:rsidRPr="008B093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8B0937">
              <w:t>B</w:t>
            </w:r>
          </w:p>
        </w:tc>
        <w:tc>
          <w:tcPr>
            <w:tcW w:w="1086" w:type="pct"/>
            <w:vAlign w:val="center"/>
          </w:tcPr>
          <w:p w14:paraId="0CC5EDA2" w14:textId="77777777" w:rsidR="00FB20CF" w:rsidRPr="008B093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8B0937">
              <w:t>C</w:t>
            </w:r>
          </w:p>
        </w:tc>
        <w:tc>
          <w:tcPr>
            <w:tcW w:w="1235" w:type="pct"/>
            <w:vAlign w:val="center"/>
          </w:tcPr>
          <w:p w14:paraId="203A0B76" w14:textId="77777777" w:rsidR="00FB20CF" w:rsidRPr="008B0937" w:rsidRDefault="00FB20CF" w:rsidP="005D73DE">
            <w:pPr>
              <w:pStyle w:val="naiskr"/>
              <w:spacing w:before="0" w:beforeAutospacing="0" w:after="0" w:afterAutospacing="0"/>
              <w:jc w:val="center"/>
            </w:pPr>
            <w:r w:rsidRPr="008B0937">
              <w:t>D</w:t>
            </w:r>
          </w:p>
        </w:tc>
      </w:tr>
      <w:tr w:rsidR="008B0937" w:rsidRPr="009A0DB8" w14:paraId="28C659D1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65"/>
          <w:jc w:val="center"/>
        </w:trPr>
        <w:tc>
          <w:tcPr>
            <w:tcW w:w="1321" w:type="pct"/>
            <w:gridSpan w:val="2"/>
          </w:tcPr>
          <w:p w14:paraId="587D4F4E" w14:textId="77777777" w:rsidR="00DC5E91" w:rsidRPr="00695B14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Attiecīgā ES tiesību akta panta numurs (uzskaitot katru tiesību akta vienību – pantu, daļu, punktu, apakšpunktu)</w:t>
            </w:r>
          </w:p>
        </w:tc>
        <w:tc>
          <w:tcPr>
            <w:tcW w:w="1355" w:type="pct"/>
          </w:tcPr>
          <w:p w14:paraId="5A5856F3" w14:textId="77777777" w:rsidR="00DC5E91" w:rsidRPr="00695B14" w:rsidRDefault="0015551E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86" w:type="pct"/>
          </w:tcPr>
          <w:p w14:paraId="0A0C8C89" w14:textId="77777777" w:rsidR="00E36E68" w:rsidRPr="00695B14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Informācija par to, vai šīs tabulas A ailē minētās ES tiesību akta vienības tiek pārņemtas vai ieviestas pilnībā vai daļēji.</w:t>
            </w:r>
          </w:p>
          <w:p w14:paraId="1E781899" w14:textId="77777777" w:rsidR="00E36E68" w:rsidRPr="00695B14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Ja attiecīgā ES tiesību akta vienība tiek pārņemta vai ieviesta daļēji,</w:t>
            </w:r>
            <w:proofErr w:type="gramStart"/>
            <w:r w:rsidRPr="00695B14">
              <w:t xml:space="preserve">  </w:t>
            </w:r>
            <w:proofErr w:type="gramEnd"/>
            <w:r w:rsidRPr="00695B14">
              <w:t>sniedz attiecīgu skaidrojumu, kā arī precīzi norāda, kad un kādā veidā ES tiesību akta vienība tiks pārņemta vai ieviesta pilnībā.</w:t>
            </w:r>
          </w:p>
          <w:p w14:paraId="00545B3C" w14:textId="77777777" w:rsidR="00E36E68" w:rsidRPr="00695B14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Norāda institūciju, kas ir atbildīga par šo saistību izpildi pilnībā</w:t>
            </w:r>
          </w:p>
        </w:tc>
        <w:tc>
          <w:tcPr>
            <w:tcW w:w="1235" w:type="pct"/>
            <w:vAlign w:val="center"/>
          </w:tcPr>
          <w:p w14:paraId="3F3CC25F" w14:textId="77777777" w:rsidR="00E36E68" w:rsidRPr="00695B14" w:rsidRDefault="00DC5E91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Informācija par to, vai šīs tabulas B ailē minētās projekta vienības paredz stingrākas prasības nekā šīs tabulas A ailē minētās ES tiesību akta vienības.</w:t>
            </w:r>
          </w:p>
          <w:p w14:paraId="18F98B7C" w14:textId="77777777" w:rsidR="00E36E68" w:rsidRPr="00695B14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Ja projekts satur stingrākas prasības nekā attiecīgais ES tiesību akts, norāda pamatojumu un samērīgumu.</w:t>
            </w:r>
          </w:p>
          <w:p w14:paraId="3868D529" w14:textId="77777777" w:rsidR="00DC5E91" w:rsidRPr="00695B14" w:rsidRDefault="00E36E68" w:rsidP="005D73DE">
            <w:pPr>
              <w:pStyle w:val="naiskr"/>
              <w:spacing w:before="0" w:beforeAutospacing="0" w:after="0" w:afterAutospacing="0"/>
              <w:jc w:val="both"/>
            </w:pPr>
            <w:r w:rsidRPr="00695B14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B0937" w:rsidRPr="008B0937" w14:paraId="47E3153A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24893B3D" w14:textId="5D9B6177" w:rsidR="00411451" w:rsidRPr="00695B14" w:rsidRDefault="00411451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 xml:space="preserve">Īstenošanas lēmuma </w:t>
            </w:r>
            <w:r w:rsidR="00BB0BC9" w:rsidRPr="00695B14">
              <w:rPr>
                <w:bCs/>
                <w:lang w:val="lv-LV"/>
              </w:rPr>
              <w:t>2017/</w:t>
            </w:r>
            <w:r w:rsidR="00CF2CA2" w:rsidRPr="00695B14">
              <w:rPr>
                <w:bCs/>
                <w:lang w:val="lv-LV"/>
              </w:rPr>
              <w:t>1521</w:t>
            </w:r>
            <w:r w:rsidR="00BB0BC9"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="00BB0BC9" w:rsidRPr="00695B14">
              <w:rPr>
                <w:bCs/>
                <w:lang w:val="lv-LV"/>
              </w:rPr>
              <w:t xml:space="preserve"> izteiktais Īstenošanas lēmuma </w:t>
            </w:r>
            <w:r w:rsidR="00C23260" w:rsidRPr="00695B14">
              <w:rPr>
                <w:bCs/>
                <w:lang w:val="lv-LV"/>
              </w:rPr>
              <w:t>201</w:t>
            </w:r>
            <w:r w:rsidR="0093649F" w:rsidRPr="00695B14">
              <w:rPr>
                <w:bCs/>
                <w:lang w:val="lv-LV"/>
              </w:rPr>
              <w:t>4</w:t>
            </w:r>
            <w:r w:rsidR="00C23260" w:rsidRPr="00695B14">
              <w:rPr>
                <w:bCs/>
                <w:lang w:val="lv-LV"/>
              </w:rPr>
              <w:t>/</w:t>
            </w:r>
            <w:r w:rsidR="0093649F" w:rsidRPr="00695B14">
              <w:rPr>
                <w:bCs/>
                <w:lang w:val="lv-LV"/>
              </w:rPr>
              <w:t>709</w:t>
            </w:r>
            <w:r w:rsidR="00C23260" w:rsidRPr="00695B14">
              <w:rPr>
                <w:bCs/>
                <w:lang w:val="lv-LV"/>
              </w:rPr>
              <w:t xml:space="preserve">/ES </w:t>
            </w:r>
            <w:r w:rsidRPr="00695B14">
              <w:rPr>
                <w:bCs/>
                <w:lang w:val="lv-LV"/>
              </w:rPr>
              <w:t>pielikum</w:t>
            </w:r>
            <w:r w:rsidR="0093649F" w:rsidRPr="00695B14">
              <w:rPr>
                <w:bCs/>
                <w:lang w:val="lv-LV"/>
              </w:rPr>
              <w:t>a I daļas 1. punkts</w:t>
            </w:r>
          </w:p>
        </w:tc>
        <w:tc>
          <w:tcPr>
            <w:tcW w:w="1355" w:type="pct"/>
          </w:tcPr>
          <w:p w14:paraId="3FB252A0" w14:textId="1E151CAD" w:rsidR="00411451" w:rsidRPr="00695B14" w:rsidRDefault="00C23260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>Noteikumu projekt</w:t>
            </w:r>
            <w:r w:rsidR="00BB0BC9" w:rsidRPr="00695B14">
              <w:t>ā</w:t>
            </w:r>
            <w:r w:rsidR="000F77DE" w:rsidRPr="00695B14">
              <w:t xml:space="preserve"> </w:t>
            </w:r>
            <w:r w:rsidR="00BB0BC9" w:rsidRPr="00695B14">
              <w:t xml:space="preserve">izteiktais </w:t>
            </w:r>
            <w:r w:rsidR="00AE174B" w:rsidRPr="00695B14">
              <w:t>4</w:t>
            </w:r>
            <w:r w:rsidR="00396A18" w:rsidRPr="00695B14">
              <w:t>. pielikuma</w:t>
            </w:r>
            <w:r w:rsidR="00BB0BC9" w:rsidRPr="00695B14">
              <w:t xml:space="preserve"> 1. </w:t>
            </w:r>
            <w:r w:rsidR="00E071DE" w:rsidRPr="00695B14">
              <w:t>punkt</w:t>
            </w:r>
            <w:r w:rsidR="00BB0BC9" w:rsidRPr="00695B14">
              <w:t>s</w:t>
            </w:r>
          </w:p>
        </w:tc>
        <w:tc>
          <w:tcPr>
            <w:tcW w:w="1086" w:type="pct"/>
          </w:tcPr>
          <w:p w14:paraId="37189832" w14:textId="5464E130" w:rsidR="00411451" w:rsidRPr="00695B14" w:rsidRDefault="00411451" w:rsidP="0093649F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ES tiesību akta vienība tiek </w:t>
            </w:r>
            <w:r w:rsidR="0093649F" w:rsidRPr="00695B14">
              <w:t>pārņemta</w:t>
            </w:r>
            <w:r w:rsidRPr="00695B14">
              <w:t xml:space="preserve"> pilnībā.</w:t>
            </w:r>
          </w:p>
        </w:tc>
        <w:tc>
          <w:tcPr>
            <w:tcW w:w="1235" w:type="pct"/>
          </w:tcPr>
          <w:p w14:paraId="4593885C" w14:textId="3C32DAA9" w:rsidR="00411451" w:rsidRPr="00695B14" w:rsidRDefault="00411451" w:rsidP="0093649F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</w:t>
            </w:r>
            <w:r w:rsidR="0093649F" w:rsidRPr="00695B14">
              <w:t>s</w:t>
            </w:r>
            <w:r w:rsidRPr="00695B14">
              <w:t xml:space="preserve"> neparedz stingrākas prasības kā ES tiesību aktā.</w:t>
            </w:r>
          </w:p>
        </w:tc>
      </w:tr>
      <w:tr w:rsidR="008B0937" w:rsidRPr="008B0937" w14:paraId="328AF698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7B24C811" w14:textId="3972516E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 xml:space="preserve">Īstenošanas lēmuma 2014/709/ES </w:t>
            </w:r>
            <w:r w:rsidR="00AE174B" w:rsidRPr="00695B14">
              <w:rPr>
                <w:bCs/>
                <w:lang w:val="lv-LV"/>
              </w:rPr>
              <w:lastRenderedPageBreak/>
              <w:t>pielikuma I daļas 2. punkts</w:t>
            </w:r>
          </w:p>
        </w:tc>
        <w:tc>
          <w:tcPr>
            <w:tcW w:w="1355" w:type="pct"/>
          </w:tcPr>
          <w:p w14:paraId="4D1C29BD" w14:textId="778D6B45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lastRenderedPageBreak/>
              <w:t xml:space="preserve">Noteikumu projektā izteiktais </w:t>
            </w:r>
            <w:r w:rsidR="00E071DE" w:rsidRPr="00695B14">
              <w:t>3. pielikuma 1. un 2. punkt</w:t>
            </w:r>
            <w:r w:rsidRPr="00695B14">
              <w:t>s</w:t>
            </w:r>
          </w:p>
        </w:tc>
        <w:tc>
          <w:tcPr>
            <w:tcW w:w="1086" w:type="pct"/>
          </w:tcPr>
          <w:p w14:paraId="4C7A1159" w14:textId="1D18C863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01F86D6F" w14:textId="5ACC37CF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573E3927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606A2E5F" w14:textId="6398F3C5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 daļas 3. punkts</w:t>
            </w:r>
          </w:p>
        </w:tc>
        <w:tc>
          <w:tcPr>
            <w:tcW w:w="1355" w:type="pct"/>
          </w:tcPr>
          <w:p w14:paraId="6481CC46" w14:textId="0E93150A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2. punkt</w:t>
            </w:r>
            <w:r w:rsidRPr="00695B14">
              <w:t>s</w:t>
            </w:r>
          </w:p>
        </w:tc>
        <w:tc>
          <w:tcPr>
            <w:tcW w:w="1086" w:type="pct"/>
          </w:tcPr>
          <w:p w14:paraId="62868A7F" w14:textId="6785E2BA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5E7C07A5" w14:textId="1657F44E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66CEB54C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0F742722" w14:textId="1317197B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 daļas 4. punkts</w:t>
            </w:r>
          </w:p>
        </w:tc>
        <w:tc>
          <w:tcPr>
            <w:tcW w:w="1355" w:type="pct"/>
          </w:tcPr>
          <w:p w14:paraId="760DF3C1" w14:textId="23CC3813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3. punkt</w:t>
            </w:r>
            <w:r w:rsidRPr="00695B14">
              <w:t>s</w:t>
            </w:r>
          </w:p>
        </w:tc>
        <w:tc>
          <w:tcPr>
            <w:tcW w:w="1086" w:type="pct"/>
          </w:tcPr>
          <w:p w14:paraId="104D19FE" w14:textId="47441C0B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78EAE7E2" w14:textId="1AF4A552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58E9943A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52285817" w14:textId="32CE3367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 daļas 1. punkts</w:t>
            </w:r>
          </w:p>
        </w:tc>
        <w:tc>
          <w:tcPr>
            <w:tcW w:w="1355" w:type="pct"/>
          </w:tcPr>
          <w:p w14:paraId="70C85760" w14:textId="612147AD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4. punkt</w:t>
            </w:r>
            <w:r w:rsidRPr="00695B14">
              <w:t>s</w:t>
            </w:r>
          </w:p>
        </w:tc>
        <w:tc>
          <w:tcPr>
            <w:tcW w:w="1086" w:type="pct"/>
          </w:tcPr>
          <w:p w14:paraId="50CCE2BA" w14:textId="3676EDAB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5F22E64A" w14:textId="0B88796A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0231F2C0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7B772EFA" w14:textId="51BBC477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 daļas 2. punkts</w:t>
            </w:r>
          </w:p>
        </w:tc>
        <w:tc>
          <w:tcPr>
            <w:tcW w:w="1355" w:type="pct"/>
          </w:tcPr>
          <w:p w14:paraId="26521D84" w14:textId="206CBF2C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3. pielikuma 3. un 4. punkt</w:t>
            </w:r>
            <w:r w:rsidRPr="00695B14">
              <w:t>s</w:t>
            </w:r>
          </w:p>
        </w:tc>
        <w:tc>
          <w:tcPr>
            <w:tcW w:w="1086" w:type="pct"/>
          </w:tcPr>
          <w:p w14:paraId="37430B9F" w14:textId="0DA68524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2221B538" w14:textId="484E814E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62528710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661FE3D4" w14:textId="2B680276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 daļas 3. punkts</w:t>
            </w:r>
          </w:p>
        </w:tc>
        <w:tc>
          <w:tcPr>
            <w:tcW w:w="1355" w:type="pct"/>
          </w:tcPr>
          <w:p w14:paraId="70741F5F" w14:textId="7DA9D2B0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5. punkt</w:t>
            </w:r>
            <w:r w:rsidRPr="00695B14">
              <w:t>s</w:t>
            </w:r>
          </w:p>
        </w:tc>
        <w:tc>
          <w:tcPr>
            <w:tcW w:w="1086" w:type="pct"/>
          </w:tcPr>
          <w:p w14:paraId="31E46ACF" w14:textId="06C37544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22E2653C" w14:textId="137662B6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63103B9D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3F8401B9" w14:textId="196DCCBD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 daļas 4. punkts</w:t>
            </w:r>
          </w:p>
        </w:tc>
        <w:tc>
          <w:tcPr>
            <w:tcW w:w="1355" w:type="pct"/>
          </w:tcPr>
          <w:p w14:paraId="4642EA0D" w14:textId="5D5524F6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6. punkt</w:t>
            </w:r>
            <w:r w:rsidRPr="00695B14">
              <w:t>s</w:t>
            </w:r>
          </w:p>
        </w:tc>
        <w:tc>
          <w:tcPr>
            <w:tcW w:w="1086" w:type="pct"/>
          </w:tcPr>
          <w:p w14:paraId="1019D861" w14:textId="3FB58BA7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4A8ECB0B" w14:textId="32BB4D9A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54BCDA42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79AF4EFE" w14:textId="1993B9A0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</w:t>
            </w:r>
            <w:r w:rsidR="00687797" w:rsidRPr="00695B14">
              <w:rPr>
                <w:bCs/>
              </w:rPr>
              <w:t>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III daļas 1. punkts</w:t>
            </w:r>
          </w:p>
        </w:tc>
        <w:tc>
          <w:tcPr>
            <w:tcW w:w="1355" w:type="pct"/>
          </w:tcPr>
          <w:p w14:paraId="55765072" w14:textId="6998DEF5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7. punkt</w:t>
            </w:r>
            <w:r w:rsidRPr="00695B14">
              <w:t>s</w:t>
            </w:r>
          </w:p>
        </w:tc>
        <w:tc>
          <w:tcPr>
            <w:tcW w:w="1086" w:type="pct"/>
          </w:tcPr>
          <w:p w14:paraId="36F90E17" w14:textId="569CCECE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0B9E58AF" w14:textId="58B6A813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6CD8C9F3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3D5BCF2B" w14:textId="47C1493E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III daļas 2. punkts</w:t>
            </w:r>
          </w:p>
        </w:tc>
        <w:tc>
          <w:tcPr>
            <w:tcW w:w="1355" w:type="pct"/>
          </w:tcPr>
          <w:p w14:paraId="062774E0" w14:textId="326A5D13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3. pielikuma 5. un 6. punkt</w:t>
            </w:r>
            <w:r w:rsidRPr="00695B14">
              <w:t>s</w:t>
            </w:r>
          </w:p>
        </w:tc>
        <w:tc>
          <w:tcPr>
            <w:tcW w:w="1086" w:type="pct"/>
          </w:tcPr>
          <w:p w14:paraId="32BB5718" w14:textId="725AC8AD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58090384" w14:textId="1FD184A5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37D93D7C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65CEA753" w14:textId="7280C009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lastRenderedPageBreak/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III daļas 3. punkts</w:t>
            </w:r>
          </w:p>
        </w:tc>
        <w:tc>
          <w:tcPr>
            <w:tcW w:w="1355" w:type="pct"/>
          </w:tcPr>
          <w:p w14:paraId="43F5F84A" w14:textId="4AA13E64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8. punkt</w:t>
            </w:r>
            <w:r w:rsidRPr="00695B14">
              <w:t>s</w:t>
            </w:r>
          </w:p>
        </w:tc>
        <w:tc>
          <w:tcPr>
            <w:tcW w:w="1086" w:type="pct"/>
          </w:tcPr>
          <w:p w14:paraId="4E430041" w14:textId="43DA61B8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7B6DA17D" w14:textId="2BE39707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561FCD29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7500484D" w14:textId="5BD659AE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III daļas 4. punkts</w:t>
            </w:r>
          </w:p>
        </w:tc>
        <w:tc>
          <w:tcPr>
            <w:tcW w:w="1355" w:type="pct"/>
          </w:tcPr>
          <w:p w14:paraId="26E29C4C" w14:textId="07DADDCF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9. punkt</w:t>
            </w:r>
            <w:r w:rsidRPr="00695B14">
              <w:t>s</w:t>
            </w:r>
          </w:p>
        </w:tc>
        <w:tc>
          <w:tcPr>
            <w:tcW w:w="1086" w:type="pct"/>
          </w:tcPr>
          <w:p w14:paraId="5E92DFDB" w14:textId="5525B072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43A2C301" w14:textId="21EEFB81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8B0937" w14:paraId="0C41A6F0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191"/>
          <w:jc w:val="center"/>
        </w:trPr>
        <w:tc>
          <w:tcPr>
            <w:tcW w:w="1321" w:type="pct"/>
            <w:gridSpan w:val="2"/>
          </w:tcPr>
          <w:p w14:paraId="56DF9173" w14:textId="59D31053" w:rsidR="00AE174B" w:rsidRPr="00695B14" w:rsidRDefault="00BB0BC9" w:rsidP="00CF2CA2">
            <w:pPr>
              <w:jc w:val="both"/>
              <w:rPr>
                <w:bCs/>
                <w:lang w:val="lv-LV"/>
              </w:rPr>
            </w:pPr>
            <w:r w:rsidRPr="00695B14">
              <w:rPr>
                <w:bCs/>
                <w:lang w:val="lv-LV"/>
              </w:rPr>
              <w:t>Īstenošanas lēmuma 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  <w:lang w:val="lv-LV"/>
              </w:rPr>
              <w:t xml:space="preserve"> pielikum</w:t>
            </w:r>
            <w:r w:rsidR="008428E8" w:rsidRPr="00695B14">
              <w:rPr>
                <w:bCs/>
                <w:lang w:val="lv-LV"/>
              </w:rPr>
              <w:t>ā</w:t>
            </w:r>
            <w:r w:rsidRPr="00695B14">
              <w:rPr>
                <w:bCs/>
                <w:lang w:val="lv-LV"/>
              </w:rPr>
              <w:t xml:space="preserve"> izteiktais </w:t>
            </w:r>
            <w:r w:rsidR="00AE174B" w:rsidRPr="00695B14">
              <w:rPr>
                <w:bCs/>
                <w:lang w:val="lv-LV"/>
              </w:rPr>
              <w:t>Īstenošanas lēmuma 2014/709/ES pielikuma IV daļa</w:t>
            </w:r>
          </w:p>
        </w:tc>
        <w:tc>
          <w:tcPr>
            <w:tcW w:w="1355" w:type="pct"/>
          </w:tcPr>
          <w:p w14:paraId="59DBD99E" w14:textId="6DA88CDA" w:rsidR="00AE174B" w:rsidRPr="00695B14" w:rsidRDefault="00BB0BC9" w:rsidP="00BB0BC9">
            <w:pPr>
              <w:pStyle w:val="naiskr"/>
              <w:spacing w:before="0" w:beforeAutospacing="0" w:after="0" w:afterAutospacing="0"/>
              <w:jc w:val="both"/>
            </w:pPr>
            <w:r w:rsidRPr="00695B14">
              <w:t xml:space="preserve">Noteikumu projektā izteiktais </w:t>
            </w:r>
            <w:r w:rsidR="00AE174B" w:rsidRPr="00695B14">
              <w:t>4. pielikuma 10. punkt</w:t>
            </w:r>
            <w:r w:rsidRPr="00695B14">
              <w:t>s</w:t>
            </w:r>
          </w:p>
        </w:tc>
        <w:tc>
          <w:tcPr>
            <w:tcW w:w="1086" w:type="pct"/>
          </w:tcPr>
          <w:p w14:paraId="6238715E" w14:textId="68334187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ES tiesību akta vienība tiek pārņemta pilnībā.</w:t>
            </w:r>
          </w:p>
        </w:tc>
        <w:tc>
          <w:tcPr>
            <w:tcW w:w="1235" w:type="pct"/>
          </w:tcPr>
          <w:p w14:paraId="2A61FD5D" w14:textId="1165C4B1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695B14">
              <w:t>Attiecīgais noteikumu projekts neparedz stingrākas prasības kā ES tiesību aktā.</w:t>
            </w:r>
          </w:p>
        </w:tc>
      </w:tr>
      <w:tr w:rsidR="008B0937" w:rsidRPr="009A0DB8" w14:paraId="381F724E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81"/>
          <w:jc w:val="center"/>
        </w:trPr>
        <w:tc>
          <w:tcPr>
            <w:tcW w:w="1321" w:type="pct"/>
            <w:gridSpan w:val="2"/>
            <w:vAlign w:val="center"/>
          </w:tcPr>
          <w:p w14:paraId="07A0E555" w14:textId="77777777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  <w:proofErr w:type="gramStart"/>
            <w:r w:rsidRPr="00695B14">
              <w:t>Kā</w:t>
            </w:r>
            <w:proofErr w:type="gramEnd"/>
            <w:r w:rsidRPr="00695B14">
              <w:t xml:space="preserve"> ir izmantota ES tiesību aktā paredzētā rīcības brīvība dalībvalstij pārņemt vai ieviest noteiktas ES tiesību akta normas. Kādēļ?</w:t>
            </w:r>
          </w:p>
        </w:tc>
        <w:tc>
          <w:tcPr>
            <w:tcW w:w="3676" w:type="pct"/>
            <w:gridSpan w:val="3"/>
          </w:tcPr>
          <w:p w14:paraId="428AAA32" w14:textId="77777777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</w:p>
          <w:p w14:paraId="5CB02278" w14:textId="683576DE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  <w:rPr>
                <w:bCs/>
              </w:rPr>
            </w:pPr>
            <w:r w:rsidRPr="00695B14">
              <w:rPr>
                <w:bCs/>
              </w:rPr>
              <w:t xml:space="preserve">Īstenošanas lēmumā </w:t>
            </w:r>
            <w:r w:rsidR="00440FDD" w:rsidRPr="00695B14">
              <w:rPr>
                <w:bCs/>
              </w:rPr>
              <w:t>2017/</w:t>
            </w:r>
            <w:r w:rsidR="00CF2CA2" w:rsidRPr="00695B14">
              <w:rPr>
                <w:bCs/>
              </w:rPr>
              <w:t>1521</w:t>
            </w:r>
            <w:r w:rsidRPr="00695B14">
              <w:rPr>
                <w:bCs/>
              </w:rPr>
              <w:t xml:space="preserve"> nav dota rīcības brīvība dalībvalstij ieviest tiesību normas.</w:t>
            </w:r>
          </w:p>
          <w:p w14:paraId="6C273B6B" w14:textId="77777777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8B0937" w:rsidRPr="008B0937" w14:paraId="3EDB2024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246"/>
          <w:jc w:val="center"/>
        </w:trPr>
        <w:tc>
          <w:tcPr>
            <w:tcW w:w="1321" w:type="pct"/>
            <w:gridSpan w:val="2"/>
            <w:vAlign w:val="center"/>
          </w:tcPr>
          <w:p w14:paraId="2970ECAF" w14:textId="77777777" w:rsidR="00AE174B" w:rsidRPr="00695B14" w:rsidRDefault="00AE174B" w:rsidP="00AE174B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695B14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76" w:type="pct"/>
            <w:gridSpan w:val="3"/>
          </w:tcPr>
          <w:p w14:paraId="6C34C0F3" w14:textId="77777777" w:rsidR="00AE174B" w:rsidRPr="00695B14" w:rsidRDefault="00AE174B" w:rsidP="00AE174B">
            <w:pPr>
              <w:pStyle w:val="naiskr"/>
              <w:spacing w:before="0" w:beforeAutospacing="0" w:after="0" w:afterAutospacing="0"/>
            </w:pPr>
            <w:r w:rsidRPr="00695B14">
              <w:t>Projekts šo jomu neskar.</w:t>
            </w:r>
          </w:p>
        </w:tc>
      </w:tr>
      <w:tr w:rsidR="008B0937" w:rsidRPr="008B0937" w14:paraId="382955EA" w14:textId="77777777" w:rsidTr="00AE174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3" w:type="pct"/>
          <w:trHeight w:val="47"/>
          <w:jc w:val="center"/>
        </w:trPr>
        <w:tc>
          <w:tcPr>
            <w:tcW w:w="1321" w:type="pct"/>
            <w:gridSpan w:val="2"/>
          </w:tcPr>
          <w:p w14:paraId="776CD446" w14:textId="77777777" w:rsidR="00AE174B" w:rsidRPr="008B0937" w:rsidRDefault="00AE174B" w:rsidP="00AE174B">
            <w:pPr>
              <w:pStyle w:val="naiskr"/>
              <w:spacing w:before="0" w:beforeAutospacing="0" w:after="0" w:afterAutospacing="0"/>
              <w:jc w:val="both"/>
            </w:pPr>
            <w:r w:rsidRPr="008B0937">
              <w:t>Cita informācija</w:t>
            </w:r>
          </w:p>
        </w:tc>
        <w:tc>
          <w:tcPr>
            <w:tcW w:w="3676" w:type="pct"/>
            <w:gridSpan w:val="3"/>
          </w:tcPr>
          <w:p w14:paraId="25188169" w14:textId="77777777" w:rsidR="00AE174B" w:rsidRPr="008B0937" w:rsidRDefault="00AE174B" w:rsidP="00AE174B">
            <w:pPr>
              <w:pStyle w:val="naiskr"/>
              <w:spacing w:before="0" w:beforeAutospacing="0" w:after="0" w:afterAutospacing="0"/>
            </w:pPr>
            <w:r w:rsidRPr="008B0937">
              <w:t>Nav.</w:t>
            </w:r>
          </w:p>
        </w:tc>
      </w:tr>
    </w:tbl>
    <w:p w14:paraId="38842687" w14:textId="77777777" w:rsidR="00C649A5" w:rsidRPr="008B0937" w:rsidRDefault="00C649A5" w:rsidP="00C649A5">
      <w:pPr>
        <w:jc w:val="both"/>
        <w:rPr>
          <w:i/>
          <w:szCs w:val="28"/>
          <w:lang w:val="lv-LV" w:eastAsia="lv-LV"/>
        </w:rPr>
      </w:pPr>
    </w:p>
    <w:p w14:paraId="48DBAD35" w14:textId="053DBA08" w:rsidR="00C649A5" w:rsidRPr="008B0937" w:rsidRDefault="00C649A5" w:rsidP="00C649A5">
      <w:pPr>
        <w:jc w:val="both"/>
        <w:rPr>
          <w:i/>
          <w:szCs w:val="28"/>
          <w:lang w:val="lv-LV" w:eastAsia="lv-LV"/>
        </w:rPr>
      </w:pPr>
      <w:r w:rsidRPr="008B0937">
        <w:rPr>
          <w:i/>
          <w:szCs w:val="28"/>
          <w:lang w:val="lv-LV" w:eastAsia="lv-LV"/>
        </w:rPr>
        <w:t>Anotācijas V sadaļas 2. tabula – projekts šīs jomas neskar.</w:t>
      </w:r>
    </w:p>
    <w:p w14:paraId="40C27CB8" w14:textId="77777777" w:rsidR="00C649A5" w:rsidRPr="008B0937" w:rsidRDefault="00C649A5" w:rsidP="005D73DE">
      <w:pPr>
        <w:rPr>
          <w:sz w:val="28"/>
          <w:szCs w:val="28"/>
          <w:u w:val="single"/>
          <w:lang w:val="lv-LV" w:eastAsia="lv-LV"/>
        </w:rPr>
      </w:pPr>
    </w:p>
    <w:tbl>
      <w:tblPr>
        <w:tblW w:w="5005" w:type="pct"/>
        <w:tblInd w:w="-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04"/>
        <w:gridCol w:w="4442"/>
        <w:gridCol w:w="4729"/>
      </w:tblGrid>
      <w:tr w:rsidR="008B0937" w:rsidRPr="009A0DB8" w14:paraId="66DBCBD9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8F6329" w14:textId="77777777" w:rsidR="00106A29" w:rsidRPr="008B0937" w:rsidRDefault="00106A29" w:rsidP="00A81B93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8B0937">
              <w:rPr>
                <w:b/>
                <w:bCs/>
                <w:szCs w:val="28"/>
                <w:lang w:val="lv-LV" w:eastAsia="lv-LV"/>
              </w:rPr>
              <w:t>VI. Sabiedrības līdzdalība un komunikācijas aktivitātes</w:t>
            </w:r>
          </w:p>
        </w:tc>
      </w:tr>
      <w:tr w:rsidR="008B0937" w:rsidRPr="009A0DB8" w14:paraId="561049EA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9282744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8B0937">
              <w:rPr>
                <w:szCs w:val="28"/>
              </w:rPr>
              <w:t>1.</w:t>
            </w:r>
          </w:p>
        </w:tc>
        <w:tc>
          <w:tcPr>
            <w:tcW w:w="2272" w:type="pct"/>
          </w:tcPr>
          <w:p w14:paraId="3477109B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8B0937">
              <w:rPr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419" w:type="pct"/>
          </w:tcPr>
          <w:p w14:paraId="56C4C6ED" w14:textId="59436CE5" w:rsidR="00106A29" w:rsidRPr="008B0937" w:rsidRDefault="00CB0881" w:rsidP="00CF2CA2">
            <w:pPr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 xml:space="preserve">Sabiedrības līdzdalība nav nepieciešama, jo </w:t>
            </w:r>
            <w:r w:rsidR="00EE7C74" w:rsidRPr="008B0937">
              <w:rPr>
                <w:szCs w:val="28"/>
                <w:lang w:val="lv-LV"/>
              </w:rPr>
              <w:t xml:space="preserve">ar </w:t>
            </w:r>
            <w:r w:rsidRPr="008B0937">
              <w:rPr>
                <w:szCs w:val="28"/>
                <w:lang w:val="lv-LV"/>
              </w:rPr>
              <w:t>noteikumu projekt</w:t>
            </w:r>
            <w:r w:rsidR="00EE7C74" w:rsidRPr="008B0937">
              <w:rPr>
                <w:szCs w:val="28"/>
                <w:lang w:val="lv-LV"/>
              </w:rPr>
              <w:t>u</w:t>
            </w:r>
            <w:r w:rsidRPr="008B0937">
              <w:rPr>
                <w:szCs w:val="28"/>
                <w:lang w:val="lv-LV"/>
              </w:rPr>
              <w:t xml:space="preserve"> tehniski </w:t>
            </w:r>
            <w:r w:rsidR="00EE7C74" w:rsidRPr="008B0937">
              <w:rPr>
                <w:szCs w:val="28"/>
                <w:lang w:val="lv-LV"/>
              </w:rPr>
              <w:t xml:space="preserve">tiek </w:t>
            </w:r>
            <w:r w:rsidRPr="008B0937">
              <w:rPr>
                <w:szCs w:val="28"/>
                <w:lang w:val="lv-LV"/>
              </w:rPr>
              <w:t>pārņem</w:t>
            </w:r>
            <w:r w:rsidR="00EE7C74" w:rsidRPr="008B0937">
              <w:rPr>
                <w:szCs w:val="28"/>
                <w:lang w:val="lv-LV"/>
              </w:rPr>
              <w:t>tas</w:t>
            </w:r>
            <w:r w:rsidRPr="008B0937">
              <w:rPr>
                <w:szCs w:val="28"/>
                <w:lang w:val="lv-LV"/>
              </w:rPr>
              <w:t xml:space="preserve"> </w:t>
            </w:r>
            <w:r w:rsidR="008D3872" w:rsidRPr="008B0937">
              <w:rPr>
                <w:bCs/>
                <w:szCs w:val="28"/>
                <w:lang w:val="lv-LV"/>
              </w:rPr>
              <w:t xml:space="preserve">Īstenošanas lēmuma </w:t>
            </w:r>
            <w:r w:rsidR="000611C3" w:rsidRPr="008B0937">
              <w:rPr>
                <w:bCs/>
                <w:szCs w:val="28"/>
                <w:lang w:val="lv-LV"/>
              </w:rPr>
              <w:t>2017/</w:t>
            </w:r>
            <w:r w:rsidR="00CF2CA2" w:rsidRPr="00CF2CA2">
              <w:rPr>
                <w:b/>
                <w:bCs/>
                <w:lang w:val="lv-LV"/>
              </w:rPr>
              <w:t>1521</w:t>
            </w:r>
            <w:r w:rsidR="00825AF1" w:rsidRPr="008B0937">
              <w:rPr>
                <w:bCs/>
                <w:szCs w:val="28"/>
                <w:lang w:val="lv-LV"/>
              </w:rPr>
              <w:t xml:space="preserve">/ES </w:t>
            </w:r>
            <w:r w:rsidRPr="008B0937">
              <w:rPr>
                <w:szCs w:val="28"/>
                <w:lang w:val="lv-LV"/>
              </w:rPr>
              <w:t xml:space="preserve">normas. </w:t>
            </w:r>
          </w:p>
        </w:tc>
      </w:tr>
      <w:tr w:rsidR="008B0937" w:rsidRPr="008B0937" w14:paraId="353926AC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49F06B5A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8B0937">
              <w:rPr>
                <w:szCs w:val="28"/>
              </w:rPr>
              <w:t>2.</w:t>
            </w:r>
          </w:p>
        </w:tc>
        <w:tc>
          <w:tcPr>
            <w:tcW w:w="2272" w:type="pct"/>
          </w:tcPr>
          <w:p w14:paraId="27533144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8B0937">
              <w:rPr>
                <w:szCs w:val="28"/>
              </w:rPr>
              <w:t>Sabiedrības līdzdalība projekta izstrādē</w:t>
            </w:r>
          </w:p>
        </w:tc>
        <w:tc>
          <w:tcPr>
            <w:tcW w:w="2419" w:type="pct"/>
          </w:tcPr>
          <w:p w14:paraId="3D95C1D0" w14:textId="77777777" w:rsidR="00E51A87" w:rsidRPr="008B0937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8B0937">
              <w:rPr>
                <w:szCs w:val="28"/>
              </w:rPr>
              <w:t>P</w:t>
            </w:r>
            <w:r w:rsidR="00CB0881" w:rsidRPr="008B0937">
              <w:rPr>
                <w:szCs w:val="28"/>
              </w:rPr>
              <w:t>rojekts šo jomu neskar.</w:t>
            </w:r>
          </w:p>
        </w:tc>
      </w:tr>
      <w:tr w:rsidR="008B0937" w:rsidRPr="008B0937" w14:paraId="33068990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6C8D73B7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8B0937">
              <w:rPr>
                <w:szCs w:val="28"/>
              </w:rPr>
              <w:t>3.</w:t>
            </w:r>
          </w:p>
        </w:tc>
        <w:tc>
          <w:tcPr>
            <w:tcW w:w="2272" w:type="pct"/>
          </w:tcPr>
          <w:p w14:paraId="099D2E84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8B0937">
              <w:rPr>
                <w:szCs w:val="28"/>
              </w:rPr>
              <w:t>Sabiedrības līdzdalības rezultāti</w:t>
            </w:r>
          </w:p>
        </w:tc>
        <w:tc>
          <w:tcPr>
            <w:tcW w:w="2419" w:type="pct"/>
          </w:tcPr>
          <w:p w14:paraId="6E0E3B51" w14:textId="77777777" w:rsidR="00106A29" w:rsidRPr="008B0937" w:rsidRDefault="0078718E" w:rsidP="0078718E">
            <w:pPr>
              <w:pStyle w:val="naiskr"/>
              <w:spacing w:before="0" w:beforeAutospacing="0" w:after="0" w:afterAutospacing="0"/>
              <w:jc w:val="both"/>
              <w:rPr>
                <w:rFonts w:eastAsia="Arial Unicode MS"/>
                <w:szCs w:val="28"/>
              </w:rPr>
            </w:pPr>
            <w:r w:rsidRPr="008B0937">
              <w:rPr>
                <w:rFonts w:eastAsia="Arial Unicode MS"/>
                <w:szCs w:val="28"/>
              </w:rPr>
              <w:t>P</w:t>
            </w:r>
            <w:r w:rsidR="00CB0881" w:rsidRPr="008B0937">
              <w:rPr>
                <w:rFonts w:eastAsia="Arial Unicode MS"/>
                <w:szCs w:val="28"/>
              </w:rPr>
              <w:t>rojekts šo jomu neskar.</w:t>
            </w:r>
          </w:p>
        </w:tc>
      </w:tr>
      <w:tr w:rsidR="008B0937" w:rsidRPr="008B0937" w14:paraId="0EE39FE6" w14:textId="77777777" w:rsidTr="006B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" w:type="pct"/>
          </w:tcPr>
          <w:p w14:paraId="1CD82BF6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rPr>
                <w:szCs w:val="28"/>
              </w:rPr>
            </w:pPr>
            <w:r w:rsidRPr="008B0937">
              <w:rPr>
                <w:szCs w:val="28"/>
              </w:rPr>
              <w:t>4.</w:t>
            </w:r>
          </w:p>
        </w:tc>
        <w:tc>
          <w:tcPr>
            <w:tcW w:w="2272" w:type="pct"/>
          </w:tcPr>
          <w:p w14:paraId="2C1B3D42" w14:textId="77777777" w:rsidR="00106A29" w:rsidRPr="008B0937" w:rsidRDefault="00106A29" w:rsidP="00A81B93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8B0937">
              <w:rPr>
                <w:szCs w:val="28"/>
              </w:rPr>
              <w:t>Cita informācija</w:t>
            </w:r>
          </w:p>
        </w:tc>
        <w:tc>
          <w:tcPr>
            <w:tcW w:w="2419" w:type="pct"/>
          </w:tcPr>
          <w:p w14:paraId="2C09CBFE" w14:textId="77777777" w:rsidR="00106A29" w:rsidRPr="008B0937" w:rsidRDefault="00106A29" w:rsidP="00A81B93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8"/>
                <w:lang w:val="lv-LV"/>
              </w:rPr>
            </w:pPr>
            <w:r w:rsidRPr="008B0937">
              <w:rPr>
                <w:sz w:val="24"/>
                <w:szCs w:val="28"/>
                <w:lang w:val="lv-LV"/>
              </w:rPr>
              <w:t>Nav.</w:t>
            </w:r>
          </w:p>
        </w:tc>
      </w:tr>
      <w:tr w:rsidR="008B0937" w:rsidRPr="008B0937" w14:paraId="5C3CDD17" w14:textId="77777777" w:rsidTr="00106A2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79FF1D" w14:textId="77777777" w:rsidR="00A162FE" w:rsidRPr="008B0937" w:rsidRDefault="00A162FE" w:rsidP="005D73DE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8B0937">
              <w:rPr>
                <w:b/>
                <w:bCs/>
                <w:szCs w:val="28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8B0937" w:rsidRPr="008B0937" w14:paraId="6E8EC914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AA83A" w14:textId="77777777" w:rsidR="002C46AC" w:rsidRPr="008B0937" w:rsidRDefault="002C46AC" w:rsidP="005D73DE">
            <w:pPr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148FFD" w14:textId="77777777" w:rsidR="002C46AC" w:rsidRPr="008B0937" w:rsidRDefault="002C46AC" w:rsidP="009E2709">
            <w:pPr>
              <w:jc w:val="both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4AB5C" w14:textId="77777777" w:rsidR="002C46AC" w:rsidRPr="008B0937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0937">
              <w:rPr>
                <w:rFonts w:ascii="Times New Roman" w:hAnsi="Times New Roman"/>
                <w:sz w:val="24"/>
                <w:szCs w:val="28"/>
              </w:rPr>
              <w:t>Pārtikas un veterinārais dienests</w:t>
            </w:r>
          </w:p>
        </w:tc>
      </w:tr>
      <w:tr w:rsidR="008B0937" w:rsidRPr="008B0937" w14:paraId="48A8638F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4EA3D" w14:textId="77777777" w:rsidR="002C46AC" w:rsidRPr="008B0937" w:rsidRDefault="002C46AC" w:rsidP="005D73DE">
            <w:pPr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2.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B2E9A" w14:textId="77777777" w:rsidR="00713C15" w:rsidRPr="008B0937" w:rsidRDefault="00713C15" w:rsidP="009E2709">
            <w:pPr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t xml:space="preserve">Projekta izpildes ietekme uz pārvaldes funkcijām un institucionālo struktūru. </w:t>
            </w:r>
          </w:p>
          <w:p w14:paraId="7417C14E" w14:textId="77777777" w:rsidR="002C46AC" w:rsidRPr="008B0937" w:rsidRDefault="00713C15" w:rsidP="009E2709">
            <w:pPr>
              <w:ind w:firstLine="300"/>
              <w:jc w:val="both"/>
              <w:rPr>
                <w:szCs w:val="28"/>
                <w:lang w:val="lv-LV"/>
              </w:rPr>
            </w:pPr>
            <w:r w:rsidRPr="008B0937">
              <w:rPr>
                <w:szCs w:val="28"/>
                <w:lang w:val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FB4D0" w14:textId="77777777" w:rsidR="005F1986" w:rsidRPr="008B0937" w:rsidRDefault="00134D78" w:rsidP="00134D78">
            <w:pPr>
              <w:pStyle w:val="naiskr"/>
              <w:spacing w:before="0" w:beforeAutospacing="0" w:after="0" w:afterAutospacing="0"/>
              <w:jc w:val="both"/>
              <w:rPr>
                <w:szCs w:val="28"/>
              </w:rPr>
            </w:pPr>
            <w:r w:rsidRPr="008B0937">
              <w:rPr>
                <w:szCs w:val="28"/>
              </w:rPr>
              <w:lastRenderedPageBreak/>
              <w:t>P</w:t>
            </w:r>
            <w:r w:rsidR="001532AD" w:rsidRPr="008B0937">
              <w:rPr>
                <w:szCs w:val="28"/>
              </w:rPr>
              <w:t>rojekts šo jomu neskar.</w:t>
            </w:r>
          </w:p>
        </w:tc>
      </w:tr>
      <w:tr w:rsidR="008B0937" w:rsidRPr="008B0937" w14:paraId="379C0DE1" w14:textId="77777777" w:rsidTr="006B7275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00302C" w14:textId="77777777" w:rsidR="002C46AC" w:rsidRPr="008B0937" w:rsidRDefault="002C46AC" w:rsidP="005D73DE">
            <w:pPr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3.</w:t>
            </w:r>
          </w:p>
        </w:tc>
        <w:tc>
          <w:tcPr>
            <w:tcW w:w="22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451646" w14:textId="77777777" w:rsidR="002C46AC" w:rsidRPr="008B0937" w:rsidRDefault="00713C15" w:rsidP="005D73DE">
            <w:pPr>
              <w:jc w:val="both"/>
              <w:rPr>
                <w:szCs w:val="28"/>
                <w:lang w:val="lv-LV" w:eastAsia="lv-LV"/>
              </w:rPr>
            </w:pPr>
            <w:r w:rsidRPr="008B0937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452E0" w14:textId="77777777" w:rsidR="002C46AC" w:rsidRPr="008B0937" w:rsidRDefault="001532AD" w:rsidP="005D73DE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0937">
              <w:rPr>
                <w:rFonts w:ascii="Times New Roman" w:hAnsi="Times New Roman"/>
                <w:sz w:val="24"/>
                <w:szCs w:val="28"/>
              </w:rPr>
              <w:t>Nav.</w:t>
            </w:r>
          </w:p>
        </w:tc>
      </w:tr>
    </w:tbl>
    <w:p w14:paraId="78CD348C" w14:textId="77777777" w:rsidR="00E62AA5" w:rsidRPr="008B0937" w:rsidRDefault="00E62AA5" w:rsidP="005D73DE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7365C775" w14:textId="77777777" w:rsidR="00CB0881" w:rsidRPr="008B0937" w:rsidRDefault="00CB0881" w:rsidP="005D73DE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4A712CA1" w14:textId="396E6EFB" w:rsidR="00411451" w:rsidRPr="008B0937" w:rsidRDefault="00411451" w:rsidP="00411451">
      <w:pPr>
        <w:pStyle w:val="Virsraksts1"/>
        <w:keepNext w:val="0"/>
        <w:widowControl w:val="0"/>
        <w:ind w:firstLine="720"/>
        <w:jc w:val="left"/>
        <w:rPr>
          <w:b w:val="0"/>
          <w:szCs w:val="28"/>
        </w:rPr>
      </w:pPr>
      <w:r w:rsidRPr="008B0937">
        <w:rPr>
          <w:b w:val="0"/>
          <w:szCs w:val="28"/>
        </w:rPr>
        <w:t>Zemkopības ministrs</w:t>
      </w:r>
      <w:r w:rsidRPr="008B0937">
        <w:rPr>
          <w:b w:val="0"/>
          <w:szCs w:val="28"/>
        </w:rPr>
        <w:tab/>
      </w:r>
      <w:r w:rsidRPr="008B0937">
        <w:rPr>
          <w:b w:val="0"/>
          <w:szCs w:val="28"/>
        </w:rPr>
        <w:tab/>
      </w:r>
      <w:r w:rsidRPr="008B0937">
        <w:rPr>
          <w:b w:val="0"/>
          <w:szCs w:val="28"/>
        </w:rPr>
        <w:tab/>
      </w:r>
      <w:r w:rsidRPr="008B0937">
        <w:rPr>
          <w:b w:val="0"/>
          <w:szCs w:val="28"/>
        </w:rPr>
        <w:tab/>
      </w:r>
      <w:r w:rsidRPr="008B0937">
        <w:rPr>
          <w:b w:val="0"/>
          <w:szCs w:val="28"/>
        </w:rPr>
        <w:tab/>
      </w:r>
      <w:r w:rsidRPr="008B0937">
        <w:rPr>
          <w:b w:val="0"/>
          <w:szCs w:val="28"/>
        </w:rPr>
        <w:tab/>
        <w:t>Jānis Dūklavs</w:t>
      </w:r>
    </w:p>
    <w:p w14:paraId="77F6C5CA" w14:textId="77777777" w:rsidR="00411451" w:rsidRPr="008B0937" w:rsidRDefault="00411451" w:rsidP="00A21F55">
      <w:pPr>
        <w:ind w:firstLine="720"/>
        <w:rPr>
          <w:sz w:val="28"/>
          <w:szCs w:val="28"/>
          <w:lang w:val="lv-LV" w:eastAsia="lv-LV"/>
        </w:rPr>
      </w:pPr>
    </w:p>
    <w:p w14:paraId="39FC04FB" w14:textId="77777777" w:rsidR="00A21F55" w:rsidRPr="008B0937" w:rsidRDefault="00A21F55" w:rsidP="009A0DB8">
      <w:pPr>
        <w:rPr>
          <w:sz w:val="28"/>
          <w:szCs w:val="28"/>
          <w:lang w:val="lv-LV" w:eastAsia="lv-LV"/>
        </w:rPr>
      </w:pPr>
    </w:p>
    <w:p w14:paraId="38BB46EA" w14:textId="1457D320" w:rsidR="00E1015D" w:rsidRPr="008B0937" w:rsidRDefault="00E1015D" w:rsidP="00A21F55">
      <w:pPr>
        <w:ind w:firstLine="720"/>
        <w:rPr>
          <w:sz w:val="28"/>
          <w:lang w:val="lv-LV"/>
        </w:rPr>
      </w:pPr>
      <w:r w:rsidRPr="008B0937">
        <w:rPr>
          <w:sz w:val="28"/>
          <w:lang w:val="lv-LV"/>
        </w:rPr>
        <w:t>Zemkopības ministrijas valsts sekretāre</w:t>
      </w:r>
      <w:r w:rsidRPr="008B0937">
        <w:rPr>
          <w:sz w:val="28"/>
          <w:lang w:val="lv-LV"/>
        </w:rPr>
        <w:tab/>
      </w:r>
      <w:r w:rsidRPr="008B0937">
        <w:rPr>
          <w:sz w:val="28"/>
          <w:lang w:val="lv-LV"/>
        </w:rPr>
        <w:tab/>
      </w:r>
      <w:r w:rsidRPr="008B0937">
        <w:rPr>
          <w:sz w:val="28"/>
          <w:lang w:val="lv-LV"/>
        </w:rPr>
        <w:tab/>
        <w:t>Dace Lucaua</w:t>
      </w:r>
    </w:p>
    <w:p w14:paraId="039C436C" w14:textId="77777777" w:rsidR="00494001" w:rsidRPr="008B0937" w:rsidRDefault="00494001" w:rsidP="001532AD">
      <w:pPr>
        <w:jc w:val="both"/>
        <w:rPr>
          <w:sz w:val="28"/>
          <w:szCs w:val="28"/>
          <w:lang w:val="lv-LV"/>
        </w:rPr>
      </w:pPr>
    </w:p>
    <w:p w14:paraId="1CD3337E" w14:textId="77777777" w:rsidR="00CB0881" w:rsidRPr="008B0937" w:rsidRDefault="00CB0881" w:rsidP="001532AD">
      <w:pPr>
        <w:jc w:val="both"/>
        <w:rPr>
          <w:sz w:val="20"/>
          <w:szCs w:val="20"/>
          <w:lang w:val="lv-LV"/>
        </w:rPr>
      </w:pPr>
    </w:p>
    <w:p w14:paraId="7767EFF5" w14:textId="77777777" w:rsidR="00A21F55" w:rsidRPr="008B0937" w:rsidRDefault="00A21F55" w:rsidP="001532AD">
      <w:pPr>
        <w:jc w:val="both"/>
        <w:rPr>
          <w:lang w:val="lv-LV"/>
        </w:rPr>
      </w:pPr>
    </w:p>
    <w:p w14:paraId="696D754D" w14:textId="77777777" w:rsidR="00A21F55" w:rsidRPr="008B0937" w:rsidRDefault="00A21F55" w:rsidP="001532AD">
      <w:pPr>
        <w:jc w:val="both"/>
        <w:rPr>
          <w:lang w:val="lv-LV"/>
        </w:rPr>
      </w:pPr>
    </w:p>
    <w:p w14:paraId="2739E902" w14:textId="77777777" w:rsidR="00A21F55" w:rsidRPr="008B0937" w:rsidRDefault="00A21F55" w:rsidP="001532AD">
      <w:pPr>
        <w:jc w:val="both"/>
        <w:rPr>
          <w:lang w:val="lv-LV"/>
        </w:rPr>
      </w:pPr>
    </w:p>
    <w:p w14:paraId="73ACC9FD" w14:textId="77777777" w:rsidR="00A21F55" w:rsidRPr="008B0937" w:rsidRDefault="00A21F55" w:rsidP="001532AD">
      <w:pPr>
        <w:jc w:val="both"/>
        <w:rPr>
          <w:lang w:val="lv-LV"/>
        </w:rPr>
      </w:pPr>
    </w:p>
    <w:p w14:paraId="46CDEE10" w14:textId="77777777" w:rsidR="00A21F55" w:rsidRPr="008B0937" w:rsidRDefault="00A21F55" w:rsidP="001532AD">
      <w:pPr>
        <w:jc w:val="both"/>
        <w:rPr>
          <w:lang w:val="lv-LV"/>
        </w:rPr>
      </w:pPr>
    </w:p>
    <w:p w14:paraId="6532BF17" w14:textId="77777777" w:rsidR="00A21F55" w:rsidRPr="008B0937" w:rsidRDefault="00A21F55" w:rsidP="001532AD">
      <w:pPr>
        <w:jc w:val="both"/>
        <w:rPr>
          <w:lang w:val="lv-LV"/>
        </w:rPr>
      </w:pPr>
    </w:p>
    <w:p w14:paraId="66D9C90B" w14:textId="77777777" w:rsidR="00A21F55" w:rsidRPr="008B0937" w:rsidRDefault="00A21F55" w:rsidP="001532AD">
      <w:pPr>
        <w:jc w:val="both"/>
        <w:rPr>
          <w:lang w:val="lv-LV"/>
        </w:rPr>
      </w:pPr>
    </w:p>
    <w:p w14:paraId="4C029638" w14:textId="77777777" w:rsidR="00A21F55" w:rsidRPr="008B0937" w:rsidRDefault="00A21F55" w:rsidP="001532AD">
      <w:pPr>
        <w:jc w:val="both"/>
        <w:rPr>
          <w:lang w:val="lv-LV"/>
        </w:rPr>
      </w:pPr>
    </w:p>
    <w:p w14:paraId="1A49B96A" w14:textId="77777777" w:rsidR="00A21F55" w:rsidRPr="008B0937" w:rsidRDefault="00A21F55" w:rsidP="001532AD">
      <w:pPr>
        <w:jc w:val="both"/>
        <w:rPr>
          <w:lang w:val="lv-LV"/>
        </w:rPr>
      </w:pPr>
    </w:p>
    <w:p w14:paraId="0D6B9FBC" w14:textId="42CFDA86" w:rsidR="00A21F55" w:rsidRPr="009A0DB8" w:rsidRDefault="00B40C83" w:rsidP="001532AD">
      <w:pPr>
        <w:jc w:val="both"/>
        <w:rPr>
          <w:szCs w:val="20"/>
          <w:lang w:val="lv-LV"/>
        </w:rPr>
      </w:pPr>
      <w:r w:rsidRPr="009A0DB8">
        <w:rPr>
          <w:szCs w:val="20"/>
          <w:lang w:val="lv-LV"/>
        </w:rPr>
        <w:t>Tauriņa</w:t>
      </w:r>
      <w:r w:rsidR="00A21F55" w:rsidRPr="009A0DB8">
        <w:rPr>
          <w:szCs w:val="20"/>
          <w:lang w:val="lv-LV"/>
        </w:rPr>
        <w:t xml:space="preserve"> 67027</w:t>
      </w:r>
      <w:r w:rsidRPr="009A0DB8">
        <w:rPr>
          <w:szCs w:val="20"/>
          <w:lang w:val="lv-LV"/>
        </w:rPr>
        <w:t>064</w:t>
      </w:r>
    </w:p>
    <w:p w14:paraId="0DA19A74" w14:textId="170327C8" w:rsidR="00B40C83" w:rsidRPr="009A0DB8" w:rsidRDefault="00B40C83" w:rsidP="001532AD">
      <w:pPr>
        <w:jc w:val="both"/>
        <w:rPr>
          <w:szCs w:val="20"/>
          <w:lang w:val="lv-LV"/>
        </w:rPr>
      </w:pPr>
      <w:r w:rsidRPr="009A0DB8">
        <w:rPr>
          <w:szCs w:val="20"/>
          <w:lang w:val="lv-LV"/>
        </w:rPr>
        <w:t>Sigita.Taurina@zm.gov.lv</w:t>
      </w:r>
      <w:bookmarkStart w:id="2" w:name="_GoBack"/>
      <w:bookmarkEnd w:id="2"/>
    </w:p>
    <w:p w14:paraId="453DE5D9" w14:textId="70A7788E" w:rsidR="001532AD" w:rsidRPr="008B0937" w:rsidRDefault="001532AD" w:rsidP="001532AD">
      <w:pPr>
        <w:jc w:val="both"/>
        <w:rPr>
          <w:lang w:val="lv-LV"/>
        </w:rPr>
      </w:pPr>
    </w:p>
    <w:p w14:paraId="72A78B79" w14:textId="77777777" w:rsidR="00D43B70" w:rsidRPr="008B0937" w:rsidRDefault="00D43B70" w:rsidP="001532AD">
      <w:pPr>
        <w:jc w:val="both"/>
        <w:rPr>
          <w:sz w:val="20"/>
          <w:szCs w:val="20"/>
          <w:lang w:val="lv-LV"/>
        </w:rPr>
      </w:pPr>
    </w:p>
    <w:sectPr w:rsidR="00D43B70" w:rsidRPr="008B0937" w:rsidSect="00C649A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5EC1F" w14:textId="77777777" w:rsidR="00BA7107" w:rsidRDefault="00BA7107">
      <w:r>
        <w:separator/>
      </w:r>
    </w:p>
  </w:endnote>
  <w:endnote w:type="continuationSeparator" w:id="0">
    <w:p w14:paraId="15B7BA4B" w14:textId="77777777" w:rsidR="00BA7107" w:rsidRDefault="00BA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38DA" w14:textId="53E2E74A" w:rsidR="0031149B" w:rsidRPr="009A0DB8" w:rsidRDefault="009A0DB8" w:rsidP="009A0DB8">
    <w:pPr>
      <w:pStyle w:val="Kjene"/>
    </w:pPr>
    <w:r w:rsidRPr="009A0DB8">
      <w:rPr>
        <w:rFonts w:ascii="Times New Roman" w:eastAsia="Arial Unicode MS" w:hAnsi="Times New Roman"/>
        <w:sz w:val="20"/>
        <w:lang w:val="en-GB"/>
      </w:rPr>
      <w:t>ZMAnot_060917_afrikmer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E8" w14:textId="11AD128C" w:rsidR="0031149B" w:rsidRPr="009A0DB8" w:rsidRDefault="009A0DB8" w:rsidP="009A0DB8">
    <w:pPr>
      <w:pStyle w:val="Kjene"/>
    </w:pPr>
    <w:r w:rsidRPr="009A0DB8">
      <w:rPr>
        <w:rFonts w:ascii="Times New Roman" w:eastAsia="Arial Unicode MS" w:hAnsi="Times New Roman"/>
        <w:sz w:val="20"/>
        <w:lang w:val="en-GB"/>
      </w:rPr>
      <w:t>ZMAnot_060917_afrikmer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DF87" w14:textId="77777777" w:rsidR="00BA7107" w:rsidRDefault="00BA7107">
      <w:r>
        <w:separator/>
      </w:r>
    </w:p>
  </w:footnote>
  <w:footnote w:type="continuationSeparator" w:id="0">
    <w:p w14:paraId="66AF7064" w14:textId="77777777" w:rsidR="00BA7107" w:rsidRDefault="00BA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E7B7" w14:textId="77777777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833092" w14:textId="77777777" w:rsidR="0031149B" w:rsidRDefault="0031149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DAD5B" w14:textId="2D5E8FA5" w:rsidR="0031149B" w:rsidRDefault="00375C1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1149B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A0DB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38E0202D" w14:textId="77777777" w:rsidR="0031149B" w:rsidRDefault="0031149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2AF"/>
    <w:multiLevelType w:val="hybridMultilevel"/>
    <w:tmpl w:val="BAAA83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CE"/>
    <w:multiLevelType w:val="hybridMultilevel"/>
    <w:tmpl w:val="49FE154A"/>
    <w:lvl w:ilvl="0" w:tplc="5DC60B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14CC7"/>
    <w:multiLevelType w:val="hybridMultilevel"/>
    <w:tmpl w:val="6DF4BB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26ED3"/>
    <w:multiLevelType w:val="hybridMultilevel"/>
    <w:tmpl w:val="0EA054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3A34"/>
    <w:multiLevelType w:val="hybridMultilevel"/>
    <w:tmpl w:val="C19AAB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56D1"/>
    <w:multiLevelType w:val="hybridMultilevel"/>
    <w:tmpl w:val="B5785B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56726"/>
    <w:multiLevelType w:val="hybridMultilevel"/>
    <w:tmpl w:val="B4824F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1361AC"/>
    <w:multiLevelType w:val="hybridMultilevel"/>
    <w:tmpl w:val="233874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9914FB1"/>
    <w:multiLevelType w:val="hybridMultilevel"/>
    <w:tmpl w:val="EC9EF8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12182"/>
    <w:multiLevelType w:val="hybridMultilevel"/>
    <w:tmpl w:val="CC3A51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B7CB3"/>
    <w:multiLevelType w:val="hybridMultilevel"/>
    <w:tmpl w:val="CF0E05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A45F8"/>
    <w:multiLevelType w:val="hybridMultilevel"/>
    <w:tmpl w:val="5CF0F6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8E2"/>
    <w:multiLevelType w:val="hybridMultilevel"/>
    <w:tmpl w:val="BBF8A8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6"/>
  </w:num>
  <w:num w:numId="10">
    <w:abstractNumId w:val="6"/>
  </w:num>
  <w:num w:numId="11">
    <w:abstractNumId w:val="15"/>
  </w:num>
  <w:num w:numId="12">
    <w:abstractNumId w:val="13"/>
  </w:num>
  <w:num w:numId="13">
    <w:abstractNumId w:val="1"/>
  </w:num>
  <w:num w:numId="14">
    <w:abstractNumId w:val="19"/>
  </w:num>
  <w:num w:numId="15">
    <w:abstractNumId w:val="0"/>
  </w:num>
  <w:num w:numId="16">
    <w:abstractNumId w:val="7"/>
  </w:num>
  <w:num w:numId="17">
    <w:abstractNumId w:val="3"/>
  </w:num>
  <w:num w:numId="18">
    <w:abstractNumId w:val="20"/>
  </w:num>
  <w:num w:numId="19">
    <w:abstractNumId w:val="18"/>
  </w:num>
  <w:num w:numId="20">
    <w:abstractNumId w:val="8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8D"/>
    <w:rsid w:val="00000CAA"/>
    <w:rsid w:val="00001CFA"/>
    <w:rsid w:val="000030F6"/>
    <w:rsid w:val="00003470"/>
    <w:rsid w:val="00003E75"/>
    <w:rsid w:val="00004B99"/>
    <w:rsid w:val="00004DF0"/>
    <w:rsid w:val="00004FAC"/>
    <w:rsid w:val="00005589"/>
    <w:rsid w:val="00007F2B"/>
    <w:rsid w:val="00011500"/>
    <w:rsid w:val="0001274B"/>
    <w:rsid w:val="00012769"/>
    <w:rsid w:val="000147B2"/>
    <w:rsid w:val="00015A39"/>
    <w:rsid w:val="000168B7"/>
    <w:rsid w:val="00017B63"/>
    <w:rsid w:val="000223A5"/>
    <w:rsid w:val="0002330F"/>
    <w:rsid w:val="0002456C"/>
    <w:rsid w:val="00026D31"/>
    <w:rsid w:val="0003130D"/>
    <w:rsid w:val="00031FB2"/>
    <w:rsid w:val="000323C9"/>
    <w:rsid w:val="00032DD1"/>
    <w:rsid w:val="00034F8D"/>
    <w:rsid w:val="00035AEC"/>
    <w:rsid w:val="00037C03"/>
    <w:rsid w:val="00040105"/>
    <w:rsid w:val="00041BBE"/>
    <w:rsid w:val="00042DEB"/>
    <w:rsid w:val="00043915"/>
    <w:rsid w:val="00043CA7"/>
    <w:rsid w:val="00043EE5"/>
    <w:rsid w:val="000463AC"/>
    <w:rsid w:val="00046472"/>
    <w:rsid w:val="00054536"/>
    <w:rsid w:val="00056991"/>
    <w:rsid w:val="00057FBC"/>
    <w:rsid w:val="000611C3"/>
    <w:rsid w:val="00061C3A"/>
    <w:rsid w:val="0006433F"/>
    <w:rsid w:val="0006719B"/>
    <w:rsid w:val="0007255F"/>
    <w:rsid w:val="00072622"/>
    <w:rsid w:val="00074423"/>
    <w:rsid w:val="000744AE"/>
    <w:rsid w:val="00074D2A"/>
    <w:rsid w:val="0007562F"/>
    <w:rsid w:val="0007595E"/>
    <w:rsid w:val="00075C44"/>
    <w:rsid w:val="0007746D"/>
    <w:rsid w:val="00077EA4"/>
    <w:rsid w:val="00081283"/>
    <w:rsid w:val="000817A3"/>
    <w:rsid w:val="000828B5"/>
    <w:rsid w:val="0008293B"/>
    <w:rsid w:val="00082B53"/>
    <w:rsid w:val="00083281"/>
    <w:rsid w:val="00083CAC"/>
    <w:rsid w:val="00085698"/>
    <w:rsid w:val="00085943"/>
    <w:rsid w:val="0008664A"/>
    <w:rsid w:val="00090F31"/>
    <w:rsid w:val="0009142B"/>
    <w:rsid w:val="000919A8"/>
    <w:rsid w:val="00093B45"/>
    <w:rsid w:val="00093E3F"/>
    <w:rsid w:val="00095D8C"/>
    <w:rsid w:val="00096D79"/>
    <w:rsid w:val="00097476"/>
    <w:rsid w:val="000A19E2"/>
    <w:rsid w:val="000A2AA7"/>
    <w:rsid w:val="000A2CED"/>
    <w:rsid w:val="000A5652"/>
    <w:rsid w:val="000A67CD"/>
    <w:rsid w:val="000B076F"/>
    <w:rsid w:val="000B32EF"/>
    <w:rsid w:val="000B3D3E"/>
    <w:rsid w:val="000B492A"/>
    <w:rsid w:val="000B5EAD"/>
    <w:rsid w:val="000B77B7"/>
    <w:rsid w:val="000B7AB8"/>
    <w:rsid w:val="000C0FA7"/>
    <w:rsid w:val="000C1C48"/>
    <w:rsid w:val="000C1E85"/>
    <w:rsid w:val="000C5D0D"/>
    <w:rsid w:val="000D0329"/>
    <w:rsid w:val="000D0616"/>
    <w:rsid w:val="000D3B4D"/>
    <w:rsid w:val="000D46FA"/>
    <w:rsid w:val="000D51C7"/>
    <w:rsid w:val="000D57DA"/>
    <w:rsid w:val="000E3DB2"/>
    <w:rsid w:val="000E4067"/>
    <w:rsid w:val="000E47D5"/>
    <w:rsid w:val="000E5F80"/>
    <w:rsid w:val="000E6887"/>
    <w:rsid w:val="000E6933"/>
    <w:rsid w:val="000E75D1"/>
    <w:rsid w:val="000F01FC"/>
    <w:rsid w:val="000F0966"/>
    <w:rsid w:val="000F2EB4"/>
    <w:rsid w:val="000F32C8"/>
    <w:rsid w:val="000F736E"/>
    <w:rsid w:val="000F77DE"/>
    <w:rsid w:val="000F7A95"/>
    <w:rsid w:val="00100B1F"/>
    <w:rsid w:val="00100FE3"/>
    <w:rsid w:val="001017AD"/>
    <w:rsid w:val="00101C8A"/>
    <w:rsid w:val="00101DE0"/>
    <w:rsid w:val="00101E0B"/>
    <w:rsid w:val="00103AD7"/>
    <w:rsid w:val="00103D1B"/>
    <w:rsid w:val="00104349"/>
    <w:rsid w:val="00105AE2"/>
    <w:rsid w:val="0010612F"/>
    <w:rsid w:val="001062BE"/>
    <w:rsid w:val="00106A29"/>
    <w:rsid w:val="00106E4A"/>
    <w:rsid w:val="00111978"/>
    <w:rsid w:val="0011310D"/>
    <w:rsid w:val="0011601E"/>
    <w:rsid w:val="00116784"/>
    <w:rsid w:val="00116A3B"/>
    <w:rsid w:val="001177FE"/>
    <w:rsid w:val="001178E3"/>
    <w:rsid w:val="00122B9A"/>
    <w:rsid w:val="00124B8E"/>
    <w:rsid w:val="001304F1"/>
    <w:rsid w:val="001306C1"/>
    <w:rsid w:val="0013088C"/>
    <w:rsid w:val="001316FA"/>
    <w:rsid w:val="00131D05"/>
    <w:rsid w:val="00132004"/>
    <w:rsid w:val="0013203F"/>
    <w:rsid w:val="001324A4"/>
    <w:rsid w:val="00133023"/>
    <w:rsid w:val="001345CB"/>
    <w:rsid w:val="001347E9"/>
    <w:rsid w:val="00134D78"/>
    <w:rsid w:val="00136C98"/>
    <w:rsid w:val="00137B2C"/>
    <w:rsid w:val="00140B4C"/>
    <w:rsid w:val="0014129D"/>
    <w:rsid w:val="0014319C"/>
    <w:rsid w:val="00143693"/>
    <w:rsid w:val="001466B6"/>
    <w:rsid w:val="00147201"/>
    <w:rsid w:val="00150011"/>
    <w:rsid w:val="00150845"/>
    <w:rsid w:val="001521BF"/>
    <w:rsid w:val="0015254E"/>
    <w:rsid w:val="001532AD"/>
    <w:rsid w:val="00153C68"/>
    <w:rsid w:val="0015551E"/>
    <w:rsid w:val="00155B89"/>
    <w:rsid w:val="001608F4"/>
    <w:rsid w:val="0016266C"/>
    <w:rsid w:val="00162E14"/>
    <w:rsid w:val="00162EB6"/>
    <w:rsid w:val="00164B42"/>
    <w:rsid w:val="00164C6B"/>
    <w:rsid w:val="001663CF"/>
    <w:rsid w:val="001665DD"/>
    <w:rsid w:val="00167D7D"/>
    <w:rsid w:val="00170801"/>
    <w:rsid w:val="00171315"/>
    <w:rsid w:val="00171BA0"/>
    <w:rsid w:val="001739AD"/>
    <w:rsid w:val="001751F5"/>
    <w:rsid w:val="00175BDD"/>
    <w:rsid w:val="00176E50"/>
    <w:rsid w:val="00182C1E"/>
    <w:rsid w:val="00191538"/>
    <w:rsid w:val="001919A5"/>
    <w:rsid w:val="001927BC"/>
    <w:rsid w:val="001942B7"/>
    <w:rsid w:val="00194F01"/>
    <w:rsid w:val="00196B16"/>
    <w:rsid w:val="0019798B"/>
    <w:rsid w:val="001A0A67"/>
    <w:rsid w:val="001A10EA"/>
    <w:rsid w:val="001A3B92"/>
    <w:rsid w:val="001A3FFF"/>
    <w:rsid w:val="001A5196"/>
    <w:rsid w:val="001A6148"/>
    <w:rsid w:val="001A7C43"/>
    <w:rsid w:val="001B2F73"/>
    <w:rsid w:val="001B3B95"/>
    <w:rsid w:val="001B4882"/>
    <w:rsid w:val="001B6C24"/>
    <w:rsid w:val="001C09FC"/>
    <w:rsid w:val="001C22B5"/>
    <w:rsid w:val="001C2A17"/>
    <w:rsid w:val="001C4904"/>
    <w:rsid w:val="001C5F46"/>
    <w:rsid w:val="001C7CA2"/>
    <w:rsid w:val="001D06A3"/>
    <w:rsid w:val="001D180D"/>
    <w:rsid w:val="001D294A"/>
    <w:rsid w:val="001D5DAF"/>
    <w:rsid w:val="001D6EA4"/>
    <w:rsid w:val="001D77D5"/>
    <w:rsid w:val="001D7D52"/>
    <w:rsid w:val="001E14E1"/>
    <w:rsid w:val="001E264B"/>
    <w:rsid w:val="001E40A1"/>
    <w:rsid w:val="001E4625"/>
    <w:rsid w:val="001E7670"/>
    <w:rsid w:val="001F1642"/>
    <w:rsid w:val="001F373B"/>
    <w:rsid w:val="001F448F"/>
    <w:rsid w:val="001F5256"/>
    <w:rsid w:val="001F5C16"/>
    <w:rsid w:val="001F7074"/>
    <w:rsid w:val="00200B32"/>
    <w:rsid w:val="002027AF"/>
    <w:rsid w:val="00203134"/>
    <w:rsid w:val="002043DB"/>
    <w:rsid w:val="002058A8"/>
    <w:rsid w:val="00205C1E"/>
    <w:rsid w:val="002060A1"/>
    <w:rsid w:val="0020639A"/>
    <w:rsid w:val="00210E44"/>
    <w:rsid w:val="00211F0D"/>
    <w:rsid w:val="00212025"/>
    <w:rsid w:val="0021306B"/>
    <w:rsid w:val="0021364F"/>
    <w:rsid w:val="00217D47"/>
    <w:rsid w:val="002234A1"/>
    <w:rsid w:val="00224CE4"/>
    <w:rsid w:val="00230D6B"/>
    <w:rsid w:val="00231633"/>
    <w:rsid w:val="00231888"/>
    <w:rsid w:val="0023257C"/>
    <w:rsid w:val="0023303C"/>
    <w:rsid w:val="00243F66"/>
    <w:rsid w:val="0024492F"/>
    <w:rsid w:val="00245D99"/>
    <w:rsid w:val="002465D1"/>
    <w:rsid w:val="00247ADA"/>
    <w:rsid w:val="00247BF7"/>
    <w:rsid w:val="00247D93"/>
    <w:rsid w:val="002509B6"/>
    <w:rsid w:val="002512B0"/>
    <w:rsid w:val="00252CBC"/>
    <w:rsid w:val="002540E7"/>
    <w:rsid w:val="00260328"/>
    <w:rsid w:val="002606D3"/>
    <w:rsid w:val="00262617"/>
    <w:rsid w:val="002669C3"/>
    <w:rsid w:val="00267A04"/>
    <w:rsid w:val="00270E29"/>
    <w:rsid w:val="002740B7"/>
    <w:rsid w:val="00274350"/>
    <w:rsid w:val="002745B0"/>
    <w:rsid w:val="00274907"/>
    <w:rsid w:val="00276098"/>
    <w:rsid w:val="002766EE"/>
    <w:rsid w:val="00281011"/>
    <w:rsid w:val="00281130"/>
    <w:rsid w:val="00281E8A"/>
    <w:rsid w:val="00282F68"/>
    <w:rsid w:val="00283977"/>
    <w:rsid w:val="00283E9E"/>
    <w:rsid w:val="002849D1"/>
    <w:rsid w:val="00286469"/>
    <w:rsid w:val="00290E46"/>
    <w:rsid w:val="0029114F"/>
    <w:rsid w:val="002915A2"/>
    <w:rsid w:val="00292C3C"/>
    <w:rsid w:val="00294063"/>
    <w:rsid w:val="0029410D"/>
    <w:rsid w:val="00294367"/>
    <w:rsid w:val="00294BBF"/>
    <w:rsid w:val="00294C91"/>
    <w:rsid w:val="0029700C"/>
    <w:rsid w:val="00297244"/>
    <w:rsid w:val="002979F1"/>
    <w:rsid w:val="002A096C"/>
    <w:rsid w:val="002A16EB"/>
    <w:rsid w:val="002A1B4D"/>
    <w:rsid w:val="002A227F"/>
    <w:rsid w:val="002A39FB"/>
    <w:rsid w:val="002A46BA"/>
    <w:rsid w:val="002A66A7"/>
    <w:rsid w:val="002A7CB6"/>
    <w:rsid w:val="002B1905"/>
    <w:rsid w:val="002B24A9"/>
    <w:rsid w:val="002B3293"/>
    <w:rsid w:val="002B3D70"/>
    <w:rsid w:val="002B4F76"/>
    <w:rsid w:val="002B7CF9"/>
    <w:rsid w:val="002B7EC7"/>
    <w:rsid w:val="002B7F1D"/>
    <w:rsid w:val="002C0839"/>
    <w:rsid w:val="002C11B3"/>
    <w:rsid w:val="002C2235"/>
    <w:rsid w:val="002C45E2"/>
    <w:rsid w:val="002C46AC"/>
    <w:rsid w:val="002C59C1"/>
    <w:rsid w:val="002C72FB"/>
    <w:rsid w:val="002D06D5"/>
    <w:rsid w:val="002D1A3D"/>
    <w:rsid w:val="002D1D38"/>
    <w:rsid w:val="002D302A"/>
    <w:rsid w:val="002D4981"/>
    <w:rsid w:val="002D62E9"/>
    <w:rsid w:val="002E1E2F"/>
    <w:rsid w:val="002E284E"/>
    <w:rsid w:val="002E3FFA"/>
    <w:rsid w:val="002E654B"/>
    <w:rsid w:val="002E6701"/>
    <w:rsid w:val="002F01BA"/>
    <w:rsid w:val="002F0C7E"/>
    <w:rsid w:val="002F10A4"/>
    <w:rsid w:val="002F10C7"/>
    <w:rsid w:val="002F1200"/>
    <w:rsid w:val="002F19B5"/>
    <w:rsid w:val="002F1F1C"/>
    <w:rsid w:val="002F248E"/>
    <w:rsid w:val="002F3142"/>
    <w:rsid w:val="002F35FD"/>
    <w:rsid w:val="002F3848"/>
    <w:rsid w:val="002F4716"/>
    <w:rsid w:val="002F48D2"/>
    <w:rsid w:val="002F5119"/>
    <w:rsid w:val="002F6BBF"/>
    <w:rsid w:val="002F77F1"/>
    <w:rsid w:val="003025C8"/>
    <w:rsid w:val="00303999"/>
    <w:rsid w:val="00305804"/>
    <w:rsid w:val="00305B0E"/>
    <w:rsid w:val="00307454"/>
    <w:rsid w:val="003078B5"/>
    <w:rsid w:val="003078BF"/>
    <w:rsid w:val="0031149B"/>
    <w:rsid w:val="00312474"/>
    <w:rsid w:val="003124EE"/>
    <w:rsid w:val="00315C3F"/>
    <w:rsid w:val="0031720E"/>
    <w:rsid w:val="003200F7"/>
    <w:rsid w:val="0032141D"/>
    <w:rsid w:val="00321CBC"/>
    <w:rsid w:val="00321CF7"/>
    <w:rsid w:val="003220CF"/>
    <w:rsid w:val="00323410"/>
    <w:rsid w:val="0032382E"/>
    <w:rsid w:val="00326D8C"/>
    <w:rsid w:val="00327545"/>
    <w:rsid w:val="003279FF"/>
    <w:rsid w:val="003309B4"/>
    <w:rsid w:val="003322E6"/>
    <w:rsid w:val="0033350D"/>
    <w:rsid w:val="00333737"/>
    <w:rsid w:val="003352D4"/>
    <w:rsid w:val="003353AA"/>
    <w:rsid w:val="0033765B"/>
    <w:rsid w:val="003420C9"/>
    <w:rsid w:val="00342541"/>
    <w:rsid w:val="00342AEB"/>
    <w:rsid w:val="003431FA"/>
    <w:rsid w:val="003436A4"/>
    <w:rsid w:val="00343E77"/>
    <w:rsid w:val="00344162"/>
    <w:rsid w:val="003444D2"/>
    <w:rsid w:val="00346536"/>
    <w:rsid w:val="00347FD4"/>
    <w:rsid w:val="00353536"/>
    <w:rsid w:val="00353D62"/>
    <w:rsid w:val="003552B9"/>
    <w:rsid w:val="003559CE"/>
    <w:rsid w:val="00356DA0"/>
    <w:rsid w:val="00356E2C"/>
    <w:rsid w:val="0036198C"/>
    <w:rsid w:val="00363ADB"/>
    <w:rsid w:val="00365531"/>
    <w:rsid w:val="00366C0D"/>
    <w:rsid w:val="00366E84"/>
    <w:rsid w:val="0037053D"/>
    <w:rsid w:val="00370ED5"/>
    <w:rsid w:val="00370F96"/>
    <w:rsid w:val="00371C48"/>
    <w:rsid w:val="00373332"/>
    <w:rsid w:val="003737CD"/>
    <w:rsid w:val="00374518"/>
    <w:rsid w:val="003750BF"/>
    <w:rsid w:val="00375C13"/>
    <w:rsid w:val="003769E4"/>
    <w:rsid w:val="00376BBB"/>
    <w:rsid w:val="0037748D"/>
    <w:rsid w:val="0038045D"/>
    <w:rsid w:val="00381A6C"/>
    <w:rsid w:val="00382167"/>
    <w:rsid w:val="00384564"/>
    <w:rsid w:val="00384CF4"/>
    <w:rsid w:val="00386887"/>
    <w:rsid w:val="0038793B"/>
    <w:rsid w:val="00390386"/>
    <w:rsid w:val="00390487"/>
    <w:rsid w:val="0039075E"/>
    <w:rsid w:val="00390C21"/>
    <w:rsid w:val="00394F91"/>
    <w:rsid w:val="00396612"/>
    <w:rsid w:val="00396735"/>
    <w:rsid w:val="00396A18"/>
    <w:rsid w:val="003A06A5"/>
    <w:rsid w:val="003A08D6"/>
    <w:rsid w:val="003A4522"/>
    <w:rsid w:val="003A46E8"/>
    <w:rsid w:val="003A4C44"/>
    <w:rsid w:val="003A58B9"/>
    <w:rsid w:val="003A5A85"/>
    <w:rsid w:val="003A6379"/>
    <w:rsid w:val="003A68EB"/>
    <w:rsid w:val="003B3CCF"/>
    <w:rsid w:val="003B4687"/>
    <w:rsid w:val="003B6C47"/>
    <w:rsid w:val="003C2517"/>
    <w:rsid w:val="003C2B26"/>
    <w:rsid w:val="003C2C1B"/>
    <w:rsid w:val="003C40EB"/>
    <w:rsid w:val="003C4AC2"/>
    <w:rsid w:val="003C4FAD"/>
    <w:rsid w:val="003C74AE"/>
    <w:rsid w:val="003C7F18"/>
    <w:rsid w:val="003D0D4F"/>
    <w:rsid w:val="003D1F11"/>
    <w:rsid w:val="003D40B8"/>
    <w:rsid w:val="003D5368"/>
    <w:rsid w:val="003D62B2"/>
    <w:rsid w:val="003D676D"/>
    <w:rsid w:val="003E01EA"/>
    <w:rsid w:val="003E1930"/>
    <w:rsid w:val="003E1A05"/>
    <w:rsid w:val="003E36E3"/>
    <w:rsid w:val="003E42F6"/>
    <w:rsid w:val="003E745F"/>
    <w:rsid w:val="003F02D7"/>
    <w:rsid w:val="003F1B23"/>
    <w:rsid w:val="003F1C6D"/>
    <w:rsid w:val="003F21DA"/>
    <w:rsid w:val="003F29A1"/>
    <w:rsid w:val="003F2F3C"/>
    <w:rsid w:val="003F3FBE"/>
    <w:rsid w:val="003F4446"/>
    <w:rsid w:val="003F4DBF"/>
    <w:rsid w:val="003F7354"/>
    <w:rsid w:val="004022F7"/>
    <w:rsid w:val="0040262E"/>
    <w:rsid w:val="00402AE9"/>
    <w:rsid w:val="00403511"/>
    <w:rsid w:val="0040578E"/>
    <w:rsid w:val="0040663B"/>
    <w:rsid w:val="004067FF"/>
    <w:rsid w:val="004071C3"/>
    <w:rsid w:val="00407B32"/>
    <w:rsid w:val="00410684"/>
    <w:rsid w:val="00411451"/>
    <w:rsid w:val="00412458"/>
    <w:rsid w:val="00412FAC"/>
    <w:rsid w:val="00413A82"/>
    <w:rsid w:val="00414016"/>
    <w:rsid w:val="00415584"/>
    <w:rsid w:val="0041773E"/>
    <w:rsid w:val="00417F11"/>
    <w:rsid w:val="004208C4"/>
    <w:rsid w:val="00421107"/>
    <w:rsid w:val="00421F53"/>
    <w:rsid w:val="00422143"/>
    <w:rsid w:val="004225CB"/>
    <w:rsid w:val="00423649"/>
    <w:rsid w:val="004249A6"/>
    <w:rsid w:val="00424AE1"/>
    <w:rsid w:val="0042741C"/>
    <w:rsid w:val="00427D9B"/>
    <w:rsid w:val="00430B69"/>
    <w:rsid w:val="004311F3"/>
    <w:rsid w:val="004326DF"/>
    <w:rsid w:val="00433382"/>
    <w:rsid w:val="00433727"/>
    <w:rsid w:val="004338D9"/>
    <w:rsid w:val="00434DD8"/>
    <w:rsid w:val="004364EB"/>
    <w:rsid w:val="00437C04"/>
    <w:rsid w:val="00440FDD"/>
    <w:rsid w:val="004412D9"/>
    <w:rsid w:val="00443182"/>
    <w:rsid w:val="0044545F"/>
    <w:rsid w:val="004477F4"/>
    <w:rsid w:val="00447AAF"/>
    <w:rsid w:val="00452962"/>
    <w:rsid w:val="00453031"/>
    <w:rsid w:val="00453E48"/>
    <w:rsid w:val="00454E19"/>
    <w:rsid w:val="00457FF3"/>
    <w:rsid w:val="00460434"/>
    <w:rsid w:val="00460952"/>
    <w:rsid w:val="004625E8"/>
    <w:rsid w:val="0046268C"/>
    <w:rsid w:val="0046446B"/>
    <w:rsid w:val="004645B8"/>
    <w:rsid w:val="00467FF3"/>
    <w:rsid w:val="004706C4"/>
    <w:rsid w:val="004727CF"/>
    <w:rsid w:val="00473AB2"/>
    <w:rsid w:val="00473DBB"/>
    <w:rsid w:val="00474A28"/>
    <w:rsid w:val="004751A0"/>
    <w:rsid w:val="004776F1"/>
    <w:rsid w:val="00480136"/>
    <w:rsid w:val="0048030D"/>
    <w:rsid w:val="00480D9E"/>
    <w:rsid w:val="004813EF"/>
    <w:rsid w:val="0048533B"/>
    <w:rsid w:val="00485E3B"/>
    <w:rsid w:val="0048641E"/>
    <w:rsid w:val="00486F47"/>
    <w:rsid w:val="00487096"/>
    <w:rsid w:val="004878C7"/>
    <w:rsid w:val="00487CE5"/>
    <w:rsid w:val="00490A06"/>
    <w:rsid w:val="004919FF"/>
    <w:rsid w:val="0049221B"/>
    <w:rsid w:val="00492B7D"/>
    <w:rsid w:val="00492C45"/>
    <w:rsid w:val="00494001"/>
    <w:rsid w:val="0049485B"/>
    <w:rsid w:val="00497E35"/>
    <w:rsid w:val="004A1091"/>
    <w:rsid w:val="004A19ED"/>
    <w:rsid w:val="004A3463"/>
    <w:rsid w:val="004A4BC4"/>
    <w:rsid w:val="004A54FF"/>
    <w:rsid w:val="004A62E4"/>
    <w:rsid w:val="004A7293"/>
    <w:rsid w:val="004B0C51"/>
    <w:rsid w:val="004B3171"/>
    <w:rsid w:val="004B55B6"/>
    <w:rsid w:val="004B6420"/>
    <w:rsid w:val="004B69F1"/>
    <w:rsid w:val="004B6F89"/>
    <w:rsid w:val="004B7338"/>
    <w:rsid w:val="004C07F8"/>
    <w:rsid w:val="004C1820"/>
    <w:rsid w:val="004C277C"/>
    <w:rsid w:val="004C434B"/>
    <w:rsid w:val="004C4BAD"/>
    <w:rsid w:val="004C518D"/>
    <w:rsid w:val="004C5C71"/>
    <w:rsid w:val="004C7C51"/>
    <w:rsid w:val="004D0202"/>
    <w:rsid w:val="004D120C"/>
    <w:rsid w:val="004D267D"/>
    <w:rsid w:val="004D283F"/>
    <w:rsid w:val="004D29AD"/>
    <w:rsid w:val="004D2FD5"/>
    <w:rsid w:val="004D414B"/>
    <w:rsid w:val="004D5983"/>
    <w:rsid w:val="004E0F9E"/>
    <w:rsid w:val="004E17C2"/>
    <w:rsid w:val="004E202E"/>
    <w:rsid w:val="004E2E70"/>
    <w:rsid w:val="004E4242"/>
    <w:rsid w:val="004E78C9"/>
    <w:rsid w:val="004F158A"/>
    <w:rsid w:val="004F1BDB"/>
    <w:rsid w:val="004F2EFC"/>
    <w:rsid w:val="004F407F"/>
    <w:rsid w:val="0050091A"/>
    <w:rsid w:val="005023CF"/>
    <w:rsid w:val="00502D38"/>
    <w:rsid w:val="005038E6"/>
    <w:rsid w:val="00503972"/>
    <w:rsid w:val="005048A0"/>
    <w:rsid w:val="00504D62"/>
    <w:rsid w:val="00505064"/>
    <w:rsid w:val="00506458"/>
    <w:rsid w:val="005077CF"/>
    <w:rsid w:val="00507A3B"/>
    <w:rsid w:val="00507E40"/>
    <w:rsid w:val="0051051E"/>
    <w:rsid w:val="00512A7E"/>
    <w:rsid w:val="00516572"/>
    <w:rsid w:val="00516605"/>
    <w:rsid w:val="0051661B"/>
    <w:rsid w:val="00517314"/>
    <w:rsid w:val="005174AF"/>
    <w:rsid w:val="005206CF"/>
    <w:rsid w:val="00521C50"/>
    <w:rsid w:val="00522F58"/>
    <w:rsid w:val="0052640F"/>
    <w:rsid w:val="005268D0"/>
    <w:rsid w:val="00526E9A"/>
    <w:rsid w:val="00526F5F"/>
    <w:rsid w:val="00532F5F"/>
    <w:rsid w:val="0053351C"/>
    <w:rsid w:val="0053460D"/>
    <w:rsid w:val="0053651B"/>
    <w:rsid w:val="00537316"/>
    <w:rsid w:val="00537A3D"/>
    <w:rsid w:val="005402D9"/>
    <w:rsid w:val="005403CF"/>
    <w:rsid w:val="00541ED4"/>
    <w:rsid w:val="005433EB"/>
    <w:rsid w:val="005434A2"/>
    <w:rsid w:val="005448AB"/>
    <w:rsid w:val="00546C3E"/>
    <w:rsid w:val="00550CD0"/>
    <w:rsid w:val="00551DD5"/>
    <w:rsid w:val="0055282B"/>
    <w:rsid w:val="00552C28"/>
    <w:rsid w:val="00556FB2"/>
    <w:rsid w:val="005601FE"/>
    <w:rsid w:val="00563687"/>
    <w:rsid w:val="005648B8"/>
    <w:rsid w:val="00566022"/>
    <w:rsid w:val="00567B70"/>
    <w:rsid w:val="00570BD3"/>
    <w:rsid w:val="00571E48"/>
    <w:rsid w:val="0057206B"/>
    <w:rsid w:val="00572BC9"/>
    <w:rsid w:val="00573715"/>
    <w:rsid w:val="0057449E"/>
    <w:rsid w:val="00575B15"/>
    <w:rsid w:val="00576C0F"/>
    <w:rsid w:val="005814CB"/>
    <w:rsid w:val="00581A16"/>
    <w:rsid w:val="005820CE"/>
    <w:rsid w:val="00583A68"/>
    <w:rsid w:val="00583FA0"/>
    <w:rsid w:val="00584C4B"/>
    <w:rsid w:val="005858F2"/>
    <w:rsid w:val="00585BD7"/>
    <w:rsid w:val="00585EF5"/>
    <w:rsid w:val="00590B90"/>
    <w:rsid w:val="00591B88"/>
    <w:rsid w:val="005925C4"/>
    <w:rsid w:val="005A061F"/>
    <w:rsid w:val="005A0978"/>
    <w:rsid w:val="005A2A04"/>
    <w:rsid w:val="005A3B29"/>
    <w:rsid w:val="005A4F7C"/>
    <w:rsid w:val="005A6AF8"/>
    <w:rsid w:val="005A71C2"/>
    <w:rsid w:val="005A7D0E"/>
    <w:rsid w:val="005B0543"/>
    <w:rsid w:val="005B1AAA"/>
    <w:rsid w:val="005B1B7C"/>
    <w:rsid w:val="005B2F80"/>
    <w:rsid w:val="005B34A4"/>
    <w:rsid w:val="005B4287"/>
    <w:rsid w:val="005B6F87"/>
    <w:rsid w:val="005B7245"/>
    <w:rsid w:val="005B772E"/>
    <w:rsid w:val="005C0E61"/>
    <w:rsid w:val="005C31F5"/>
    <w:rsid w:val="005C7AAB"/>
    <w:rsid w:val="005D2108"/>
    <w:rsid w:val="005D29F6"/>
    <w:rsid w:val="005D619A"/>
    <w:rsid w:val="005D73DE"/>
    <w:rsid w:val="005E14A7"/>
    <w:rsid w:val="005E1A41"/>
    <w:rsid w:val="005E2038"/>
    <w:rsid w:val="005E3C44"/>
    <w:rsid w:val="005E5056"/>
    <w:rsid w:val="005E61B9"/>
    <w:rsid w:val="005F0465"/>
    <w:rsid w:val="005F0F85"/>
    <w:rsid w:val="005F1986"/>
    <w:rsid w:val="005F548A"/>
    <w:rsid w:val="005F571F"/>
    <w:rsid w:val="005F59CA"/>
    <w:rsid w:val="00602628"/>
    <w:rsid w:val="00603F7B"/>
    <w:rsid w:val="00604DA3"/>
    <w:rsid w:val="00604F22"/>
    <w:rsid w:val="006114A1"/>
    <w:rsid w:val="00613168"/>
    <w:rsid w:val="00616FA0"/>
    <w:rsid w:val="00620830"/>
    <w:rsid w:val="006208EC"/>
    <w:rsid w:val="00620FF4"/>
    <w:rsid w:val="0062238B"/>
    <w:rsid w:val="00623B4D"/>
    <w:rsid w:val="00624CFE"/>
    <w:rsid w:val="00624E81"/>
    <w:rsid w:val="006310BB"/>
    <w:rsid w:val="0063128E"/>
    <w:rsid w:val="00631891"/>
    <w:rsid w:val="00632468"/>
    <w:rsid w:val="00633C24"/>
    <w:rsid w:val="00634084"/>
    <w:rsid w:val="006342C4"/>
    <w:rsid w:val="006345D8"/>
    <w:rsid w:val="00634701"/>
    <w:rsid w:val="006349F7"/>
    <w:rsid w:val="00637747"/>
    <w:rsid w:val="0063784C"/>
    <w:rsid w:val="00637DC1"/>
    <w:rsid w:val="006409CE"/>
    <w:rsid w:val="00641EA0"/>
    <w:rsid w:val="0064573A"/>
    <w:rsid w:val="00645761"/>
    <w:rsid w:val="00651925"/>
    <w:rsid w:val="00651A6B"/>
    <w:rsid w:val="00653C1C"/>
    <w:rsid w:val="00654998"/>
    <w:rsid w:val="00655ACE"/>
    <w:rsid w:val="00655BA4"/>
    <w:rsid w:val="00655E8B"/>
    <w:rsid w:val="00655EBB"/>
    <w:rsid w:val="006568EF"/>
    <w:rsid w:val="00656C23"/>
    <w:rsid w:val="00657962"/>
    <w:rsid w:val="00660770"/>
    <w:rsid w:val="00660CB0"/>
    <w:rsid w:val="00661162"/>
    <w:rsid w:val="0066452D"/>
    <w:rsid w:val="006662B5"/>
    <w:rsid w:val="00671E53"/>
    <w:rsid w:val="0067321A"/>
    <w:rsid w:val="00673642"/>
    <w:rsid w:val="00674D00"/>
    <w:rsid w:val="00674D5D"/>
    <w:rsid w:val="00675331"/>
    <w:rsid w:val="006759CB"/>
    <w:rsid w:val="0067692E"/>
    <w:rsid w:val="00677712"/>
    <w:rsid w:val="00680B20"/>
    <w:rsid w:val="00680E5A"/>
    <w:rsid w:val="0068171E"/>
    <w:rsid w:val="00681AA8"/>
    <w:rsid w:val="006833B6"/>
    <w:rsid w:val="00683A17"/>
    <w:rsid w:val="00683E47"/>
    <w:rsid w:val="00684DF8"/>
    <w:rsid w:val="0068624D"/>
    <w:rsid w:val="00687797"/>
    <w:rsid w:val="0069043D"/>
    <w:rsid w:val="00691CB0"/>
    <w:rsid w:val="006939A5"/>
    <w:rsid w:val="00695B14"/>
    <w:rsid w:val="0069612C"/>
    <w:rsid w:val="00696562"/>
    <w:rsid w:val="006A073E"/>
    <w:rsid w:val="006A1F3F"/>
    <w:rsid w:val="006A29A5"/>
    <w:rsid w:val="006A3CD4"/>
    <w:rsid w:val="006A406C"/>
    <w:rsid w:val="006A5F43"/>
    <w:rsid w:val="006A699B"/>
    <w:rsid w:val="006A729F"/>
    <w:rsid w:val="006B07C9"/>
    <w:rsid w:val="006B08AF"/>
    <w:rsid w:val="006B0A0D"/>
    <w:rsid w:val="006B0AC4"/>
    <w:rsid w:val="006B0D5C"/>
    <w:rsid w:val="006B1642"/>
    <w:rsid w:val="006B2952"/>
    <w:rsid w:val="006B3F60"/>
    <w:rsid w:val="006B4629"/>
    <w:rsid w:val="006B574E"/>
    <w:rsid w:val="006B581B"/>
    <w:rsid w:val="006B6730"/>
    <w:rsid w:val="006B7275"/>
    <w:rsid w:val="006B7B67"/>
    <w:rsid w:val="006B7EA9"/>
    <w:rsid w:val="006C0110"/>
    <w:rsid w:val="006C0A3A"/>
    <w:rsid w:val="006C172A"/>
    <w:rsid w:val="006C21FF"/>
    <w:rsid w:val="006C2DD5"/>
    <w:rsid w:val="006C34C4"/>
    <w:rsid w:val="006C4C6D"/>
    <w:rsid w:val="006C6551"/>
    <w:rsid w:val="006C70F3"/>
    <w:rsid w:val="006D02E2"/>
    <w:rsid w:val="006D1AD8"/>
    <w:rsid w:val="006D2434"/>
    <w:rsid w:val="006D42DC"/>
    <w:rsid w:val="006D4AD9"/>
    <w:rsid w:val="006D5174"/>
    <w:rsid w:val="006D726E"/>
    <w:rsid w:val="006E0585"/>
    <w:rsid w:val="006E081E"/>
    <w:rsid w:val="006E3915"/>
    <w:rsid w:val="006E4A20"/>
    <w:rsid w:val="006E4D0B"/>
    <w:rsid w:val="006E5E3E"/>
    <w:rsid w:val="006E5FD1"/>
    <w:rsid w:val="006E63AB"/>
    <w:rsid w:val="006E6F98"/>
    <w:rsid w:val="006F4812"/>
    <w:rsid w:val="006F630C"/>
    <w:rsid w:val="00700419"/>
    <w:rsid w:val="00701EAF"/>
    <w:rsid w:val="00703C2C"/>
    <w:rsid w:val="00705B9B"/>
    <w:rsid w:val="00707F0C"/>
    <w:rsid w:val="00710403"/>
    <w:rsid w:val="00710984"/>
    <w:rsid w:val="00710ECF"/>
    <w:rsid w:val="0071112B"/>
    <w:rsid w:val="007119A1"/>
    <w:rsid w:val="00711B91"/>
    <w:rsid w:val="00711FA0"/>
    <w:rsid w:val="00712168"/>
    <w:rsid w:val="00712B0E"/>
    <w:rsid w:val="00712C48"/>
    <w:rsid w:val="00713508"/>
    <w:rsid w:val="007136BC"/>
    <w:rsid w:val="007136FA"/>
    <w:rsid w:val="00713C15"/>
    <w:rsid w:val="00713D3B"/>
    <w:rsid w:val="007144EE"/>
    <w:rsid w:val="00714A46"/>
    <w:rsid w:val="00722399"/>
    <w:rsid w:val="007231F3"/>
    <w:rsid w:val="00723EB9"/>
    <w:rsid w:val="007247AE"/>
    <w:rsid w:val="00724D06"/>
    <w:rsid w:val="00725D38"/>
    <w:rsid w:val="0072626A"/>
    <w:rsid w:val="007264EF"/>
    <w:rsid w:val="00726C07"/>
    <w:rsid w:val="00727092"/>
    <w:rsid w:val="007270D1"/>
    <w:rsid w:val="00733FEB"/>
    <w:rsid w:val="007356AD"/>
    <w:rsid w:val="007405E0"/>
    <w:rsid w:val="007410CE"/>
    <w:rsid w:val="00741C8B"/>
    <w:rsid w:val="007443E2"/>
    <w:rsid w:val="00744CBE"/>
    <w:rsid w:val="00744E91"/>
    <w:rsid w:val="007473F9"/>
    <w:rsid w:val="00750AF4"/>
    <w:rsid w:val="007514F6"/>
    <w:rsid w:val="007518F2"/>
    <w:rsid w:val="00751995"/>
    <w:rsid w:val="00751C2C"/>
    <w:rsid w:val="00752674"/>
    <w:rsid w:val="00754D27"/>
    <w:rsid w:val="007565EA"/>
    <w:rsid w:val="00756A4F"/>
    <w:rsid w:val="00757B05"/>
    <w:rsid w:val="00760987"/>
    <w:rsid w:val="00766002"/>
    <w:rsid w:val="007671F2"/>
    <w:rsid w:val="0076750E"/>
    <w:rsid w:val="007677EC"/>
    <w:rsid w:val="0077085B"/>
    <w:rsid w:val="007730ED"/>
    <w:rsid w:val="0077380D"/>
    <w:rsid w:val="00773A0C"/>
    <w:rsid w:val="007740E5"/>
    <w:rsid w:val="00774566"/>
    <w:rsid w:val="00774CB1"/>
    <w:rsid w:val="00775801"/>
    <w:rsid w:val="00775F62"/>
    <w:rsid w:val="007762A2"/>
    <w:rsid w:val="007767AC"/>
    <w:rsid w:val="00780F76"/>
    <w:rsid w:val="0078183B"/>
    <w:rsid w:val="00782D80"/>
    <w:rsid w:val="00784E48"/>
    <w:rsid w:val="00785231"/>
    <w:rsid w:val="0078718E"/>
    <w:rsid w:val="0079339B"/>
    <w:rsid w:val="00793BAB"/>
    <w:rsid w:val="00794A34"/>
    <w:rsid w:val="00795DD0"/>
    <w:rsid w:val="007A0796"/>
    <w:rsid w:val="007A1125"/>
    <w:rsid w:val="007A145D"/>
    <w:rsid w:val="007A2810"/>
    <w:rsid w:val="007A3791"/>
    <w:rsid w:val="007A3B9F"/>
    <w:rsid w:val="007A4086"/>
    <w:rsid w:val="007A514C"/>
    <w:rsid w:val="007A5B59"/>
    <w:rsid w:val="007A6FA0"/>
    <w:rsid w:val="007B41B3"/>
    <w:rsid w:val="007B4D27"/>
    <w:rsid w:val="007B4E31"/>
    <w:rsid w:val="007B665B"/>
    <w:rsid w:val="007B7907"/>
    <w:rsid w:val="007C1617"/>
    <w:rsid w:val="007C1647"/>
    <w:rsid w:val="007C1935"/>
    <w:rsid w:val="007C3E31"/>
    <w:rsid w:val="007C4B74"/>
    <w:rsid w:val="007C6478"/>
    <w:rsid w:val="007C77C6"/>
    <w:rsid w:val="007D0664"/>
    <w:rsid w:val="007D0B96"/>
    <w:rsid w:val="007D3B45"/>
    <w:rsid w:val="007D44C5"/>
    <w:rsid w:val="007D4BDE"/>
    <w:rsid w:val="007D62BD"/>
    <w:rsid w:val="007D677C"/>
    <w:rsid w:val="007D6B31"/>
    <w:rsid w:val="007D6FDC"/>
    <w:rsid w:val="007D7C06"/>
    <w:rsid w:val="007E1A6B"/>
    <w:rsid w:val="007E234A"/>
    <w:rsid w:val="007E2F36"/>
    <w:rsid w:val="007E515D"/>
    <w:rsid w:val="007E6A41"/>
    <w:rsid w:val="007E6C81"/>
    <w:rsid w:val="007E6FC7"/>
    <w:rsid w:val="007F11E2"/>
    <w:rsid w:val="007F16EF"/>
    <w:rsid w:val="007F21AE"/>
    <w:rsid w:val="007F7D05"/>
    <w:rsid w:val="00801836"/>
    <w:rsid w:val="00801D1A"/>
    <w:rsid w:val="0080386D"/>
    <w:rsid w:val="00805453"/>
    <w:rsid w:val="00807460"/>
    <w:rsid w:val="00810D6E"/>
    <w:rsid w:val="00810FD8"/>
    <w:rsid w:val="00811084"/>
    <w:rsid w:val="0081203D"/>
    <w:rsid w:val="00812946"/>
    <w:rsid w:val="00812BEB"/>
    <w:rsid w:val="00813764"/>
    <w:rsid w:val="00813C57"/>
    <w:rsid w:val="00814C6A"/>
    <w:rsid w:val="008173F0"/>
    <w:rsid w:val="008178FE"/>
    <w:rsid w:val="008208D0"/>
    <w:rsid w:val="008220EA"/>
    <w:rsid w:val="0082265D"/>
    <w:rsid w:val="00822F01"/>
    <w:rsid w:val="008231FE"/>
    <w:rsid w:val="00823895"/>
    <w:rsid w:val="00825AF1"/>
    <w:rsid w:val="00831A6C"/>
    <w:rsid w:val="00833431"/>
    <w:rsid w:val="0083414F"/>
    <w:rsid w:val="00835193"/>
    <w:rsid w:val="00836F29"/>
    <w:rsid w:val="008428E8"/>
    <w:rsid w:val="00843128"/>
    <w:rsid w:val="0084313E"/>
    <w:rsid w:val="00843DF3"/>
    <w:rsid w:val="0084563D"/>
    <w:rsid w:val="00845CD4"/>
    <w:rsid w:val="00846711"/>
    <w:rsid w:val="00846F1D"/>
    <w:rsid w:val="00854598"/>
    <w:rsid w:val="00855B0F"/>
    <w:rsid w:val="00856738"/>
    <w:rsid w:val="00856DA5"/>
    <w:rsid w:val="00863961"/>
    <w:rsid w:val="0086556F"/>
    <w:rsid w:val="008665A4"/>
    <w:rsid w:val="00866A58"/>
    <w:rsid w:val="0086732B"/>
    <w:rsid w:val="00872599"/>
    <w:rsid w:val="008726E9"/>
    <w:rsid w:val="00872E8D"/>
    <w:rsid w:val="00875E5C"/>
    <w:rsid w:val="008762A7"/>
    <w:rsid w:val="00877AFB"/>
    <w:rsid w:val="00880407"/>
    <w:rsid w:val="00880FF9"/>
    <w:rsid w:val="00881F41"/>
    <w:rsid w:val="00881F47"/>
    <w:rsid w:val="008828B3"/>
    <w:rsid w:val="00883A11"/>
    <w:rsid w:val="00883BFB"/>
    <w:rsid w:val="008849BC"/>
    <w:rsid w:val="0088733F"/>
    <w:rsid w:val="00887C72"/>
    <w:rsid w:val="00891FCA"/>
    <w:rsid w:val="00892DFD"/>
    <w:rsid w:val="00892F79"/>
    <w:rsid w:val="00893F9A"/>
    <w:rsid w:val="00895210"/>
    <w:rsid w:val="0089539C"/>
    <w:rsid w:val="00897852"/>
    <w:rsid w:val="008A14F2"/>
    <w:rsid w:val="008A33A9"/>
    <w:rsid w:val="008A4B6E"/>
    <w:rsid w:val="008A4C9D"/>
    <w:rsid w:val="008A54A5"/>
    <w:rsid w:val="008A7380"/>
    <w:rsid w:val="008B07A1"/>
    <w:rsid w:val="008B0937"/>
    <w:rsid w:val="008B0C60"/>
    <w:rsid w:val="008B0F1E"/>
    <w:rsid w:val="008B248C"/>
    <w:rsid w:val="008C33A0"/>
    <w:rsid w:val="008C5330"/>
    <w:rsid w:val="008C6F66"/>
    <w:rsid w:val="008D05D4"/>
    <w:rsid w:val="008D28CB"/>
    <w:rsid w:val="008D29DA"/>
    <w:rsid w:val="008D336F"/>
    <w:rsid w:val="008D3438"/>
    <w:rsid w:val="008D3872"/>
    <w:rsid w:val="008D433D"/>
    <w:rsid w:val="008D5A93"/>
    <w:rsid w:val="008D5DC0"/>
    <w:rsid w:val="008D7832"/>
    <w:rsid w:val="008D7C17"/>
    <w:rsid w:val="008D7CB8"/>
    <w:rsid w:val="008E0802"/>
    <w:rsid w:val="008E0C51"/>
    <w:rsid w:val="008E1329"/>
    <w:rsid w:val="008E1A59"/>
    <w:rsid w:val="008E28DC"/>
    <w:rsid w:val="008E2C2E"/>
    <w:rsid w:val="008E384F"/>
    <w:rsid w:val="008E4991"/>
    <w:rsid w:val="008E4D21"/>
    <w:rsid w:val="008E5B3E"/>
    <w:rsid w:val="008E713D"/>
    <w:rsid w:val="008E74C8"/>
    <w:rsid w:val="008E76CE"/>
    <w:rsid w:val="008E7C94"/>
    <w:rsid w:val="008F0DDD"/>
    <w:rsid w:val="008F239E"/>
    <w:rsid w:val="008F2C3C"/>
    <w:rsid w:val="008F3459"/>
    <w:rsid w:val="008F3942"/>
    <w:rsid w:val="008F576B"/>
    <w:rsid w:val="008F6EF8"/>
    <w:rsid w:val="008F7098"/>
    <w:rsid w:val="009003B8"/>
    <w:rsid w:val="009036E0"/>
    <w:rsid w:val="009127B3"/>
    <w:rsid w:val="0091356D"/>
    <w:rsid w:val="009138D4"/>
    <w:rsid w:val="00913F3A"/>
    <w:rsid w:val="0091545F"/>
    <w:rsid w:val="00915777"/>
    <w:rsid w:val="00922501"/>
    <w:rsid w:val="00922CC9"/>
    <w:rsid w:val="0092335B"/>
    <w:rsid w:val="009278E8"/>
    <w:rsid w:val="00930777"/>
    <w:rsid w:val="00933742"/>
    <w:rsid w:val="009340A8"/>
    <w:rsid w:val="0093649F"/>
    <w:rsid w:val="009402E4"/>
    <w:rsid w:val="00942028"/>
    <w:rsid w:val="00943052"/>
    <w:rsid w:val="00943839"/>
    <w:rsid w:val="009456AA"/>
    <w:rsid w:val="0094583B"/>
    <w:rsid w:val="00945AD3"/>
    <w:rsid w:val="00946EC8"/>
    <w:rsid w:val="0095029E"/>
    <w:rsid w:val="00951A15"/>
    <w:rsid w:val="00952E78"/>
    <w:rsid w:val="00953D50"/>
    <w:rsid w:val="009572F8"/>
    <w:rsid w:val="00957F30"/>
    <w:rsid w:val="0096030D"/>
    <w:rsid w:val="00962D0E"/>
    <w:rsid w:val="00962D51"/>
    <w:rsid w:val="00965105"/>
    <w:rsid w:val="00965F99"/>
    <w:rsid w:val="00967B46"/>
    <w:rsid w:val="00970789"/>
    <w:rsid w:val="0097195C"/>
    <w:rsid w:val="009741F2"/>
    <w:rsid w:val="00975D4C"/>
    <w:rsid w:val="00977042"/>
    <w:rsid w:val="009776CF"/>
    <w:rsid w:val="009816F5"/>
    <w:rsid w:val="00982973"/>
    <w:rsid w:val="0098399E"/>
    <w:rsid w:val="00983D57"/>
    <w:rsid w:val="00985B95"/>
    <w:rsid w:val="0099066A"/>
    <w:rsid w:val="009928F2"/>
    <w:rsid w:val="0099390A"/>
    <w:rsid w:val="009956CF"/>
    <w:rsid w:val="00996A3D"/>
    <w:rsid w:val="009A0242"/>
    <w:rsid w:val="009A0DB8"/>
    <w:rsid w:val="009A17A9"/>
    <w:rsid w:val="009A24CA"/>
    <w:rsid w:val="009A49E1"/>
    <w:rsid w:val="009A678E"/>
    <w:rsid w:val="009A7AFC"/>
    <w:rsid w:val="009B071B"/>
    <w:rsid w:val="009B3028"/>
    <w:rsid w:val="009B3D43"/>
    <w:rsid w:val="009B4F7D"/>
    <w:rsid w:val="009B7FF9"/>
    <w:rsid w:val="009C2A21"/>
    <w:rsid w:val="009C3E14"/>
    <w:rsid w:val="009C58EB"/>
    <w:rsid w:val="009C61C1"/>
    <w:rsid w:val="009C6B02"/>
    <w:rsid w:val="009C7611"/>
    <w:rsid w:val="009C7745"/>
    <w:rsid w:val="009C7BB9"/>
    <w:rsid w:val="009D0D27"/>
    <w:rsid w:val="009D2A06"/>
    <w:rsid w:val="009D379B"/>
    <w:rsid w:val="009D3A54"/>
    <w:rsid w:val="009D4E1F"/>
    <w:rsid w:val="009D669A"/>
    <w:rsid w:val="009D6967"/>
    <w:rsid w:val="009E04D3"/>
    <w:rsid w:val="009E1934"/>
    <w:rsid w:val="009E2709"/>
    <w:rsid w:val="009E4C1C"/>
    <w:rsid w:val="009E50E0"/>
    <w:rsid w:val="009E61BF"/>
    <w:rsid w:val="009E681D"/>
    <w:rsid w:val="009E76E9"/>
    <w:rsid w:val="009F197E"/>
    <w:rsid w:val="009F3D1F"/>
    <w:rsid w:val="009F4C7E"/>
    <w:rsid w:val="009F5B68"/>
    <w:rsid w:val="00A0091D"/>
    <w:rsid w:val="00A01364"/>
    <w:rsid w:val="00A01405"/>
    <w:rsid w:val="00A02244"/>
    <w:rsid w:val="00A032DE"/>
    <w:rsid w:val="00A06C99"/>
    <w:rsid w:val="00A07DDC"/>
    <w:rsid w:val="00A10C84"/>
    <w:rsid w:val="00A113CA"/>
    <w:rsid w:val="00A122C9"/>
    <w:rsid w:val="00A14303"/>
    <w:rsid w:val="00A162FE"/>
    <w:rsid w:val="00A1776A"/>
    <w:rsid w:val="00A17941"/>
    <w:rsid w:val="00A17DD9"/>
    <w:rsid w:val="00A17EB9"/>
    <w:rsid w:val="00A2013F"/>
    <w:rsid w:val="00A203E6"/>
    <w:rsid w:val="00A21F55"/>
    <w:rsid w:val="00A220DD"/>
    <w:rsid w:val="00A22819"/>
    <w:rsid w:val="00A234B9"/>
    <w:rsid w:val="00A262F2"/>
    <w:rsid w:val="00A264CC"/>
    <w:rsid w:val="00A26A95"/>
    <w:rsid w:val="00A26D42"/>
    <w:rsid w:val="00A3317E"/>
    <w:rsid w:val="00A36F9A"/>
    <w:rsid w:val="00A37939"/>
    <w:rsid w:val="00A40717"/>
    <w:rsid w:val="00A41344"/>
    <w:rsid w:val="00A43D8A"/>
    <w:rsid w:val="00A44457"/>
    <w:rsid w:val="00A44EA9"/>
    <w:rsid w:val="00A604F2"/>
    <w:rsid w:val="00A618F6"/>
    <w:rsid w:val="00A62F5B"/>
    <w:rsid w:val="00A6353D"/>
    <w:rsid w:val="00A70DB6"/>
    <w:rsid w:val="00A72C90"/>
    <w:rsid w:val="00A7445D"/>
    <w:rsid w:val="00A74DE3"/>
    <w:rsid w:val="00A7681E"/>
    <w:rsid w:val="00A8008A"/>
    <w:rsid w:val="00A81017"/>
    <w:rsid w:val="00A82758"/>
    <w:rsid w:val="00A82960"/>
    <w:rsid w:val="00A83040"/>
    <w:rsid w:val="00A83A70"/>
    <w:rsid w:val="00A8466D"/>
    <w:rsid w:val="00A84694"/>
    <w:rsid w:val="00A84A94"/>
    <w:rsid w:val="00A853B1"/>
    <w:rsid w:val="00A856EA"/>
    <w:rsid w:val="00A867C0"/>
    <w:rsid w:val="00A90B4D"/>
    <w:rsid w:val="00A91A3A"/>
    <w:rsid w:val="00A92A68"/>
    <w:rsid w:val="00A92FD6"/>
    <w:rsid w:val="00A93AAD"/>
    <w:rsid w:val="00A95A1F"/>
    <w:rsid w:val="00A95BDF"/>
    <w:rsid w:val="00A96BC5"/>
    <w:rsid w:val="00A97C2F"/>
    <w:rsid w:val="00AA1496"/>
    <w:rsid w:val="00AA2C38"/>
    <w:rsid w:val="00AA4615"/>
    <w:rsid w:val="00AA4A7D"/>
    <w:rsid w:val="00AA50DE"/>
    <w:rsid w:val="00AA5FBC"/>
    <w:rsid w:val="00AB2EE0"/>
    <w:rsid w:val="00AB5A60"/>
    <w:rsid w:val="00AC0691"/>
    <w:rsid w:val="00AC18A0"/>
    <w:rsid w:val="00AC2439"/>
    <w:rsid w:val="00AC2FD6"/>
    <w:rsid w:val="00AC7264"/>
    <w:rsid w:val="00AD3AF0"/>
    <w:rsid w:val="00AD3FDA"/>
    <w:rsid w:val="00AE02A3"/>
    <w:rsid w:val="00AE174B"/>
    <w:rsid w:val="00AE3E97"/>
    <w:rsid w:val="00AE3ECB"/>
    <w:rsid w:val="00AE4652"/>
    <w:rsid w:val="00AE500B"/>
    <w:rsid w:val="00AF0158"/>
    <w:rsid w:val="00AF1735"/>
    <w:rsid w:val="00AF66A5"/>
    <w:rsid w:val="00AF7992"/>
    <w:rsid w:val="00B00650"/>
    <w:rsid w:val="00B00ADB"/>
    <w:rsid w:val="00B00D61"/>
    <w:rsid w:val="00B01566"/>
    <w:rsid w:val="00B02802"/>
    <w:rsid w:val="00B02ED1"/>
    <w:rsid w:val="00B03835"/>
    <w:rsid w:val="00B04412"/>
    <w:rsid w:val="00B05949"/>
    <w:rsid w:val="00B11E53"/>
    <w:rsid w:val="00B14407"/>
    <w:rsid w:val="00B14869"/>
    <w:rsid w:val="00B158D4"/>
    <w:rsid w:val="00B16224"/>
    <w:rsid w:val="00B1665B"/>
    <w:rsid w:val="00B226E6"/>
    <w:rsid w:val="00B24279"/>
    <w:rsid w:val="00B2516E"/>
    <w:rsid w:val="00B25C20"/>
    <w:rsid w:val="00B26C16"/>
    <w:rsid w:val="00B26E52"/>
    <w:rsid w:val="00B2715A"/>
    <w:rsid w:val="00B27267"/>
    <w:rsid w:val="00B3133E"/>
    <w:rsid w:val="00B3698C"/>
    <w:rsid w:val="00B36DAD"/>
    <w:rsid w:val="00B40B98"/>
    <w:rsid w:val="00B40C83"/>
    <w:rsid w:val="00B42144"/>
    <w:rsid w:val="00B450F0"/>
    <w:rsid w:val="00B46D68"/>
    <w:rsid w:val="00B47275"/>
    <w:rsid w:val="00B47B5C"/>
    <w:rsid w:val="00B50388"/>
    <w:rsid w:val="00B51624"/>
    <w:rsid w:val="00B53191"/>
    <w:rsid w:val="00B55D14"/>
    <w:rsid w:val="00B55EA8"/>
    <w:rsid w:val="00B6023B"/>
    <w:rsid w:val="00B61C51"/>
    <w:rsid w:val="00B61E57"/>
    <w:rsid w:val="00B63B5F"/>
    <w:rsid w:val="00B64C44"/>
    <w:rsid w:val="00B64EEF"/>
    <w:rsid w:val="00B65FEE"/>
    <w:rsid w:val="00B6659C"/>
    <w:rsid w:val="00B66D04"/>
    <w:rsid w:val="00B67002"/>
    <w:rsid w:val="00B71D8C"/>
    <w:rsid w:val="00B72D9C"/>
    <w:rsid w:val="00B736F5"/>
    <w:rsid w:val="00B75F5C"/>
    <w:rsid w:val="00B77BE8"/>
    <w:rsid w:val="00B829FB"/>
    <w:rsid w:val="00B82F71"/>
    <w:rsid w:val="00B83230"/>
    <w:rsid w:val="00B84E28"/>
    <w:rsid w:val="00B84FA7"/>
    <w:rsid w:val="00B85613"/>
    <w:rsid w:val="00B85F3C"/>
    <w:rsid w:val="00B861A1"/>
    <w:rsid w:val="00B87389"/>
    <w:rsid w:val="00B90FB8"/>
    <w:rsid w:val="00B9449B"/>
    <w:rsid w:val="00BA26A4"/>
    <w:rsid w:val="00BA299F"/>
    <w:rsid w:val="00BA2FEA"/>
    <w:rsid w:val="00BA3C5D"/>
    <w:rsid w:val="00BA3E1C"/>
    <w:rsid w:val="00BA41FC"/>
    <w:rsid w:val="00BA513C"/>
    <w:rsid w:val="00BA606E"/>
    <w:rsid w:val="00BA6631"/>
    <w:rsid w:val="00BA70D7"/>
    <w:rsid w:val="00BA7107"/>
    <w:rsid w:val="00BA7602"/>
    <w:rsid w:val="00BA7758"/>
    <w:rsid w:val="00BB0BC9"/>
    <w:rsid w:val="00BB2CA5"/>
    <w:rsid w:val="00BB4D9B"/>
    <w:rsid w:val="00BB4FA5"/>
    <w:rsid w:val="00BB5197"/>
    <w:rsid w:val="00BC0D6B"/>
    <w:rsid w:val="00BC15F0"/>
    <w:rsid w:val="00BC1700"/>
    <w:rsid w:val="00BC33D0"/>
    <w:rsid w:val="00BC7BCD"/>
    <w:rsid w:val="00BD03CE"/>
    <w:rsid w:val="00BD2338"/>
    <w:rsid w:val="00BD44C9"/>
    <w:rsid w:val="00BD452D"/>
    <w:rsid w:val="00BD5018"/>
    <w:rsid w:val="00BD5ABC"/>
    <w:rsid w:val="00BD6039"/>
    <w:rsid w:val="00BD6E6E"/>
    <w:rsid w:val="00BD7395"/>
    <w:rsid w:val="00BD7692"/>
    <w:rsid w:val="00BE26B5"/>
    <w:rsid w:val="00BE2EDE"/>
    <w:rsid w:val="00BE33E4"/>
    <w:rsid w:val="00BE3ED7"/>
    <w:rsid w:val="00BE4097"/>
    <w:rsid w:val="00BE4408"/>
    <w:rsid w:val="00BE594B"/>
    <w:rsid w:val="00BE66E7"/>
    <w:rsid w:val="00BE7DED"/>
    <w:rsid w:val="00BE7E71"/>
    <w:rsid w:val="00BF0780"/>
    <w:rsid w:val="00BF0AB8"/>
    <w:rsid w:val="00BF1615"/>
    <w:rsid w:val="00BF407A"/>
    <w:rsid w:val="00BF49C9"/>
    <w:rsid w:val="00BF50BA"/>
    <w:rsid w:val="00C00768"/>
    <w:rsid w:val="00C018B4"/>
    <w:rsid w:val="00C01D97"/>
    <w:rsid w:val="00C0292C"/>
    <w:rsid w:val="00C03693"/>
    <w:rsid w:val="00C03D98"/>
    <w:rsid w:val="00C05396"/>
    <w:rsid w:val="00C07314"/>
    <w:rsid w:val="00C10569"/>
    <w:rsid w:val="00C11917"/>
    <w:rsid w:val="00C11C1B"/>
    <w:rsid w:val="00C11E8B"/>
    <w:rsid w:val="00C124C7"/>
    <w:rsid w:val="00C135BF"/>
    <w:rsid w:val="00C146DA"/>
    <w:rsid w:val="00C14814"/>
    <w:rsid w:val="00C14BAF"/>
    <w:rsid w:val="00C155EA"/>
    <w:rsid w:val="00C206A6"/>
    <w:rsid w:val="00C20792"/>
    <w:rsid w:val="00C21DCA"/>
    <w:rsid w:val="00C22A36"/>
    <w:rsid w:val="00C22FAC"/>
    <w:rsid w:val="00C23008"/>
    <w:rsid w:val="00C23260"/>
    <w:rsid w:val="00C236DD"/>
    <w:rsid w:val="00C24FF0"/>
    <w:rsid w:val="00C254BA"/>
    <w:rsid w:val="00C25B5A"/>
    <w:rsid w:val="00C25CC1"/>
    <w:rsid w:val="00C30D24"/>
    <w:rsid w:val="00C31253"/>
    <w:rsid w:val="00C313BE"/>
    <w:rsid w:val="00C32D09"/>
    <w:rsid w:val="00C33628"/>
    <w:rsid w:val="00C338B6"/>
    <w:rsid w:val="00C33C92"/>
    <w:rsid w:val="00C36BCD"/>
    <w:rsid w:val="00C36F13"/>
    <w:rsid w:val="00C41D53"/>
    <w:rsid w:val="00C445FD"/>
    <w:rsid w:val="00C44D1B"/>
    <w:rsid w:val="00C47F77"/>
    <w:rsid w:val="00C50C7E"/>
    <w:rsid w:val="00C523B6"/>
    <w:rsid w:val="00C53289"/>
    <w:rsid w:val="00C5388E"/>
    <w:rsid w:val="00C55582"/>
    <w:rsid w:val="00C60365"/>
    <w:rsid w:val="00C61538"/>
    <w:rsid w:val="00C61A54"/>
    <w:rsid w:val="00C63C55"/>
    <w:rsid w:val="00C649A5"/>
    <w:rsid w:val="00C71547"/>
    <w:rsid w:val="00C715FC"/>
    <w:rsid w:val="00C7191B"/>
    <w:rsid w:val="00C7250C"/>
    <w:rsid w:val="00C727B6"/>
    <w:rsid w:val="00C72B71"/>
    <w:rsid w:val="00C73837"/>
    <w:rsid w:val="00C76603"/>
    <w:rsid w:val="00C76CD0"/>
    <w:rsid w:val="00C836E4"/>
    <w:rsid w:val="00C86BD2"/>
    <w:rsid w:val="00C8717F"/>
    <w:rsid w:val="00C87AFB"/>
    <w:rsid w:val="00C87B21"/>
    <w:rsid w:val="00C9138E"/>
    <w:rsid w:val="00C924C0"/>
    <w:rsid w:val="00C9293F"/>
    <w:rsid w:val="00C9386D"/>
    <w:rsid w:val="00C93C7D"/>
    <w:rsid w:val="00C96A52"/>
    <w:rsid w:val="00CA13B0"/>
    <w:rsid w:val="00CA1F22"/>
    <w:rsid w:val="00CA4C13"/>
    <w:rsid w:val="00CB0289"/>
    <w:rsid w:val="00CB0881"/>
    <w:rsid w:val="00CB1453"/>
    <w:rsid w:val="00CB2125"/>
    <w:rsid w:val="00CB2E57"/>
    <w:rsid w:val="00CB3495"/>
    <w:rsid w:val="00CB3C4A"/>
    <w:rsid w:val="00CB4237"/>
    <w:rsid w:val="00CB4FF6"/>
    <w:rsid w:val="00CB575A"/>
    <w:rsid w:val="00CB6D16"/>
    <w:rsid w:val="00CB6F1D"/>
    <w:rsid w:val="00CC005F"/>
    <w:rsid w:val="00CC26BC"/>
    <w:rsid w:val="00CC276B"/>
    <w:rsid w:val="00CC55EC"/>
    <w:rsid w:val="00CC5867"/>
    <w:rsid w:val="00CC5A4B"/>
    <w:rsid w:val="00CC6D1C"/>
    <w:rsid w:val="00CC6F44"/>
    <w:rsid w:val="00CC709B"/>
    <w:rsid w:val="00CC78D2"/>
    <w:rsid w:val="00CD02E8"/>
    <w:rsid w:val="00CD093E"/>
    <w:rsid w:val="00CD3C3D"/>
    <w:rsid w:val="00CD4E19"/>
    <w:rsid w:val="00CD5AA6"/>
    <w:rsid w:val="00CD5C37"/>
    <w:rsid w:val="00CE01BE"/>
    <w:rsid w:val="00CE1C82"/>
    <w:rsid w:val="00CE2A89"/>
    <w:rsid w:val="00CE3027"/>
    <w:rsid w:val="00CE4DA8"/>
    <w:rsid w:val="00CE6072"/>
    <w:rsid w:val="00CE6F05"/>
    <w:rsid w:val="00CF2337"/>
    <w:rsid w:val="00CF2CA2"/>
    <w:rsid w:val="00CF32C2"/>
    <w:rsid w:val="00CF376D"/>
    <w:rsid w:val="00D005C1"/>
    <w:rsid w:val="00D0116A"/>
    <w:rsid w:val="00D016CE"/>
    <w:rsid w:val="00D026C2"/>
    <w:rsid w:val="00D03677"/>
    <w:rsid w:val="00D03D95"/>
    <w:rsid w:val="00D042D0"/>
    <w:rsid w:val="00D062E2"/>
    <w:rsid w:val="00D069FC"/>
    <w:rsid w:val="00D073A2"/>
    <w:rsid w:val="00D07F58"/>
    <w:rsid w:val="00D1050C"/>
    <w:rsid w:val="00D12371"/>
    <w:rsid w:val="00D133F1"/>
    <w:rsid w:val="00D1386A"/>
    <w:rsid w:val="00D17E16"/>
    <w:rsid w:val="00D17E82"/>
    <w:rsid w:val="00D17F4D"/>
    <w:rsid w:val="00D20510"/>
    <w:rsid w:val="00D21018"/>
    <w:rsid w:val="00D2376F"/>
    <w:rsid w:val="00D2546F"/>
    <w:rsid w:val="00D25A3E"/>
    <w:rsid w:val="00D27E52"/>
    <w:rsid w:val="00D31091"/>
    <w:rsid w:val="00D31325"/>
    <w:rsid w:val="00D31E5B"/>
    <w:rsid w:val="00D32035"/>
    <w:rsid w:val="00D3276F"/>
    <w:rsid w:val="00D32FFA"/>
    <w:rsid w:val="00D34862"/>
    <w:rsid w:val="00D37002"/>
    <w:rsid w:val="00D37296"/>
    <w:rsid w:val="00D372A9"/>
    <w:rsid w:val="00D43B70"/>
    <w:rsid w:val="00D45515"/>
    <w:rsid w:val="00D50196"/>
    <w:rsid w:val="00D509B4"/>
    <w:rsid w:val="00D52BBF"/>
    <w:rsid w:val="00D52D0F"/>
    <w:rsid w:val="00D533EA"/>
    <w:rsid w:val="00D54624"/>
    <w:rsid w:val="00D54AA4"/>
    <w:rsid w:val="00D57613"/>
    <w:rsid w:val="00D57FE4"/>
    <w:rsid w:val="00D60B64"/>
    <w:rsid w:val="00D61FD2"/>
    <w:rsid w:val="00D62B78"/>
    <w:rsid w:val="00D63049"/>
    <w:rsid w:val="00D6499C"/>
    <w:rsid w:val="00D70937"/>
    <w:rsid w:val="00D70A0C"/>
    <w:rsid w:val="00D70B5F"/>
    <w:rsid w:val="00D730D2"/>
    <w:rsid w:val="00D749A7"/>
    <w:rsid w:val="00D74DA3"/>
    <w:rsid w:val="00D7509A"/>
    <w:rsid w:val="00D75468"/>
    <w:rsid w:val="00D76273"/>
    <w:rsid w:val="00D778DF"/>
    <w:rsid w:val="00D832DE"/>
    <w:rsid w:val="00D8358C"/>
    <w:rsid w:val="00D850E8"/>
    <w:rsid w:val="00D85F84"/>
    <w:rsid w:val="00D861C7"/>
    <w:rsid w:val="00D86FF2"/>
    <w:rsid w:val="00D874D3"/>
    <w:rsid w:val="00D87C45"/>
    <w:rsid w:val="00D92523"/>
    <w:rsid w:val="00D9475E"/>
    <w:rsid w:val="00D96580"/>
    <w:rsid w:val="00D97434"/>
    <w:rsid w:val="00DA138A"/>
    <w:rsid w:val="00DB023D"/>
    <w:rsid w:val="00DB1B56"/>
    <w:rsid w:val="00DB2A73"/>
    <w:rsid w:val="00DB57D4"/>
    <w:rsid w:val="00DB6521"/>
    <w:rsid w:val="00DB6661"/>
    <w:rsid w:val="00DB6892"/>
    <w:rsid w:val="00DB6E53"/>
    <w:rsid w:val="00DC1E01"/>
    <w:rsid w:val="00DC2A54"/>
    <w:rsid w:val="00DC5DA0"/>
    <w:rsid w:val="00DC5E91"/>
    <w:rsid w:val="00DC6E0A"/>
    <w:rsid w:val="00DC707E"/>
    <w:rsid w:val="00DD1D3A"/>
    <w:rsid w:val="00DD3C6D"/>
    <w:rsid w:val="00DD3F0E"/>
    <w:rsid w:val="00DD4605"/>
    <w:rsid w:val="00DD4BEF"/>
    <w:rsid w:val="00DD4DBC"/>
    <w:rsid w:val="00DD5642"/>
    <w:rsid w:val="00DD60C1"/>
    <w:rsid w:val="00DE0C6C"/>
    <w:rsid w:val="00DE13CB"/>
    <w:rsid w:val="00DE180C"/>
    <w:rsid w:val="00DE295E"/>
    <w:rsid w:val="00DE36D3"/>
    <w:rsid w:val="00DE5976"/>
    <w:rsid w:val="00DE5FE6"/>
    <w:rsid w:val="00DE6046"/>
    <w:rsid w:val="00DE74D3"/>
    <w:rsid w:val="00DF0A1D"/>
    <w:rsid w:val="00DF1481"/>
    <w:rsid w:val="00DF162F"/>
    <w:rsid w:val="00DF2CB4"/>
    <w:rsid w:val="00DF330D"/>
    <w:rsid w:val="00DF34C1"/>
    <w:rsid w:val="00DF3C7F"/>
    <w:rsid w:val="00DF4D99"/>
    <w:rsid w:val="00DF4E80"/>
    <w:rsid w:val="00DF7713"/>
    <w:rsid w:val="00DF7C16"/>
    <w:rsid w:val="00E01B29"/>
    <w:rsid w:val="00E029E7"/>
    <w:rsid w:val="00E04435"/>
    <w:rsid w:val="00E06640"/>
    <w:rsid w:val="00E06F9B"/>
    <w:rsid w:val="00E071DE"/>
    <w:rsid w:val="00E1015D"/>
    <w:rsid w:val="00E14CDF"/>
    <w:rsid w:val="00E207CA"/>
    <w:rsid w:val="00E2125C"/>
    <w:rsid w:val="00E212B0"/>
    <w:rsid w:val="00E21B79"/>
    <w:rsid w:val="00E2273F"/>
    <w:rsid w:val="00E22EFF"/>
    <w:rsid w:val="00E312B1"/>
    <w:rsid w:val="00E328E9"/>
    <w:rsid w:val="00E34C56"/>
    <w:rsid w:val="00E34D2F"/>
    <w:rsid w:val="00E34F56"/>
    <w:rsid w:val="00E351EE"/>
    <w:rsid w:val="00E35982"/>
    <w:rsid w:val="00E36952"/>
    <w:rsid w:val="00E36E68"/>
    <w:rsid w:val="00E37418"/>
    <w:rsid w:val="00E37FE3"/>
    <w:rsid w:val="00E40BD9"/>
    <w:rsid w:val="00E451CB"/>
    <w:rsid w:val="00E46A87"/>
    <w:rsid w:val="00E4715A"/>
    <w:rsid w:val="00E473FE"/>
    <w:rsid w:val="00E51A87"/>
    <w:rsid w:val="00E56B01"/>
    <w:rsid w:val="00E57F7B"/>
    <w:rsid w:val="00E60A71"/>
    <w:rsid w:val="00E61540"/>
    <w:rsid w:val="00E61761"/>
    <w:rsid w:val="00E61AD5"/>
    <w:rsid w:val="00E62AA5"/>
    <w:rsid w:val="00E63114"/>
    <w:rsid w:val="00E664C7"/>
    <w:rsid w:val="00E666F4"/>
    <w:rsid w:val="00E677AB"/>
    <w:rsid w:val="00E73750"/>
    <w:rsid w:val="00E73EB6"/>
    <w:rsid w:val="00E779FA"/>
    <w:rsid w:val="00E77B06"/>
    <w:rsid w:val="00E800E6"/>
    <w:rsid w:val="00E81221"/>
    <w:rsid w:val="00E82751"/>
    <w:rsid w:val="00E848B4"/>
    <w:rsid w:val="00E850A5"/>
    <w:rsid w:val="00E85136"/>
    <w:rsid w:val="00E8545C"/>
    <w:rsid w:val="00E8584F"/>
    <w:rsid w:val="00E85BEF"/>
    <w:rsid w:val="00E900CF"/>
    <w:rsid w:val="00E90845"/>
    <w:rsid w:val="00E911CB"/>
    <w:rsid w:val="00E94440"/>
    <w:rsid w:val="00E94E94"/>
    <w:rsid w:val="00E952E0"/>
    <w:rsid w:val="00E96623"/>
    <w:rsid w:val="00E96929"/>
    <w:rsid w:val="00E975A7"/>
    <w:rsid w:val="00EA1438"/>
    <w:rsid w:val="00EA2490"/>
    <w:rsid w:val="00EA2C11"/>
    <w:rsid w:val="00EA2C74"/>
    <w:rsid w:val="00EA3684"/>
    <w:rsid w:val="00EA4AD5"/>
    <w:rsid w:val="00EB078B"/>
    <w:rsid w:val="00EB346F"/>
    <w:rsid w:val="00EB35CE"/>
    <w:rsid w:val="00EB395A"/>
    <w:rsid w:val="00EB4AE1"/>
    <w:rsid w:val="00EB4DFC"/>
    <w:rsid w:val="00EB59AA"/>
    <w:rsid w:val="00EB61C8"/>
    <w:rsid w:val="00EB64BA"/>
    <w:rsid w:val="00EB6920"/>
    <w:rsid w:val="00EB6A46"/>
    <w:rsid w:val="00EB722D"/>
    <w:rsid w:val="00EB73E8"/>
    <w:rsid w:val="00EB78C4"/>
    <w:rsid w:val="00EC39D3"/>
    <w:rsid w:val="00EC5EE5"/>
    <w:rsid w:val="00EC60D4"/>
    <w:rsid w:val="00EC74AC"/>
    <w:rsid w:val="00EE009B"/>
    <w:rsid w:val="00EE0CD7"/>
    <w:rsid w:val="00EE0E6E"/>
    <w:rsid w:val="00EE34B2"/>
    <w:rsid w:val="00EE5A45"/>
    <w:rsid w:val="00EE5B1D"/>
    <w:rsid w:val="00EE6AA3"/>
    <w:rsid w:val="00EE7139"/>
    <w:rsid w:val="00EE7C74"/>
    <w:rsid w:val="00EF22FA"/>
    <w:rsid w:val="00EF3C41"/>
    <w:rsid w:val="00EF74B6"/>
    <w:rsid w:val="00EF7A30"/>
    <w:rsid w:val="00F016A8"/>
    <w:rsid w:val="00F01AFC"/>
    <w:rsid w:val="00F040F5"/>
    <w:rsid w:val="00F04248"/>
    <w:rsid w:val="00F0454C"/>
    <w:rsid w:val="00F04E9C"/>
    <w:rsid w:val="00F10386"/>
    <w:rsid w:val="00F10CA9"/>
    <w:rsid w:val="00F13546"/>
    <w:rsid w:val="00F140F4"/>
    <w:rsid w:val="00F15953"/>
    <w:rsid w:val="00F15B4A"/>
    <w:rsid w:val="00F16197"/>
    <w:rsid w:val="00F1732C"/>
    <w:rsid w:val="00F17899"/>
    <w:rsid w:val="00F20442"/>
    <w:rsid w:val="00F20FEC"/>
    <w:rsid w:val="00F21D44"/>
    <w:rsid w:val="00F2300D"/>
    <w:rsid w:val="00F238D5"/>
    <w:rsid w:val="00F26C69"/>
    <w:rsid w:val="00F27286"/>
    <w:rsid w:val="00F2763C"/>
    <w:rsid w:val="00F31BD0"/>
    <w:rsid w:val="00F32B1E"/>
    <w:rsid w:val="00F34B64"/>
    <w:rsid w:val="00F363E9"/>
    <w:rsid w:val="00F40C07"/>
    <w:rsid w:val="00F431E3"/>
    <w:rsid w:val="00F43267"/>
    <w:rsid w:val="00F44B86"/>
    <w:rsid w:val="00F5158C"/>
    <w:rsid w:val="00F517A7"/>
    <w:rsid w:val="00F53357"/>
    <w:rsid w:val="00F539B1"/>
    <w:rsid w:val="00F53ADF"/>
    <w:rsid w:val="00F57AC9"/>
    <w:rsid w:val="00F57B84"/>
    <w:rsid w:val="00F629B9"/>
    <w:rsid w:val="00F6312D"/>
    <w:rsid w:val="00F639BB"/>
    <w:rsid w:val="00F6433B"/>
    <w:rsid w:val="00F64F2F"/>
    <w:rsid w:val="00F6580E"/>
    <w:rsid w:val="00F6609E"/>
    <w:rsid w:val="00F67876"/>
    <w:rsid w:val="00F67FA1"/>
    <w:rsid w:val="00F72140"/>
    <w:rsid w:val="00F72274"/>
    <w:rsid w:val="00F758A4"/>
    <w:rsid w:val="00F776DA"/>
    <w:rsid w:val="00F80D92"/>
    <w:rsid w:val="00F83BA3"/>
    <w:rsid w:val="00F85685"/>
    <w:rsid w:val="00F8738D"/>
    <w:rsid w:val="00F902F6"/>
    <w:rsid w:val="00F9180B"/>
    <w:rsid w:val="00F924E2"/>
    <w:rsid w:val="00F9508D"/>
    <w:rsid w:val="00F9556A"/>
    <w:rsid w:val="00F959A2"/>
    <w:rsid w:val="00F95C7C"/>
    <w:rsid w:val="00F973B4"/>
    <w:rsid w:val="00FA020C"/>
    <w:rsid w:val="00FA02B3"/>
    <w:rsid w:val="00FA08DA"/>
    <w:rsid w:val="00FA28CA"/>
    <w:rsid w:val="00FA2FBB"/>
    <w:rsid w:val="00FA412A"/>
    <w:rsid w:val="00FA53DE"/>
    <w:rsid w:val="00FA6BDD"/>
    <w:rsid w:val="00FA7D73"/>
    <w:rsid w:val="00FB09C9"/>
    <w:rsid w:val="00FB0DFB"/>
    <w:rsid w:val="00FB12AC"/>
    <w:rsid w:val="00FB1D2D"/>
    <w:rsid w:val="00FB20CF"/>
    <w:rsid w:val="00FB351D"/>
    <w:rsid w:val="00FB3F9C"/>
    <w:rsid w:val="00FB4839"/>
    <w:rsid w:val="00FB6190"/>
    <w:rsid w:val="00FB6B3F"/>
    <w:rsid w:val="00FC1248"/>
    <w:rsid w:val="00FC13D5"/>
    <w:rsid w:val="00FC162A"/>
    <w:rsid w:val="00FC1AAF"/>
    <w:rsid w:val="00FC25E0"/>
    <w:rsid w:val="00FC303D"/>
    <w:rsid w:val="00FC361E"/>
    <w:rsid w:val="00FC4B0C"/>
    <w:rsid w:val="00FC58EA"/>
    <w:rsid w:val="00FC674E"/>
    <w:rsid w:val="00FC73F6"/>
    <w:rsid w:val="00FC7853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6DA2"/>
    <w:rsid w:val="00FE13C3"/>
    <w:rsid w:val="00FE2C05"/>
    <w:rsid w:val="00FE3BBD"/>
    <w:rsid w:val="00FE4461"/>
    <w:rsid w:val="00FE4D8A"/>
    <w:rsid w:val="00FE6202"/>
    <w:rsid w:val="00FE72BC"/>
    <w:rsid w:val="00FF11FF"/>
    <w:rsid w:val="00FF1C00"/>
    <w:rsid w:val="00FF2716"/>
    <w:rsid w:val="00FF3355"/>
    <w:rsid w:val="00FF568C"/>
    <w:rsid w:val="00FF6B27"/>
    <w:rsid w:val="00FF7309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9093D"/>
  <w15:docId w15:val="{1BD784A9-D459-4C39-A635-80FD70A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rsid w:val="002C2235"/>
    <w:pPr>
      <w:ind w:left="7"/>
    </w:pPr>
    <w:rPr>
      <w:sz w:val="28"/>
      <w:lang w:val="lv-LV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styleId="Komentraatsauce">
    <w:name w:val="annotation reference"/>
    <w:basedOn w:val="Noklusjumarindkopasfonts"/>
    <w:semiHidden/>
    <w:rsid w:val="002C2235"/>
    <w:rPr>
      <w:sz w:val="16"/>
      <w:szCs w:val="16"/>
    </w:rPr>
  </w:style>
  <w:style w:type="paragraph" w:customStyle="1" w:styleId="naislab">
    <w:name w:val="naislab"/>
    <w:basedOn w:val="Parasts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rsid w:val="002C2235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2C2235"/>
  </w:style>
  <w:style w:type="paragraph" w:styleId="Komentrateksts">
    <w:name w:val="annotation text"/>
    <w:basedOn w:val="Parasts"/>
    <w:link w:val="KomentratekstsRakstz"/>
    <w:rsid w:val="002C2235"/>
    <w:rPr>
      <w:sz w:val="20"/>
      <w:szCs w:val="20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semiHidden/>
    <w:rsid w:val="003F2F3C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Parasts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semiHidden/>
    <w:rsid w:val="00CC26BC"/>
    <w:rPr>
      <w:b/>
      <w:bCs/>
    </w:rPr>
  </w:style>
  <w:style w:type="character" w:styleId="Hipersaite">
    <w:name w:val="Hyperlink"/>
    <w:basedOn w:val="Noklusjumarindkopasfonts"/>
    <w:rsid w:val="009402E4"/>
    <w:rPr>
      <w:color w:val="0000FF"/>
      <w:u w:val="single"/>
    </w:rPr>
  </w:style>
  <w:style w:type="paragraph" w:styleId="Nosaukums">
    <w:name w:val="Title"/>
    <w:basedOn w:val="Parasts"/>
    <w:qFormat/>
    <w:rsid w:val="00EB6920"/>
    <w:pPr>
      <w:jc w:val="center"/>
    </w:pPr>
    <w:rPr>
      <w:b/>
      <w:sz w:val="28"/>
      <w:szCs w:val="20"/>
      <w:lang w:val="lv-LV"/>
    </w:rPr>
  </w:style>
  <w:style w:type="paragraph" w:styleId="Bezatstarpm">
    <w:name w:val="No Spacing"/>
    <w:qFormat/>
    <w:rsid w:val="00B55EA8"/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rsid w:val="0091356D"/>
    <w:rPr>
      <w:rFonts w:ascii="RimTimes" w:hAnsi="RimTimes"/>
      <w:sz w:val="28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FD247B"/>
    <w:rPr>
      <w:b/>
      <w:bCs/>
    </w:rPr>
  </w:style>
  <w:style w:type="character" w:customStyle="1" w:styleId="KomentratekstsRakstz">
    <w:name w:val="Komentāra teksts Rakstz."/>
    <w:basedOn w:val="Noklusjumarindkopasfonts"/>
    <w:link w:val="Komentrateksts"/>
    <w:rsid w:val="00A856EA"/>
    <w:rPr>
      <w:lang w:val="en-GB" w:eastAsia="en-US"/>
    </w:rPr>
  </w:style>
  <w:style w:type="paragraph" w:styleId="Sarakstarindkopa">
    <w:name w:val="List Paragraph"/>
    <w:basedOn w:val="Parasts"/>
    <w:uiPriority w:val="34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character" w:customStyle="1" w:styleId="Virsraksts1Rakstz">
    <w:name w:val="Virsraksts 1 Rakstz."/>
    <w:basedOn w:val="Noklusjumarindkopasfonts"/>
    <w:link w:val="Virsraksts1"/>
    <w:rsid w:val="00411451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4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38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035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61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8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29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4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0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9046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7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7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62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41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7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7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23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0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453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4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34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3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96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60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46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20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262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7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7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69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9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0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11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01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02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7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526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13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7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91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154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0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917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1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0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3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73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9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745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9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42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80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F4B2-12DC-41F4-AF73-973D9FBE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1621</Words>
  <Characters>10866</Characters>
  <Application>Microsoft Office Word</Application>
  <DocSecurity>0</DocSecurity>
  <Lines>90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 2004. gada 17. februāra noteikumos Nr. 83 „Āfrikas cūku mēra likvidēšanas un draudu  novēršanas kārtība””</vt:lpstr>
      <vt:lpstr/>
    </vt:vector>
  </TitlesOfParts>
  <Company>Zemkopības ministrija</Company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 2004. gada 17. februāra noteikumos Nr. 83 „Āfrikas cūku mēra likvidēšanas un draudu  novēršanas kārtība””</dc:title>
  <dc:subject>MK noteikumu projekta anotācija</dc:subject>
  <dc:creator>Sigita Tauriņa</dc:creator>
  <dc:description>Sigita Tauriņa, 67027064; Sigita.Taurina@zm.gov.lv</dc:description>
  <cp:lastModifiedBy>Sanita Žagare</cp:lastModifiedBy>
  <cp:revision>18</cp:revision>
  <cp:lastPrinted>2017-06-15T12:29:00Z</cp:lastPrinted>
  <dcterms:created xsi:type="dcterms:W3CDTF">2017-08-24T08:26:00Z</dcterms:created>
  <dcterms:modified xsi:type="dcterms:W3CDTF">2017-09-07T08:08:00Z</dcterms:modified>
</cp:coreProperties>
</file>