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5C1318" w:rsidRDefault="00D12371" w:rsidP="009B54FD">
      <w:pPr>
        <w:pStyle w:val="Bezatstarpm"/>
        <w:jc w:val="center"/>
        <w:rPr>
          <w:rFonts w:ascii="Times New Roman" w:hAnsi="Times New Roman"/>
          <w:b/>
          <w:sz w:val="28"/>
          <w:szCs w:val="24"/>
        </w:rPr>
      </w:pPr>
      <w:r w:rsidRPr="005C1318">
        <w:rPr>
          <w:rFonts w:ascii="Times New Roman" w:hAnsi="Times New Roman"/>
          <w:b/>
          <w:sz w:val="28"/>
          <w:szCs w:val="24"/>
        </w:rPr>
        <w:t>Ministru kabineta noteikumu projekta</w:t>
      </w:r>
    </w:p>
    <w:p w:rsidR="00D12371" w:rsidRPr="005C1318" w:rsidRDefault="002669C3" w:rsidP="008B4887">
      <w:pPr>
        <w:jc w:val="center"/>
        <w:rPr>
          <w:b/>
          <w:bCs/>
          <w:sz w:val="28"/>
          <w:lang w:val="lv-LV"/>
        </w:rPr>
      </w:pPr>
      <w:r w:rsidRPr="005C1318">
        <w:rPr>
          <w:b/>
          <w:bCs/>
          <w:sz w:val="28"/>
          <w:lang w:val="lv-LV"/>
        </w:rPr>
        <w:t>„</w:t>
      </w:r>
      <w:bookmarkStart w:id="0" w:name="OLE_LINK7"/>
      <w:bookmarkStart w:id="1" w:name="OLE_LINK8"/>
      <w:r w:rsidR="00E312B1" w:rsidRPr="005C1318">
        <w:rPr>
          <w:b/>
          <w:bCs/>
          <w:sz w:val="28"/>
          <w:lang w:val="lv-LV"/>
        </w:rPr>
        <w:t>Grozījum</w:t>
      </w:r>
      <w:r w:rsidR="008B4887" w:rsidRPr="005C1318">
        <w:rPr>
          <w:b/>
          <w:bCs/>
          <w:sz w:val="28"/>
          <w:lang w:val="lv-LV"/>
        </w:rPr>
        <w:t>i</w:t>
      </w:r>
      <w:r w:rsidR="00E312B1" w:rsidRPr="005C1318">
        <w:rPr>
          <w:b/>
          <w:bCs/>
          <w:sz w:val="28"/>
          <w:lang w:val="lv-LV"/>
        </w:rPr>
        <w:t xml:space="preserve"> </w:t>
      </w:r>
      <w:r w:rsidR="008B4887" w:rsidRPr="005C1318">
        <w:rPr>
          <w:b/>
          <w:bCs/>
          <w:sz w:val="28"/>
          <w:lang w:val="lv-LV"/>
        </w:rPr>
        <w:t>Ministru kabineta 2012. gada 17. aprīļa noteikumos Nr. 274 „Kārtība, kādā atzīst uzņēmumus un iekārtas un reģistrē personas, kas iesaistītas tādu dzīvnieku izcelsmes blakusproduktu un atvasinātu produktu apritē, kas nav paredzēti cilvēku patēriņam”</w:t>
      </w:r>
      <w:r w:rsidR="00E312B1" w:rsidRPr="005C1318">
        <w:rPr>
          <w:b/>
          <w:bCs/>
          <w:sz w:val="28"/>
          <w:lang w:val="lv-LV"/>
        </w:rPr>
        <w:t>”</w:t>
      </w:r>
    </w:p>
    <w:p w:rsidR="008B0C60" w:rsidRPr="005C1318" w:rsidRDefault="00E61AD5" w:rsidP="007B7907">
      <w:pPr>
        <w:pStyle w:val="naisf"/>
        <w:spacing w:before="0" w:beforeAutospacing="0" w:after="0" w:afterAutospacing="0"/>
        <w:jc w:val="center"/>
        <w:rPr>
          <w:b/>
          <w:bCs/>
          <w:sz w:val="28"/>
          <w:lang w:val="lv-LV"/>
        </w:rPr>
      </w:pPr>
      <w:r w:rsidRPr="005C1318">
        <w:rPr>
          <w:b/>
          <w:sz w:val="28"/>
          <w:lang w:val="lv-LV"/>
        </w:rPr>
        <w:t xml:space="preserve">sākotnējās </w:t>
      </w:r>
      <w:r w:rsidR="00757B05" w:rsidRPr="005C1318">
        <w:rPr>
          <w:b/>
          <w:sz w:val="28"/>
          <w:lang w:val="lv-LV"/>
        </w:rPr>
        <w:t>ietekmes novērtējuma ziņojums</w:t>
      </w:r>
      <w:r w:rsidR="00757B05" w:rsidRPr="005C1318">
        <w:rPr>
          <w:b/>
          <w:bCs/>
          <w:sz w:val="28"/>
          <w:lang w:val="lv-LV"/>
        </w:rPr>
        <w:t xml:space="preserve"> (anotācija)</w:t>
      </w:r>
    </w:p>
    <w:p w:rsidR="00831A6C" w:rsidRPr="007B7907" w:rsidRDefault="00831A6C" w:rsidP="007B7907">
      <w:pPr>
        <w:pStyle w:val="naisf"/>
        <w:spacing w:before="0" w:beforeAutospacing="0" w:after="0" w:afterAutospacing="0"/>
        <w:jc w:val="center"/>
        <w:rPr>
          <w:b/>
          <w:bCs/>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
        <w:gridCol w:w="1967"/>
        <w:gridCol w:w="6709"/>
      </w:tblGrid>
      <w:tr w:rsidR="005D73DE" w:rsidRPr="002A39FB" w:rsidTr="00CA1F22">
        <w:tc>
          <w:tcPr>
            <w:tcW w:w="0" w:type="auto"/>
            <w:gridSpan w:val="3"/>
            <w:vAlign w:val="center"/>
          </w:tcPr>
          <w:bookmarkEnd w:id="0"/>
          <w:bookmarkEnd w:id="1"/>
          <w:p w:rsidR="00A162FE" w:rsidRPr="009E2709" w:rsidRDefault="00A162FE" w:rsidP="005D73DE">
            <w:pPr>
              <w:jc w:val="center"/>
              <w:rPr>
                <w:b/>
                <w:bCs/>
                <w:lang w:val="lv-LV" w:eastAsia="lv-LV"/>
              </w:rPr>
            </w:pPr>
            <w:r w:rsidRPr="002745B0">
              <w:rPr>
                <w:b/>
                <w:bCs/>
                <w:lang w:val="lv-LV" w:eastAsia="lv-LV"/>
              </w:rPr>
              <w:t>I. Tiesību akta projekta izstrādes nepieciešamība</w:t>
            </w:r>
          </w:p>
        </w:tc>
      </w:tr>
      <w:tr w:rsidR="005D73DE" w:rsidRPr="001764AE" w:rsidTr="00C25CC1">
        <w:tc>
          <w:tcPr>
            <w:tcW w:w="250" w:type="pct"/>
          </w:tcPr>
          <w:p w:rsidR="00A162FE" w:rsidRPr="009E2709" w:rsidRDefault="00A162FE" w:rsidP="00C21DCA">
            <w:pPr>
              <w:jc w:val="center"/>
              <w:rPr>
                <w:lang w:val="lv-LV" w:eastAsia="lv-LV"/>
              </w:rPr>
            </w:pPr>
            <w:r w:rsidRPr="009E2709">
              <w:rPr>
                <w:lang w:val="lv-LV" w:eastAsia="lv-LV"/>
              </w:rPr>
              <w:t>1.</w:t>
            </w:r>
          </w:p>
        </w:tc>
        <w:tc>
          <w:tcPr>
            <w:tcW w:w="1077" w:type="pct"/>
          </w:tcPr>
          <w:p w:rsidR="00A162FE" w:rsidRPr="009E2709" w:rsidRDefault="00A162FE" w:rsidP="005D73DE">
            <w:pPr>
              <w:jc w:val="both"/>
              <w:rPr>
                <w:lang w:val="lv-LV" w:eastAsia="lv-LV"/>
              </w:rPr>
            </w:pPr>
            <w:r w:rsidRPr="009E2709">
              <w:rPr>
                <w:lang w:val="lv-LV" w:eastAsia="lv-LV"/>
              </w:rPr>
              <w:t>Pamatojums</w:t>
            </w:r>
          </w:p>
        </w:tc>
        <w:tc>
          <w:tcPr>
            <w:tcW w:w="3673" w:type="pct"/>
          </w:tcPr>
          <w:p w:rsidR="001764AE" w:rsidRPr="009E2709" w:rsidRDefault="00E312B1" w:rsidP="00F922F2">
            <w:pPr>
              <w:jc w:val="both"/>
              <w:rPr>
                <w:lang w:val="lv-LV"/>
              </w:rPr>
            </w:pPr>
            <w:r w:rsidRPr="00E312B1">
              <w:rPr>
                <w:lang w:val="lv-LV"/>
              </w:rPr>
              <w:t>Veterinārmedicīnas likuma</w:t>
            </w:r>
            <w:r>
              <w:rPr>
                <w:lang w:val="lv-LV"/>
              </w:rPr>
              <w:t xml:space="preserve"> </w:t>
            </w:r>
            <w:r w:rsidR="008B4887" w:rsidRPr="008B4887">
              <w:rPr>
                <w:lang w:val="lv-LV"/>
              </w:rPr>
              <w:t>42.</w:t>
            </w:r>
            <w:r w:rsidR="008B4887" w:rsidRPr="008B4887">
              <w:rPr>
                <w:vertAlign w:val="superscript"/>
                <w:lang w:val="lv-LV"/>
              </w:rPr>
              <w:t>1</w:t>
            </w:r>
            <w:r w:rsidR="008B4887" w:rsidRPr="008B4887">
              <w:rPr>
                <w:lang w:val="lv-LV"/>
              </w:rPr>
              <w:t xml:space="preserve"> panta </w:t>
            </w:r>
            <w:r w:rsidR="00F922F2">
              <w:rPr>
                <w:lang w:val="lv-LV"/>
              </w:rPr>
              <w:t>pirmā</w:t>
            </w:r>
            <w:r w:rsidR="008B4887" w:rsidRPr="008B4887">
              <w:rPr>
                <w:lang w:val="lv-LV"/>
              </w:rPr>
              <w:t xml:space="preserve"> daļa</w:t>
            </w:r>
          </w:p>
        </w:tc>
      </w:tr>
      <w:tr w:rsidR="005D73DE" w:rsidRPr="00EF4B0E" w:rsidTr="00C25CC1">
        <w:tc>
          <w:tcPr>
            <w:tcW w:w="250" w:type="pct"/>
          </w:tcPr>
          <w:p w:rsidR="00A162FE" w:rsidRPr="009E2709" w:rsidRDefault="00A162FE" w:rsidP="00C21DCA">
            <w:pPr>
              <w:jc w:val="center"/>
              <w:rPr>
                <w:lang w:val="lv-LV" w:eastAsia="lv-LV"/>
              </w:rPr>
            </w:pPr>
            <w:r w:rsidRPr="009E2709">
              <w:rPr>
                <w:lang w:val="lv-LV" w:eastAsia="lv-LV"/>
              </w:rPr>
              <w:t>2.</w:t>
            </w:r>
          </w:p>
        </w:tc>
        <w:tc>
          <w:tcPr>
            <w:tcW w:w="1077" w:type="pct"/>
          </w:tcPr>
          <w:p w:rsidR="00A162FE" w:rsidRPr="009E2709" w:rsidRDefault="00A162FE" w:rsidP="005D73DE">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673" w:type="pct"/>
          </w:tcPr>
          <w:tbl>
            <w:tblPr>
              <w:tblW w:w="5000" w:type="pct"/>
              <w:tblCellSpacing w:w="0" w:type="dxa"/>
              <w:tblCellMar>
                <w:left w:w="0" w:type="dxa"/>
                <w:right w:w="0" w:type="dxa"/>
              </w:tblCellMar>
              <w:tblLook w:val="04A0" w:firstRow="1" w:lastRow="0" w:firstColumn="1" w:lastColumn="0" w:noHBand="0" w:noVBand="1"/>
            </w:tblPr>
            <w:tblGrid>
              <w:gridCol w:w="6643"/>
              <w:gridCol w:w="6"/>
            </w:tblGrid>
            <w:tr w:rsidR="00FF7610" w:rsidRPr="00EF4B0E" w:rsidTr="00FF7610">
              <w:trPr>
                <w:tblCellSpacing w:w="0" w:type="dxa"/>
              </w:trPr>
              <w:tc>
                <w:tcPr>
                  <w:tcW w:w="0" w:type="auto"/>
                  <w:hideMark/>
                </w:tcPr>
                <w:p w:rsidR="008B4887" w:rsidRPr="008B4887" w:rsidRDefault="008B4887" w:rsidP="008B4887">
                  <w:pPr>
                    <w:jc w:val="both"/>
                    <w:rPr>
                      <w:bCs/>
                      <w:lang w:val="lv-LV"/>
                    </w:rPr>
                  </w:pPr>
                  <w:r w:rsidRPr="008B4887">
                    <w:rPr>
                      <w:bCs/>
                      <w:lang w:val="lv-LV"/>
                    </w:rPr>
                    <w:t>Patlaban ir spēkā Ministru kabineta 2012.</w:t>
                  </w:r>
                  <w:r>
                    <w:rPr>
                      <w:bCs/>
                      <w:lang w:val="lv-LV"/>
                    </w:rPr>
                    <w:t xml:space="preserve"> </w:t>
                  </w:r>
                  <w:r w:rsidRPr="008B4887">
                    <w:rPr>
                      <w:bCs/>
                      <w:lang w:val="lv-LV"/>
                    </w:rPr>
                    <w:t>gada 17.</w:t>
                  </w:r>
                  <w:r>
                    <w:rPr>
                      <w:bCs/>
                      <w:lang w:val="lv-LV"/>
                    </w:rPr>
                    <w:t xml:space="preserve"> </w:t>
                  </w:r>
                  <w:r w:rsidRPr="008B4887">
                    <w:rPr>
                      <w:bCs/>
                      <w:lang w:val="lv-LV"/>
                    </w:rPr>
                    <w:t>aprīļa noteikumi Nr.274 „Kārtība, kādā atzīst uzņēmumus un iekārtas un reģistrē personas, kas iesaistītas tādu dzīvnieku izcelsmes blakusproduktu un atvasinātu produktu apritē, kas nav paredzēti cilvēku patēriņam” (turpmāk – noteikumi Nr.274), k</w:t>
                  </w:r>
                  <w:r w:rsidR="00467902">
                    <w:rPr>
                      <w:bCs/>
                      <w:lang w:val="lv-LV"/>
                    </w:rPr>
                    <w:t>uri</w:t>
                  </w:r>
                  <w:r w:rsidRPr="008B4887">
                    <w:rPr>
                      <w:bCs/>
                      <w:lang w:val="lv-LV"/>
                    </w:rPr>
                    <w:t xml:space="preserve"> izdot</w:t>
                  </w:r>
                  <w:r w:rsidR="00FF5225">
                    <w:rPr>
                      <w:bCs/>
                      <w:lang w:val="lv-LV"/>
                    </w:rPr>
                    <w:t>i</w:t>
                  </w:r>
                  <w:r w:rsidRPr="008B4887">
                    <w:rPr>
                      <w:bCs/>
                      <w:lang w:val="lv-LV"/>
                    </w:rPr>
                    <w:t xml:space="preserve">, lai piemērotu prasības, kas noteiktas šādās regulās: </w:t>
                  </w:r>
                </w:p>
                <w:p w:rsidR="008B4887" w:rsidRPr="008B4887" w:rsidRDefault="008B4887" w:rsidP="008B4887">
                  <w:pPr>
                    <w:jc w:val="both"/>
                    <w:rPr>
                      <w:bCs/>
                      <w:lang w:val="lv-LV"/>
                    </w:rPr>
                  </w:pPr>
                  <w:r w:rsidRPr="008B4887">
                    <w:rPr>
                      <w:bCs/>
                      <w:lang w:val="lv-LV"/>
                    </w:rPr>
                    <w:t>1) Eiropas Parlamenta un Padomes 2009.</w:t>
                  </w:r>
                  <w:r>
                    <w:rPr>
                      <w:bCs/>
                      <w:lang w:val="lv-LV"/>
                    </w:rPr>
                    <w:t xml:space="preserve"> </w:t>
                  </w:r>
                  <w:r w:rsidRPr="008B4887">
                    <w:rPr>
                      <w:bCs/>
                      <w:lang w:val="lv-LV"/>
                    </w:rPr>
                    <w:t>gada 21.</w:t>
                  </w:r>
                  <w:r>
                    <w:rPr>
                      <w:bCs/>
                      <w:lang w:val="lv-LV"/>
                    </w:rPr>
                    <w:t xml:space="preserve"> </w:t>
                  </w:r>
                  <w:r w:rsidRPr="008B4887">
                    <w:rPr>
                      <w:bCs/>
                      <w:lang w:val="lv-LV"/>
                    </w:rPr>
                    <w:t>oktobra Regul</w:t>
                  </w:r>
                  <w:r w:rsidR="00467902">
                    <w:rPr>
                      <w:bCs/>
                      <w:lang w:val="lv-LV"/>
                    </w:rPr>
                    <w:t>ā</w:t>
                  </w:r>
                  <w:r w:rsidRPr="008B4887">
                    <w:rPr>
                      <w:bCs/>
                      <w:lang w:val="lv-LV"/>
                    </w:rPr>
                    <w:t xml:space="preserve"> (EK) Nr.1069/2009, ar ko nosaka veselības aizsardzības noteikumus attiecībā uz dzīvnieku izcelsmes blakusproduktiem un atvasinātajiem produktiem, kuri nav paredzēti cilvēku patēriņam, un ar ko atceļ Regulu (EK) Nr.1774/2002 (turpmāk – Regula Nr.1069/2009);</w:t>
                  </w:r>
                </w:p>
                <w:p w:rsidR="008B4887" w:rsidRDefault="008B4887" w:rsidP="008B4887">
                  <w:pPr>
                    <w:jc w:val="both"/>
                    <w:rPr>
                      <w:bCs/>
                      <w:lang w:val="lv-LV"/>
                    </w:rPr>
                  </w:pPr>
                  <w:r w:rsidRPr="008B4887">
                    <w:rPr>
                      <w:bCs/>
                      <w:lang w:val="lv-LV"/>
                    </w:rPr>
                    <w:t>2) Eiropas Komisijas 2011.</w:t>
                  </w:r>
                  <w:r>
                    <w:rPr>
                      <w:bCs/>
                      <w:lang w:val="lv-LV"/>
                    </w:rPr>
                    <w:t xml:space="preserve"> </w:t>
                  </w:r>
                  <w:r w:rsidRPr="008B4887">
                    <w:rPr>
                      <w:bCs/>
                      <w:lang w:val="lv-LV"/>
                    </w:rPr>
                    <w:t>gada 25.</w:t>
                  </w:r>
                  <w:r>
                    <w:rPr>
                      <w:bCs/>
                      <w:lang w:val="lv-LV"/>
                    </w:rPr>
                    <w:t xml:space="preserve"> </w:t>
                  </w:r>
                  <w:r w:rsidRPr="008B4887">
                    <w:rPr>
                      <w:bCs/>
                      <w:lang w:val="lv-LV"/>
                    </w:rPr>
                    <w:t>februāra Regul</w:t>
                  </w:r>
                  <w:r w:rsidR="00467902">
                    <w:rPr>
                      <w:bCs/>
                      <w:lang w:val="lv-LV"/>
                    </w:rPr>
                    <w:t>ā</w:t>
                  </w:r>
                  <w:r w:rsidRPr="008B4887">
                    <w:rPr>
                      <w:bCs/>
                      <w:lang w:val="lv-LV"/>
                    </w:rPr>
                    <w:t xml:space="preserve"> (EK)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w:t>
                  </w:r>
                </w:p>
                <w:p w:rsidR="004B1002" w:rsidRDefault="00F57948" w:rsidP="00F57948">
                  <w:pPr>
                    <w:jc w:val="both"/>
                    <w:rPr>
                      <w:bCs/>
                      <w:lang w:val="lv-LV"/>
                    </w:rPr>
                  </w:pPr>
                  <w:r>
                    <w:rPr>
                      <w:bCs/>
                      <w:lang w:val="lv-LV"/>
                    </w:rPr>
                    <w:t>Noteikumos Nr.274 ir noteikt</w:t>
                  </w:r>
                  <w:r w:rsidR="00BE7D3C">
                    <w:rPr>
                      <w:bCs/>
                      <w:lang w:val="lv-LV"/>
                    </w:rPr>
                    <w:t>s</w:t>
                  </w:r>
                  <w:r>
                    <w:rPr>
                      <w:bCs/>
                      <w:lang w:val="lv-LV"/>
                    </w:rPr>
                    <w:t xml:space="preserve"> termiņ</w:t>
                  </w:r>
                  <w:r w:rsidR="00BE7D3C">
                    <w:rPr>
                      <w:bCs/>
                      <w:lang w:val="lv-LV"/>
                    </w:rPr>
                    <w:t>š</w:t>
                  </w:r>
                  <w:r>
                    <w:rPr>
                      <w:bCs/>
                      <w:lang w:val="lv-LV"/>
                    </w:rPr>
                    <w:t xml:space="preserve"> </w:t>
                  </w:r>
                  <w:r w:rsidRPr="00F57948">
                    <w:rPr>
                      <w:bCs/>
                      <w:lang w:val="lv-LV"/>
                    </w:rPr>
                    <w:t>blakusproduktu apritē iesaistītā</w:t>
                  </w:r>
                  <w:r>
                    <w:rPr>
                      <w:bCs/>
                      <w:lang w:val="lv-LV"/>
                    </w:rPr>
                    <w:t>s</w:t>
                  </w:r>
                  <w:r w:rsidRPr="00F57948">
                    <w:rPr>
                      <w:bCs/>
                      <w:lang w:val="lv-LV"/>
                    </w:rPr>
                    <w:t xml:space="preserve"> persona</w:t>
                  </w:r>
                  <w:r>
                    <w:rPr>
                      <w:bCs/>
                      <w:lang w:val="lv-LV"/>
                    </w:rPr>
                    <w:t>s</w:t>
                  </w:r>
                  <w:r w:rsidRPr="00F57948">
                    <w:rPr>
                      <w:bCs/>
                      <w:lang w:val="lv-LV"/>
                    </w:rPr>
                    <w:t xml:space="preserve"> </w:t>
                  </w:r>
                  <w:r>
                    <w:rPr>
                      <w:bCs/>
                      <w:lang w:val="lv-LV"/>
                    </w:rPr>
                    <w:t>iesnieguma izskatīšanai (</w:t>
                  </w:r>
                  <w:r w:rsidR="00467902">
                    <w:rPr>
                      <w:bCs/>
                      <w:lang w:val="lv-LV"/>
                    </w:rPr>
                    <w:t>piecas</w:t>
                  </w:r>
                  <w:r w:rsidRPr="00F57948">
                    <w:rPr>
                      <w:bCs/>
                      <w:lang w:val="lv-LV"/>
                    </w:rPr>
                    <w:t xml:space="preserve"> darbdien</w:t>
                  </w:r>
                  <w:r>
                    <w:rPr>
                      <w:bCs/>
                      <w:lang w:val="lv-LV"/>
                    </w:rPr>
                    <w:t>as), u</w:t>
                  </w:r>
                  <w:r w:rsidRPr="00F57948">
                    <w:rPr>
                      <w:bCs/>
                      <w:lang w:val="lv-LV"/>
                    </w:rPr>
                    <w:t>zņēmuma atzīšanas proces</w:t>
                  </w:r>
                  <w:r>
                    <w:rPr>
                      <w:bCs/>
                      <w:lang w:val="lv-LV"/>
                    </w:rPr>
                    <w:t>a</w:t>
                  </w:r>
                  <w:r w:rsidRPr="00F57948">
                    <w:rPr>
                      <w:bCs/>
                      <w:lang w:val="lv-LV"/>
                    </w:rPr>
                    <w:t xml:space="preserve"> </w:t>
                  </w:r>
                  <w:r>
                    <w:rPr>
                      <w:bCs/>
                      <w:lang w:val="lv-LV"/>
                    </w:rPr>
                    <w:t>uz</w:t>
                  </w:r>
                  <w:r w:rsidRPr="00F57948">
                    <w:rPr>
                      <w:bCs/>
                      <w:lang w:val="lv-LV"/>
                    </w:rPr>
                    <w:t>sāk</w:t>
                  </w:r>
                  <w:r>
                    <w:rPr>
                      <w:bCs/>
                      <w:lang w:val="lv-LV"/>
                    </w:rPr>
                    <w:t>šanai</w:t>
                  </w:r>
                  <w:r w:rsidRPr="00F57948">
                    <w:rPr>
                      <w:bCs/>
                      <w:lang w:val="lv-LV"/>
                    </w:rPr>
                    <w:t xml:space="preserve"> </w:t>
                  </w:r>
                  <w:r>
                    <w:rPr>
                      <w:bCs/>
                      <w:lang w:val="lv-LV"/>
                    </w:rPr>
                    <w:t>(</w:t>
                  </w:r>
                  <w:r w:rsidRPr="00F57948">
                    <w:rPr>
                      <w:bCs/>
                      <w:lang w:val="lv-LV"/>
                    </w:rPr>
                    <w:t>20 dien</w:t>
                  </w:r>
                  <w:r>
                    <w:rPr>
                      <w:bCs/>
                      <w:lang w:val="lv-LV"/>
                    </w:rPr>
                    <w:t>as),</w:t>
                  </w:r>
                  <w:r w:rsidRPr="00F57948">
                    <w:rPr>
                      <w:bCs/>
                      <w:lang w:val="lv-LV"/>
                    </w:rPr>
                    <w:t xml:space="preserve"> lēmum</w:t>
                  </w:r>
                  <w:r>
                    <w:rPr>
                      <w:bCs/>
                      <w:lang w:val="lv-LV"/>
                    </w:rPr>
                    <w:t>a</w:t>
                  </w:r>
                  <w:r w:rsidRPr="00F57948">
                    <w:rPr>
                      <w:bCs/>
                      <w:lang w:val="lv-LV"/>
                    </w:rPr>
                    <w:t xml:space="preserve"> </w:t>
                  </w:r>
                  <w:r>
                    <w:rPr>
                      <w:bCs/>
                      <w:lang w:val="lv-LV"/>
                    </w:rPr>
                    <w:t>pieņemšanai pēc uzņēmuma</w:t>
                  </w:r>
                  <w:r w:rsidRPr="00F57948">
                    <w:rPr>
                      <w:bCs/>
                      <w:lang w:val="lv-LV"/>
                    </w:rPr>
                    <w:t xml:space="preserve"> pārbaudes </w:t>
                  </w:r>
                  <w:r>
                    <w:rPr>
                      <w:bCs/>
                      <w:lang w:val="lv-LV"/>
                    </w:rPr>
                    <w:t>(</w:t>
                  </w:r>
                  <w:r w:rsidR="00467902">
                    <w:rPr>
                      <w:bCs/>
                      <w:lang w:val="lv-LV"/>
                    </w:rPr>
                    <w:t>piecas</w:t>
                  </w:r>
                  <w:r w:rsidRPr="00F57948">
                    <w:rPr>
                      <w:bCs/>
                      <w:lang w:val="lv-LV"/>
                    </w:rPr>
                    <w:t xml:space="preserve"> darbdien</w:t>
                  </w:r>
                  <w:r>
                    <w:rPr>
                      <w:bCs/>
                      <w:lang w:val="lv-LV"/>
                    </w:rPr>
                    <w:t>as), bet nav noteikts termiņš</w:t>
                  </w:r>
                  <w:r w:rsidR="006A43F4">
                    <w:rPr>
                      <w:bCs/>
                      <w:lang w:val="lv-LV"/>
                    </w:rPr>
                    <w:t>,</w:t>
                  </w:r>
                  <w:r>
                    <w:rPr>
                      <w:bCs/>
                      <w:lang w:val="lv-LV"/>
                    </w:rPr>
                    <w:t xml:space="preserve"> cik ilgā laikā </w:t>
                  </w:r>
                  <w:r w:rsidRPr="00F57948">
                    <w:rPr>
                      <w:bCs/>
                      <w:lang w:val="lv-LV"/>
                    </w:rPr>
                    <w:t xml:space="preserve">Pārtikas un veterinārais dienests (turpmāk – PVD) </w:t>
                  </w:r>
                  <w:r w:rsidR="00467902">
                    <w:rPr>
                      <w:bCs/>
                      <w:lang w:val="lv-LV"/>
                    </w:rPr>
                    <w:t>savu pieņemto lēmumu</w:t>
                  </w:r>
                  <w:r w:rsidR="00467902" w:rsidRPr="00F57948">
                    <w:rPr>
                      <w:bCs/>
                      <w:lang w:val="lv-LV"/>
                    </w:rPr>
                    <w:t xml:space="preserve"> </w:t>
                  </w:r>
                  <w:r w:rsidRPr="00F57948">
                    <w:rPr>
                      <w:bCs/>
                      <w:lang w:val="lv-LV"/>
                    </w:rPr>
                    <w:t>paziņo uzņēmumam</w:t>
                  </w:r>
                  <w:r>
                    <w:rPr>
                      <w:bCs/>
                      <w:lang w:val="lv-LV"/>
                    </w:rPr>
                    <w:t xml:space="preserve">. </w:t>
                  </w:r>
                </w:p>
                <w:p w:rsidR="00F57948" w:rsidRPr="000E54AA" w:rsidRDefault="004B1002" w:rsidP="00F57948">
                  <w:pPr>
                    <w:jc w:val="both"/>
                    <w:rPr>
                      <w:bCs/>
                      <w:lang w:val="lv-LV"/>
                    </w:rPr>
                  </w:pPr>
                  <w:r>
                    <w:rPr>
                      <w:bCs/>
                      <w:lang w:val="lv-LV"/>
                    </w:rPr>
                    <w:t xml:space="preserve">Tāpēc </w:t>
                  </w:r>
                  <w:r w:rsidRPr="004B1002">
                    <w:rPr>
                      <w:bCs/>
                      <w:lang w:val="lv-LV"/>
                    </w:rPr>
                    <w:t>noteikumi Nr.274 jāpapildina 7.</w:t>
                  </w:r>
                  <w:r w:rsidRPr="004B1002">
                    <w:rPr>
                      <w:bCs/>
                      <w:vertAlign w:val="superscript"/>
                      <w:lang w:val="lv-LV"/>
                    </w:rPr>
                    <w:t>1</w:t>
                  </w:r>
                  <w:r w:rsidRPr="004B1002">
                    <w:rPr>
                      <w:bCs/>
                      <w:lang w:val="lv-LV"/>
                    </w:rPr>
                    <w:t xml:space="preserve"> </w:t>
                  </w:r>
                  <w:r>
                    <w:rPr>
                      <w:bCs/>
                      <w:lang w:val="lv-LV"/>
                    </w:rPr>
                    <w:t xml:space="preserve">punktu, </w:t>
                  </w:r>
                  <w:r w:rsidR="00467902">
                    <w:rPr>
                      <w:bCs/>
                      <w:lang w:val="lv-LV"/>
                    </w:rPr>
                    <w:t>lai</w:t>
                  </w:r>
                  <w:r>
                    <w:rPr>
                      <w:bCs/>
                      <w:lang w:val="lv-LV"/>
                    </w:rPr>
                    <w:t xml:space="preserve"> no</w:t>
                  </w:r>
                  <w:r w:rsidR="007937F3">
                    <w:rPr>
                      <w:bCs/>
                      <w:lang w:val="lv-LV"/>
                    </w:rPr>
                    <w:t>teiktu</w:t>
                  </w:r>
                  <w:r>
                    <w:rPr>
                      <w:bCs/>
                      <w:lang w:val="lv-LV"/>
                    </w:rPr>
                    <w:t xml:space="preserve">, ka </w:t>
                  </w:r>
                  <w:r w:rsidRPr="004B1002">
                    <w:rPr>
                      <w:bCs/>
                      <w:lang w:val="lv-LV"/>
                    </w:rPr>
                    <w:t>noteikum</w:t>
                  </w:r>
                  <w:r w:rsidR="007937F3">
                    <w:rPr>
                      <w:bCs/>
                      <w:lang w:val="lv-LV"/>
                    </w:rPr>
                    <w:t>u</w:t>
                  </w:r>
                  <w:r>
                    <w:rPr>
                      <w:bCs/>
                      <w:lang w:val="lv-LV"/>
                    </w:rPr>
                    <w:t xml:space="preserve"> Nr.274</w:t>
                  </w:r>
                  <w:r w:rsidRPr="004B1002">
                    <w:rPr>
                      <w:bCs/>
                      <w:lang w:val="lv-LV"/>
                    </w:rPr>
                    <w:t xml:space="preserve"> 7.punktā minētos lēmumus </w:t>
                  </w:r>
                  <w:r w:rsidR="00EE4CE8" w:rsidRPr="004B1002">
                    <w:rPr>
                      <w:bCs/>
                      <w:lang w:val="lv-LV"/>
                    </w:rPr>
                    <w:t xml:space="preserve">saskaņā ar </w:t>
                  </w:r>
                  <w:r w:rsidR="00EE4CE8">
                    <w:rPr>
                      <w:bCs/>
                      <w:lang w:val="lv-LV"/>
                    </w:rPr>
                    <w:t xml:space="preserve">Paziņošanas likumā </w:t>
                  </w:r>
                  <w:r w:rsidR="00EE4CE8" w:rsidRPr="004B1002">
                    <w:rPr>
                      <w:bCs/>
                      <w:lang w:val="lv-LV"/>
                    </w:rPr>
                    <w:t>noteikto kārtību</w:t>
                  </w:r>
                  <w:r w:rsidR="00EE4CE8">
                    <w:rPr>
                      <w:bCs/>
                      <w:lang w:val="lv-LV"/>
                    </w:rPr>
                    <w:t xml:space="preserve"> </w:t>
                  </w:r>
                  <w:r>
                    <w:rPr>
                      <w:bCs/>
                      <w:lang w:val="lv-LV"/>
                    </w:rPr>
                    <w:t>PVD</w:t>
                  </w:r>
                  <w:r w:rsidRPr="004B1002">
                    <w:rPr>
                      <w:bCs/>
                      <w:lang w:val="lv-LV"/>
                    </w:rPr>
                    <w:t xml:space="preserve"> </w:t>
                  </w:r>
                  <w:r w:rsidR="00464332" w:rsidRPr="000E54AA">
                    <w:rPr>
                      <w:bCs/>
                      <w:lang w:val="lv-LV"/>
                    </w:rPr>
                    <w:t xml:space="preserve">uzņēmumam </w:t>
                  </w:r>
                  <w:r w:rsidRPr="000E54AA">
                    <w:rPr>
                      <w:bCs/>
                      <w:lang w:val="lv-LV"/>
                    </w:rPr>
                    <w:t xml:space="preserve">paziņo </w:t>
                  </w:r>
                  <w:r w:rsidR="00261268" w:rsidRPr="000E54AA">
                    <w:rPr>
                      <w:bCs/>
                      <w:lang w:val="lv-LV"/>
                    </w:rPr>
                    <w:t>vienas</w:t>
                  </w:r>
                  <w:r w:rsidR="00EE4CE8" w:rsidRPr="000E54AA">
                    <w:rPr>
                      <w:bCs/>
                      <w:lang w:val="lv-LV"/>
                    </w:rPr>
                    <w:t xml:space="preserve"> darbdien</w:t>
                  </w:r>
                  <w:r w:rsidR="00261268" w:rsidRPr="000E54AA">
                    <w:rPr>
                      <w:bCs/>
                      <w:lang w:val="lv-LV"/>
                    </w:rPr>
                    <w:t>as</w:t>
                  </w:r>
                  <w:r w:rsidR="00EE4CE8" w:rsidRPr="000E54AA">
                    <w:rPr>
                      <w:bCs/>
                      <w:lang w:val="lv-LV"/>
                    </w:rPr>
                    <w:t xml:space="preserve"> laikā</w:t>
                  </w:r>
                  <w:r w:rsidRPr="000E54AA">
                    <w:rPr>
                      <w:bCs/>
                      <w:lang w:val="lv-LV"/>
                    </w:rPr>
                    <w:t>.</w:t>
                  </w:r>
                </w:p>
                <w:p w:rsidR="008B4887" w:rsidRDefault="008B4887" w:rsidP="008B4887">
                  <w:pPr>
                    <w:jc w:val="both"/>
                    <w:rPr>
                      <w:bCs/>
                      <w:lang w:val="lv-LV"/>
                    </w:rPr>
                  </w:pPr>
                  <w:r w:rsidRPr="008B4887">
                    <w:rPr>
                      <w:bCs/>
                      <w:lang w:val="lv-LV"/>
                    </w:rPr>
                    <w:t>Tā kā PVD blakusproduktu apritē iesaistītās personas reģistrē uzraudzības objektu reģistrā</w:t>
                  </w:r>
                  <w:r w:rsidR="00925390">
                    <w:rPr>
                      <w:bCs/>
                      <w:lang w:val="lv-LV"/>
                    </w:rPr>
                    <w:t xml:space="preserve"> un </w:t>
                  </w:r>
                  <w:r w:rsidR="00467902">
                    <w:rPr>
                      <w:bCs/>
                      <w:lang w:val="lv-LV"/>
                    </w:rPr>
                    <w:t>izdara tajā</w:t>
                  </w:r>
                  <w:r w:rsidR="00925390">
                    <w:rPr>
                      <w:bCs/>
                      <w:lang w:val="lv-LV"/>
                    </w:rPr>
                    <w:t xml:space="preserve"> izmaiņas</w:t>
                  </w:r>
                  <w:r w:rsidRPr="008B4887">
                    <w:rPr>
                      <w:bCs/>
                      <w:lang w:val="lv-LV"/>
                    </w:rPr>
                    <w:t xml:space="preserve">, pamatojoties uz </w:t>
                  </w:r>
                  <w:r w:rsidRPr="000E54AA">
                    <w:rPr>
                      <w:bCs/>
                      <w:lang w:val="lv-LV"/>
                    </w:rPr>
                    <w:t xml:space="preserve">iesniegtajiem datiem, </w:t>
                  </w:r>
                  <w:r w:rsidR="00467902" w:rsidRPr="000E54AA">
                    <w:rPr>
                      <w:bCs/>
                      <w:lang w:val="lv-LV"/>
                    </w:rPr>
                    <w:t>bez</w:t>
                  </w:r>
                  <w:r w:rsidRPr="000E54AA">
                    <w:rPr>
                      <w:bCs/>
                      <w:lang w:val="lv-LV"/>
                    </w:rPr>
                    <w:t xml:space="preserve"> pārbaud</w:t>
                  </w:r>
                  <w:r w:rsidR="00467902" w:rsidRPr="000E54AA">
                    <w:rPr>
                      <w:bCs/>
                      <w:lang w:val="lv-LV"/>
                    </w:rPr>
                    <w:t>es</w:t>
                  </w:r>
                  <w:r w:rsidR="00BE7A75" w:rsidRPr="000E54AA">
                    <w:rPr>
                      <w:bCs/>
                      <w:lang w:val="lv-LV"/>
                    </w:rPr>
                    <w:t xml:space="preserve"> objektā</w:t>
                  </w:r>
                  <w:r w:rsidRPr="000E54AA">
                    <w:rPr>
                      <w:bCs/>
                      <w:lang w:val="lv-LV"/>
                    </w:rPr>
                    <w:t xml:space="preserve">, reģistrācijas process atbilst Brīvas pakalpojuma sniegšanas likuma 14. </w:t>
                  </w:r>
                  <w:r w:rsidR="00261268" w:rsidRPr="000E54AA">
                    <w:rPr>
                      <w:bCs/>
                      <w:lang w:val="lv-LV"/>
                    </w:rPr>
                    <w:t>p</w:t>
                  </w:r>
                  <w:r w:rsidRPr="000E54AA">
                    <w:rPr>
                      <w:bCs/>
                      <w:lang w:val="lv-LV"/>
                    </w:rPr>
                    <w:t>ant</w:t>
                  </w:r>
                  <w:r w:rsidR="00261268" w:rsidRPr="000E54AA">
                    <w:rPr>
                      <w:bCs/>
                      <w:lang w:val="lv-LV"/>
                    </w:rPr>
                    <w:t>a sestajā daļ</w:t>
                  </w:r>
                  <w:r w:rsidRPr="000E54AA">
                    <w:rPr>
                      <w:bCs/>
                      <w:lang w:val="lv-LV"/>
                    </w:rPr>
                    <w:t xml:space="preserve">ā </w:t>
                  </w:r>
                  <w:r w:rsidR="00467902" w:rsidRPr="000E54AA">
                    <w:rPr>
                      <w:bCs/>
                      <w:lang w:val="lv-LV"/>
                    </w:rPr>
                    <w:t>paredz</w:t>
                  </w:r>
                  <w:r w:rsidRPr="000E54AA">
                    <w:rPr>
                      <w:bCs/>
                      <w:lang w:val="lv-LV"/>
                    </w:rPr>
                    <w:t>ētajai noklusējuma piemērošanai</w:t>
                  </w:r>
                  <w:r w:rsidR="00467902" w:rsidRPr="000E54AA">
                    <w:rPr>
                      <w:bCs/>
                      <w:lang w:val="lv-LV"/>
                    </w:rPr>
                    <w:t>,</w:t>
                  </w:r>
                  <w:r w:rsidRPr="000E54AA">
                    <w:rPr>
                      <w:bCs/>
                      <w:lang w:val="lv-LV"/>
                    </w:rPr>
                    <w:t xml:space="preserve"> </w:t>
                  </w:r>
                  <w:r w:rsidR="00467902" w:rsidRPr="000E54AA">
                    <w:rPr>
                      <w:bCs/>
                      <w:lang w:val="lv-LV"/>
                    </w:rPr>
                    <w:t>t</w:t>
                  </w:r>
                  <w:r w:rsidRPr="000E54AA">
                    <w:rPr>
                      <w:bCs/>
                      <w:lang w:val="lv-LV"/>
                    </w:rPr>
                    <w:t>āpēc noteikumi Nr.274 tiek papildināti</w:t>
                  </w:r>
                  <w:r w:rsidRPr="008B4887">
                    <w:rPr>
                      <w:bCs/>
                      <w:lang w:val="lv-LV"/>
                    </w:rPr>
                    <w:t xml:space="preserve"> ar jaunu </w:t>
                  </w:r>
                  <w:r>
                    <w:rPr>
                      <w:bCs/>
                      <w:lang w:val="lv-LV"/>
                    </w:rPr>
                    <w:t>30</w:t>
                  </w:r>
                  <w:r w:rsidRPr="008B4887">
                    <w:rPr>
                      <w:bCs/>
                      <w:lang w:val="lv-LV"/>
                    </w:rPr>
                    <w:t>.</w:t>
                  </w:r>
                  <w:r w:rsidRPr="008B4887">
                    <w:rPr>
                      <w:bCs/>
                      <w:vertAlign w:val="superscript"/>
                      <w:lang w:val="lv-LV"/>
                    </w:rPr>
                    <w:t>1</w:t>
                  </w:r>
                  <w:r w:rsidRPr="008B4887">
                    <w:rPr>
                      <w:bCs/>
                      <w:lang w:val="lv-LV"/>
                    </w:rPr>
                    <w:t xml:space="preserve"> punktu par blakusproduktu apritē iesaistītās personas reģistrēšanu</w:t>
                  </w:r>
                  <w:r w:rsidR="00BE7A75">
                    <w:rPr>
                      <w:bCs/>
                      <w:lang w:val="lv-LV"/>
                    </w:rPr>
                    <w:t>,</w:t>
                  </w:r>
                  <w:r w:rsidRPr="008B4887">
                    <w:rPr>
                      <w:bCs/>
                      <w:lang w:val="lv-LV"/>
                    </w:rPr>
                    <w:t xml:space="preserve"> piemērojot noklusējumu.</w:t>
                  </w:r>
                  <w:r w:rsidR="00464332">
                    <w:rPr>
                      <w:bCs/>
                      <w:lang w:val="lv-LV"/>
                    </w:rPr>
                    <w:t xml:space="preserve"> </w:t>
                  </w:r>
                </w:p>
                <w:p w:rsidR="00464332" w:rsidRDefault="00464332" w:rsidP="00BC489B">
                  <w:pPr>
                    <w:jc w:val="both"/>
                    <w:rPr>
                      <w:bCs/>
                      <w:lang w:val="lv-LV"/>
                    </w:rPr>
                  </w:pPr>
                  <w:r w:rsidRPr="00464332">
                    <w:rPr>
                      <w:bCs/>
                      <w:lang w:val="lv-LV"/>
                    </w:rPr>
                    <w:t>Eiropas Pārtikas nekaitīguma iestāde</w:t>
                  </w:r>
                  <w:r>
                    <w:rPr>
                      <w:bCs/>
                      <w:lang w:val="lv-LV"/>
                    </w:rPr>
                    <w:t xml:space="preserve"> (</w:t>
                  </w:r>
                  <w:r w:rsidRPr="009B54FD">
                    <w:rPr>
                      <w:bCs/>
                      <w:i/>
                      <w:lang w:val="lv-LV"/>
                    </w:rPr>
                    <w:t>EFSA</w:t>
                  </w:r>
                  <w:r>
                    <w:rPr>
                      <w:bCs/>
                      <w:lang w:val="lv-LV"/>
                    </w:rPr>
                    <w:t>)</w:t>
                  </w:r>
                  <w:r w:rsidRPr="00464332">
                    <w:rPr>
                      <w:bCs/>
                      <w:lang w:val="lv-LV"/>
                    </w:rPr>
                    <w:t xml:space="preserve"> 2010.</w:t>
                  </w:r>
                  <w:r w:rsidR="002E125A">
                    <w:rPr>
                      <w:bCs/>
                      <w:lang w:val="lv-LV"/>
                    </w:rPr>
                    <w:t> </w:t>
                  </w:r>
                  <w:r w:rsidRPr="00464332">
                    <w:rPr>
                      <w:bCs/>
                      <w:lang w:val="lv-LV"/>
                    </w:rPr>
                    <w:t>gada 30.</w:t>
                  </w:r>
                  <w:r w:rsidR="002E125A">
                    <w:rPr>
                      <w:bCs/>
                      <w:lang w:val="lv-LV"/>
                    </w:rPr>
                    <w:t> </w:t>
                  </w:r>
                  <w:r w:rsidRPr="00464332">
                    <w:rPr>
                      <w:bCs/>
                      <w:lang w:val="lv-LV"/>
                    </w:rPr>
                    <w:t xml:space="preserve">novembra atzinumā </w:t>
                  </w:r>
                  <w:r>
                    <w:rPr>
                      <w:bCs/>
                      <w:lang w:val="lv-LV"/>
                    </w:rPr>
                    <w:t>„P</w:t>
                  </w:r>
                  <w:r w:rsidRPr="00464332">
                    <w:rPr>
                      <w:bCs/>
                      <w:lang w:val="lv-LV"/>
                    </w:rPr>
                    <w:t xml:space="preserve">ar abiotiskajiem riskiem sabiedrības un dzīvnieku veselībai, ko izraisa glicerīns kā ražošanas blakusprodukts, ražojot biodīzeļdegvielu no pirmās kategorijas </w:t>
                  </w:r>
                  <w:r w:rsidRPr="00464332">
                    <w:rPr>
                      <w:bCs/>
                      <w:lang w:val="lv-LV"/>
                    </w:rPr>
                    <w:lastRenderedPageBreak/>
                    <w:t>dzīvnieku izcelsmes blakusproduktiem un augu eļļām</w:t>
                  </w:r>
                  <w:r>
                    <w:rPr>
                      <w:bCs/>
                      <w:lang w:val="lv-LV"/>
                    </w:rPr>
                    <w:t>”</w:t>
                  </w:r>
                  <w:r w:rsidR="00467902">
                    <w:rPr>
                      <w:bCs/>
                      <w:lang w:val="lv-LV"/>
                    </w:rPr>
                    <w:t xml:space="preserve"> ir</w:t>
                  </w:r>
                  <w:r w:rsidRPr="00464332">
                    <w:rPr>
                      <w:bCs/>
                      <w:lang w:val="lv-LV"/>
                    </w:rPr>
                    <w:t xml:space="preserve"> atzin</w:t>
                  </w:r>
                  <w:r w:rsidR="00467902">
                    <w:rPr>
                      <w:bCs/>
                      <w:lang w:val="lv-LV"/>
                    </w:rPr>
                    <w:t>usi</w:t>
                  </w:r>
                  <w:r w:rsidRPr="00464332">
                    <w:rPr>
                      <w:bCs/>
                      <w:lang w:val="lv-LV"/>
                    </w:rPr>
                    <w:t>, ka glicerīns, kas pārstrādāts ar Regulas Nr. 142/2011 IV pielikuma III</w:t>
                  </w:r>
                  <w:r w:rsidR="00467902">
                    <w:rPr>
                      <w:bCs/>
                      <w:lang w:val="lv-LV"/>
                    </w:rPr>
                    <w:t> </w:t>
                  </w:r>
                  <w:r w:rsidRPr="00464332">
                    <w:rPr>
                      <w:bCs/>
                      <w:lang w:val="lv-LV"/>
                    </w:rPr>
                    <w:t xml:space="preserve">nodaļā minēto 1. metodi, attiecībā uz </w:t>
                  </w:r>
                  <w:r w:rsidR="00B94CCB" w:rsidRPr="00B94CCB">
                    <w:rPr>
                      <w:bCs/>
                      <w:lang w:val="lv-LV"/>
                    </w:rPr>
                    <w:t>transmisīv</w:t>
                  </w:r>
                  <w:r w:rsidR="00B94CCB">
                    <w:rPr>
                      <w:bCs/>
                      <w:lang w:val="lv-LV"/>
                    </w:rPr>
                    <w:t>ās</w:t>
                  </w:r>
                  <w:r w:rsidR="00B94CCB" w:rsidRPr="00B94CCB">
                    <w:rPr>
                      <w:bCs/>
                      <w:lang w:val="lv-LV"/>
                    </w:rPr>
                    <w:t xml:space="preserve"> sūkļveida encefalopātij</w:t>
                  </w:r>
                  <w:r w:rsidR="00B94CCB">
                    <w:rPr>
                      <w:bCs/>
                      <w:lang w:val="lv-LV"/>
                    </w:rPr>
                    <w:t xml:space="preserve">as </w:t>
                  </w:r>
                  <w:r w:rsidRPr="00464332">
                    <w:rPr>
                      <w:bCs/>
                      <w:lang w:val="lv-LV"/>
                    </w:rPr>
                    <w:t>risku ir drošs materiāls biodīzeļdegvielas ražošanai. Glicerīnu kā biodīzeļdegvielas ražošanas blakusproduktu var transformēt biogāzē un fermentācijas atliek</w:t>
                  </w:r>
                  <w:r>
                    <w:rPr>
                      <w:bCs/>
                      <w:lang w:val="lv-LV"/>
                    </w:rPr>
                    <w:t>a</w:t>
                  </w:r>
                  <w:r w:rsidRPr="00464332">
                    <w:rPr>
                      <w:bCs/>
                      <w:lang w:val="lv-LV"/>
                    </w:rPr>
                    <w:t xml:space="preserve">s pēc </w:t>
                  </w:r>
                  <w:r>
                    <w:rPr>
                      <w:bCs/>
                      <w:lang w:val="lv-LV"/>
                    </w:rPr>
                    <w:t xml:space="preserve">šādas </w:t>
                  </w:r>
                  <w:r w:rsidRPr="00464332">
                    <w:rPr>
                      <w:bCs/>
                      <w:lang w:val="lv-LV"/>
                    </w:rPr>
                    <w:t>biogāzes ražošanas un iestrādāt zemē ražotājas dalībvalsts teritorijā, ja netiek radīts risks sabiedrības un dzīvnieku veselībai un ar nosacījumu, ka kompetentā iestāde</w:t>
                  </w:r>
                  <w:r>
                    <w:rPr>
                      <w:bCs/>
                      <w:lang w:val="lv-LV"/>
                    </w:rPr>
                    <w:t xml:space="preserve"> PVD</w:t>
                  </w:r>
                  <w:r w:rsidRPr="00464332">
                    <w:rPr>
                      <w:bCs/>
                      <w:lang w:val="lv-LV"/>
                    </w:rPr>
                    <w:t xml:space="preserve"> ir pieņēmusi attiecīgu lēmumu.</w:t>
                  </w:r>
                  <w:r w:rsidR="002E133F">
                    <w:rPr>
                      <w:bCs/>
                      <w:lang w:val="lv-LV"/>
                    </w:rPr>
                    <w:t xml:space="preserve"> Tāpēc </w:t>
                  </w:r>
                  <w:r w:rsidR="002E133F" w:rsidRPr="002E133F">
                    <w:rPr>
                      <w:bCs/>
                      <w:lang w:val="lv-LV"/>
                    </w:rPr>
                    <w:t>Eiropas Komisijas 2013. gada 14. mart</w:t>
                  </w:r>
                  <w:r w:rsidR="002E133F">
                    <w:rPr>
                      <w:bCs/>
                      <w:lang w:val="lv-LV"/>
                    </w:rPr>
                    <w:t>a</w:t>
                  </w:r>
                  <w:r w:rsidR="002E133F" w:rsidRPr="002E133F">
                    <w:rPr>
                      <w:bCs/>
                      <w:lang w:val="lv-LV"/>
                    </w:rPr>
                    <w:t xml:space="preserve"> Regul</w:t>
                  </w:r>
                  <w:r w:rsidR="002E133F">
                    <w:rPr>
                      <w:bCs/>
                      <w:lang w:val="lv-LV"/>
                    </w:rPr>
                    <w:t>ā</w:t>
                  </w:r>
                  <w:r w:rsidR="002E133F" w:rsidRPr="002E133F">
                    <w:rPr>
                      <w:bCs/>
                      <w:lang w:val="lv-LV"/>
                    </w:rPr>
                    <w:t xml:space="preserve"> (ES) Nr. 294/2013,</w:t>
                  </w:r>
                  <w:r w:rsidR="002E133F">
                    <w:rPr>
                      <w:bCs/>
                      <w:lang w:val="lv-LV"/>
                    </w:rPr>
                    <w:t xml:space="preserve"> </w:t>
                  </w:r>
                  <w:r w:rsidR="002E133F" w:rsidRPr="002E133F">
                    <w:rPr>
                      <w:bCs/>
                      <w:lang w:val="lv-LV"/>
                    </w:rPr>
                    <w:t>ar ko groza Regulu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467902">
                    <w:rPr>
                      <w:bCs/>
                      <w:lang w:val="lv-LV"/>
                    </w:rPr>
                    <w:t>,</w:t>
                  </w:r>
                  <w:r w:rsidR="002E133F">
                    <w:rPr>
                      <w:bCs/>
                      <w:lang w:val="lv-LV"/>
                    </w:rPr>
                    <w:t xml:space="preserve"> (turpmāk – Regula Nr.294/2013)</w:t>
                  </w:r>
                  <w:r w:rsidR="00BC489B">
                    <w:rPr>
                      <w:bCs/>
                      <w:lang w:val="lv-LV"/>
                    </w:rPr>
                    <w:t xml:space="preserve"> ir noteikts, ka </w:t>
                  </w:r>
                  <w:r w:rsidR="00B94CCB" w:rsidRPr="00BC489B">
                    <w:rPr>
                      <w:bCs/>
                      <w:lang w:val="lv-LV"/>
                    </w:rPr>
                    <w:t>no pirmās un otrās kategorijas materiāla, kas pārstrādāts ar 1. pārstrādes metodi</w:t>
                  </w:r>
                  <w:r w:rsidR="00B94CCB">
                    <w:rPr>
                      <w:bCs/>
                      <w:lang w:val="lv-LV"/>
                    </w:rPr>
                    <w:t xml:space="preserve"> (</w:t>
                  </w:r>
                  <w:r w:rsidR="00B94CCB" w:rsidRPr="00B94CCB">
                    <w:rPr>
                      <w:bCs/>
                      <w:lang w:val="lv-LV"/>
                    </w:rPr>
                    <w:t>sterilizācij</w:t>
                  </w:r>
                  <w:r w:rsidR="00B94CCB">
                    <w:rPr>
                      <w:bCs/>
                      <w:lang w:val="lv-LV"/>
                    </w:rPr>
                    <w:t>a</w:t>
                  </w:r>
                  <w:r w:rsidR="00B94CCB" w:rsidRPr="00B94CCB">
                    <w:rPr>
                      <w:bCs/>
                      <w:lang w:val="lv-LV"/>
                    </w:rPr>
                    <w:t xml:space="preserve"> spiediena ietekmē</w:t>
                  </w:r>
                  <w:r w:rsidR="00B94CCB">
                    <w:rPr>
                      <w:bCs/>
                      <w:lang w:val="lv-LV"/>
                    </w:rPr>
                    <w:t xml:space="preserve">), iegūtu </w:t>
                  </w:r>
                  <w:r w:rsidR="00BC489B" w:rsidRPr="00BC489B">
                    <w:rPr>
                      <w:bCs/>
                      <w:lang w:val="lv-LV"/>
                    </w:rPr>
                    <w:t>glicerīn</w:t>
                  </w:r>
                  <w:r w:rsidR="00B94CCB">
                    <w:rPr>
                      <w:bCs/>
                      <w:lang w:val="lv-LV"/>
                    </w:rPr>
                    <w:t>u</w:t>
                  </w:r>
                  <w:r w:rsidR="00BC489B" w:rsidRPr="00BC489B">
                    <w:rPr>
                      <w:bCs/>
                      <w:lang w:val="lv-LV"/>
                    </w:rPr>
                    <w:t xml:space="preserve"> </w:t>
                  </w:r>
                  <w:r w:rsidR="00BC489B">
                    <w:rPr>
                      <w:bCs/>
                      <w:lang w:val="lv-LV"/>
                    </w:rPr>
                    <w:t xml:space="preserve">var </w:t>
                  </w:r>
                  <w:r w:rsidR="00BC489B" w:rsidRPr="00BC489B">
                    <w:rPr>
                      <w:bCs/>
                      <w:lang w:val="lv-LV"/>
                    </w:rPr>
                    <w:t xml:space="preserve">transformēt biogāzē un </w:t>
                  </w:r>
                  <w:r w:rsidR="009A2D38">
                    <w:rPr>
                      <w:bCs/>
                      <w:lang w:val="lv-LV"/>
                    </w:rPr>
                    <w:t xml:space="preserve">iegūtās </w:t>
                  </w:r>
                  <w:r w:rsidR="00BC489B" w:rsidRPr="00BC489B">
                    <w:rPr>
                      <w:bCs/>
                      <w:lang w:val="lv-LV"/>
                    </w:rPr>
                    <w:t>fermentācijas atliekas var iestrādāt zemē ražotājas dalībvalsts teritorijā</w:t>
                  </w:r>
                  <w:r w:rsidR="00467902">
                    <w:rPr>
                      <w:bCs/>
                      <w:lang w:val="lv-LV"/>
                    </w:rPr>
                    <w:t>, ja</w:t>
                  </w:r>
                  <w:r w:rsidR="00BC489B" w:rsidRPr="00BC489B">
                    <w:rPr>
                      <w:bCs/>
                      <w:lang w:val="lv-LV"/>
                    </w:rPr>
                    <w:t xml:space="preserve"> </w:t>
                  </w:r>
                  <w:r w:rsidR="00467902">
                    <w:rPr>
                      <w:bCs/>
                      <w:lang w:val="lv-LV"/>
                    </w:rPr>
                    <w:t xml:space="preserve">vien </w:t>
                  </w:r>
                  <w:r w:rsidR="00BC489B" w:rsidRPr="00BC489B">
                    <w:rPr>
                      <w:bCs/>
                      <w:lang w:val="lv-LV"/>
                    </w:rPr>
                    <w:t>kompetentā iestāde ir pieņēmusi attiecīgu lēmumu</w:t>
                  </w:r>
                  <w:r w:rsidR="00BC489B">
                    <w:rPr>
                      <w:bCs/>
                      <w:lang w:val="lv-LV"/>
                    </w:rPr>
                    <w:t xml:space="preserve">. </w:t>
                  </w:r>
                </w:p>
                <w:p w:rsidR="0041746C" w:rsidRPr="0041746C" w:rsidRDefault="00E0287C" w:rsidP="0023603D">
                  <w:pPr>
                    <w:jc w:val="both"/>
                    <w:rPr>
                      <w:b/>
                      <w:lang w:val="lv-LV"/>
                    </w:rPr>
                  </w:pPr>
                  <w:r w:rsidRPr="00E0287C">
                    <w:rPr>
                      <w:bCs/>
                      <w:lang w:val="lv-LV"/>
                    </w:rPr>
                    <w:t>Regul</w:t>
                  </w:r>
                  <w:r w:rsidR="004B1002">
                    <w:rPr>
                      <w:bCs/>
                      <w:lang w:val="lv-LV"/>
                    </w:rPr>
                    <w:t>ā</w:t>
                  </w:r>
                  <w:r w:rsidRPr="00E0287C">
                    <w:rPr>
                      <w:bCs/>
                      <w:lang w:val="lv-LV"/>
                    </w:rPr>
                    <w:t xml:space="preserve"> Nr. 1069/2009 </w:t>
                  </w:r>
                  <w:r w:rsidR="004B1002">
                    <w:rPr>
                      <w:bCs/>
                      <w:lang w:val="lv-LV"/>
                    </w:rPr>
                    <w:t>ir noteikts, ka</w:t>
                  </w:r>
                  <w:r w:rsidRPr="00E0287C">
                    <w:rPr>
                      <w:bCs/>
                      <w:lang w:val="lv-LV"/>
                    </w:rPr>
                    <w:t xml:space="preserve"> zirgu dzimtas dzīvnieki </w:t>
                  </w:r>
                  <w:r w:rsidR="004B1002">
                    <w:rPr>
                      <w:bCs/>
                      <w:lang w:val="lv-LV"/>
                    </w:rPr>
                    <w:t xml:space="preserve">ir </w:t>
                  </w:r>
                  <w:r w:rsidRPr="00E0287C">
                    <w:rPr>
                      <w:bCs/>
                      <w:lang w:val="lv-LV"/>
                    </w:rPr>
                    <w:t>lauksaimniecības dzīvnieki</w:t>
                  </w:r>
                  <w:r w:rsidR="004B1002">
                    <w:rPr>
                      <w:bCs/>
                      <w:lang w:val="lv-LV"/>
                    </w:rPr>
                    <w:t>. Tomēr</w:t>
                  </w:r>
                  <w:r w:rsidR="00467902">
                    <w:rPr>
                      <w:bCs/>
                      <w:lang w:val="lv-LV"/>
                    </w:rPr>
                    <w:t>,</w:t>
                  </w:r>
                  <w:r w:rsidR="004B1002">
                    <w:rPr>
                      <w:bCs/>
                      <w:lang w:val="lv-LV"/>
                    </w:rPr>
                    <w:t xml:space="preserve"> </w:t>
                  </w:r>
                  <w:r w:rsidR="00467902">
                    <w:rPr>
                      <w:bCs/>
                      <w:lang w:val="lv-LV"/>
                    </w:rPr>
                    <w:t>tā kā</w:t>
                  </w:r>
                  <w:r w:rsidR="00447CFF">
                    <w:rPr>
                      <w:bCs/>
                      <w:lang w:val="lv-LV"/>
                    </w:rPr>
                    <w:t xml:space="preserve"> </w:t>
                  </w:r>
                  <w:r w:rsidRPr="00E0287C">
                    <w:rPr>
                      <w:bCs/>
                      <w:lang w:val="lv-LV"/>
                    </w:rPr>
                    <w:t>atsevišķiem zirgu dzimtas dzīvniekiem ir īpaši cieša saikne ar saviem saimniekiem</w:t>
                  </w:r>
                  <w:r w:rsidR="004B1002">
                    <w:rPr>
                      <w:bCs/>
                      <w:lang w:val="lv-LV"/>
                    </w:rPr>
                    <w:t xml:space="preserve">, </w:t>
                  </w:r>
                  <w:r w:rsidR="00A46FF1">
                    <w:rPr>
                      <w:bCs/>
                      <w:lang w:val="lv-LV"/>
                    </w:rPr>
                    <w:t xml:space="preserve">tad </w:t>
                  </w:r>
                  <w:r w:rsidR="0041746C" w:rsidRPr="00F54EE7">
                    <w:rPr>
                      <w:bCs/>
                      <w:lang w:val="lv-LV"/>
                    </w:rPr>
                    <w:t>Komisijas 2015. gada 6. janvāra Regul</w:t>
                  </w:r>
                  <w:r w:rsidR="00A46FF1" w:rsidRPr="00F54EE7">
                    <w:rPr>
                      <w:bCs/>
                      <w:lang w:val="lv-LV"/>
                    </w:rPr>
                    <w:t>a</w:t>
                  </w:r>
                  <w:r w:rsidR="0041746C" w:rsidRPr="00F54EE7">
                    <w:rPr>
                      <w:bCs/>
                      <w:lang w:val="lv-LV"/>
                    </w:rPr>
                    <w:t xml:space="preserve"> (ES) Nr.9/2015, ar ko groza Regulu (ES)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BE7D3C">
                    <w:rPr>
                      <w:bCs/>
                      <w:lang w:val="lv-LV"/>
                    </w:rPr>
                    <w:t>,</w:t>
                  </w:r>
                  <w:r w:rsidR="0041746C" w:rsidRPr="00F54EE7">
                    <w:rPr>
                      <w:bCs/>
                      <w:lang w:val="lv-LV"/>
                    </w:rPr>
                    <w:t xml:space="preserve"> (turpmāk – Regula Nr.9/2015)</w:t>
                  </w:r>
                  <w:r w:rsidR="00A46FF1">
                    <w:rPr>
                      <w:b/>
                      <w:bCs/>
                      <w:lang w:val="lv-LV"/>
                    </w:rPr>
                    <w:t xml:space="preserve"> </w:t>
                  </w:r>
                  <w:r w:rsidR="004B1002">
                    <w:rPr>
                      <w:bCs/>
                      <w:lang w:val="lv-LV"/>
                    </w:rPr>
                    <w:t xml:space="preserve">paredz </w:t>
                  </w:r>
                  <w:r w:rsidR="004B1002" w:rsidRPr="004B1002">
                    <w:rPr>
                      <w:bCs/>
                      <w:lang w:val="lv-LV"/>
                    </w:rPr>
                    <w:t>dalībvalst</w:t>
                  </w:r>
                  <w:r w:rsidR="004B1002">
                    <w:rPr>
                      <w:bCs/>
                      <w:lang w:val="lv-LV"/>
                    </w:rPr>
                    <w:t>īm izmantot</w:t>
                  </w:r>
                  <w:r w:rsidR="004B1002" w:rsidRPr="004B1002">
                    <w:rPr>
                      <w:bCs/>
                      <w:lang w:val="lv-LV"/>
                    </w:rPr>
                    <w:t xml:space="preserve"> </w:t>
                  </w:r>
                  <w:r w:rsidR="004B1002">
                    <w:rPr>
                      <w:bCs/>
                      <w:lang w:val="lv-LV"/>
                    </w:rPr>
                    <w:t xml:space="preserve">atkāpi </w:t>
                  </w:r>
                  <w:r w:rsidR="00467902">
                    <w:rPr>
                      <w:bCs/>
                      <w:lang w:val="lv-LV"/>
                    </w:rPr>
                    <w:t>–</w:t>
                  </w:r>
                  <w:r w:rsidR="004B1002">
                    <w:rPr>
                      <w:bCs/>
                      <w:lang w:val="lv-LV"/>
                    </w:rPr>
                    <w:t xml:space="preserve"> </w:t>
                  </w:r>
                  <w:r w:rsidRPr="00E0287C">
                    <w:rPr>
                      <w:bCs/>
                      <w:lang w:val="lv-LV"/>
                    </w:rPr>
                    <w:t xml:space="preserve">iespēju kremēt mirušus zirgu dzimtas dzīvniekus </w:t>
                  </w:r>
                  <w:r w:rsidR="0083605E">
                    <w:rPr>
                      <w:bCs/>
                      <w:lang w:val="lv-LV"/>
                    </w:rPr>
                    <w:t xml:space="preserve">PVD atzītās </w:t>
                  </w:r>
                  <w:r w:rsidR="004B1002">
                    <w:rPr>
                      <w:bCs/>
                      <w:lang w:val="lv-LV"/>
                    </w:rPr>
                    <w:t xml:space="preserve">mazjaudas </w:t>
                  </w:r>
                  <w:r w:rsidRPr="00E0287C">
                    <w:rPr>
                      <w:bCs/>
                      <w:lang w:val="lv-LV"/>
                    </w:rPr>
                    <w:t xml:space="preserve">sadedzināšanas iekārtās ar nosacījumu, ka zirgu dzimtas dzīvnieki </w:t>
                  </w:r>
                  <w:r w:rsidR="0083605E">
                    <w:rPr>
                      <w:bCs/>
                      <w:lang w:val="lv-LV"/>
                    </w:rPr>
                    <w:t xml:space="preserve">ir </w:t>
                  </w:r>
                  <w:r w:rsidR="0083605E" w:rsidRPr="0083605E">
                    <w:rPr>
                      <w:bCs/>
                      <w:lang w:val="lv-LV"/>
                    </w:rPr>
                    <w:t>individuāli identificēt</w:t>
                  </w:r>
                  <w:r w:rsidR="0083605E">
                    <w:rPr>
                      <w:bCs/>
                      <w:lang w:val="lv-LV"/>
                    </w:rPr>
                    <w:t>i un</w:t>
                  </w:r>
                  <w:r w:rsidR="0083605E" w:rsidRPr="0083605E">
                    <w:rPr>
                      <w:bCs/>
                      <w:lang w:val="lv-LV"/>
                    </w:rPr>
                    <w:t xml:space="preserve"> no novietnēm, kurām nav noteikti aizliegumi saistībā ar infekcijas slimībām</w:t>
                  </w:r>
                  <w:r w:rsidR="005D606E">
                    <w:rPr>
                      <w:bCs/>
                      <w:lang w:val="lv-LV"/>
                    </w:rPr>
                    <w:t xml:space="preserve">, </w:t>
                  </w:r>
                  <w:r w:rsidR="005D606E" w:rsidRPr="00C71031">
                    <w:rPr>
                      <w:bCs/>
                      <w:lang w:val="lv-LV"/>
                    </w:rPr>
                    <w:t>kas minētas Ministru kabineta 2004.gada 18.marta noteikumos Nr.145 „Noteikumi par veterinārajām prasībām zirgu apritei un importam no trešajām valstīm”</w:t>
                  </w:r>
                  <w:r w:rsidR="0083605E" w:rsidRPr="00C71031">
                    <w:rPr>
                      <w:bCs/>
                      <w:lang w:val="lv-LV"/>
                    </w:rPr>
                    <w:t>.</w:t>
                  </w:r>
                  <w:r w:rsidRPr="00E0287C">
                    <w:rPr>
                      <w:bCs/>
                      <w:lang w:val="lv-LV"/>
                    </w:rPr>
                    <w:t xml:space="preserve"> </w:t>
                  </w:r>
                </w:p>
              </w:tc>
              <w:tc>
                <w:tcPr>
                  <w:tcW w:w="0" w:type="auto"/>
                  <w:hideMark/>
                </w:tcPr>
                <w:p w:rsidR="00FF7610" w:rsidRPr="00FF7610" w:rsidRDefault="00FF7610" w:rsidP="003E4C5B">
                  <w:pPr>
                    <w:jc w:val="both"/>
                    <w:rPr>
                      <w:lang w:val="lv-LV"/>
                    </w:rPr>
                  </w:pPr>
                </w:p>
              </w:tc>
            </w:tr>
          </w:tbl>
          <w:p w:rsidR="00FF7610" w:rsidRPr="00FF7610" w:rsidRDefault="00FF7610" w:rsidP="00FF7610">
            <w:pPr>
              <w:jc w:val="both"/>
              <w:rPr>
                <w:vanish/>
                <w:lang w:val="lv-LV"/>
              </w:rPr>
            </w:pPr>
          </w:p>
          <w:tbl>
            <w:tblPr>
              <w:tblW w:w="5000" w:type="pct"/>
              <w:tblCellSpacing w:w="0" w:type="dxa"/>
              <w:tblCellMar>
                <w:left w:w="0" w:type="dxa"/>
                <w:right w:w="0" w:type="dxa"/>
              </w:tblCellMar>
              <w:tblLook w:val="04A0" w:firstRow="1" w:lastRow="0" w:firstColumn="1" w:lastColumn="0" w:noHBand="0" w:noVBand="1"/>
            </w:tblPr>
            <w:tblGrid>
              <w:gridCol w:w="6"/>
              <w:gridCol w:w="6643"/>
            </w:tblGrid>
            <w:tr w:rsidR="00FF7610" w:rsidRPr="00EF4B0E" w:rsidTr="00FF7610">
              <w:trPr>
                <w:tblCellSpacing w:w="0" w:type="dxa"/>
              </w:trPr>
              <w:tc>
                <w:tcPr>
                  <w:tcW w:w="0" w:type="auto"/>
                  <w:hideMark/>
                </w:tcPr>
                <w:p w:rsidR="00FF7610" w:rsidRPr="00FF7610" w:rsidRDefault="00FF7610" w:rsidP="00FF7610">
                  <w:pPr>
                    <w:jc w:val="both"/>
                    <w:rPr>
                      <w:lang w:val="lv-LV"/>
                    </w:rPr>
                  </w:pPr>
                </w:p>
              </w:tc>
              <w:tc>
                <w:tcPr>
                  <w:tcW w:w="0" w:type="auto"/>
                  <w:hideMark/>
                </w:tcPr>
                <w:p w:rsidR="00FC4B0C" w:rsidRPr="00FF7610" w:rsidRDefault="00FC4B0C" w:rsidP="0023603D">
                  <w:pPr>
                    <w:jc w:val="both"/>
                    <w:rPr>
                      <w:lang w:val="lv-LV"/>
                    </w:rPr>
                  </w:pPr>
                  <w:r w:rsidRPr="00FC4B0C">
                    <w:rPr>
                      <w:lang w:val="lv-LV"/>
                    </w:rPr>
                    <w:t>Ņemot vērā minēto, ir sagatavots Mini</w:t>
                  </w:r>
                  <w:r>
                    <w:rPr>
                      <w:lang w:val="lv-LV"/>
                    </w:rPr>
                    <w:t xml:space="preserve">stru kabineta noteikumu projekts </w:t>
                  </w:r>
                  <w:r w:rsidRPr="00FC4B0C">
                    <w:rPr>
                      <w:bCs/>
                      <w:lang w:val="lv-LV"/>
                    </w:rPr>
                    <w:t>„</w:t>
                  </w:r>
                  <w:r w:rsidR="0083605E" w:rsidRPr="0083605E">
                    <w:rPr>
                      <w:bCs/>
                      <w:lang w:val="lv-LV"/>
                    </w:rPr>
                    <w:t>Grozījumi Ministru kabineta 2012. gada 17. aprīļa noteikumos Nr. 274 „Kārtība, kādā atzīst uzņēmumus un iekārtas un reģistrē personas, kas iesaistītas tādu dzīvnieku izcelsmes blakusproduktu un atvasinātu produktu apritē, kas nav paredzēti cilvēku patēriņam”</w:t>
                  </w:r>
                  <w:r>
                    <w:rPr>
                      <w:bCs/>
                      <w:lang w:val="lv-LV"/>
                    </w:rPr>
                    <w:t>”</w:t>
                  </w:r>
                  <w:r w:rsidR="00AE3E97">
                    <w:rPr>
                      <w:bCs/>
                      <w:lang w:val="lv-LV"/>
                    </w:rPr>
                    <w:t xml:space="preserve"> (turpmāk – noteikumu projekts), kur</w:t>
                  </w:r>
                  <w:r w:rsidR="0083605E">
                    <w:rPr>
                      <w:bCs/>
                      <w:lang w:val="lv-LV"/>
                    </w:rPr>
                    <w:t>š</w:t>
                  </w:r>
                  <w:r w:rsidR="00AE3E97">
                    <w:rPr>
                      <w:bCs/>
                      <w:lang w:val="lv-LV"/>
                    </w:rPr>
                    <w:t xml:space="preserve"> </w:t>
                  </w:r>
                  <w:r w:rsidR="0083605E">
                    <w:rPr>
                      <w:bCs/>
                      <w:lang w:val="lv-LV"/>
                    </w:rPr>
                    <w:t>papildinās noteikumus Nr.</w:t>
                  </w:r>
                  <w:r w:rsidR="00467902">
                    <w:rPr>
                      <w:bCs/>
                      <w:lang w:val="lv-LV"/>
                    </w:rPr>
                    <w:t> </w:t>
                  </w:r>
                  <w:r w:rsidR="0083605E">
                    <w:rPr>
                      <w:bCs/>
                      <w:lang w:val="lv-LV"/>
                    </w:rPr>
                    <w:t>274 7.</w:t>
                  </w:r>
                  <w:r w:rsidR="0083605E" w:rsidRPr="0083605E">
                    <w:rPr>
                      <w:bCs/>
                      <w:vertAlign w:val="superscript"/>
                      <w:lang w:val="lv-LV"/>
                    </w:rPr>
                    <w:t>1</w:t>
                  </w:r>
                  <w:r w:rsidR="0083605E">
                    <w:rPr>
                      <w:bCs/>
                      <w:lang w:val="lv-LV"/>
                    </w:rPr>
                    <w:t>, 30.</w:t>
                  </w:r>
                  <w:r w:rsidR="0083605E" w:rsidRPr="0083605E">
                    <w:rPr>
                      <w:bCs/>
                      <w:vertAlign w:val="superscript"/>
                      <w:lang w:val="lv-LV"/>
                    </w:rPr>
                    <w:t>1</w:t>
                  </w:r>
                  <w:r w:rsidR="0083605E">
                    <w:rPr>
                      <w:bCs/>
                      <w:lang w:val="lv-LV"/>
                    </w:rPr>
                    <w:t xml:space="preserve"> un 35.</w:t>
                  </w:r>
                  <w:r w:rsidR="0083605E" w:rsidRPr="0083605E">
                    <w:rPr>
                      <w:bCs/>
                      <w:vertAlign w:val="superscript"/>
                      <w:lang w:val="lv-LV"/>
                    </w:rPr>
                    <w:t>1</w:t>
                  </w:r>
                  <w:r w:rsidR="0083605E">
                    <w:rPr>
                      <w:bCs/>
                      <w:lang w:val="lv-LV"/>
                    </w:rPr>
                    <w:t xml:space="preserve"> punkt</w:t>
                  </w:r>
                  <w:r w:rsidR="008B749D">
                    <w:rPr>
                      <w:bCs/>
                      <w:lang w:val="lv-LV"/>
                    </w:rPr>
                    <w:t>u</w:t>
                  </w:r>
                  <w:r w:rsidR="00BC489B">
                    <w:rPr>
                      <w:bCs/>
                      <w:lang w:val="lv-LV"/>
                    </w:rPr>
                    <w:t xml:space="preserve"> un precizēs noteikumu 35. </w:t>
                  </w:r>
                  <w:r w:rsidR="00E51F6C">
                    <w:rPr>
                      <w:bCs/>
                      <w:lang w:val="lv-LV"/>
                    </w:rPr>
                    <w:t>p</w:t>
                  </w:r>
                  <w:r w:rsidR="00BC489B">
                    <w:rPr>
                      <w:bCs/>
                      <w:lang w:val="lv-LV"/>
                    </w:rPr>
                    <w:t>unktu</w:t>
                  </w:r>
                  <w:r w:rsidR="00E51F6C">
                    <w:rPr>
                      <w:bCs/>
                      <w:lang w:val="lv-LV"/>
                    </w:rPr>
                    <w:t xml:space="preserve"> un </w:t>
                  </w:r>
                  <w:r w:rsidR="00E51F6C" w:rsidRPr="00E51F6C">
                    <w:rPr>
                      <w:bCs/>
                      <w:lang w:val="lv-LV"/>
                    </w:rPr>
                    <w:t>2. pielikuma 5.2. apakšpunkt</w:t>
                  </w:r>
                  <w:r w:rsidR="00E51F6C">
                    <w:rPr>
                      <w:bCs/>
                      <w:lang w:val="lv-LV"/>
                    </w:rPr>
                    <w:t>u</w:t>
                  </w:r>
                  <w:r w:rsidR="00C03693">
                    <w:rPr>
                      <w:bCs/>
                      <w:lang w:val="lv-LV"/>
                    </w:rPr>
                    <w:t>.</w:t>
                  </w:r>
                </w:p>
              </w:tc>
            </w:tr>
          </w:tbl>
          <w:p w:rsidR="002058A8" w:rsidRPr="008E74C8" w:rsidRDefault="002058A8">
            <w:pPr>
              <w:jc w:val="both"/>
              <w:rPr>
                <w:bCs/>
                <w:lang w:val="lv-LV"/>
              </w:rPr>
            </w:pPr>
          </w:p>
        </w:tc>
      </w:tr>
      <w:tr w:rsidR="005D73DE" w:rsidRPr="00FC162A" w:rsidTr="00C25CC1">
        <w:tc>
          <w:tcPr>
            <w:tcW w:w="250" w:type="pct"/>
          </w:tcPr>
          <w:p w:rsidR="00A162FE" w:rsidRPr="009E2709" w:rsidRDefault="00A162FE" w:rsidP="00C21DCA">
            <w:pPr>
              <w:jc w:val="center"/>
              <w:rPr>
                <w:lang w:val="lv-LV" w:eastAsia="lv-LV"/>
              </w:rPr>
            </w:pPr>
            <w:r w:rsidRPr="009E2709">
              <w:rPr>
                <w:lang w:val="lv-LV" w:eastAsia="lv-LV"/>
              </w:rPr>
              <w:lastRenderedPageBreak/>
              <w:t>3.</w:t>
            </w:r>
          </w:p>
        </w:tc>
        <w:tc>
          <w:tcPr>
            <w:tcW w:w="1077" w:type="pct"/>
          </w:tcPr>
          <w:p w:rsidR="00A162FE" w:rsidRPr="00E21B79" w:rsidRDefault="006A073E" w:rsidP="00FC4B0C">
            <w:pPr>
              <w:jc w:val="both"/>
              <w:rPr>
                <w:lang w:val="lv-LV" w:eastAsia="lv-LV"/>
              </w:rPr>
            </w:pPr>
            <w:r w:rsidRPr="009E2709">
              <w:rPr>
                <w:lang w:val="lv-LV" w:eastAsia="lv-LV"/>
              </w:rPr>
              <w:t xml:space="preserve">Projekta izstrādē iesaistītās </w:t>
            </w:r>
            <w:r w:rsidRPr="009E2709">
              <w:rPr>
                <w:lang w:val="lv-LV" w:eastAsia="lv-LV"/>
              </w:rPr>
              <w:lastRenderedPageBreak/>
              <w:t>institūcijas</w:t>
            </w:r>
          </w:p>
        </w:tc>
        <w:tc>
          <w:tcPr>
            <w:tcW w:w="3673" w:type="pct"/>
          </w:tcPr>
          <w:p w:rsidR="00A162FE" w:rsidRPr="009E2709" w:rsidRDefault="00E312B1" w:rsidP="005D73DE">
            <w:pPr>
              <w:jc w:val="both"/>
              <w:rPr>
                <w:highlight w:val="yellow"/>
                <w:lang w:val="lv-LV" w:eastAsia="lv-LV"/>
              </w:rPr>
            </w:pPr>
            <w:r w:rsidRPr="00E312B1">
              <w:rPr>
                <w:lang w:val="lv-LV" w:eastAsia="lv-LV"/>
              </w:rPr>
              <w:lastRenderedPageBreak/>
              <w:t>Pārtikas un veterinārais dienests</w:t>
            </w:r>
          </w:p>
        </w:tc>
      </w:tr>
      <w:tr w:rsidR="005D73DE" w:rsidRPr="00D52D0F" w:rsidTr="00C25CC1">
        <w:tc>
          <w:tcPr>
            <w:tcW w:w="250" w:type="pct"/>
          </w:tcPr>
          <w:p w:rsidR="00A162FE" w:rsidRPr="009E2709" w:rsidRDefault="00A162FE" w:rsidP="00C21DCA">
            <w:pPr>
              <w:jc w:val="center"/>
              <w:rPr>
                <w:lang w:val="lv-LV" w:eastAsia="lv-LV"/>
              </w:rPr>
            </w:pPr>
            <w:r w:rsidRPr="009E2709">
              <w:rPr>
                <w:lang w:val="lv-LV" w:eastAsia="lv-LV"/>
              </w:rPr>
              <w:t>4.</w:t>
            </w:r>
          </w:p>
        </w:tc>
        <w:tc>
          <w:tcPr>
            <w:tcW w:w="1077" w:type="pct"/>
          </w:tcPr>
          <w:p w:rsidR="00A162FE" w:rsidRPr="009E2709" w:rsidRDefault="006A073E" w:rsidP="005D73DE">
            <w:pPr>
              <w:jc w:val="both"/>
              <w:rPr>
                <w:lang w:val="lv-LV" w:eastAsia="lv-LV"/>
              </w:rPr>
            </w:pPr>
            <w:r w:rsidRPr="009E2709">
              <w:rPr>
                <w:lang w:val="lv-LV" w:eastAsia="lv-LV"/>
              </w:rPr>
              <w:t>Cita informācija</w:t>
            </w:r>
          </w:p>
        </w:tc>
        <w:tc>
          <w:tcPr>
            <w:tcW w:w="3673" w:type="pct"/>
          </w:tcPr>
          <w:p w:rsidR="00A162FE" w:rsidRPr="009E2709" w:rsidRDefault="006E5E3E" w:rsidP="005D73DE">
            <w:pPr>
              <w:jc w:val="both"/>
              <w:rPr>
                <w:highlight w:val="yellow"/>
                <w:lang w:val="lv-LV"/>
              </w:rPr>
            </w:pPr>
            <w:r>
              <w:rPr>
                <w:lang w:val="lv-LV"/>
              </w:rPr>
              <w:t>Nav</w:t>
            </w:r>
            <w:r w:rsidR="00C14BAF" w:rsidRPr="00C14BAF">
              <w:rPr>
                <w:lang w:val="lv-LV"/>
              </w:rPr>
              <w:t>.</w:t>
            </w:r>
          </w:p>
        </w:tc>
      </w:tr>
    </w:tbl>
    <w:p w:rsidR="004D267D" w:rsidRPr="009E2709" w:rsidRDefault="004D267D">
      <w:pPr>
        <w:rPr>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2"/>
        <w:gridCol w:w="1929"/>
        <w:gridCol w:w="6810"/>
      </w:tblGrid>
      <w:tr w:rsidR="005D73DE" w:rsidRPr="00EF4B0E" w:rsidTr="00AF7992">
        <w:tc>
          <w:tcPr>
            <w:tcW w:w="5000" w:type="pct"/>
            <w:gridSpan w:val="3"/>
            <w:tcBorders>
              <w:top w:val="outset" w:sz="6" w:space="0" w:color="auto"/>
              <w:left w:val="outset" w:sz="6" w:space="0" w:color="auto"/>
              <w:bottom w:val="outset" w:sz="6" w:space="0" w:color="auto"/>
              <w:right w:val="outset" w:sz="6" w:space="0" w:color="auto"/>
            </w:tcBorders>
          </w:tcPr>
          <w:p w:rsidR="008F3459" w:rsidRPr="009E2709" w:rsidRDefault="008F3459" w:rsidP="005D73DE">
            <w:pPr>
              <w:jc w:val="center"/>
              <w:rPr>
                <w:b/>
                <w:sz w:val="28"/>
                <w:szCs w:val="28"/>
                <w:lang w:val="lv-LV"/>
              </w:rPr>
            </w:pPr>
            <w:r w:rsidRPr="002745B0">
              <w:rPr>
                <w:b/>
                <w:szCs w:val="28"/>
                <w:lang w:val="lv-LV"/>
              </w:rPr>
              <w:t>II. Tiesību akta projekta ietekme uz sabiedrību</w:t>
            </w:r>
            <w:r w:rsidR="00D533EA" w:rsidRPr="002745B0">
              <w:rPr>
                <w:b/>
                <w:szCs w:val="28"/>
                <w:lang w:val="lv-LV"/>
              </w:rPr>
              <w:t>,</w:t>
            </w:r>
            <w:r w:rsidR="00D533EA" w:rsidRPr="002745B0">
              <w:rPr>
                <w:b/>
                <w:bCs/>
                <w:szCs w:val="28"/>
                <w:lang w:val="lv-LV"/>
              </w:rPr>
              <w:t xml:space="preserve"> tautsaimniecības attīstību un administratīvo slogu</w:t>
            </w:r>
          </w:p>
        </w:tc>
      </w:tr>
      <w:tr w:rsidR="005D73DE" w:rsidRPr="00EF4B0E" w:rsidTr="00C25CC1">
        <w:tc>
          <w:tcPr>
            <w:tcW w:w="292" w:type="pct"/>
            <w:tcBorders>
              <w:top w:val="outset" w:sz="6" w:space="0" w:color="auto"/>
              <w:left w:val="outset" w:sz="6" w:space="0" w:color="auto"/>
              <w:right w:val="outset" w:sz="6" w:space="0" w:color="auto"/>
            </w:tcBorders>
          </w:tcPr>
          <w:p w:rsidR="00BE26B5" w:rsidRPr="009E2709" w:rsidRDefault="00BE26B5" w:rsidP="00C21DCA">
            <w:pPr>
              <w:jc w:val="center"/>
              <w:rPr>
                <w:lang w:val="lv-LV"/>
              </w:rPr>
            </w:pPr>
            <w:r w:rsidRPr="009E2709">
              <w:rPr>
                <w:lang w:val="lv-LV"/>
              </w:rPr>
              <w:t>1.</w:t>
            </w:r>
          </w:p>
        </w:tc>
        <w:tc>
          <w:tcPr>
            <w:tcW w:w="1039" w:type="pct"/>
            <w:tcBorders>
              <w:top w:val="outset" w:sz="6" w:space="0" w:color="auto"/>
              <w:left w:val="outset" w:sz="6" w:space="0" w:color="auto"/>
              <w:right w:val="outset" w:sz="6" w:space="0" w:color="auto"/>
            </w:tcBorders>
          </w:tcPr>
          <w:p w:rsidR="00BE26B5" w:rsidRPr="009E2709" w:rsidRDefault="00BE26B5" w:rsidP="00C21DCA">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669" w:type="pct"/>
            <w:tcBorders>
              <w:top w:val="outset" w:sz="6" w:space="0" w:color="auto"/>
              <w:left w:val="outset" w:sz="6" w:space="0" w:color="auto"/>
              <w:right w:val="outset" w:sz="6" w:space="0" w:color="auto"/>
            </w:tcBorders>
          </w:tcPr>
          <w:p w:rsidR="00756A4F" w:rsidRPr="00E312B1" w:rsidRDefault="00E312B1">
            <w:pPr>
              <w:jc w:val="both"/>
              <w:rPr>
                <w:lang w:val="lv-LV"/>
              </w:rPr>
            </w:pPr>
            <w:r w:rsidRPr="00E312B1">
              <w:rPr>
                <w:lang w:val="lv-LV"/>
              </w:rPr>
              <w:t xml:space="preserve">Noteikumu projekta tiesiskais regulējums attiecas uz </w:t>
            </w:r>
            <w:r w:rsidR="00881938" w:rsidRPr="00881938">
              <w:rPr>
                <w:lang w:val="lv-LV"/>
              </w:rPr>
              <w:t>blakusproduktu aprit</w:t>
            </w:r>
            <w:r w:rsidR="00881938">
              <w:rPr>
                <w:lang w:val="lv-LV"/>
              </w:rPr>
              <w:t>es uzņēmumiem, k</w:t>
            </w:r>
            <w:r w:rsidR="00467902">
              <w:rPr>
                <w:lang w:val="lv-LV"/>
              </w:rPr>
              <w:t>a</w:t>
            </w:r>
            <w:r w:rsidR="00881938">
              <w:rPr>
                <w:lang w:val="lv-LV"/>
              </w:rPr>
              <w:t>m būs nepieciešams saņemt PVD atzīšanu</w:t>
            </w:r>
            <w:r w:rsidR="000D5D32">
              <w:rPr>
                <w:lang w:val="lv-LV"/>
              </w:rPr>
              <w:t>, un</w:t>
            </w:r>
            <w:r w:rsidR="00881938" w:rsidRPr="00881938">
              <w:rPr>
                <w:lang w:val="lv-LV"/>
              </w:rPr>
              <w:t xml:space="preserve"> blakusproduktu apritē iesaistītā</w:t>
            </w:r>
            <w:r w:rsidR="00FC60A2">
              <w:rPr>
                <w:lang w:val="lv-LV"/>
              </w:rPr>
              <w:t>m</w:t>
            </w:r>
            <w:r w:rsidR="00881938" w:rsidRPr="00881938">
              <w:rPr>
                <w:lang w:val="lv-LV"/>
              </w:rPr>
              <w:t xml:space="preserve"> person</w:t>
            </w:r>
            <w:r w:rsidR="00FC60A2">
              <w:rPr>
                <w:lang w:val="lv-LV"/>
              </w:rPr>
              <w:t>ām, kurām</w:t>
            </w:r>
            <w:r w:rsidR="00FC60A2" w:rsidRPr="00FC60A2">
              <w:rPr>
                <w:lang w:val="lv-LV"/>
              </w:rPr>
              <w:t xml:space="preserve"> būs nepieciešams </w:t>
            </w:r>
            <w:r w:rsidR="00FC60A2">
              <w:rPr>
                <w:lang w:val="lv-LV"/>
              </w:rPr>
              <w:t>reģistrēties PVD</w:t>
            </w:r>
            <w:r w:rsidR="000D5D32">
              <w:rPr>
                <w:lang w:val="lv-LV"/>
              </w:rPr>
              <w:t>. Šobrīd PVD atzinumu ir saņēmuši</w:t>
            </w:r>
            <w:r w:rsidR="000D5D32" w:rsidRPr="000D5D32">
              <w:rPr>
                <w:lang w:val="lv-LV"/>
              </w:rPr>
              <w:t xml:space="preserve"> </w:t>
            </w:r>
            <w:r w:rsidR="000D5D32">
              <w:rPr>
                <w:lang w:val="lv-LV"/>
              </w:rPr>
              <w:t xml:space="preserve">148 </w:t>
            </w:r>
            <w:r w:rsidR="000D5D32" w:rsidRPr="000D5D32">
              <w:rPr>
                <w:lang w:val="lv-LV"/>
              </w:rPr>
              <w:t>blakusproduktu aprites uzņēmum</w:t>
            </w:r>
            <w:r w:rsidR="000D5D32">
              <w:rPr>
                <w:lang w:val="lv-LV"/>
              </w:rPr>
              <w:t xml:space="preserve">i un </w:t>
            </w:r>
            <w:r w:rsidR="00467902">
              <w:rPr>
                <w:lang w:val="lv-LV"/>
              </w:rPr>
              <w:t xml:space="preserve">ir reģistrētas </w:t>
            </w:r>
            <w:r w:rsidR="000D5D32">
              <w:rPr>
                <w:lang w:val="lv-LV"/>
              </w:rPr>
              <w:t>479</w:t>
            </w:r>
            <w:r w:rsidR="000D5D32" w:rsidRPr="000D5D32">
              <w:rPr>
                <w:lang w:val="lv-LV"/>
              </w:rPr>
              <w:t xml:space="preserve"> blakusproduktu apritē iesaistītā</w:t>
            </w:r>
            <w:r w:rsidR="000D5D32">
              <w:rPr>
                <w:lang w:val="lv-LV"/>
              </w:rPr>
              <w:t>s</w:t>
            </w:r>
            <w:r w:rsidR="000D5D32" w:rsidRPr="000D5D32">
              <w:rPr>
                <w:lang w:val="lv-LV"/>
              </w:rPr>
              <w:t xml:space="preserve"> person</w:t>
            </w:r>
            <w:r w:rsidR="000D5D32">
              <w:rPr>
                <w:lang w:val="lv-LV"/>
              </w:rPr>
              <w:t>as</w:t>
            </w:r>
            <w:r w:rsidR="00E51F6C">
              <w:rPr>
                <w:lang w:val="lv-LV"/>
              </w:rPr>
              <w:t>, tostarp</w:t>
            </w:r>
            <w:r w:rsidR="00FC60A2">
              <w:rPr>
                <w:lang w:val="lv-LV"/>
              </w:rPr>
              <w:t xml:space="preserve"> </w:t>
            </w:r>
            <w:r w:rsidR="008B749D">
              <w:rPr>
                <w:lang w:val="lv-LV"/>
              </w:rPr>
              <w:t>divām</w:t>
            </w:r>
            <w:r w:rsidR="00FC60A2">
              <w:rPr>
                <w:lang w:val="lv-LV"/>
              </w:rPr>
              <w:t xml:space="preserve"> PVD atzītām m</w:t>
            </w:r>
            <w:r w:rsidR="00FC60A2" w:rsidRPr="00FC60A2">
              <w:rPr>
                <w:lang w:val="lv-LV"/>
              </w:rPr>
              <w:t xml:space="preserve">azjaudas sadedzināšanas </w:t>
            </w:r>
            <w:r w:rsidR="00FC60A2">
              <w:rPr>
                <w:lang w:val="lv-LV"/>
              </w:rPr>
              <w:t>iekārtām</w:t>
            </w:r>
            <w:r w:rsidR="000D5D32">
              <w:rPr>
                <w:lang w:val="lv-LV"/>
              </w:rPr>
              <w:t xml:space="preserve"> ir atļaut</w:t>
            </w:r>
            <w:r w:rsidR="00467902">
              <w:rPr>
                <w:lang w:val="lv-LV"/>
              </w:rPr>
              <w:t>a</w:t>
            </w:r>
            <w:r w:rsidR="000D5D32">
              <w:rPr>
                <w:lang w:val="lv-LV"/>
              </w:rPr>
              <w:t xml:space="preserve"> mirušu lolojumdzīvnieku kremēšan</w:t>
            </w:r>
            <w:r w:rsidR="00467902">
              <w:rPr>
                <w:lang w:val="lv-LV"/>
              </w:rPr>
              <w:t>a</w:t>
            </w:r>
            <w:r w:rsidR="00FC60A2">
              <w:rPr>
                <w:lang w:val="lv-LV"/>
              </w:rPr>
              <w:t xml:space="preserve">. </w:t>
            </w:r>
          </w:p>
        </w:tc>
      </w:tr>
      <w:tr w:rsidR="005D73DE" w:rsidRPr="00FF7610" w:rsidTr="00C25CC1">
        <w:tc>
          <w:tcPr>
            <w:tcW w:w="292" w:type="pct"/>
            <w:tcBorders>
              <w:top w:val="outset" w:sz="6" w:space="0" w:color="auto"/>
              <w:left w:val="outset" w:sz="6" w:space="0" w:color="auto"/>
              <w:right w:val="outset" w:sz="6" w:space="0" w:color="auto"/>
            </w:tcBorders>
          </w:tcPr>
          <w:p w:rsidR="00BE26B5" w:rsidRPr="009E2709" w:rsidRDefault="00BE26B5" w:rsidP="005D73DE">
            <w:pPr>
              <w:jc w:val="center"/>
              <w:rPr>
                <w:lang w:val="lv-LV"/>
              </w:rPr>
            </w:pPr>
            <w:r w:rsidRPr="009E2709">
              <w:rPr>
                <w:lang w:val="lv-LV"/>
              </w:rPr>
              <w:t>2.</w:t>
            </w:r>
          </w:p>
        </w:tc>
        <w:tc>
          <w:tcPr>
            <w:tcW w:w="1039" w:type="pct"/>
            <w:tcBorders>
              <w:top w:val="outset" w:sz="6" w:space="0" w:color="auto"/>
              <w:left w:val="outset" w:sz="6" w:space="0" w:color="auto"/>
              <w:right w:val="outset" w:sz="6" w:space="0" w:color="auto"/>
            </w:tcBorders>
          </w:tcPr>
          <w:p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669" w:type="pct"/>
            <w:tcBorders>
              <w:top w:val="outset" w:sz="6" w:space="0" w:color="auto"/>
              <w:left w:val="outset" w:sz="6" w:space="0" w:color="auto"/>
              <w:right w:val="outset" w:sz="6" w:space="0" w:color="auto"/>
            </w:tcBorders>
          </w:tcPr>
          <w:p w:rsidR="00307454" w:rsidRPr="00E04435" w:rsidRDefault="00855B0F" w:rsidP="00412FAC">
            <w:pPr>
              <w:widowControl w:val="0"/>
              <w:jc w:val="both"/>
              <w:rPr>
                <w:lang w:val="lv-LV"/>
              </w:rPr>
            </w:pPr>
            <w:r>
              <w:rPr>
                <w:lang w:val="lv-LV"/>
              </w:rPr>
              <w:t>P</w:t>
            </w:r>
            <w:r w:rsidR="00BE7DED">
              <w:rPr>
                <w:lang w:val="lv-LV"/>
              </w:rPr>
              <w:t>rojekts šo jomu neskar.</w:t>
            </w:r>
            <w:r w:rsidR="00913F3A" w:rsidRPr="00913F3A">
              <w:rPr>
                <w:lang w:val="lv-LV"/>
              </w:rPr>
              <w:t xml:space="preserve"> </w:t>
            </w:r>
          </w:p>
        </w:tc>
      </w:tr>
      <w:tr w:rsidR="005D73DE" w:rsidRPr="002A39FB" w:rsidTr="00C25CC1">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3.</w:t>
            </w:r>
          </w:p>
        </w:tc>
        <w:tc>
          <w:tcPr>
            <w:tcW w:w="1039" w:type="pct"/>
            <w:tcBorders>
              <w:top w:val="outset" w:sz="6" w:space="0" w:color="auto"/>
              <w:left w:val="outset" w:sz="6" w:space="0" w:color="auto"/>
              <w:right w:val="outset" w:sz="6" w:space="0" w:color="auto"/>
            </w:tcBorders>
          </w:tcPr>
          <w:p w:rsidR="00BE26B5" w:rsidRPr="009E2709" w:rsidRDefault="00153C68"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669" w:type="pct"/>
            <w:tcBorders>
              <w:top w:val="outset" w:sz="6" w:space="0" w:color="auto"/>
              <w:left w:val="outset" w:sz="6" w:space="0" w:color="auto"/>
              <w:right w:val="outset" w:sz="6" w:space="0" w:color="auto"/>
            </w:tcBorders>
          </w:tcPr>
          <w:p w:rsidR="002C59C1" w:rsidRPr="009E2709" w:rsidRDefault="00855B0F" w:rsidP="00855B0F">
            <w:pPr>
              <w:jc w:val="both"/>
              <w:rPr>
                <w:lang w:val="lv-LV"/>
              </w:rPr>
            </w:pPr>
            <w:r>
              <w:rPr>
                <w:lang w:val="lv-LV"/>
              </w:rPr>
              <w:t>P</w:t>
            </w:r>
            <w:r w:rsidR="00603F7B" w:rsidRPr="00603F7B">
              <w:rPr>
                <w:lang w:val="lv-LV"/>
              </w:rPr>
              <w:t>rojekts šo jomu neskar.</w:t>
            </w:r>
          </w:p>
        </w:tc>
      </w:tr>
      <w:tr w:rsidR="005D73DE" w:rsidRPr="009E2709" w:rsidTr="00C25CC1">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4.</w:t>
            </w:r>
          </w:p>
        </w:tc>
        <w:tc>
          <w:tcPr>
            <w:tcW w:w="1039" w:type="pct"/>
            <w:tcBorders>
              <w:top w:val="outset" w:sz="6" w:space="0" w:color="auto"/>
              <w:left w:val="outset" w:sz="6" w:space="0" w:color="auto"/>
              <w:right w:val="outset" w:sz="6" w:space="0" w:color="auto"/>
            </w:tcBorders>
          </w:tcPr>
          <w:p w:rsidR="00BE26B5" w:rsidRPr="009E2709" w:rsidRDefault="00153C68" w:rsidP="00C21DCA">
            <w:pPr>
              <w:jc w:val="both"/>
              <w:rPr>
                <w:lang w:val="lv-LV"/>
              </w:rPr>
            </w:pPr>
            <w:r w:rsidRPr="009E2709">
              <w:rPr>
                <w:lang w:val="lv-LV"/>
              </w:rPr>
              <w:t>Cita informācija</w:t>
            </w:r>
          </w:p>
        </w:tc>
        <w:tc>
          <w:tcPr>
            <w:tcW w:w="3669" w:type="pct"/>
            <w:tcBorders>
              <w:top w:val="outset" w:sz="6" w:space="0" w:color="auto"/>
              <w:left w:val="outset" w:sz="6" w:space="0" w:color="auto"/>
              <w:right w:val="outset" w:sz="6" w:space="0" w:color="auto"/>
            </w:tcBorders>
            <w:shd w:val="clear" w:color="auto" w:fill="auto"/>
          </w:tcPr>
          <w:p w:rsidR="00BE26B5" w:rsidRPr="009E2709" w:rsidRDefault="00C14BAF" w:rsidP="005D73DE">
            <w:pPr>
              <w:widowControl w:val="0"/>
              <w:jc w:val="both"/>
              <w:rPr>
                <w:lang w:val="lv-LV"/>
              </w:rPr>
            </w:pPr>
            <w:r>
              <w:rPr>
                <w:lang w:val="lv-LV"/>
              </w:rPr>
              <w:t>Nav.</w:t>
            </w:r>
          </w:p>
        </w:tc>
      </w:tr>
    </w:tbl>
    <w:p w:rsidR="007F21AE" w:rsidRDefault="007F21AE" w:rsidP="00C21DCA">
      <w:pPr>
        <w:jc w:val="both"/>
        <w:rPr>
          <w:i/>
          <w:lang w:val="lv-LV" w:eastAsia="lv-LV"/>
        </w:rPr>
      </w:pPr>
    </w:p>
    <w:tbl>
      <w:tblPr>
        <w:tblStyle w:val="Reatabula"/>
        <w:tblW w:w="9072" w:type="dxa"/>
        <w:tblInd w:w="108" w:type="dxa"/>
        <w:tblLook w:val="04A0" w:firstRow="1" w:lastRow="0" w:firstColumn="1" w:lastColumn="0" w:noHBand="0" w:noVBand="1"/>
      </w:tblPr>
      <w:tblGrid>
        <w:gridCol w:w="9072"/>
      </w:tblGrid>
      <w:tr w:rsidR="000E54AA" w:rsidRPr="00EF4B0E" w:rsidTr="00F5600F">
        <w:trPr>
          <w:trHeight w:val="227"/>
        </w:trPr>
        <w:tc>
          <w:tcPr>
            <w:tcW w:w="9072" w:type="dxa"/>
          </w:tcPr>
          <w:p w:rsidR="000E54AA" w:rsidRPr="008071B8" w:rsidRDefault="000E54AA" w:rsidP="00F5600F">
            <w:pPr>
              <w:jc w:val="center"/>
              <w:rPr>
                <w:rFonts w:ascii="Times New Roman" w:hAnsi="Times New Roman"/>
                <w:lang w:val="lv-LV" w:eastAsia="lv-LV"/>
              </w:rPr>
            </w:pPr>
            <w:r w:rsidRPr="008071B8">
              <w:rPr>
                <w:rFonts w:ascii="Times New Roman" w:eastAsia="Times New Roman" w:hAnsi="Times New Roman"/>
                <w:lang w:val="lv-LV" w:eastAsia="lv-LV"/>
              </w:rPr>
              <w:t> </w:t>
            </w:r>
            <w:r w:rsidRPr="008071B8">
              <w:rPr>
                <w:rFonts w:ascii="Times New Roman" w:eastAsia="Times New Roman" w:hAnsi="Times New Roman"/>
                <w:b/>
                <w:bCs/>
                <w:lang w:val="lv-LV" w:eastAsia="lv-LV"/>
              </w:rPr>
              <w:t>III. Tiesību akta projekta ietekme uz valsts budžetu un pašvaldību budžetiem</w:t>
            </w:r>
          </w:p>
        </w:tc>
      </w:tr>
      <w:tr w:rsidR="000E54AA" w:rsidRPr="008071B8" w:rsidTr="00F5600F">
        <w:trPr>
          <w:trHeight w:val="227"/>
        </w:trPr>
        <w:tc>
          <w:tcPr>
            <w:tcW w:w="9072" w:type="dxa"/>
          </w:tcPr>
          <w:p w:rsidR="000E54AA" w:rsidRPr="008071B8" w:rsidRDefault="000E54AA" w:rsidP="00F5600F">
            <w:pPr>
              <w:jc w:val="center"/>
              <w:rPr>
                <w:rFonts w:ascii="Times New Roman" w:hAnsi="Times New Roman"/>
                <w:lang w:val="lv-LV" w:eastAsia="lv-LV"/>
              </w:rPr>
            </w:pPr>
            <w:r w:rsidRPr="008071B8">
              <w:rPr>
                <w:rFonts w:ascii="Times New Roman" w:hAnsi="Times New Roman"/>
                <w:bCs/>
                <w:lang w:val="lv-LV" w:eastAsia="lv-LV"/>
              </w:rPr>
              <w:t>Projekts šo jomu neskar</w:t>
            </w:r>
            <w:r w:rsidR="00175374">
              <w:rPr>
                <w:rFonts w:ascii="Times New Roman" w:hAnsi="Times New Roman"/>
                <w:bCs/>
                <w:lang w:val="lv-LV" w:eastAsia="lv-LV"/>
              </w:rPr>
              <w:t>.</w:t>
            </w:r>
          </w:p>
        </w:tc>
      </w:tr>
    </w:tbl>
    <w:p w:rsidR="007F21AE" w:rsidRDefault="007F21AE" w:rsidP="00C21DCA">
      <w:pPr>
        <w:jc w:val="both"/>
        <w:rPr>
          <w:i/>
          <w:lang w:val="lv-LV" w:eastAsia="lv-LV"/>
        </w:rPr>
      </w:pPr>
    </w:p>
    <w:tbl>
      <w:tblPr>
        <w:tblStyle w:val="Reatabula"/>
        <w:tblW w:w="9072" w:type="dxa"/>
        <w:tblInd w:w="108" w:type="dxa"/>
        <w:tblLook w:val="04A0" w:firstRow="1" w:lastRow="0" w:firstColumn="1" w:lastColumn="0" w:noHBand="0" w:noVBand="1"/>
      </w:tblPr>
      <w:tblGrid>
        <w:gridCol w:w="9072"/>
      </w:tblGrid>
      <w:tr w:rsidR="000E54AA" w:rsidRPr="00EF4B0E" w:rsidTr="00F5600F">
        <w:trPr>
          <w:trHeight w:val="227"/>
        </w:trPr>
        <w:tc>
          <w:tcPr>
            <w:tcW w:w="9072" w:type="dxa"/>
          </w:tcPr>
          <w:p w:rsidR="000E54AA" w:rsidRPr="008071B8" w:rsidRDefault="000E54AA" w:rsidP="00F5600F">
            <w:pPr>
              <w:jc w:val="center"/>
              <w:rPr>
                <w:rFonts w:ascii="Times New Roman" w:hAnsi="Times New Roman"/>
                <w:lang w:val="lv-LV" w:eastAsia="lv-LV"/>
              </w:rPr>
            </w:pPr>
            <w:r w:rsidRPr="008071B8">
              <w:rPr>
                <w:rFonts w:ascii="Times New Roman" w:hAnsi="Times New Roman"/>
                <w:b/>
                <w:bCs/>
                <w:lang w:val="lv-LV" w:eastAsia="lv-LV"/>
              </w:rPr>
              <w:t>IV. Tiesību akta projekta ietekme uz spēkā esošo tiesību normu sistēmu</w:t>
            </w:r>
          </w:p>
        </w:tc>
      </w:tr>
      <w:tr w:rsidR="000E54AA" w:rsidRPr="008071B8" w:rsidTr="00F5600F">
        <w:trPr>
          <w:trHeight w:val="227"/>
        </w:trPr>
        <w:tc>
          <w:tcPr>
            <w:tcW w:w="9072" w:type="dxa"/>
          </w:tcPr>
          <w:p w:rsidR="000E54AA" w:rsidRPr="008071B8" w:rsidRDefault="000E54AA" w:rsidP="00F5600F">
            <w:pPr>
              <w:jc w:val="center"/>
              <w:rPr>
                <w:rFonts w:ascii="Times New Roman" w:hAnsi="Times New Roman"/>
                <w:lang w:val="lv-LV" w:eastAsia="lv-LV"/>
              </w:rPr>
            </w:pPr>
            <w:r w:rsidRPr="008071B8">
              <w:rPr>
                <w:rFonts w:ascii="Times New Roman" w:hAnsi="Times New Roman"/>
                <w:bCs/>
                <w:lang w:val="lv-LV" w:eastAsia="lv-LV"/>
              </w:rPr>
              <w:t>Projekts šo jomu neskar</w:t>
            </w:r>
            <w:r w:rsidR="00175374">
              <w:rPr>
                <w:rFonts w:ascii="Times New Roman" w:hAnsi="Times New Roman"/>
                <w:bCs/>
                <w:lang w:val="lv-LV" w:eastAsia="lv-LV"/>
              </w:rPr>
              <w:t>.</w:t>
            </w:r>
          </w:p>
        </w:tc>
      </w:tr>
    </w:tbl>
    <w:p w:rsidR="000E54AA" w:rsidRPr="009E2709" w:rsidRDefault="000E54AA" w:rsidP="00C21DCA">
      <w:pPr>
        <w:jc w:val="both"/>
        <w:rPr>
          <w:i/>
          <w:lang w:val="lv-LV" w:eastAsia="lv-LV"/>
        </w:rPr>
      </w:pPr>
    </w:p>
    <w:tbl>
      <w:tblPr>
        <w:tblW w:w="500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92"/>
        <w:gridCol w:w="1920"/>
        <w:gridCol w:w="2475"/>
        <w:gridCol w:w="1984"/>
        <w:gridCol w:w="2256"/>
      </w:tblGrid>
      <w:tr w:rsidR="005D73DE" w:rsidRPr="002A39FB" w:rsidTr="00412FAC">
        <w:tc>
          <w:tcPr>
            <w:tcW w:w="5000" w:type="pct"/>
            <w:gridSpan w:val="6"/>
            <w:tcBorders>
              <w:top w:val="single" w:sz="4" w:space="0" w:color="auto"/>
              <w:left w:val="single" w:sz="4" w:space="0" w:color="auto"/>
              <w:bottom w:val="outset" w:sz="6" w:space="0" w:color="000000"/>
              <w:right w:val="single" w:sz="4" w:space="0" w:color="auto"/>
            </w:tcBorders>
          </w:tcPr>
          <w:p w:rsidR="009E04D3" w:rsidRPr="009E2709" w:rsidRDefault="009E04D3" w:rsidP="00C21DCA">
            <w:pPr>
              <w:jc w:val="center"/>
              <w:rPr>
                <w:b/>
                <w:bCs/>
                <w:lang w:val="lv-LV"/>
              </w:rPr>
            </w:pPr>
            <w:r w:rsidRPr="002745B0">
              <w:rPr>
                <w:b/>
                <w:bCs/>
                <w:lang w:val="lv-LV"/>
              </w:rPr>
              <w:t>V. Tiesību akta projekta atbilstība Latvijas Republikas starptautiskajām saistībām</w:t>
            </w:r>
          </w:p>
        </w:tc>
      </w:tr>
      <w:tr w:rsidR="005D73DE" w:rsidRPr="00EF4B0E" w:rsidTr="00412FAC">
        <w:tc>
          <w:tcPr>
            <w:tcW w:w="273"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t>1.</w:t>
            </w:r>
          </w:p>
        </w:tc>
        <w:tc>
          <w:tcPr>
            <w:tcW w:w="1051" w:type="pct"/>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Saistības pret Eiropas Savienību</w:t>
            </w:r>
          </w:p>
        </w:tc>
        <w:tc>
          <w:tcPr>
            <w:tcW w:w="3676" w:type="pct"/>
            <w:gridSpan w:val="3"/>
            <w:tcBorders>
              <w:top w:val="outset" w:sz="6" w:space="0" w:color="000000"/>
              <w:left w:val="outset" w:sz="6" w:space="0" w:color="000000"/>
              <w:bottom w:val="outset" w:sz="6" w:space="0" w:color="000000"/>
              <w:right w:val="outset" w:sz="6" w:space="0" w:color="000000"/>
            </w:tcBorders>
          </w:tcPr>
          <w:p w:rsidR="00B861A1" w:rsidRPr="00D03677" w:rsidRDefault="00C14BAF" w:rsidP="00F54EE7">
            <w:pPr>
              <w:jc w:val="both"/>
              <w:rPr>
                <w:lang w:val="lv-LV"/>
              </w:rPr>
            </w:pPr>
            <w:r w:rsidRPr="00F54EE7">
              <w:rPr>
                <w:lang w:val="lv-LV"/>
              </w:rPr>
              <w:t>Noteikumu projektā iekļautas tiesību normas, kas izriet no</w:t>
            </w:r>
            <w:r w:rsidR="00196B16" w:rsidRPr="00F54EE7">
              <w:rPr>
                <w:lang w:val="lv-LV"/>
              </w:rPr>
              <w:t xml:space="preserve"> </w:t>
            </w:r>
            <w:r w:rsidR="00A46FF1" w:rsidRPr="00F54EE7">
              <w:rPr>
                <w:lang w:val="lv-LV"/>
              </w:rPr>
              <w:t>Komisijas 2015. gada 6. janvāra Regulas (ES) Nr.9/2015, ar ko groza Regulu (ES)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Nr.9/2015)</w:t>
            </w:r>
          </w:p>
        </w:tc>
      </w:tr>
      <w:tr w:rsidR="005D73DE" w:rsidRPr="00F20442" w:rsidTr="00412FAC">
        <w:tc>
          <w:tcPr>
            <w:tcW w:w="273"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t>2.</w:t>
            </w:r>
          </w:p>
        </w:tc>
        <w:tc>
          <w:tcPr>
            <w:tcW w:w="1051" w:type="pct"/>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Citas starptautiskās saistības</w:t>
            </w:r>
          </w:p>
        </w:tc>
        <w:tc>
          <w:tcPr>
            <w:tcW w:w="3676" w:type="pct"/>
            <w:gridSpan w:val="3"/>
            <w:tcBorders>
              <w:top w:val="outset" w:sz="6" w:space="0" w:color="000000"/>
              <w:left w:val="outset" w:sz="6" w:space="0" w:color="000000"/>
              <w:bottom w:val="outset" w:sz="6" w:space="0" w:color="000000"/>
              <w:right w:val="outset" w:sz="6" w:space="0" w:color="000000"/>
            </w:tcBorders>
          </w:tcPr>
          <w:p w:rsidR="009E04D3" w:rsidRPr="009E2709" w:rsidRDefault="00C14BAF" w:rsidP="005D73DE">
            <w:pPr>
              <w:rPr>
                <w:lang w:val="lv-LV"/>
              </w:rPr>
            </w:pPr>
            <w:r>
              <w:rPr>
                <w:lang w:val="lv-LV"/>
              </w:rPr>
              <w:t>Projekts šo jomu neskar.</w:t>
            </w:r>
          </w:p>
        </w:tc>
      </w:tr>
      <w:tr w:rsidR="005D73DE" w:rsidRPr="00F20442" w:rsidTr="00412FAC">
        <w:tc>
          <w:tcPr>
            <w:tcW w:w="273"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t>3.</w:t>
            </w:r>
          </w:p>
        </w:tc>
        <w:tc>
          <w:tcPr>
            <w:tcW w:w="1051" w:type="pct"/>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Cita informācija</w:t>
            </w:r>
          </w:p>
        </w:tc>
        <w:tc>
          <w:tcPr>
            <w:tcW w:w="3676" w:type="pct"/>
            <w:gridSpan w:val="3"/>
            <w:tcBorders>
              <w:top w:val="outset" w:sz="6" w:space="0" w:color="000000"/>
              <w:left w:val="outset" w:sz="6" w:space="0" w:color="000000"/>
              <w:bottom w:val="outset" w:sz="6" w:space="0" w:color="000000"/>
              <w:right w:val="outset" w:sz="6" w:space="0" w:color="000000"/>
            </w:tcBorders>
          </w:tcPr>
          <w:p w:rsidR="009E04D3" w:rsidRPr="009E2709" w:rsidRDefault="00C14BAF" w:rsidP="005D73DE">
            <w:pPr>
              <w:rPr>
                <w:lang w:val="lv-LV"/>
              </w:rPr>
            </w:pPr>
            <w:r>
              <w:rPr>
                <w:lang w:val="lv-LV"/>
              </w:rPr>
              <w:t>Nav.</w:t>
            </w:r>
          </w:p>
        </w:tc>
      </w:tr>
      <w:tr w:rsidR="005D73DE" w:rsidRPr="002A39FB" w:rsidTr="00412F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5"/>
            <w:vAlign w:val="center"/>
          </w:tcPr>
          <w:p w:rsidR="00FB20CF" w:rsidRPr="009E2709" w:rsidRDefault="00FB20CF" w:rsidP="005D73DE">
            <w:pPr>
              <w:pStyle w:val="naisnod"/>
              <w:spacing w:before="0" w:after="0"/>
            </w:pPr>
            <w:r w:rsidRPr="009E2709">
              <w:lastRenderedPageBreak/>
              <w:t>1.tabula</w:t>
            </w:r>
          </w:p>
          <w:p w:rsidR="00FB20CF" w:rsidRPr="009E2709" w:rsidRDefault="00FB20CF" w:rsidP="005D73DE">
            <w:pPr>
              <w:pStyle w:val="naisnod"/>
              <w:spacing w:before="0" w:after="0"/>
              <w:rPr>
                <w:i/>
              </w:rPr>
            </w:pPr>
            <w:r w:rsidRPr="009E2709">
              <w:t>Tiesību akta projekta atbilstība ES tiesību aktiem</w:t>
            </w:r>
          </w:p>
        </w:tc>
      </w:tr>
      <w:tr w:rsidR="005D73DE" w:rsidRPr="000E54AA" w:rsidTr="0036287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320" w:type="pct"/>
            <w:gridSpan w:val="2"/>
            <w:vAlign w:val="center"/>
          </w:tcPr>
          <w:p w:rsidR="00FB20CF" w:rsidRPr="009E2709" w:rsidRDefault="00FB20CF" w:rsidP="005D73DE">
            <w:pPr>
              <w:pStyle w:val="naiskr"/>
              <w:spacing w:before="0" w:beforeAutospacing="0" w:after="0" w:afterAutospacing="0"/>
              <w:ind w:hanging="10"/>
              <w:jc w:val="center"/>
            </w:pPr>
            <w:r w:rsidRPr="009E2709">
              <w:t>Attiecīgā ES tiesību akta datums, numurs un nosaukums</w:t>
            </w:r>
          </w:p>
        </w:tc>
        <w:tc>
          <w:tcPr>
            <w:tcW w:w="3676" w:type="pct"/>
            <w:gridSpan w:val="3"/>
          </w:tcPr>
          <w:p w:rsidR="004919FF" w:rsidRPr="00F54EE7" w:rsidRDefault="00A46FF1" w:rsidP="00175374">
            <w:pPr>
              <w:pStyle w:val="naiskr"/>
              <w:spacing w:before="0" w:beforeAutospacing="0" w:after="0" w:afterAutospacing="0"/>
              <w:jc w:val="both"/>
              <w:rPr>
                <w:bCs/>
              </w:rPr>
            </w:pPr>
            <w:r w:rsidRPr="00F54EE7">
              <w:t>Regula Nr.9/2015</w:t>
            </w:r>
          </w:p>
        </w:tc>
      </w:tr>
      <w:tr w:rsidR="005D73DE" w:rsidRPr="00384CF4" w:rsidTr="0036287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20" w:type="pct"/>
            <w:gridSpan w:val="2"/>
            <w:vAlign w:val="center"/>
          </w:tcPr>
          <w:p w:rsidR="00FB20CF" w:rsidRPr="009E2709" w:rsidRDefault="00FB20CF" w:rsidP="005D73DE">
            <w:pPr>
              <w:pStyle w:val="naiskr"/>
              <w:spacing w:before="0" w:beforeAutospacing="0" w:after="0" w:afterAutospacing="0"/>
              <w:jc w:val="center"/>
            </w:pPr>
            <w:r w:rsidRPr="009E2709">
              <w:t>A</w:t>
            </w:r>
          </w:p>
        </w:tc>
        <w:tc>
          <w:tcPr>
            <w:tcW w:w="1355" w:type="pct"/>
            <w:vAlign w:val="center"/>
          </w:tcPr>
          <w:p w:rsidR="00FB20CF" w:rsidRPr="009E2709" w:rsidRDefault="00FB20CF" w:rsidP="005D73DE">
            <w:pPr>
              <w:pStyle w:val="naiskr"/>
              <w:spacing w:before="0" w:beforeAutospacing="0" w:after="0" w:afterAutospacing="0"/>
              <w:jc w:val="center"/>
            </w:pPr>
            <w:r w:rsidRPr="009E2709">
              <w:t>B</w:t>
            </w:r>
          </w:p>
        </w:tc>
        <w:tc>
          <w:tcPr>
            <w:tcW w:w="1086" w:type="pct"/>
            <w:vAlign w:val="center"/>
          </w:tcPr>
          <w:p w:rsidR="00FB20CF" w:rsidRPr="009E2709" w:rsidRDefault="00FB20CF" w:rsidP="005D73DE">
            <w:pPr>
              <w:pStyle w:val="naiskr"/>
              <w:spacing w:before="0" w:beforeAutospacing="0" w:after="0" w:afterAutospacing="0"/>
              <w:jc w:val="center"/>
            </w:pPr>
            <w:r w:rsidRPr="009E2709">
              <w:t>C</w:t>
            </w:r>
          </w:p>
        </w:tc>
        <w:tc>
          <w:tcPr>
            <w:tcW w:w="1235" w:type="pct"/>
            <w:vAlign w:val="center"/>
          </w:tcPr>
          <w:p w:rsidR="00FB20CF" w:rsidRPr="009E2709" w:rsidRDefault="00FB20CF" w:rsidP="005D73DE">
            <w:pPr>
              <w:pStyle w:val="naiskr"/>
              <w:spacing w:before="0" w:beforeAutospacing="0" w:after="0" w:afterAutospacing="0"/>
              <w:jc w:val="center"/>
            </w:pPr>
            <w:r w:rsidRPr="009E2709">
              <w:t>D</w:t>
            </w:r>
          </w:p>
        </w:tc>
      </w:tr>
      <w:tr w:rsidR="005D73DE" w:rsidRPr="00EF4B0E" w:rsidTr="0036287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20" w:type="pct"/>
            <w:gridSpan w:val="2"/>
          </w:tcPr>
          <w:p w:rsidR="00DC5E91" w:rsidRPr="009E2709" w:rsidRDefault="00DC5E91" w:rsidP="005D73DE">
            <w:pPr>
              <w:pStyle w:val="naiskr"/>
              <w:spacing w:before="0" w:beforeAutospacing="0" w:after="0" w:afterAutospacing="0"/>
              <w:jc w:val="both"/>
            </w:pPr>
            <w:r w:rsidRPr="009E2709">
              <w:t>Attiecīgā ES tiesību akta panta numurs (uzskaitot katru tiesību akta vienību – pantu, daļu, punktu, apakšpunktu)</w:t>
            </w:r>
          </w:p>
        </w:tc>
        <w:tc>
          <w:tcPr>
            <w:tcW w:w="1355" w:type="pct"/>
          </w:tcPr>
          <w:p w:rsidR="00DC5E91" w:rsidRPr="009E2709" w:rsidRDefault="0015551E" w:rsidP="005D73DE">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1086" w:type="pct"/>
          </w:tcPr>
          <w:p w:rsidR="00E36E68" w:rsidRPr="009E2709" w:rsidRDefault="00DC5E91" w:rsidP="005D73DE">
            <w:pPr>
              <w:pStyle w:val="naiskr"/>
              <w:spacing w:before="0" w:beforeAutospacing="0" w:after="0" w:afterAutospacing="0"/>
              <w:jc w:val="both"/>
            </w:pPr>
            <w:r w:rsidRPr="009E2709">
              <w:t>Informācija par to, vai šīs tabulas A ailē minētās ES tiesību akta vienības tiek pārņemtas vai ieviestas pilnībā vai daļēji.</w:t>
            </w:r>
          </w:p>
          <w:p w:rsidR="00E36E68" w:rsidRPr="009E2709" w:rsidRDefault="00E36E68" w:rsidP="005D73DE">
            <w:pPr>
              <w:pStyle w:val="naiskr"/>
              <w:spacing w:before="0" w:beforeAutospacing="0" w:after="0" w:afterAutospacing="0"/>
              <w:jc w:val="both"/>
            </w:pPr>
            <w:r w:rsidRPr="009E2709">
              <w:t>Ja attiecīgā ES tiesību akta vienība tiek pārņemta vai ieviesta daļēji,  sniedz attiecīgu skaidrojumu, kā arī precīzi norāda, kad un kādā veidā ES tiesību akta vienība tiks pārņemta vai ieviesta pilnībā.</w:t>
            </w:r>
          </w:p>
          <w:p w:rsidR="00E36E68" w:rsidRPr="009E2709" w:rsidRDefault="00E36E68" w:rsidP="005D73DE">
            <w:pPr>
              <w:pStyle w:val="naiskr"/>
              <w:spacing w:before="0" w:beforeAutospacing="0" w:after="0" w:afterAutospacing="0"/>
              <w:jc w:val="both"/>
            </w:pPr>
            <w:r w:rsidRPr="009E2709">
              <w:t>Norāda institūciju, kas ir atbildīga par šo saistību izpildi pilnībā</w:t>
            </w:r>
          </w:p>
        </w:tc>
        <w:tc>
          <w:tcPr>
            <w:tcW w:w="1235" w:type="pct"/>
            <w:vAlign w:val="center"/>
          </w:tcPr>
          <w:p w:rsidR="00E36E68" w:rsidRPr="009E2709" w:rsidRDefault="00DC5E91" w:rsidP="005D73DE">
            <w:pPr>
              <w:pStyle w:val="naiskr"/>
              <w:spacing w:before="0" w:beforeAutospacing="0" w:after="0" w:afterAutospacing="0"/>
              <w:jc w:val="both"/>
            </w:pPr>
            <w:r w:rsidRPr="009E2709">
              <w:t>Informācija par to, vai šīs tabulas B ailē minētās projekta vienības paredz stingrākas prasības nekā šīs tabulas A ailē minētās ES tiesību akta vienības.</w:t>
            </w:r>
          </w:p>
          <w:p w:rsidR="00E36E68" w:rsidRPr="009E2709" w:rsidRDefault="00E36E68" w:rsidP="005D73DE">
            <w:pPr>
              <w:pStyle w:val="naiskr"/>
              <w:spacing w:before="0" w:beforeAutospacing="0" w:after="0" w:afterAutospacing="0"/>
              <w:jc w:val="both"/>
            </w:pPr>
            <w:r w:rsidRPr="009E2709">
              <w:t>Ja projekts satur stingrākas prasības nekā attiecīgais ES tiesību akts, norāda pamatojumu un samērīgumu.</w:t>
            </w:r>
          </w:p>
          <w:p w:rsidR="00DC5E91" w:rsidRPr="009E2709" w:rsidRDefault="00E36E68" w:rsidP="005D73DE">
            <w:pPr>
              <w:pStyle w:val="naiskr"/>
              <w:spacing w:before="0" w:beforeAutospacing="0" w:after="0" w:afterAutospacing="0"/>
              <w:jc w:val="both"/>
            </w:pPr>
            <w:r w:rsidRPr="009E2709">
              <w:t>Norāda iespējamās alternatīvas (t.sk. alternatīvas, kas neparedz tiesiskā regulējuma izstrādi) – kādos gadījumos būtu iespējams izvairīties no stingrāku prasību noteikšanas, nekā paredzēts attiecīgajos ES tiesību aktos</w:t>
            </w:r>
          </w:p>
        </w:tc>
      </w:tr>
      <w:tr w:rsidR="00B1671A" w:rsidRPr="00EF4B0E" w:rsidTr="0036287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20" w:type="pct"/>
            <w:gridSpan w:val="2"/>
          </w:tcPr>
          <w:p w:rsidR="00B1671A" w:rsidRPr="00F54EE7" w:rsidRDefault="00B1671A" w:rsidP="00B1671A">
            <w:pPr>
              <w:jc w:val="both"/>
              <w:rPr>
                <w:bCs/>
                <w:lang w:val="lv-LV"/>
              </w:rPr>
            </w:pPr>
            <w:r w:rsidRPr="00F54EE7">
              <w:rPr>
                <w:bCs/>
                <w:lang w:val="lv-LV"/>
              </w:rPr>
              <w:t xml:space="preserve">Regulas Nr.142/2011 </w:t>
            </w:r>
            <w:r w:rsidRPr="00F54EE7">
              <w:rPr>
                <w:lang w:val="lv-LV"/>
              </w:rPr>
              <w:t>IV pielikuma IV nodaļas 3. iedaļas 2. punkta „b” apakšpunkta „iii” apakšpunkta trešais ievilkums</w:t>
            </w:r>
            <w:r w:rsidRPr="00F54EE7">
              <w:rPr>
                <w:bCs/>
                <w:lang w:val="lv-LV"/>
              </w:rPr>
              <w:t xml:space="preserve"> </w:t>
            </w:r>
          </w:p>
        </w:tc>
        <w:tc>
          <w:tcPr>
            <w:tcW w:w="1355" w:type="pct"/>
            <w:vAlign w:val="center"/>
          </w:tcPr>
          <w:p w:rsidR="00B1671A" w:rsidRPr="000E54AA" w:rsidRDefault="00B1671A" w:rsidP="00E34B73">
            <w:pPr>
              <w:pStyle w:val="naiskr"/>
              <w:spacing w:before="0" w:beforeAutospacing="0" w:after="0" w:afterAutospacing="0"/>
              <w:jc w:val="both"/>
            </w:pPr>
            <w:r w:rsidRPr="000E54AA">
              <w:t xml:space="preserve">Noteikumu projekta </w:t>
            </w:r>
            <w:r w:rsidR="00E34B73" w:rsidRPr="000E54AA">
              <w:t>3</w:t>
            </w:r>
            <w:r w:rsidRPr="000E54AA">
              <w:t>.</w:t>
            </w:r>
            <w:r w:rsidR="00E34B73" w:rsidRPr="000E54AA">
              <w:t xml:space="preserve"> un 5.</w:t>
            </w:r>
            <w:r w:rsidRPr="000E54AA">
              <w:t xml:space="preserve"> punkts </w:t>
            </w:r>
          </w:p>
        </w:tc>
        <w:tc>
          <w:tcPr>
            <w:tcW w:w="1086" w:type="pct"/>
          </w:tcPr>
          <w:p w:rsidR="00B1671A" w:rsidRPr="00F54EE7" w:rsidRDefault="00B1671A" w:rsidP="00A364E2">
            <w:pPr>
              <w:pStyle w:val="naiskr"/>
              <w:spacing w:before="0" w:beforeAutospacing="0" w:after="0" w:afterAutospacing="0"/>
              <w:jc w:val="both"/>
            </w:pPr>
            <w:r w:rsidRPr="00F54EE7">
              <w:t>ES tiesību akta vienība tiek ieviesta pilnībā.</w:t>
            </w:r>
          </w:p>
        </w:tc>
        <w:tc>
          <w:tcPr>
            <w:tcW w:w="1235" w:type="pct"/>
          </w:tcPr>
          <w:p w:rsidR="00B1671A" w:rsidRPr="00F54EE7" w:rsidRDefault="00B1671A" w:rsidP="00A364E2">
            <w:pPr>
              <w:pStyle w:val="naiskr"/>
              <w:spacing w:before="0" w:beforeAutospacing="0" w:after="0" w:afterAutospacing="0"/>
              <w:jc w:val="both"/>
            </w:pPr>
            <w:r w:rsidRPr="00F54EE7">
              <w:t>Attiecīgais noteikumu projekta punkts neparedz stingrākas prasības kā ES tiesību aktā.</w:t>
            </w:r>
          </w:p>
        </w:tc>
      </w:tr>
      <w:tr w:rsidR="00812946" w:rsidRPr="00EF4B0E" w:rsidTr="0036287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20" w:type="pct"/>
            <w:gridSpan w:val="2"/>
          </w:tcPr>
          <w:p w:rsidR="00B1671A" w:rsidRPr="00F54EE7" w:rsidRDefault="00B1671A" w:rsidP="00FC60A2">
            <w:pPr>
              <w:jc w:val="both"/>
              <w:rPr>
                <w:bCs/>
                <w:lang w:val="lv-LV"/>
              </w:rPr>
            </w:pPr>
            <w:r w:rsidRPr="00F54EE7">
              <w:rPr>
                <w:bCs/>
                <w:lang w:val="lv-LV"/>
              </w:rPr>
              <w:t xml:space="preserve">Regulas Nr. 142/2011 III pielikuma III nodaļas </w:t>
            </w:r>
            <w:r w:rsidR="00175374">
              <w:rPr>
                <w:bCs/>
                <w:lang w:val="lv-LV"/>
              </w:rPr>
              <w:t>„</w:t>
            </w:r>
            <w:r w:rsidRPr="00F54EE7">
              <w:rPr>
                <w:bCs/>
                <w:lang w:val="lv-LV"/>
              </w:rPr>
              <w:t>a</w:t>
            </w:r>
            <w:r w:rsidR="00175374">
              <w:rPr>
                <w:bCs/>
                <w:lang w:val="lv-LV"/>
              </w:rPr>
              <w:t>”</w:t>
            </w:r>
            <w:r w:rsidRPr="00F54EE7">
              <w:rPr>
                <w:bCs/>
                <w:lang w:val="lv-LV"/>
              </w:rPr>
              <w:t xml:space="preserve"> punkts</w:t>
            </w:r>
          </w:p>
          <w:p w:rsidR="00812946" w:rsidRPr="00F54EE7" w:rsidRDefault="00B1671A" w:rsidP="00B1671A">
            <w:pPr>
              <w:jc w:val="both"/>
              <w:rPr>
                <w:bCs/>
                <w:lang w:val="lv-LV"/>
              </w:rPr>
            </w:pPr>
            <w:r w:rsidRPr="00F54EE7">
              <w:rPr>
                <w:bCs/>
                <w:lang w:val="lv-LV"/>
              </w:rPr>
              <w:t>(</w:t>
            </w:r>
            <w:r w:rsidR="00FC60A2" w:rsidRPr="00F54EE7">
              <w:rPr>
                <w:bCs/>
                <w:lang w:val="lv-LV"/>
              </w:rPr>
              <w:t>Regula</w:t>
            </w:r>
            <w:r w:rsidR="00E51F6C" w:rsidRPr="00F54EE7">
              <w:rPr>
                <w:bCs/>
                <w:lang w:val="lv-LV"/>
              </w:rPr>
              <w:t>s</w:t>
            </w:r>
            <w:r w:rsidR="00FC60A2" w:rsidRPr="00F54EE7">
              <w:rPr>
                <w:bCs/>
                <w:lang w:val="lv-LV"/>
              </w:rPr>
              <w:t xml:space="preserve"> Nr.9/2015</w:t>
            </w:r>
            <w:r w:rsidR="001764AE" w:rsidRPr="00F54EE7">
              <w:rPr>
                <w:bCs/>
                <w:lang w:val="lv-LV"/>
              </w:rPr>
              <w:t xml:space="preserve"> </w:t>
            </w:r>
            <w:r w:rsidR="00412FAC" w:rsidRPr="00F54EE7">
              <w:rPr>
                <w:bCs/>
                <w:lang w:val="lv-LV"/>
              </w:rPr>
              <w:t>pielikum</w:t>
            </w:r>
            <w:r w:rsidR="00362876" w:rsidRPr="00F54EE7">
              <w:rPr>
                <w:bCs/>
                <w:lang w:val="lv-LV"/>
              </w:rPr>
              <w:t xml:space="preserve">a 2. </w:t>
            </w:r>
            <w:r w:rsidRPr="00F54EE7">
              <w:rPr>
                <w:bCs/>
                <w:lang w:val="lv-LV"/>
              </w:rPr>
              <w:t>p</w:t>
            </w:r>
            <w:r w:rsidR="00362876" w:rsidRPr="00F54EE7">
              <w:rPr>
                <w:bCs/>
                <w:lang w:val="lv-LV"/>
              </w:rPr>
              <w:t>unkts</w:t>
            </w:r>
            <w:r w:rsidRPr="00F54EE7">
              <w:rPr>
                <w:bCs/>
                <w:lang w:val="lv-LV"/>
              </w:rPr>
              <w:t>)</w:t>
            </w:r>
          </w:p>
        </w:tc>
        <w:tc>
          <w:tcPr>
            <w:tcW w:w="1355" w:type="pct"/>
            <w:vAlign w:val="center"/>
          </w:tcPr>
          <w:p w:rsidR="00812946" w:rsidRPr="000E54AA" w:rsidRDefault="00362876" w:rsidP="00E34B73">
            <w:pPr>
              <w:pStyle w:val="naiskr"/>
              <w:spacing w:before="0" w:beforeAutospacing="0" w:after="0" w:afterAutospacing="0"/>
              <w:jc w:val="both"/>
            </w:pPr>
            <w:r w:rsidRPr="000E54AA">
              <w:t xml:space="preserve">Noteikumu projekta </w:t>
            </w:r>
            <w:r w:rsidR="00E34B73" w:rsidRPr="000E54AA">
              <w:t>4</w:t>
            </w:r>
            <w:r w:rsidRPr="000E54AA">
              <w:t>.</w:t>
            </w:r>
            <w:r w:rsidR="00467902" w:rsidRPr="000E54AA">
              <w:t> </w:t>
            </w:r>
            <w:r w:rsidRPr="000E54AA">
              <w:t>punkts</w:t>
            </w:r>
          </w:p>
        </w:tc>
        <w:tc>
          <w:tcPr>
            <w:tcW w:w="1086" w:type="pct"/>
          </w:tcPr>
          <w:p w:rsidR="00812946" w:rsidRPr="00F54EE7" w:rsidRDefault="00812946" w:rsidP="005D73DE">
            <w:pPr>
              <w:pStyle w:val="naiskr"/>
              <w:spacing w:before="0" w:beforeAutospacing="0" w:after="0" w:afterAutospacing="0"/>
              <w:jc w:val="both"/>
            </w:pPr>
            <w:r w:rsidRPr="00F54EE7">
              <w:t>ES tiesību akta vienība tiek ieviesta pilnībā.</w:t>
            </w:r>
          </w:p>
        </w:tc>
        <w:tc>
          <w:tcPr>
            <w:tcW w:w="1235" w:type="pct"/>
          </w:tcPr>
          <w:p w:rsidR="00812946" w:rsidRPr="00F54EE7" w:rsidRDefault="00812946" w:rsidP="005D73DE">
            <w:pPr>
              <w:pStyle w:val="naiskr"/>
              <w:spacing w:before="0" w:beforeAutospacing="0" w:after="0" w:afterAutospacing="0"/>
              <w:jc w:val="both"/>
            </w:pPr>
            <w:r w:rsidRPr="00F54EE7">
              <w:t>Attiecīgais noteikumu projekta punkts neparedz stingrākas prasības kā ES tiesību aktā.</w:t>
            </w:r>
          </w:p>
        </w:tc>
      </w:tr>
      <w:tr w:rsidR="00812946" w:rsidRPr="00EF4B0E" w:rsidTr="0036287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320" w:type="pct"/>
            <w:gridSpan w:val="2"/>
            <w:vAlign w:val="center"/>
          </w:tcPr>
          <w:p w:rsidR="00812946" w:rsidRPr="009E2709" w:rsidRDefault="00812946" w:rsidP="00812946">
            <w:pPr>
              <w:pStyle w:val="naiskr"/>
              <w:spacing w:before="0" w:beforeAutospacing="0" w:after="0" w:afterAutospacing="0"/>
              <w:jc w:val="both"/>
            </w:pPr>
            <w:r w:rsidRPr="009E2709">
              <w:t>Kā ir izmantota ES tiesību aktā paredzētā rīcības brīvība dalībvalstij pārņemt vai ieviest noteiktas ES tiesību akta normas. Kādēļ?</w:t>
            </w:r>
          </w:p>
        </w:tc>
        <w:tc>
          <w:tcPr>
            <w:tcW w:w="3676" w:type="pct"/>
            <w:gridSpan w:val="3"/>
          </w:tcPr>
          <w:p w:rsidR="00812946" w:rsidRPr="00447AAF" w:rsidRDefault="00812946" w:rsidP="00712C48">
            <w:pPr>
              <w:pStyle w:val="naiskr"/>
              <w:spacing w:before="0" w:beforeAutospacing="0" w:after="0" w:afterAutospacing="0"/>
              <w:jc w:val="both"/>
            </w:pPr>
          </w:p>
          <w:p w:rsidR="00812946" w:rsidRPr="006C4C6D" w:rsidRDefault="00FC60A2" w:rsidP="00E56161">
            <w:pPr>
              <w:pStyle w:val="naiskr"/>
              <w:spacing w:before="0" w:beforeAutospacing="0" w:after="0" w:afterAutospacing="0"/>
              <w:jc w:val="both"/>
            </w:pPr>
            <w:r w:rsidRPr="00FC60A2">
              <w:rPr>
                <w:bCs/>
              </w:rPr>
              <w:t xml:space="preserve">Regula Nr.9/2015 paredz dalībvalstīm </w:t>
            </w:r>
            <w:r w:rsidR="00E56161">
              <w:rPr>
                <w:bCs/>
              </w:rPr>
              <w:t xml:space="preserve">iespēju </w:t>
            </w:r>
            <w:r w:rsidRPr="00FC60A2">
              <w:rPr>
                <w:bCs/>
              </w:rPr>
              <w:t xml:space="preserve">izmantot atkāpi </w:t>
            </w:r>
            <w:r w:rsidR="00467902">
              <w:rPr>
                <w:bCs/>
              </w:rPr>
              <w:t>–</w:t>
            </w:r>
            <w:r w:rsidRPr="00FC60A2">
              <w:rPr>
                <w:bCs/>
              </w:rPr>
              <w:t xml:space="preserve"> iespēju kremēt mirušus zirgu dzimtas dzīvniekus PVD atzītās mazjaudas sadedzināšanas iekārtās ar nosacījumu, ka zirgu dzimtas dzīvnieki ir individuāli identificēti un no novietnēm, kurām nav noteikti aizliegumi saistībā ar infekcijas slimībām. </w:t>
            </w:r>
          </w:p>
        </w:tc>
      </w:tr>
      <w:tr w:rsidR="00812946" w:rsidRPr="002A39FB" w:rsidTr="0036287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46"/>
          <w:jc w:val="center"/>
        </w:trPr>
        <w:tc>
          <w:tcPr>
            <w:tcW w:w="1320" w:type="pct"/>
            <w:gridSpan w:val="2"/>
            <w:vAlign w:val="center"/>
          </w:tcPr>
          <w:p w:rsidR="00812946" w:rsidRPr="009E2709" w:rsidRDefault="00812946" w:rsidP="00812946">
            <w:pPr>
              <w:pStyle w:val="naiskr"/>
              <w:spacing w:before="0" w:beforeAutospacing="0" w:after="0" w:afterAutospacing="0"/>
              <w:jc w:val="both"/>
              <w:rPr>
                <w:i/>
              </w:rPr>
            </w:pPr>
            <w:r w:rsidRPr="009E2709">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6" w:type="pct"/>
            <w:gridSpan w:val="3"/>
          </w:tcPr>
          <w:p w:rsidR="00812946" w:rsidRPr="009E2709" w:rsidRDefault="00655E8B" w:rsidP="00655E8B">
            <w:pPr>
              <w:pStyle w:val="naiskr"/>
              <w:spacing w:before="0" w:beforeAutospacing="0" w:after="0" w:afterAutospacing="0"/>
            </w:pPr>
            <w:r>
              <w:t>P</w:t>
            </w:r>
            <w:r w:rsidR="00812946">
              <w:t>rojekts šo jomu neskar.</w:t>
            </w:r>
          </w:p>
        </w:tc>
      </w:tr>
      <w:tr w:rsidR="00812946" w:rsidRPr="009E2709" w:rsidTr="0036287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47"/>
          <w:jc w:val="center"/>
        </w:trPr>
        <w:tc>
          <w:tcPr>
            <w:tcW w:w="1320" w:type="pct"/>
            <w:gridSpan w:val="2"/>
          </w:tcPr>
          <w:p w:rsidR="00812946" w:rsidRPr="009E2709" w:rsidRDefault="00812946" w:rsidP="00812946">
            <w:pPr>
              <w:pStyle w:val="naiskr"/>
              <w:spacing w:before="0" w:beforeAutospacing="0" w:after="0" w:afterAutospacing="0"/>
              <w:jc w:val="both"/>
            </w:pPr>
            <w:r w:rsidRPr="009E2709">
              <w:t>Cita informācija</w:t>
            </w:r>
          </w:p>
        </w:tc>
        <w:tc>
          <w:tcPr>
            <w:tcW w:w="3676" w:type="pct"/>
            <w:gridSpan w:val="3"/>
          </w:tcPr>
          <w:p w:rsidR="00812946" w:rsidRPr="009E2709" w:rsidRDefault="00812946" w:rsidP="00812946">
            <w:pPr>
              <w:pStyle w:val="naiskr"/>
              <w:spacing w:before="0" w:beforeAutospacing="0" w:after="0" w:afterAutospacing="0"/>
            </w:pPr>
            <w:r>
              <w:t>Nav.</w:t>
            </w:r>
          </w:p>
        </w:tc>
      </w:tr>
    </w:tbl>
    <w:p w:rsidR="009E04D3" w:rsidRDefault="009E04D3" w:rsidP="005D73DE">
      <w:pPr>
        <w:rPr>
          <w:u w:val="single"/>
          <w:lang w:val="lv-LV" w:eastAsia="lv-LV"/>
        </w:rPr>
      </w:pPr>
    </w:p>
    <w:tbl>
      <w:tblPr>
        <w:tblStyle w:val="Reatabula"/>
        <w:tblW w:w="9072" w:type="dxa"/>
        <w:tblInd w:w="108" w:type="dxa"/>
        <w:tblLook w:val="04A0" w:firstRow="1" w:lastRow="0" w:firstColumn="1" w:lastColumn="0" w:noHBand="0" w:noVBand="1"/>
      </w:tblPr>
      <w:tblGrid>
        <w:gridCol w:w="9072"/>
      </w:tblGrid>
      <w:tr w:rsidR="000E54AA" w:rsidRPr="008071B8" w:rsidTr="00F5600F">
        <w:trPr>
          <w:trHeight w:val="227"/>
        </w:trPr>
        <w:tc>
          <w:tcPr>
            <w:tcW w:w="9072" w:type="dxa"/>
          </w:tcPr>
          <w:p w:rsidR="000E54AA" w:rsidRPr="008071B8" w:rsidRDefault="000E54AA" w:rsidP="00F5600F">
            <w:pPr>
              <w:jc w:val="center"/>
              <w:rPr>
                <w:rFonts w:ascii="Times New Roman" w:hAnsi="Times New Roman"/>
                <w:lang w:val="lv-LV" w:eastAsia="lv-LV"/>
              </w:rPr>
            </w:pPr>
            <w:r w:rsidRPr="00E37028">
              <w:rPr>
                <w:rFonts w:ascii="Times New Roman" w:hAnsi="Times New Roman"/>
                <w:b/>
                <w:bCs/>
                <w:lang w:val="lv-LV" w:eastAsia="lv-LV"/>
              </w:rPr>
              <w:t>V. Tiesību akta projekta atbilstība Latvijas Republikas starptautiskajām saistībām</w:t>
            </w:r>
          </w:p>
        </w:tc>
      </w:tr>
      <w:tr w:rsidR="000E54AA" w:rsidRPr="008071B8" w:rsidTr="00F5600F">
        <w:trPr>
          <w:trHeight w:val="227"/>
        </w:trPr>
        <w:tc>
          <w:tcPr>
            <w:tcW w:w="9072" w:type="dxa"/>
          </w:tcPr>
          <w:p w:rsidR="000E54AA" w:rsidRPr="00E37028" w:rsidRDefault="000E54AA" w:rsidP="00F5600F">
            <w:pPr>
              <w:jc w:val="center"/>
              <w:rPr>
                <w:rFonts w:ascii="Times New Roman" w:hAnsi="Times New Roman"/>
                <w:b/>
                <w:lang w:val="lv-LV" w:eastAsia="lv-LV"/>
              </w:rPr>
            </w:pPr>
            <w:r w:rsidRPr="00E37028">
              <w:rPr>
                <w:rFonts w:ascii="Times New Roman" w:hAnsi="Times New Roman"/>
                <w:b/>
                <w:lang w:val="lv-LV" w:eastAsia="lv-LV"/>
              </w:rPr>
              <w:t>2.tabula</w:t>
            </w:r>
          </w:p>
          <w:p w:rsidR="000E54AA" w:rsidRPr="00E37028" w:rsidRDefault="000E54AA" w:rsidP="00F5600F">
            <w:pPr>
              <w:jc w:val="center"/>
              <w:rPr>
                <w:rFonts w:ascii="Times New Roman" w:hAnsi="Times New Roman"/>
                <w:b/>
                <w:lang w:val="lv-LV" w:eastAsia="lv-LV"/>
              </w:rPr>
            </w:pPr>
            <w:r w:rsidRPr="00E37028">
              <w:rPr>
                <w:rFonts w:ascii="Times New Roman" w:hAnsi="Times New Roman"/>
                <w:b/>
                <w:lang w:val="lv-LV" w:eastAsia="lv-LV"/>
              </w:rPr>
              <w:t>Ar tiesību akta projektu izpildītās vai uzņemtās saistības, kas izriet no starptautiskajiem tiesību aktiem vai starptautiskas institūcijas vai organizācijas dokumentiem.</w:t>
            </w:r>
          </w:p>
          <w:p w:rsidR="000E54AA" w:rsidRPr="008071B8" w:rsidRDefault="000E54AA" w:rsidP="00F5600F">
            <w:pPr>
              <w:jc w:val="center"/>
              <w:rPr>
                <w:rFonts w:ascii="Times New Roman" w:hAnsi="Times New Roman"/>
                <w:lang w:val="lv-LV" w:eastAsia="lv-LV"/>
              </w:rPr>
            </w:pPr>
            <w:r w:rsidRPr="00E37028">
              <w:rPr>
                <w:rFonts w:ascii="Times New Roman" w:hAnsi="Times New Roman"/>
                <w:b/>
                <w:lang w:val="lv-LV" w:eastAsia="lv-LV"/>
              </w:rPr>
              <w:t>Pasākumi šo saistību izpildei</w:t>
            </w:r>
          </w:p>
        </w:tc>
      </w:tr>
      <w:tr w:rsidR="000E54AA" w:rsidRPr="008071B8" w:rsidTr="00F5600F">
        <w:trPr>
          <w:trHeight w:val="227"/>
        </w:trPr>
        <w:tc>
          <w:tcPr>
            <w:tcW w:w="9072" w:type="dxa"/>
          </w:tcPr>
          <w:p w:rsidR="000E54AA" w:rsidRPr="008071B8" w:rsidRDefault="000E54AA" w:rsidP="000E54AA">
            <w:pPr>
              <w:jc w:val="center"/>
              <w:rPr>
                <w:bCs/>
                <w:lang w:val="lv-LV" w:eastAsia="lv-LV"/>
              </w:rPr>
            </w:pPr>
            <w:r w:rsidRPr="008071B8">
              <w:rPr>
                <w:rFonts w:ascii="Times New Roman" w:hAnsi="Times New Roman"/>
                <w:bCs/>
                <w:lang w:val="lv-LV" w:eastAsia="lv-LV"/>
              </w:rPr>
              <w:t>Projekts šo jomu neskar</w:t>
            </w:r>
            <w:r w:rsidR="00175374">
              <w:rPr>
                <w:rFonts w:ascii="Times New Roman" w:hAnsi="Times New Roman"/>
                <w:bCs/>
                <w:lang w:val="lv-LV" w:eastAsia="lv-LV"/>
              </w:rPr>
              <w:t>.</w:t>
            </w:r>
          </w:p>
        </w:tc>
      </w:tr>
    </w:tbl>
    <w:p w:rsidR="000E54AA" w:rsidRDefault="000E54AA" w:rsidP="005D73DE">
      <w:pPr>
        <w:rPr>
          <w:u w:val="single"/>
          <w:lang w:val="lv-LV" w:eastAsia="lv-LV"/>
        </w:rPr>
      </w:pPr>
    </w:p>
    <w:tbl>
      <w:tblPr>
        <w:tblW w:w="5005"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5"/>
        <w:gridCol w:w="4153"/>
        <w:gridCol w:w="4422"/>
      </w:tblGrid>
      <w:tr w:rsidR="00106A29" w:rsidRPr="00EF4B0E" w:rsidTr="00106A29">
        <w:tc>
          <w:tcPr>
            <w:tcW w:w="5000" w:type="pct"/>
            <w:gridSpan w:val="3"/>
            <w:tcBorders>
              <w:top w:val="outset" w:sz="6" w:space="0" w:color="000000"/>
              <w:left w:val="outset" w:sz="6" w:space="0" w:color="000000"/>
              <w:bottom w:val="outset" w:sz="6" w:space="0" w:color="000000"/>
              <w:right w:val="outset" w:sz="6" w:space="0" w:color="000000"/>
            </w:tcBorders>
          </w:tcPr>
          <w:p w:rsidR="00106A29" w:rsidRPr="00106A29" w:rsidRDefault="00106A29" w:rsidP="00A81B93">
            <w:pPr>
              <w:jc w:val="center"/>
              <w:rPr>
                <w:b/>
                <w:bCs/>
                <w:sz w:val="28"/>
                <w:lang w:val="lv-LV" w:eastAsia="lv-LV"/>
              </w:rPr>
            </w:pPr>
            <w:r w:rsidRPr="002745B0">
              <w:rPr>
                <w:b/>
                <w:bCs/>
                <w:lang w:val="lv-LV" w:eastAsia="lv-LV"/>
              </w:rPr>
              <w:t>VI. Sabiedrības līdzdalība un komunikācijas aktivitātes</w:t>
            </w:r>
          </w:p>
        </w:tc>
      </w:tr>
      <w:tr w:rsidR="00106A29" w:rsidRPr="001E7DC0"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06A29" w:rsidRPr="009E2709" w:rsidRDefault="00106A29" w:rsidP="00A81B93">
            <w:pPr>
              <w:pStyle w:val="naiskr"/>
              <w:spacing w:before="0" w:beforeAutospacing="0" w:after="0" w:afterAutospacing="0"/>
            </w:pPr>
            <w:r w:rsidRPr="009E2709">
              <w:t>1.</w:t>
            </w:r>
          </w:p>
        </w:tc>
        <w:tc>
          <w:tcPr>
            <w:tcW w:w="2272" w:type="pct"/>
          </w:tcPr>
          <w:p w:rsidR="00106A29" w:rsidRPr="009E2709" w:rsidRDefault="00106A29" w:rsidP="00A81B93">
            <w:pPr>
              <w:pStyle w:val="naiskr"/>
              <w:spacing w:before="0" w:beforeAutospacing="0" w:after="0" w:afterAutospacing="0"/>
              <w:jc w:val="both"/>
            </w:pPr>
            <w:r w:rsidRPr="009E2709">
              <w:t>Plānotās sabiedrības līdzdalības un komunikācijas aktivitātes saistībā ar projektu</w:t>
            </w:r>
          </w:p>
        </w:tc>
        <w:tc>
          <w:tcPr>
            <w:tcW w:w="2419" w:type="pct"/>
          </w:tcPr>
          <w:p w:rsidR="00106A29" w:rsidRPr="009E2709" w:rsidRDefault="001E7DC0" w:rsidP="00877F28">
            <w:pPr>
              <w:jc w:val="both"/>
              <w:rPr>
                <w:lang w:val="lv-LV"/>
              </w:rPr>
            </w:pPr>
            <w:r w:rsidRPr="001E7DC0">
              <w:rPr>
                <w:lang w:val="lv-LV"/>
              </w:rPr>
              <w:t>Noteikumu projekts 201</w:t>
            </w:r>
            <w:r>
              <w:rPr>
                <w:lang w:val="lv-LV"/>
              </w:rPr>
              <w:t>7</w:t>
            </w:r>
            <w:r w:rsidRPr="001E7DC0">
              <w:rPr>
                <w:lang w:val="lv-LV"/>
              </w:rPr>
              <w:t xml:space="preserve">. gada </w:t>
            </w:r>
            <w:r>
              <w:rPr>
                <w:lang w:val="lv-LV"/>
              </w:rPr>
              <w:t>9</w:t>
            </w:r>
            <w:r w:rsidRPr="001E7DC0">
              <w:rPr>
                <w:lang w:val="lv-LV"/>
              </w:rPr>
              <w:t>.</w:t>
            </w:r>
            <w:r>
              <w:rPr>
                <w:lang w:val="lv-LV"/>
              </w:rPr>
              <w:t xml:space="preserve"> jūnijā</w:t>
            </w:r>
            <w:r w:rsidRPr="001E7DC0">
              <w:rPr>
                <w:lang w:val="lv-LV"/>
              </w:rPr>
              <w:t xml:space="preserve"> ievietots Zemkopības ministrijas tīmekļa vietnē sabiedriskai aps</w:t>
            </w:r>
            <w:r>
              <w:rPr>
                <w:lang w:val="lv-LV"/>
              </w:rPr>
              <w:t>p</w:t>
            </w:r>
            <w:r w:rsidRPr="001E7DC0">
              <w:rPr>
                <w:lang w:val="lv-LV"/>
              </w:rPr>
              <w:t>riešanai</w:t>
            </w:r>
            <w:r>
              <w:rPr>
                <w:lang w:val="lv-LV"/>
              </w:rPr>
              <w:t>.</w:t>
            </w:r>
            <w:r w:rsidRPr="001E7DC0">
              <w:rPr>
                <w:lang w:val="lv-LV"/>
              </w:rPr>
              <w:t xml:space="preserve"> </w:t>
            </w:r>
            <w:r>
              <w:rPr>
                <w:lang w:val="lv-LV"/>
              </w:rPr>
              <w:t>I</w:t>
            </w:r>
            <w:r w:rsidRPr="001E7DC0">
              <w:rPr>
                <w:lang w:val="lv-LV"/>
              </w:rPr>
              <w:t>ebildum</w:t>
            </w:r>
            <w:r>
              <w:rPr>
                <w:lang w:val="lv-LV"/>
              </w:rPr>
              <w:t>i un komentāri</w:t>
            </w:r>
            <w:r w:rsidRPr="001E7DC0">
              <w:rPr>
                <w:lang w:val="lv-LV"/>
              </w:rPr>
              <w:t xml:space="preserve"> par minēto noteikumu projektu </w:t>
            </w:r>
            <w:r>
              <w:rPr>
                <w:lang w:val="lv-LV"/>
              </w:rPr>
              <w:t>nav saņemti.</w:t>
            </w:r>
          </w:p>
        </w:tc>
      </w:tr>
      <w:tr w:rsidR="00106A29" w:rsidRPr="00E73EB6"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06A29" w:rsidRPr="009E2709" w:rsidRDefault="00106A29" w:rsidP="00A81B93">
            <w:pPr>
              <w:pStyle w:val="naiskr"/>
              <w:spacing w:before="0" w:beforeAutospacing="0" w:after="0" w:afterAutospacing="0"/>
            </w:pPr>
            <w:r w:rsidRPr="009E2709">
              <w:t>2.</w:t>
            </w:r>
          </w:p>
        </w:tc>
        <w:tc>
          <w:tcPr>
            <w:tcW w:w="2272" w:type="pct"/>
          </w:tcPr>
          <w:p w:rsidR="00106A29" w:rsidRPr="009E2709" w:rsidRDefault="00106A29" w:rsidP="00A81B93">
            <w:pPr>
              <w:pStyle w:val="naiskr"/>
              <w:spacing w:before="0" w:beforeAutospacing="0" w:after="0" w:afterAutospacing="0"/>
              <w:jc w:val="both"/>
            </w:pPr>
            <w:r w:rsidRPr="009E2709">
              <w:t>Sabiedrības līdzdalība projekta izstrādē</w:t>
            </w:r>
          </w:p>
        </w:tc>
        <w:tc>
          <w:tcPr>
            <w:tcW w:w="2419" w:type="pct"/>
          </w:tcPr>
          <w:p w:rsidR="00E51A87" w:rsidRPr="009E2709" w:rsidRDefault="0078718E" w:rsidP="0078718E">
            <w:pPr>
              <w:pStyle w:val="naiskr"/>
              <w:spacing w:before="0" w:beforeAutospacing="0" w:after="0" w:afterAutospacing="0"/>
              <w:jc w:val="both"/>
            </w:pPr>
            <w:r w:rsidRPr="006375BD">
              <w:t>P</w:t>
            </w:r>
            <w:r w:rsidR="00CB0881" w:rsidRPr="006375BD">
              <w:t>rojekts šo jomu neskar</w:t>
            </w:r>
            <w:r w:rsidR="00CB0881" w:rsidRPr="00CB0881">
              <w:rPr>
                <w:lang w:val="en-GB"/>
              </w:rPr>
              <w:t>.</w:t>
            </w:r>
          </w:p>
        </w:tc>
      </w:tr>
      <w:tr w:rsidR="00106A29" w:rsidRPr="002A39FB"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06A29" w:rsidRPr="009E2709" w:rsidRDefault="00106A29" w:rsidP="00A81B93">
            <w:pPr>
              <w:pStyle w:val="naiskr"/>
              <w:spacing w:before="0" w:beforeAutospacing="0" w:after="0" w:afterAutospacing="0"/>
            </w:pPr>
            <w:r w:rsidRPr="009E2709">
              <w:t>3.</w:t>
            </w:r>
          </w:p>
        </w:tc>
        <w:tc>
          <w:tcPr>
            <w:tcW w:w="2272" w:type="pct"/>
          </w:tcPr>
          <w:p w:rsidR="00106A29" w:rsidRPr="009E2709" w:rsidRDefault="00106A29" w:rsidP="00A81B93">
            <w:pPr>
              <w:pStyle w:val="naiskr"/>
              <w:spacing w:before="0" w:beforeAutospacing="0" w:after="0" w:afterAutospacing="0"/>
              <w:jc w:val="both"/>
            </w:pPr>
            <w:r w:rsidRPr="009E2709">
              <w:t>Sabiedrības līdzdalības rezultāti</w:t>
            </w:r>
          </w:p>
        </w:tc>
        <w:tc>
          <w:tcPr>
            <w:tcW w:w="2419" w:type="pct"/>
          </w:tcPr>
          <w:p w:rsidR="00106A29" w:rsidRPr="009E2709" w:rsidRDefault="0078718E" w:rsidP="0078718E">
            <w:pPr>
              <w:pStyle w:val="naiskr"/>
              <w:spacing w:before="0" w:beforeAutospacing="0" w:after="0" w:afterAutospacing="0"/>
              <w:jc w:val="both"/>
              <w:rPr>
                <w:rFonts w:eastAsia="Arial Unicode MS"/>
              </w:rPr>
            </w:pPr>
            <w:r w:rsidRPr="006375BD">
              <w:rPr>
                <w:rFonts w:eastAsia="Arial Unicode MS"/>
              </w:rPr>
              <w:t>P</w:t>
            </w:r>
            <w:r w:rsidR="00CB0881" w:rsidRPr="006375BD">
              <w:rPr>
                <w:rFonts w:eastAsia="Arial Unicode MS"/>
              </w:rPr>
              <w:t>rojekts šo jomu neskar</w:t>
            </w:r>
            <w:r w:rsidR="00CB0881" w:rsidRPr="00CB0881">
              <w:rPr>
                <w:rFonts w:eastAsia="Arial Unicode MS"/>
                <w:lang w:val="en-GB"/>
              </w:rPr>
              <w:t>.</w:t>
            </w:r>
          </w:p>
        </w:tc>
      </w:tr>
      <w:tr w:rsidR="00106A29" w:rsidRPr="00E51A8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06A29" w:rsidRPr="009E2709" w:rsidRDefault="00106A29" w:rsidP="00A81B93">
            <w:pPr>
              <w:pStyle w:val="naiskr"/>
              <w:spacing w:before="0" w:beforeAutospacing="0" w:after="0" w:afterAutospacing="0"/>
            </w:pPr>
            <w:r w:rsidRPr="009E2709">
              <w:t>4.</w:t>
            </w:r>
          </w:p>
        </w:tc>
        <w:tc>
          <w:tcPr>
            <w:tcW w:w="2272" w:type="pct"/>
          </w:tcPr>
          <w:p w:rsidR="00106A29" w:rsidRPr="009E2709" w:rsidRDefault="00106A29" w:rsidP="00A81B93">
            <w:pPr>
              <w:pStyle w:val="naiskr"/>
              <w:spacing w:before="0" w:beforeAutospacing="0" w:after="0" w:afterAutospacing="0"/>
              <w:jc w:val="both"/>
            </w:pPr>
            <w:r w:rsidRPr="009E2709">
              <w:t>Cita informācija</w:t>
            </w:r>
          </w:p>
        </w:tc>
        <w:tc>
          <w:tcPr>
            <w:tcW w:w="2419" w:type="pct"/>
          </w:tcPr>
          <w:p w:rsidR="00106A29" w:rsidRPr="009E2709" w:rsidRDefault="00106A29" w:rsidP="00A81B93">
            <w:pPr>
              <w:pStyle w:val="naisc"/>
              <w:spacing w:before="0" w:beforeAutospacing="0" w:after="0" w:afterAutospacing="0"/>
              <w:jc w:val="left"/>
              <w:rPr>
                <w:sz w:val="24"/>
                <w:szCs w:val="24"/>
                <w:lang w:val="lv-LV"/>
              </w:rPr>
            </w:pPr>
            <w:r>
              <w:rPr>
                <w:sz w:val="24"/>
                <w:szCs w:val="24"/>
                <w:lang w:val="lv-LV"/>
              </w:rPr>
              <w:t>Nav.</w:t>
            </w:r>
          </w:p>
        </w:tc>
      </w:tr>
      <w:tr w:rsidR="005D73DE" w:rsidRPr="00FB351D" w:rsidTr="00106A29">
        <w:tc>
          <w:tcPr>
            <w:tcW w:w="5000" w:type="pct"/>
            <w:gridSpan w:val="3"/>
            <w:tcBorders>
              <w:top w:val="outset" w:sz="6" w:space="0" w:color="000000"/>
              <w:left w:val="outset" w:sz="6" w:space="0" w:color="000000"/>
              <w:bottom w:val="outset" w:sz="6" w:space="0" w:color="000000"/>
              <w:right w:val="outset" w:sz="6" w:space="0" w:color="000000"/>
            </w:tcBorders>
          </w:tcPr>
          <w:p w:rsidR="00A162FE" w:rsidRPr="009E2709" w:rsidRDefault="00A162FE" w:rsidP="005D73DE">
            <w:pPr>
              <w:jc w:val="center"/>
              <w:rPr>
                <w:b/>
                <w:bCs/>
                <w:sz w:val="28"/>
                <w:lang w:val="lv-LV" w:eastAsia="lv-LV"/>
              </w:rPr>
            </w:pPr>
            <w:r w:rsidRPr="002745B0">
              <w:rPr>
                <w:b/>
                <w:bCs/>
                <w:lang w:val="lv-LV" w:eastAsia="lv-LV"/>
              </w:rPr>
              <w:t>VII. Tiesību akta projekta izpildes nodrošināšana un tās ietekme uz institūcijām</w:t>
            </w:r>
          </w:p>
        </w:tc>
      </w:tr>
      <w:tr w:rsidR="005D73DE" w:rsidRPr="009E2709" w:rsidTr="006B7275">
        <w:tc>
          <w:tcPr>
            <w:tcW w:w="309" w:type="pct"/>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1.</w:t>
            </w:r>
          </w:p>
        </w:tc>
        <w:tc>
          <w:tcPr>
            <w:tcW w:w="2272" w:type="pct"/>
            <w:tcBorders>
              <w:top w:val="outset" w:sz="6" w:space="0" w:color="000000"/>
              <w:left w:val="outset" w:sz="6" w:space="0" w:color="000000"/>
              <w:bottom w:val="outset" w:sz="6" w:space="0" w:color="000000"/>
              <w:right w:val="outset" w:sz="6" w:space="0" w:color="000000"/>
            </w:tcBorders>
          </w:tcPr>
          <w:p w:rsidR="002C46AC" w:rsidRPr="009E2709" w:rsidRDefault="002C46AC" w:rsidP="009E2709">
            <w:pPr>
              <w:jc w:val="both"/>
              <w:rPr>
                <w:lang w:val="lv-LV" w:eastAsia="lv-LV"/>
              </w:rPr>
            </w:pPr>
            <w:r w:rsidRPr="009E2709">
              <w:rPr>
                <w:lang w:val="lv-LV" w:eastAsia="lv-LV"/>
              </w:rPr>
              <w:t>Projekta izpildē iesaistītās institūcijas</w:t>
            </w:r>
          </w:p>
        </w:tc>
        <w:tc>
          <w:tcPr>
            <w:tcW w:w="2419" w:type="pct"/>
            <w:tcBorders>
              <w:top w:val="outset" w:sz="6" w:space="0" w:color="000000"/>
              <w:left w:val="outset" w:sz="6" w:space="0" w:color="000000"/>
              <w:bottom w:val="outset" w:sz="6" w:space="0" w:color="000000"/>
              <w:right w:val="outset" w:sz="6" w:space="0" w:color="000000"/>
            </w:tcBorders>
          </w:tcPr>
          <w:p w:rsidR="002C46AC" w:rsidRPr="009E2709" w:rsidRDefault="001532AD"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veterinārais dienests</w:t>
            </w:r>
          </w:p>
        </w:tc>
      </w:tr>
      <w:tr w:rsidR="005D73DE" w:rsidRPr="002A39FB" w:rsidTr="006B7275">
        <w:tc>
          <w:tcPr>
            <w:tcW w:w="309" w:type="pct"/>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2.</w:t>
            </w:r>
          </w:p>
        </w:tc>
        <w:tc>
          <w:tcPr>
            <w:tcW w:w="2272" w:type="pct"/>
            <w:tcBorders>
              <w:top w:val="outset" w:sz="6" w:space="0" w:color="000000"/>
              <w:left w:val="outset" w:sz="6" w:space="0" w:color="000000"/>
              <w:bottom w:val="outset" w:sz="6" w:space="0" w:color="000000"/>
              <w:right w:val="outset" w:sz="6" w:space="0" w:color="000000"/>
            </w:tcBorders>
          </w:tcPr>
          <w:p w:rsidR="00713C15" w:rsidRPr="009E2709" w:rsidRDefault="00713C15" w:rsidP="009E2709">
            <w:pPr>
              <w:jc w:val="both"/>
              <w:rPr>
                <w:lang w:val="lv-LV"/>
              </w:rPr>
            </w:pPr>
            <w:r w:rsidRPr="009E2709">
              <w:rPr>
                <w:lang w:val="lv-LV"/>
              </w:rPr>
              <w:t xml:space="preserve">Projekta izpildes ietekme uz pārvaldes funkcijām un institucionālo struktūru. </w:t>
            </w:r>
          </w:p>
          <w:p w:rsidR="002C46AC" w:rsidRPr="009E2709" w:rsidRDefault="00713C15" w:rsidP="009E2709">
            <w:pPr>
              <w:ind w:firstLine="300"/>
              <w:jc w:val="both"/>
              <w:rPr>
                <w:lang w:val="lv-LV"/>
              </w:rPr>
            </w:pPr>
            <w:r w:rsidRPr="009E2709">
              <w:rPr>
                <w:lang w:val="lv-LV"/>
              </w:rPr>
              <w:t>Jaunu institūciju izveide, esošu institūciju likvidācija vai reorganizācija, to ietekme uz institūcijas cilvēkresursiem</w:t>
            </w:r>
          </w:p>
        </w:tc>
        <w:tc>
          <w:tcPr>
            <w:tcW w:w="2419" w:type="pct"/>
            <w:tcBorders>
              <w:top w:val="outset" w:sz="6" w:space="0" w:color="000000"/>
              <w:left w:val="outset" w:sz="6" w:space="0" w:color="000000"/>
              <w:bottom w:val="outset" w:sz="6" w:space="0" w:color="000000"/>
              <w:right w:val="outset" w:sz="6" w:space="0" w:color="000000"/>
            </w:tcBorders>
          </w:tcPr>
          <w:p w:rsidR="005F1986" w:rsidRPr="009E2709" w:rsidRDefault="00134D78" w:rsidP="00134D78">
            <w:pPr>
              <w:pStyle w:val="naiskr"/>
              <w:spacing w:before="0" w:beforeAutospacing="0" w:after="0" w:afterAutospacing="0"/>
              <w:jc w:val="both"/>
            </w:pPr>
            <w:r>
              <w:t>P</w:t>
            </w:r>
            <w:r w:rsidR="001532AD">
              <w:t>rojekts šo jomu neskar.</w:t>
            </w:r>
          </w:p>
        </w:tc>
      </w:tr>
      <w:tr w:rsidR="005D73DE" w:rsidRPr="009E2709" w:rsidTr="006B7275">
        <w:tc>
          <w:tcPr>
            <w:tcW w:w="309" w:type="pct"/>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3.</w:t>
            </w:r>
          </w:p>
        </w:tc>
        <w:tc>
          <w:tcPr>
            <w:tcW w:w="2272" w:type="pct"/>
            <w:tcBorders>
              <w:top w:val="outset" w:sz="6" w:space="0" w:color="000000"/>
              <w:left w:val="outset" w:sz="6" w:space="0" w:color="000000"/>
              <w:bottom w:val="outset" w:sz="6" w:space="0" w:color="000000"/>
              <w:right w:val="outset" w:sz="6" w:space="0" w:color="000000"/>
            </w:tcBorders>
          </w:tcPr>
          <w:p w:rsidR="002C46AC" w:rsidRPr="009E2709" w:rsidRDefault="00713C15" w:rsidP="005D73DE">
            <w:pPr>
              <w:jc w:val="both"/>
              <w:rPr>
                <w:lang w:val="lv-LV" w:eastAsia="lv-LV"/>
              </w:rPr>
            </w:pPr>
            <w:r w:rsidRPr="009E2709">
              <w:rPr>
                <w:lang w:val="lv-LV" w:eastAsia="lv-LV"/>
              </w:rPr>
              <w:t>Cita informācija</w:t>
            </w:r>
          </w:p>
        </w:tc>
        <w:tc>
          <w:tcPr>
            <w:tcW w:w="2419" w:type="pct"/>
            <w:tcBorders>
              <w:top w:val="outset" w:sz="6" w:space="0" w:color="000000"/>
              <w:left w:val="outset" w:sz="6" w:space="0" w:color="000000"/>
              <w:bottom w:val="outset" w:sz="6" w:space="0" w:color="000000"/>
              <w:right w:val="outset" w:sz="6" w:space="0" w:color="000000"/>
            </w:tcBorders>
          </w:tcPr>
          <w:p w:rsidR="002C46AC" w:rsidRPr="009E2709" w:rsidRDefault="001532AD"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rsidR="00E62AA5" w:rsidRDefault="00E62AA5" w:rsidP="005D73DE">
      <w:pPr>
        <w:pStyle w:val="naisf"/>
        <w:spacing w:before="0" w:beforeAutospacing="0" w:after="0" w:afterAutospacing="0"/>
        <w:rPr>
          <w:sz w:val="28"/>
          <w:lang w:val="lv-LV"/>
        </w:rPr>
      </w:pPr>
    </w:p>
    <w:p w:rsidR="00CB0881" w:rsidRPr="009E2709" w:rsidRDefault="00CB0881" w:rsidP="005D73DE">
      <w:pPr>
        <w:pStyle w:val="naisf"/>
        <w:spacing w:before="0" w:beforeAutospacing="0" w:after="0" w:afterAutospacing="0"/>
        <w:rPr>
          <w:sz w:val="28"/>
          <w:lang w:val="lv-LV"/>
        </w:rPr>
      </w:pPr>
    </w:p>
    <w:p w:rsidR="00105AE2" w:rsidRPr="005C1318" w:rsidRDefault="00096D79" w:rsidP="005D73DE">
      <w:pPr>
        <w:pStyle w:val="Virsraksts1"/>
        <w:keepNext w:val="0"/>
        <w:widowControl w:val="0"/>
        <w:ind w:firstLine="720"/>
        <w:jc w:val="left"/>
        <w:rPr>
          <w:b w:val="0"/>
          <w:szCs w:val="28"/>
        </w:rPr>
      </w:pPr>
      <w:r w:rsidRPr="005C1318">
        <w:rPr>
          <w:b w:val="0"/>
          <w:szCs w:val="28"/>
        </w:rPr>
        <w:t xml:space="preserve">Zemkopības </w:t>
      </w:r>
      <w:r w:rsidR="001532AD" w:rsidRPr="005C1318">
        <w:rPr>
          <w:b w:val="0"/>
          <w:szCs w:val="28"/>
        </w:rPr>
        <w:t>ministrs</w:t>
      </w:r>
      <w:r w:rsidR="00105AE2" w:rsidRPr="005C1318">
        <w:rPr>
          <w:b w:val="0"/>
          <w:szCs w:val="28"/>
        </w:rPr>
        <w:tab/>
      </w:r>
      <w:r w:rsidR="00A22819" w:rsidRPr="005C1318">
        <w:rPr>
          <w:b w:val="0"/>
          <w:szCs w:val="28"/>
        </w:rPr>
        <w:tab/>
      </w:r>
      <w:r w:rsidR="00A22819" w:rsidRPr="005C1318">
        <w:rPr>
          <w:b w:val="0"/>
          <w:szCs w:val="28"/>
        </w:rPr>
        <w:tab/>
      </w:r>
      <w:r w:rsidR="00A22819" w:rsidRPr="005C1318">
        <w:rPr>
          <w:b w:val="0"/>
          <w:szCs w:val="28"/>
        </w:rPr>
        <w:tab/>
      </w:r>
      <w:r w:rsidR="00A22819" w:rsidRPr="005C1318">
        <w:rPr>
          <w:b w:val="0"/>
          <w:szCs w:val="28"/>
        </w:rPr>
        <w:tab/>
      </w:r>
      <w:r w:rsidR="007740E5" w:rsidRPr="005C1318">
        <w:rPr>
          <w:b w:val="0"/>
          <w:szCs w:val="28"/>
        </w:rPr>
        <w:tab/>
      </w:r>
      <w:r w:rsidR="001532AD" w:rsidRPr="005C1318">
        <w:rPr>
          <w:b w:val="0"/>
          <w:szCs w:val="28"/>
        </w:rPr>
        <w:t>J</w:t>
      </w:r>
      <w:r w:rsidR="00EF4B0E">
        <w:rPr>
          <w:b w:val="0"/>
          <w:szCs w:val="28"/>
        </w:rPr>
        <w:t xml:space="preserve">. </w:t>
      </w:r>
      <w:r w:rsidR="001532AD" w:rsidRPr="005C1318">
        <w:rPr>
          <w:b w:val="0"/>
          <w:szCs w:val="28"/>
        </w:rPr>
        <w:t>Dūklavs</w:t>
      </w:r>
    </w:p>
    <w:p w:rsidR="00D03191" w:rsidRDefault="00D03191" w:rsidP="00B94CCB">
      <w:pPr>
        <w:rPr>
          <w:sz w:val="28"/>
        </w:rPr>
      </w:pPr>
    </w:p>
    <w:p w:rsidR="005C1318" w:rsidRPr="005C1318" w:rsidRDefault="005C1318" w:rsidP="00B94CCB">
      <w:pPr>
        <w:rPr>
          <w:sz w:val="28"/>
        </w:rPr>
      </w:pPr>
    </w:p>
    <w:p w:rsidR="00D03191" w:rsidRPr="005C1318" w:rsidRDefault="00D03191" w:rsidP="00B94CCB">
      <w:pPr>
        <w:rPr>
          <w:b/>
          <w:sz w:val="28"/>
        </w:rPr>
      </w:pPr>
      <w:r w:rsidRPr="005C1318">
        <w:rPr>
          <w:sz w:val="28"/>
          <w:lang w:val="lv-LV"/>
        </w:rPr>
        <w:tab/>
        <w:t>Zemkopības</w:t>
      </w:r>
      <w:r w:rsidR="00EF4B0E">
        <w:rPr>
          <w:sz w:val="28"/>
          <w:lang w:val="lv-LV"/>
        </w:rPr>
        <w:t xml:space="preserve"> ministrijas valsts sekretāra p.i.</w:t>
      </w:r>
      <w:r w:rsidR="005C1318">
        <w:rPr>
          <w:sz w:val="28"/>
          <w:lang w:val="lv-LV"/>
        </w:rPr>
        <w:tab/>
      </w:r>
      <w:r w:rsidR="005C1318">
        <w:rPr>
          <w:sz w:val="28"/>
          <w:lang w:val="lv-LV"/>
        </w:rPr>
        <w:tab/>
      </w:r>
      <w:r w:rsidRPr="005C1318">
        <w:rPr>
          <w:sz w:val="28"/>
          <w:lang w:val="lv-LV"/>
        </w:rPr>
        <w:tab/>
      </w:r>
      <w:r w:rsidR="00EF4B0E">
        <w:rPr>
          <w:sz w:val="28"/>
          <w:lang w:val="lv-LV"/>
        </w:rPr>
        <w:t>P. R. Krieviņa</w:t>
      </w:r>
    </w:p>
    <w:p w:rsidR="00494001" w:rsidRDefault="00494001" w:rsidP="001532AD">
      <w:pPr>
        <w:jc w:val="both"/>
        <w:rPr>
          <w:sz w:val="20"/>
          <w:szCs w:val="20"/>
          <w:lang w:val="lv-LV"/>
        </w:rPr>
      </w:pPr>
    </w:p>
    <w:p w:rsidR="00AA57C6" w:rsidRDefault="00AA57C6" w:rsidP="001532AD">
      <w:pPr>
        <w:jc w:val="both"/>
        <w:rPr>
          <w:sz w:val="20"/>
          <w:szCs w:val="20"/>
          <w:lang w:val="lv-LV"/>
        </w:rPr>
      </w:pPr>
    </w:p>
    <w:p w:rsidR="00AA57C6" w:rsidRPr="00AA57C6" w:rsidRDefault="00AA57C6" w:rsidP="00AA57C6">
      <w:pPr>
        <w:jc w:val="both"/>
        <w:rPr>
          <w:sz w:val="20"/>
          <w:szCs w:val="20"/>
          <w:lang w:val="lv-LV"/>
        </w:rPr>
      </w:pPr>
    </w:p>
    <w:p w:rsidR="005C1318" w:rsidRPr="005C1318" w:rsidRDefault="00AA57C6" w:rsidP="005C1318">
      <w:pPr>
        <w:jc w:val="both"/>
        <w:rPr>
          <w:lang w:val="lv-LV"/>
        </w:rPr>
      </w:pPr>
      <w:r w:rsidRPr="005C1318">
        <w:rPr>
          <w:lang w:val="lv-LV"/>
        </w:rPr>
        <w:t>Tora</w:t>
      </w:r>
      <w:r w:rsidR="005C1318" w:rsidRPr="005C1318">
        <w:rPr>
          <w:lang w:val="lv-LV"/>
        </w:rPr>
        <w:t xml:space="preserve"> </w:t>
      </w:r>
      <w:r w:rsidRPr="005C1318">
        <w:rPr>
          <w:lang w:val="lv-LV"/>
        </w:rPr>
        <w:t>67027620</w:t>
      </w:r>
    </w:p>
    <w:p w:rsidR="001532AD" w:rsidRPr="005C1318" w:rsidRDefault="00D170D1" w:rsidP="005C1318">
      <w:pPr>
        <w:jc w:val="both"/>
        <w:rPr>
          <w:lang w:val="lv-LV"/>
        </w:rPr>
      </w:pPr>
      <w:r w:rsidRPr="00EF4B0E">
        <w:rPr>
          <w:lang w:val="lv-LV"/>
        </w:rPr>
        <w:t>Aija.Tora@zm.gov.lv</w:t>
      </w:r>
      <w:r w:rsidRPr="005C1318">
        <w:rPr>
          <w:lang w:val="lv-LV"/>
        </w:rPr>
        <w:t xml:space="preserve"> </w:t>
      </w:r>
      <w:bookmarkStart w:id="2" w:name="_GoBack"/>
      <w:bookmarkEnd w:id="2"/>
    </w:p>
    <w:sectPr w:rsidR="001532AD" w:rsidRPr="005C1318" w:rsidSect="00EF4B0E">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C7" w:rsidRDefault="00D029C7">
      <w:r>
        <w:separator/>
      </w:r>
    </w:p>
  </w:endnote>
  <w:endnote w:type="continuationSeparator" w:id="0">
    <w:p w:rsidR="00D029C7" w:rsidRDefault="00D0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Pr="00EF4B0E" w:rsidRDefault="00EF4B0E" w:rsidP="00EF4B0E">
    <w:pPr>
      <w:pStyle w:val="Kjene"/>
    </w:pPr>
    <w:r w:rsidRPr="00EF4B0E">
      <w:rPr>
        <w:rFonts w:ascii="Times New Roman" w:hAnsi="Times New Roman"/>
        <w:sz w:val="20"/>
      </w:rPr>
      <w:t>ZMAnot_170817_blakprod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Pr="00EF4B0E" w:rsidRDefault="00EF4B0E" w:rsidP="00EF4B0E">
    <w:pPr>
      <w:pStyle w:val="Kjene"/>
    </w:pPr>
    <w:r w:rsidRPr="00EF4B0E">
      <w:rPr>
        <w:rFonts w:ascii="Times New Roman" w:hAnsi="Times New Roman"/>
        <w:sz w:val="20"/>
      </w:rPr>
      <w:t>ZMAnot_170817_blakprod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C7" w:rsidRDefault="00D029C7">
      <w:r>
        <w:separator/>
      </w:r>
    </w:p>
  </w:footnote>
  <w:footnote w:type="continuationSeparator" w:id="0">
    <w:p w:rsidR="00D029C7" w:rsidRDefault="00D0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Default="006606F0">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end"/>
    </w:r>
  </w:p>
  <w:p w:rsidR="0031149B" w:rsidRDefault="003114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Default="006606F0">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separate"/>
    </w:r>
    <w:r w:rsidR="00EF4B0E">
      <w:rPr>
        <w:rStyle w:val="Lappusesnumurs"/>
        <w:noProof/>
      </w:rPr>
      <w:t>5</w:t>
    </w:r>
    <w:r>
      <w:rPr>
        <w:rStyle w:val="Lappusesnumurs"/>
      </w:rPr>
      <w:fldChar w:fldCharType="end"/>
    </w:r>
  </w:p>
  <w:p w:rsidR="0031149B" w:rsidRDefault="003114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14CC7"/>
    <w:multiLevelType w:val="hybridMultilevel"/>
    <w:tmpl w:val="6DF4B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0F56D1"/>
    <w:multiLevelType w:val="hybridMultilevel"/>
    <w:tmpl w:val="B5785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3E5C35"/>
    <w:multiLevelType w:val="hybridMultilevel"/>
    <w:tmpl w:val="BC6E66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7B7CB3"/>
    <w:multiLevelType w:val="hybridMultilevel"/>
    <w:tmpl w:val="CF0E05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1568E2"/>
    <w:multiLevelType w:val="hybridMultilevel"/>
    <w:tmpl w:val="BBF8A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9"/>
  </w:num>
  <w:num w:numId="4">
    <w:abstractNumId w:val="11"/>
  </w:num>
  <w:num w:numId="5">
    <w:abstractNumId w:val="7"/>
  </w:num>
  <w:num w:numId="6">
    <w:abstractNumId w:val="4"/>
  </w:num>
  <w:num w:numId="7">
    <w:abstractNumId w:val="9"/>
  </w:num>
  <w:num w:numId="8">
    <w:abstractNumId w:val="8"/>
  </w:num>
  <w:num w:numId="9">
    <w:abstractNumId w:val="13"/>
  </w:num>
  <w:num w:numId="10">
    <w:abstractNumId w:val="5"/>
  </w:num>
  <w:num w:numId="11">
    <w:abstractNumId w:val="12"/>
  </w:num>
  <w:num w:numId="12">
    <w:abstractNumId w:val="10"/>
  </w:num>
  <w:num w:numId="13">
    <w:abstractNumId w:val="1"/>
  </w:num>
  <w:num w:numId="14">
    <w:abstractNumId w:val="17"/>
  </w:num>
  <w:num w:numId="15">
    <w:abstractNumId w:val="0"/>
  </w:num>
  <w:num w:numId="16">
    <w:abstractNumId w:val="6"/>
  </w:num>
  <w:num w:numId="17">
    <w:abstractNumId w:val="3"/>
  </w:num>
  <w:num w:numId="18">
    <w:abstractNumId w:val="1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4F8D"/>
    <w:rsid w:val="00000CAA"/>
    <w:rsid w:val="00001CFA"/>
    <w:rsid w:val="000030F6"/>
    <w:rsid w:val="00003470"/>
    <w:rsid w:val="00003E75"/>
    <w:rsid w:val="00004B99"/>
    <w:rsid w:val="00004DF0"/>
    <w:rsid w:val="00005589"/>
    <w:rsid w:val="00007F2B"/>
    <w:rsid w:val="00011500"/>
    <w:rsid w:val="0001274B"/>
    <w:rsid w:val="00012769"/>
    <w:rsid w:val="000147B2"/>
    <w:rsid w:val="00015A39"/>
    <w:rsid w:val="000168B7"/>
    <w:rsid w:val="000223A5"/>
    <w:rsid w:val="0002330F"/>
    <w:rsid w:val="0002456C"/>
    <w:rsid w:val="00026D31"/>
    <w:rsid w:val="0003130D"/>
    <w:rsid w:val="00031FB2"/>
    <w:rsid w:val="000323C9"/>
    <w:rsid w:val="00032DD1"/>
    <w:rsid w:val="00034F8D"/>
    <w:rsid w:val="00035AEC"/>
    <w:rsid w:val="00037C03"/>
    <w:rsid w:val="00040105"/>
    <w:rsid w:val="00041BBE"/>
    <w:rsid w:val="00042DEB"/>
    <w:rsid w:val="00043915"/>
    <w:rsid w:val="00043CA7"/>
    <w:rsid w:val="00043EE5"/>
    <w:rsid w:val="000463AC"/>
    <w:rsid w:val="00046472"/>
    <w:rsid w:val="00054536"/>
    <w:rsid w:val="00056991"/>
    <w:rsid w:val="00057FBC"/>
    <w:rsid w:val="00061C3A"/>
    <w:rsid w:val="0006433F"/>
    <w:rsid w:val="0006719B"/>
    <w:rsid w:val="0007255F"/>
    <w:rsid w:val="00072622"/>
    <w:rsid w:val="00074423"/>
    <w:rsid w:val="000744AE"/>
    <w:rsid w:val="00074D2A"/>
    <w:rsid w:val="0007562F"/>
    <w:rsid w:val="0007595E"/>
    <w:rsid w:val="00075C44"/>
    <w:rsid w:val="0007746D"/>
    <w:rsid w:val="00077EA4"/>
    <w:rsid w:val="00081283"/>
    <w:rsid w:val="000817A3"/>
    <w:rsid w:val="000828B5"/>
    <w:rsid w:val="0008293B"/>
    <w:rsid w:val="00082B53"/>
    <w:rsid w:val="00083281"/>
    <w:rsid w:val="00083CAC"/>
    <w:rsid w:val="00085698"/>
    <w:rsid w:val="00085943"/>
    <w:rsid w:val="0008664A"/>
    <w:rsid w:val="00090F31"/>
    <w:rsid w:val="0009142B"/>
    <w:rsid w:val="000919A8"/>
    <w:rsid w:val="00093B45"/>
    <w:rsid w:val="00093E3F"/>
    <w:rsid w:val="00095D8C"/>
    <w:rsid w:val="00096D79"/>
    <w:rsid w:val="00097476"/>
    <w:rsid w:val="000A19E2"/>
    <w:rsid w:val="000A2AA7"/>
    <w:rsid w:val="000A2CED"/>
    <w:rsid w:val="000A2F9D"/>
    <w:rsid w:val="000A5652"/>
    <w:rsid w:val="000A67CD"/>
    <w:rsid w:val="000B076F"/>
    <w:rsid w:val="000B32EF"/>
    <w:rsid w:val="000B3D3E"/>
    <w:rsid w:val="000B492A"/>
    <w:rsid w:val="000B5EAD"/>
    <w:rsid w:val="000B62DF"/>
    <w:rsid w:val="000B6523"/>
    <w:rsid w:val="000B77B7"/>
    <w:rsid w:val="000B7AB8"/>
    <w:rsid w:val="000C0FA7"/>
    <w:rsid w:val="000C1E85"/>
    <w:rsid w:val="000C5D0D"/>
    <w:rsid w:val="000D0329"/>
    <w:rsid w:val="000D0616"/>
    <w:rsid w:val="000D3B4D"/>
    <w:rsid w:val="000D46FA"/>
    <w:rsid w:val="000D51C7"/>
    <w:rsid w:val="000D57DA"/>
    <w:rsid w:val="000D5D32"/>
    <w:rsid w:val="000E212B"/>
    <w:rsid w:val="000E3DB2"/>
    <w:rsid w:val="000E4067"/>
    <w:rsid w:val="000E47D5"/>
    <w:rsid w:val="000E54AA"/>
    <w:rsid w:val="000E5F80"/>
    <w:rsid w:val="000E6887"/>
    <w:rsid w:val="000E6933"/>
    <w:rsid w:val="000E75D1"/>
    <w:rsid w:val="000F01FC"/>
    <w:rsid w:val="000F0966"/>
    <w:rsid w:val="000F2EB4"/>
    <w:rsid w:val="000F32C8"/>
    <w:rsid w:val="000F736E"/>
    <w:rsid w:val="000F7A95"/>
    <w:rsid w:val="00100B1F"/>
    <w:rsid w:val="00100FE3"/>
    <w:rsid w:val="001017AD"/>
    <w:rsid w:val="00101C8A"/>
    <w:rsid w:val="00101DE0"/>
    <w:rsid w:val="00101E0B"/>
    <w:rsid w:val="00101FBE"/>
    <w:rsid w:val="00103AD7"/>
    <w:rsid w:val="00103D1B"/>
    <w:rsid w:val="00104349"/>
    <w:rsid w:val="00105AE2"/>
    <w:rsid w:val="0010612F"/>
    <w:rsid w:val="001062BE"/>
    <w:rsid w:val="00106A29"/>
    <w:rsid w:val="00106E4A"/>
    <w:rsid w:val="0011310D"/>
    <w:rsid w:val="00113E38"/>
    <w:rsid w:val="0011601E"/>
    <w:rsid w:val="00116784"/>
    <w:rsid w:val="00116A3B"/>
    <w:rsid w:val="001177FE"/>
    <w:rsid w:val="001178E3"/>
    <w:rsid w:val="00122B9A"/>
    <w:rsid w:val="00124B8E"/>
    <w:rsid w:val="001304F1"/>
    <w:rsid w:val="001306C1"/>
    <w:rsid w:val="0013088C"/>
    <w:rsid w:val="001316FA"/>
    <w:rsid w:val="00131D05"/>
    <w:rsid w:val="00132004"/>
    <w:rsid w:val="0013203F"/>
    <w:rsid w:val="001324A4"/>
    <w:rsid w:val="001327D5"/>
    <w:rsid w:val="00133023"/>
    <w:rsid w:val="001345CB"/>
    <w:rsid w:val="001347E9"/>
    <w:rsid w:val="00134D78"/>
    <w:rsid w:val="00136C98"/>
    <w:rsid w:val="00137B2C"/>
    <w:rsid w:val="00140B4C"/>
    <w:rsid w:val="0014129D"/>
    <w:rsid w:val="0014319C"/>
    <w:rsid w:val="001466B6"/>
    <w:rsid w:val="00147201"/>
    <w:rsid w:val="00150011"/>
    <w:rsid w:val="00150845"/>
    <w:rsid w:val="0015254E"/>
    <w:rsid w:val="001532AD"/>
    <w:rsid w:val="00153C68"/>
    <w:rsid w:val="0015551E"/>
    <w:rsid w:val="00155B89"/>
    <w:rsid w:val="00157791"/>
    <w:rsid w:val="001608F4"/>
    <w:rsid w:val="0016266C"/>
    <w:rsid w:val="00162E14"/>
    <w:rsid w:val="00162EB6"/>
    <w:rsid w:val="00164B42"/>
    <w:rsid w:val="00164C6B"/>
    <w:rsid w:val="001663CF"/>
    <w:rsid w:val="001665DD"/>
    <w:rsid w:val="00167D7D"/>
    <w:rsid w:val="00170801"/>
    <w:rsid w:val="00170FBF"/>
    <w:rsid w:val="00171315"/>
    <w:rsid w:val="00171BA0"/>
    <w:rsid w:val="001739AD"/>
    <w:rsid w:val="001751F5"/>
    <w:rsid w:val="00175374"/>
    <w:rsid w:val="001764AE"/>
    <w:rsid w:val="00176E50"/>
    <w:rsid w:val="00182C1E"/>
    <w:rsid w:val="00191538"/>
    <w:rsid w:val="001919A5"/>
    <w:rsid w:val="001927BC"/>
    <w:rsid w:val="00193BB3"/>
    <w:rsid w:val="001942B7"/>
    <w:rsid w:val="00194F01"/>
    <w:rsid w:val="00196B16"/>
    <w:rsid w:val="0019796A"/>
    <w:rsid w:val="0019798B"/>
    <w:rsid w:val="001A0A67"/>
    <w:rsid w:val="001A10EA"/>
    <w:rsid w:val="001A3B92"/>
    <w:rsid w:val="001A3FFF"/>
    <w:rsid w:val="001A6148"/>
    <w:rsid w:val="001A7C43"/>
    <w:rsid w:val="001B2F73"/>
    <w:rsid w:val="001B3B95"/>
    <w:rsid w:val="001B4882"/>
    <w:rsid w:val="001B6C24"/>
    <w:rsid w:val="001C09FC"/>
    <w:rsid w:val="001C22B5"/>
    <w:rsid w:val="001C2A17"/>
    <w:rsid w:val="001C438F"/>
    <w:rsid w:val="001C4904"/>
    <w:rsid w:val="001C5F46"/>
    <w:rsid w:val="001C7CA2"/>
    <w:rsid w:val="001D06A3"/>
    <w:rsid w:val="001D180D"/>
    <w:rsid w:val="001D5DAF"/>
    <w:rsid w:val="001D6EA4"/>
    <w:rsid w:val="001D77D5"/>
    <w:rsid w:val="001D7D52"/>
    <w:rsid w:val="001E14E1"/>
    <w:rsid w:val="001E264B"/>
    <w:rsid w:val="001E40A1"/>
    <w:rsid w:val="001E7670"/>
    <w:rsid w:val="001E7DC0"/>
    <w:rsid w:val="001F1642"/>
    <w:rsid w:val="001F1EEA"/>
    <w:rsid w:val="001F373B"/>
    <w:rsid w:val="001F448F"/>
    <w:rsid w:val="001F5256"/>
    <w:rsid w:val="001F5C16"/>
    <w:rsid w:val="001F7074"/>
    <w:rsid w:val="00200B32"/>
    <w:rsid w:val="002027AF"/>
    <w:rsid w:val="00203134"/>
    <w:rsid w:val="002043DB"/>
    <w:rsid w:val="002058A8"/>
    <w:rsid w:val="00205C1E"/>
    <w:rsid w:val="00205C31"/>
    <w:rsid w:val="002060A1"/>
    <w:rsid w:val="0020639A"/>
    <w:rsid w:val="00206FF3"/>
    <w:rsid w:val="00210E44"/>
    <w:rsid w:val="00211F0D"/>
    <w:rsid w:val="00212025"/>
    <w:rsid w:val="0021306B"/>
    <w:rsid w:val="0021364F"/>
    <w:rsid w:val="002234A1"/>
    <w:rsid w:val="00224CE4"/>
    <w:rsid w:val="00230D6B"/>
    <w:rsid w:val="00231633"/>
    <w:rsid w:val="00231888"/>
    <w:rsid w:val="0023257C"/>
    <w:rsid w:val="0023303C"/>
    <w:rsid w:val="0023603D"/>
    <w:rsid w:val="00243F66"/>
    <w:rsid w:val="0024492F"/>
    <w:rsid w:val="00245D99"/>
    <w:rsid w:val="002465D1"/>
    <w:rsid w:val="00247ADA"/>
    <w:rsid w:val="00247BF7"/>
    <w:rsid w:val="00247D93"/>
    <w:rsid w:val="002509B6"/>
    <w:rsid w:val="002512B0"/>
    <w:rsid w:val="00252CBC"/>
    <w:rsid w:val="002540E7"/>
    <w:rsid w:val="00260328"/>
    <w:rsid w:val="002606D3"/>
    <w:rsid w:val="00261268"/>
    <w:rsid w:val="00262617"/>
    <w:rsid w:val="002669C3"/>
    <w:rsid w:val="00267A04"/>
    <w:rsid w:val="00270E29"/>
    <w:rsid w:val="002740B7"/>
    <w:rsid w:val="00274350"/>
    <w:rsid w:val="002745B0"/>
    <w:rsid w:val="00274907"/>
    <w:rsid w:val="00276098"/>
    <w:rsid w:val="002766EE"/>
    <w:rsid w:val="00281011"/>
    <w:rsid w:val="00281130"/>
    <w:rsid w:val="00281E8A"/>
    <w:rsid w:val="00282F68"/>
    <w:rsid w:val="00283977"/>
    <w:rsid w:val="00283E9E"/>
    <w:rsid w:val="002849D1"/>
    <w:rsid w:val="00286469"/>
    <w:rsid w:val="00290E46"/>
    <w:rsid w:val="0029114F"/>
    <w:rsid w:val="002915A2"/>
    <w:rsid w:val="002925A1"/>
    <w:rsid w:val="00292C3C"/>
    <w:rsid w:val="00294063"/>
    <w:rsid w:val="0029410D"/>
    <w:rsid w:val="00294367"/>
    <w:rsid w:val="00294BBF"/>
    <w:rsid w:val="00294C91"/>
    <w:rsid w:val="002955EA"/>
    <w:rsid w:val="0029700C"/>
    <w:rsid w:val="00297244"/>
    <w:rsid w:val="002979F1"/>
    <w:rsid w:val="002A03D5"/>
    <w:rsid w:val="002A096C"/>
    <w:rsid w:val="002A16EB"/>
    <w:rsid w:val="002A1B4D"/>
    <w:rsid w:val="002A227F"/>
    <w:rsid w:val="002A39FB"/>
    <w:rsid w:val="002A46BA"/>
    <w:rsid w:val="002A66A7"/>
    <w:rsid w:val="002A7CB6"/>
    <w:rsid w:val="002B1905"/>
    <w:rsid w:val="002B24A9"/>
    <w:rsid w:val="002B3293"/>
    <w:rsid w:val="002B3D70"/>
    <w:rsid w:val="002B4F76"/>
    <w:rsid w:val="002B7CF9"/>
    <w:rsid w:val="002B7EC7"/>
    <w:rsid w:val="002B7F1D"/>
    <w:rsid w:val="002C0839"/>
    <w:rsid w:val="002C11B3"/>
    <w:rsid w:val="002C2235"/>
    <w:rsid w:val="002C45E2"/>
    <w:rsid w:val="002C46AC"/>
    <w:rsid w:val="002C59C1"/>
    <w:rsid w:val="002C72FB"/>
    <w:rsid w:val="002D06D5"/>
    <w:rsid w:val="002D1A3D"/>
    <w:rsid w:val="002D1D38"/>
    <w:rsid w:val="002D4981"/>
    <w:rsid w:val="002E125A"/>
    <w:rsid w:val="002E133F"/>
    <w:rsid w:val="002E1E2F"/>
    <w:rsid w:val="002E284E"/>
    <w:rsid w:val="002E3FFA"/>
    <w:rsid w:val="002E654B"/>
    <w:rsid w:val="002E6701"/>
    <w:rsid w:val="002F01BA"/>
    <w:rsid w:val="002F0C7E"/>
    <w:rsid w:val="002F10A4"/>
    <w:rsid w:val="002F10C7"/>
    <w:rsid w:val="002F1200"/>
    <w:rsid w:val="002F19B5"/>
    <w:rsid w:val="002F1F1C"/>
    <w:rsid w:val="002F248E"/>
    <w:rsid w:val="002F3142"/>
    <w:rsid w:val="002F35FD"/>
    <w:rsid w:val="002F4716"/>
    <w:rsid w:val="002F48D2"/>
    <w:rsid w:val="002F5119"/>
    <w:rsid w:val="002F6BBF"/>
    <w:rsid w:val="002F77F1"/>
    <w:rsid w:val="003025C8"/>
    <w:rsid w:val="00303999"/>
    <w:rsid w:val="00305B0E"/>
    <w:rsid w:val="00307454"/>
    <w:rsid w:val="003078B5"/>
    <w:rsid w:val="003078BF"/>
    <w:rsid w:val="0031031F"/>
    <w:rsid w:val="0031149B"/>
    <w:rsid w:val="00312474"/>
    <w:rsid w:val="003124EE"/>
    <w:rsid w:val="00315C3F"/>
    <w:rsid w:val="0031720E"/>
    <w:rsid w:val="0032141D"/>
    <w:rsid w:val="00321CBC"/>
    <w:rsid w:val="00321CF7"/>
    <w:rsid w:val="00323410"/>
    <w:rsid w:val="0032382E"/>
    <w:rsid w:val="00326D8C"/>
    <w:rsid w:val="003279FF"/>
    <w:rsid w:val="003309B4"/>
    <w:rsid w:val="003322E6"/>
    <w:rsid w:val="0033350D"/>
    <w:rsid w:val="00333737"/>
    <w:rsid w:val="003352D4"/>
    <w:rsid w:val="003353AA"/>
    <w:rsid w:val="0033765B"/>
    <w:rsid w:val="003420C9"/>
    <w:rsid w:val="00342541"/>
    <w:rsid w:val="00342AEB"/>
    <w:rsid w:val="003431FA"/>
    <w:rsid w:val="003436A4"/>
    <w:rsid w:val="00343E77"/>
    <w:rsid w:val="00344162"/>
    <w:rsid w:val="00346536"/>
    <w:rsid w:val="00347FD4"/>
    <w:rsid w:val="00353D62"/>
    <w:rsid w:val="003552B9"/>
    <w:rsid w:val="003559CE"/>
    <w:rsid w:val="00356DA0"/>
    <w:rsid w:val="00356E2C"/>
    <w:rsid w:val="0035775C"/>
    <w:rsid w:val="003608C4"/>
    <w:rsid w:val="0036198C"/>
    <w:rsid w:val="00362876"/>
    <w:rsid w:val="00363ADB"/>
    <w:rsid w:val="00366C0D"/>
    <w:rsid w:val="00366E84"/>
    <w:rsid w:val="0037053D"/>
    <w:rsid w:val="00370ED5"/>
    <w:rsid w:val="00370F96"/>
    <w:rsid w:val="00371C48"/>
    <w:rsid w:val="00373332"/>
    <w:rsid w:val="003737CD"/>
    <w:rsid w:val="00374518"/>
    <w:rsid w:val="003750BF"/>
    <w:rsid w:val="00375C13"/>
    <w:rsid w:val="003769E4"/>
    <w:rsid w:val="00376BBB"/>
    <w:rsid w:val="0038045D"/>
    <w:rsid w:val="00381A6C"/>
    <w:rsid w:val="00382167"/>
    <w:rsid w:val="00384564"/>
    <w:rsid w:val="00384CF4"/>
    <w:rsid w:val="00385AF3"/>
    <w:rsid w:val="00386887"/>
    <w:rsid w:val="0038793B"/>
    <w:rsid w:val="00390386"/>
    <w:rsid w:val="00390487"/>
    <w:rsid w:val="00390C21"/>
    <w:rsid w:val="00394F91"/>
    <w:rsid w:val="00396612"/>
    <w:rsid w:val="00396735"/>
    <w:rsid w:val="003A08D6"/>
    <w:rsid w:val="003A2D71"/>
    <w:rsid w:val="003A4522"/>
    <w:rsid w:val="003A4C44"/>
    <w:rsid w:val="003A58B9"/>
    <w:rsid w:val="003A5A85"/>
    <w:rsid w:val="003A6379"/>
    <w:rsid w:val="003A68EB"/>
    <w:rsid w:val="003A71E0"/>
    <w:rsid w:val="003B2587"/>
    <w:rsid w:val="003B4687"/>
    <w:rsid w:val="003B6C47"/>
    <w:rsid w:val="003C2517"/>
    <w:rsid w:val="003C2B26"/>
    <w:rsid w:val="003C2C1B"/>
    <w:rsid w:val="003C40EB"/>
    <w:rsid w:val="003C4AC2"/>
    <w:rsid w:val="003C4FAD"/>
    <w:rsid w:val="003C74AE"/>
    <w:rsid w:val="003C7F18"/>
    <w:rsid w:val="003D0D4F"/>
    <w:rsid w:val="003D1F11"/>
    <w:rsid w:val="003D40B8"/>
    <w:rsid w:val="003D5368"/>
    <w:rsid w:val="003D62B2"/>
    <w:rsid w:val="003D676D"/>
    <w:rsid w:val="003D755D"/>
    <w:rsid w:val="003E01EA"/>
    <w:rsid w:val="003E1930"/>
    <w:rsid w:val="003E1A05"/>
    <w:rsid w:val="003E36E3"/>
    <w:rsid w:val="003E42F6"/>
    <w:rsid w:val="003E4C5B"/>
    <w:rsid w:val="003E745F"/>
    <w:rsid w:val="003F02D7"/>
    <w:rsid w:val="003F1B23"/>
    <w:rsid w:val="003F1C6D"/>
    <w:rsid w:val="003F21DA"/>
    <w:rsid w:val="003F29A1"/>
    <w:rsid w:val="003F2F3C"/>
    <w:rsid w:val="003F3FBE"/>
    <w:rsid w:val="003F4446"/>
    <w:rsid w:val="003F4DBF"/>
    <w:rsid w:val="003F7354"/>
    <w:rsid w:val="004022F7"/>
    <w:rsid w:val="0040262E"/>
    <w:rsid w:val="00402AE9"/>
    <w:rsid w:val="00403511"/>
    <w:rsid w:val="0040578E"/>
    <w:rsid w:val="00406607"/>
    <w:rsid w:val="0040663B"/>
    <w:rsid w:val="004067FF"/>
    <w:rsid w:val="004071C3"/>
    <w:rsid w:val="00407B32"/>
    <w:rsid w:val="00410684"/>
    <w:rsid w:val="00412458"/>
    <w:rsid w:val="00412FAC"/>
    <w:rsid w:val="00413A82"/>
    <w:rsid w:val="00414016"/>
    <w:rsid w:val="00415584"/>
    <w:rsid w:val="0041746C"/>
    <w:rsid w:val="0041773E"/>
    <w:rsid w:val="00417F11"/>
    <w:rsid w:val="004208C4"/>
    <w:rsid w:val="00421107"/>
    <w:rsid w:val="00421F53"/>
    <w:rsid w:val="00422143"/>
    <w:rsid w:val="004225CB"/>
    <w:rsid w:val="00423649"/>
    <w:rsid w:val="004249A6"/>
    <w:rsid w:val="00424AE1"/>
    <w:rsid w:val="0042741C"/>
    <w:rsid w:val="00427D9B"/>
    <w:rsid w:val="00430B69"/>
    <w:rsid w:val="004311F3"/>
    <w:rsid w:val="004326DF"/>
    <w:rsid w:val="00433382"/>
    <w:rsid w:val="00433727"/>
    <w:rsid w:val="004338D9"/>
    <w:rsid w:val="004364EB"/>
    <w:rsid w:val="00437C04"/>
    <w:rsid w:val="004412D9"/>
    <w:rsid w:val="00443182"/>
    <w:rsid w:val="0044545F"/>
    <w:rsid w:val="004477F4"/>
    <w:rsid w:val="00447AAF"/>
    <w:rsid w:val="00447CFF"/>
    <w:rsid w:val="00452962"/>
    <w:rsid w:val="00453031"/>
    <w:rsid w:val="00454E19"/>
    <w:rsid w:val="00457FF3"/>
    <w:rsid w:val="00460952"/>
    <w:rsid w:val="004625E8"/>
    <w:rsid w:val="0046268C"/>
    <w:rsid w:val="00464332"/>
    <w:rsid w:val="0046446B"/>
    <w:rsid w:val="004645B8"/>
    <w:rsid w:val="004659CA"/>
    <w:rsid w:val="00467902"/>
    <w:rsid w:val="00467FF3"/>
    <w:rsid w:val="004706C4"/>
    <w:rsid w:val="004727CF"/>
    <w:rsid w:val="00473AB2"/>
    <w:rsid w:val="00473DBB"/>
    <w:rsid w:val="00474A28"/>
    <w:rsid w:val="004751A0"/>
    <w:rsid w:val="004776F1"/>
    <w:rsid w:val="00480136"/>
    <w:rsid w:val="0048030D"/>
    <w:rsid w:val="00480D9E"/>
    <w:rsid w:val="004813EF"/>
    <w:rsid w:val="0048533B"/>
    <w:rsid w:val="0048641E"/>
    <w:rsid w:val="00486F47"/>
    <w:rsid w:val="00487096"/>
    <w:rsid w:val="004878C7"/>
    <w:rsid w:val="00487CE5"/>
    <w:rsid w:val="00490A06"/>
    <w:rsid w:val="004919FF"/>
    <w:rsid w:val="0049221B"/>
    <w:rsid w:val="004927A6"/>
    <w:rsid w:val="00492B7D"/>
    <w:rsid w:val="00492C45"/>
    <w:rsid w:val="00494001"/>
    <w:rsid w:val="0049485B"/>
    <w:rsid w:val="00497E35"/>
    <w:rsid w:val="004A1091"/>
    <w:rsid w:val="004A19ED"/>
    <w:rsid w:val="004A3463"/>
    <w:rsid w:val="004A4BC4"/>
    <w:rsid w:val="004A54FF"/>
    <w:rsid w:val="004A62E4"/>
    <w:rsid w:val="004A7293"/>
    <w:rsid w:val="004B0C51"/>
    <w:rsid w:val="004B1002"/>
    <w:rsid w:val="004B3171"/>
    <w:rsid w:val="004B55B6"/>
    <w:rsid w:val="004B6420"/>
    <w:rsid w:val="004B6F89"/>
    <w:rsid w:val="004B7338"/>
    <w:rsid w:val="004C07F8"/>
    <w:rsid w:val="004C1820"/>
    <w:rsid w:val="004C277C"/>
    <w:rsid w:val="004C434B"/>
    <w:rsid w:val="004C4BAD"/>
    <w:rsid w:val="004C518D"/>
    <w:rsid w:val="004C5C71"/>
    <w:rsid w:val="004C7C51"/>
    <w:rsid w:val="004D0202"/>
    <w:rsid w:val="004D120C"/>
    <w:rsid w:val="004D267D"/>
    <w:rsid w:val="004D283F"/>
    <w:rsid w:val="004D29AD"/>
    <w:rsid w:val="004D2FD5"/>
    <w:rsid w:val="004D414B"/>
    <w:rsid w:val="004D5983"/>
    <w:rsid w:val="004E0F9E"/>
    <w:rsid w:val="004E17C2"/>
    <w:rsid w:val="004E202E"/>
    <w:rsid w:val="004E2E70"/>
    <w:rsid w:val="004E4242"/>
    <w:rsid w:val="004E78C9"/>
    <w:rsid w:val="004F158A"/>
    <w:rsid w:val="004F1BDB"/>
    <w:rsid w:val="004F2EFC"/>
    <w:rsid w:val="004F407F"/>
    <w:rsid w:val="004F7F03"/>
    <w:rsid w:val="0050091A"/>
    <w:rsid w:val="005023CF"/>
    <w:rsid w:val="00502D38"/>
    <w:rsid w:val="005038E6"/>
    <w:rsid w:val="00503972"/>
    <w:rsid w:val="005048A0"/>
    <w:rsid w:val="00504D62"/>
    <w:rsid w:val="00505064"/>
    <w:rsid w:val="00506458"/>
    <w:rsid w:val="005077CF"/>
    <w:rsid w:val="00507A3B"/>
    <w:rsid w:val="00507E40"/>
    <w:rsid w:val="0051051E"/>
    <w:rsid w:val="00512A7E"/>
    <w:rsid w:val="00516572"/>
    <w:rsid w:val="0051661B"/>
    <w:rsid w:val="00517314"/>
    <w:rsid w:val="005174AF"/>
    <w:rsid w:val="005206CF"/>
    <w:rsid w:val="00521C50"/>
    <w:rsid w:val="00522F58"/>
    <w:rsid w:val="0052640F"/>
    <w:rsid w:val="00526E9A"/>
    <w:rsid w:val="00526F5F"/>
    <w:rsid w:val="00532F5F"/>
    <w:rsid w:val="0053351C"/>
    <w:rsid w:val="0053460D"/>
    <w:rsid w:val="0053651B"/>
    <w:rsid w:val="00537316"/>
    <w:rsid w:val="00537A3D"/>
    <w:rsid w:val="005402D9"/>
    <w:rsid w:val="005403CF"/>
    <w:rsid w:val="00541CA0"/>
    <w:rsid w:val="00541ED4"/>
    <w:rsid w:val="005433EB"/>
    <w:rsid w:val="005434A2"/>
    <w:rsid w:val="005448AB"/>
    <w:rsid w:val="00546C3E"/>
    <w:rsid w:val="00550CD0"/>
    <w:rsid w:val="00551DD5"/>
    <w:rsid w:val="0055282B"/>
    <w:rsid w:val="00552C28"/>
    <w:rsid w:val="0055496E"/>
    <w:rsid w:val="00556FB2"/>
    <w:rsid w:val="005601FE"/>
    <w:rsid w:val="00562E79"/>
    <w:rsid w:val="00563687"/>
    <w:rsid w:val="005648B8"/>
    <w:rsid w:val="00567B70"/>
    <w:rsid w:val="00570BD3"/>
    <w:rsid w:val="00571E48"/>
    <w:rsid w:val="0057206B"/>
    <w:rsid w:val="00572BC9"/>
    <w:rsid w:val="00573715"/>
    <w:rsid w:val="0057449E"/>
    <w:rsid w:val="00575B15"/>
    <w:rsid w:val="005814CB"/>
    <w:rsid w:val="00581A16"/>
    <w:rsid w:val="005820CE"/>
    <w:rsid w:val="00583A68"/>
    <w:rsid w:val="00583FA0"/>
    <w:rsid w:val="00584C4B"/>
    <w:rsid w:val="005858F2"/>
    <w:rsid w:val="00585936"/>
    <w:rsid w:val="00585BD7"/>
    <w:rsid w:val="00585EF5"/>
    <w:rsid w:val="00590B90"/>
    <w:rsid w:val="00591B88"/>
    <w:rsid w:val="005A061F"/>
    <w:rsid w:val="005A0978"/>
    <w:rsid w:val="005A2A04"/>
    <w:rsid w:val="005A3B29"/>
    <w:rsid w:val="005A6AF8"/>
    <w:rsid w:val="005A71C2"/>
    <w:rsid w:val="005A7D0E"/>
    <w:rsid w:val="005B0543"/>
    <w:rsid w:val="005B1AAA"/>
    <w:rsid w:val="005B1B7C"/>
    <w:rsid w:val="005B34A4"/>
    <w:rsid w:val="005B4287"/>
    <w:rsid w:val="005B5F56"/>
    <w:rsid w:val="005B6F87"/>
    <w:rsid w:val="005B7245"/>
    <w:rsid w:val="005B772E"/>
    <w:rsid w:val="005C0E61"/>
    <w:rsid w:val="005C1318"/>
    <w:rsid w:val="005C31F5"/>
    <w:rsid w:val="005C60C8"/>
    <w:rsid w:val="005C7AAB"/>
    <w:rsid w:val="005D2108"/>
    <w:rsid w:val="005D29F6"/>
    <w:rsid w:val="005D606E"/>
    <w:rsid w:val="005D619A"/>
    <w:rsid w:val="005D73DE"/>
    <w:rsid w:val="005E14A7"/>
    <w:rsid w:val="005E1A41"/>
    <w:rsid w:val="005E2038"/>
    <w:rsid w:val="005E3C44"/>
    <w:rsid w:val="005E5056"/>
    <w:rsid w:val="005E61B9"/>
    <w:rsid w:val="005F0465"/>
    <w:rsid w:val="005F0F85"/>
    <w:rsid w:val="005F1986"/>
    <w:rsid w:val="005F548A"/>
    <w:rsid w:val="005F571F"/>
    <w:rsid w:val="005F59CA"/>
    <w:rsid w:val="00602628"/>
    <w:rsid w:val="00603F7B"/>
    <w:rsid w:val="00604DA3"/>
    <w:rsid w:val="00604F22"/>
    <w:rsid w:val="00613168"/>
    <w:rsid w:val="00616FA0"/>
    <w:rsid w:val="00620830"/>
    <w:rsid w:val="006208EC"/>
    <w:rsid w:val="00620FF4"/>
    <w:rsid w:val="0062238B"/>
    <w:rsid w:val="00623B4D"/>
    <w:rsid w:val="00624CFE"/>
    <w:rsid w:val="00624E81"/>
    <w:rsid w:val="006310BB"/>
    <w:rsid w:val="0063128E"/>
    <w:rsid w:val="00631891"/>
    <w:rsid w:val="00632468"/>
    <w:rsid w:val="00633C24"/>
    <w:rsid w:val="00634084"/>
    <w:rsid w:val="006342C4"/>
    <w:rsid w:val="006345D8"/>
    <w:rsid w:val="00634701"/>
    <w:rsid w:val="006349F7"/>
    <w:rsid w:val="006375BD"/>
    <w:rsid w:val="00637747"/>
    <w:rsid w:val="0063784C"/>
    <w:rsid w:val="00637DC1"/>
    <w:rsid w:val="006409CE"/>
    <w:rsid w:val="0064573A"/>
    <w:rsid w:val="00645761"/>
    <w:rsid w:val="00651925"/>
    <w:rsid w:val="00651A6B"/>
    <w:rsid w:val="00653C1C"/>
    <w:rsid w:val="00654998"/>
    <w:rsid w:val="00655ACE"/>
    <w:rsid w:val="00655BA4"/>
    <w:rsid w:val="00655E8B"/>
    <w:rsid w:val="00655EBB"/>
    <w:rsid w:val="00656C23"/>
    <w:rsid w:val="00657962"/>
    <w:rsid w:val="006606F0"/>
    <w:rsid w:val="00660770"/>
    <w:rsid w:val="00660CB0"/>
    <w:rsid w:val="0066452D"/>
    <w:rsid w:val="006662B5"/>
    <w:rsid w:val="00671E53"/>
    <w:rsid w:val="0067321A"/>
    <w:rsid w:val="00673642"/>
    <w:rsid w:val="00674D00"/>
    <w:rsid w:val="00674D5D"/>
    <w:rsid w:val="00675331"/>
    <w:rsid w:val="006759CB"/>
    <w:rsid w:val="0067692E"/>
    <w:rsid w:val="00677712"/>
    <w:rsid w:val="00680B20"/>
    <w:rsid w:val="00680E5A"/>
    <w:rsid w:val="0068171E"/>
    <w:rsid w:val="00681AA8"/>
    <w:rsid w:val="00683A17"/>
    <w:rsid w:val="00683E47"/>
    <w:rsid w:val="00684DF8"/>
    <w:rsid w:val="0068624D"/>
    <w:rsid w:val="0069043D"/>
    <w:rsid w:val="00691CB0"/>
    <w:rsid w:val="006939A5"/>
    <w:rsid w:val="00693C03"/>
    <w:rsid w:val="0069612C"/>
    <w:rsid w:val="00696562"/>
    <w:rsid w:val="006A073E"/>
    <w:rsid w:val="006A1F3F"/>
    <w:rsid w:val="006A29A5"/>
    <w:rsid w:val="006A3CD4"/>
    <w:rsid w:val="006A406C"/>
    <w:rsid w:val="006A43F4"/>
    <w:rsid w:val="006A5F43"/>
    <w:rsid w:val="006A699B"/>
    <w:rsid w:val="006A729F"/>
    <w:rsid w:val="006B07C9"/>
    <w:rsid w:val="006B08AF"/>
    <w:rsid w:val="006B0A0D"/>
    <w:rsid w:val="006B0AC4"/>
    <w:rsid w:val="006B0D5C"/>
    <w:rsid w:val="006B1642"/>
    <w:rsid w:val="006B2952"/>
    <w:rsid w:val="006B3457"/>
    <w:rsid w:val="006B3F60"/>
    <w:rsid w:val="006B4629"/>
    <w:rsid w:val="006B574E"/>
    <w:rsid w:val="006B581B"/>
    <w:rsid w:val="006B6730"/>
    <w:rsid w:val="006B7275"/>
    <w:rsid w:val="006B7B67"/>
    <w:rsid w:val="006B7EA9"/>
    <w:rsid w:val="006C0110"/>
    <w:rsid w:val="006C0A3A"/>
    <w:rsid w:val="006C172A"/>
    <w:rsid w:val="006C21FF"/>
    <w:rsid w:val="006C2DD5"/>
    <w:rsid w:val="006C34C4"/>
    <w:rsid w:val="006C4C6D"/>
    <w:rsid w:val="006C6551"/>
    <w:rsid w:val="006D02E2"/>
    <w:rsid w:val="006D1AD8"/>
    <w:rsid w:val="006D2434"/>
    <w:rsid w:val="006D42DC"/>
    <w:rsid w:val="006D4AD9"/>
    <w:rsid w:val="006D5174"/>
    <w:rsid w:val="006D726E"/>
    <w:rsid w:val="006E0585"/>
    <w:rsid w:val="006E081E"/>
    <w:rsid w:val="006E3915"/>
    <w:rsid w:val="006E4A20"/>
    <w:rsid w:val="006E4D0B"/>
    <w:rsid w:val="006E5E3E"/>
    <w:rsid w:val="006E63AB"/>
    <w:rsid w:val="006E6F98"/>
    <w:rsid w:val="006F0514"/>
    <w:rsid w:val="006F4812"/>
    <w:rsid w:val="006F630C"/>
    <w:rsid w:val="00700419"/>
    <w:rsid w:val="00701EAF"/>
    <w:rsid w:val="00703C2C"/>
    <w:rsid w:val="00705B9B"/>
    <w:rsid w:val="00706D38"/>
    <w:rsid w:val="00707573"/>
    <w:rsid w:val="00707F0C"/>
    <w:rsid w:val="00710403"/>
    <w:rsid w:val="00710984"/>
    <w:rsid w:val="00710ECF"/>
    <w:rsid w:val="0071112B"/>
    <w:rsid w:val="007119A1"/>
    <w:rsid w:val="00711B91"/>
    <w:rsid w:val="00711FA0"/>
    <w:rsid w:val="00712168"/>
    <w:rsid w:val="00712B0E"/>
    <w:rsid w:val="00712C48"/>
    <w:rsid w:val="00713508"/>
    <w:rsid w:val="007136BC"/>
    <w:rsid w:val="007136FA"/>
    <w:rsid w:val="00713C15"/>
    <w:rsid w:val="00713D3B"/>
    <w:rsid w:val="007144EE"/>
    <w:rsid w:val="00714A46"/>
    <w:rsid w:val="00722399"/>
    <w:rsid w:val="007231F3"/>
    <w:rsid w:val="00723EB9"/>
    <w:rsid w:val="007247AE"/>
    <w:rsid w:val="00724D06"/>
    <w:rsid w:val="00725D38"/>
    <w:rsid w:val="0072626A"/>
    <w:rsid w:val="007264EF"/>
    <w:rsid w:val="00726C07"/>
    <w:rsid w:val="00727092"/>
    <w:rsid w:val="007270D1"/>
    <w:rsid w:val="00733DD1"/>
    <w:rsid w:val="00733FEB"/>
    <w:rsid w:val="007356AD"/>
    <w:rsid w:val="007405E0"/>
    <w:rsid w:val="00740B1F"/>
    <w:rsid w:val="007410CE"/>
    <w:rsid w:val="00741C8B"/>
    <w:rsid w:val="007443E2"/>
    <w:rsid w:val="00744CBE"/>
    <w:rsid w:val="00744E91"/>
    <w:rsid w:val="007473F9"/>
    <w:rsid w:val="00750AF4"/>
    <w:rsid w:val="00751995"/>
    <w:rsid w:val="00751C2C"/>
    <w:rsid w:val="00752674"/>
    <w:rsid w:val="007565EA"/>
    <w:rsid w:val="00756A4F"/>
    <w:rsid w:val="00757B05"/>
    <w:rsid w:val="00763977"/>
    <w:rsid w:val="00766002"/>
    <w:rsid w:val="007671F2"/>
    <w:rsid w:val="0076750E"/>
    <w:rsid w:val="007677EC"/>
    <w:rsid w:val="0077380D"/>
    <w:rsid w:val="00773A0C"/>
    <w:rsid w:val="007740D3"/>
    <w:rsid w:val="007740E5"/>
    <w:rsid w:val="00774566"/>
    <w:rsid w:val="00774CB1"/>
    <w:rsid w:val="00775801"/>
    <w:rsid w:val="00775F62"/>
    <w:rsid w:val="007762A2"/>
    <w:rsid w:val="007767AC"/>
    <w:rsid w:val="00780F76"/>
    <w:rsid w:val="0078183B"/>
    <w:rsid w:val="00782D80"/>
    <w:rsid w:val="00784E48"/>
    <w:rsid w:val="00785231"/>
    <w:rsid w:val="0078718E"/>
    <w:rsid w:val="0079339B"/>
    <w:rsid w:val="007937F3"/>
    <w:rsid w:val="00793BAB"/>
    <w:rsid w:val="00794A34"/>
    <w:rsid w:val="007A0796"/>
    <w:rsid w:val="007A1125"/>
    <w:rsid w:val="007A145D"/>
    <w:rsid w:val="007A2810"/>
    <w:rsid w:val="007A3791"/>
    <w:rsid w:val="007A3B9F"/>
    <w:rsid w:val="007A4086"/>
    <w:rsid w:val="007A514C"/>
    <w:rsid w:val="007A5B59"/>
    <w:rsid w:val="007A6FA0"/>
    <w:rsid w:val="007B4D27"/>
    <w:rsid w:val="007B665B"/>
    <w:rsid w:val="007B7907"/>
    <w:rsid w:val="007C1617"/>
    <w:rsid w:val="007C1935"/>
    <w:rsid w:val="007C3E31"/>
    <w:rsid w:val="007C4B74"/>
    <w:rsid w:val="007C77C6"/>
    <w:rsid w:val="007D0664"/>
    <w:rsid w:val="007D0B96"/>
    <w:rsid w:val="007D3B45"/>
    <w:rsid w:val="007D44C5"/>
    <w:rsid w:val="007D4BDE"/>
    <w:rsid w:val="007D509F"/>
    <w:rsid w:val="007D62BD"/>
    <w:rsid w:val="007D677C"/>
    <w:rsid w:val="007D6FDC"/>
    <w:rsid w:val="007D7C06"/>
    <w:rsid w:val="007E234A"/>
    <w:rsid w:val="007E2F36"/>
    <w:rsid w:val="007E515D"/>
    <w:rsid w:val="007E6A41"/>
    <w:rsid w:val="007E6C81"/>
    <w:rsid w:val="007E6FC7"/>
    <w:rsid w:val="007F11E2"/>
    <w:rsid w:val="007F16EF"/>
    <w:rsid w:val="007F21AE"/>
    <w:rsid w:val="007F7D05"/>
    <w:rsid w:val="00801836"/>
    <w:rsid w:val="00801D1A"/>
    <w:rsid w:val="0080386D"/>
    <w:rsid w:val="00805025"/>
    <w:rsid w:val="00805453"/>
    <w:rsid w:val="00807460"/>
    <w:rsid w:val="00810D6E"/>
    <w:rsid w:val="00810FD8"/>
    <w:rsid w:val="00811084"/>
    <w:rsid w:val="0081203D"/>
    <w:rsid w:val="00812946"/>
    <w:rsid w:val="00812BEB"/>
    <w:rsid w:val="00813764"/>
    <w:rsid w:val="00813C57"/>
    <w:rsid w:val="00814C6A"/>
    <w:rsid w:val="008173F0"/>
    <w:rsid w:val="008208D0"/>
    <w:rsid w:val="008220EA"/>
    <w:rsid w:val="00822274"/>
    <w:rsid w:val="0082265D"/>
    <w:rsid w:val="00822F01"/>
    <w:rsid w:val="008231FE"/>
    <w:rsid w:val="00823895"/>
    <w:rsid w:val="00831A6C"/>
    <w:rsid w:val="00833431"/>
    <w:rsid w:val="00835193"/>
    <w:rsid w:val="0083605E"/>
    <w:rsid w:val="00836D4E"/>
    <w:rsid w:val="00836F29"/>
    <w:rsid w:val="00843128"/>
    <w:rsid w:val="00843DF3"/>
    <w:rsid w:val="0084563D"/>
    <w:rsid w:val="00845CD4"/>
    <w:rsid w:val="00846711"/>
    <w:rsid w:val="00846F1D"/>
    <w:rsid w:val="00854598"/>
    <w:rsid w:val="00854A4B"/>
    <w:rsid w:val="00855B0F"/>
    <w:rsid w:val="00856738"/>
    <w:rsid w:val="00856DA5"/>
    <w:rsid w:val="00863961"/>
    <w:rsid w:val="0086556F"/>
    <w:rsid w:val="008665A4"/>
    <w:rsid w:val="00866A58"/>
    <w:rsid w:val="0086732B"/>
    <w:rsid w:val="00872599"/>
    <w:rsid w:val="00872E8D"/>
    <w:rsid w:val="0087489D"/>
    <w:rsid w:val="00875E5C"/>
    <w:rsid w:val="008762A7"/>
    <w:rsid w:val="00877AFB"/>
    <w:rsid w:val="00877F28"/>
    <w:rsid w:val="00880407"/>
    <w:rsid w:val="00880FF9"/>
    <w:rsid w:val="00881938"/>
    <w:rsid w:val="00881F41"/>
    <w:rsid w:val="00881F47"/>
    <w:rsid w:val="008828B3"/>
    <w:rsid w:val="00883A11"/>
    <w:rsid w:val="00883BFB"/>
    <w:rsid w:val="008849BC"/>
    <w:rsid w:val="0088733F"/>
    <w:rsid w:val="00887C72"/>
    <w:rsid w:val="00891FCA"/>
    <w:rsid w:val="00892DFD"/>
    <w:rsid w:val="00892F79"/>
    <w:rsid w:val="00895210"/>
    <w:rsid w:val="0089539C"/>
    <w:rsid w:val="0089738B"/>
    <w:rsid w:val="008A14F2"/>
    <w:rsid w:val="008A33A9"/>
    <w:rsid w:val="008A4B6E"/>
    <w:rsid w:val="008A4C9D"/>
    <w:rsid w:val="008A54A5"/>
    <w:rsid w:val="008A7380"/>
    <w:rsid w:val="008B07A1"/>
    <w:rsid w:val="008B0C60"/>
    <w:rsid w:val="008B0F1E"/>
    <w:rsid w:val="008B248C"/>
    <w:rsid w:val="008B4887"/>
    <w:rsid w:val="008B749D"/>
    <w:rsid w:val="008C33A0"/>
    <w:rsid w:val="008C5330"/>
    <w:rsid w:val="008C6F66"/>
    <w:rsid w:val="008D05D4"/>
    <w:rsid w:val="008D28CB"/>
    <w:rsid w:val="008D336F"/>
    <w:rsid w:val="008D3438"/>
    <w:rsid w:val="008D5A93"/>
    <w:rsid w:val="008D5DC0"/>
    <w:rsid w:val="008D7832"/>
    <w:rsid w:val="008D7C17"/>
    <w:rsid w:val="008D7CB8"/>
    <w:rsid w:val="008E0802"/>
    <w:rsid w:val="008E0C51"/>
    <w:rsid w:val="008E1329"/>
    <w:rsid w:val="008E1A59"/>
    <w:rsid w:val="008E28DC"/>
    <w:rsid w:val="008E384F"/>
    <w:rsid w:val="008E4991"/>
    <w:rsid w:val="008E4D21"/>
    <w:rsid w:val="008E74C8"/>
    <w:rsid w:val="008E76CE"/>
    <w:rsid w:val="008E7C94"/>
    <w:rsid w:val="008F0DDD"/>
    <w:rsid w:val="008F239E"/>
    <w:rsid w:val="008F2C3C"/>
    <w:rsid w:val="008F3459"/>
    <w:rsid w:val="008F3942"/>
    <w:rsid w:val="008F3D43"/>
    <w:rsid w:val="008F576B"/>
    <w:rsid w:val="008F6EF8"/>
    <w:rsid w:val="008F7098"/>
    <w:rsid w:val="009003B8"/>
    <w:rsid w:val="009036E0"/>
    <w:rsid w:val="0091356D"/>
    <w:rsid w:val="009138D4"/>
    <w:rsid w:val="00913F3A"/>
    <w:rsid w:val="0091545F"/>
    <w:rsid w:val="00915777"/>
    <w:rsid w:val="00916709"/>
    <w:rsid w:val="00922501"/>
    <w:rsid w:val="00922CC9"/>
    <w:rsid w:val="0092335B"/>
    <w:rsid w:val="00925390"/>
    <w:rsid w:val="009278E8"/>
    <w:rsid w:val="00930777"/>
    <w:rsid w:val="00933742"/>
    <w:rsid w:val="009340A8"/>
    <w:rsid w:val="00936AEC"/>
    <w:rsid w:val="009402E4"/>
    <w:rsid w:val="00942028"/>
    <w:rsid w:val="00943052"/>
    <w:rsid w:val="00943839"/>
    <w:rsid w:val="009456AA"/>
    <w:rsid w:val="0094583B"/>
    <w:rsid w:val="00945AD3"/>
    <w:rsid w:val="0095029E"/>
    <w:rsid w:val="00951A15"/>
    <w:rsid w:val="00952E78"/>
    <w:rsid w:val="00953D50"/>
    <w:rsid w:val="00957F30"/>
    <w:rsid w:val="0096030D"/>
    <w:rsid w:val="00962D0E"/>
    <w:rsid w:val="00962D51"/>
    <w:rsid w:val="00965105"/>
    <w:rsid w:val="00965F99"/>
    <w:rsid w:val="00967B46"/>
    <w:rsid w:val="00970789"/>
    <w:rsid w:val="0097195C"/>
    <w:rsid w:val="00975D4C"/>
    <w:rsid w:val="00977042"/>
    <w:rsid w:val="009776CF"/>
    <w:rsid w:val="009816F5"/>
    <w:rsid w:val="00982973"/>
    <w:rsid w:val="00982C78"/>
    <w:rsid w:val="0098399E"/>
    <w:rsid w:val="00985B95"/>
    <w:rsid w:val="0099066A"/>
    <w:rsid w:val="009928F2"/>
    <w:rsid w:val="0099390A"/>
    <w:rsid w:val="009956CF"/>
    <w:rsid w:val="00996A3D"/>
    <w:rsid w:val="009A0242"/>
    <w:rsid w:val="009A17A9"/>
    <w:rsid w:val="009A24CA"/>
    <w:rsid w:val="009A2D38"/>
    <w:rsid w:val="009A38B0"/>
    <w:rsid w:val="009A49E1"/>
    <w:rsid w:val="009A678E"/>
    <w:rsid w:val="009A7AFC"/>
    <w:rsid w:val="009B071B"/>
    <w:rsid w:val="009B3028"/>
    <w:rsid w:val="009B3D43"/>
    <w:rsid w:val="009B4F7D"/>
    <w:rsid w:val="009B54FD"/>
    <w:rsid w:val="009B72FA"/>
    <w:rsid w:val="009B7FF9"/>
    <w:rsid w:val="009C2A21"/>
    <w:rsid w:val="009C3E14"/>
    <w:rsid w:val="009C5246"/>
    <w:rsid w:val="009C5DEA"/>
    <w:rsid w:val="009C61C1"/>
    <w:rsid w:val="009C6B02"/>
    <w:rsid w:val="009C7611"/>
    <w:rsid w:val="009C7745"/>
    <w:rsid w:val="009D0D27"/>
    <w:rsid w:val="009D10FE"/>
    <w:rsid w:val="009D2A06"/>
    <w:rsid w:val="009D379B"/>
    <w:rsid w:val="009D3A54"/>
    <w:rsid w:val="009D669A"/>
    <w:rsid w:val="009D6967"/>
    <w:rsid w:val="009E04D3"/>
    <w:rsid w:val="009E1934"/>
    <w:rsid w:val="009E2709"/>
    <w:rsid w:val="009E4C1C"/>
    <w:rsid w:val="009E50E0"/>
    <w:rsid w:val="009E61BF"/>
    <w:rsid w:val="009E681D"/>
    <w:rsid w:val="009E76E9"/>
    <w:rsid w:val="009F197E"/>
    <w:rsid w:val="009F3D1F"/>
    <w:rsid w:val="009F4C7E"/>
    <w:rsid w:val="009F5B68"/>
    <w:rsid w:val="00A0091D"/>
    <w:rsid w:val="00A01364"/>
    <w:rsid w:val="00A01405"/>
    <w:rsid w:val="00A02244"/>
    <w:rsid w:val="00A032DE"/>
    <w:rsid w:val="00A03761"/>
    <w:rsid w:val="00A06C99"/>
    <w:rsid w:val="00A07DDC"/>
    <w:rsid w:val="00A10C84"/>
    <w:rsid w:val="00A113CA"/>
    <w:rsid w:val="00A122C9"/>
    <w:rsid w:val="00A14303"/>
    <w:rsid w:val="00A162FE"/>
    <w:rsid w:val="00A1776A"/>
    <w:rsid w:val="00A17941"/>
    <w:rsid w:val="00A17DD9"/>
    <w:rsid w:val="00A17EB9"/>
    <w:rsid w:val="00A2013F"/>
    <w:rsid w:val="00A203E6"/>
    <w:rsid w:val="00A21B69"/>
    <w:rsid w:val="00A220DD"/>
    <w:rsid w:val="00A22819"/>
    <w:rsid w:val="00A262F2"/>
    <w:rsid w:val="00A264CC"/>
    <w:rsid w:val="00A26A95"/>
    <w:rsid w:val="00A26D42"/>
    <w:rsid w:val="00A3317E"/>
    <w:rsid w:val="00A33E9A"/>
    <w:rsid w:val="00A36F9A"/>
    <w:rsid w:val="00A37939"/>
    <w:rsid w:val="00A40717"/>
    <w:rsid w:val="00A41344"/>
    <w:rsid w:val="00A43D8A"/>
    <w:rsid w:val="00A44457"/>
    <w:rsid w:val="00A44EA9"/>
    <w:rsid w:val="00A46FF1"/>
    <w:rsid w:val="00A506DF"/>
    <w:rsid w:val="00A5272A"/>
    <w:rsid w:val="00A604F2"/>
    <w:rsid w:val="00A618F6"/>
    <w:rsid w:val="00A62F5B"/>
    <w:rsid w:val="00A6353D"/>
    <w:rsid w:val="00A7445D"/>
    <w:rsid w:val="00A74DE3"/>
    <w:rsid w:val="00A7681E"/>
    <w:rsid w:val="00A778D7"/>
    <w:rsid w:val="00A8008A"/>
    <w:rsid w:val="00A81017"/>
    <w:rsid w:val="00A82758"/>
    <w:rsid w:val="00A82960"/>
    <w:rsid w:val="00A83040"/>
    <w:rsid w:val="00A83A70"/>
    <w:rsid w:val="00A8466D"/>
    <w:rsid w:val="00A84694"/>
    <w:rsid w:val="00A84A94"/>
    <w:rsid w:val="00A853B1"/>
    <w:rsid w:val="00A856EA"/>
    <w:rsid w:val="00A867C0"/>
    <w:rsid w:val="00A90B4D"/>
    <w:rsid w:val="00A91895"/>
    <w:rsid w:val="00A91A3A"/>
    <w:rsid w:val="00A92A68"/>
    <w:rsid w:val="00A92FD6"/>
    <w:rsid w:val="00A941D4"/>
    <w:rsid w:val="00A94A83"/>
    <w:rsid w:val="00A95A1F"/>
    <w:rsid w:val="00A95BDF"/>
    <w:rsid w:val="00A96BC5"/>
    <w:rsid w:val="00A97C2F"/>
    <w:rsid w:val="00AA1496"/>
    <w:rsid w:val="00AA2C38"/>
    <w:rsid w:val="00AA4615"/>
    <w:rsid w:val="00AA4A7D"/>
    <w:rsid w:val="00AA50DE"/>
    <w:rsid w:val="00AA57C6"/>
    <w:rsid w:val="00AA5FBC"/>
    <w:rsid w:val="00AB2EE0"/>
    <w:rsid w:val="00AB5A60"/>
    <w:rsid w:val="00AC0691"/>
    <w:rsid w:val="00AC18A0"/>
    <w:rsid w:val="00AC2439"/>
    <w:rsid w:val="00AC7264"/>
    <w:rsid w:val="00AD2058"/>
    <w:rsid w:val="00AD3AF0"/>
    <w:rsid w:val="00AD3FDA"/>
    <w:rsid w:val="00AD5580"/>
    <w:rsid w:val="00AE02A3"/>
    <w:rsid w:val="00AE3E97"/>
    <w:rsid w:val="00AE3ECB"/>
    <w:rsid w:val="00AE500B"/>
    <w:rsid w:val="00AE5F2A"/>
    <w:rsid w:val="00AF0158"/>
    <w:rsid w:val="00AF1735"/>
    <w:rsid w:val="00AF66A5"/>
    <w:rsid w:val="00AF7992"/>
    <w:rsid w:val="00B00650"/>
    <w:rsid w:val="00B00ADB"/>
    <w:rsid w:val="00B00D61"/>
    <w:rsid w:val="00B01566"/>
    <w:rsid w:val="00B02802"/>
    <w:rsid w:val="00B02ED1"/>
    <w:rsid w:val="00B03835"/>
    <w:rsid w:val="00B04412"/>
    <w:rsid w:val="00B05949"/>
    <w:rsid w:val="00B11E53"/>
    <w:rsid w:val="00B12F83"/>
    <w:rsid w:val="00B14407"/>
    <w:rsid w:val="00B14869"/>
    <w:rsid w:val="00B158D4"/>
    <w:rsid w:val="00B16224"/>
    <w:rsid w:val="00B1665B"/>
    <w:rsid w:val="00B1671A"/>
    <w:rsid w:val="00B226E6"/>
    <w:rsid w:val="00B24279"/>
    <w:rsid w:val="00B25018"/>
    <w:rsid w:val="00B2516E"/>
    <w:rsid w:val="00B25C20"/>
    <w:rsid w:val="00B26C16"/>
    <w:rsid w:val="00B26E52"/>
    <w:rsid w:val="00B27267"/>
    <w:rsid w:val="00B3133E"/>
    <w:rsid w:val="00B33F99"/>
    <w:rsid w:val="00B3698C"/>
    <w:rsid w:val="00B36DAD"/>
    <w:rsid w:val="00B40B98"/>
    <w:rsid w:val="00B42000"/>
    <w:rsid w:val="00B42144"/>
    <w:rsid w:val="00B450F0"/>
    <w:rsid w:val="00B47275"/>
    <w:rsid w:val="00B47B5C"/>
    <w:rsid w:val="00B50388"/>
    <w:rsid w:val="00B51624"/>
    <w:rsid w:val="00B55D14"/>
    <w:rsid w:val="00B55EA8"/>
    <w:rsid w:val="00B6023B"/>
    <w:rsid w:val="00B61C51"/>
    <w:rsid w:val="00B61E57"/>
    <w:rsid w:val="00B63B5F"/>
    <w:rsid w:val="00B646B7"/>
    <w:rsid w:val="00B64C44"/>
    <w:rsid w:val="00B64EEF"/>
    <w:rsid w:val="00B65FEE"/>
    <w:rsid w:val="00B6659C"/>
    <w:rsid w:val="00B66D04"/>
    <w:rsid w:val="00B67002"/>
    <w:rsid w:val="00B71D8C"/>
    <w:rsid w:val="00B72D9C"/>
    <w:rsid w:val="00B736F5"/>
    <w:rsid w:val="00B75F5C"/>
    <w:rsid w:val="00B77BE8"/>
    <w:rsid w:val="00B829FB"/>
    <w:rsid w:val="00B82F71"/>
    <w:rsid w:val="00B83230"/>
    <w:rsid w:val="00B84E28"/>
    <w:rsid w:val="00B84EBA"/>
    <w:rsid w:val="00B84FA7"/>
    <w:rsid w:val="00B85613"/>
    <w:rsid w:val="00B85F3C"/>
    <w:rsid w:val="00B861A1"/>
    <w:rsid w:val="00B87389"/>
    <w:rsid w:val="00B90FB8"/>
    <w:rsid w:val="00B9449B"/>
    <w:rsid w:val="00B94CCB"/>
    <w:rsid w:val="00BA26A4"/>
    <w:rsid w:val="00BA299F"/>
    <w:rsid w:val="00BA2FEA"/>
    <w:rsid w:val="00BA3C5D"/>
    <w:rsid w:val="00BA3E1C"/>
    <w:rsid w:val="00BA41FC"/>
    <w:rsid w:val="00BA513C"/>
    <w:rsid w:val="00BA606E"/>
    <w:rsid w:val="00BA6631"/>
    <w:rsid w:val="00BA70D7"/>
    <w:rsid w:val="00BA7602"/>
    <w:rsid w:val="00BA7758"/>
    <w:rsid w:val="00BB2CA5"/>
    <w:rsid w:val="00BB4D9B"/>
    <w:rsid w:val="00BB4FA5"/>
    <w:rsid w:val="00BB5197"/>
    <w:rsid w:val="00BC0D6B"/>
    <w:rsid w:val="00BC15F0"/>
    <w:rsid w:val="00BC1700"/>
    <w:rsid w:val="00BC33D0"/>
    <w:rsid w:val="00BC489B"/>
    <w:rsid w:val="00BC7BCD"/>
    <w:rsid w:val="00BD03CE"/>
    <w:rsid w:val="00BD04AC"/>
    <w:rsid w:val="00BD2338"/>
    <w:rsid w:val="00BD44C9"/>
    <w:rsid w:val="00BD452D"/>
    <w:rsid w:val="00BD4AC6"/>
    <w:rsid w:val="00BD5018"/>
    <w:rsid w:val="00BD5ABC"/>
    <w:rsid w:val="00BD6039"/>
    <w:rsid w:val="00BD6E6E"/>
    <w:rsid w:val="00BD7395"/>
    <w:rsid w:val="00BD7692"/>
    <w:rsid w:val="00BE26B5"/>
    <w:rsid w:val="00BE2EDE"/>
    <w:rsid w:val="00BE31E1"/>
    <w:rsid w:val="00BE33E4"/>
    <w:rsid w:val="00BE3ED7"/>
    <w:rsid w:val="00BE4097"/>
    <w:rsid w:val="00BE4408"/>
    <w:rsid w:val="00BE594B"/>
    <w:rsid w:val="00BE66D4"/>
    <w:rsid w:val="00BE66E7"/>
    <w:rsid w:val="00BE6702"/>
    <w:rsid w:val="00BE7A75"/>
    <w:rsid w:val="00BE7D3C"/>
    <w:rsid w:val="00BE7DED"/>
    <w:rsid w:val="00BE7E71"/>
    <w:rsid w:val="00BF0780"/>
    <w:rsid w:val="00BF0AB8"/>
    <w:rsid w:val="00BF1615"/>
    <w:rsid w:val="00BF407A"/>
    <w:rsid w:val="00BF49C9"/>
    <w:rsid w:val="00BF50BA"/>
    <w:rsid w:val="00BF77E4"/>
    <w:rsid w:val="00C018B4"/>
    <w:rsid w:val="00C01D97"/>
    <w:rsid w:val="00C0292C"/>
    <w:rsid w:val="00C03693"/>
    <w:rsid w:val="00C03D98"/>
    <w:rsid w:val="00C05396"/>
    <w:rsid w:val="00C07314"/>
    <w:rsid w:val="00C11917"/>
    <w:rsid w:val="00C11C1B"/>
    <w:rsid w:val="00C11E8B"/>
    <w:rsid w:val="00C124C7"/>
    <w:rsid w:val="00C1273F"/>
    <w:rsid w:val="00C135BF"/>
    <w:rsid w:val="00C146DA"/>
    <w:rsid w:val="00C14814"/>
    <w:rsid w:val="00C14BAF"/>
    <w:rsid w:val="00C155EA"/>
    <w:rsid w:val="00C15FCD"/>
    <w:rsid w:val="00C206A6"/>
    <w:rsid w:val="00C20792"/>
    <w:rsid w:val="00C21DCA"/>
    <w:rsid w:val="00C22A36"/>
    <w:rsid w:val="00C22FAC"/>
    <w:rsid w:val="00C23008"/>
    <w:rsid w:val="00C236DD"/>
    <w:rsid w:val="00C24FF0"/>
    <w:rsid w:val="00C25B5A"/>
    <w:rsid w:val="00C25CC1"/>
    <w:rsid w:val="00C30D24"/>
    <w:rsid w:val="00C31253"/>
    <w:rsid w:val="00C313BE"/>
    <w:rsid w:val="00C32D09"/>
    <w:rsid w:val="00C33628"/>
    <w:rsid w:val="00C338B6"/>
    <w:rsid w:val="00C33C92"/>
    <w:rsid w:val="00C36BCD"/>
    <w:rsid w:val="00C36F13"/>
    <w:rsid w:val="00C41D53"/>
    <w:rsid w:val="00C445FD"/>
    <w:rsid w:val="00C44D1B"/>
    <w:rsid w:val="00C47F77"/>
    <w:rsid w:val="00C5068B"/>
    <w:rsid w:val="00C50C7E"/>
    <w:rsid w:val="00C53289"/>
    <w:rsid w:val="00C5388E"/>
    <w:rsid w:val="00C55582"/>
    <w:rsid w:val="00C60365"/>
    <w:rsid w:val="00C61538"/>
    <w:rsid w:val="00C61A54"/>
    <w:rsid w:val="00C63C55"/>
    <w:rsid w:val="00C71031"/>
    <w:rsid w:val="00C71547"/>
    <w:rsid w:val="00C715FC"/>
    <w:rsid w:val="00C7191B"/>
    <w:rsid w:val="00C7250C"/>
    <w:rsid w:val="00C727B6"/>
    <w:rsid w:val="00C72B71"/>
    <w:rsid w:val="00C73837"/>
    <w:rsid w:val="00C76603"/>
    <w:rsid w:val="00C76CD0"/>
    <w:rsid w:val="00C836E4"/>
    <w:rsid w:val="00C86BD2"/>
    <w:rsid w:val="00C8717F"/>
    <w:rsid w:val="00C87AFB"/>
    <w:rsid w:val="00C87B21"/>
    <w:rsid w:val="00C9138E"/>
    <w:rsid w:val="00C924C0"/>
    <w:rsid w:val="00C9293F"/>
    <w:rsid w:val="00C9386D"/>
    <w:rsid w:val="00C93C7D"/>
    <w:rsid w:val="00C96A52"/>
    <w:rsid w:val="00CA13B0"/>
    <w:rsid w:val="00CA1F22"/>
    <w:rsid w:val="00CA2C1C"/>
    <w:rsid w:val="00CA4C13"/>
    <w:rsid w:val="00CB0289"/>
    <w:rsid w:val="00CB0881"/>
    <w:rsid w:val="00CB1453"/>
    <w:rsid w:val="00CB2125"/>
    <w:rsid w:val="00CB2E57"/>
    <w:rsid w:val="00CB3495"/>
    <w:rsid w:val="00CB3C4A"/>
    <w:rsid w:val="00CB4237"/>
    <w:rsid w:val="00CB575A"/>
    <w:rsid w:val="00CB6D16"/>
    <w:rsid w:val="00CB6D1B"/>
    <w:rsid w:val="00CB6F1D"/>
    <w:rsid w:val="00CC005F"/>
    <w:rsid w:val="00CC26BC"/>
    <w:rsid w:val="00CC276B"/>
    <w:rsid w:val="00CC55EC"/>
    <w:rsid w:val="00CC5867"/>
    <w:rsid w:val="00CC5A4B"/>
    <w:rsid w:val="00CC6D1C"/>
    <w:rsid w:val="00CC6F44"/>
    <w:rsid w:val="00CC709B"/>
    <w:rsid w:val="00CC78D2"/>
    <w:rsid w:val="00CD02E8"/>
    <w:rsid w:val="00CD06D0"/>
    <w:rsid w:val="00CD093E"/>
    <w:rsid w:val="00CD3C3D"/>
    <w:rsid w:val="00CD4E19"/>
    <w:rsid w:val="00CD596D"/>
    <w:rsid w:val="00CD5AA6"/>
    <w:rsid w:val="00CD5C37"/>
    <w:rsid w:val="00CE01BE"/>
    <w:rsid w:val="00CE1C82"/>
    <w:rsid w:val="00CE2A89"/>
    <w:rsid w:val="00CE3027"/>
    <w:rsid w:val="00CE4DA8"/>
    <w:rsid w:val="00CE6072"/>
    <w:rsid w:val="00CE6F05"/>
    <w:rsid w:val="00CF2337"/>
    <w:rsid w:val="00CF32C2"/>
    <w:rsid w:val="00CF376D"/>
    <w:rsid w:val="00D005C1"/>
    <w:rsid w:val="00D0116A"/>
    <w:rsid w:val="00D016CE"/>
    <w:rsid w:val="00D026C2"/>
    <w:rsid w:val="00D029C7"/>
    <w:rsid w:val="00D03191"/>
    <w:rsid w:val="00D03677"/>
    <w:rsid w:val="00D03D95"/>
    <w:rsid w:val="00D042D0"/>
    <w:rsid w:val="00D062E2"/>
    <w:rsid w:val="00D069FC"/>
    <w:rsid w:val="00D073A2"/>
    <w:rsid w:val="00D07F58"/>
    <w:rsid w:val="00D100B0"/>
    <w:rsid w:val="00D1050C"/>
    <w:rsid w:val="00D12371"/>
    <w:rsid w:val="00D133F1"/>
    <w:rsid w:val="00D1386A"/>
    <w:rsid w:val="00D16D4D"/>
    <w:rsid w:val="00D170D1"/>
    <w:rsid w:val="00D17E16"/>
    <w:rsid w:val="00D17E82"/>
    <w:rsid w:val="00D17F4D"/>
    <w:rsid w:val="00D20510"/>
    <w:rsid w:val="00D21018"/>
    <w:rsid w:val="00D2376F"/>
    <w:rsid w:val="00D2546F"/>
    <w:rsid w:val="00D25A3E"/>
    <w:rsid w:val="00D27E52"/>
    <w:rsid w:val="00D31091"/>
    <w:rsid w:val="00D31325"/>
    <w:rsid w:val="00D31E5B"/>
    <w:rsid w:val="00D32035"/>
    <w:rsid w:val="00D3276F"/>
    <w:rsid w:val="00D32FFA"/>
    <w:rsid w:val="00D34862"/>
    <w:rsid w:val="00D37002"/>
    <w:rsid w:val="00D37296"/>
    <w:rsid w:val="00D372A9"/>
    <w:rsid w:val="00D45515"/>
    <w:rsid w:val="00D50196"/>
    <w:rsid w:val="00D509B4"/>
    <w:rsid w:val="00D52BBF"/>
    <w:rsid w:val="00D52D0F"/>
    <w:rsid w:val="00D533EA"/>
    <w:rsid w:val="00D54624"/>
    <w:rsid w:val="00D54AA4"/>
    <w:rsid w:val="00D57613"/>
    <w:rsid w:val="00D57FE4"/>
    <w:rsid w:val="00D60B64"/>
    <w:rsid w:val="00D62B78"/>
    <w:rsid w:val="00D63049"/>
    <w:rsid w:val="00D6499C"/>
    <w:rsid w:val="00D70937"/>
    <w:rsid w:val="00D70A0C"/>
    <w:rsid w:val="00D70B5F"/>
    <w:rsid w:val="00D730D2"/>
    <w:rsid w:val="00D749A7"/>
    <w:rsid w:val="00D74DA3"/>
    <w:rsid w:val="00D7509A"/>
    <w:rsid w:val="00D75468"/>
    <w:rsid w:val="00D76273"/>
    <w:rsid w:val="00D778DF"/>
    <w:rsid w:val="00D832DE"/>
    <w:rsid w:val="00D8358C"/>
    <w:rsid w:val="00D84B0C"/>
    <w:rsid w:val="00D850E8"/>
    <w:rsid w:val="00D85F84"/>
    <w:rsid w:val="00D861C7"/>
    <w:rsid w:val="00D86FF2"/>
    <w:rsid w:val="00D874D3"/>
    <w:rsid w:val="00D87C45"/>
    <w:rsid w:val="00D92523"/>
    <w:rsid w:val="00D9475E"/>
    <w:rsid w:val="00D95BC0"/>
    <w:rsid w:val="00D96580"/>
    <w:rsid w:val="00D97434"/>
    <w:rsid w:val="00DA138A"/>
    <w:rsid w:val="00DB023D"/>
    <w:rsid w:val="00DB2A73"/>
    <w:rsid w:val="00DB57D4"/>
    <w:rsid w:val="00DB6521"/>
    <w:rsid w:val="00DB6661"/>
    <w:rsid w:val="00DB6892"/>
    <w:rsid w:val="00DB6E53"/>
    <w:rsid w:val="00DC1E01"/>
    <w:rsid w:val="00DC2A54"/>
    <w:rsid w:val="00DC5DA0"/>
    <w:rsid w:val="00DC5E91"/>
    <w:rsid w:val="00DC707E"/>
    <w:rsid w:val="00DD1D3A"/>
    <w:rsid w:val="00DD3C40"/>
    <w:rsid w:val="00DD3C6D"/>
    <w:rsid w:val="00DD4605"/>
    <w:rsid w:val="00DD4BEF"/>
    <w:rsid w:val="00DD4DBC"/>
    <w:rsid w:val="00DD5642"/>
    <w:rsid w:val="00DD60C1"/>
    <w:rsid w:val="00DE0C6C"/>
    <w:rsid w:val="00DE13CB"/>
    <w:rsid w:val="00DE180C"/>
    <w:rsid w:val="00DE295E"/>
    <w:rsid w:val="00DE36D3"/>
    <w:rsid w:val="00DE5976"/>
    <w:rsid w:val="00DE5FE6"/>
    <w:rsid w:val="00DE6046"/>
    <w:rsid w:val="00DE74D3"/>
    <w:rsid w:val="00DE761F"/>
    <w:rsid w:val="00DF1481"/>
    <w:rsid w:val="00DF162F"/>
    <w:rsid w:val="00DF2CB4"/>
    <w:rsid w:val="00DF330D"/>
    <w:rsid w:val="00DF34C1"/>
    <w:rsid w:val="00DF3C7F"/>
    <w:rsid w:val="00DF4D99"/>
    <w:rsid w:val="00DF4E80"/>
    <w:rsid w:val="00DF7713"/>
    <w:rsid w:val="00DF7C16"/>
    <w:rsid w:val="00E01B29"/>
    <w:rsid w:val="00E0287C"/>
    <w:rsid w:val="00E029E7"/>
    <w:rsid w:val="00E04435"/>
    <w:rsid w:val="00E06640"/>
    <w:rsid w:val="00E06F9B"/>
    <w:rsid w:val="00E14CDF"/>
    <w:rsid w:val="00E207CA"/>
    <w:rsid w:val="00E2125C"/>
    <w:rsid w:val="00E212B0"/>
    <w:rsid w:val="00E21B79"/>
    <w:rsid w:val="00E2273F"/>
    <w:rsid w:val="00E22EFF"/>
    <w:rsid w:val="00E312B1"/>
    <w:rsid w:val="00E328E9"/>
    <w:rsid w:val="00E34B73"/>
    <w:rsid w:val="00E34C56"/>
    <w:rsid w:val="00E34D2F"/>
    <w:rsid w:val="00E34F56"/>
    <w:rsid w:val="00E351EE"/>
    <w:rsid w:val="00E35982"/>
    <w:rsid w:val="00E36952"/>
    <w:rsid w:val="00E36E68"/>
    <w:rsid w:val="00E37F75"/>
    <w:rsid w:val="00E37FE3"/>
    <w:rsid w:val="00E40BD9"/>
    <w:rsid w:val="00E451CB"/>
    <w:rsid w:val="00E46A87"/>
    <w:rsid w:val="00E4715A"/>
    <w:rsid w:val="00E473FE"/>
    <w:rsid w:val="00E51A87"/>
    <w:rsid w:val="00E51F6C"/>
    <w:rsid w:val="00E56161"/>
    <w:rsid w:val="00E56B01"/>
    <w:rsid w:val="00E57F7B"/>
    <w:rsid w:val="00E60A71"/>
    <w:rsid w:val="00E61540"/>
    <w:rsid w:val="00E61761"/>
    <w:rsid w:val="00E61AD5"/>
    <w:rsid w:val="00E62AA5"/>
    <w:rsid w:val="00E63114"/>
    <w:rsid w:val="00E664C7"/>
    <w:rsid w:val="00E666F4"/>
    <w:rsid w:val="00E677AB"/>
    <w:rsid w:val="00E73750"/>
    <w:rsid w:val="00E73EB6"/>
    <w:rsid w:val="00E779FA"/>
    <w:rsid w:val="00E77B06"/>
    <w:rsid w:val="00E800E6"/>
    <w:rsid w:val="00E81221"/>
    <w:rsid w:val="00E82751"/>
    <w:rsid w:val="00E848B4"/>
    <w:rsid w:val="00E850A5"/>
    <w:rsid w:val="00E85136"/>
    <w:rsid w:val="00E8584F"/>
    <w:rsid w:val="00E85BEF"/>
    <w:rsid w:val="00E900CF"/>
    <w:rsid w:val="00E90845"/>
    <w:rsid w:val="00E911CB"/>
    <w:rsid w:val="00E9406E"/>
    <w:rsid w:val="00E94440"/>
    <w:rsid w:val="00E94E94"/>
    <w:rsid w:val="00E952E0"/>
    <w:rsid w:val="00E96623"/>
    <w:rsid w:val="00E96929"/>
    <w:rsid w:val="00E975A7"/>
    <w:rsid w:val="00EA1438"/>
    <w:rsid w:val="00EA2490"/>
    <w:rsid w:val="00EA2C11"/>
    <w:rsid w:val="00EA2C74"/>
    <w:rsid w:val="00EA3684"/>
    <w:rsid w:val="00EA4AD5"/>
    <w:rsid w:val="00EA4E4C"/>
    <w:rsid w:val="00EB078B"/>
    <w:rsid w:val="00EB346F"/>
    <w:rsid w:val="00EB35CE"/>
    <w:rsid w:val="00EB395A"/>
    <w:rsid w:val="00EB489C"/>
    <w:rsid w:val="00EB4AE1"/>
    <w:rsid w:val="00EB4DFC"/>
    <w:rsid w:val="00EB59AA"/>
    <w:rsid w:val="00EB64BA"/>
    <w:rsid w:val="00EB6920"/>
    <w:rsid w:val="00EB6A46"/>
    <w:rsid w:val="00EB722D"/>
    <w:rsid w:val="00EB73E8"/>
    <w:rsid w:val="00EB74EE"/>
    <w:rsid w:val="00EB78C4"/>
    <w:rsid w:val="00EC39D3"/>
    <w:rsid w:val="00EC5EE5"/>
    <w:rsid w:val="00EC60D4"/>
    <w:rsid w:val="00EC74AC"/>
    <w:rsid w:val="00EE0CD7"/>
    <w:rsid w:val="00EE0E6E"/>
    <w:rsid w:val="00EE34B2"/>
    <w:rsid w:val="00EE4CE8"/>
    <w:rsid w:val="00EE5A45"/>
    <w:rsid w:val="00EE5B1D"/>
    <w:rsid w:val="00EE6AA3"/>
    <w:rsid w:val="00EE7139"/>
    <w:rsid w:val="00EF22FA"/>
    <w:rsid w:val="00EF35C8"/>
    <w:rsid w:val="00EF3C41"/>
    <w:rsid w:val="00EF4B0E"/>
    <w:rsid w:val="00EF74B6"/>
    <w:rsid w:val="00EF7A30"/>
    <w:rsid w:val="00F016A8"/>
    <w:rsid w:val="00F01AFC"/>
    <w:rsid w:val="00F040F5"/>
    <w:rsid w:val="00F0454C"/>
    <w:rsid w:val="00F04E9C"/>
    <w:rsid w:val="00F0573E"/>
    <w:rsid w:val="00F10386"/>
    <w:rsid w:val="00F10CA9"/>
    <w:rsid w:val="00F13408"/>
    <w:rsid w:val="00F13546"/>
    <w:rsid w:val="00F15953"/>
    <w:rsid w:val="00F15B4A"/>
    <w:rsid w:val="00F16197"/>
    <w:rsid w:val="00F1732C"/>
    <w:rsid w:val="00F17899"/>
    <w:rsid w:val="00F20442"/>
    <w:rsid w:val="00F20FEC"/>
    <w:rsid w:val="00F21D44"/>
    <w:rsid w:val="00F2300D"/>
    <w:rsid w:val="00F238D5"/>
    <w:rsid w:val="00F26C69"/>
    <w:rsid w:val="00F27286"/>
    <w:rsid w:val="00F2763C"/>
    <w:rsid w:val="00F31BD0"/>
    <w:rsid w:val="00F32B1E"/>
    <w:rsid w:val="00F34B64"/>
    <w:rsid w:val="00F363E9"/>
    <w:rsid w:val="00F368C0"/>
    <w:rsid w:val="00F40C07"/>
    <w:rsid w:val="00F431E3"/>
    <w:rsid w:val="00F43267"/>
    <w:rsid w:val="00F44B86"/>
    <w:rsid w:val="00F5158C"/>
    <w:rsid w:val="00F517A7"/>
    <w:rsid w:val="00F53357"/>
    <w:rsid w:val="00F539B1"/>
    <w:rsid w:val="00F53ADF"/>
    <w:rsid w:val="00F54EE7"/>
    <w:rsid w:val="00F56ED3"/>
    <w:rsid w:val="00F57948"/>
    <w:rsid w:val="00F57AC9"/>
    <w:rsid w:val="00F57B84"/>
    <w:rsid w:val="00F6275A"/>
    <w:rsid w:val="00F629B9"/>
    <w:rsid w:val="00F6312D"/>
    <w:rsid w:val="00F639BB"/>
    <w:rsid w:val="00F6433B"/>
    <w:rsid w:val="00F64568"/>
    <w:rsid w:val="00F64F2F"/>
    <w:rsid w:val="00F66D19"/>
    <w:rsid w:val="00F67876"/>
    <w:rsid w:val="00F67FA1"/>
    <w:rsid w:val="00F70B26"/>
    <w:rsid w:val="00F72140"/>
    <w:rsid w:val="00F72274"/>
    <w:rsid w:val="00F7285C"/>
    <w:rsid w:val="00F758A4"/>
    <w:rsid w:val="00F776DA"/>
    <w:rsid w:val="00F80D92"/>
    <w:rsid w:val="00F83408"/>
    <w:rsid w:val="00F83BA3"/>
    <w:rsid w:val="00F85685"/>
    <w:rsid w:val="00F8738D"/>
    <w:rsid w:val="00F902F6"/>
    <w:rsid w:val="00F9180B"/>
    <w:rsid w:val="00F922F2"/>
    <w:rsid w:val="00F924E2"/>
    <w:rsid w:val="00F9508D"/>
    <w:rsid w:val="00F9556A"/>
    <w:rsid w:val="00F959A2"/>
    <w:rsid w:val="00F95C7C"/>
    <w:rsid w:val="00F973B4"/>
    <w:rsid w:val="00FA020C"/>
    <w:rsid w:val="00FA02B3"/>
    <w:rsid w:val="00FA08DA"/>
    <w:rsid w:val="00FA28CA"/>
    <w:rsid w:val="00FA2FBB"/>
    <w:rsid w:val="00FA412A"/>
    <w:rsid w:val="00FA53DE"/>
    <w:rsid w:val="00FA6BDD"/>
    <w:rsid w:val="00FA7D73"/>
    <w:rsid w:val="00FB09C9"/>
    <w:rsid w:val="00FB0DFB"/>
    <w:rsid w:val="00FB12AC"/>
    <w:rsid w:val="00FB1D2D"/>
    <w:rsid w:val="00FB20CF"/>
    <w:rsid w:val="00FB351D"/>
    <w:rsid w:val="00FB3F9C"/>
    <w:rsid w:val="00FB4839"/>
    <w:rsid w:val="00FB6B3F"/>
    <w:rsid w:val="00FC1248"/>
    <w:rsid w:val="00FC13D5"/>
    <w:rsid w:val="00FC162A"/>
    <w:rsid w:val="00FC1AAF"/>
    <w:rsid w:val="00FC25E0"/>
    <w:rsid w:val="00FC303D"/>
    <w:rsid w:val="00FC361E"/>
    <w:rsid w:val="00FC4B0C"/>
    <w:rsid w:val="00FC58EA"/>
    <w:rsid w:val="00FC5D6D"/>
    <w:rsid w:val="00FC60A2"/>
    <w:rsid w:val="00FC674E"/>
    <w:rsid w:val="00FC73F6"/>
    <w:rsid w:val="00FC7853"/>
    <w:rsid w:val="00FD0941"/>
    <w:rsid w:val="00FD1137"/>
    <w:rsid w:val="00FD194D"/>
    <w:rsid w:val="00FD1AE2"/>
    <w:rsid w:val="00FD1D47"/>
    <w:rsid w:val="00FD247B"/>
    <w:rsid w:val="00FD27DC"/>
    <w:rsid w:val="00FD3CB9"/>
    <w:rsid w:val="00FD51CF"/>
    <w:rsid w:val="00FD61A0"/>
    <w:rsid w:val="00FE13C3"/>
    <w:rsid w:val="00FE2C05"/>
    <w:rsid w:val="00FE3BBD"/>
    <w:rsid w:val="00FE4461"/>
    <w:rsid w:val="00FE4D8A"/>
    <w:rsid w:val="00FE6202"/>
    <w:rsid w:val="00FE72BC"/>
    <w:rsid w:val="00FF11FF"/>
    <w:rsid w:val="00FF1C00"/>
    <w:rsid w:val="00FF2716"/>
    <w:rsid w:val="00FF3355"/>
    <w:rsid w:val="00FF5225"/>
    <w:rsid w:val="00FF568C"/>
    <w:rsid w:val="00FF6B27"/>
    <w:rsid w:val="00FF7309"/>
    <w:rsid w:val="00FF76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8A826F-DD22-4F78-838D-33940142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table" w:styleId="Reatabula">
    <w:name w:val="Table Grid"/>
    <w:basedOn w:val="Parastatabula"/>
    <w:rsid w:val="000E54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2176">
      <w:bodyDiv w:val="1"/>
      <w:marLeft w:val="0"/>
      <w:marRight w:val="0"/>
      <w:marTop w:val="0"/>
      <w:marBottom w:val="0"/>
      <w:divBdr>
        <w:top w:val="none" w:sz="0" w:space="0" w:color="auto"/>
        <w:left w:val="none" w:sz="0" w:space="0" w:color="auto"/>
        <w:bottom w:val="none" w:sz="0" w:space="0" w:color="auto"/>
        <w:right w:val="none" w:sz="0" w:space="0" w:color="auto"/>
      </w:divBdr>
      <w:divsChild>
        <w:div w:id="1414740439">
          <w:marLeft w:val="0"/>
          <w:marRight w:val="0"/>
          <w:marTop w:val="0"/>
          <w:marBottom w:val="0"/>
          <w:divBdr>
            <w:top w:val="none" w:sz="0" w:space="0" w:color="auto"/>
            <w:left w:val="none" w:sz="0" w:space="0" w:color="auto"/>
            <w:bottom w:val="none" w:sz="0" w:space="0" w:color="auto"/>
            <w:right w:val="none" w:sz="0" w:space="0" w:color="auto"/>
          </w:divBdr>
          <w:divsChild>
            <w:div w:id="375936855">
              <w:marLeft w:val="0"/>
              <w:marRight w:val="0"/>
              <w:marTop w:val="0"/>
              <w:marBottom w:val="0"/>
              <w:divBdr>
                <w:top w:val="none" w:sz="0" w:space="0" w:color="auto"/>
                <w:left w:val="none" w:sz="0" w:space="0" w:color="auto"/>
                <w:bottom w:val="none" w:sz="0" w:space="0" w:color="auto"/>
                <w:right w:val="none" w:sz="0" w:space="0" w:color="auto"/>
              </w:divBdr>
              <w:divsChild>
                <w:div w:id="373383716">
                  <w:marLeft w:val="0"/>
                  <w:marRight w:val="0"/>
                  <w:marTop w:val="0"/>
                  <w:marBottom w:val="0"/>
                  <w:divBdr>
                    <w:top w:val="none" w:sz="0" w:space="0" w:color="auto"/>
                    <w:left w:val="none" w:sz="0" w:space="0" w:color="auto"/>
                    <w:bottom w:val="none" w:sz="0" w:space="0" w:color="auto"/>
                    <w:right w:val="none" w:sz="0" w:space="0" w:color="auto"/>
                  </w:divBdr>
                  <w:divsChild>
                    <w:div w:id="1265839615">
                      <w:marLeft w:val="1"/>
                      <w:marRight w:val="1"/>
                      <w:marTop w:val="0"/>
                      <w:marBottom w:val="0"/>
                      <w:divBdr>
                        <w:top w:val="none" w:sz="0" w:space="0" w:color="auto"/>
                        <w:left w:val="none" w:sz="0" w:space="0" w:color="auto"/>
                        <w:bottom w:val="none" w:sz="0" w:space="0" w:color="auto"/>
                        <w:right w:val="none" w:sz="0" w:space="0" w:color="auto"/>
                      </w:divBdr>
                      <w:divsChild>
                        <w:div w:id="519701619">
                          <w:marLeft w:val="0"/>
                          <w:marRight w:val="0"/>
                          <w:marTop w:val="0"/>
                          <w:marBottom w:val="0"/>
                          <w:divBdr>
                            <w:top w:val="none" w:sz="0" w:space="0" w:color="auto"/>
                            <w:left w:val="none" w:sz="0" w:space="0" w:color="auto"/>
                            <w:bottom w:val="none" w:sz="0" w:space="0" w:color="auto"/>
                            <w:right w:val="none" w:sz="0" w:space="0" w:color="auto"/>
                          </w:divBdr>
                          <w:divsChild>
                            <w:div w:id="1026713868">
                              <w:marLeft w:val="0"/>
                              <w:marRight w:val="0"/>
                              <w:marTop w:val="0"/>
                              <w:marBottom w:val="360"/>
                              <w:divBdr>
                                <w:top w:val="none" w:sz="0" w:space="0" w:color="auto"/>
                                <w:left w:val="none" w:sz="0" w:space="0" w:color="auto"/>
                                <w:bottom w:val="none" w:sz="0" w:space="0" w:color="auto"/>
                                <w:right w:val="none" w:sz="0" w:space="0" w:color="auto"/>
                              </w:divBdr>
                              <w:divsChild>
                                <w:div w:id="1627586758">
                                  <w:marLeft w:val="0"/>
                                  <w:marRight w:val="0"/>
                                  <w:marTop w:val="0"/>
                                  <w:marBottom w:val="0"/>
                                  <w:divBdr>
                                    <w:top w:val="none" w:sz="0" w:space="0" w:color="auto"/>
                                    <w:left w:val="none" w:sz="0" w:space="0" w:color="auto"/>
                                    <w:bottom w:val="none" w:sz="0" w:space="0" w:color="auto"/>
                                    <w:right w:val="none" w:sz="0" w:space="0" w:color="auto"/>
                                  </w:divBdr>
                                  <w:divsChild>
                                    <w:div w:id="1466503148">
                                      <w:marLeft w:val="0"/>
                                      <w:marRight w:val="0"/>
                                      <w:marTop w:val="0"/>
                                      <w:marBottom w:val="0"/>
                                      <w:divBdr>
                                        <w:top w:val="none" w:sz="0" w:space="0" w:color="auto"/>
                                        <w:left w:val="none" w:sz="0" w:space="0" w:color="auto"/>
                                        <w:bottom w:val="none" w:sz="0" w:space="0" w:color="auto"/>
                                        <w:right w:val="none" w:sz="0" w:space="0" w:color="auto"/>
                                      </w:divBdr>
                                      <w:divsChild>
                                        <w:div w:id="1094205413">
                                          <w:marLeft w:val="0"/>
                                          <w:marRight w:val="0"/>
                                          <w:marTop w:val="0"/>
                                          <w:marBottom w:val="0"/>
                                          <w:divBdr>
                                            <w:top w:val="none" w:sz="0" w:space="0" w:color="auto"/>
                                            <w:left w:val="none" w:sz="0" w:space="0" w:color="auto"/>
                                            <w:bottom w:val="none" w:sz="0" w:space="0" w:color="auto"/>
                                            <w:right w:val="none" w:sz="0" w:space="0" w:color="auto"/>
                                          </w:divBdr>
                                          <w:divsChild>
                                            <w:div w:id="1196888991">
                                              <w:marLeft w:val="0"/>
                                              <w:marRight w:val="0"/>
                                              <w:marTop w:val="0"/>
                                              <w:marBottom w:val="0"/>
                                              <w:divBdr>
                                                <w:top w:val="none" w:sz="0" w:space="0" w:color="auto"/>
                                                <w:left w:val="none" w:sz="0" w:space="0" w:color="auto"/>
                                                <w:bottom w:val="none" w:sz="0" w:space="0" w:color="auto"/>
                                                <w:right w:val="none" w:sz="0" w:space="0" w:color="auto"/>
                                              </w:divBdr>
                                              <w:divsChild>
                                                <w:div w:id="12056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47319">
      <w:bodyDiv w:val="1"/>
      <w:marLeft w:val="0"/>
      <w:marRight w:val="0"/>
      <w:marTop w:val="0"/>
      <w:marBottom w:val="0"/>
      <w:divBdr>
        <w:top w:val="none" w:sz="0" w:space="0" w:color="auto"/>
        <w:left w:val="none" w:sz="0" w:space="0" w:color="auto"/>
        <w:bottom w:val="none" w:sz="0" w:space="0" w:color="auto"/>
        <w:right w:val="none" w:sz="0" w:space="0" w:color="auto"/>
      </w:divBdr>
      <w:divsChild>
        <w:div w:id="115562306">
          <w:marLeft w:val="0"/>
          <w:marRight w:val="0"/>
          <w:marTop w:val="0"/>
          <w:marBottom w:val="0"/>
          <w:divBdr>
            <w:top w:val="none" w:sz="0" w:space="0" w:color="auto"/>
            <w:left w:val="none" w:sz="0" w:space="0" w:color="auto"/>
            <w:bottom w:val="none" w:sz="0" w:space="0" w:color="auto"/>
            <w:right w:val="none" w:sz="0" w:space="0" w:color="auto"/>
          </w:divBdr>
          <w:divsChild>
            <w:div w:id="1123377963">
              <w:marLeft w:val="0"/>
              <w:marRight w:val="0"/>
              <w:marTop w:val="0"/>
              <w:marBottom w:val="0"/>
              <w:divBdr>
                <w:top w:val="none" w:sz="0" w:space="0" w:color="auto"/>
                <w:left w:val="none" w:sz="0" w:space="0" w:color="auto"/>
                <w:bottom w:val="none" w:sz="0" w:space="0" w:color="auto"/>
                <w:right w:val="none" w:sz="0" w:space="0" w:color="auto"/>
              </w:divBdr>
              <w:divsChild>
                <w:div w:id="437875268">
                  <w:marLeft w:val="0"/>
                  <w:marRight w:val="0"/>
                  <w:marTop w:val="0"/>
                  <w:marBottom w:val="0"/>
                  <w:divBdr>
                    <w:top w:val="none" w:sz="0" w:space="0" w:color="auto"/>
                    <w:left w:val="none" w:sz="0" w:space="0" w:color="auto"/>
                    <w:bottom w:val="none" w:sz="0" w:space="0" w:color="auto"/>
                    <w:right w:val="none" w:sz="0" w:space="0" w:color="auto"/>
                  </w:divBdr>
                  <w:divsChild>
                    <w:div w:id="1782452292">
                      <w:marLeft w:val="1"/>
                      <w:marRight w:val="1"/>
                      <w:marTop w:val="0"/>
                      <w:marBottom w:val="0"/>
                      <w:divBdr>
                        <w:top w:val="none" w:sz="0" w:space="0" w:color="auto"/>
                        <w:left w:val="none" w:sz="0" w:space="0" w:color="auto"/>
                        <w:bottom w:val="none" w:sz="0" w:space="0" w:color="auto"/>
                        <w:right w:val="none" w:sz="0" w:space="0" w:color="auto"/>
                      </w:divBdr>
                      <w:divsChild>
                        <w:div w:id="1731877500">
                          <w:marLeft w:val="0"/>
                          <w:marRight w:val="0"/>
                          <w:marTop w:val="0"/>
                          <w:marBottom w:val="0"/>
                          <w:divBdr>
                            <w:top w:val="none" w:sz="0" w:space="0" w:color="auto"/>
                            <w:left w:val="none" w:sz="0" w:space="0" w:color="auto"/>
                            <w:bottom w:val="none" w:sz="0" w:space="0" w:color="auto"/>
                            <w:right w:val="none" w:sz="0" w:space="0" w:color="auto"/>
                          </w:divBdr>
                          <w:divsChild>
                            <w:div w:id="120416496">
                              <w:marLeft w:val="0"/>
                              <w:marRight w:val="0"/>
                              <w:marTop w:val="0"/>
                              <w:marBottom w:val="360"/>
                              <w:divBdr>
                                <w:top w:val="none" w:sz="0" w:space="0" w:color="auto"/>
                                <w:left w:val="none" w:sz="0" w:space="0" w:color="auto"/>
                                <w:bottom w:val="none" w:sz="0" w:space="0" w:color="auto"/>
                                <w:right w:val="none" w:sz="0" w:space="0" w:color="auto"/>
                              </w:divBdr>
                              <w:divsChild>
                                <w:div w:id="539516091">
                                  <w:marLeft w:val="0"/>
                                  <w:marRight w:val="0"/>
                                  <w:marTop w:val="0"/>
                                  <w:marBottom w:val="0"/>
                                  <w:divBdr>
                                    <w:top w:val="none" w:sz="0" w:space="0" w:color="auto"/>
                                    <w:left w:val="none" w:sz="0" w:space="0" w:color="auto"/>
                                    <w:bottom w:val="none" w:sz="0" w:space="0" w:color="auto"/>
                                    <w:right w:val="none" w:sz="0" w:space="0" w:color="auto"/>
                                  </w:divBdr>
                                  <w:divsChild>
                                    <w:div w:id="147750304">
                                      <w:marLeft w:val="0"/>
                                      <w:marRight w:val="0"/>
                                      <w:marTop w:val="0"/>
                                      <w:marBottom w:val="0"/>
                                      <w:divBdr>
                                        <w:top w:val="none" w:sz="0" w:space="0" w:color="auto"/>
                                        <w:left w:val="none" w:sz="0" w:space="0" w:color="auto"/>
                                        <w:bottom w:val="none" w:sz="0" w:space="0" w:color="auto"/>
                                        <w:right w:val="none" w:sz="0" w:space="0" w:color="auto"/>
                                      </w:divBdr>
                                      <w:divsChild>
                                        <w:div w:id="13250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3603521">
      <w:bodyDiv w:val="1"/>
      <w:marLeft w:val="0"/>
      <w:marRight w:val="0"/>
      <w:marTop w:val="0"/>
      <w:marBottom w:val="0"/>
      <w:divBdr>
        <w:top w:val="none" w:sz="0" w:space="0" w:color="auto"/>
        <w:left w:val="none" w:sz="0" w:space="0" w:color="auto"/>
        <w:bottom w:val="none" w:sz="0" w:space="0" w:color="auto"/>
        <w:right w:val="none" w:sz="0" w:space="0" w:color="auto"/>
      </w:divBdr>
      <w:divsChild>
        <w:div w:id="371855567">
          <w:marLeft w:val="0"/>
          <w:marRight w:val="0"/>
          <w:marTop w:val="0"/>
          <w:marBottom w:val="0"/>
          <w:divBdr>
            <w:top w:val="none" w:sz="0" w:space="0" w:color="auto"/>
            <w:left w:val="none" w:sz="0" w:space="0" w:color="auto"/>
            <w:bottom w:val="none" w:sz="0" w:space="0" w:color="auto"/>
            <w:right w:val="none" w:sz="0" w:space="0" w:color="auto"/>
          </w:divBdr>
          <w:divsChild>
            <w:div w:id="548495861">
              <w:marLeft w:val="0"/>
              <w:marRight w:val="0"/>
              <w:marTop w:val="0"/>
              <w:marBottom w:val="0"/>
              <w:divBdr>
                <w:top w:val="none" w:sz="0" w:space="0" w:color="auto"/>
                <w:left w:val="none" w:sz="0" w:space="0" w:color="auto"/>
                <w:bottom w:val="none" w:sz="0" w:space="0" w:color="auto"/>
                <w:right w:val="none" w:sz="0" w:space="0" w:color="auto"/>
              </w:divBdr>
              <w:divsChild>
                <w:div w:id="1039550426">
                  <w:marLeft w:val="0"/>
                  <w:marRight w:val="0"/>
                  <w:marTop w:val="0"/>
                  <w:marBottom w:val="0"/>
                  <w:divBdr>
                    <w:top w:val="none" w:sz="0" w:space="0" w:color="auto"/>
                    <w:left w:val="none" w:sz="0" w:space="0" w:color="auto"/>
                    <w:bottom w:val="none" w:sz="0" w:space="0" w:color="auto"/>
                    <w:right w:val="none" w:sz="0" w:space="0" w:color="auto"/>
                  </w:divBdr>
                  <w:divsChild>
                    <w:div w:id="667053302">
                      <w:marLeft w:val="1"/>
                      <w:marRight w:val="1"/>
                      <w:marTop w:val="0"/>
                      <w:marBottom w:val="0"/>
                      <w:divBdr>
                        <w:top w:val="none" w:sz="0" w:space="0" w:color="auto"/>
                        <w:left w:val="none" w:sz="0" w:space="0" w:color="auto"/>
                        <w:bottom w:val="none" w:sz="0" w:space="0" w:color="auto"/>
                        <w:right w:val="none" w:sz="0" w:space="0" w:color="auto"/>
                      </w:divBdr>
                      <w:divsChild>
                        <w:div w:id="1745059790">
                          <w:marLeft w:val="0"/>
                          <w:marRight w:val="0"/>
                          <w:marTop w:val="0"/>
                          <w:marBottom w:val="0"/>
                          <w:divBdr>
                            <w:top w:val="none" w:sz="0" w:space="0" w:color="auto"/>
                            <w:left w:val="none" w:sz="0" w:space="0" w:color="auto"/>
                            <w:bottom w:val="none" w:sz="0" w:space="0" w:color="auto"/>
                            <w:right w:val="none" w:sz="0" w:space="0" w:color="auto"/>
                          </w:divBdr>
                          <w:divsChild>
                            <w:div w:id="1309748393">
                              <w:marLeft w:val="0"/>
                              <w:marRight w:val="0"/>
                              <w:marTop w:val="0"/>
                              <w:marBottom w:val="360"/>
                              <w:divBdr>
                                <w:top w:val="none" w:sz="0" w:space="0" w:color="auto"/>
                                <w:left w:val="none" w:sz="0" w:space="0" w:color="auto"/>
                                <w:bottom w:val="none" w:sz="0" w:space="0" w:color="auto"/>
                                <w:right w:val="none" w:sz="0" w:space="0" w:color="auto"/>
                              </w:divBdr>
                              <w:divsChild>
                                <w:div w:id="347411840">
                                  <w:marLeft w:val="0"/>
                                  <w:marRight w:val="0"/>
                                  <w:marTop w:val="0"/>
                                  <w:marBottom w:val="0"/>
                                  <w:divBdr>
                                    <w:top w:val="none" w:sz="0" w:space="0" w:color="auto"/>
                                    <w:left w:val="none" w:sz="0" w:space="0" w:color="auto"/>
                                    <w:bottom w:val="none" w:sz="0" w:space="0" w:color="auto"/>
                                    <w:right w:val="none" w:sz="0" w:space="0" w:color="auto"/>
                                  </w:divBdr>
                                  <w:divsChild>
                                    <w:div w:id="936910400">
                                      <w:marLeft w:val="0"/>
                                      <w:marRight w:val="0"/>
                                      <w:marTop w:val="0"/>
                                      <w:marBottom w:val="0"/>
                                      <w:divBdr>
                                        <w:top w:val="none" w:sz="0" w:space="0" w:color="auto"/>
                                        <w:left w:val="none" w:sz="0" w:space="0" w:color="auto"/>
                                        <w:bottom w:val="none" w:sz="0" w:space="0" w:color="auto"/>
                                        <w:right w:val="none" w:sz="0" w:space="0" w:color="auto"/>
                                      </w:divBdr>
                                      <w:divsChild>
                                        <w:div w:id="463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4786239">
      <w:bodyDiv w:val="1"/>
      <w:marLeft w:val="0"/>
      <w:marRight w:val="0"/>
      <w:marTop w:val="0"/>
      <w:marBottom w:val="0"/>
      <w:divBdr>
        <w:top w:val="none" w:sz="0" w:space="0" w:color="auto"/>
        <w:left w:val="none" w:sz="0" w:space="0" w:color="auto"/>
        <w:bottom w:val="none" w:sz="0" w:space="0" w:color="auto"/>
        <w:right w:val="none" w:sz="0" w:space="0" w:color="auto"/>
      </w:divBdr>
      <w:divsChild>
        <w:div w:id="2121486548">
          <w:marLeft w:val="0"/>
          <w:marRight w:val="0"/>
          <w:marTop w:val="0"/>
          <w:marBottom w:val="0"/>
          <w:divBdr>
            <w:top w:val="none" w:sz="0" w:space="0" w:color="auto"/>
            <w:left w:val="none" w:sz="0" w:space="0" w:color="auto"/>
            <w:bottom w:val="none" w:sz="0" w:space="0" w:color="auto"/>
            <w:right w:val="none" w:sz="0" w:space="0" w:color="auto"/>
          </w:divBdr>
          <w:divsChild>
            <w:div w:id="1929802660">
              <w:marLeft w:val="0"/>
              <w:marRight w:val="0"/>
              <w:marTop w:val="0"/>
              <w:marBottom w:val="0"/>
              <w:divBdr>
                <w:top w:val="none" w:sz="0" w:space="0" w:color="auto"/>
                <w:left w:val="none" w:sz="0" w:space="0" w:color="auto"/>
                <w:bottom w:val="none" w:sz="0" w:space="0" w:color="auto"/>
                <w:right w:val="none" w:sz="0" w:space="0" w:color="auto"/>
              </w:divBdr>
              <w:divsChild>
                <w:div w:id="1988971044">
                  <w:marLeft w:val="0"/>
                  <w:marRight w:val="0"/>
                  <w:marTop w:val="0"/>
                  <w:marBottom w:val="0"/>
                  <w:divBdr>
                    <w:top w:val="none" w:sz="0" w:space="0" w:color="auto"/>
                    <w:left w:val="none" w:sz="0" w:space="0" w:color="auto"/>
                    <w:bottom w:val="none" w:sz="0" w:space="0" w:color="auto"/>
                    <w:right w:val="none" w:sz="0" w:space="0" w:color="auto"/>
                  </w:divBdr>
                  <w:divsChild>
                    <w:div w:id="462428798">
                      <w:marLeft w:val="1"/>
                      <w:marRight w:val="1"/>
                      <w:marTop w:val="0"/>
                      <w:marBottom w:val="0"/>
                      <w:divBdr>
                        <w:top w:val="none" w:sz="0" w:space="0" w:color="auto"/>
                        <w:left w:val="none" w:sz="0" w:space="0" w:color="auto"/>
                        <w:bottom w:val="none" w:sz="0" w:space="0" w:color="auto"/>
                        <w:right w:val="none" w:sz="0" w:space="0" w:color="auto"/>
                      </w:divBdr>
                      <w:divsChild>
                        <w:div w:id="1732922924">
                          <w:marLeft w:val="0"/>
                          <w:marRight w:val="0"/>
                          <w:marTop w:val="0"/>
                          <w:marBottom w:val="0"/>
                          <w:divBdr>
                            <w:top w:val="none" w:sz="0" w:space="0" w:color="auto"/>
                            <w:left w:val="none" w:sz="0" w:space="0" w:color="auto"/>
                            <w:bottom w:val="none" w:sz="0" w:space="0" w:color="auto"/>
                            <w:right w:val="none" w:sz="0" w:space="0" w:color="auto"/>
                          </w:divBdr>
                          <w:divsChild>
                            <w:div w:id="694967452">
                              <w:marLeft w:val="0"/>
                              <w:marRight w:val="0"/>
                              <w:marTop w:val="0"/>
                              <w:marBottom w:val="360"/>
                              <w:divBdr>
                                <w:top w:val="none" w:sz="0" w:space="0" w:color="auto"/>
                                <w:left w:val="none" w:sz="0" w:space="0" w:color="auto"/>
                                <w:bottom w:val="none" w:sz="0" w:space="0" w:color="auto"/>
                                <w:right w:val="none" w:sz="0" w:space="0" w:color="auto"/>
                              </w:divBdr>
                              <w:divsChild>
                                <w:div w:id="592978047">
                                  <w:marLeft w:val="0"/>
                                  <w:marRight w:val="0"/>
                                  <w:marTop w:val="0"/>
                                  <w:marBottom w:val="0"/>
                                  <w:divBdr>
                                    <w:top w:val="none" w:sz="0" w:space="0" w:color="auto"/>
                                    <w:left w:val="none" w:sz="0" w:space="0" w:color="auto"/>
                                    <w:bottom w:val="none" w:sz="0" w:space="0" w:color="auto"/>
                                    <w:right w:val="none" w:sz="0" w:space="0" w:color="auto"/>
                                  </w:divBdr>
                                  <w:divsChild>
                                    <w:div w:id="715282019">
                                      <w:marLeft w:val="0"/>
                                      <w:marRight w:val="0"/>
                                      <w:marTop w:val="0"/>
                                      <w:marBottom w:val="0"/>
                                      <w:divBdr>
                                        <w:top w:val="none" w:sz="0" w:space="0" w:color="auto"/>
                                        <w:left w:val="none" w:sz="0" w:space="0" w:color="auto"/>
                                        <w:bottom w:val="none" w:sz="0" w:space="0" w:color="auto"/>
                                        <w:right w:val="none" w:sz="0" w:space="0" w:color="auto"/>
                                      </w:divBdr>
                                      <w:divsChild>
                                        <w:div w:id="867959199">
                                          <w:marLeft w:val="0"/>
                                          <w:marRight w:val="0"/>
                                          <w:marTop w:val="0"/>
                                          <w:marBottom w:val="0"/>
                                          <w:divBdr>
                                            <w:top w:val="none" w:sz="0" w:space="0" w:color="auto"/>
                                            <w:left w:val="none" w:sz="0" w:space="0" w:color="auto"/>
                                            <w:bottom w:val="none" w:sz="0" w:space="0" w:color="auto"/>
                                            <w:right w:val="none" w:sz="0" w:space="0" w:color="auto"/>
                                          </w:divBdr>
                                          <w:divsChild>
                                            <w:div w:id="1093085011">
                                              <w:marLeft w:val="0"/>
                                              <w:marRight w:val="0"/>
                                              <w:marTop w:val="0"/>
                                              <w:marBottom w:val="0"/>
                                              <w:divBdr>
                                                <w:top w:val="none" w:sz="0" w:space="0" w:color="auto"/>
                                                <w:left w:val="none" w:sz="0" w:space="0" w:color="auto"/>
                                                <w:bottom w:val="none" w:sz="0" w:space="0" w:color="auto"/>
                                                <w:right w:val="none" w:sz="0" w:space="0" w:color="auto"/>
                                              </w:divBdr>
                                              <w:divsChild>
                                                <w:div w:id="700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10941978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7642</Words>
  <Characters>4356</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MK noteikumu projekta anotācija</dc:subject>
  <dc:creator>Aija Tora</dc:creator>
  <dc:description>Tora 67027620_x000d_
Aija.Tora@zm.gov.lv</dc:description>
  <cp:lastModifiedBy>Sanita Žagare</cp:lastModifiedBy>
  <cp:revision>16</cp:revision>
  <cp:lastPrinted>2016-01-08T08:49:00Z</cp:lastPrinted>
  <dcterms:created xsi:type="dcterms:W3CDTF">2017-06-14T07:19:00Z</dcterms:created>
  <dcterms:modified xsi:type="dcterms:W3CDTF">2017-08-18T06:39:00Z</dcterms:modified>
</cp:coreProperties>
</file>