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B379" w14:textId="57190A56" w:rsidR="00D12371" w:rsidRPr="00AD6CBC" w:rsidRDefault="00D12371" w:rsidP="009B54F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AD6CBC">
        <w:rPr>
          <w:rFonts w:ascii="Times New Roman" w:hAnsi="Times New Roman"/>
          <w:b/>
          <w:sz w:val="28"/>
          <w:szCs w:val="28"/>
        </w:rPr>
        <w:t>Ministru kabineta noteikumu projekt</w:t>
      </w:r>
      <w:r w:rsidR="001E7118" w:rsidRPr="00AD6CBC">
        <w:rPr>
          <w:rFonts w:ascii="Times New Roman" w:hAnsi="Times New Roman"/>
          <w:b/>
          <w:sz w:val="28"/>
          <w:szCs w:val="28"/>
        </w:rPr>
        <w:t>u par</w:t>
      </w:r>
    </w:p>
    <w:p w14:paraId="23676D45" w14:textId="77777777" w:rsidR="00AD6CBC" w:rsidRPr="00AD6CBC" w:rsidRDefault="001E7118" w:rsidP="00AD6CBC">
      <w:pPr>
        <w:jc w:val="center"/>
        <w:rPr>
          <w:b/>
          <w:bCs/>
          <w:sz w:val="28"/>
          <w:szCs w:val="28"/>
          <w:lang w:val="lv-LV"/>
        </w:rPr>
      </w:pPr>
      <w:bookmarkStart w:id="0" w:name="OLE_LINK7"/>
      <w:bookmarkStart w:id="1" w:name="OLE_LINK8"/>
      <w:r w:rsidRPr="00AD6CBC">
        <w:rPr>
          <w:b/>
          <w:bCs/>
          <w:sz w:val="28"/>
          <w:szCs w:val="28"/>
          <w:lang w:val="lv-LV"/>
        </w:rPr>
        <w:t xml:space="preserve">bīstamo kravu ar </w:t>
      </w:r>
      <w:r w:rsidR="00AD6CBC" w:rsidRPr="00AD6CBC">
        <w:rPr>
          <w:b/>
          <w:bCs/>
          <w:sz w:val="28"/>
          <w:szCs w:val="28"/>
          <w:lang w:val="lv-LV"/>
        </w:rPr>
        <w:t xml:space="preserve">dzīvnieku izcelsmes blakusproduktiem un atvasinātiem produktiem, kas nav paredzēti cilvēku patēriņam, </w:t>
      </w:r>
      <w:r w:rsidR="00CA3234" w:rsidRPr="00AD6CBC">
        <w:rPr>
          <w:b/>
          <w:bCs/>
          <w:sz w:val="28"/>
          <w:szCs w:val="28"/>
          <w:lang w:val="lv-LV"/>
        </w:rPr>
        <w:t>apriti</w:t>
      </w:r>
      <w:r w:rsidR="00EC2BA1" w:rsidRPr="00AD6CBC">
        <w:rPr>
          <w:b/>
          <w:bCs/>
          <w:sz w:val="28"/>
          <w:szCs w:val="28"/>
          <w:lang w:val="lv-LV"/>
        </w:rPr>
        <w:t xml:space="preserve"> </w:t>
      </w:r>
    </w:p>
    <w:p w14:paraId="0CC28260" w14:textId="51D7B0CE" w:rsidR="008B0C60" w:rsidRPr="00AD6CBC" w:rsidRDefault="00E61AD5" w:rsidP="00AD6CBC">
      <w:pPr>
        <w:jc w:val="center"/>
        <w:rPr>
          <w:b/>
          <w:bCs/>
          <w:sz w:val="28"/>
          <w:szCs w:val="28"/>
          <w:lang w:val="lv-LV"/>
        </w:rPr>
      </w:pPr>
      <w:r w:rsidRPr="00AD6CBC">
        <w:rPr>
          <w:b/>
          <w:sz w:val="28"/>
          <w:szCs w:val="28"/>
          <w:lang w:val="lv-LV"/>
        </w:rPr>
        <w:t xml:space="preserve">sākotnējās </w:t>
      </w:r>
      <w:r w:rsidR="00757B05" w:rsidRPr="00AD6CBC">
        <w:rPr>
          <w:b/>
          <w:sz w:val="28"/>
          <w:szCs w:val="28"/>
          <w:lang w:val="lv-LV"/>
        </w:rPr>
        <w:t>ietekmes novērtējuma ziņojums</w:t>
      </w:r>
      <w:r w:rsidR="00757B05" w:rsidRPr="00AD6CBC">
        <w:rPr>
          <w:b/>
          <w:bCs/>
          <w:sz w:val="28"/>
          <w:szCs w:val="28"/>
          <w:lang w:val="lv-LV"/>
        </w:rPr>
        <w:t xml:space="preserve"> (anotācija)</w:t>
      </w:r>
    </w:p>
    <w:p w14:paraId="1D105868" w14:textId="77777777" w:rsidR="00831A6C" w:rsidRPr="007B7907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960"/>
        <w:gridCol w:w="6723"/>
      </w:tblGrid>
      <w:tr w:rsidR="005D73DE" w:rsidRPr="002A39FB" w14:paraId="36AD8CC9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171C6078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0753A9" w14:paraId="5F817FEB" w14:textId="77777777" w:rsidTr="00C25CC1">
        <w:tc>
          <w:tcPr>
            <w:tcW w:w="250" w:type="pct"/>
          </w:tcPr>
          <w:p w14:paraId="3AFECB28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077" w:type="pct"/>
          </w:tcPr>
          <w:p w14:paraId="5BC48E4D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14:paraId="1E9418D6" w14:textId="77777777" w:rsidR="001764AE" w:rsidRPr="00D052A2" w:rsidRDefault="00E312B1" w:rsidP="00CA3234">
            <w:pPr>
              <w:jc w:val="both"/>
              <w:rPr>
                <w:lang w:val="lv-LV"/>
              </w:rPr>
            </w:pPr>
            <w:r w:rsidRPr="00D052A2">
              <w:rPr>
                <w:lang w:val="lv-LV"/>
              </w:rPr>
              <w:t xml:space="preserve">Veterinārmedicīnas likuma </w:t>
            </w:r>
            <w:r w:rsidR="008B4887" w:rsidRPr="00D052A2">
              <w:rPr>
                <w:lang w:val="lv-LV"/>
              </w:rPr>
              <w:t>42.</w:t>
            </w:r>
            <w:r w:rsidR="008B4887" w:rsidRPr="00D052A2">
              <w:rPr>
                <w:vertAlign w:val="superscript"/>
                <w:lang w:val="lv-LV"/>
              </w:rPr>
              <w:t>1</w:t>
            </w:r>
            <w:r w:rsidR="008B4887" w:rsidRPr="00D052A2">
              <w:rPr>
                <w:lang w:val="lv-LV"/>
              </w:rPr>
              <w:t xml:space="preserve"> panta </w:t>
            </w:r>
            <w:r w:rsidR="00CA3234" w:rsidRPr="00D052A2">
              <w:rPr>
                <w:lang w:val="lv-LV"/>
              </w:rPr>
              <w:t>otr</w:t>
            </w:r>
            <w:r w:rsidR="00F922F2" w:rsidRPr="00D052A2">
              <w:rPr>
                <w:lang w:val="lv-LV"/>
              </w:rPr>
              <w:t>ā</w:t>
            </w:r>
            <w:r w:rsidR="008B4887" w:rsidRPr="00D052A2">
              <w:rPr>
                <w:lang w:val="lv-LV"/>
              </w:rPr>
              <w:t xml:space="preserve"> daļa</w:t>
            </w:r>
            <w:r w:rsidR="00143A9E" w:rsidRPr="00D052A2">
              <w:rPr>
                <w:lang w:val="lv-LV"/>
              </w:rPr>
              <w:t>.</w:t>
            </w:r>
          </w:p>
          <w:p w14:paraId="4B137C44" w14:textId="77777777" w:rsidR="000753A9" w:rsidRDefault="00386DA4" w:rsidP="000753A9">
            <w:pPr>
              <w:jc w:val="both"/>
              <w:rPr>
                <w:iCs/>
                <w:lang w:val="lv-LV"/>
              </w:rPr>
            </w:pPr>
            <w:hyperlink r:id="rId7" w:tgtFrame="_blank" w:history="1">
              <w:r w:rsidR="00143A9E" w:rsidRPr="00D052A2">
                <w:rPr>
                  <w:iCs/>
                  <w:lang w:val="lv-LV"/>
                </w:rPr>
                <w:t>Bīstamo kravu aprites likuma</w:t>
              </w:r>
            </w:hyperlink>
            <w:r w:rsidR="00143A9E" w:rsidRPr="00D052A2">
              <w:rPr>
                <w:iCs/>
                <w:lang w:val="lv-LV"/>
              </w:rPr>
              <w:t xml:space="preserve"> </w:t>
            </w:r>
            <w:hyperlink r:id="rId8" w:anchor="p11" w:tgtFrame="_blank" w:history="1">
              <w:r w:rsidR="00143A9E" w:rsidRPr="00D052A2">
                <w:rPr>
                  <w:iCs/>
                  <w:lang w:val="lv-LV"/>
                </w:rPr>
                <w:t>11. panta</w:t>
              </w:r>
            </w:hyperlink>
            <w:r w:rsidR="00143A9E" w:rsidRPr="00D052A2">
              <w:rPr>
                <w:iCs/>
                <w:lang w:val="lv-LV"/>
              </w:rPr>
              <w:t xml:space="preserve"> trešā </w:t>
            </w:r>
            <w:r w:rsidR="00D052A2" w:rsidRPr="00D052A2">
              <w:rPr>
                <w:iCs/>
                <w:lang w:val="lv-LV"/>
              </w:rPr>
              <w:t>daļa</w:t>
            </w:r>
            <w:r w:rsidR="000753A9">
              <w:rPr>
                <w:iCs/>
                <w:lang w:val="lv-LV"/>
              </w:rPr>
              <w:t>.</w:t>
            </w:r>
            <w:r w:rsidR="00D052A2" w:rsidRPr="00D052A2">
              <w:rPr>
                <w:iCs/>
                <w:lang w:val="lv-LV"/>
              </w:rPr>
              <w:t xml:space="preserve"> </w:t>
            </w:r>
          </w:p>
          <w:p w14:paraId="32897CB2" w14:textId="45930B74" w:rsidR="000753A9" w:rsidRPr="00D052A2" w:rsidRDefault="000753A9" w:rsidP="000753A9">
            <w:pPr>
              <w:jc w:val="both"/>
              <w:rPr>
                <w:lang w:val="lv-LV"/>
              </w:rPr>
            </w:pPr>
            <w:r w:rsidRPr="000753A9">
              <w:rPr>
                <w:lang w:val="lv-LV"/>
              </w:rPr>
              <w:t>Autopārvadājumu likuma 12. panta piekt</w:t>
            </w:r>
            <w:r>
              <w:rPr>
                <w:lang w:val="lv-LV"/>
              </w:rPr>
              <w:t>ā</w:t>
            </w:r>
            <w:r w:rsidRPr="000753A9">
              <w:rPr>
                <w:lang w:val="lv-LV"/>
              </w:rPr>
              <w:t xml:space="preserve"> daļ</w:t>
            </w:r>
            <w:r>
              <w:rPr>
                <w:lang w:val="lv-LV"/>
              </w:rPr>
              <w:t>a.</w:t>
            </w:r>
          </w:p>
        </w:tc>
      </w:tr>
      <w:tr w:rsidR="005D73DE" w:rsidRPr="00386DA4" w14:paraId="72AAFD5F" w14:textId="77777777" w:rsidTr="00C25CC1">
        <w:tc>
          <w:tcPr>
            <w:tcW w:w="250" w:type="pct"/>
          </w:tcPr>
          <w:p w14:paraId="0615509D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077" w:type="pct"/>
          </w:tcPr>
          <w:p w14:paraId="7AC23C45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tbl>
            <w:tblPr>
              <w:tblW w:w="66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3"/>
              <w:gridCol w:w="20"/>
            </w:tblGrid>
            <w:tr w:rsidR="00FF7610" w:rsidRPr="00386DA4" w14:paraId="35198F20" w14:textId="77777777" w:rsidTr="005013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8F2DD6" w14:textId="77777777" w:rsidR="008B4887" w:rsidRPr="008B4887" w:rsidRDefault="008B4887" w:rsidP="008B4887">
                  <w:pPr>
                    <w:jc w:val="both"/>
                    <w:rPr>
                      <w:bCs/>
                      <w:lang w:val="lv-LV"/>
                    </w:rPr>
                  </w:pPr>
                  <w:r w:rsidRPr="008B4887">
                    <w:rPr>
                      <w:bCs/>
                      <w:lang w:val="lv-LV"/>
                    </w:rPr>
                    <w:t>Patlaban ir spēkā Ministru kabineta 2012.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gada 17.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aprīļa noteikumi Nr.</w:t>
                  </w:r>
                  <w:r w:rsidR="00EE7DF5"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27</w:t>
                  </w:r>
                  <w:r w:rsidR="00CA3234">
                    <w:rPr>
                      <w:bCs/>
                      <w:lang w:val="lv-LV"/>
                    </w:rPr>
                    <w:t>5</w:t>
                  </w:r>
                  <w:r w:rsidRPr="008B4887">
                    <w:rPr>
                      <w:bCs/>
                      <w:lang w:val="lv-LV"/>
                    </w:rPr>
                    <w:t xml:space="preserve"> „</w:t>
                  </w:r>
                  <w:r w:rsidR="00CA3234" w:rsidRPr="00CA3234">
                    <w:rPr>
                      <w:bCs/>
                      <w:lang w:val="lv-LV"/>
                    </w:rPr>
                    <w:t>Prasības tādu dzīvnieku izcelsmes blakusproduktu un atvasinātu produktu apritei, kas nav paredzēti cilvēku patēriņam</w:t>
                  </w:r>
                  <w:r w:rsidRPr="008B4887">
                    <w:rPr>
                      <w:bCs/>
                      <w:lang w:val="lv-LV"/>
                    </w:rPr>
                    <w:t>” (turpmāk – noteikumi Nr.</w:t>
                  </w:r>
                  <w:r w:rsidR="00EE7DF5"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27</w:t>
                  </w:r>
                  <w:r w:rsidR="00CA3234">
                    <w:rPr>
                      <w:bCs/>
                      <w:lang w:val="lv-LV"/>
                    </w:rPr>
                    <w:t>5</w:t>
                  </w:r>
                  <w:r w:rsidRPr="008B4887">
                    <w:rPr>
                      <w:bCs/>
                      <w:lang w:val="lv-LV"/>
                    </w:rPr>
                    <w:t>), k</w:t>
                  </w:r>
                  <w:r w:rsidR="00467902">
                    <w:rPr>
                      <w:bCs/>
                      <w:lang w:val="lv-LV"/>
                    </w:rPr>
                    <w:t>uri</w:t>
                  </w:r>
                  <w:r w:rsidRPr="008B4887">
                    <w:rPr>
                      <w:bCs/>
                      <w:lang w:val="lv-LV"/>
                    </w:rPr>
                    <w:t xml:space="preserve"> izdot</w:t>
                  </w:r>
                  <w:r w:rsidR="00FF5225">
                    <w:rPr>
                      <w:bCs/>
                      <w:lang w:val="lv-LV"/>
                    </w:rPr>
                    <w:t>i</w:t>
                  </w:r>
                  <w:r w:rsidRPr="008B4887">
                    <w:rPr>
                      <w:bCs/>
                      <w:lang w:val="lv-LV"/>
                    </w:rPr>
                    <w:t xml:space="preserve">, lai piemērotu prasības, kas noteiktas šādās regulās: </w:t>
                  </w:r>
                </w:p>
                <w:p w14:paraId="77DE2D80" w14:textId="77777777" w:rsidR="008B4887" w:rsidRPr="008B4887" w:rsidRDefault="008B4887" w:rsidP="008B4887">
                  <w:pPr>
                    <w:jc w:val="both"/>
                    <w:rPr>
                      <w:bCs/>
                      <w:lang w:val="lv-LV"/>
                    </w:rPr>
                  </w:pPr>
                  <w:r w:rsidRPr="008B4887">
                    <w:rPr>
                      <w:bCs/>
                      <w:lang w:val="lv-LV"/>
                    </w:rPr>
                    <w:t>1) Eiropas Parlamenta un Padomes 2009.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gada 21.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oktobra Regul</w:t>
                  </w:r>
                  <w:r w:rsidR="00467902">
                    <w:rPr>
                      <w:bCs/>
                      <w:lang w:val="lv-LV"/>
                    </w:rPr>
                    <w:t>ā</w:t>
                  </w:r>
                  <w:r w:rsidRPr="008B4887">
                    <w:rPr>
                      <w:bCs/>
                      <w:lang w:val="lv-LV"/>
                    </w:rPr>
                    <w:t xml:space="preserve"> (EK) Nr.1069/2009, ar ko nosaka veselības aizsardzības noteikumus attiecībā uz dzīvnieku izcelsmes blakusproduktiem un atvasinātajiem produktiem, kuri nav paredzēti cilvēku patēriņam, un ar ko atceļ Regulu (EK) Nr.1774/2002 (turpmāk – Regula Nr.1069/2009);</w:t>
                  </w:r>
                </w:p>
                <w:p w14:paraId="218481A3" w14:textId="77777777" w:rsidR="008B4887" w:rsidRDefault="008B4887" w:rsidP="008B4887">
                  <w:pPr>
                    <w:jc w:val="both"/>
                    <w:rPr>
                      <w:bCs/>
                      <w:lang w:val="lv-LV"/>
                    </w:rPr>
                  </w:pPr>
                  <w:r w:rsidRPr="008B4887">
                    <w:rPr>
                      <w:bCs/>
                      <w:lang w:val="lv-LV"/>
                    </w:rPr>
                    <w:t>2) Eiropas Komisijas 2011.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gada 25.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8B4887">
                    <w:rPr>
                      <w:bCs/>
                      <w:lang w:val="lv-LV"/>
                    </w:rPr>
                    <w:t>februāra Regul</w:t>
                  </w:r>
                  <w:r w:rsidR="00467902">
                    <w:rPr>
                      <w:bCs/>
                      <w:lang w:val="lv-LV"/>
                    </w:rPr>
                    <w:t>ā</w:t>
                  </w:r>
                  <w:r w:rsidRPr="008B4887">
                    <w:rPr>
                      <w:bCs/>
                      <w:lang w:val="lv-LV"/>
                    </w:rPr>
                    <w:t xml:space="preserve"> (EK) Nr.142/2011, ar kuru īsteno Eiropas Parlamenta un Padomes Regulu (EK) Nr.1069/2009, ar ko nosaka veselības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 (turpmāk – Regula Nr.142/2011).</w:t>
                  </w:r>
                </w:p>
                <w:p w14:paraId="736E00AF" w14:textId="77777777" w:rsidR="00CA3234" w:rsidRDefault="00F57948" w:rsidP="00F57948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Noteikumos Nr.</w:t>
                  </w:r>
                  <w:r w:rsidR="00EE7DF5">
                    <w:rPr>
                      <w:bCs/>
                      <w:lang w:val="lv-LV"/>
                    </w:rPr>
                    <w:t xml:space="preserve"> </w:t>
                  </w:r>
                  <w:r>
                    <w:rPr>
                      <w:bCs/>
                      <w:lang w:val="lv-LV"/>
                    </w:rPr>
                    <w:t>27</w:t>
                  </w:r>
                  <w:r w:rsidR="00CA3234">
                    <w:rPr>
                      <w:bCs/>
                      <w:lang w:val="lv-LV"/>
                    </w:rPr>
                    <w:t>5</w:t>
                  </w:r>
                  <w:r>
                    <w:rPr>
                      <w:bCs/>
                      <w:lang w:val="lv-LV"/>
                    </w:rPr>
                    <w:t xml:space="preserve"> ir noteikt</w:t>
                  </w:r>
                  <w:r w:rsidR="00CA3234">
                    <w:rPr>
                      <w:bCs/>
                      <w:lang w:val="lv-LV"/>
                    </w:rPr>
                    <w:t xml:space="preserve">s, </w:t>
                  </w:r>
                  <w:r w:rsidR="00EE7DF5">
                    <w:rPr>
                      <w:bCs/>
                      <w:lang w:val="lv-LV"/>
                    </w:rPr>
                    <w:t xml:space="preserve">ka </w:t>
                  </w:r>
                  <w:r w:rsidR="00CA3234">
                    <w:rPr>
                      <w:bCs/>
                      <w:lang w:val="lv-LV"/>
                    </w:rPr>
                    <w:t>b</w:t>
                  </w:r>
                  <w:r w:rsidR="00CA3234" w:rsidRPr="00CA3234">
                    <w:rPr>
                      <w:bCs/>
                      <w:lang w:val="lv-LV"/>
                    </w:rPr>
                    <w:t>lakusproduktu apritē iesaistītā persona nodrošina, lai blakusproduktu krava, kas klasificējama kā bīstama krava, atbilst normatīvajiem aktiem par bīstamo kravu apriti</w:t>
                  </w:r>
                  <w:r w:rsidR="00CA3234">
                    <w:rPr>
                      <w:bCs/>
                      <w:lang w:val="lv-LV"/>
                    </w:rPr>
                    <w:t xml:space="preserve">. </w:t>
                  </w:r>
                </w:p>
                <w:p w14:paraId="5E1D3BCC" w14:textId="77777777" w:rsidR="00CA3234" w:rsidRDefault="009061FF" w:rsidP="00F57948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B</w:t>
                  </w:r>
                  <w:r w:rsidRPr="009061FF">
                    <w:rPr>
                      <w:bCs/>
                      <w:lang w:val="lv-LV"/>
                    </w:rPr>
                    <w:t>īstamo kravu apriti</w:t>
                  </w:r>
                  <w:r>
                    <w:rPr>
                      <w:bCs/>
                      <w:lang w:val="lv-LV"/>
                    </w:rPr>
                    <w:t xml:space="preserve"> reglamentē:</w:t>
                  </w:r>
                </w:p>
                <w:p w14:paraId="228BF5A0" w14:textId="77777777" w:rsidR="009061FF" w:rsidRDefault="009061FF" w:rsidP="00F57948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 xml:space="preserve">1) </w:t>
                  </w:r>
                  <w:r w:rsidRPr="009061FF">
                    <w:rPr>
                      <w:bCs/>
                      <w:lang w:val="lv-LV"/>
                    </w:rPr>
                    <w:t>Bīstamo kravu aprites likums</w:t>
                  </w:r>
                  <w:r>
                    <w:rPr>
                      <w:bCs/>
                      <w:lang w:val="lv-LV"/>
                    </w:rPr>
                    <w:t>;</w:t>
                  </w:r>
                </w:p>
                <w:p w14:paraId="6E5ABFE8" w14:textId="77777777" w:rsidR="009061FF" w:rsidRDefault="009061FF" w:rsidP="009061FF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 xml:space="preserve">2) </w:t>
                  </w:r>
                  <w:r w:rsidRPr="009061FF">
                    <w:rPr>
                      <w:bCs/>
                      <w:lang w:val="lv-LV"/>
                    </w:rPr>
                    <w:t>Autopārvadājumu likums</w:t>
                  </w:r>
                  <w:r>
                    <w:rPr>
                      <w:bCs/>
                      <w:lang w:val="lv-LV"/>
                    </w:rPr>
                    <w:t>;</w:t>
                  </w:r>
                </w:p>
                <w:p w14:paraId="3C2D63D4" w14:textId="20C4980D" w:rsidR="00EC2BA1" w:rsidRPr="000753A9" w:rsidRDefault="009061FF" w:rsidP="00EC2BA1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  <w:r w:rsidRPr="000753A9">
                    <w:rPr>
                      <w:bCs/>
                      <w:lang w:val="lv-LV"/>
                    </w:rPr>
                    <w:t xml:space="preserve">) </w:t>
                  </w:r>
                  <w:r w:rsidR="00EC2BA1" w:rsidRPr="000753A9">
                    <w:rPr>
                      <w:bCs/>
                      <w:lang w:val="lv-LV"/>
                    </w:rPr>
                    <w:t xml:space="preserve">Ministru kabineta 2005. gada 6. septembra noteikumi Nr.674 „Bīstamo kravu pārvadājumu noteikumi” (turpmāk </w:t>
                  </w:r>
                  <w:r w:rsidR="007368F7">
                    <w:rPr>
                      <w:bCs/>
                      <w:lang w:val="lv-LV"/>
                    </w:rPr>
                    <w:t>–</w:t>
                  </w:r>
                  <w:r w:rsidR="00EC2BA1" w:rsidRPr="000753A9">
                    <w:rPr>
                      <w:bCs/>
                      <w:lang w:val="lv-LV"/>
                    </w:rPr>
                    <w:t xml:space="preserve"> noteikumi Nr.</w:t>
                  </w:r>
                  <w:r w:rsidR="007368F7">
                    <w:rPr>
                      <w:bCs/>
                      <w:lang w:val="lv-LV"/>
                    </w:rPr>
                    <w:t> </w:t>
                  </w:r>
                  <w:r w:rsidR="00EC2BA1" w:rsidRPr="000753A9">
                    <w:rPr>
                      <w:bCs/>
                      <w:lang w:val="lv-LV"/>
                    </w:rPr>
                    <w:t>674);</w:t>
                  </w:r>
                </w:p>
                <w:p w14:paraId="2A811DBF" w14:textId="3109F4AE" w:rsidR="009061FF" w:rsidRDefault="00EC2BA1" w:rsidP="009061FF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 xml:space="preserve">4) </w:t>
                  </w:r>
                  <w:r w:rsidR="009061FF" w:rsidRPr="009061FF">
                    <w:rPr>
                      <w:bCs/>
                      <w:lang w:val="lv-LV"/>
                    </w:rPr>
                    <w:t>Ministru kabineta 2011.</w:t>
                  </w:r>
                  <w:r w:rsidR="009061FF">
                    <w:rPr>
                      <w:bCs/>
                      <w:lang w:val="lv-LV"/>
                    </w:rPr>
                    <w:t xml:space="preserve"> </w:t>
                  </w:r>
                  <w:r w:rsidR="009061FF" w:rsidRPr="009061FF">
                    <w:rPr>
                      <w:bCs/>
                      <w:lang w:val="lv-LV"/>
                    </w:rPr>
                    <w:t>gada 5.</w:t>
                  </w:r>
                  <w:r w:rsidR="009061FF">
                    <w:rPr>
                      <w:bCs/>
                      <w:lang w:val="lv-LV"/>
                    </w:rPr>
                    <w:t xml:space="preserve"> </w:t>
                  </w:r>
                  <w:r w:rsidR="009061FF" w:rsidRPr="009061FF">
                    <w:rPr>
                      <w:bCs/>
                      <w:lang w:val="lv-LV"/>
                    </w:rPr>
                    <w:t>jūlij</w:t>
                  </w:r>
                  <w:r w:rsidR="009061FF">
                    <w:rPr>
                      <w:bCs/>
                      <w:lang w:val="lv-LV"/>
                    </w:rPr>
                    <w:t>a</w:t>
                  </w:r>
                  <w:r w:rsidR="009061FF" w:rsidRPr="009061FF">
                    <w:rPr>
                      <w:bCs/>
                      <w:lang w:val="lv-LV"/>
                    </w:rPr>
                    <w:t xml:space="preserve"> noteikumi Nr.541 </w:t>
                  </w:r>
                  <w:r w:rsidR="009061FF">
                    <w:rPr>
                      <w:bCs/>
                      <w:lang w:val="lv-LV"/>
                    </w:rPr>
                    <w:t>„</w:t>
                  </w:r>
                  <w:r w:rsidR="009061FF" w:rsidRPr="009061FF">
                    <w:rPr>
                      <w:bCs/>
                      <w:lang w:val="lv-LV"/>
                    </w:rPr>
                    <w:t>Bīstamo kravu aprites kontroles kārtība</w:t>
                  </w:r>
                  <w:r w:rsidR="009061FF">
                    <w:rPr>
                      <w:bCs/>
                      <w:lang w:val="lv-LV"/>
                    </w:rPr>
                    <w:t xml:space="preserve">” (turpmāk </w:t>
                  </w:r>
                  <w:r w:rsidR="007368F7">
                    <w:rPr>
                      <w:bCs/>
                      <w:lang w:val="lv-LV"/>
                    </w:rPr>
                    <w:t>–</w:t>
                  </w:r>
                  <w:r w:rsidR="009061FF">
                    <w:rPr>
                      <w:bCs/>
                      <w:lang w:val="lv-LV"/>
                    </w:rPr>
                    <w:t xml:space="preserve"> noteikumi Nr.</w:t>
                  </w:r>
                  <w:r w:rsidR="00EE7DF5">
                    <w:rPr>
                      <w:bCs/>
                      <w:lang w:val="lv-LV"/>
                    </w:rPr>
                    <w:t xml:space="preserve"> </w:t>
                  </w:r>
                  <w:r w:rsidR="009061FF">
                    <w:rPr>
                      <w:bCs/>
                      <w:lang w:val="lv-LV"/>
                    </w:rPr>
                    <w:t>541)</w:t>
                  </w:r>
                  <w:r w:rsidR="000753A9">
                    <w:rPr>
                      <w:bCs/>
                      <w:lang w:val="lv-LV"/>
                    </w:rPr>
                    <w:t>.</w:t>
                  </w:r>
                </w:p>
                <w:p w14:paraId="71283351" w14:textId="262FC986" w:rsidR="009061FF" w:rsidRDefault="009061FF" w:rsidP="009061FF">
                  <w:pPr>
                    <w:jc w:val="both"/>
                    <w:rPr>
                      <w:bCs/>
                      <w:lang w:val="lv-LV"/>
                    </w:rPr>
                  </w:pPr>
                  <w:r w:rsidRPr="009061FF">
                    <w:rPr>
                      <w:bCs/>
                      <w:lang w:val="lv-LV"/>
                    </w:rPr>
                    <w:t>Bīstamo kravu aprites likuma 3.</w:t>
                  </w:r>
                  <w:r w:rsidR="008C352D">
                    <w:rPr>
                      <w:bCs/>
                      <w:lang w:val="lv-LV"/>
                    </w:rPr>
                    <w:t xml:space="preserve"> </w:t>
                  </w:r>
                  <w:r w:rsidRPr="009061FF">
                    <w:rPr>
                      <w:bCs/>
                      <w:lang w:val="lv-LV"/>
                    </w:rPr>
                    <w:t>panta treš</w:t>
                  </w:r>
                  <w:r w:rsidR="007368F7">
                    <w:rPr>
                      <w:bCs/>
                      <w:lang w:val="lv-LV"/>
                    </w:rPr>
                    <w:t>aj</w:t>
                  </w:r>
                  <w:r w:rsidRPr="009061FF">
                    <w:rPr>
                      <w:bCs/>
                      <w:lang w:val="lv-LV"/>
                    </w:rPr>
                    <w:t>ā daļ</w:t>
                  </w:r>
                  <w:r w:rsidR="007368F7">
                    <w:rPr>
                      <w:bCs/>
                      <w:lang w:val="lv-LV"/>
                    </w:rPr>
                    <w:t>ā</w:t>
                  </w:r>
                  <w:r w:rsidRPr="009061FF">
                    <w:rPr>
                      <w:bCs/>
                      <w:lang w:val="lv-LV"/>
                    </w:rPr>
                    <w:t xml:space="preserve"> no</w:t>
                  </w:r>
                  <w:r w:rsidR="007368F7">
                    <w:rPr>
                      <w:bCs/>
                      <w:lang w:val="lv-LV"/>
                    </w:rPr>
                    <w:t>teikts</w:t>
                  </w:r>
                  <w:r w:rsidRPr="009061FF">
                    <w:rPr>
                      <w:bCs/>
                      <w:lang w:val="lv-LV"/>
                    </w:rPr>
                    <w:t xml:space="preserve">, ka jautājumus par bīstamo kravu apriti un tās uzraudzību autopārvadājumu jomā reglamentē </w:t>
                  </w:r>
                  <w:r w:rsidR="008C352D" w:rsidRPr="008C352D">
                    <w:rPr>
                      <w:bCs/>
                      <w:lang w:val="lv-LV"/>
                    </w:rPr>
                    <w:t>Eiropas valstu nolīgums par bīstamo kravu starptautiskajiem pārvadājumiem ar autotransportu (turpmāk – ADR)</w:t>
                  </w:r>
                  <w:r w:rsidR="007368F7">
                    <w:rPr>
                      <w:bCs/>
                      <w:lang w:val="lv-LV"/>
                    </w:rPr>
                    <w:t>,</w:t>
                  </w:r>
                  <w:r w:rsidR="008C352D">
                    <w:rPr>
                      <w:bCs/>
                      <w:lang w:val="lv-LV"/>
                    </w:rPr>
                    <w:t xml:space="preserve"> un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9061FF">
                    <w:rPr>
                      <w:bCs/>
                      <w:lang w:val="lv-LV"/>
                    </w:rPr>
                    <w:t>noteikumu Nr.</w:t>
                  </w:r>
                  <w:r w:rsidR="00EE7DF5">
                    <w:rPr>
                      <w:bCs/>
                      <w:lang w:val="lv-LV"/>
                    </w:rPr>
                    <w:t xml:space="preserve"> </w:t>
                  </w:r>
                  <w:r w:rsidRPr="009061FF">
                    <w:rPr>
                      <w:bCs/>
                      <w:lang w:val="lv-LV"/>
                    </w:rPr>
                    <w:t>674 3.</w:t>
                  </w:r>
                  <w:r w:rsidR="00EE7DF5">
                    <w:rPr>
                      <w:bCs/>
                      <w:lang w:val="lv-LV"/>
                    </w:rPr>
                    <w:t xml:space="preserve"> </w:t>
                  </w:r>
                  <w:r w:rsidRPr="009061FF">
                    <w:rPr>
                      <w:bCs/>
                      <w:lang w:val="lv-LV"/>
                    </w:rPr>
                    <w:t>punkt</w:t>
                  </w:r>
                  <w:r w:rsidR="007368F7">
                    <w:rPr>
                      <w:bCs/>
                      <w:lang w:val="lv-LV"/>
                    </w:rPr>
                    <w:t>ā</w:t>
                  </w:r>
                  <w:r w:rsidRPr="009061FF">
                    <w:rPr>
                      <w:bCs/>
                      <w:lang w:val="lv-LV"/>
                    </w:rPr>
                    <w:t xml:space="preserve"> no</w:t>
                  </w:r>
                  <w:r w:rsidR="007368F7">
                    <w:rPr>
                      <w:bCs/>
                      <w:lang w:val="lv-LV"/>
                    </w:rPr>
                    <w:t>teikts</w:t>
                  </w:r>
                  <w:r w:rsidRPr="009061FF">
                    <w:rPr>
                      <w:bCs/>
                      <w:lang w:val="lv-LV"/>
                    </w:rPr>
                    <w:t>, ka bīstamo kravu starptautiskos un iekšzemes pārvadājumus veic atbilstoši ADR nolīguma prasībām</w:t>
                  </w:r>
                  <w:r w:rsidR="008C352D">
                    <w:rPr>
                      <w:bCs/>
                      <w:lang w:val="lv-LV"/>
                    </w:rPr>
                    <w:t>.</w:t>
                  </w:r>
                  <w:r w:rsidR="001F4078">
                    <w:rPr>
                      <w:bCs/>
                      <w:lang w:val="lv-LV"/>
                    </w:rPr>
                    <w:t xml:space="preserve"> Tas nozīmē, ka starpvalstu pārvadājumos </w:t>
                  </w:r>
                  <w:r w:rsidR="007368F7">
                    <w:rPr>
                      <w:bCs/>
                      <w:lang w:val="lv-LV"/>
                    </w:rPr>
                    <w:t xml:space="preserve">bīstamajai </w:t>
                  </w:r>
                  <w:r w:rsidR="001F4078">
                    <w:rPr>
                      <w:bCs/>
                      <w:lang w:val="lv-LV"/>
                    </w:rPr>
                    <w:t xml:space="preserve">kravai ir jāatbilst visām ADR noteiktajām prasībām </w:t>
                  </w:r>
                  <w:r w:rsidR="003653D8">
                    <w:rPr>
                      <w:bCs/>
                      <w:lang w:val="lv-LV"/>
                    </w:rPr>
                    <w:t>un</w:t>
                  </w:r>
                  <w:r w:rsidR="00BF169D">
                    <w:rPr>
                      <w:bCs/>
                      <w:lang w:val="lv-LV"/>
                    </w:rPr>
                    <w:t>,</w:t>
                  </w:r>
                  <w:r w:rsidR="001F4078">
                    <w:rPr>
                      <w:bCs/>
                      <w:lang w:val="lv-LV"/>
                    </w:rPr>
                    <w:t xml:space="preserve"> ja bīstamo kravu pārvadā Latvijas teritorijas iekšienē,</w:t>
                  </w:r>
                  <w:r w:rsidR="007368F7">
                    <w:rPr>
                      <w:bCs/>
                      <w:lang w:val="lv-LV"/>
                    </w:rPr>
                    <w:t> –</w:t>
                  </w:r>
                  <w:r w:rsidR="001F4078">
                    <w:rPr>
                      <w:bCs/>
                      <w:lang w:val="lv-LV"/>
                    </w:rPr>
                    <w:t xml:space="preserve"> arī visām ADR noteiktajām prasībām. </w:t>
                  </w:r>
                </w:p>
                <w:p w14:paraId="2E45908E" w14:textId="0CA7B481" w:rsidR="00E933C8" w:rsidRDefault="00E933C8" w:rsidP="009061FF">
                  <w:pPr>
                    <w:jc w:val="both"/>
                    <w:rPr>
                      <w:bCs/>
                      <w:lang w:val="lv-LV"/>
                    </w:rPr>
                  </w:pPr>
                  <w:r w:rsidRPr="00E933C8">
                    <w:rPr>
                      <w:bCs/>
                      <w:lang w:val="lv-LV"/>
                    </w:rPr>
                    <w:t xml:space="preserve">Pēc ADR noteiktās klasifikācijas infekciozas vielas ir vielas, kas pazīstamas vai arī pamatoti uzskatāmas </w:t>
                  </w:r>
                  <w:r w:rsidR="007368F7">
                    <w:rPr>
                      <w:bCs/>
                      <w:lang w:val="lv-LV"/>
                    </w:rPr>
                    <w:t>par</w:t>
                  </w:r>
                  <w:r w:rsidRPr="00E933C8">
                    <w:rPr>
                      <w:bCs/>
                      <w:lang w:val="lv-LV"/>
                    </w:rPr>
                    <w:t xml:space="preserve"> patogēnus saturoš</w:t>
                  </w:r>
                  <w:r w:rsidR="007368F7">
                    <w:rPr>
                      <w:bCs/>
                      <w:lang w:val="lv-LV"/>
                    </w:rPr>
                    <w:t>ām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>
                    <w:rPr>
                      <w:bCs/>
                      <w:lang w:val="lv-LV"/>
                    </w:rPr>
                    <w:lastRenderedPageBreak/>
                    <w:t>(</w:t>
                  </w:r>
                  <w:r w:rsidRPr="00E933C8">
                    <w:rPr>
                      <w:bCs/>
                      <w:lang w:val="lv-LV"/>
                    </w:rPr>
                    <w:t xml:space="preserve">ANO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Pr="00E933C8">
                    <w:rPr>
                      <w:bCs/>
                      <w:lang w:val="lv-LV"/>
                    </w:rPr>
                    <w:t xml:space="preserve">r. 2814,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Pr="00E933C8">
                    <w:rPr>
                      <w:bCs/>
                      <w:lang w:val="lv-LV"/>
                    </w:rPr>
                    <w:t>r.</w:t>
                  </w:r>
                  <w:r w:rsidR="00BF169D">
                    <w:rPr>
                      <w:bCs/>
                      <w:lang w:val="lv-LV"/>
                    </w:rPr>
                    <w:t xml:space="preserve"> </w:t>
                  </w:r>
                  <w:r w:rsidRPr="00E933C8">
                    <w:rPr>
                      <w:bCs/>
                      <w:lang w:val="lv-LV"/>
                    </w:rPr>
                    <w:t xml:space="preserve">2900 un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Pr="00E933C8">
                    <w:rPr>
                      <w:bCs/>
                      <w:lang w:val="lv-LV"/>
                    </w:rPr>
                    <w:t>r.</w:t>
                  </w:r>
                  <w:r w:rsidR="00BF169D">
                    <w:rPr>
                      <w:bCs/>
                      <w:lang w:val="lv-LV"/>
                    </w:rPr>
                    <w:t xml:space="preserve"> </w:t>
                  </w:r>
                  <w:r w:rsidRPr="00E933C8">
                    <w:rPr>
                      <w:bCs/>
                      <w:lang w:val="lv-LV"/>
                    </w:rPr>
                    <w:t>3373</w:t>
                  </w:r>
                  <w:r>
                    <w:rPr>
                      <w:bCs/>
                      <w:lang w:val="lv-LV"/>
                    </w:rPr>
                    <w:t>)</w:t>
                  </w:r>
                  <w:r w:rsidRPr="00E933C8">
                    <w:rPr>
                      <w:bCs/>
                      <w:lang w:val="lv-LV"/>
                    </w:rPr>
                    <w:t xml:space="preserve"> </w:t>
                  </w:r>
                  <w:r>
                    <w:rPr>
                      <w:bCs/>
                      <w:lang w:val="lv-LV"/>
                    </w:rPr>
                    <w:t>un</w:t>
                  </w:r>
                  <w:r w:rsidRPr="00E933C8">
                    <w:rPr>
                      <w:bCs/>
                      <w:lang w:val="lv-LV"/>
                    </w:rPr>
                    <w:t xml:space="preserve"> kas var izraisīt nepārejošu invaliditāti, dzīvību apdraudošu vai nāvējošu slimību citādi veselam cilvēkam vai dzīvniek</w:t>
                  </w:r>
                  <w:r>
                    <w:rPr>
                      <w:bCs/>
                      <w:lang w:val="lv-LV"/>
                    </w:rPr>
                    <w:t>a</w:t>
                  </w:r>
                  <w:r w:rsidRPr="00E933C8">
                    <w:rPr>
                      <w:bCs/>
                      <w:lang w:val="lv-LV"/>
                    </w:rPr>
                    <w:t xml:space="preserve">m. </w:t>
                  </w:r>
                  <w:r w:rsidR="00A33B47" w:rsidRPr="00A33B47">
                    <w:rPr>
                      <w:bCs/>
                      <w:lang w:val="lv-LV"/>
                    </w:rPr>
                    <w:t xml:space="preserve">ANO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="00A33B47" w:rsidRPr="00A33B47">
                    <w:rPr>
                      <w:bCs/>
                      <w:lang w:val="lv-LV"/>
                    </w:rPr>
                    <w:t>r. 2814</w:t>
                  </w:r>
                  <w:r w:rsidR="00A33B47">
                    <w:rPr>
                      <w:bCs/>
                      <w:lang w:val="lv-LV"/>
                    </w:rPr>
                    <w:t xml:space="preserve"> piešķir infekciozām vielām, kas izraisa slimības cilvēkiem vai arī cilvēkiem un dzīvniekiem. </w:t>
                  </w:r>
                  <w:r w:rsidR="00A33B47" w:rsidRPr="00A33B47">
                    <w:rPr>
                      <w:bCs/>
                      <w:lang w:val="lv-LV"/>
                    </w:rPr>
                    <w:t xml:space="preserve">ANO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="00A33B47" w:rsidRPr="00A33B47">
                    <w:rPr>
                      <w:bCs/>
                      <w:lang w:val="lv-LV"/>
                    </w:rPr>
                    <w:t>r. 2</w:t>
                  </w:r>
                  <w:r w:rsidR="00A33B47">
                    <w:rPr>
                      <w:bCs/>
                      <w:lang w:val="lv-LV"/>
                    </w:rPr>
                    <w:t xml:space="preserve">900 </w:t>
                  </w:r>
                  <w:r w:rsidR="00A33B47" w:rsidRPr="00A33B47">
                    <w:rPr>
                      <w:bCs/>
                      <w:lang w:val="lv-LV"/>
                    </w:rPr>
                    <w:t xml:space="preserve">piešķir infekciozām vielām, kas izraisa slimības </w:t>
                  </w:r>
                  <w:r w:rsidR="00A33B47">
                    <w:rPr>
                      <w:bCs/>
                      <w:lang w:val="lv-LV"/>
                    </w:rPr>
                    <w:t>tikai</w:t>
                  </w:r>
                  <w:r w:rsidR="00A33B47" w:rsidRPr="00A33B47">
                    <w:rPr>
                      <w:bCs/>
                      <w:lang w:val="lv-LV"/>
                    </w:rPr>
                    <w:t xml:space="preserve"> dzīvniekiem.</w:t>
                  </w:r>
                  <w:r w:rsidR="00A33B47">
                    <w:rPr>
                      <w:bCs/>
                      <w:lang w:val="lv-LV"/>
                    </w:rPr>
                    <w:t xml:space="preserve"> </w:t>
                  </w:r>
                  <w:r w:rsidR="00A33B47" w:rsidRPr="00A33B47">
                    <w:rPr>
                      <w:bCs/>
                      <w:lang w:val="lv-LV"/>
                    </w:rPr>
                    <w:t xml:space="preserve">ANO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="00A33B47" w:rsidRPr="00A33B47">
                    <w:rPr>
                      <w:bCs/>
                      <w:lang w:val="lv-LV"/>
                    </w:rPr>
                    <w:t>r.</w:t>
                  </w:r>
                  <w:r w:rsidR="002B6FF8">
                    <w:rPr>
                      <w:bCs/>
                      <w:lang w:val="lv-LV"/>
                    </w:rPr>
                    <w:t xml:space="preserve"> </w:t>
                  </w:r>
                  <w:r w:rsidR="00A33B47" w:rsidRPr="00A33B47">
                    <w:rPr>
                      <w:bCs/>
                      <w:lang w:val="lv-LV"/>
                    </w:rPr>
                    <w:t>3373</w:t>
                  </w:r>
                  <w:r w:rsidR="00A33B47" w:rsidRPr="00A33B47">
                    <w:rPr>
                      <w:lang w:val="lv-LV"/>
                    </w:rPr>
                    <w:t xml:space="preserve"> </w:t>
                  </w:r>
                  <w:r w:rsidR="00A33B47" w:rsidRPr="00A33B47">
                    <w:rPr>
                      <w:bCs/>
                      <w:lang w:val="lv-LV"/>
                    </w:rPr>
                    <w:t xml:space="preserve">piešķir </w:t>
                  </w:r>
                  <w:r w:rsidR="00A33B47">
                    <w:rPr>
                      <w:bCs/>
                      <w:lang w:val="lv-LV"/>
                    </w:rPr>
                    <w:t>bioloģisk</w:t>
                  </w:r>
                  <w:r w:rsidR="00A33B47" w:rsidRPr="00A33B47">
                    <w:rPr>
                      <w:bCs/>
                      <w:lang w:val="lv-LV"/>
                    </w:rPr>
                    <w:t>ām vielām</w:t>
                  </w:r>
                  <w:r w:rsidR="00A33B47">
                    <w:rPr>
                      <w:bCs/>
                      <w:lang w:val="lv-LV"/>
                    </w:rPr>
                    <w:t xml:space="preserve"> (B</w:t>
                  </w:r>
                  <w:r w:rsidR="007368F7">
                    <w:rPr>
                      <w:bCs/>
                      <w:lang w:val="lv-LV"/>
                    </w:rPr>
                    <w:t> </w:t>
                  </w:r>
                  <w:r w:rsidR="00A33B47">
                    <w:rPr>
                      <w:bCs/>
                      <w:lang w:val="lv-LV"/>
                    </w:rPr>
                    <w:t>kategorijas infekcioz</w:t>
                  </w:r>
                  <w:r w:rsidR="007368F7">
                    <w:rPr>
                      <w:bCs/>
                      <w:lang w:val="lv-LV"/>
                    </w:rPr>
                    <w:t>ām</w:t>
                  </w:r>
                  <w:r w:rsidR="00A33B47">
                    <w:rPr>
                      <w:bCs/>
                      <w:lang w:val="lv-LV"/>
                    </w:rPr>
                    <w:t xml:space="preserve"> viel</w:t>
                  </w:r>
                  <w:r w:rsidR="007368F7">
                    <w:rPr>
                      <w:bCs/>
                      <w:lang w:val="lv-LV"/>
                    </w:rPr>
                    <w:t>ām</w:t>
                  </w:r>
                  <w:r w:rsidR="00A33B47">
                    <w:rPr>
                      <w:bCs/>
                      <w:lang w:val="lv-LV"/>
                    </w:rPr>
                    <w:t>, kas neatbilst kritērijiem iekļaušanai A kategorijā)</w:t>
                  </w:r>
                  <w:r w:rsidR="00A33B47" w:rsidRPr="00A33B47">
                    <w:rPr>
                      <w:bCs/>
                      <w:lang w:val="lv-LV"/>
                    </w:rPr>
                    <w:t>, kas</w:t>
                  </w:r>
                  <w:r w:rsidR="00A33B47">
                    <w:rPr>
                      <w:bCs/>
                      <w:lang w:val="lv-LV"/>
                    </w:rPr>
                    <w:t xml:space="preserve"> neatbilst </w:t>
                  </w:r>
                  <w:r w:rsidR="00A33B47" w:rsidRPr="00A33B47">
                    <w:rPr>
                      <w:bCs/>
                      <w:lang w:val="lv-LV"/>
                    </w:rPr>
                    <w:t xml:space="preserve">ANO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="00A33B47" w:rsidRPr="00A33B47">
                    <w:rPr>
                      <w:bCs/>
                      <w:lang w:val="lv-LV"/>
                    </w:rPr>
                    <w:t xml:space="preserve">r. 2814 un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="00A33B47" w:rsidRPr="00A33B47">
                    <w:rPr>
                      <w:bCs/>
                      <w:lang w:val="lv-LV"/>
                    </w:rPr>
                    <w:t>r.</w:t>
                  </w:r>
                  <w:r w:rsidR="007368F7">
                    <w:rPr>
                      <w:bCs/>
                      <w:lang w:val="lv-LV"/>
                    </w:rPr>
                    <w:t xml:space="preserve"> </w:t>
                  </w:r>
                  <w:r w:rsidR="00A33B47" w:rsidRPr="00A33B47">
                    <w:rPr>
                      <w:bCs/>
                      <w:lang w:val="lv-LV"/>
                    </w:rPr>
                    <w:t xml:space="preserve">2900 </w:t>
                  </w:r>
                  <w:r w:rsidR="00A33B47">
                    <w:rPr>
                      <w:bCs/>
                      <w:lang w:val="lv-LV"/>
                    </w:rPr>
                    <w:t>klasifikācijas kritērijiem</w:t>
                  </w:r>
                  <w:r w:rsidR="008B409E">
                    <w:rPr>
                      <w:bCs/>
                      <w:lang w:val="lv-LV"/>
                    </w:rPr>
                    <w:t>, piemēram</w:t>
                  </w:r>
                  <w:r w:rsidR="007368F7">
                    <w:rPr>
                      <w:bCs/>
                      <w:lang w:val="lv-LV"/>
                    </w:rPr>
                    <w:t>,</w:t>
                  </w:r>
                  <w:r w:rsidR="008B409E">
                    <w:rPr>
                      <w:bCs/>
                      <w:lang w:val="lv-LV"/>
                    </w:rPr>
                    <w:t xml:space="preserve"> pacientu paraugi</w:t>
                  </w:r>
                  <w:r w:rsidR="007368F7">
                    <w:rPr>
                      <w:bCs/>
                      <w:lang w:val="lv-LV"/>
                    </w:rPr>
                    <w:t>em</w:t>
                  </w:r>
                  <w:r w:rsidR="008B409E">
                    <w:rPr>
                      <w:bCs/>
                      <w:lang w:val="lv-LV"/>
                    </w:rPr>
                    <w:t xml:space="preserve">. </w:t>
                  </w:r>
                  <w:r w:rsidR="008B409E" w:rsidRPr="008B409E">
                    <w:rPr>
                      <w:bCs/>
                      <w:lang w:val="lv-LV"/>
                    </w:rPr>
                    <w:t>Pacientu paraugi ir cilvēku vai dzīvnieku izcelsmes materiāli, kas savākti tieši no cilvēkiem vai dzīvniekiem, ietverot</w:t>
                  </w:r>
                  <w:r w:rsidR="007368F7">
                    <w:rPr>
                      <w:bCs/>
                      <w:lang w:val="lv-LV"/>
                    </w:rPr>
                    <w:t xml:space="preserve"> (</w:t>
                  </w:r>
                  <w:r w:rsidR="008B409E" w:rsidRPr="008B409E">
                    <w:rPr>
                      <w:bCs/>
                      <w:lang w:val="lv-LV"/>
                    </w:rPr>
                    <w:t>bet ne tikai</w:t>
                  </w:r>
                  <w:r w:rsidR="007368F7">
                    <w:rPr>
                      <w:bCs/>
                      <w:lang w:val="lv-LV"/>
                    </w:rPr>
                    <w:t>)</w:t>
                  </w:r>
                  <w:r w:rsidR="008B409E" w:rsidRPr="008B409E">
                    <w:rPr>
                      <w:bCs/>
                      <w:lang w:val="lv-LV"/>
                    </w:rPr>
                    <w:t xml:space="preserve"> ekskrementus, sekrētus, asinis un to sastāvdaļas, audus un audu šķidrumus un ķermeņa daļas, kuras pārvadā zinātniskās izpētes, diagnozes, pētniecisko darbību, slimību ārstēšanas vai profilakses vajadzībām.</w:t>
                  </w:r>
                </w:p>
                <w:p w14:paraId="3DC7613E" w14:textId="10659CD3" w:rsidR="009061FF" w:rsidRDefault="00E933C8" w:rsidP="009061FF">
                  <w:pPr>
                    <w:jc w:val="both"/>
                    <w:rPr>
                      <w:bCs/>
                      <w:lang w:val="lv-LV"/>
                    </w:rPr>
                  </w:pPr>
                  <w:r w:rsidRPr="00E933C8">
                    <w:rPr>
                      <w:bCs/>
                      <w:lang w:val="lv-LV"/>
                    </w:rPr>
                    <w:t xml:space="preserve">Saskaņā ar Eiropas Savienības tiesību aktiem par </w:t>
                  </w:r>
                  <w:r w:rsidR="001F4078">
                    <w:rPr>
                      <w:bCs/>
                      <w:lang w:val="lv-LV"/>
                    </w:rPr>
                    <w:t xml:space="preserve">dzīvnieku </w:t>
                  </w:r>
                  <w:r w:rsidRPr="00E933C8">
                    <w:rPr>
                      <w:bCs/>
                      <w:lang w:val="lv-LV"/>
                    </w:rPr>
                    <w:t xml:space="preserve">infekcijas slimību uzraudzību, kontroli un apkarošanu atbildība par dalībvalsts teritorijā uzliesmojušas </w:t>
                  </w:r>
                  <w:r w:rsidR="001F4078">
                    <w:rPr>
                      <w:bCs/>
                      <w:lang w:val="lv-LV"/>
                    </w:rPr>
                    <w:t xml:space="preserve">dzīvnieku </w:t>
                  </w:r>
                  <w:r w:rsidRPr="00E933C8">
                    <w:rPr>
                      <w:bCs/>
                      <w:lang w:val="lv-LV"/>
                    </w:rPr>
                    <w:t>infekcijas slimības apkarošanu un ierobežošanu tiek piešķirta dalībvalsts kompetentajai iestādei</w:t>
                  </w:r>
                  <w:r w:rsidR="002B6FF8">
                    <w:rPr>
                      <w:bCs/>
                      <w:lang w:val="lv-LV"/>
                    </w:rPr>
                    <w:t xml:space="preserve">, kas </w:t>
                  </w:r>
                  <w:r w:rsidRPr="00E933C8">
                    <w:rPr>
                      <w:bCs/>
                      <w:lang w:val="lv-LV"/>
                    </w:rPr>
                    <w:t xml:space="preserve">Latvijā </w:t>
                  </w:r>
                  <w:r w:rsidR="002B6FF8">
                    <w:rPr>
                      <w:bCs/>
                      <w:lang w:val="lv-LV"/>
                    </w:rPr>
                    <w:t>ir</w:t>
                  </w:r>
                  <w:r w:rsidRPr="00E933C8">
                    <w:rPr>
                      <w:bCs/>
                      <w:lang w:val="lv-LV"/>
                    </w:rPr>
                    <w:t xml:space="preserve"> Pārtikas un veterināra</w:t>
                  </w:r>
                  <w:r w:rsidR="002B6FF8">
                    <w:rPr>
                      <w:bCs/>
                      <w:lang w:val="lv-LV"/>
                    </w:rPr>
                    <w:t>is</w:t>
                  </w:r>
                  <w:r w:rsidRPr="00E933C8">
                    <w:rPr>
                      <w:bCs/>
                      <w:lang w:val="lv-LV"/>
                    </w:rPr>
                    <w:t xml:space="preserve"> dienest</w:t>
                  </w:r>
                  <w:r w:rsidR="002B6FF8">
                    <w:rPr>
                      <w:bCs/>
                      <w:lang w:val="lv-LV"/>
                    </w:rPr>
                    <w:t>s (turpmāk – PVD</w:t>
                  </w:r>
                  <w:r w:rsidRPr="00E933C8">
                    <w:rPr>
                      <w:bCs/>
                      <w:lang w:val="lv-LV"/>
                    </w:rPr>
                    <w:t>).</w:t>
                  </w:r>
                </w:p>
                <w:p w14:paraId="24EA5035" w14:textId="137DDA83" w:rsidR="001F4078" w:rsidRDefault="001F4078" w:rsidP="009061FF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 xml:space="preserve">Bīstamu dzīvnieku infekcijas slimību gadījumā </w:t>
                  </w:r>
                  <w:r w:rsidR="003653D8">
                    <w:rPr>
                      <w:bCs/>
                      <w:lang w:val="lv-LV"/>
                    </w:rPr>
                    <w:t>jā</w:t>
                  </w:r>
                  <w:r w:rsidR="007368F7">
                    <w:rPr>
                      <w:bCs/>
                      <w:lang w:val="lv-LV"/>
                    </w:rPr>
                    <w:t>īsteno</w:t>
                  </w:r>
                  <w:r w:rsidR="003653D8">
                    <w:rPr>
                      <w:bCs/>
                      <w:lang w:val="lv-LV"/>
                    </w:rPr>
                    <w:t xml:space="preserve"> visi PVD slimību apkarošanas plānā un programmā noteikti</w:t>
                  </w:r>
                  <w:r w:rsidR="006F23C2">
                    <w:rPr>
                      <w:bCs/>
                      <w:lang w:val="lv-LV"/>
                    </w:rPr>
                    <w:t>e</w:t>
                  </w:r>
                  <w:r w:rsidR="003653D8">
                    <w:rPr>
                      <w:bCs/>
                      <w:lang w:val="lv-LV"/>
                    </w:rPr>
                    <w:t xml:space="preserve"> </w:t>
                  </w:r>
                  <w:r w:rsidR="00E01A9B" w:rsidRPr="00E01A9B">
                    <w:rPr>
                      <w:bCs/>
                      <w:lang w:val="lv-LV"/>
                    </w:rPr>
                    <w:t>slimības uzraudzības un apkarošanas pasākum</w:t>
                  </w:r>
                  <w:r w:rsidR="00E01A9B">
                    <w:rPr>
                      <w:bCs/>
                      <w:lang w:val="lv-LV"/>
                    </w:rPr>
                    <w:t>i, tostarp pasākumi</w:t>
                  </w:r>
                  <w:r w:rsidR="00E01A9B" w:rsidRPr="00E01A9B">
                    <w:rPr>
                      <w:bCs/>
                      <w:lang w:val="lv-LV"/>
                    </w:rPr>
                    <w:t xml:space="preserve"> attiecībā uz dzīvnieku izcelsmes blakusproduktiem un atvasinātajiem produktiem, k</w:t>
                  </w:r>
                  <w:r w:rsidR="007368F7">
                    <w:rPr>
                      <w:bCs/>
                      <w:lang w:val="lv-LV"/>
                    </w:rPr>
                    <w:t>as</w:t>
                  </w:r>
                  <w:r w:rsidR="00E01A9B" w:rsidRPr="00E01A9B">
                    <w:rPr>
                      <w:bCs/>
                      <w:lang w:val="lv-LV"/>
                    </w:rPr>
                    <w:t xml:space="preserve"> nav paredzēti cilvēku patēriņam</w:t>
                  </w:r>
                  <w:r w:rsidR="00E01A9B">
                    <w:rPr>
                      <w:bCs/>
                      <w:lang w:val="lv-LV"/>
                    </w:rPr>
                    <w:t xml:space="preserve"> (turpmāk – blakusprodukti). </w:t>
                  </w:r>
                  <w:r w:rsidR="00D10015">
                    <w:rPr>
                      <w:bCs/>
                      <w:lang w:val="lv-LV"/>
                    </w:rPr>
                    <w:t xml:space="preserve">Nosacījumi pasākumu </w:t>
                  </w:r>
                  <w:r w:rsidR="007368F7">
                    <w:rPr>
                      <w:bCs/>
                      <w:lang w:val="lv-LV"/>
                    </w:rPr>
                    <w:t>īsteno</w:t>
                  </w:r>
                  <w:r w:rsidR="00D10015">
                    <w:rPr>
                      <w:bCs/>
                      <w:lang w:val="lv-LV"/>
                    </w:rPr>
                    <w:t>šanai un rīcībai ar blakusproduktiem, tostarp dzīvnieku līķiem, un blakusproduktu pārvadājumiem, ir noteikti regulā Nr.</w:t>
                  </w:r>
                  <w:r w:rsidR="007368F7">
                    <w:rPr>
                      <w:bCs/>
                      <w:lang w:val="lv-LV"/>
                    </w:rPr>
                    <w:t xml:space="preserve"> </w:t>
                  </w:r>
                  <w:r w:rsidR="00D10015">
                    <w:rPr>
                      <w:bCs/>
                      <w:lang w:val="lv-LV"/>
                    </w:rPr>
                    <w:t>1069/2009</w:t>
                  </w:r>
                  <w:r w:rsidR="007368F7">
                    <w:rPr>
                      <w:bCs/>
                      <w:lang w:val="lv-LV"/>
                    </w:rPr>
                    <w:t>,</w:t>
                  </w:r>
                  <w:r w:rsidR="00D10015">
                    <w:rPr>
                      <w:bCs/>
                      <w:lang w:val="lv-LV"/>
                    </w:rPr>
                    <w:t xml:space="preserve"> regulā </w:t>
                  </w:r>
                  <w:r w:rsidR="007368F7">
                    <w:rPr>
                      <w:bCs/>
                      <w:lang w:val="lv-LV"/>
                    </w:rPr>
                    <w:t>N</w:t>
                  </w:r>
                  <w:r w:rsidR="00D10015">
                    <w:rPr>
                      <w:bCs/>
                      <w:lang w:val="lv-LV"/>
                    </w:rPr>
                    <w:t>r.</w:t>
                  </w:r>
                  <w:r w:rsidR="007368F7">
                    <w:rPr>
                      <w:bCs/>
                      <w:lang w:val="lv-LV"/>
                    </w:rPr>
                    <w:t xml:space="preserve"> </w:t>
                  </w:r>
                  <w:r w:rsidR="00D10015">
                    <w:rPr>
                      <w:bCs/>
                      <w:lang w:val="lv-LV"/>
                    </w:rPr>
                    <w:t>142/2011, noteikumos Nr.</w:t>
                  </w:r>
                  <w:r w:rsidR="007368F7">
                    <w:rPr>
                      <w:bCs/>
                      <w:lang w:val="lv-LV"/>
                    </w:rPr>
                    <w:t> </w:t>
                  </w:r>
                  <w:r w:rsidR="00D10015">
                    <w:rPr>
                      <w:bCs/>
                      <w:lang w:val="lv-LV"/>
                    </w:rPr>
                    <w:t>275</w:t>
                  </w:r>
                  <w:r w:rsidR="007368F7">
                    <w:rPr>
                      <w:bCs/>
                      <w:lang w:val="lv-LV"/>
                    </w:rPr>
                    <w:t xml:space="preserve"> un</w:t>
                  </w:r>
                  <w:r w:rsidR="006F23C2">
                    <w:rPr>
                      <w:bCs/>
                      <w:lang w:val="lv-LV"/>
                    </w:rPr>
                    <w:t xml:space="preserve"> normatīvajos aktos </w:t>
                  </w:r>
                  <w:r w:rsidR="006F23C2" w:rsidRPr="006F23C2">
                    <w:rPr>
                      <w:bCs/>
                      <w:lang w:val="lv-LV"/>
                    </w:rPr>
                    <w:t>par dzīvnieku infekcijas slimību uzraudzību, kontroli un apkarošanu, kā arī valsts programmu.</w:t>
                  </w:r>
                  <w:r w:rsidR="00D10015">
                    <w:rPr>
                      <w:bCs/>
                      <w:lang w:val="lv-LV"/>
                    </w:rPr>
                    <w:t xml:space="preserve"> </w:t>
                  </w:r>
                  <w:r w:rsidR="00E01A9B">
                    <w:rPr>
                      <w:bCs/>
                      <w:lang w:val="lv-LV"/>
                    </w:rPr>
                    <w:t>Pasākumu kopumā ietilpst arī dzīvnieku līķu</w:t>
                  </w:r>
                  <w:r w:rsidR="0000006B">
                    <w:rPr>
                      <w:bCs/>
                      <w:lang w:val="lv-LV"/>
                    </w:rPr>
                    <w:t>,</w:t>
                  </w:r>
                  <w:r w:rsidR="000F47BA">
                    <w:rPr>
                      <w:bCs/>
                      <w:lang w:val="lv-LV"/>
                    </w:rPr>
                    <w:t xml:space="preserve"> tostarp meža dzīvnieku </w:t>
                  </w:r>
                  <w:r w:rsidR="0000006B">
                    <w:rPr>
                      <w:bCs/>
                      <w:lang w:val="lv-LV"/>
                    </w:rPr>
                    <w:t>(</w:t>
                  </w:r>
                  <w:r w:rsidR="000F47BA">
                    <w:rPr>
                      <w:bCs/>
                      <w:lang w:val="lv-LV"/>
                    </w:rPr>
                    <w:t>piemēram</w:t>
                  </w:r>
                  <w:r w:rsidR="0000006B">
                    <w:rPr>
                      <w:bCs/>
                      <w:lang w:val="lv-LV"/>
                    </w:rPr>
                    <w:t>,</w:t>
                  </w:r>
                  <w:r w:rsidR="000F47BA">
                    <w:rPr>
                      <w:bCs/>
                      <w:lang w:val="lv-LV"/>
                    </w:rPr>
                    <w:t xml:space="preserve"> mežacūka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 w:rsidR="000F47BA">
                    <w:rPr>
                      <w:bCs/>
                      <w:lang w:val="lv-LV"/>
                    </w:rPr>
                    <w:t>, brie</w:t>
                  </w:r>
                  <w:r w:rsidR="007368F7">
                    <w:rPr>
                      <w:bCs/>
                      <w:lang w:val="lv-LV"/>
                    </w:rPr>
                    <w:t>ža</w:t>
                  </w:r>
                  <w:r w:rsidR="000F47BA">
                    <w:rPr>
                      <w:bCs/>
                      <w:lang w:val="lv-LV"/>
                    </w:rPr>
                    <w:t xml:space="preserve"> utt.</w:t>
                  </w:r>
                  <w:r w:rsidR="0000006B">
                    <w:rPr>
                      <w:bCs/>
                      <w:lang w:val="lv-LV"/>
                    </w:rPr>
                    <w:t>)</w:t>
                  </w:r>
                  <w:r w:rsidR="000F47BA">
                    <w:rPr>
                      <w:bCs/>
                      <w:lang w:val="lv-LV"/>
                    </w:rPr>
                    <w:t xml:space="preserve"> un lolojumdzīvnieku </w:t>
                  </w:r>
                  <w:r w:rsidR="0000006B">
                    <w:rPr>
                      <w:bCs/>
                      <w:lang w:val="lv-LV"/>
                    </w:rPr>
                    <w:t>(</w:t>
                  </w:r>
                  <w:r w:rsidR="000F47BA">
                    <w:rPr>
                      <w:bCs/>
                      <w:lang w:val="lv-LV"/>
                    </w:rPr>
                    <w:t>piemēram</w:t>
                  </w:r>
                  <w:r w:rsidR="0000006B">
                    <w:rPr>
                      <w:bCs/>
                      <w:lang w:val="lv-LV"/>
                    </w:rPr>
                    <w:t>,</w:t>
                  </w:r>
                  <w:r w:rsidR="000F47BA">
                    <w:rPr>
                      <w:bCs/>
                      <w:lang w:val="lv-LV"/>
                    </w:rPr>
                    <w:t xml:space="preserve"> su</w:t>
                  </w:r>
                  <w:r w:rsidR="007368F7">
                    <w:rPr>
                      <w:bCs/>
                      <w:lang w:val="lv-LV"/>
                    </w:rPr>
                    <w:t>ņa</w:t>
                  </w:r>
                  <w:r w:rsidR="000F47BA">
                    <w:rPr>
                      <w:bCs/>
                      <w:lang w:val="lv-LV"/>
                    </w:rPr>
                    <w:t>, kaķ</w:t>
                  </w:r>
                  <w:r w:rsidR="007368F7">
                    <w:rPr>
                      <w:bCs/>
                      <w:lang w:val="lv-LV"/>
                    </w:rPr>
                    <w:t>a</w:t>
                  </w:r>
                  <w:r w:rsidR="000F47BA">
                    <w:rPr>
                      <w:bCs/>
                      <w:lang w:val="lv-LV"/>
                    </w:rPr>
                    <w:t>, mājas sesk</w:t>
                  </w:r>
                  <w:r w:rsidR="007368F7">
                    <w:rPr>
                      <w:bCs/>
                      <w:lang w:val="lv-LV"/>
                    </w:rPr>
                    <w:t>a</w:t>
                  </w:r>
                  <w:r w:rsidR="000F47BA">
                    <w:rPr>
                      <w:bCs/>
                      <w:lang w:val="lv-LV"/>
                    </w:rPr>
                    <w:t xml:space="preserve">) </w:t>
                  </w:r>
                  <w:r w:rsidR="00E01A9B">
                    <w:rPr>
                      <w:bCs/>
                      <w:lang w:val="lv-LV"/>
                    </w:rPr>
                    <w:t xml:space="preserve">pārvešana uz dzīvnieku līķu pārstrādes un likvidēšanas iekārtām un vietām. </w:t>
                  </w:r>
                  <w:r w:rsidR="00E01A9B" w:rsidRPr="00E01A9B">
                    <w:rPr>
                      <w:bCs/>
                      <w:lang w:val="lv-LV"/>
                    </w:rPr>
                    <w:t xml:space="preserve">Bīstamu dzīvnieku infekcijas slimību </w:t>
                  </w:r>
                  <w:r w:rsidR="0000006B">
                    <w:rPr>
                      <w:bCs/>
                      <w:lang w:val="lv-LV"/>
                    </w:rPr>
                    <w:t>(</w:t>
                  </w:r>
                  <w:r w:rsidR="00E01A9B">
                    <w:rPr>
                      <w:bCs/>
                      <w:lang w:val="lv-LV"/>
                    </w:rPr>
                    <w:t>piemēram</w:t>
                  </w:r>
                  <w:r w:rsidR="0000006B">
                    <w:rPr>
                      <w:bCs/>
                      <w:lang w:val="lv-LV"/>
                    </w:rPr>
                    <w:t>,</w:t>
                  </w:r>
                  <w:r w:rsidR="00E01A9B">
                    <w:rPr>
                      <w:bCs/>
                      <w:lang w:val="lv-LV"/>
                    </w:rPr>
                    <w:t xml:space="preserve"> Āfrikas cūku mēr</w:t>
                  </w:r>
                  <w:r w:rsidR="007368F7">
                    <w:rPr>
                      <w:bCs/>
                      <w:lang w:val="lv-LV"/>
                    </w:rPr>
                    <w:t>a</w:t>
                  </w:r>
                  <w:r w:rsidR="0000006B">
                    <w:rPr>
                      <w:bCs/>
                      <w:lang w:val="lv-LV"/>
                    </w:rPr>
                    <w:t>)</w:t>
                  </w:r>
                  <w:r w:rsidR="00E01A9B">
                    <w:rPr>
                      <w:bCs/>
                      <w:lang w:val="lv-LV"/>
                    </w:rPr>
                    <w:t xml:space="preserve"> </w:t>
                  </w:r>
                  <w:r w:rsidR="007368F7">
                    <w:rPr>
                      <w:bCs/>
                      <w:lang w:val="lv-LV"/>
                    </w:rPr>
                    <w:t xml:space="preserve">uzliesmojuma </w:t>
                  </w:r>
                  <w:r w:rsidR="007368F7" w:rsidRPr="00E01A9B">
                    <w:rPr>
                      <w:bCs/>
                      <w:lang w:val="lv-LV"/>
                    </w:rPr>
                    <w:t>gadījumā</w:t>
                  </w:r>
                  <w:r w:rsidR="007368F7">
                    <w:rPr>
                      <w:bCs/>
                      <w:lang w:val="lv-LV"/>
                    </w:rPr>
                    <w:t xml:space="preserve"> </w:t>
                  </w:r>
                  <w:r w:rsidR="00D10015">
                    <w:rPr>
                      <w:bCs/>
                      <w:lang w:val="lv-LV"/>
                    </w:rPr>
                    <w:t>rī</w:t>
                  </w:r>
                  <w:r w:rsidR="007368F7">
                    <w:rPr>
                      <w:bCs/>
                      <w:lang w:val="lv-LV"/>
                    </w:rPr>
                    <w:t>koties</w:t>
                  </w:r>
                  <w:r w:rsidR="00D10015">
                    <w:rPr>
                      <w:bCs/>
                      <w:lang w:val="lv-LV"/>
                    </w:rPr>
                    <w:t xml:space="preserve"> ar blakusproduktiem</w:t>
                  </w:r>
                  <w:r w:rsidR="0000006B">
                    <w:rPr>
                      <w:bCs/>
                      <w:lang w:val="lv-LV"/>
                    </w:rPr>
                    <w:t xml:space="preserve">, </w:t>
                  </w:r>
                  <w:r w:rsidR="00D10015">
                    <w:rPr>
                      <w:bCs/>
                      <w:lang w:val="lv-LV"/>
                    </w:rPr>
                    <w:t>tostarp dzīvnieku līķiem</w:t>
                  </w:r>
                  <w:r w:rsidR="000F47BA">
                    <w:rPr>
                      <w:bCs/>
                      <w:lang w:val="lv-LV"/>
                    </w:rPr>
                    <w:t>, arī ar mežacūku līķiem</w:t>
                  </w:r>
                  <w:r w:rsidR="007368F7">
                    <w:rPr>
                      <w:bCs/>
                      <w:lang w:val="lv-LV"/>
                    </w:rPr>
                    <w:t>,</w:t>
                  </w:r>
                  <w:r w:rsidR="00D10015">
                    <w:rPr>
                      <w:bCs/>
                      <w:lang w:val="lv-LV"/>
                    </w:rPr>
                    <w:t xml:space="preserve"> </w:t>
                  </w:r>
                  <w:r w:rsidR="007368F7">
                    <w:rPr>
                      <w:bCs/>
                      <w:lang w:val="lv-LV"/>
                    </w:rPr>
                    <w:t>atļauts</w:t>
                  </w:r>
                  <w:r w:rsidR="00D10015">
                    <w:rPr>
                      <w:bCs/>
                      <w:lang w:val="lv-LV"/>
                    </w:rPr>
                    <w:t xml:space="preserve"> PVD amatpersonu uzraudzībā un kontrolē</w:t>
                  </w:r>
                  <w:r w:rsidR="005013FD">
                    <w:rPr>
                      <w:bCs/>
                      <w:lang w:val="lv-LV"/>
                    </w:rPr>
                    <w:t xml:space="preserve"> konkrētā vietā un ierobežotā laikā</w:t>
                  </w:r>
                  <w:r w:rsidR="00D10015">
                    <w:rPr>
                      <w:bCs/>
                      <w:lang w:val="lv-LV"/>
                    </w:rPr>
                    <w:t>,</w:t>
                  </w:r>
                  <w:r w:rsidR="00E01A9B">
                    <w:rPr>
                      <w:bCs/>
                      <w:lang w:val="lv-LV"/>
                    </w:rPr>
                    <w:t xml:space="preserve"> </w:t>
                  </w:r>
                  <w:r w:rsidR="00D10015" w:rsidRPr="00D10015">
                    <w:rPr>
                      <w:bCs/>
                      <w:lang w:val="lv-LV"/>
                    </w:rPr>
                    <w:t>tād</w:t>
                  </w:r>
                  <w:r w:rsidR="007368F7">
                    <w:rPr>
                      <w:bCs/>
                      <w:lang w:val="lv-LV"/>
                    </w:rPr>
                    <w:t>ē</w:t>
                  </w:r>
                  <w:r w:rsidR="00D10015" w:rsidRPr="00D10015">
                    <w:rPr>
                      <w:bCs/>
                      <w:lang w:val="lv-LV"/>
                    </w:rPr>
                    <w:t>jādi novēršot apdraudējumu cilvēku un dzīvnieku veselībai, dzīvībai un apkārtējai videi, kā arī jebkuru patogēnu izkliedes risku.</w:t>
                  </w:r>
                  <w:r w:rsidR="00E01A9B">
                    <w:rPr>
                      <w:bCs/>
                      <w:lang w:val="lv-LV"/>
                    </w:rPr>
                    <w:t xml:space="preserve"> </w:t>
                  </w:r>
                </w:p>
                <w:p w14:paraId="4C13BC12" w14:textId="2F3D9BA7" w:rsidR="008018D7" w:rsidRDefault="005013FD" w:rsidP="005013FD">
                  <w:pPr>
                    <w:jc w:val="both"/>
                    <w:rPr>
                      <w:bCs/>
                      <w:lang w:val="lv-LV"/>
                    </w:rPr>
                  </w:pPr>
                  <w:r w:rsidRPr="005013FD">
                    <w:rPr>
                      <w:bCs/>
                      <w:lang w:val="lv-LV"/>
                    </w:rPr>
                    <w:t>Eiropas Parlamenta un Padomes 2008. gada 24. septembr</w:t>
                  </w:r>
                  <w:r>
                    <w:rPr>
                      <w:bCs/>
                      <w:lang w:val="lv-LV"/>
                    </w:rPr>
                    <w:t>a</w:t>
                  </w:r>
                  <w:r w:rsidRPr="005013FD">
                    <w:rPr>
                      <w:bCs/>
                      <w:lang w:val="lv-LV"/>
                    </w:rPr>
                    <w:t xml:space="preserve"> D</w:t>
                  </w:r>
                  <w:r>
                    <w:rPr>
                      <w:bCs/>
                      <w:lang w:val="lv-LV"/>
                    </w:rPr>
                    <w:t>irektīvas</w:t>
                  </w:r>
                  <w:r w:rsidRPr="005013FD">
                    <w:rPr>
                      <w:bCs/>
                      <w:lang w:val="lv-LV"/>
                    </w:rPr>
                    <w:t xml:space="preserve"> 2008/68/EK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Pr="005013FD">
                    <w:rPr>
                      <w:bCs/>
                      <w:lang w:val="lv-LV"/>
                    </w:rPr>
                    <w:t>par bīstamo kravu iekšzemes pārvadājumiem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="00C52FCF" w:rsidRPr="00C52FCF">
                    <w:rPr>
                      <w:bCs/>
                      <w:lang w:val="lv-LV"/>
                    </w:rPr>
                    <w:t xml:space="preserve">(turpmāk </w:t>
                  </w:r>
                  <w:r w:rsidR="007368F7">
                    <w:rPr>
                      <w:bCs/>
                      <w:lang w:val="lv-LV"/>
                    </w:rPr>
                    <w:t>–</w:t>
                  </w:r>
                  <w:r w:rsidR="00C52FCF" w:rsidRPr="00C52FCF">
                    <w:rPr>
                      <w:bCs/>
                      <w:lang w:val="lv-LV"/>
                    </w:rPr>
                    <w:t xml:space="preserve"> </w:t>
                  </w:r>
                  <w:r w:rsidR="00C52FCF">
                    <w:rPr>
                      <w:bCs/>
                      <w:lang w:val="lv-LV"/>
                    </w:rPr>
                    <w:t>Direktīva</w:t>
                  </w:r>
                  <w:r w:rsidR="00C52FCF" w:rsidRPr="00C52FCF">
                    <w:rPr>
                      <w:bCs/>
                      <w:lang w:val="lv-LV"/>
                    </w:rPr>
                    <w:t xml:space="preserve"> </w:t>
                  </w:r>
                  <w:r w:rsidR="00C52FCF">
                    <w:rPr>
                      <w:bCs/>
                      <w:lang w:val="lv-LV"/>
                    </w:rPr>
                    <w:t>2008/68</w:t>
                  </w:r>
                  <w:r w:rsidR="00C52FCF" w:rsidRPr="00C52FCF">
                    <w:rPr>
                      <w:bCs/>
                      <w:lang w:val="lv-LV"/>
                    </w:rPr>
                    <w:t>)</w:t>
                  </w:r>
                  <w:r w:rsidR="00C52FCF">
                    <w:rPr>
                      <w:bCs/>
                      <w:lang w:val="lv-LV"/>
                    </w:rPr>
                    <w:t xml:space="preserve"> </w:t>
                  </w:r>
                  <w:r>
                    <w:rPr>
                      <w:bCs/>
                      <w:lang w:val="lv-LV"/>
                    </w:rPr>
                    <w:t xml:space="preserve">6. panta </w:t>
                  </w:r>
                  <w:r w:rsidRPr="005013FD">
                    <w:rPr>
                      <w:bCs/>
                      <w:lang w:val="lv-LV"/>
                    </w:rPr>
                    <w:t>5.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="00776BD3">
                    <w:rPr>
                      <w:bCs/>
                      <w:lang w:val="lv-LV"/>
                    </w:rPr>
                    <w:t> </w:t>
                  </w:r>
                  <w:r>
                    <w:rPr>
                      <w:bCs/>
                      <w:lang w:val="lv-LV"/>
                    </w:rPr>
                    <w:t>punktā</w:t>
                  </w:r>
                  <w:r w:rsidRPr="005013FD">
                    <w:rPr>
                      <w:bCs/>
                      <w:lang w:val="lv-LV"/>
                    </w:rPr>
                    <w:t xml:space="preserve"> </w:t>
                  </w:r>
                  <w:r>
                    <w:rPr>
                      <w:bCs/>
                      <w:lang w:val="lv-LV"/>
                    </w:rPr>
                    <w:t>ir noteikts, ka k</w:t>
                  </w:r>
                  <w:r w:rsidRPr="005013FD">
                    <w:rPr>
                      <w:bCs/>
                      <w:lang w:val="lv-LV"/>
                    </w:rPr>
                    <w:t>atra dalībvalsts izņēmuma gadījumos un, ja netiek apdraudēts pārvadājumu drošums, var piešķirt individuālas atļaujas tādu bīstamo kravu pārvadājum</w:t>
                  </w:r>
                  <w:r w:rsidR="007368F7">
                    <w:rPr>
                      <w:bCs/>
                      <w:lang w:val="lv-LV"/>
                    </w:rPr>
                    <w:t>iem</w:t>
                  </w:r>
                  <w:r w:rsidRPr="005013FD">
                    <w:rPr>
                      <w:bCs/>
                      <w:lang w:val="lv-LV"/>
                    </w:rPr>
                    <w:t xml:space="preserve"> savā teritorijā, kas aizliegti ar šo direktīvu, vai šād</w:t>
                  </w:r>
                  <w:r w:rsidR="007368F7">
                    <w:rPr>
                      <w:bCs/>
                      <w:lang w:val="lv-LV"/>
                    </w:rPr>
                    <w:t>iem</w:t>
                  </w:r>
                  <w:r w:rsidRPr="005013FD">
                    <w:rPr>
                      <w:bCs/>
                      <w:lang w:val="lv-LV"/>
                    </w:rPr>
                    <w:t xml:space="preserve"> pārvadājum</w:t>
                  </w:r>
                  <w:r w:rsidR="007368F7">
                    <w:rPr>
                      <w:bCs/>
                      <w:lang w:val="lv-LV"/>
                    </w:rPr>
                    <w:t>iem</w:t>
                  </w:r>
                  <w:r w:rsidRPr="005013FD">
                    <w:rPr>
                      <w:bCs/>
                      <w:lang w:val="lv-LV"/>
                    </w:rPr>
                    <w:t xml:space="preserve"> ar nosacījumiem, kas atšķiras no šajā direktīvā noteiktajiem, ja minētie pārvadājumi ir skaidri noteikti un ierobežoti laikā.</w:t>
                  </w:r>
                  <w:r w:rsidR="00C52FCF">
                    <w:rPr>
                      <w:bCs/>
                      <w:lang w:val="lv-LV"/>
                    </w:rPr>
                    <w:t xml:space="preserve"> </w:t>
                  </w:r>
                </w:p>
                <w:p w14:paraId="66680410" w14:textId="414C718D" w:rsidR="000753A9" w:rsidRDefault="00F52AE8" w:rsidP="00231A8F">
                  <w:pPr>
                    <w:jc w:val="both"/>
                    <w:rPr>
                      <w:b/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 xml:space="preserve">Savukārt ADR </w:t>
                  </w:r>
                  <w:r w:rsidRPr="00F52AE8">
                    <w:rPr>
                      <w:bCs/>
                      <w:lang w:val="lv-LV"/>
                    </w:rPr>
                    <w:t>1.1.3.1.</w:t>
                  </w:r>
                  <w:r>
                    <w:rPr>
                      <w:bCs/>
                      <w:lang w:val="lv-LV"/>
                    </w:rPr>
                    <w:t xml:space="preserve"> punkta </w:t>
                  </w:r>
                  <w:r w:rsidR="007368F7">
                    <w:rPr>
                      <w:bCs/>
                      <w:lang w:val="lv-LV"/>
                    </w:rPr>
                    <w:t>“</w:t>
                  </w:r>
                  <w:r>
                    <w:rPr>
                      <w:bCs/>
                      <w:lang w:val="lv-LV"/>
                    </w:rPr>
                    <w:t>d</w:t>
                  </w:r>
                  <w:r w:rsidR="007368F7">
                    <w:rPr>
                      <w:bCs/>
                      <w:lang w:val="lv-LV"/>
                    </w:rPr>
                    <w:t>”</w:t>
                  </w:r>
                  <w:r>
                    <w:rPr>
                      <w:bCs/>
                      <w:lang w:val="lv-LV"/>
                    </w:rPr>
                    <w:t xml:space="preserve"> un </w:t>
                  </w:r>
                  <w:r w:rsidR="007368F7">
                    <w:rPr>
                      <w:bCs/>
                      <w:lang w:val="lv-LV"/>
                    </w:rPr>
                    <w:t>“</w:t>
                  </w:r>
                  <w:r>
                    <w:rPr>
                      <w:bCs/>
                      <w:lang w:val="lv-LV"/>
                    </w:rPr>
                    <w:t>e</w:t>
                  </w:r>
                  <w:r w:rsidR="007368F7">
                    <w:rPr>
                      <w:bCs/>
                      <w:lang w:val="lv-LV"/>
                    </w:rPr>
                    <w:t>”</w:t>
                  </w:r>
                  <w:r>
                    <w:rPr>
                      <w:bCs/>
                      <w:lang w:val="lv-LV"/>
                    </w:rPr>
                    <w:t xml:space="preserve"> apakšpunkt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>
                    <w:rPr>
                      <w:bCs/>
                      <w:lang w:val="lv-LV"/>
                    </w:rPr>
                    <w:t xml:space="preserve"> </w:t>
                  </w:r>
                  <w:r w:rsidR="007368F7">
                    <w:rPr>
                      <w:bCs/>
                      <w:lang w:val="lv-LV"/>
                    </w:rPr>
                    <w:t>paredz</w:t>
                  </w:r>
                  <w:r>
                    <w:rPr>
                      <w:bCs/>
                      <w:lang w:val="lv-LV"/>
                    </w:rPr>
                    <w:t xml:space="preserve">, ka </w:t>
                  </w:r>
                  <w:r w:rsidRPr="00F52AE8">
                    <w:rPr>
                      <w:bCs/>
                      <w:lang w:val="lv-LV"/>
                    </w:rPr>
                    <w:t>ADR noteikumi neattiecas uz</w:t>
                  </w:r>
                  <w:r w:rsidRPr="00F52AE8">
                    <w:rPr>
                      <w:lang w:val="lv-LV"/>
                    </w:rPr>
                    <w:t xml:space="preserve"> </w:t>
                  </w:r>
                  <w:r w:rsidRPr="00F52AE8">
                    <w:rPr>
                      <w:bCs/>
                      <w:lang w:val="lv-LV"/>
                    </w:rPr>
                    <w:t xml:space="preserve">kompetento iestāžu veiktajiem </w:t>
                  </w:r>
                  <w:r w:rsidRPr="00F52AE8">
                    <w:rPr>
                      <w:bCs/>
                      <w:lang w:val="lv-LV"/>
                    </w:rPr>
                    <w:lastRenderedPageBreak/>
                    <w:t>pārvadājumiem, lai novērstu avārijas sekas, vai to uzraudzībā veicamiem pārvadājumiem</w:t>
                  </w:r>
                  <w:r>
                    <w:rPr>
                      <w:bCs/>
                      <w:lang w:val="lv-LV"/>
                    </w:rPr>
                    <w:t xml:space="preserve">, kā arī </w:t>
                  </w:r>
                  <w:r w:rsidRPr="00F52AE8">
                    <w:rPr>
                      <w:bCs/>
                      <w:lang w:val="lv-LV"/>
                    </w:rPr>
                    <w:t xml:space="preserve">ārkārtas pārvadājumiem, kas paredzēti cilvēku dzīvības glābšanai vai vides aizsardzībai, ar nosacījumu, ka tiek </w:t>
                  </w:r>
                  <w:r w:rsidR="007368F7">
                    <w:rPr>
                      <w:bCs/>
                      <w:lang w:val="lv-LV"/>
                    </w:rPr>
                    <w:t>īsteno</w:t>
                  </w:r>
                  <w:r w:rsidRPr="00F52AE8">
                    <w:rPr>
                      <w:bCs/>
                      <w:lang w:val="lv-LV"/>
                    </w:rPr>
                    <w:t>ti visi pasākumi šādas pārvadāšanas pilnīgas drošības nodrošināšanai.</w:t>
                  </w:r>
                  <w:r w:rsidR="000753A9" w:rsidRPr="00C9019B">
                    <w:rPr>
                      <w:b/>
                      <w:bCs/>
                      <w:lang w:val="lv-LV"/>
                    </w:rPr>
                    <w:t xml:space="preserve"> </w:t>
                  </w:r>
                </w:p>
                <w:p w14:paraId="52E54AA2" w14:textId="28651925" w:rsidR="000753A9" w:rsidRPr="008B4F29" w:rsidRDefault="000753A9" w:rsidP="00231A8F">
                  <w:pPr>
                    <w:jc w:val="both"/>
                    <w:rPr>
                      <w:bCs/>
                      <w:lang w:val="lv-LV"/>
                    </w:rPr>
                  </w:pPr>
                  <w:r w:rsidRPr="008B4F29">
                    <w:rPr>
                      <w:bCs/>
                      <w:lang w:val="lv-LV"/>
                    </w:rPr>
                    <w:t xml:space="preserve">2017. gada 20. jūlijā notika 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 w:rsidRPr="008B4F29">
                    <w:rPr>
                      <w:bCs/>
                      <w:lang w:val="lv-LV"/>
                    </w:rPr>
                    <w:t xml:space="preserve">tarpinstitūciju sanāksme, kurā </w:t>
                  </w:r>
                  <w:r w:rsidR="000E590E" w:rsidRPr="008B4F29">
                    <w:rPr>
                      <w:bCs/>
                      <w:lang w:val="lv-LV"/>
                    </w:rPr>
                    <w:t xml:space="preserve">piedalījās Zemkopības ministrijas, Satiksmes ministrijas un PVD pārstāvji. Sanāksmē </w:t>
                  </w:r>
                  <w:r w:rsidRPr="008B4F29">
                    <w:rPr>
                      <w:bCs/>
                      <w:lang w:val="lv-LV"/>
                    </w:rPr>
                    <w:t xml:space="preserve">tika runāts par neskaidrībām ar Āfrikas cūku mēra vīrusu inficētu cūku </w:t>
                  </w:r>
                  <w:r w:rsidR="000E590E" w:rsidRPr="008B4F29">
                    <w:rPr>
                      <w:bCs/>
                      <w:lang w:val="lv-LV"/>
                    </w:rPr>
                    <w:t>līķu</w:t>
                  </w:r>
                  <w:r w:rsidRPr="008B4F29">
                    <w:rPr>
                      <w:bCs/>
                      <w:lang w:val="lv-LV"/>
                    </w:rPr>
                    <w:t xml:space="preserve"> pārvadāšan</w:t>
                  </w:r>
                  <w:r w:rsidR="007368F7">
                    <w:rPr>
                      <w:bCs/>
                      <w:lang w:val="lv-LV"/>
                    </w:rPr>
                    <w:t>ā</w:t>
                  </w:r>
                  <w:r w:rsidRPr="008B4F29">
                    <w:rPr>
                      <w:bCs/>
                      <w:lang w:val="lv-LV"/>
                    </w:rPr>
                    <w:t xml:space="preserve"> ar autotransport</w:t>
                  </w:r>
                  <w:r w:rsidR="000E590E" w:rsidRPr="008B4F29">
                    <w:rPr>
                      <w:bCs/>
                      <w:lang w:val="lv-LV"/>
                    </w:rPr>
                    <w:t>u</w:t>
                  </w:r>
                  <w:r w:rsidR="007368F7">
                    <w:rPr>
                      <w:bCs/>
                      <w:lang w:val="lv-LV"/>
                    </w:rPr>
                    <w:t>.</w:t>
                  </w:r>
                  <w:r w:rsidR="008B4F29" w:rsidRPr="008B4F29">
                    <w:rPr>
                      <w:bCs/>
                      <w:lang w:val="lv-LV"/>
                    </w:rPr>
                    <w:t xml:space="preserve"> </w:t>
                  </w:r>
                  <w:r w:rsidR="007368F7">
                    <w:rPr>
                      <w:bCs/>
                      <w:lang w:val="lv-LV"/>
                    </w:rPr>
                    <w:t>Turklāt</w:t>
                  </w:r>
                  <w:r w:rsidR="000E590E" w:rsidRPr="008B4F29">
                    <w:rPr>
                      <w:bCs/>
                      <w:lang w:val="lv-LV"/>
                    </w:rPr>
                    <w:t xml:space="preserve"> Zemkopības ministrija ir saņēmusi Satiksmes ministrijas 2017.</w:t>
                  </w:r>
                  <w:r w:rsidR="008B4F29" w:rsidRPr="008B4F29">
                    <w:rPr>
                      <w:bCs/>
                      <w:lang w:val="lv-LV"/>
                    </w:rPr>
                    <w:t xml:space="preserve"> </w:t>
                  </w:r>
                  <w:r w:rsidR="000E590E" w:rsidRPr="008B4F29">
                    <w:rPr>
                      <w:bCs/>
                      <w:lang w:val="lv-LV"/>
                    </w:rPr>
                    <w:t>gada 26.</w:t>
                  </w:r>
                  <w:r w:rsidR="008B4F29" w:rsidRPr="008B4F29">
                    <w:rPr>
                      <w:bCs/>
                      <w:lang w:val="lv-LV"/>
                    </w:rPr>
                    <w:t xml:space="preserve"> </w:t>
                  </w:r>
                  <w:r w:rsidR="000E590E" w:rsidRPr="008B4F29">
                    <w:rPr>
                      <w:bCs/>
                      <w:lang w:val="lv-LV"/>
                    </w:rPr>
                    <w:t>jūlij</w:t>
                  </w:r>
                  <w:r w:rsidR="008B4F29" w:rsidRPr="008B4F29">
                    <w:rPr>
                      <w:bCs/>
                      <w:lang w:val="lv-LV"/>
                    </w:rPr>
                    <w:t>a</w:t>
                  </w:r>
                  <w:r w:rsidR="000E590E" w:rsidRPr="008B4F29">
                    <w:rPr>
                      <w:bCs/>
                      <w:lang w:val="lv-LV"/>
                    </w:rPr>
                    <w:t xml:space="preserve"> vēstuli </w:t>
                  </w:r>
                  <w:r w:rsidR="00985348" w:rsidRPr="008B4F29">
                    <w:rPr>
                      <w:bCs/>
                      <w:lang w:val="lv-LV"/>
                    </w:rPr>
                    <w:t xml:space="preserve">Nr.16-02/2319 </w:t>
                  </w:r>
                  <w:r w:rsidR="000E590E" w:rsidRPr="008B4F29">
                    <w:rPr>
                      <w:bCs/>
                      <w:lang w:val="lv-LV"/>
                    </w:rPr>
                    <w:t>„Par infekciozu vielu pārvadājumiem ar autotransportu”</w:t>
                  </w:r>
                  <w:r w:rsidR="008B4F29" w:rsidRPr="008B4F29">
                    <w:rPr>
                      <w:bCs/>
                      <w:lang w:val="lv-LV"/>
                    </w:rPr>
                    <w:t>, kurā ir skaidrots normatīv</w:t>
                  </w:r>
                  <w:r w:rsidR="007368F7">
                    <w:rPr>
                      <w:bCs/>
                      <w:lang w:val="lv-LV"/>
                    </w:rPr>
                    <w:t>ais</w:t>
                  </w:r>
                  <w:r w:rsidR="008B4F29" w:rsidRPr="008B4F29">
                    <w:rPr>
                      <w:bCs/>
                      <w:lang w:val="lv-LV"/>
                    </w:rPr>
                    <w:t xml:space="preserve"> regulējum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 w:rsidR="008B4F29" w:rsidRPr="008B4F29">
                    <w:rPr>
                      <w:bCs/>
                      <w:lang w:val="lv-LV"/>
                    </w:rPr>
                    <w:t xml:space="preserve"> attiecībā uz inficētu dzīvnieku izcelsmes materiālu pārvadāšanu ar autotransportu.</w:t>
                  </w:r>
                </w:p>
                <w:p w14:paraId="2C22EEEF" w14:textId="60D0F80E" w:rsidR="0041746C" w:rsidRPr="008B4F29" w:rsidRDefault="007368F7" w:rsidP="008B4F29">
                  <w:pPr>
                    <w:jc w:val="both"/>
                    <w:rPr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Ie</w:t>
                  </w:r>
                  <w:r w:rsidR="008B4F29" w:rsidRPr="008B4F29">
                    <w:rPr>
                      <w:bCs/>
                      <w:lang w:val="lv-LV"/>
                    </w:rPr>
                    <w:t>vēr</w:t>
                  </w:r>
                  <w:r>
                    <w:rPr>
                      <w:bCs/>
                      <w:lang w:val="lv-LV"/>
                    </w:rPr>
                    <w:t>ojot</w:t>
                  </w:r>
                  <w:r w:rsidR="008B4F29" w:rsidRPr="008B4F29">
                    <w:rPr>
                      <w:bCs/>
                      <w:lang w:val="lv-LV"/>
                    </w:rPr>
                    <w:t xml:space="preserve"> </w:t>
                  </w:r>
                  <w:r w:rsidR="008B4F29" w:rsidRPr="00FC4B0C">
                    <w:rPr>
                      <w:lang w:val="lv-LV"/>
                    </w:rPr>
                    <w:t>minēto</w:t>
                  </w:r>
                  <w:r w:rsidR="008B4F29">
                    <w:rPr>
                      <w:lang w:val="lv-LV"/>
                    </w:rPr>
                    <w:t>, tostarp</w:t>
                  </w:r>
                  <w:r w:rsidR="008B4F29" w:rsidRPr="008B4F29">
                    <w:rPr>
                      <w:bCs/>
                      <w:lang w:val="lv-LV"/>
                    </w:rPr>
                    <w:t xml:space="preserve"> epizootisko situāciju saistībā ar Āfrikas cūku mēri un </w:t>
                  </w:r>
                  <w:r>
                    <w:rPr>
                      <w:bCs/>
                      <w:lang w:val="lv-LV"/>
                    </w:rPr>
                    <w:t>īstenoj</w:t>
                  </w:r>
                  <w:r w:rsidR="008B4F29" w:rsidRPr="008B4F29">
                    <w:rPr>
                      <w:bCs/>
                      <w:lang w:val="lv-LV"/>
                    </w:rPr>
                    <w:t>amajiem turpmākajiem slimības apkarošanas pasākumiem, nepieciešams precizēt normatīvo aktu prasības attiecībā uz tādu blakusproduktu kravu apriti, kas klasificējama</w:t>
                  </w:r>
                  <w:r>
                    <w:rPr>
                      <w:bCs/>
                      <w:lang w:val="lv-LV"/>
                    </w:rPr>
                    <w:t>s</w:t>
                  </w:r>
                  <w:r w:rsidR="008B4F29" w:rsidRPr="008B4F29">
                    <w:rPr>
                      <w:bCs/>
                      <w:lang w:val="lv-LV"/>
                    </w:rPr>
                    <w:t xml:space="preserve"> kā bīstama</w:t>
                  </w:r>
                  <w:r>
                    <w:rPr>
                      <w:bCs/>
                      <w:lang w:val="lv-LV"/>
                    </w:rPr>
                    <w:t>s</w:t>
                  </w:r>
                  <w:r w:rsidR="008B4F29" w:rsidRPr="008B4F29">
                    <w:rPr>
                      <w:bCs/>
                      <w:lang w:val="lv-LV"/>
                    </w:rPr>
                    <w:t xml:space="preserve"> krava</w:t>
                  </w:r>
                  <w:r>
                    <w:rPr>
                      <w:bCs/>
                      <w:lang w:val="lv-LV"/>
                    </w:rPr>
                    <w:t>s</w:t>
                  </w:r>
                  <w:r w:rsidR="008B4F29" w:rsidRPr="008B4F29">
                    <w:rPr>
                      <w:bCs/>
                      <w:lang w:val="lv-LV"/>
                    </w:rPr>
                    <w:t xml:space="preserve"> saskaņā ar ADR, ja t</w:t>
                  </w:r>
                  <w:r>
                    <w:rPr>
                      <w:bCs/>
                      <w:lang w:val="lv-LV"/>
                    </w:rPr>
                    <w:t>o</w:t>
                  </w:r>
                  <w:r w:rsidR="008B4F29" w:rsidRPr="008B4F29">
                    <w:rPr>
                      <w:bCs/>
                      <w:lang w:val="lv-LV"/>
                    </w:rPr>
                    <w:t xml:space="preserve"> aprite notiek Latvijas teritorijā PVD uzraudzībā un kontrolē.</w:t>
                  </w:r>
                </w:p>
              </w:tc>
              <w:tc>
                <w:tcPr>
                  <w:tcW w:w="15" w:type="pct"/>
                  <w:hideMark/>
                </w:tcPr>
                <w:p w14:paraId="53350BFB" w14:textId="77777777" w:rsidR="00FF7610" w:rsidRPr="00FF7610" w:rsidRDefault="00FF7610" w:rsidP="003E4C5B">
                  <w:pPr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30948A87" w14:textId="77777777" w:rsidR="00FF7610" w:rsidRPr="00FF7610" w:rsidRDefault="00FF7610" w:rsidP="00FF7610">
            <w:pPr>
              <w:jc w:val="both"/>
              <w:rPr>
                <w:vanish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657"/>
            </w:tblGrid>
            <w:tr w:rsidR="00FF7610" w:rsidRPr="00386DA4" w14:paraId="130318DF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D9336F5" w14:textId="77777777" w:rsidR="00FF7610" w:rsidRPr="00FF7610" w:rsidRDefault="00FF7610" w:rsidP="00FF7610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3B02DA5" w14:textId="7684D869" w:rsidR="007D48E7" w:rsidRDefault="008B4F29" w:rsidP="007D48E7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S</w:t>
                  </w:r>
                  <w:r w:rsidR="00FC4B0C" w:rsidRPr="00FC4B0C">
                    <w:rPr>
                      <w:lang w:val="lv-LV"/>
                    </w:rPr>
                    <w:t>agatavot</w:t>
                  </w:r>
                  <w:r w:rsidR="007D48E7">
                    <w:rPr>
                      <w:lang w:val="lv-LV"/>
                    </w:rPr>
                    <w:t>i</w:t>
                  </w:r>
                  <w:r w:rsidR="00FC4B0C" w:rsidRPr="00FC4B0C">
                    <w:rPr>
                      <w:lang w:val="lv-LV"/>
                    </w:rPr>
                    <w:t xml:space="preserve"> </w:t>
                  </w:r>
                  <w:r w:rsidR="002D32C4">
                    <w:rPr>
                      <w:lang w:val="lv-LV"/>
                    </w:rPr>
                    <w:t xml:space="preserve">šādi </w:t>
                  </w:r>
                  <w:r w:rsidR="00FC4B0C" w:rsidRPr="00FC4B0C">
                    <w:rPr>
                      <w:lang w:val="lv-LV"/>
                    </w:rPr>
                    <w:t>Mini</w:t>
                  </w:r>
                  <w:r w:rsidR="00FC4B0C">
                    <w:rPr>
                      <w:lang w:val="lv-LV"/>
                    </w:rPr>
                    <w:t>stru kabineta noteikumu projekt</w:t>
                  </w:r>
                  <w:r w:rsidR="007D48E7">
                    <w:rPr>
                      <w:lang w:val="lv-LV"/>
                    </w:rPr>
                    <w:t>i</w:t>
                  </w:r>
                  <w:r w:rsidR="00FD2E2D">
                    <w:rPr>
                      <w:lang w:val="lv-LV"/>
                    </w:rPr>
                    <w:t>:</w:t>
                  </w:r>
                </w:p>
                <w:p w14:paraId="38D3E836" w14:textId="14DC34DF" w:rsidR="00FC4B0C" w:rsidRPr="008B4F29" w:rsidRDefault="007D48E7" w:rsidP="007D48E7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lang w:val="lv-LV"/>
                    </w:rPr>
                    <w:t>1</w:t>
                  </w:r>
                  <w:r w:rsidRPr="008B4F29">
                    <w:rPr>
                      <w:lang w:val="lv-LV"/>
                    </w:rPr>
                    <w:t xml:space="preserve">) </w:t>
                  </w:r>
                  <w:r w:rsidR="00FC4B0C" w:rsidRPr="008B4F29">
                    <w:rPr>
                      <w:bCs/>
                      <w:lang w:val="lv-LV"/>
                    </w:rPr>
                    <w:t>„</w:t>
                  </w:r>
                  <w:r w:rsidR="0083605E" w:rsidRPr="008B4F29">
                    <w:rPr>
                      <w:bCs/>
                      <w:lang w:val="lv-LV"/>
                    </w:rPr>
                    <w:t>Grozījum</w:t>
                  </w:r>
                  <w:r w:rsidR="002D32C4" w:rsidRPr="008B4F29">
                    <w:rPr>
                      <w:bCs/>
                      <w:lang w:val="lv-LV"/>
                    </w:rPr>
                    <w:t>s</w:t>
                  </w:r>
                  <w:r w:rsidR="0083605E" w:rsidRPr="008B4F29">
                    <w:rPr>
                      <w:bCs/>
                      <w:lang w:val="lv-LV"/>
                    </w:rPr>
                    <w:t xml:space="preserve"> Ministru kabineta 2012. gada 17. aprīļa noteikumos Nr. </w:t>
                  </w:r>
                  <w:r w:rsidR="00FD2E2D" w:rsidRPr="008B4F29">
                    <w:rPr>
                      <w:bCs/>
                      <w:lang w:val="lv-LV"/>
                    </w:rPr>
                    <w:t> </w:t>
                  </w:r>
                  <w:r w:rsidR="0083605E" w:rsidRPr="008B4F29">
                    <w:rPr>
                      <w:bCs/>
                      <w:lang w:val="lv-LV"/>
                    </w:rPr>
                    <w:t>27</w:t>
                  </w:r>
                  <w:r w:rsidRPr="008B4F29">
                    <w:rPr>
                      <w:bCs/>
                      <w:lang w:val="lv-LV"/>
                    </w:rPr>
                    <w:t>5</w:t>
                  </w:r>
                  <w:r w:rsidR="0083605E" w:rsidRPr="008B4F29">
                    <w:rPr>
                      <w:bCs/>
                      <w:lang w:val="lv-LV"/>
                    </w:rPr>
                    <w:t xml:space="preserve"> „</w:t>
                  </w:r>
                  <w:r w:rsidRPr="008B4F29">
                    <w:rPr>
                      <w:bCs/>
                      <w:lang w:val="lv-LV"/>
                    </w:rPr>
                    <w:t>Prasības tādu dzīvnieku izcelsmes blakusproduktu un atvasinātu produktu apritei, kas nav paredzēti cilvēku patēriņam</w:t>
                  </w:r>
                  <w:r w:rsidR="0083605E" w:rsidRPr="008B4F29">
                    <w:rPr>
                      <w:bCs/>
                      <w:lang w:val="lv-LV"/>
                    </w:rPr>
                    <w:t>”</w:t>
                  </w:r>
                  <w:r w:rsidR="00FC4B0C" w:rsidRPr="008B4F29">
                    <w:rPr>
                      <w:bCs/>
                      <w:lang w:val="lv-LV"/>
                    </w:rPr>
                    <w:t>”</w:t>
                  </w:r>
                  <w:r w:rsidR="00AE3E97" w:rsidRPr="008B4F29">
                    <w:rPr>
                      <w:bCs/>
                      <w:lang w:val="lv-LV"/>
                    </w:rPr>
                    <w:t xml:space="preserve">,  </w:t>
                  </w:r>
                  <w:r w:rsidR="0083605E" w:rsidRPr="008B4F29">
                    <w:rPr>
                      <w:bCs/>
                      <w:lang w:val="lv-LV"/>
                    </w:rPr>
                    <w:t>p</w:t>
                  </w:r>
                  <w:r w:rsidR="000F47BA" w:rsidRPr="008B4F29">
                    <w:rPr>
                      <w:bCs/>
                      <w:lang w:val="lv-LV"/>
                    </w:rPr>
                    <w:t>recizē</w:t>
                  </w:r>
                  <w:r w:rsidR="007368F7">
                    <w:rPr>
                      <w:bCs/>
                      <w:lang w:val="lv-LV"/>
                    </w:rPr>
                    <w:t>jot</w:t>
                  </w:r>
                  <w:r w:rsidR="0083605E" w:rsidRPr="008B4F29">
                    <w:rPr>
                      <w:bCs/>
                      <w:lang w:val="lv-LV"/>
                    </w:rPr>
                    <w:t xml:space="preserve"> noteikumu Nr.</w:t>
                  </w:r>
                  <w:r w:rsidR="00467902" w:rsidRPr="008B4F29">
                    <w:rPr>
                      <w:bCs/>
                      <w:lang w:val="lv-LV"/>
                    </w:rPr>
                    <w:t> </w:t>
                  </w:r>
                  <w:r w:rsidR="0083605E" w:rsidRPr="008B4F29">
                    <w:rPr>
                      <w:bCs/>
                      <w:lang w:val="lv-LV"/>
                    </w:rPr>
                    <w:t>27</w:t>
                  </w:r>
                  <w:r w:rsidRPr="008B4F29">
                    <w:rPr>
                      <w:bCs/>
                      <w:lang w:val="lv-LV"/>
                    </w:rPr>
                    <w:t>5</w:t>
                  </w:r>
                  <w:r w:rsidR="0083605E" w:rsidRPr="008B4F29">
                    <w:rPr>
                      <w:bCs/>
                      <w:lang w:val="lv-LV"/>
                    </w:rPr>
                    <w:t xml:space="preserve"> </w:t>
                  </w:r>
                  <w:r w:rsidR="000F47BA" w:rsidRPr="008B4F29">
                    <w:rPr>
                      <w:bCs/>
                      <w:lang w:val="lv-LV"/>
                    </w:rPr>
                    <w:t>20.</w:t>
                  </w:r>
                  <w:r w:rsidR="00FD2E2D" w:rsidRPr="008B4F29">
                    <w:rPr>
                      <w:bCs/>
                      <w:lang w:val="lv-LV"/>
                    </w:rPr>
                    <w:t> </w:t>
                  </w:r>
                  <w:r w:rsidR="000F47BA" w:rsidRPr="008B4F29">
                    <w:rPr>
                      <w:bCs/>
                      <w:lang w:val="lv-LV"/>
                    </w:rPr>
                    <w:t>punktu</w:t>
                  </w:r>
                  <w:r w:rsidR="00457DFD" w:rsidRPr="008B4F29">
                    <w:rPr>
                      <w:bCs/>
                      <w:lang w:val="lv-LV"/>
                    </w:rPr>
                    <w:t xml:space="preserve">, </w:t>
                  </w:r>
                  <w:r w:rsidR="007368F7">
                    <w:rPr>
                      <w:bCs/>
                      <w:lang w:val="lv-LV"/>
                    </w:rPr>
                    <w:t xml:space="preserve">lai </w:t>
                  </w:r>
                  <w:r w:rsidR="00457DFD" w:rsidRPr="008B4F29">
                    <w:rPr>
                      <w:bCs/>
                      <w:lang w:val="lv-LV"/>
                    </w:rPr>
                    <w:t>no</w:t>
                  </w:r>
                  <w:r w:rsidR="007368F7">
                    <w:rPr>
                      <w:bCs/>
                      <w:lang w:val="lv-LV"/>
                    </w:rPr>
                    <w:t>teiktu</w:t>
                  </w:r>
                  <w:r w:rsidR="00457DFD" w:rsidRPr="008B4F29">
                    <w:rPr>
                      <w:bCs/>
                      <w:lang w:val="lv-LV"/>
                    </w:rPr>
                    <w:t xml:space="preserve"> izņēmumu attiecībā uz tādu blakusproduktu kravu apriti, kas klasificējama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 w:rsidR="00457DFD" w:rsidRPr="008B4F29">
                    <w:rPr>
                      <w:lang w:val="lv-LV"/>
                    </w:rPr>
                    <w:t xml:space="preserve"> </w:t>
                  </w:r>
                  <w:r w:rsidR="00457DFD" w:rsidRPr="008B4F29">
                    <w:rPr>
                      <w:bCs/>
                      <w:lang w:val="lv-LV"/>
                    </w:rPr>
                    <w:t>kā bīstama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 w:rsidR="00457DFD" w:rsidRPr="008B4F29">
                    <w:rPr>
                      <w:bCs/>
                      <w:lang w:val="lv-LV"/>
                    </w:rPr>
                    <w:t xml:space="preserve"> krava</w:t>
                  </w:r>
                  <w:r w:rsidR="007368F7">
                    <w:rPr>
                      <w:bCs/>
                      <w:lang w:val="lv-LV"/>
                    </w:rPr>
                    <w:t>s</w:t>
                  </w:r>
                  <w:r w:rsidR="00457DFD" w:rsidRPr="008B4F29">
                    <w:rPr>
                      <w:bCs/>
                      <w:lang w:val="lv-LV"/>
                    </w:rPr>
                    <w:t xml:space="preserve"> saskaņā ar ADR, ja t</w:t>
                  </w:r>
                  <w:r w:rsidR="007368F7">
                    <w:rPr>
                      <w:bCs/>
                      <w:lang w:val="lv-LV"/>
                    </w:rPr>
                    <w:t>o</w:t>
                  </w:r>
                  <w:r w:rsidR="00457DFD" w:rsidRPr="008B4F29">
                    <w:rPr>
                      <w:bCs/>
                      <w:lang w:val="lv-LV"/>
                    </w:rPr>
                    <w:t xml:space="preserve"> aprite notiek Latvijas teritorijā PVD uzraudzībā un kontrolē</w:t>
                  </w:r>
                  <w:r w:rsidRPr="008B4F29">
                    <w:rPr>
                      <w:bCs/>
                      <w:lang w:val="lv-LV"/>
                    </w:rPr>
                    <w:t>;</w:t>
                  </w:r>
                </w:p>
                <w:p w14:paraId="1960C4D2" w14:textId="5EE4FB98" w:rsidR="00C9019B" w:rsidRPr="008B4F29" w:rsidRDefault="007D48E7" w:rsidP="00134B4B">
                  <w:pPr>
                    <w:jc w:val="both"/>
                    <w:rPr>
                      <w:bCs/>
                      <w:lang w:val="lv-LV"/>
                    </w:rPr>
                  </w:pPr>
                  <w:r w:rsidRPr="008B4F29">
                    <w:rPr>
                      <w:bCs/>
                      <w:lang w:val="lv-LV"/>
                    </w:rPr>
                    <w:t>2)</w:t>
                  </w:r>
                  <w:r w:rsidR="00134B4B" w:rsidRPr="008B4F29">
                    <w:rPr>
                      <w:bCs/>
                      <w:lang w:val="lv-LV"/>
                    </w:rPr>
                    <w:t xml:space="preserve"> </w:t>
                  </w:r>
                  <w:r w:rsidR="00C9019B" w:rsidRPr="008B4F29">
                    <w:rPr>
                      <w:bCs/>
                      <w:lang w:val="lv-LV"/>
                    </w:rPr>
                    <w:t xml:space="preserve">„Grozījums Ministru kabineta 2005. gada 6. septembra noteikumos Nr.674 „Bīstamo kravu pārvadājumu noteikumi”, kas papildinās noteikumus Nr. 674 ar jaunu </w:t>
                  </w:r>
                  <w:r w:rsidR="00D052A2" w:rsidRPr="008B4F29">
                    <w:rPr>
                      <w:bCs/>
                      <w:lang w:val="lv-LV"/>
                    </w:rPr>
                    <w:t>4</w:t>
                  </w:r>
                  <w:r w:rsidR="00C9019B" w:rsidRPr="008B4F29">
                    <w:rPr>
                      <w:bCs/>
                      <w:lang w:val="lv-LV"/>
                    </w:rPr>
                    <w:t>.</w:t>
                  </w:r>
                  <w:r w:rsidR="00D052A2" w:rsidRPr="008B4F29">
                    <w:rPr>
                      <w:bCs/>
                      <w:vertAlign w:val="superscript"/>
                      <w:lang w:val="lv-LV"/>
                    </w:rPr>
                    <w:t>1</w:t>
                  </w:r>
                  <w:r w:rsidR="00C9019B" w:rsidRPr="008B4F29">
                    <w:rPr>
                      <w:bCs/>
                      <w:lang w:val="lv-LV"/>
                    </w:rPr>
                    <w:t>punktu</w:t>
                  </w:r>
                  <w:r w:rsidR="00457DFD" w:rsidRPr="008B4F29">
                    <w:rPr>
                      <w:bCs/>
                      <w:lang w:val="lv-LV"/>
                    </w:rPr>
                    <w:t>, nosakot</w:t>
                  </w:r>
                  <w:r w:rsidR="00D052A2" w:rsidRPr="008B4F29">
                    <w:rPr>
                      <w:bCs/>
                      <w:lang w:val="lv-LV"/>
                    </w:rPr>
                    <w:t>, ka</w:t>
                  </w:r>
                  <w:r w:rsidR="007368F7">
                    <w:rPr>
                      <w:bCs/>
                      <w:lang w:val="lv-LV"/>
                    </w:rPr>
                    <w:t xml:space="preserve"> tad,</w:t>
                  </w:r>
                  <w:r w:rsidR="00D052A2" w:rsidRPr="008B4F29">
                    <w:rPr>
                      <w:bCs/>
                      <w:lang w:val="lv-LV"/>
                    </w:rPr>
                    <w:t xml:space="preserve"> ja</w:t>
                  </w:r>
                  <w:r w:rsidR="00457DFD" w:rsidRPr="008B4F29">
                    <w:rPr>
                      <w:bCs/>
                      <w:lang w:val="lv-LV"/>
                    </w:rPr>
                    <w:t xml:space="preserve"> </w:t>
                  </w:r>
                  <w:r w:rsidR="00D052A2" w:rsidRPr="008B4F29">
                    <w:rPr>
                      <w:bCs/>
                      <w:lang w:val="lv-LV"/>
                    </w:rPr>
                    <w:t>blakusproduktu (6.2.klase)</w:t>
                  </w:r>
                  <w:r w:rsidR="007368F7">
                    <w:rPr>
                      <w:bCs/>
                      <w:lang w:val="lv-LV"/>
                    </w:rPr>
                    <w:t xml:space="preserve"> </w:t>
                  </w:r>
                  <w:r w:rsidR="000E590E" w:rsidRPr="008B4F29">
                    <w:rPr>
                      <w:bCs/>
                      <w:lang w:val="lv-LV"/>
                    </w:rPr>
                    <w:t>aprite, tostarp</w:t>
                  </w:r>
                  <w:r w:rsidR="00D052A2" w:rsidRPr="008B4F29">
                    <w:rPr>
                      <w:bCs/>
                      <w:lang w:val="lv-LV"/>
                    </w:rPr>
                    <w:t xml:space="preserve"> pārvadājumi</w:t>
                  </w:r>
                  <w:r w:rsidR="000E590E" w:rsidRPr="008B4F29">
                    <w:rPr>
                      <w:bCs/>
                      <w:lang w:val="lv-LV"/>
                    </w:rPr>
                    <w:t>,</w:t>
                  </w:r>
                  <w:r w:rsidR="00D052A2" w:rsidRPr="008B4F29">
                    <w:rPr>
                      <w:bCs/>
                      <w:lang w:val="lv-LV"/>
                    </w:rPr>
                    <w:t xml:space="preserve"> notiek PVD uzraudzībā un kontrolē, Latvijas teritorijā tos pārvadā atbilstoši normatīviem aktiem par prasībām tādu dzīvnieku izcelsmes blakusproduktu un atvasinātu produktu apritei, kas nav paredzēti cilvēku patēriņam</w:t>
                  </w:r>
                  <w:r w:rsidR="00457DFD" w:rsidRPr="008B4F29">
                    <w:rPr>
                      <w:bCs/>
                      <w:lang w:val="lv-LV"/>
                    </w:rPr>
                    <w:t>;</w:t>
                  </w:r>
                </w:p>
                <w:p w14:paraId="7249C478" w14:textId="1194D2FC" w:rsidR="00134B4B" w:rsidRPr="000E590E" w:rsidRDefault="00457DFD" w:rsidP="00457DFD">
                  <w:pPr>
                    <w:jc w:val="both"/>
                    <w:rPr>
                      <w:b/>
                      <w:bCs/>
                      <w:lang w:val="lv-LV"/>
                    </w:rPr>
                  </w:pPr>
                  <w:r w:rsidRPr="008B4F29">
                    <w:rPr>
                      <w:bCs/>
                      <w:lang w:val="lv-LV"/>
                    </w:rPr>
                    <w:t xml:space="preserve">3) </w:t>
                  </w:r>
                  <w:r w:rsidR="00134B4B" w:rsidRPr="008B4F29">
                    <w:rPr>
                      <w:bCs/>
                      <w:lang w:val="lv-LV"/>
                    </w:rPr>
                    <w:t>„Grozījum</w:t>
                  </w:r>
                  <w:r w:rsidR="002D32C4" w:rsidRPr="008B4F29">
                    <w:rPr>
                      <w:bCs/>
                      <w:lang w:val="lv-LV"/>
                    </w:rPr>
                    <w:t>s</w:t>
                  </w:r>
                  <w:r w:rsidR="00134B4B" w:rsidRPr="008B4F29">
                    <w:rPr>
                      <w:bCs/>
                      <w:lang w:val="lv-LV"/>
                    </w:rPr>
                    <w:t xml:space="preserve"> Ministru kabineta 2011. gada 5. jūlija noteikumos Nr. </w:t>
                  </w:r>
                  <w:r w:rsidR="00FD2E2D" w:rsidRPr="008B4F29">
                    <w:rPr>
                      <w:bCs/>
                      <w:lang w:val="lv-LV"/>
                    </w:rPr>
                    <w:t> </w:t>
                  </w:r>
                  <w:r w:rsidR="00134B4B" w:rsidRPr="008B4F29">
                    <w:rPr>
                      <w:bCs/>
                      <w:lang w:val="lv-LV"/>
                    </w:rPr>
                    <w:t>541 „Bīstamo kravu aprites kontroles kārtība””, kas papildinās noteikumus Nr.</w:t>
                  </w:r>
                  <w:r w:rsidR="00FD2E2D" w:rsidRPr="008B4F29">
                    <w:rPr>
                      <w:bCs/>
                      <w:lang w:val="lv-LV"/>
                    </w:rPr>
                    <w:t xml:space="preserve"> </w:t>
                  </w:r>
                  <w:r w:rsidR="00134B4B" w:rsidRPr="008B4F29">
                    <w:rPr>
                      <w:bCs/>
                      <w:lang w:val="lv-LV"/>
                    </w:rPr>
                    <w:t>541 ar jaunu 3.</w:t>
                  </w:r>
                  <w:r w:rsidR="00134B4B" w:rsidRPr="008B4F29">
                    <w:rPr>
                      <w:bCs/>
                      <w:vertAlign w:val="superscript"/>
                      <w:lang w:val="lv-LV"/>
                    </w:rPr>
                    <w:t>1</w:t>
                  </w:r>
                  <w:r w:rsidR="00FD2E2D" w:rsidRPr="008B4F29">
                    <w:rPr>
                      <w:bCs/>
                      <w:vertAlign w:val="superscript"/>
                      <w:lang w:val="lv-LV"/>
                    </w:rPr>
                    <w:t xml:space="preserve"> </w:t>
                  </w:r>
                  <w:r w:rsidR="00134B4B" w:rsidRPr="008B4F29">
                    <w:rPr>
                      <w:bCs/>
                      <w:lang w:val="lv-LV"/>
                    </w:rPr>
                    <w:t>punktu</w:t>
                  </w:r>
                  <w:r w:rsidRPr="008B4F29">
                    <w:rPr>
                      <w:bCs/>
                      <w:lang w:val="lv-LV"/>
                    </w:rPr>
                    <w:t>, k</w:t>
                  </w:r>
                  <w:r w:rsidR="007368F7">
                    <w:rPr>
                      <w:bCs/>
                      <w:lang w:val="lv-LV"/>
                    </w:rPr>
                    <w:t>urā</w:t>
                  </w:r>
                  <w:r w:rsidRPr="008B4F29">
                    <w:rPr>
                      <w:bCs/>
                      <w:lang w:val="lv-LV"/>
                    </w:rPr>
                    <w:t xml:space="preserve"> noteik</w:t>
                  </w:r>
                  <w:r w:rsidR="007368F7">
                    <w:rPr>
                      <w:bCs/>
                      <w:lang w:val="lv-LV"/>
                    </w:rPr>
                    <w:t>t</w:t>
                  </w:r>
                  <w:r w:rsidRPr="008B4F29">
                    <w:rPr>
                      <w:bCs/>
                      <w:lang w:val="lv-LV"/>
                    </w:rPr>
                    <w:t xml:space="preserve">s, ka blakusproduktu kravu apriti </w:t>
                  </w:r>
                  <w:r w:rsidR="00134B4B" w:rsidRPr="008B4F29">
                    <w:rPr>
                      <w:bCs/>
                      <w:lang w:val="lv-LV"/>
                    </w:rPr>
                    <w:t>kontrolē</w:t>
                  </w:r>
                  <w:r w:rsidRPr="008B4F29">
                    <w:rPr>
                      <w:bCs/>
                      <w:lang w:val="lv-LV"/>
                    </w:rPr>
                    <w:t>s</w:t>
                  </w:r>
                  <w:r w:rsidR="00134B4B" w:rsidRPr="008B4F29">
                    <w:rPr>
                      <w:bCs/>
                      <w:lang w:val="lv-LV"/>
                    </w:rPr>
                    <w:t xml:space="preserve"> uzraudzības institūcijas</w:t>
                  </w:r>
                  <w:r w:rsidR="007368F7">
                    <w:rPr>
                      <w:bCs/>
                      <w:lang w:val="lv-LV"/>
                    </w:rPr>
                    <w:t>,</w:t>
                  </w:r>
                  <w:r w:rsidR="00134B4B" w:rsidRPr="008B4F29">
                    <w:rPr>
                      <w:bCs/>
                      <w:lang w:val="lv-LV"/>
                    </w:rPr>
                    <w:t xml:space="preserve"> pieaicinot P</w:t>
                  </w:r>
                  <w:r w:rsidRPr="008B4F29">
                    <w:rPr>
                      <w:bCs/>
                      <w:lang w:val="lv-LV"/>
                    </w:rPr>
                    <w:t>VD</w:t>
                  </w:r>
                  <w:r w:rsidR="00134B4B" w:rsidRPr="008B4F29">
                    <w:rPr>
                      <w:bCs/>
                      <w:lang w:val="lv-LV"/>
                    </w:rPr>
                    <w:t xml:space="preserve"> amatpersonas</w:t>
                  </w:r>
                  <w:r w:rsidR="000E590E" w:rsidRPr="008B4F29">
                    <w:rPr>
                      <w:bCs/>
                      <w:lang w:val="lv-LV"/>
                    </w:rPr>
                    <w:t>.</w:t>
                  </w:r>
                </w:p>
              </w:tc>
            </w:tr>
          </w:tbl>
          <w:p w14:paraId="78DDDE6D" w14:textId="77777777" w:rsidR="002058A8" w:rsidRPr="008E74C8" w:rsidRDefault="002058A8">
            <w:pPr>
              <w:jc w:val="both"/>
              <w:rPr>
                <w:bCs/>
                <w:lang w:val="lv-LV"/>
              </w:rPr>
            </w:pPr>
          </w:p>
        </w:tc>
      </w:tr>
      <w:tr w:rsidR="005D73DE" w:rsidRPr="00386DA4" w14:paraId="1AD370B4" w14:textId="77777777" w:rsidTr="00C25CC1">
        <w:tc>
          <w:tcPr>
            <w:tcW w:w="250" w:type="pct"/>
          </w:tcPr>
          <w:p w14:paraId="24C7166E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077" w:type="pct"/>
          </w:tcPr>
          <w:p w14:paraId="04B4499D" w14:textId="77777777" w:rsidR="00A162FE" w:rsidRPr="00E21B79" w:rsidRDefault="006A073E" w:rsidP="00FC4B0C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14:paraId="1378C2BC" w14:textId="156EBC15" w:rsidR="00A162FE" w:rsidRPr="009E2709" w:rsidRDefault="008B4F29" w:rsidP="00510754">
            <w:pPr>
              <w:jc w:val="both"/>
              <w:rPr>
                <w:highlight w:val="yellow"/>
                <w:lang w:val="lv-LV" w:eastAsia="lv-LV"/>
              </w:rPr>
            </w:pPr>
            <w:r>
              <w:rPr>
                <w:lang w:val="lv-LV" w:eastAsia="lv-LV"/>
              </w:rPr>
              <w:t xml:space="preserve">Satiksmes ministrija un </w:t>
            </w:r>
            <w:r w:rsidR="00E312B1" w:rsidRPr="00E312B1">
              <w:rPr>
                <w:lang w:val="lv-LV" w:eastAsia="lv-LV"/>
              </w:rPr>
              <w:t>P</w:t>
            </w:r>
            <w:r w:rsidR="00510754">
              <w:rPr>
                <w:lang w:val="lv-LV" w:eastAsia="lv-LV"/>
              </w:rPr>
              <w:t>VD</w:t>
            </w:r>
            <w:r>
              <w:rPr>
                <w:lang w:val="lv-LV" w:eastAsia="lv-LV"/>
              </w:rPr>
              <w:t xml:space="preserve">. </w:t>
            </w:r>
            <w:r w:rsidRPr="008B4F29">
              <w:rPr>
                <w:lang w:val="lv-LV" w:eastAsia="lv-LV"/>
              </w:rPr>
              <w:t xml:space="preserve">2017. gada 20. jūlijā notika </w:t>
            </w:r>
            <w:r w:rsidR="007368F7">
              <w:rPr>
                <w:lang w:val="lv-LV" w:eastAsia="lv-LV"/>
              </w:rPr>
              <w:t>s</w:t>
            </w:r>
            <w:r w:rsidRPr="008B4F29">
              <w:rPr>
                <w:lang w:val="lv-LV" w:eastAsia="lv-LV"/>
              </w:rPr>
              <w:t>tarpinstitūciju sanāksme, kurā piedalījās Zemkopības ministrijas, Satiksmes ministrijas un PVD pārstāvji.</w:t>
            </w:r>
          </w:p>
        </w:tc>
      </w:tr>
      <w:tr w:rsidR="005D73DE" w:rsidRPr="00D52D0F" w14:paraId="2800B243" w14:textId="77777777" w:rsidTr="00C25CC1">
        <w:tc>
          <w:tcPr>
            <w:tcW w:w="250" w:type="pct"/>
          </w:tcPr>
          <w:p w14:paraId="3C976B07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077" w:type="pct"/>
          </w:tcPr>
          <w:p w14:paraId="17F1C9E1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14:paraId="31DA8A84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3DC372AE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2"/>
        <w:gridCol w:w="1929"/>
        <w:gridCol w:w="6810"/>
      </w:tblGrid>
      <w:tr w:rsidR="005D73DE" w:rsidRPr="00386DA4" w14:paraId="17B7571F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35BD9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745B0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2745B0">
              <w:rPr>
                <w:b/>
                <w:szCs w:val="28"/>
                <w:lang w:val="lv-LV"/>
              </w:rPr>
              <w:t>,</w:t>
            </w:r>
            <w:r w:rsidR="00D533EA" w:rsidRPr="002745B0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386DA4" w14:paraId="2A97D20E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95F815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5B23D4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Sabiedrības </w:t>
            </w:r>
            <w:r w:rsidRPr="009E2709">
              <w:rPr>
                <w:lang w:val="lv-LV"/>
              </w:rPr>
              <w:lastRenderedPageBreak/>
              <w:t>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7A72EE" w14:textId="4E690356" w:rsidR="00756A4F" w:rsidRPr="008B4F29" w:rsidRDefault="00E312B1" w:rsidP="00D052A2">
            <w:pPr>
              <w:jc w:val="both"/>
              <w:rPr>
                <w:lang w:val="lv-LV"/>
              </w:rPr>
            </w:pPr>
            <w:r w:rsidRPr="008B4F29">
              <w:rPr>
                <w:lang w:val="lv-LV"/>
              </w:rPr>
              <w:lastRenderedPageBreak/>
              <w:t>Noteikumu projekt</w:t>
            </w:r>
            <w:r w:rsidR="00134B4B" w:rsidRPr="008B4F29">
              <w:rPr>
                <w:lang w:val="lv-LV"/>
              </w:rPr>
              <w:t>os</w:t>
            </w:r>
            <w:r w:rsidRPr="008B4F29">
              <w:rPr>
                <w:lang w:val="lv-LV"/>
              </w:rPr>
              <w:t xml:space="preserve"> tiesiskais regulējums attiecas uz </w:t>
            </w:r>
            <w:r w:rsidR="007D48E7" w:rsidRPr="008B4F29">
              <w:rPr>
                <w:lang w:val="lv-LV"/>
              </w:rPr>
              <w:t xml:space="preserve">dzīvnieku </w:t>
            </w:r>
            <w:r w:rsidR="007D48E7" w:rsidRPr="008B4F29">
              <w:rPr>
                <w:lang w:val="lv-LV"/>
              </w:rPr>
              <w:lastRenderedPageBreak/>
              <w:t>infekcioz</w:t>
            </w:r>
            <w:r w:rsidR="007368F7">
              <w:rPr>
                <w:lang w:val="lv-LV"/>
              </w:rPr>
              <w:t>o</w:t>
            </w:r>
            <w:r w:rsidR="007D48E7" w:rsidRPr="008B4F29">
              <w:rPr>
                <w:lang w:val="lv-LV"/>
              </w:rPr>
              <w:t xml:space="preserve"> slimību apkarošanas pasākumu izpild</w:t>
            </w:r>
            <w:r w:rsidR="00B81E85" w:rsidRPr="008B4F29">
              <w:rPr>
                <w:lang w:val="lv-LV"/>
              </w:rPr>
              <w:t>i</w:t>
            </w:r>
            <w:r w:rsidR="007D48E7" w:rsidRPr="008B4F29">
              <w:rPr>
                <w:lang w:val="lv-LV"/>
              </w:rPr>
              <w:t xml:space="preserve"> Latvijas teritorijā PVD uzraudzībā un kontrolē. </w:t>
            </w:r>
            <w:r w:rsidR="00B81E85" w:rsidRPr="008B4F29">
              <w:rPr>
                <w:lang w:val="lv-LV"/>
              </w:rPr>
              <w:t xml:space="preserve">Dzīvnieku infekciozo slimību apkarošanas pasākumu izpildē var tikt iesaistītas visas </w:t>
            </w:r>
            <w:r w:rsidR="00D052A2" w:rsidRPr="008B4F29">
              <w:rPr>
                <w:lang w:val="lv-LV"/>
              </w:rPr>
              <w:t xml:space="preserve">Latvijas </w:t>
            </w:r>
            <w:r w:rsidR="00B81E85" w:rsidRPr="008B4F29">
              <w:rPr>
                <w:lang w:val="lv-LV"/>
              </w:rPr>
              <w:t>pašvaldības</w:t>
            </w:r>
            <w:r w:rsidR="00FA7E55" w:rsidRPr="008B4F29">
              <w:rPr>
                <w:lang w:val="lv-LV"/>
              </w:rPr>
              <w:t xml:space="preserve"> (119 Latvijas</w:t>
            </w:r>
            <w:r w:rsidR="00B81E85" w:rsidRPr="008B4F29">
              <w:rPr>
                <w:lang w:val="lv-LV"/>
              </w:rPr>
              <w:t xml:space="preserve"> </w:t>
            </w:r>
            <w:r w:rsidR="00FA7E55" w:rsidRPr="008B4F29">
              <w:rPr>
                <w:lang w:val="lv-LV"/>
              </w:rPr>
              <w:t xml:space="preserve">novadi) </w:t>
            </w:r>
            <w:r w:rsidR="00B81E85" w:rsidRPr="008B4F29">
              <w:rPr>
                <w:lang w:val="lv-LV"/>
              </w:rPr>
              <w:t>un to darbinieki, medību kolektīvi un individuālie mednieki</w:t>
            </w:r>
            <w:r w:rsidR="00FA7E55" w:rsidRPr="008B4F29">
              <w:rPr>
                <w:lang w:val="lv-LV"/>
              </w:rPr>
              <w:t xml:space="preserve"> (22 000 medniek</w:t>
            </w:r>
            <w:r w:rsidR="007368F7">
              <w:rPr>
                <w:lang w:val="lv-LV"/>
              </w:rPr>
              <w:t>u</w:t>
            </w:r>
            <w:r w:rsidR="00FA7E55" w:rsidRPr="008B4F29">
              <w:rPr>
                <w:lang w:val="lv-LV"/>
              </w:rPr>
              <w:t>)</w:t>
            </w:r>
            <w:r w:rsidR="00B81E85" w:rsidRPr="008B4F29">
              <w:rPr>
                <w:lang w:val="lv-LV"/>
              </w:rPr>
              <w:t xml:space="preserve">, </w:t>
            </w:r>
            <w:r w:rsidR="00D052A2" w:rsidRPr="008B4F29">
              <w:rPr>
                <w:lang w:val="lv-LV"/>
              </w:rPr>
              <w:t xml:space="preserve">598 </w:t>
            </w:r>
            <w:r w:rsidR="00B81E85" w:rsidRPr="008B4F29">
              <w:rPr>
                <w:lang w:val="lv-LV"/>
              </w:rPr>
              <w:t>veterinārmedicīniskās prakses iestādes un praktizējoši veterinārārsti</w:t>
            </w:r>
            <w:r w:rsidR="00FA7E55" w:rsidRPr="008B4F29">
              <w:rPr>
                <w:lang w:val="lv-LV"/>
              </w:rPr>
              <w:t xml:space="preserve"> (</w:t>
            </w:r>
            <w:r w:rsidR="006E0700" w:rsidRPr="008B4F29">
              <w:rPr>
                <w:lang w:val="lv-LV"/>
              </w:rPr>
              <w:t>1180</w:t>
            </w:r>
            <w:r w:rsidR="00FA7E55" w:rsidRPr="008B4F29">
              <w:rPr>
                <w:lang w:val="lv-LV"/>
              </w:rPr>
              <w:t xml:space="preserve"> person</w:t>
            </w:r>
            <w:r w:rsidR="007368F7">
              <w:rPr>
                <w:lang w:val="lv-LV"/>
              </w:rPr>
              <w:t>u</w:t>
            </w:r>
            <w:r w:rsidR="00FA7E55" w:rsidRPr="008B4F29">
              <w:rPr>
                <w:lang w:val="lv-LV"/>
              </w:rPr>
              <w:t>)</w:t>
            </w:r>
            <w:r w:rsidR="00B81E85" w:rsidRPr="008B4F29">
              <w:rPr>
                <w:lang w:val="lv-LV"/>
              </w:rPr>
              <w:t xml:space="preserve">, PVD </w:t>
            </w:r>
            <w:r w:rsidR="00B46AA9" w:rsidRPr="008B4F29">
              <w:rPr>
                <w:lang w:val="lv-LV"/>
              </w:rPr>
              <w:t xml:space="preserve">uzraudzības objektu reģistrā esošās </w:t>
            </w:r>
            <w:r w:rsidR="00D052A2" w:rsidRPr="008B4F29">
              <w:rPr>
                <w:lang w:val="lv-LV"/>
              </w:rPr>
              <w:t xml:space="preserve">593 </w:t>
            </w:r>
            <w:r w:rsidR="00B46AA9" w:rsidRPr="008B4F29">
              <w:rPr>
                <w:lang w:val="lv-LV"/>
              </w:rPr>
              <w:t xml:space="preserve">blakusproduktu apritē iesaistītā personas un atzītie un reģistrētie </w:t>
            </w:r>
            <w:r w:rsidR="00B81E85" w:rsidRPr="008B4F29">
              <w:rPr>
                <w:lang w:val="lv-LV"/>
              </w:rPr>
              <w:t>blakusproduktu aprites uzņēmumi</w:t>
            </w:r>
            <w:r w:rsidR="00B46AA9" w:rsidRPr="008B4F29">
              <w:rPr>
                <w:lang w:val="lv-LV"/>
              </w:rPr>
              <w:t xml:space="preserve"> un iekārtas. </w:t>
            </w:r>
          </w:p>
        </w:tc>
      </w:tr>
      <w:tr w:rsidR="005D73DE" w:rsidRPr="00FF7610" w14:paraId="6C81AC73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D622267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CE8F8D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765EEAA" w14:textId="77777777" w:rsidR="00307454" w:rsidRPr="00E04435" w:rsidRDefault="00855B0F" w:rsidP="00412FAC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E7DED">
              <w:rPr>
                <w:lang w:val="lv-LV"/>
              </w:rPr>
              <w:t>rojekts šo jomu neskar.</w:t>
            </w:r>
            <w:r w:rsidR="00913F3A" w:rsidRPr="00913F3A">
              <w:rPr>
                <w:lang w:val="lv-LV"/>
              </w:rPr>
              <w:t xml:space="preserve"> </w:t>
            </w:r>
          </w:p>
        </w:tc>
      </w:tr>
      <w:tr w:rsidR="005D73DE" w:rsidRPr="002A39FB" w14:paraId="21E59AF6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C19690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B9E39C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5DB496" w14:textId="77777777" w:rsidR="002C59C1" w:rsidRPr="009E2709" w:rsidRDefault="00855B0F" w:rsidP="00855B0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603F7B" w:rsidRPr="00603F7B">
              <w:rPr>
                <w:lang w:val="lv-LV"/>
              </w:rPr>
              <w:t>rojekts šo jomu neskar.</w:t>
            </w:r>
          </w:p>
        </w:tc>
      </w:tr>
      <w:tr w:rsidR="005D73DE" w:rsidRPr="009E2709" w14:paraId="40E041E9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769940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E1E378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E06DC7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764D6095" w14:textId="77777777" w:rsidR="007F21AE" w:rsidRDefault="007F21AE" w:rsidP="00C21DCA">
      <w:pPr>
        <w:jc w:val="both"/>
        <w:rPr>
          <w:i/>
          <w:lang w:val="lv-LV" w:eastAsia="lv-LV"/>
        </w:rPr>
      </w:pPr>
    </w:p>
    <w:tbl>
      <w:tblPr>
        <w:tblStyle w:val="Reatab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71B8" w:rsidRPr="00386DA4" w14:paraId="55C5ACB2" w14:textId="77777777" w:rsidTr="00E37028">
        <w:trPr>
          <w:trHeight w:val="227"/>
        </w:trPr>
        <w:tc>
          <w:tcPr>
            <w:tcW w:w="9072" w:type="dxa"/>
          </w:tcPr>
          <w:p w14:paraId="117F2546" w14:textId="77777777" w:rsidR="008071B8" w:rsidRPr="008071B8" w:rsidRDefault="008071B8" w:rsidP="008071B8">
            <w:pPr>
              <w:jc w:val="center"/>
              <w:rPr>
                <w:rFonts w:ascii="Times New Roman" w:hAnsi="Times New Roman"/>
                <w:lang w:val="lv-LV" w:eastAsia="lv-LV"/>
              </w:rPr>
            </w:pPr>
            <w:r w:rsidRPr="008071B8">
              <w:rPr>
                <w:rFonts w:ascii="Times New Roman" w:eastAsia="Times New Roman" w:hAnsi="Times New Roman"/>
                <w:lang w:val="lv-LV" w:eastAsia="lv-LV"/>
              </w:rPr>
              <w:t> </w:t>
            </w:r>
            <w:r w:rsidRPr="008071B8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8071B8" w:rsidRPr="008071B8" w14:paraId="723C8448" w14:textId="77777777" w:rsidTr="00E37028">
        <w:trPr>
          <w:trHeight w:val="227"/>
        </w:trPr>
        <w:tc>
          <w:tcPr>
            <w:tcW w:w="9072" w:type="dxa"/>
          </w:tcPr>
          <w:p w14:paraId="1B7F0055" w14:textId="2539F7BE" w:rsidR="008071B8" w:rsidRPr="008071B8" w:rsidRDefault="008071B8" w:rsidP="008071B8">
            <w:pPr>
              <w:jc w:val="center"/>
              <w:rPr>
                <w:rFonts w:ascii="Times New Roman" w:hAnsi="Times New Roman"/>
                <w:lang w:val="lv-LV" w:eastAsia="lv-LV"/>
              </w:rPr>
            </w:pPr>
            <w:r w:rsidRPr="008071B8">
              <w:rPr>
                <w:rFonts w:ascii="Times New Roman" w:hAnsi="Times New Roman"/>
                <w:bCs/>
                <w:lang w:val="lv-LV" w:eastAsia="lv-LV"/>
              </w:rPr>
              <w:t>Projekts šo jomu neskar</w:t>
            </w:r>
            <w:r w:rsidR="007368F7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</w:tc>
      </w:tr>
    </w:tbl>
    <w:p w14:paraId="16ABC255" w14:textId="77777777" w:rsidR="008071B8" w:rsidRDefault="008071B8" w:rsidP="00C21DCA">
      <w:pPr>
        <w:jc w:val="both"/>
        <w:rPr>
          <w:i/>
          <w:lang w:val="lv-LV" w:eastAsia="lv-LV"/>
        </w:rPr>
      </w:pPr>
    </w:p>
    <w:p w14:paraId="35DA9A38" w14:textId="77777777" w:rsidR="008071B8" w:rsidRDefault="008071B8" w:rsidP="00C21DCA">
      <w:pPr>
        <w:jc w:val="both"/>
        <w:rPr>
          <w:i/>
          <w:lang w:val="lv-LV" w:eastAsia="lv-LV"/>
        </w:rPr>
      </w:pPr>
    </w:p>
    <w:tbl>
      <w:tblPr>
        <w:tblW w:w="4887" w:type="pct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"/>
        <w:gridCol w:w="1928"/>
        <w:gridCol w:w="6714"/>
      </w:tblGrid>
      <w:tr w:rsidR="00046DC6" w:rsidRPr="00386DA4" w14:paraId="4AA34B42" w14:textId="77777777" w:rsidTr="0032527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0AEEB" w14:textId="34DC8E51" w:rsidR="00046DC6" w:rsidRPr="009E2709" w:rsidRDefault="00046DC6" w:rsidP="00046DC6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071B8">
              <w:rPr>
                <w:b/>
                <w:bCs/>
                <w:lang w:val="lv-LV" w:eastAsia="lv-LV"/>
              </w:rPr>
              <w:t>IV. Tiesību akta projekta ietekme uz spēkā esošo tiesību normu sistēmu</w:t>
            </w:r>
            <w:r w:rsidRPr="002745B0">
              <w:rPr>
                <w:b/>
                <w:szCs w:val="28"/>
                <w:lang w:val="lv-LV"/>
              </w:rPr>
              <w:t xml:space="preserve"> </w:t>
            </w:r>
          </w:p>
        </w:tc>
      </w:tr>
      <w:tr w:rsidR="00046DC6" w:rsidRPr="000753A9" w14:paraId="38F879A8" w14:textId="77777777" w:rsidTr="0032527A">
        <w:tc>
          <w:tcPr>
            <w:tcW w:w="2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8AED4D" w14:textId="77777777" w:rsidR="00046DC6" w:rsidRPr="009E2709" w:rsidRDefault="00046DC6" w:rsidP="003E390B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BEAA5E" w14:textId="553487C5" w:rsidR="00046DC6" w:rsidRPr="009E2709" w:rsidRDefault="00046DC6" w:rsidP="003E390B">
            <w:pPr>
              <w:jc w:val="both"/>
              <w:rPr>
                <w:lang w:val="lv-LV"/>
              </w:rPr>
            </w:pPr>
            <w:r w:rsidRPr="00046DC6">
              <w:rPr>
                <w:lang w:val="lv-LV"/>
              </w:rPr>
              <w:t>Nepieciešamie saistītie tiesību aktu projekti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114265" w14:textId="77777777" w:rsidR="00F352CC" w:rsidRPr="00B16F19" w:rsidRDefault="00F352CC" w:rsidP="00F352CC">
            <w:pPr>
              <w:jc w:val="both"/>
              <w:rPr>
                <w:lang w:val="lv-LV"/>
              </w:rPr>
            </w:pPr>
            <w:r w:rsidRPr="00B16F19">
              <w:rPr>
                <w:lang w:val="lv-LV"/>
              </w:rPr>
              <w:t>Ministru kabineta noteikumu projekti:</w:t>
            </w:r>
          </w:p>
          <w:p w14:paraId="6F17883E" w14:textId="3925343C" w:rsidR="00F352CC" w:rsidRPr="00B16F19" w:rsidRDefault="00F352CC" w:rsidP="00F352CC">
            <w:pPr>
              <w:jc w:val="both"/>
              <w:rPr>
                <w:lang w:val="lv-LV"/>
              </w:rPr>
            </w:pPr>
            <w:r w:rsidRPr="00B16F19">
              <w:rPr>
                <w:lang w:val="lv-LV"/>
              </w:rPr>
              <w:t xml:space="preserve">1) „Grozījums Ministru kabineta 2012. gada 17. aprīļa noteikumos Nr. 275 „Prasības tādu dzīvnieku izcelsmes blakusproduktu un atvasinātu produktu apritei, kas nav paredzēti cilvēku patēriņam””; </w:t>
            </w:r>
          </w:p>
          <w:p w14:paraId="74D29F51" w14:textId="4FB04A74" w:rsidR="00F352CC" w:rsidRPr="00B16F19" w:rsidRDefault="00F352CC" w:rsidP="00F352CC">
            <w:pPr>
              <w:jc w:val="both"/>
              <w:rPr>
                <w:lang w:val="lv-LV"/>
              </w:rPr>
            </w:pPr>
            <w:r w:rsidRPr="00B16F19">
              <w:rPr>
                <w:lang w:val="lv-LV"/>
              </w:rPr>
              <w:t>2) „Grozījums Ministru kabineta 2005. gada 6. septembra noteikumos Nr.674 „Bīstamo kravu pārvadājumu noteikumi””;</w:t>
            </w:r>
          </w:p>
          <w:p w14:paraId="469ABAAE" w14:textId="562CFFB8" w:rsidR="00046DC6" w:rsidRPr="00B16F19" w:rsidRDefault="00F352CC" w:rsidP="00F352CC">
            <w:pPr>
              <w:jc w:val="both"/>
              <w:rPr>
                <w:b/>
                <w:lang w:val="lv-LV"/>
              </w:rPr>
            </w:pPr>
            <w:r w:rsidRPr="00B16F19">
              <w:rPr>
                <w:lang w:val="lv-LV"/>
              </w:rPr>
              <w:t>3) „Grozījums Ministru kabineta 2011. gada 5. jūlija noteikumos Nr. 541 „Bīstamo kr</w:t>
            </w:r>
            <w:r w:rsidR="00B16F19" w:rsidRPr="00B16F19">
              <w:rPr>
                <w:lang w:val="lv-LV"/>
              </w:rPr>
              <w:t>avu aprites kontroles kārtība””</w:t>
            </w:r>
            <w:r w:rsidRPr="00B16F19">
              <w:rPr>
                <w:lang w:val="lv-LV"/>
              </w:rPr>
              <w:t>.</w:t>
            </w:r>
          </w:p>
        </w:tc>
      </w:tr>
      <w:tr w:rsidR="00046DC6" w:rsidRPr="00FF7610" w14:paraId="6135B0BE" w14:textId="77777777" w:rsidTr="0032527A">
        <w:tc>
          <w:tcPr>
            <w:tcW w:w="2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5FF0B5" w14:textId="77777777" w:rsidR="00046DC6" w:rsidRPr="009E2709" w:rsidRDefault="00046DC6" w:rsidP="003E390B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A21EF5" w14:textId="7A1A2CE5" w:rsidR="00046DC6" w:rsidRPr="009E2709" w:rsidRDefault="00046DC6" w:rsidP="003E390B">
            <w:pPr>
              <w:widowControl w:val="0"/>
              <w:jc w:val="both"/>
              <w:rPr>
                <w:lang w:val="lv-LV"/>
              </w:rPr>
            </w:pPr>
            <w:r w:rsidRPr="00046DC6">
              <w:rPr>
                <w:lang w:val="lv-LV"/>
              </w:rPr>
              <w:t>Atbildīgā institūcija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8A5040" w14:textId="01FE8618" w:rsidR="00046DC6" w:rsidRPr="00E04435" w:rsidRDefault="0032527A" w:rsidP="003E390B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Zemkopības ministrija</w:t>
            </w:r>
            <w:r w:rsidR="00046DC6" w:rsidRPr="00913F3A">
              <w:rPr>
                <w:lang w:val="lv-LV"/>
              </w:rPr>
              <w:t xml:space="preserve"> </w:t>
            </w:r>
          </w:p>
        </w:tc>
      </w:tr>
      <w:tr w:rsidR="00046DC6" w:rsidRPr="002A39FB" w14:paraId="5536525C" w14:textId="77777777" w:rsidTr="0032527A">
        <w:tc>
          <w:tcPr>
            <w:tcW w:w="2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CA4ED9" w14:textId="77777777" w:rsidR="00046DC6" w:rsidRPr="009E2709" w:rsidRDefault="00046DC6" w:rsidP="003E390B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3FD543" w14:textId="32DDF58C" w:rsidR="00046DC6" w:rsidRPr="009E2709" w:rsidRDefault="00046DC6" w:rsidP="003E390B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46DC6">
              <w:rPr>
                <w:lang w:val="lv-LV"/>
              </w:rPr>
              <w:t>Cita informācija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E563E7" w14:textId="0503AA37" w:rsidR="00046DC6" w:rsidRPr="009E2709" w:rsidRDefault="0032527A" w:rsidP="003E390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  <w:r w:rsidR="00046DC6" w:rsidRPr="00603F7B">
              <w:rPr>
                <w:lang w:val="lv-LV"/>
              </w:rPr>
              <w:t>.</w:t>
            </w:r>
          </w:p>
        </w:tc>
      </w:tr>
    </w:tbl>
    <w:p w14:paraId="4E729159" w14:textId="77777777" w:rsidR="00046DC6" w:rsidRDefault="00046DC6" w:rsidP="00C21DCA">
      <w:pPr>
        <w:jc w:val="both"/>
        <w:rPr>
          <w:i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3"/>
      </w:tblGrid>
      <w:tr w:rsidR="008071B8" w:rsidRPr="002A39FB" w14:paraId="2A03FBE1" w14:textId="77777777" w:rsidTr="0002755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E5B276B" w14:textId="77777777" w:rsidR="008071B8" w:rsidRPr="009E2709" w:rsidRDefault="008071B8" w:rsidP="0002755D">
            <w:pPr>
              <w:jc w:val="center"/>
              <w:rPr>
                <w:b/>
                <w:bCs/>
                <w:lang w:val="lv-LV"/>
              </w:rPr>
            </w:pPr>
            <w:r w:rsidRPr="002745B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B16F19" w:rsidRPr="002A39FB" w14:paraId="61C7A9D8" w14:textId="77777777" w:rsidTr="0002755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CF0ED2D" w14:textId="1EB8C48D" w:rsidR="00B16F19" w:rsidRPr="00B16F19" w:rsidRDefault="00B16F19" w:rsidP="0002755D">
            <w:pPr>
              <w:jc w:val="center"/>
              <w:rPr>
                <w:bCs/>
                <w:lang w:val="lv-LV"/>
              </w:rPr>
            </w:pPr>
            <w:r w:rsidRPr="00B16F19">
              <w:rPr>
                <w:bCs/>
                <w:lang w:val="lv-LV"/>
              </w:rPr>
              <w:t>Projekts šo jomu neskar</w:t>
            </w:r>
          </w:p>
        </w:tc>
      </w:tr>
    </w:tbl>
    <w:p w14:paraId="1AA86C1A" w14:textId="77777777" w:rsidR="008071B8" w:rsidRDefault="008071B8" w:rsidP="005D73DE">
      <w:pPr>
        <w:rPr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4153"/>
        <w:gridCol w:w="4422"/>
      </w:tblGrid>
      <w:tr w:rsidR="00106A29" w:rsidRPr="00386DA4" w14:paraId="50FBB1F4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36CA4E" w14:textId="77777777"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386DA4" w14:paraId="04C7F7BD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62E6D081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272" w:type="pct"/>
          </w:tcPr>
          <w:p w14:paraId="4BD9DE8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Plānotās sabiedrības līdzdalības un komunikācijas aktivitātes saistībā ar </w:t>
            </w:r>
            <w:r w:rsidRPr="009E2709">
              <w:lastRenderedPageBreak/>
              <w:t>projektu</w:t>
            </w:r>
          </w:p>
        </w:tc>
        <w:tc>
          <w:tcPr>
            <w:tcW w:w="2419" w:type="pct"/>
          </w:tcPr>
          <w:p w14:paraId="003B7A1A" w14:textId="11C0FF13" w:rsidR="00353F9F" w:rsidRPr="00B16F19" w:rsidRDefault="00353F9F" w:rsidP="000A1263">
            <w:pPr>
              <w:jc w:val="both"/>
              <w:rPr>
                <w:lang w:val="lv-LV"/>
              </w:rPr>
            </w:pPr>
            <w:r w:rsidRPr="00B16F19">
              <w:rPr>
                <w:lang w:val="lv-LV"/>
              </w:rPr>
              <w:lastRenderedPageBreak/>
              <w:t>Sabiedrības līdzdalība nav nepieciešama, jo n</w:t>
            </w:r>
            <w:r w:rsidR="00870DD5" w:rsidRPr="00B16F19">
              <w:rPr>
                <w:lang w:val="lv-LV"/>
              </w:rPr>
              <w:t xml:space="preserve">oteikumu projektos tiesiskais regulējums </w:t>
            </w:r>
            <w:r w:rsidR="00870DD5" w:rsidRPr="00B16F19">
              <w:rPr>
                <w:lang w:val="lv-LV"/>
              </w:rPr>
              <w:lastRenderedPageBreak/>
              <w:t>attiecas uz dzīvnieku infekciozu slimību apkarošanas pasākumu izpildi Latvijas teritorijā PVD uzraudzībā un kontrolē</w:t>
            </w:r>
            <w:r w:rsidRPr="00B16F19">
              <w:rPr>
                <w:lang w:val="lv-LV"/>
              </w:rPr>
              <w:t xml:space="preserve"> un noteikumu projekt</w:t>
            </w:r>
            <w:r w:rsidR="000A1263">
              <w:rPr>
                <w:lang w:val="lv-LV"/>
              </w:rPr>
              <w:t>u redakcija</w:t>
            </w:r>
            <w:r w:rsidRPr="00B16F19">
              <w:rPr>
                <w:lang w:val="lv-LV"/>
              </w:rPr>
              <w:t xml:space="preserve"> </w:t>
            </w:r>
            <w:r w:rsidR="000A1263">
              <w:rPr>
                <w:lang w:val="lv-LV"/>
              </w:rPr>
              <w:t>savstarpēji tiek saskaņota</w:t>
            </w:r>
            <w:r w:rsidR="000A1263" w:rsidRPr="00B16F19">
              <w:rPr>
                <w:lang w:val="lv-LV"/>
              </w:rPr>
              <w:t xml:space="preserve"> </w:t>
            </w:r>
            <w:r w:rsidR="000A1263">
              <w:rPr>
                <w:lang w:val="lv-LV"/>
              </w:rPr>
              <w:t xml:space="preserve">un </w:t>
            </w:r>
            <w:r w:rsidRPr="00B16F19">
              <w:rPr>
                <w:lang w:val="lv-LV"/>
              </w:rPr>
              <w:t>tehniski</w:t>
            </w:r>
            <w:r w:rsidR="00B16F19">
              <w:rPr>
                <w:lang w:val="lv-LV"/>
              </w:rPr>
              <w:t xml:space="preserve"> precizēt</w:t>
            </w:r>
            <w:r w:rsidR="000A1263">
              <w:rPr>
                <w:lang w:val="lv-LV"/>
              </w:rPr>
              <w:t>a</w:t>
            </w:r>
            <w:r w:rsidRPr="00B16F19">
              <w:rPr>
                <w:lang w:val="lv-LV"/>
              </w:rPr>
              <w:t>.</w:t>
            </w:r>
          </w:p>
        </w:tc>
      </w:tr>
      <w:tr w:rsidR="00106A29" w:rsidRPr="00E73EB6" w14:paraId="78222098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0677BB4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lastRenderedPageBreak/>
              <w:t>2.</w:t>
            </w:r>
          </w:p>
        </w:tc>
        <w:tc>
          <w:tcPr>
            <w:tcW w:w="2272" w:type="pct"/>
          </w:tcPr>
          <w:p w14:paraId="3A5905D9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2419" w:type="pct"/>
          </w:tcPr>
          <w:p w14:paraId="04422215" w14:textId="77777777" w:rsidR="00E51A87" w:rsidRPr="009E2709" w:rsidRDefault="0078718E" w:rsidP="0078718E">
            <w:pPr>
              <w:pStyle w:val="naiskr"/>
              <w:spacing w:before="0" w:beforeAutospacing="0" w:after="0" w:afterAutospacing="0"/>
              <w:jc w:val="both"/>
            </w:pPr>
            <w:r w:rsidRPr="006375BD">
              <w:t>P</w:t>
            </w:r>
            <w:r w:rsidR="00CB0881" w:rsidRPr="006375BD">
              <w:t>rojekts šo jomu neskar</w:t>
            </w:r>
            <w:r w:rsidR="00CB0881" w:rsidRPr="00CB0881">
              <w:rPr>
                <w:lang w:val="en-GB"/>
              </w:rPr>
              <w:t>.</w:t>
            </w:r>
          </w:p>
        </w:tc>
      </w:tr>
      <w:tr w:rsidR="00106A29" w:rsidRPr="002A39FB" w14:paraId="78C6827D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049646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2272" w:type="pct"/>
          </w:tcPr>
          <w:p w14:paraId="2A9E7128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2419" w:type="pct"/>
          </w:tcPr>
          <w:p w14:paraId="1B67D0EB" w14:textId="77777777" w:rsidR="00106A29" w:rsidRPr="009E2709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6375BD">
              <w:rPr>
                <w:rFonts w:eastAsia="Arial Unicode MS"/>
              </w:rPr>
              <w:t>P</w:t>
            </w:r>
            <w:r w:rsidR="00CB0881" w:rsidRPr="006375BD">
              <w:rPr>
                <w:rFonts w:eastAsia="Arial Unicode MS"/>
              </w:rPr>
              <w:t>rojekts šo jomu neskar</w:t>
            </w:r>
            <w:r w:rsidR="00CB0881" w:rsidRPr="00CB0881">
              <w:rPr>
                <w:rFonts w:eastAsia="Arial Unicode MS"/>
                <w:lang w:val="en-GB"/>
              </w:rPr>
              <w:t>.</w:t>
            </w:r>
          </w:p>
        </w:tc>
      </w:tr>
      <w:tr w:rsidR="00106A29" w:rsidRPr="00E51A87" w14:paraId="5984985D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7288DB4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2272" w:type="pct"/>
          </w:tcPr>
          <w:p w14:paraId="0752671B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2419" w:type="pct"/>
          </w:tcPr>
          <w:p w14:paraId="7F4A1E98" w14:textId="77777777"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14:paraId="0758F724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61E65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56D15234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0DC983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89196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61005" w14:textId="6894970C" w:rsidR="002C46AC" w:rsidRPr="009E2709" w:rsidRDefault="001532AD" w:rsidP="0051075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10754">
              <w:rPr>
                <w:rFonts w:ascii="Times New Roman" w:hAnsi="Times New Roman"/>
                <w:sz w:val="24"/>
                <w:szCs w:val="24"/>
              </w:rPr>
              <w:t>VD</w:t>
            </w:r>
          </w:p>
        </w:tc>
      </w:tr>
      <w:tr w:rsidR="005D73DE" w:rsidRPr="002A39FB" w14:paraId="79FA57D1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B6C2F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21200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FF97C6B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6D65B" w14:textId="77777777" w:rsidR="005F1986" w:rsidRPr="009E2709" w:rsidRDefault="00134D78" w:rsidP="00134D78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1532AD">
              <w:t>rojekts šo jomu neskar.</w:t>
            </w:r>
          </w:p>
        </w:tc>
      </w:tr>
      <w:tr w:rsidR="005D73DE" w:rsidRPr="009E2709" w14:paraId="33286500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7E962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912334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04A1E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2FB76D78" w14:textId="77777777" w:rsidR="00E62AA5" w:rsidRDefault="00E62AA5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2AEF5E7A" w14:textId="77777777" w:rsidR="00CB0881" w:rsidRPr="009E2709" w:rsidRDefault="00CB0881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3C08258B" w14:textId="77777777" w:rsidR="00105AE2" w:rsidRPr="005C1318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5C1318">
        <w:rPr>
          <w:b w:val="0"/>
          <w:szCs w:val="28"/>
        </w:rPr>
        <w:t xml:space="preserve">Zemkopības </w:t>
      </w:r>
      <w:r w:rsidR="001532AD" w:rsidRPr="005C1318">
        <w:rPr>
          <w:b w:val="0"/>
          <w:szCs w:val="28"/>
        </w:rPr>
        <w:t>ministrs</w:t>
      </w:r>
      <w:r w:rsidR="00105AE2" w:rsidRPr="005C1318">
        <w:rPr>
          <w:b w:val="0"/>
          <w:szCs w:val="28"/>
        </w:rPr>
        <w:tab/>
      </w:r>
      <w:r w:rsidR="00A22819" w:rsidRPr="005C1318">
        <w:rPr>
          <w:b w:val="0"/>
          <w:szCs w:val="28"/>
        </w:rPr>
        <w:tab/>
      </w:r>
      <w:r w:rsidR="00A22819" w:rsidRPr="005C1318">
        <w:rPr>
          <w:b w:val="0"/>
          <w:szCs w:val="28"/>
        </w:rPr>
        <w:tab/>
      </w:r>
      <w:r w:rsidR="00A22819" w:rsidRPr="005C1318">
        <w:rPr>
          <w:b w:val="0"/>
          <w:szCs w:val="28"/>
        </w:rPr>
        <w:tab/>
      </w:r>
      <w:r w:rsidR="00A22819" w:rsidRPr="005C1318">
        <w:rPr>
          <w:b w:val="0"/>
          <w:szCs w:val="28"/>
        </w:rPr>
        <w:tab/>
      </w:r>
      <w:r w:rsidR="007740E5" w:rsidRPr="005C1318">
        <w:rPr>
          <w:b w:val="0"/>
          <w:szCs w:val="28"/>
        </w:rPr>
        <w:tab/>
      </w:r>
      <w:r w:rsidR="001532AD" w:rsidRPr="005C1318">
        <w:rPr>
          <w:b w:val="0"/>
          <w:szCs w:val="28"/>
        </w:rPr>
        <w:t>J</w:t>
      </w:r>
      <w:r w:rsidR="00D03191" w:rsidRPr="005C1318">
        <w:rPr>
          <w:b w:val="0"/>
          <w:szCs w:val="28"/>
        </w:rPr>
        <w:t>ānis</w:t>
      </w:r>
      <w:r w:rsidR="00A506DF" w:rsidRPr="005C1318">
        <w:rPr>
          <w:b w:val="0"/>
          <w:szCs w:val="28"/>
        </w:rPr>
        <w:t xml:space="preserve"> </w:t>
      </w:r>
      <w:r w:rsidR="001532AD" w:rsidRPr="005C1318">
        <w:rPr>
          <w:b w:val="0"/>
          <w:szCs w:val="28"/>
        </w:rPr>
        <w:t>Dūklavs</w:t>
      </w:r>
    </w:p>
    <w:p w14:paraId="1F951A51" w14:textId="77777777" w:rsidR="00D03191" w:rsidRDefault="00D03191" w:rsidP="00B94CCB">
      <w:pPr>
        <w:rPr>
          <w:sz w:val="28"/>
        </w:rPr>
      </w:pPr>
    </w:p>
    <w:p w14:paraId="361F6094" w14:textId="77777777" w:rsidR="005C1318" w:rsidRPr="005C1318" w:rsidRDefault="005C1318" w:rsidP="00B94CCB">
      <w:pPr>
        <w:rPr>
          <w:sz w:val="28"/>
        </w:rPr>
      </w:pPr>
    </w:p>
    <w:p w14:paraId="6CC8EEB8" w14:textId="77777777" w:rsidR="00D03191" w:rsidRPr="005C1318" w:rsidRDefault="00D03191" w:rsidP="00B94CCB">
      <w:pPr>
        <w:rPr>
          <w:b/>
          <w:sz w:val="28"/>
        </w:rPr>
      </w:pPr>
      <w:r w:rsidRPr="005C1318">
        <w:rPr>
          <w:sz w:val="28"/>
          <w:lang w:val="lv-LV"/>
        </w:rPr>
        <w:tab/>
        <w:t>Zemkopības</w:t>
      </w:r>
      <w:r w:rsidR="005C1318">
        <w:rPr>
          <w:sz w:val="28"/>
          <w:lang w:val="lv-LV"/>
        </w:rPr>
        <w:t xml:space="preserve"> ministrijas valsts sekretāre</w:t>
      </w:r>
      <w:r w:rsidR="005C1318">
        <w:rPr>
          <w:sz w:val="28"/>
          <w:lang w:val="lv-LV"/>
        </w:rPr>
        <w:tab/>
      </w:r>
      <w:r w:rsidR="005C1318">
        <w:rPr>
          <w:sz w:val="28"/>
          <w:lang w:val="lv-LV"/>
        </w:rPr>
        <w:tab/>
      </w:r>
      <w:r w:rsidRPr="005C1318">
        <w:rPr>
          <w:sz w:val="28"/>
          <w:lang w:val="lv-LV"/>
        </w:rPr>
        <w:tab/>
        <w:t>Dace Lucaua</w:t>
      </w:r>
    </w:p>
    <w:p w14:paraId="737B0AB1" w14:textId="77777777" w:rsidR="00494001" w:rsidRDefault="00494001" w:rsidP="001532AD">
      <w:pPr>
        <w:jc w:val="both"/>
        <w:rPr>
          <w:sz w:val="20"/>
          <w:szCs w:val="20"/>
          <w:lang w:val="lv-LV"/>
        </w:rPr>
      </w:pPr>
    </w:p>
    <w:p w14:paraId="52562043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4D207CD6" w14:textId="77777777" w:rsidR="00AA57C6" w:rsidRDefault="00AA57C6" w:rsidP="001532AD">
      <w:pPr>
        <w:jc w:val="both"/>
        <w:rPr>
          <w:sz w:val="20"/>
          <w:szCs w:val="20"/>
          <w:lang w:val="lv-LV"/>
        </w:rPr>
      </w:pPr>
    </w:p>
    <w:p w14:paraId="173818FD" w14:textId="77777777" w:rsidR="00386DA4" w:rsidRDefault="00386DA4" w:rsidP="001532AD">
      <w:pPr>
        <w:jc w:val="both"/>
        <w:rPr>
          <w:sz w:val="20"/>
          <w:szCs w:val="20"/>
          <w:lang w:val="lv-LV"/>
        </w:rPr>
      </w:pPr>
    </w:p>
    <w:p w14:paraId="5E235F80" w14:textId="77777777" w:rsidR="00386DA4" w:rsidRDefault="00386DA4" w:rsidP="001532AD">
      <w:pPr>
        <w:jc w:val="both"/>
        <w:rPr>
          <w:sz w:val="20"/>
          <w:szCs w:val="20"/>
          <w:lang w:val="lv-LV"/>
        </w:rPr>
      </w:pPr>
    </w:p>
    <w:p w14:paraId="0E13972E" w14:textId="77777777" w:rsidR="00386DA4" w:rsidRDefault="00386DA4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</w:p>
    <w:p w14:paraId="7261F70E" w14:textId="77777777" w:rsidR="00AA57C6" w:rsidRPr="00AA57C6" w:rsidRDefault="00AA57C6" w:rsidP="00AA57C6">
      <w:pPr>
        <w:jc w:val="both"/>
        <w:rPr>
          <w:sz w:val="20"/>
          <w:szCs w:val="20"/>
          <w:lang w:val="lv-LV"/>
        </w:rPr>
      </w:pPr>
    </w:p>
    <w:p w14:paraId="334FC1B5" w14:textId="77777777" w:rsidR="005C1318" w:rsidRPr="005C1318" w:rsidRDefault="00AA57C6" w:rsidP="005C1318">
      <w:pPr>
        <w:jc w:val="both"/>
        <w:rPr>
          <w:lang w:val="lv-LV"/>
        </w:rPr>
      </w:pPr>
      <w:r w:rsidRPr="005C1318">
        <w:rPr>
          <w:lang w:val="lv-LV"/>
        </w:rPr>
        <w:t>Tora</w:t>
      </w:r>
      <w:r w:rsidR="005C1318" w:rsidRPr="005C1318">
        <w:rPr>
          <w:lang w:val="lv-LV"/>
        </w:rPr>
        <w:t xml:space="preserve"> </w:t>
      </w:r>
      <w:r w:rsidRPr="005C1318">
        <w:rPr>
          <w:lang w:val="lv-LV"/>
        </w:rPr>
        <w:t>67027620</w:t>
      </w:r>
    </w:p>
    <w:p w14:paraId="15C70CB5" w14:textId="77777777" w:rsidR="001532AD" w:rsidRPr="005C1318" w:rsidRDefault="00386DA4" w:rsidP="005C1318">
      <w:pPr>
        <w:jc w:val="both"/>
        <w:rPr>
          <w:lang w:val="lv-LV"/>
        </w:rPr>
      </w:pPr>
      <w:hyperlink r:id="rId9" w:history="1">
        <w:r w:rsidR="00D170D1" w:rsidRPr="005C1318">
          <w:rPr>
            <w:rStyle w:val="Hipersaite"/>
            <w:lang w:val="lv-LV"/>
          </w:rPr>
          <w:t>Aija.Tora@zm.gov.lv</w:t>
        </w:r>
      </w:hyperlink>
      <w:r w:rsidR="00D170D1" w:rsidRPr="005C1318">
        <w:rPr>
          <w:lang w:val="lv-LV"/>
        </w:rPr>
        <w:t xml:space="preserve"> </w:t>
      </w:r>
    </w:p>
    <w:sectPr w:rsidR="001532AD" w:rsidRPr="005C1318" w:rsidSect="00766002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ECB8" w14:textId="77777777" w:rsidR="00313280" w:rsidRDefault="00313280">
      <w:r>
        <w:separator/>
      </w:r>
    </w:p>
  </w:endnote>
  <w:endnote w:type="continuationSeparator" w:id="0">
    <w:p w14:paraId="5EF387DD" w14:textId="77777777" w:rsidR="00313280" w:rsidRDefault="0031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F4DE" w14:textId="729143F2" w:rsidR="0031149B" w:rsidRPr="005C1318" w:rsidRDefault="005C1318" w:rsidP="005C1318">
    <w:pPr>
      <w:pStyle w:val="Kjene"/>
    </w:pPr>
    <w:r w:rsidRPr="005C1318">
      <w:rPr>
        <w:rFonts w:ascii="Times New Roman" w:hAnsi="Times New Roman"/>
        <w:sz w:val="20"/>
      </w:rPr>
      <w:t>ZM</w:t>
    </w:r>
    <w:r w:rsidR="007B036C">
      <w:rPr>
        <w:rFonts w:ascii="Times New Roman" w:hAnsi="Times New Roman"/>
        <w:sz w:val="20"/>
      </w:rPr>
      <w:t>a</w:t>
    </w:r>
    <w:r w:rsidRPr="005C1318">
      <w:rPr>
        <w:rFonts w:ascii="Times New Roman" w:hAnsi="Times New Roman"/>
        <w:sz w:val="20"/>
      </w:rPr>
      <w:t>not_2</w:t>
    </w:r>
    <w:r w:rsidR="007B036C">
      <w:rPr>
        <w:rFonts w:ascii="Times New Roman" w:hAnsi="Times New Roman"/>
        <w:sz w:val="20"/>
      </w:rPr>
      <w:t>4</w:t>
    </w:r>
    <w:r w:rsidRPr="005C1318">
      <w:rPr>
        <w:rFonts w:ascii="Times New Roman" w:hAnsi="Times New Roman"/>
        <w:sz w:val="20"/>
      </w:rPr>
      <w:t>0</w:t>
    </w:r>
    <w:r w:rsidR="007B036C">
      <w:rPr>
        <w:rFonts w:ascii="Times New Roman" w:hAnsi="Times New Roman"/>
        <w:sz w:val="20"/>
      </w:rPr>
      <w:t>8</w:t>
    </w:r>
    <w:r w:rsidRPr="005C1318">
      <w:rPr>
        <w:rFonts w:ascii="Times New Roman" w:hAnsi="Times New Roman"/>
        <w:sz w:val="20"/>
      </w:rPr>
      <w:t>17_blakprod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4B6D" w14:textId="6A0A0D73" w:rsidR="0031149B" w:rsidRPr="005C1318" w:rsidRDefault="005C1318" w:rsidP="005C1318">
    <w:pPr>
      <w:pStyle w:val="Kjene"/>
    </w:pPr>
    <w:r w:rsidRPr="005C1318">
      <w:rPr>
        <w:rFonts w:ascii="Times New Roman" w:hAnsi="Times New Roman"/>
        <w:sz w:val="20"/>
      </w:rPr>
      <w:t>ZM</w:t>
    </w:r>
    <w:r w:rsidR="007B036C">
      <w:rPr>
        <w:rFonts w:ascii="Times New Roman" w:hAnsi="Times New Roman"/>
        <w:sz w:val="20"/>
      </w:rPr>
      <w:t>a</w:t>
    </w:r>
    <w:r w:rsidRPr="005C1318">
      <w:rPr>
        <w:rFonts w:ascii="Times New Roman" w:hAnsi="Times New Roman"/>
        <w:sz w:val="20"/>
      </w:rPr>
      <w:t>not_2</w:t>
    </w:r>
    <w:r w:rsidR="007B036C">
      <w:rPr>
        <w:rFonts w:ascii="Times New Roman" w:hAnsi="Times New Roman"/>
        <w:sz w:val="20"/>
      </w:rPr>
      <w:t>4</w:t>
    </w:r>
    <w:r w:rsidRPr="005C1318">
      <w:rPr>
        <w:rFonts w:ascii="Times New Roman" w:hAnsi="Times New Roman"/>
        <w:sz w:val="20"/>
      </w:rPr>
      <w:t>0</w:t>
    </w:r>
    <w:r w:rsidR="007B036C">
      <w:rPr>
        <w:rFonts w:ascii="Times New Roman" w:hAnsi="Times New Roman"/>
        <w:sz w:val="20"/>
      </w:rPr>
      <w:t>8</w:t>
    </w:r>
    <w:r w:rsidRPr="005C1318">
      <w:rPr>
        <w:rFonts w:ascii="Times New Roman" w:hAnsi="Times New Roman"/>
        <w:sz w:val="20"/>
      </w:rPr>
      <w:t>17_blakprod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A8B4A" w14:textId="77777777" w:rsidR="00313280" w:rsidRDefault="00313280">
      <w:r>
        <w:separator/>
      </w:r>
    </w:p>
  </w:footnote>
  <w:footnote w:type="continuationSeparator" w:id="0">
    <w:p w14:paraId="3D76B453" w14:textId="77777777" w:rsidR="00313280" w:rsidRDefault="0031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717A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1181CE0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EBBE" w14:textId="67E52C55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86DA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68CBDEC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3E5C35"/>
    <w:multiLevelType w:val="hybridMultilevel"/>
    <w:tmpl w:val="BC6E66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6"/>
  </w:num>
  <w:num w:numId="17">
    <w:abstractNumId w:val="3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006B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46DC6"/>
    <w:rsid w:val="00054536"/>
    <w:rsid w:val="00056991"/>
    <w:rsid w:val="00057FBC"/>
    <w:rsid w:val="00061C3A"/>
    <w:rsid w:val="0006433F"/>
    <w:rsid w:val="0006719B"/>
    <w:rsid w:val="0007255F"/>
    <w:rsid w:val="00072622"/>
    <w:rsid w:val="00074423"/>
    <w:rsid w:val="000744AE"/>
    <w:rsid w:val="00074D2A"/>
    <w:rsid w:val="000753A9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263"/>
    <w:rsid w:val="000A19E2"/>
    <w:rsid w:val="000A2AA7"/>
    <w:rsid w:val="000A2CED"/>
    <w:rsid w:val="000A2F9D"/>
    <w:rsid w:val="000A5652"/>
    <w:rsid w:val="000A67CD"/>
    <w:rsid w:val="000B076F"/>
    <w:rsid w:val="000B32EF"/>
    <w:rsid w:val="000B3D3E"/>
    <w:rsid w:val="000B492A"/>
    <w:rsid w:val="000B5EAD"/>
    <w:rsid w:val="000B62DF"/>
    <w:rsid w:val="000B6523"/>
    <w:rsid w:val="000B77B7"/>
    <w:rsid w:val="000B7AB8"/>
    <w:rsid w:val="000C0FA7"/>
    <w:rsid w:val="000C1E85"/>
    <w:rsid w:val="000C5D0D"/>
    <w:rsid w:val="000D0329"/>
    <w:rsid w:val="000D0616"/>
    <w:rsid w:val="000D3B4D"/>
    <w:rsid w:val="000D46FA"/>
    <w:rsid w:val="000D51C7"/>
    <w:rsid w:val="000D57DA"/>
    <w:rsid w:val="000D5D32"/>
    <w:rsid w:val="000E212B"/>
    <w:rsid w:val="000E3DB2"/>
    <w:rsid w:val="000E4067"/>
    <w:rsid w:val="000E47D5"/>
    <w:rsid w:val="000E590E"/>
    <w:rsid w:val="000E5F80"/>
    <w:rsid w:val="000E6887"/>
    <w:rsid w:val="000E6933"/>
    <w:rsid w:val="000E75D1"/>
    <w:rsid w:val="000F01FC"/>
    <w:rsid w:val="000F0966"/>
    <w:rsid w:val="000F2EB4"/>
    <w:rsid w:val="000F32C8"/>
    <w:rsid w:val="000F47BA"/>
    <w:rsid w:val="000F736E"/>
    <w:rsid w:val="000F7A95"/>
    <w:rsid w:val="00100B1F"/>
    <w:rsid w:val="00100FE3"/>
    <w:rsid w:val="001017AD"/>
    <w:rsid w:val="00101C8A"/>
    <w:rsid w:val="00101DE0"/>
    <w:rsid w:val="00101E0B"/>
    <w:rsid w:val="00101FBE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3E38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27D5"/>
    <w:rsid w:val="00133023"/>
    <w:rsid w:val="001345CB"/>
    <w:rsid w:val="001347E9"/>
    <w:rsid w:val="00134B4B"/>
    <w:rsid w:val="00134D78"/>
    <w:rsid w:val="00136C98"/>
    <w:rsid w:val="00137B2C"/>
    <w:rsid w:val="00140B4C"/>
    <w:rsid w:val="0014129D"/>
    <w:rsid w:val="00142F10"/>
    <w:rsid w:val="0014319C"/>
    <w:rsid w:val="00143A9E"/>
    <w:rsid w:val="001466B6"/>
    <w:rsid w:val="00147201"/>
    <w:rsid w:val="00150011"/>
    <w:rsid w:val="00150845"/>
    <w:rsid w:val="0015254E"/>
    <w:rsid w:val="001532AD"/>
    <w:rsid w:val="00153C68"/>
    <w:rsid w:val="0015551E"/>
    <w:rsid w:val="00155B89"/>
    <w:rsid w:val="00157791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0FBF"/>
    <w:rsid w:val="00171315"/>
    <w:rsid w:val="00171BA0"/>
    <w:rsid w:val="001739AD"/>
    <w:rsid w:val="001751F5"/>
    <w:rsid w:val="001764AE"/>
    <w:rsid w:val="00176E50"/>
    <w:rsid w:val="00182729"/>
    <w:rsid w:val="00182C1E"/>
    <w:rsid w:val="00191538"/>
    <w:rsid w:val="001919A5"/>
    <w:rsid w:val="001927BC"/>
    <w:rsid w:val="00193BB3"/>
    <w:rsid w:val="001942B7"/>
    <w:rsid w:val="00194F01"/>
    <w:rsid w:val="00196B16"/>
    <w:rsid w:val="0019796A"/>
    <w:rsid w:val="0019798B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3204"/>
    <w:rsid w:val="001C438F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118"/>
    <w:rsid w:val="001E7670"/>
    <w:rsid w:val="001E7DC0"/>
    <w:rsid w:val="001F1642"/>
    <w:rsid w:val="001F1EEA"/>
    <w:rsid w:val="001F373B"/>
    <w:rsid w:val="001F4078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5C31"/>
    <w:rsid w:val="002060A1"/>
    <w:rsid w:val="0020639A"/>
    <w:rsid w:val="00206FF3"/>
    <w:rsid w:val="00210E44"/>
    <w:rsid w:val="00211F0D"/>
    <w:rsid w:val="00212025"/>
    <w:rsid w:val="0021306B"/>
    <w:rsid w:val="0021364F"/>
    <w:rsid w:val="002234A1"/>
    <w:rsid w:val="00224CE4"/>
    <w:rsid w:val="00230D6B"/>
    <w:rsid w:val="00231633"/>
    <w:rsid w:val="00231888"/>
    <w:rsid w:val="00231A8F"/>
    <w:rsid w:val="0023257C"/>
    <w:rsid w:val="0023303C"/>
    <w:rsid w:val="0023603D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1268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5A1"/>
    <w:rsid w:val="00292C3C"/>
    <w:rsid w:val="00294063"/>
    <w:rsid w:val="0029410D"/>
    <w:rsid w:val="00294367"/>
    <w:rsid w:val="00294BBF"/>
    <w:rsid w:val="00294C91"/>
    <w:rsid w:val="002955EA"/>
    <w:rsid w:val="0029700C"/>
    <w:rsid w:val="00297244"/>
    <w:rsid w:val="002979F1"/>
    <w:rsid w:val="002A03D5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6FF8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C74B8"/>
    <w:rsid w:val="002D06D5"/>
    <w:rsid w:val="002D1A3D"/>
    <w:rsid w:val="002D1D38"/>
    <w:rsid w:val="002D32C4"/>
    <w:rsid w:val="002D4981"/>
    <w:rsid w:val="002E125A"/>
    <w:rsid w:val="002E133F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3280"/>
    <w:rsid w:val="00315C3F"/>
    <w:rsid w:val="0031720E"/>
    <w:rsid w:val="0032141D"/>
    <w:rsid w:val="00321CBC"/>
    <w:rsid w:val="00321CF7"/>
    <w:rsid w:val="00323410"/>
    <w:rsid w:val="0032382E"/>
    <w:rsid w:val="0032527A"/>
    <w:rsid w:val="00326D8C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3F9F"/>
    <w:rsid w:val="003552B9"/>
    <w:rsid w:val="003559CE"/>
    <w:rsid w:val="00356DA0"/>
    <w:rsid w:val="00356E2C"/>
    <w:rsid w:val="0035775C"/>
    <w:rsid w:val="003608C4"/>
    <w:rsid w:val="003617EA"/>
    <w:rsid w:val="0036198C"/>
    <w:rsid w:val="00362876"/>
    <w:rsid w:val="00363ADB"/>
    <w:rsid w:val="003653D8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5AF3"/>
    <w:rsid w:val="00386887"/>
    <w:rsid w:val="00386DA4"/>
    <w:rsid w:val="0038793B"/>
    <w:rsid w:val="00390386"/>
    <w:rsid w:val="00390487"/>
    <w:rsid w:val="00390C21"/>
    <w:rsid w:val="00394F91"/>
    <w:rsid w:val="00396612"/>
    <w:rsid w:val="00396735"/>
    <w:rsid w:val="003A08D6"/>
    <w:rsid w:val="003A2D71"/>
    <w:rsid w:val="003A4522"/>
    <w:rsid w:val="003A4C44"/>
    <w:rsid w:val="003A58B9"/>
    <w:rsid w:val="003A5A85"/>
    <w:rsid w:val="003A6379"/>
    <w:rsid w:val="003A68EB"/>
    <w:rsid w:val="003A71E0"/>
    <w:rsid w:val="003B2587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D755D"/>
    <w:rsid w:val="003E01EA"/>
    <w:rsid w:val="003E1930"/>
    <w:rsid w:val="003E1A05"/>
    <w:rsid w:val="003E36E3"/>
    <w:rsid w:val="003E42F6"/>
    <w:rsid w:val="003E4C5B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07"/>
    <w:rsid w:val="0040663B"/>
    <w:rsid w:val="004067FF"/>
    <w:rsid w:val="004071C3"/>
    <w:rsid w:val="00407B32"/>
    <w:rsid w:val="00410684"/>
    <w:rsid w:val="00412458"/>
    <w:rsid w:val="00412FAC"/>
    <w:rsid w:val="00413A82"/>
    <w:rsid w:val="00414016"/>
    <w:rsid w:val="00415584"/>
    <w:rsid w:val="0041746C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47CFF"/>
    <w:rsid w:val="00452962"/>
    <w:rsid w:val="00453031"/>
    <w:rsid w:val="00454E19"/>
    <w:rsid w:val="00457DA3"/>
    <w:rsid w:val="00457DFD"/>
    <w:rsid w:val="00457FF3"/>
    <w:rsid w:val="00460952"/>
    <w:rsid w:val="004625E8"/>
    <w:rsid w:val="0046268C"/>
    <w:rsid w:val="00464332"/>
    <w:rsid w:val="0046446B"/>
    <w:rsid w:val="004645B8"/>
    <w:rsid w:val="004659CA"/>
    <w:rsid w:val="00467902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641E"/>
    <w:rsid w:val="00486F47"/>
    <w:rsid w:val="00487096"/>
    <w:rsid w:val="004878C7"/>
    <w:rsid w:val="00487CE5"/>
    <w:rsid w:val="00490A06"/>
    <w:rsid w:val="00490F90"/>
    <w:rsid w:val="004919FF"/>
    <w:rsid w:val="0049221B"/>
    <w:rsid w:val="004927A6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1002"/>
    <w:rsid w:val="004B3171"/>
    <w:rsid w:val="004B55B6"/>
    <w:rsid w:val="004B6420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4F7F03"/>
    <w:rsid w:val="0050091A"/>
    <w:rsid w:val="005013FD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0754"/>
    <w:rsid w:val="00512A7E"/>
    <w:rsid w:val="00516572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CA0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496E"/>
    <w:rsid w:val="00556FB2"/>
    <w:rsid w:val="005601FE"/>
    <w:rsid w:val="00562E79"/>
    <w:rsid w:val="00563687"/>
    <w:rsid w:val="005648B8"/>
    <w:rsid w:val="00567B70"/>
    <w:rsid w:val="00570BD3"/>
    <w:rsid w:val="00571E48"/>
    <w:rsid w:val="0057206B"/>
    <w:rsid w:val="00572BC9"/>
    <w:rsid w:val="00573715"/>
    <w:rsid w:val="0057449E"/>
    <w:rsid w:val="00575B15"/>
    <w:rsid w:val="005814CB"/>
    <w:rsid w:val="00581A16"/>
    <w:rsid w:val="005820CE"/>
    <w:rsid w:val="00583A68"/>
    <w:rsid w:val="00583FA0"/>
    <w:rsid w:val="00584C4B"/>
    <w:rsid w:val="005858F2"/>
    <w:rsid w:val="00585936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5F56"/>
    <w:rsid w:val="005B6F87"/>
    <w:rsid w:val="005B7245"/>
    <w:rsid w:val="005B772E"/>
    <w:rsid w:val="005C0943"/>
    <w:rsid w:val="005C0E61"/>
    <w:rsid w:val="005C1318"/>
    <w:rsid w:val="005C31F5"/>
    <w:rsid w:val="005C60C8"/>
    <w:rsid w:val="005C7AAB"/>
    <w:rsid w:val="005D2108"/>
    <w:rsid w:val="005D29F6"/>
    <w:rsid w:val="005D606E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07A39"/>
    <w:rsid w:val="00613168"/>
    <w:rsid w:val="00613E0F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5BD"/>
    <w:rsid w:val="00637747"/>
    <w:rsid w:val="0063784C"/>
    <w:rsid w:val="00637DC1"/>
    <w:rsid w:val="006409CE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C23"/>
    <w:rsid w:val="00657962"/>
    <w:rsid w:val="00660770"/>
    <w:rsid w:val="00660CB0"/>
    <w:rsid w:val="006610C7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0FC4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3C03"/>
    <w:rsid w:val="0069612C"/>
    <w:rsid w:val="00696562"/>
    <w:rsid w:val="006A073E"/>
    <w:rsid w:val="006A1F3F"/>
    <w:rsid w:val="006A29A5"/>
    <w:rsid w:val="006A3CD4"/>
    <w:rsid w:val="006A406C"/>
    <w:rsid w:val="006A43F4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457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0700"/>
    <w:rsid w:val="006E081E"/>
    <w:rsid w:val="006E3915"/>
    <w:rsid w:val="006E4A20"/>
    <w:rsid w:val="006E4D0B"/>
    <w:rsid w:val="006E5E3E"/>
    <w:rsid w:val="006E63AB"/>
    <w:rsid w:val="006E6F98"/>
    <w:rsid w:val="006F0514"/>
    <w:rsid w:val="006F23C2"/>
    <w:rsid w:val="006F4812"/>
    <w:rsid w:val="006F630C"/>
    <w:rsid w:val="00700419"/>
    <w:rsid w:val="00701EAF"/>
    <w:rsid w:val="00703C2C"/>
    <w:rsid w:val="00705B9B"/>
    <w:rsid w:val="00707573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DD1"/>
    <w:rsid w:val="00733FEB"/>
    <w:rsid w:val="007356AD"/>
    <w:rsid w:val="007368F7"/>
    <w:rsid w:val="007405E0"/>
    <w:rsid w:val="00740B1F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6A4F"/>
    <w:rsid w:val="00757B05"/>
    <w:rsid w:val="00763977"/>
    <w:rsid w:val="00766002"/>
    <w:rsid w:val="007671F2"/>
    <w:rsid w:val="0076750E"/>
    <w:rsid w:val="007677EC"/>
    <w:rsid w:val="0077380D"/>
    <w:rsid w:val="00773A0C"/>
    <w:rsid w:val="007740D3"/>
    <w:rsid w:val="007740E5"/>
    <w:rsid w:val="00774566"/>
    <w:rsid w:val="00774CB1"/>
    <w:rsid w:val="00775801"/>
    <w:rsid w:val="00775F62"/>
    <w:rsid w:val="007762A2"/>
    <w:rsid w:val="007767AC"/>
    <w:rsid w:val="00776BD3"/>
    <w:rsid w:val="00780F76"/>
    <w:rsid w:val="0078183B"/>
    <w:rsid w:val="00782D80"/>
    <w:rsid w:val="00784E48"/>
    <w:rsid w:val="00785231"/>
    <w:rsid w:val="0078718E"/>
    <w:rsid w:val="0079339B"/>
    <w:rsid w:val="007937F3"/>
    <w:rsid w:val="00793BAB"/>
    <w:rsid w:val="00794A34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036C"/>
    <w:rsid w:val="007B4D27"/>
    <w:rsid w:val="007B665B"/>
    <w:rsid w:val="007B7907"/>
    <w:rsid w:val="007B7BB7"/>
    <w:rsid w:val="007C1617"/>
    <w:rsid w:val="007C1935"/>
    <w:rsid w:val="007C3E31"/>
    <w:rsid w:val="007C4B74"/>
    <w:rsid w:val="007C500A"/>
    <w:rsid w:val="007C77C6"/>
    <w:rsid w:val="007D0664"/>
    <w:rsid w:val="007D0B96"/>
    <w:rsid w:val="007D3B45"/>
    <w:rsid w:val="007D44C5"/>
    <w:rsid w:val="007D48E7"/>
    <w:rsid w:val="007D4BDE"/>
    <w:rsid w:val="007D509F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8D7"/>
    <w:rsid w:val="00801D1A"/>
    <w:rsid w:val="0080386D"/>
    <w:rsid w:val="00805025"/>
    <w:rsid w:val="00805453"/>
    <w:rsid w:val="008071B8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274"/>
    <w:rsid w:val="0082265D"/>
    <w:rsid w:val="00822F01"/>
    <w:rsid w:val="008231FE"/>
    <w:rsid w:val="00823895"/>
    <w:rsid w:val="0083036C"/>
    <w:rsid w:val="00831A6C"/>
    <w:rsid w:val="00833431"/>
    <w:rsid w:val="00835193"/>
    <w:rsid w:val="0083605E"/>
    <w:rsid w:val="00836D4E"/>
    <w:rsid w:val="00836F29"/>
    <w:rsid w:val="00843128"/>
    <w:rsid w:val="00843DF3"/>
    <w:rsid w:val="0084563D"/>
    <w:rsid w:val="00845CD4"/>
    <w:rsid w:val="00846711"/>
    <w:rsid w:val="00846F1D"/>
    <w:rsid w:val="00854598"/>
    <w:rsid w:val="00854A4B"/>
    <w:rsid w:val="00855B0F"/>
    <w:rsid w:val="00856738"/>
    <w:rsid w:val="00856DA5"/>
    <w:rsid w:val="00863961"/>
    <w:rsid w:val="0086556F"/>
    <w:rsid w:val="008665A4"/>
    <w:rsid w:val="00866A58"/>
    <w:rsid w:val="0086732B"/>
    <w:rsid w:val="00870DD5"/>
    <w:rsid w:val="00872599"/>
    <w:rsid w:val="00872E8D"/>
    <w:rsid w:val="0087489D"/>
    <w:rsid w:val="00875E5C"/>
    <w:rsid w:val="008762A7"/>
    <w:rsid w:val="00877AFB"/>
    <w:rsid w:val="00877F28"/>
    <w:rsid w:val="00880407"/>
    <w:rsid w:val="00880FF9"/>
    <w:rsid w:val="00881938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9738B"/>
    <w:rsid w:val="008A14F2"/>
    <w:rsid w:val="008A33A9"/>
    <w:rsid w:val="008A4B6E"/>
    <w:rsid w:val="008A4C9D"/>
    <w:rsid w:val="008A54A5"/>
    <w:rsid w:val="008A7380"/>
    <w:rsid w:val="008B07A1"/>
    <w:rsid w:val="008B0C60"/>
    <w:rsid w:val="008B0F1E"/>
    <w:rsid w:val="008B248C"/>
    <w:rsid w:val="008B409E"/>
    <w:rsid w:val="008B4887"/>
    <w:rsid w:val="008B4F29"/>
    <w:rsid w:val="008B749D"/>
    <w:rsid w:val="008C33A0"/>
    <w:rsid w:val="008C352D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3D43"/>
    <w:rsid w:val="008F576B"/>
    <w:rsid w:val="008F6EF8"/>
    <w:rsid w:val="008F7098"/>
    <w:rsid w:val="009003B8"/>
    <w:rsid w:val="009036E0"/>
    <w:rsid w:val="009061FF"/>
    <w:rsid w:val="0091356D"/>
    <w:rsid w:val="009138D4"/>
    <w:rsid w:val="00913F3A"/>
    <w:rsid w:val="0091545F"/>
    <w:rsid w:val="00915777"/>
    <w:rsid w:val="00916709"/>
    <w:rsid w:val="00922501"/>
    <w:rsid w:val="00922CC9"/>
    <w:rsid w:val="0092335B"/>
    <w:rsid w:val="00925390"/>
    <w:rsid w:val="009278E8"/>
    <w:rsid w:val="00930777"/>
    <w:rsid w:val="00933742"/>
    <w:rsid w:val="009340A8"/>
    <w:rsid w:val="00936AEC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776CF"/>
    <w:rsid w:val="009816F5"/>
    <w:rsid w:val="00982973"/>
    <w:rsid w:val="00982C78"/>
    <w:rsid w:val="0098399E"/>
    <w:rsid w:val="00985348"/>
    <w:rsid w:val="00985B95"/>
    <w:rsid w:val="0099066A"/>
    <w:rsid w:val="009928F2"/>
    <w:rsid w:val="0099390A"/>
    <w:rsid w:val="009956CF"/>
    <w:rsid w:val="00996A3D"/>
    <w:rsid w:val="009A0242"/>
    <w:rsid w:val="009A17A9"/>
    <w:rsid w:val="009A24CA"/>
    <w:rsid w:val="009A2D38"/>
    <w:rsid w:val="009A38B0"/>
    <w:rsid w:val="009A49E1"/>
    <w:rsid w:val="009A678E"/>
    <w:rsid w:val="009A7AFC"/>
    <w:rsid w:val="009B071B"/>
    <w:rsid w:val="009B3028"/>
    <w:rsid w:val="009B3D43"/>
    <w:rsid w:val="009B4F7D"/>
    <w:rsid w:val="009B54FD"/>
    <w:rsid w:val="009B72FA"/>
    <w:rsid w:val="009B7FF9"/>
    <w:rsid w:val="009C2A21"/>
    <w:rsid w:val="009C3E14"/>
    <w:rsid w:val="009C5246"/>
    <w:rsid w:val="009C5DEA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3D1F"/>
    <w:rsid w:val="009F4C7E"/>
    <w:rsid w:val="009F5B68"/>
    <w:rsid w:val="00A0091D"/>
    <w:rsid w:val="00A01364"/>
    <w:rsid w:val="00A01405"/>
    <w:rsid w:val="00A02244"/>
    <w:rsid w:val="00A032DE"/>
    <w:rsid w:val="00A03761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1B69"/>
    <w:rsid w:val="00A220DD"/>
    <w:rsid w:val="00A22819"/>
    <w:rsid w:val="00A262F2"/>
    <w:rsid w:val="00A264CC"/>
    <w:rsid w:val="00A26A95"/>
    <w:rsid w:val="00A26D42"/>
    <w:rsid w:val="00A3317E"/>
    <w:rsid w:val="00A33B47"/>
    <w:rsid w:val="00A33E9A"/>
    <w:rsid w:val="00A36F9A"/>
    <w:rsid w:val="00A37939"/>
    <w:rsid w:val="00A40717"/>
    <w:rsid w:val="00A41344"/>
    <w:rsid w:val="00A43D8A"/>
    <w:rsid w:val="00A44457"/>
    <w:rsid w:val="00A44EA9"/>
    <w:rsid w:val="00A46FF1"/>
    <w:rsid w:val="00A506DF"/>
    <w:rsid w:val="00A5272A"/>
    <w:rsid w:val="00A604F2"/>
    <w:rsid w:val="00A618F6"/>
    <w:rsid w:val="00A62F5B"/>
    <w:rsid w:val="00A6353D"/>
    <w:rsid w:val="00A7445D"/>
    <w:rsid w:val="00A74DE3"/>
    <w:rsid w:val="00A7681E"/>
    <w:rsid w:val="00A778D7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895"/>
    <w:rsid w:val="00A91A3A"/>
    <w:rsid w:val="00A92A68"/>
    <w:rsid w:val="00A92FD6"/>
    <w:rsid w:val="00A941D4"/>
    <w:rsid w:val="00A94A83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7C6"/>
    <w:rsid w:val="00AA5FBC"/>
    <w:rsid w:val="00AB2EE0"/>
    <w:rsid w:val="00AB5A60"/>
    <w:rsid w:val="00AC0691"/>
    <w:rsid w:val="00AC18A0"/>
    <w:rsid w:val="00AC2439"/>
    <w:rsid w:val="00AC7264"/>
    <w:rsid w:val="00AD2058"/>
    <w:rsid w:val="00AD3AF0"/>
    <w:rsid w:val="00AD3FDA"/>
    <w:rsid w:val="00AD5580"/>
    <w:rsid w:val="00AD6CBC"/>
    <w:rsid w:val="00AE02A3"/>
    <w:rsid w:val="00AE3E97"/>
    <w:rsid w:val="00AE3ECB"/>
    <w:rsid w:val="00AE500B"/>
    <w:rsid w:val="00AE5F2A"/>
    <w:rsid w:val="00AF0158"/>
    <w:rsid w:val="00AF15DC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2F83"/>
    <w:rsid w:val="00B14407"/>
    <w:rsid w:val="00B14869"/>
    <w:rsid w:val="00B158D4"/>
    <w:rsid w:val="00B16224"/>
    <w:rsid w:val="00B1665B"/>
    <w:rsid w:val="00B1671A"/>
    <w:rsid w:val="00B16F19"/>
    <w:rsid w:val="00B226E6"/>
    <w:rsid w:val="00B24279"/>
    <w:rsid w:val="00B25018"/>
    <w:rsid w:val="00B2516E"/>
    <w:rsid w:val="00B25C20"/>
    <w:rsid w:val="00B26C16"/>
    <w:rsid w:val="00B26E52"/>
    <w:rsid w:val="00B27267"/>
    <w:rsid w:val="00B3133E"/>
    <w:rsid w:val="00B33F99"/>
    <w:rsid w:val="00B3698C"/>
    <w:rsid w:val="00B36DAD"/>
    <w:rsid w:val="00B40B98"/>
    <w:rsid w:val="00B42000"/>
    <w:rsid w:val="00B42144"/>
    <w:rsid w:val="00B450F0"/>
    <w:rsid w:val="00B46AA9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6B7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1E85"/>
    <w:rsid w:val="00B829FB"/>
    <w:rsid w:val="00B82F71"/>
    <w:rsid w:val="00B83230"/>
    <w:rsid w:val="00B84E28"/>
    <w:rsid w:val="00B84EBA"/>
    <w:rsid w:val="00B84FA7"/>
    <w:rsid w:val="00B85613"/>
    <w:rsid w:val="00B85F3C"/>
    <w:rsid w:val="00B861A1"/>
    <w:rsid w:val="00B87389"/>
    <w:rsid w:val="00B90FB8"/>
    <w:rsid w:val="00B9449B"/>
    <w:rsid w:val="00B94CC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489B"/>
    <w:rsid w:val="00BC7BCD"/>
    <w:rsid w:val="00BD03CE"/>
    <w:rsid w:val="00BD04AC"/>
    <w:rsid w:val="00BD2338"/>
    <w:rsid w:val="00BD44C9"/>
    <w:rsid w:val="00BD452D"/>
    <w:rsid w:val="00BD4AC6"/>
    <w:rsid w:val="00BD5018"/>
    <w:rsid w:val="00BD5ABC"/>
    <w:rsid w:val="00BD6039"/>
    <w:rsid w:val="00BD6E6E"/>
    <w:rsid w:val="00BD7395"/>
    <w:rsid w:val="00BD7692"/>
    <w:rsid w:val="00BE26B5"/>
    <w:rsid w:val="00BE2EDE"/>
    <w:rsid w:val="00BE31E1"/>
    <w:rsid w:val="00BE33E4"/>
    <w:rsid w:val="00BE3ED7"/>
    <w:rsid w:val="00BE4097"/>
    <w:rsid w:val="00BE4408"/>
    <w:rsid w:val="00BE4CE0"/>
    <w:rsid w:val="00BE594B"/>
    <w:rsid w:val="00BE66D4"/>
    <w:rsid w:val="00BE66E7"/>
    <w:rsid w:val="00BE6702"/>
    <w:rsid w:val="00BE7A75"/>
    <w:rsid w:val="00BE7DED"/>
    <w:rsid w:val="00BE7E71"/>
    <w:rsid w:val="00BF0780"/>
    <w:rsid w:val="00BF0AB8"/>
    <w:rsid w:val="00BF1615"/>
    <w:rsid w:val="00BF169D"/>
    <w:rsid w:val="00BF407A"/>
    <w:rsid w:val="00BF49C9"/>
    <w:rsid w:val="00BF50BA"/>
    <w:rsid w:val="00BF77E4"/>
    <w:rsid w:val="00C018B4"/>
    <w:rsid w:val="00C01D97"/>
    <w:rsid w:val="00C0292C"/>
    <w:rsid w:val="00C03693"/>
    <w:rsid w:val="00C03D98"/>
    <w:rsid w:val="00C05396"/>
    <w:rsid w:val="00C07314"/>
    <w:rsid w:val="00C11917"/>
    <w:rsid w:val="00C11C1B"/>
    <w:rsid w:val="00C11E8B"/>
    <w:rsid w:val="00C124C7"/>
    <w:rsid w:val="00C1273F"/>
    <w:rsid w:val="00C135BF"/>
    <w:rsid w:val="00C146DA"/>
    <w:rsid w:val="00C14814"/>
    <w:rsid w:val="00C14BAF"/>
    <w:rsid w:val="00C155EA"/>
    <w:rsid w:val="00C15FCD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68B"/>
    <w:rsid w:val="00C50C7E"/>
    <w:rsid w:val="00C52FCF"/>
    <w:rsid w:val="00C53289"/>
    <w:rsid w:val="00C5388E"/>
    <w:rsid w:val="00C55582"/>
    <w:rsid w:val="00C60365"/>
    <w:rsid w:val="00C61538"/>
    <w:rsid w:val="00C61A54"/>
    <w:rsid w:val="00C63C55"/>
    <w:rsid w:val="00C71031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019B"/>
    <w:rsid w:val="00C9138E"/>
    <w:rsid w:val="00C924C0"/>
    <w:rsid w:val="00C9293F"/>
    <w:rsid w:val="00C9386D"/>
    <w:rsid w:val="00C93C7D"/>
    <w:rsid w:val="00C96A52"/>
    <w:rsid w:val="00CA13B0"/>
    <w:rsid w:val="00CA1F22"/>
    <w:rsid w:val="00CA2C1C"/>
    <w:rsid w:val="00CA3234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575A"/>
    <w:rsid w:val="00CB6D16"/>
    <w:rsid w:val="00CB6D1B"/>
    <w:rsid w:val="00CB6F1D"/>
    <w:rsid w:val="00CC005F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6D0"/>
    <w:rsid w:val="00CD093E"/>
    <w:rsid w:val="00CD2B00"/>
    <w:rsid w:val="00CD3C3D"/>
    <w:rsid w:val="00CD4E19"/>
    <w:rsid w:val="00CD596D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191"/>
    <w:rsid w:val="00D03677"/>
    <w:rsid w:val="00D03D95"/>
    <w:rsid w:val="00D042D0"/>
    <w:rsid w:val="00D052A2"/>
    <w:rsid w:val="00D062E2"/>
    <w:rsid w:val="00D069FC"/>
    <w:rsid w:val="00D073A2"/>
    <w:rsid w:val="00D07F58"/>
    <w:rsid w:val="00D10015"/>
    <w:rsid w:val="00D100B0"/>
    <w:rsid w:val="00D1050C"/>
    <w:rsid w:val="00D10B5F"/>
    <w:rsid w:val="00D12371"/>
    <w:rsid w:val="00D133F1"/>
    <w:rsid w:val="00D1386A"/>
    <w:rsid w:val="00D164FA"/>
    <w:rsid w:val="00D16D4D"/>
    <w:rsid w:val="00D170D1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4B0C"/>
    <w:rsid w:val="00D850E8"/>
    <w:rsid w:val="00D85F84"/>
    <w:rsid w:val="00D861C7"/>
    <w:rsid w:val="00D86FF2"/>
    <w:rsid w:val="00D874D3"/>
    <w:rsid w:val="00D87C45"/>
    <w:rsid w:val="00D92523"/>
    <w:rsid w:val="00D9475E"/>
    <w:rsid w:val="00D95BC0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707E"/>
    <w:rsid w:val="00DD1D3A"/>
    <w:rsid w:val="00DD3C40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E761F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A9B"/>
    <w:rsid w:val="00E01B29"/>
    <w:rsid w:val="00E0287C"/>
    <w:rsid w:val="00E029E7"/>
    <w:rsid w:val="00E04435"/>
    <w:rsid w:val="00E06640"/>
    <w:rsid w:val="00E06F9B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B73"/>
    <w:rsid w:val="00E34C56"/>
    <w:rsid w:val="00E34D2F"/>
    <w:rsid w:val="00E34F56"/>
    <w:rsid w:val="00E351EE"/>
    <w:rsid w:val="00E35982"/>
    <w:rsid w:val="00E36952"/>
    <w:rsid w:val="00E36E68"/>
    <w:rsid w:val="00E37028"/>
    <w:rsid w:val="00E37F75"/>
    <w:rsid w:val="00E37FE3"/>
    <w:rsid w:val="00E40BD9"/>
    <w:rsid w:val="00E451CB"/>
    <w:rsid w:val="00E46A87"/>
    <w:rsid w:val="00E4715A"/>
    <w:rsid w:val="00E473FE"/>
    <w:rsid w:val="00E51A87"/>
    <w:rsid w:val="00E51F6C"/>
    <w:rsid w:val="00E56161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84F"/>
    <w:rsid w:val="00E85BEF"/>
    <w:rsid w:val="00E900CF"/>
    <w:rsid w:val="00E90845"/>
    <w:rsid w:val="00E911CB"/>
    <w:rsid w:val="00E933C8"/>
    <w:rsid w:val="00E9406E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A4E4C"/>
    <w:rsid w:val="00EB078B"/>
    <w:rsid w:val="00EB346F"/>
    <w:rsid w:val="00EB35CE"/>
    <w:rsid w:val="00EB395A"/>
    <w:rsid w:val="00EB489C"/>
    <w:rsid w:val="00EB4AE1"/>
    <w:rsid w:val="00EB4DFC"/>
    <w:rsid w:val="00EB59AA"/>
    <w:rsid w:val="00EB64BA"/>
    <w:rsid w:val="00EB6920"/>
    <w:rsid w:val="00EB6A46"/>
    <w:rsid w:val="00EB722D"/>
    <w:rsid w:val="00EB73E8"/>
    <w:rsid w:val="00EB74EE"/>
    <w:rsid w:val="00EB78C4"/>
    <w:rsid w:val="00EC2BA1"/>
    <w:rsid w:val="00EC31E8"/>
    <w:rsid w:val="00EC39D3"/>
    <w:rsid w:val="00EC5EE5"/>
    <w:rsid w:val="00EC60D4"/>
    <w:rsid w:val="00EC74AC"/>
    <w:rsid w:val="00EE0CD7"/>
    <w:rsid w:val="00EE0E6E"/>
    <w:rsid w:val="00EE34B2"/>
    <w:rsid w:val="00EE4CE8"/>
    <w:rsid w:val="00EE5A45"/>
    <w:rsid w:val="00EE5B1D"/>
    <w:rsid w:val="00EE6AA3"/>
    <w:rsid w:val="00EE7139"/>
    <w:rsid w:val="00EE7DF5"/>
    <w:rsid w:val="00EF22FA"/>
    <w:rsid w:val="00EF35C8"/>
    <w:rsid w:val="00EF3C41"/>
    <w:rsid w:val="00EF6239"/>
    <w:rsid w:val="00EF74B6"/>
    <w:rsid w:val="00EF7A30"/>
    <w:rsid w:val="00F016A8"/>
    <w:rsid w:val="00F01AFC"/>
    <w:rsid w:val="00F040F5"/>
    <w:rsid w:val="00F0454C"/>
    <w:rsid w:val="00F04E9C"/>
    <w:rsid w:val="00F0573E"/>
    <w:rsid w:val="00F10386"/>
    <w:rsid w:val="00F10CA9"/>
    <w:rsid w:val="00F13408"/>
    <w:rsid w:val="00F13546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00FB"/>
    <w:rsid w:val="00F31BD0"/>
    <w:rsid w:val="00F32B1E"/>
    <w:rsid w:val="00F34B64"/>
    <w:rsid w:val="00F352CC"/>
    <w:rsid w:val="00F363E9"/>
    <w:rsid w:val="00F368C0"/>
    <w:rsid w:val="00F40C07"/>
    <w:rsid w:val="00F431E3"/>
    <w:rsid w:val="00F43267"/>
    <w:rsid w:val="00F44B86"/>
    <w:rsid w:val="00F5158C"/>
    <w:rsid w:val="00F517A7"/>
    <w:rsid w:val="00F52AE8"/>
    <w:rsid w:val="00F53357"/>
    <w:rsid w:val="00F539B1"/>
    <w:rsid w:val="00F53ADF"/>
    <w:rsid w:val="00F54EE7"/>
    <w:rsid w:val="00F56ED3"/>
    <w:rsid w:val="00F57948"/>
    <w:rsid w:val="00F57AC9"/>
    <w:rsid w:val="00F57B84"/>
    <w:rsid w:val="00F6275A"/>
    <w:rsid w:val="00F629B9"/>
    <w:rsid w:val="00F6312D"/>
    <w:rsid w:val="00F639BB"/>
    <w:rsid w:val="00F6433B"/>
    <w:rsid w:val="00F64568"/>
    <w:rsid w:val="00F64F2F"/>
    <w:rsid w:val="00F66D19"/>
    <w:rsid w:val="00F67876"/>
    <w:rsid w:val="00F67FA1"/>
    <w:rsid w:val="00F70B26"/>
    <w:rsid w:val="00F72140"/>
    <w:rsid w:val="00F72274"/>
    <w:rsid w:val="00F7285C"/>
    <w:rsid w:val="00F758A4"/>
    <w:rsid w:val="00F776DA"/>
    <w:rsid w:val="00F80D92"/>
    <w:rsid w:val="00F83408"/>
    <w:rsid w:val="00F83BA3"/>
    <w:rsid w:val="00F85685"/>
    <w:rsid w:val="00F8738D"/>
    <w:rsid w:val="00F902F6"/>
    <w:rsid w:val="00F9180B"/>
    <w:rsid w:val="00F922F2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A7E55"/>
    <w:rsid w:val="00FB09C9"/>
    <w:rsid w:val="00FB0DFB"/>
    <w:rsid w:val="00FB12AC"/>
    <w:rsid w:val="00FB1D2D"/>
    <w:rsid w:val="00FB20CF"/>
    <w:rsid w:val="00FB351D"/>
    <w:rsid w:val="00FB3F9C"/>
    <w:rsid w:val="00FB4839"/>
    <w:rsid w:val="00FB5631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5D6D"/>
    <w:rsid w:val="00FC60A2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2E2D"/>
    <w:rsid w:val="00FD3CB9"/>
    <w:rsid w:val="00FD51CF"/>
    <w:rsid w:val="00FD61A0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22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1A2510"/>
  <w15:docId w15:val="{F9F16021-00C7-41C9-8829-BAC775F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table" w:styleId="Reatabula">
    <w:name w:val="Table Grid"/>
    <w:basedOn w:val="Parastatabula"/>
    <w:rsid w:val="008071B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2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516-bistamo-kravu-aprite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20516-bistamo-kravu-aprites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ja.Tora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7638</Words>
  <Characters>4355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/>
    </vt:vector>
  </TitlesOfParts>
  <Company>Zemkopības ministrija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MK noteikumu projekta anotācija</dc:subject>
  <dc:creator>Aija Tora</dc:creator>
  <dc:description>Tora 67027620_x000d_
Aija.Tora@zm.gov.lv</dc:description>
  <cp:lastModifiedBy>Sanita Žagare</cp:lastModifiedBy>
  <cp:revision>7</cp:revision>
  <cp:lastPrinted>2016-01-08T08:49:00Z</cp:lastPrinted>
  <dcterms:created xsi:type="dcterms:W3CDTF">2017-08-30T12:05:00Z</dcterms:created>
  <dcterms:modified xsi:type="dcterms:W3CDTF">2017-08-31T06:28:00Z</dcterms:modified>
</cp:coreProperties>
</file>