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B3550" w14:textId="77777777" w:rsidR="00902348" w:rsidRPr="00343631" w:rsidRDefault="00902348" w:rsidP="00902348">
      <w:pPr>
        <w:shd w:val="clear" w:color="auto" w:fill="FFFFFF"/>
        <w:contextualSpacing/>
        <w:jc w:val="center"/>
        <w:rPr>
          <w:rFonts w:eastAsia="Times New Roman" w:cs="Times New Roman"/>
          <w:b/>
          <w:bCs/>
          <w:szCs w:val="28"/>
          <w:lang w:eastAsia="lv-LV"/>
        </w:rPr>
      </w:pPr>
      <w:bookmarkStart w:id="0" w:name="_GoBack"/>
      <w:bookmarkEnd w:id="0"/>
      <w:r w:rsidRPr="00343631">
        <w:rPr>
          <w:rFonts w:eastAsia="Times New Roman" w:cs="Times New Roman"/>
          <w:b/>
          <w:bCs/>
          <w:szCs w:val="28"/>
          <w:lang w:eastAsia="lv-LV"/>
        </w:rPr>
        <w:t>Likumprojekta “Grozījumi Būvniecības likumā” sākotnējās ietekmes novērtējuma ziņojums (anotācija)</w:t>
      </w:r>
    </w:p>
    <w:p w14:paraId="4BD91581" w14:textId="77777777" w:rsidR="00902348" w:rsidRPr="00343631" w:rsidRDefault="00902348" w:rsidP="00902348">
      <w:pPr>
        <w:shd w:val="clear" w:color="auto" w:fill="FFFFFF"/>
        <w:ind w:firstLine="300"/>
        <w:contextualSpacing/>
        <w:jc w:val="center"/>
        <w:rPr>
          <w:rFonts w:eastAsia="Times New Roman" w:cs="Times New Roman"/>
          <w:i/>
          <w:iCs/>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902348" w:rsidRPr="00343631" w14:paraId="39799FBF" w14:textId="77777777" w:rsidTr="00902348">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1ACEBA" w14:textId="77777777" w:rsidR="00902348" w:rsidRPr="00343631" w:rsidRDefault="00902348" w:rsidP="00902348">
            <w:pPr>
              <w:contextualSpacing/>
              <w:jc w:val="center"/>
              <w:rPr>
                <w:rFonts w:eastAsia="Times New Roman" w:cs="Times New Roman"/>
                <w:b/>
                <w:bCs/>
                <w:szCs w:val="28"/>
                <w:lang w:eastAsia="lv-LV"/>
              </w:rPr>
            </w:pPr>
            <w:r w:rsidRPr="00343631">
              <w:rPr>
                <w:rFonts w:eastAsia="Times New Roman" w:cs="Times New Roman"/>
                <w:b/>
                <w:bCs/>
                <w:szCs w:val="28"/>
                <w:lang w:eastAsia="lv-LV"/>
              </w:rPr>
              <w:t>I. Tiesību akta projekta izstrādes nepieciešamība</w:t>
            </w:r>
          </w:p>
        </w:tc>
      </w:tr>
      <w:tr w:rsidR="00902348" w:rsidRPr="00343631" w14:paraId="13DD08DD" w14:textId="77777777" w:rsidTr="00902348">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09F224A1" w14:textId="77777777" w:rsidR="00902348" w:rsidRPr="00343631" w:rsidRDefault="00902348" w:rsidP="00902348">
            <w:pPr>
              <w:contextualSpacing/>
              <w:jc w:val="center"/>
              <w:rPr>
                <w:rFonts w:eastAsia="Times New Roman" w:cs="Times New Roman"/>
                <w:szCs w:val="28"/>
                <w:lang w:eastAsia="lv-LV"/>
              </w:rPr>
            </w:pPr>
            <w:r w:rsidRPr="00343631">
              <w:rPr>
                <w:rFonts w:eastAsia="Times New Roman" w:cs="Times New Roman"/>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2973D77B" w14:textId="77777777" w:rsidR="00902348" w:rsidRPr="00343631" w:rsidRDefault="00902348" w:rsidP="00902348">
            <w:pPr>
              <w:contextualSpacing/>
              <w:rPr>
                <w:rFonts w:eastAsia="Times New Roman" w:cs="Times New Roman"/>
                <w:szCs w:val="28"/>
                <w:lang w:eastAsia="lv-LV"/>
              </w:rPr>
            </w:pPr>
            <w:r w:rsidRPr="00343631">
              <w:rPr>
                <w:rFonts w:eastAsia="Times New Roman" w:cs="Times New Roman"/>
                <w:szCs w:val="28"/>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5C1E5CDA" w14:textId="77777777" w:rsidR="00902348" w:rsidRPr="00343631" w:rsidRDefault="00694F58" w:rsidP="003A3248">
            <w:pPr>
              <w:contextualSpacing/>
              <w:jc w:val="both"/>
              <w:rPr>
                <w:rFonts w:eastAsia="Times New Roman" w:cs="Times New Roman"/>
                <w:szCs w:val="28"/>
                <w:lang w:eastAsia="lv-LV"/>
              </w:rPr>
            </w:pPr>
            <w:r w:rsidRPr="00343631">
              <w:rPr>
                <w:rFonts w:eastAsia="Times New Roman" w:cs="Times New Roman"/>
                <w:szCs w:val="28"/>
                <w:lang w:eastAsia="lv-LV"/>
              </w:rPr>
              <w:t xml:space="preserve">Ministru kabineta </w:t>
            </w:r>
            <w:r w:rsidR="002E2A9C" w:rsidRPr="00343631">
              <w:rPr>
                <w:rFonts w:eastAsia="Times New Roman" w:cs="Times New Roman"/>
                <w:szCs w:val="28"/>
                <w:lang w:eastAsia="lv-LV"/>
              </w:rPr>
              <w:t>04.02.</w:t>
            </w:r>
            <w:r w:rsidRPr="00343631">
              <w:rPr>
                <w:rFonts w:eastAsia="Times New Roman" w:cs="Times New Roman"/>
                <w:szCs w:val="28"/>
                <w:lang w:eastAsia="lv-LV"/>
              </w:rPr>
              <w:t>2013. rīkojuma Nr.38 “Par Administratīvo sodu sistēmas attīstības koncepciju” 9.punkts</w:t>
            </w:r>
            <w:r w:rsidR="003A3248" w:rsidRPr="00343631">
              <w:rPr>
                <w:rFonts w:eastAsia="Times New Roman" w:cs="Times New Roman"/>
                <w:szCs w:val="28"/>
                <w:lang w:eastAsia="lv-LV"/>
              </w:rPr>
              <w:t xml:space="preserve"> un </w:t>
            </w:r>
            <w:r w:rsidR="005C5239" w:rsidRPr="00343631">
              <w:rPr>
                <w:rFonts w:eastAsia="Times New Roman" w:cs="Times New Roman"/>
                <w:szCs w:val="28"/>
                <w:lang w:eastAsia="lv-LV"/>
              </w:rPr>
              <w:t xml:space="preserve">Ministru kabineta </w:t>
            </w:r>
            <w:r w:rsidR="003A3248" w:rsidRPr="00343631">
              <w:rPr>
                <w:rFonts w:eastAsia="Times New Roman" w:cs="Times New Roman"/>
                <w:szCs w:val="28"/>
                <w:lang w:eastAsia="lv-LV"/>
              </w:rPr>
              <w:t>13.12.</w:t>
            </w:r>
            <w:r w:rsidR="005C5239" w:rsidRPr="00343631">
              <w:rPr>
                <w:rFonts w:eastAsia="Times New Roman" w:cs="Times New Roman"/>
                <w:szCs w:val="28"/>
                <w:lang w:eastAsia="lv-LV"/>
              </w:rPr>
              <w:t>2016. sēdes</w:t>
            </w:r>
            <w:r w:rsidR="003A3248" w:rsidRPr="00343631">
              <w:rPr>
                <w:rFonts w:eastAsia="Times New Roman" w:cs="Times New Roman"/>
                <w:szCs w:val="28"/>
                <w:lang w:eastAsia="lv-LV"/>
              </w:rPr>
              <w:t xml:space="preserve"> protokola Nr.68 67.§ “Informatīvais ziņojums “Nozaru administratīvo pārkāpumu kodifikācijas ieviešanas sistēmas īstenošana”” 2.punkts.</w:t>
            </w:r>
          </w:p>
        </w:tc>
      </w:tr>
      <w:tr w:rsidR="00902348" w:rsidRPr="00343631" w14:paraId="0A868D63" w14:textId="77777777" w:rsidTr="00902348">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1A9CED1" w14:textId="77777777" w:rsidR="00902348" w:rsidRPr="00343631" w:rsidRDefault="00902348" w:rsidP="00902348">
            <w:pPr>
              <w:contextualSpacing/>
              <w:jc w:val="center"/>
              <w:rPr>
                <w:rFonts w:eastAsia="Times New Roman" w:cs="Times New Roman"/>
                <w:szCs w:val="28"/>
                <w:lang w:eastAsia="lv-LV"/>
              </w:rPr>
            </w:pPr>
            <w:r w:rsidRPr="00343631">
              <w:rPr>
                <w:rFonts w:eastAsia="Times New Roman" w:cs="Times New Roman"/>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0A6FFB2D" w14:textId="77777777" w:rsidR="00902348" w:rsidRPr="00343631" w:rsidRDefault="00902348" w:rsidP="00902348">
            <w:pPr>
              <w:contextualSpacing/>
              <w:rPr>
                <w:rFonts w:eastAsia="Times New Roman" w:cs="Times New Roman"/>
                <w:szCs w:val="28"/>
                <w:lang w:eastAsia="lv-LV"/>
              </w:rPr>
            </w:pPr>
            <w:r w:rsidRPr="00343631">
              <w:rPr>
                <w:rFonts w:eastAsia="Times New Roman" w:cs="Times New Roman"/>
                <w:szCs w:val="28"/>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05039942" w14:textId="5BCBBB9C" w:rsidR="00902348" w:rsidRPr="00343631" w:rsidRDefault="00806020" w:rsidP="00DB409E">
            <w:pPr>
              <w:contextualSpacing/>
              <w:jc w:val="both"/>
              <w:rPr>
                <w:rFonts w:eastAsia="Times New Roman" w:cs="Times New Roman"/>
                <w:szCs w:val="28"/>
                <w:lang w:eastAsia="lv-LV"/>
              </w:rPr>
            </w:pPr>
            <w:r w:rsidRPr="00343631">
              <w:rPr>
                <w:rFonts w:eastAsia="Times New Roman" w:cs="Times New Roman"/>
                <w:szCs w:val="28"/>
                <w:lang w:eastAsia="lv-LV"/>
              </w:rPr>
              <w:t xml:space="preserve">Saskaņā ar Ministru kabineta 04.02.2013. rīkojuma Nr.38 “Par Administratīvo sodu sistēmas attīstības koncepciju” 9.punktu </w:t>
            </w:r>
            <w:r w:rsidR="00DD395C" w:rsidRPr="00343631">
              <w:rPr>
                <w:rFonts w:eastAsia="Times New Roman" w:cs="Times New Roman"/>
                <w:szCs w:val="28"/>
                <w:lang w:eastAsia="lv-LV"/>
              </w:rPr>
              <w:t xml:space="preserve">atbildīgajām ministrijām </w:t>
            </w:r>
            <w:r w:rsidR="00A05C38" w:rsidRPr="00343631">
              <w:rPr>
                <w:rFonts w:eastAsia="Times New Roman" w:cs="Times New Roman"/>
                <w:szCs w:val="28"/>
                <w:lang w:eastAsia="lv-LV"/>
              </w:rPr>
              <w:t xml:space="preserve">(nozaru ministrijām) </w:t>
            </w:r>
            <w:r w:rsidR="00DD395C" w:rsidRPr="00343631">
              <w:rPr>
                <w:rFonts w:eastAsia="Times New Roman" w:cs="Times New Roman"/>
                <w:szCs w:val="28"/>
                <w:lang w:eastAsia="lv-LV"/>
              </w:rPr>
              <w:t>ir pienākums to kompetencē esošajos nozares likumos izstrādāt grozījumus, lai tajos tiktu ietverti administratīvie pārkāpumi un kompetentās iestādes par administratīvo sodu piemērošanu, pamatojoties uz to, ka spēku zaudēs Latvijas Administratīvo pārkāpumu kodekss (turpmāk – LAPK). Likumprojekts izstrādāts, lai iekļautu Būvniecības likumā administratīvos pārkāpumus būvniecības jomā, kā arī lai noteiktu kompetentās iestādes, kurām piekritīga sodu piemērošana.</w:t>
            </w:r>
            <w:r w:rsidR="00DB409E" w:rsidRPr="00343631">
              <w:rPr>
                <w:rFonts w:eastAsia="Times New Roman" w:cs="Times New Roman"/>
                <w:szCs w:val="28"/>
                <w:lang w:eastAsia="lv-LV"/>
              </w:rPr>
              <w:t xml:space="preserve"> Ar likumprojektu tiek pārņemtas </w:t>
            </w:r>
            <w:r w:rsidR="005A2CEC" w:rsidRPr="00343631">
              <w:rPr>
                <w:rFonts w:eastAsia="Times New Roman" w:cs="Times New Roman"/>
                <w:szCs w:val="28"/>
                <w:lang w:eastAsia="lv-LV"/>
              </w:rPr>
              <w:t xml:space="preserve">gandrīz </w:t>
            </w:r>
            <w:r w:rsidR="00DB409E" w:rsidRPr="00343631">
              <w:rPr>
                <w:rFonts w:eastAsia="Times New Roman" w:cs="Times New Roman"/>
                <w:szCs w:val="28"/>
                <w:lang w:eastAsia="lv-LV"/>
              </w:rPr>
              <w:t>visas LAPK 152.pantā ietvertās tiesību normas, kā arī</w:t>
            </w:r>
            <w:r w:rsidR="005F1EE8" w:rsidRPr="00343631">
              <w:rPr>
                <w:rFonts w:eastAsia="Times New Roman" w:cs="Times New Roman"/>
                <w:szCs w:val="28"/>
                <w:lang w:eastAsia="lv-LV"/>
              </w:rPr>
              <w:t xml:space="preserve">, ņemot vērā Saeimas Juridiskās komisijas Krimināltiesību politikas apakškomisijas 10.05.2016. sēdē norādīto, tiek noteikti jauni administratīvie sodi saistībā ar </w:t>
            </w:r>
            <w:r w:rsidR="005F1EE8" w:rsidRPr="00343631">
              <w:rPr>
                <w:bCs/>
                <w:szCs w:val="28"/>
              </w:rPr>
              <w:t>būvizstrādājumu apriti</w:t>
            </w:r>
            <w:r w:rsidR="005F1EE8" w:rsidRPr="00343631">
              <w:rPr>
                <w:rFonts w:eastAsia="Times New Roman" w:cs="Times New Roman"/>
                <w:szCs w:val="28"/>
                <w:lang w:eastAsia="lv-LV"/>
              </w:rPr>
              <w:t>.</w:t>
            </w:r>
            <w:r w:rsidR="005A2CEC" w:rsidRPr="00343631">
              <w:rPr>
                <w:rFonts w:eastAsia="Times New Roman" w:cs="Times New Roman"/>
                <w:szCs w:val="28"/>
                <w:lang w:eastAsia="lv-LV"/>
              </w:rPr>
              <w:t xml:space="preserve"> Netiek pārņemtas LAPK 152.</w:t>
            </w:r>
            <w:r w:rsidR="00DC7298" w:rsidRPr="00343631">
              <w:rPr>
                <w:rFonts w:eastAsia="Times New Roman" w:cs="Times New Roman"/>
                <w:szCs w:val="28"/>
                <w:lang w:eastAsia="lv-LV"/>
              </w:rPr>
              <w:t>panta sestās daļas tiesību norma</w:t>
            </w:r>
            <w:r w:rsidR="005A2CEC" w:rsidRPr="00343631">
              <w:rPr>
                <w:rFonts w:eastAsia="Times New Roman" w:cs="Times New Roman"/>
                <w:szCs w:val="28"/>
                <w:lang w:eastAsia="lv-LV"/>
              </w:rPr>
              <w:t xml:space="preserve"> par aktā par būves pieņemšanu ekspluatācijā noteiktā atlikto būvdarbu izpildes termiņa neievērošanu, jo atlikto būvdarbu izpildes termiņa neievērošana piespiedu izpildes ietvaros ir risināma Administratīvā procesa likuma ietvaros.</w:t>
            </w:r>
          </w:p>
          <w:p w14:paraId="761B3D62" w14:textId="77777777" w:rsidR="00D023D2" w:rsidRPr="00343631" w:rsidRDefault="00D023D2" w:rsidP="00DB409E">
            <w:pPr>
              <w:contextualSpacing/>
              <w:jc w:val="both"/>
              <w:rPr>
                <w:rFonts w:eastAsia="Times New Roman" w:cs="Times New Roman"/>
                <w:szCs w:val="28"/>
                <w:lang w:eastAsia="lv-LV"/>
              </w:rPr>
            </w:pPr>
          </w:p>
          <w:p w14:paraId="0E0ED297" w14:textId="3926F88A" w:rsidR="00997B82" w:rsidRPr="00343631" w:rsidRDefault="007C2117" w:rsidP="006A70A8">
            <w:pPr>
              <w:contextualSpacing/>
              <w:jc w:val="both"/>
              <w:rPr>
                <w:rFonts w:eastAsia="Times New Roman" w:cs="Times New Roman"/>
                <w:szCs w:val="28"/>
                <w:lang w:eastAsia="lv-LV"/>
              </w:rPr>
            </w:pPr>
            <w:r w:rsidRPr="00343631">
              <w:rPr>
                <w:rFonts w:eastAsia="Times New Roman" w:cs="Times New Roman"/>
                <w:szCs w:val="28"/>
                <w:lang w:eastAsia="lv-LV"/>
              </w:rPr>
              <w:t>Būvniecības likum</w:t>
            </w:r>
            <w:r w:rsidR="00DD04A1" w:rsidRPr="00343631">
              <w:rPr>
                <w:rFonts w:eastAsia="Times New Roman" w:cs="Times New Roman"/>
                <w:szCs w:val="28"/>
                <w:lang w:eastAsia="lv-LV"/>
              </w:rPr>
              <w:t>a</w:t>
            </w:r>
            <w:r w:rsidRPr="00343631">
              <w:rPr>
                <w:rFonts w:eastAsia="Times New Roman" w:cs="Times New Roman"/>
                <w:szCs w:val="28"/>
                <w:lang w:eastAsia="lv-LV"/>
              </w:rPr>
              <w:t xml:space="preserve"> 18.panta otrajā daļā ir noteiktas darbības, kuras ir uzskatāmas par patvaļīgo būvniecību. Būtu jāatzīmē, ka “patvaļīgās būvniecības” jēdziens ir precizēts, salīdzinot ar iepriekšējo būvniecības regulējumu (Būvniecības likums</w:t>
            </w:r>
            <w:r w:rsidR="00364D4E" w:rsidRPr="00343631">
              <w:rPr>
                <w:rFonts w:eastAsia="Times New Roman" w:cs="Times New Roman"/>
                <w:szCs w:val="28"/>
                <w:lang w:eastAsia="lv-LV"/>
              </w:rPr>
              <w:t>, kas zaudēja</w:t>
            </w:r>
            <w:r w:rsidR="003A3248" w:rsidRPr="00343631">
              <w:rPr>
                <w:rFonts w:eastAsia="Times New Roman" w:cs="Times New Roman"/>
                <w:szCs w:val="28"/>
                <w:lang w:eastAsia="lv-LV"/>
              </w:rPr>
              <w:t xml:space="preserve"> spēku</w:t>
            </w:r>
            <w:r w:rsidR="00BD3A21">
              <w:rPr>
                <w:rFonts w:eastAsia="Times New Roman" w:cs="Times New Roman"/>
                <w:szCs w:val="28"/>
                <w:lang w:eastAsia="lv-LV"/>
              </w:rPr>
              <w:t xml:space="preserve"> 2014.gada 1.oktobrī</w:t>
            </w:r>
            <w:r w:rsidR="003A3248" w:rsidRPr="00343631">
              <w:rPr>
                <w:rFonts w:eastAsia="Times New Roman" w:cs="Times New Roman"/>
                <w:szCs w:val="28"/>
                <w:lang w:eastAsia="lv-LV"/>
              </w:rPr>
              <w:t>)</w:t>
            </w:r>
            <w:r w:rsidRPr="00343631">
              <w:rPr>
                <w:rFonts w:eastAsia="Times New Roman" w:cs="Times New Roman"/>
                <w:szCs w:val="28"/>
                <w:lang w:eastAsia="lv-LV"/>
              </w:rPr>
              <w:t xml:space="preserve">. Šī iemesla dēļ, lai noteiktu detalizētāku </w:t>
            </w:r>
            <w:r w:rsidRPr="00343631">
              <w:rPr>
                <w:rFonts w:eastAsia="Times New Roman" w:cs="Times New Roman"/>
                <w:szCs w:val="28"/>
                <w:lang w:eastAsia="lv-LV"/>
              </w:rPr>
              <w:lastRenderedPageBreak/>
              <w:t xml:space="preserve">administratīvo pārkāpumu regulējumu, atvieglojot tiesību normu piemērošanu, LAPK 152.panta pirmā un otrā daļa ir pārņemta ar Būvniecības likuma </w:t>
            </w:r>
            <w:r w:rsidR="006A1F4E" w:rsidRPr="00343631">
              <w:rPr>
                <w:rFonts w:eastAsia="Times New Roman" w:cs="Times New Roman"/>
                <w:szCs w:val="28"/>
                <w:lang w:eastAsia="lv-LV"/>
              </w:rPr>
              <w:t>25.</w:t>
            </w:r>
            <w:r w:rsidR="00EE1393" w:rsidRPr="00343631">
              <w:rPr>
                <w:rFonts w:eastAsia="Times New Roman" w:cs="Times New Roman"/>
                <w:szCs w:val="28"/>
                <w:lang w:eastAsia="lv-LV"/>
              </w:rPr>
              <w:t>pantu</w:t>
            </w:r>
            <w:r w:rsidRPr="00343631">
              <w:rPr>
                <w:rFonts w:eastAsia="Times New Roman" w:cs="Times New Roman"/>
                <w:szCs w:val="28"/>
                <w:lang w:eastAsia="lv-LV"/>
              </w:rPr>
              <w:t xml:space="preserve">. </w:t>
            </w:r>
            <w:r w:rsidR="00A33DB5" w:rsidRPr="00343631">
              <w:rPr>
                <w:rFonts w:eastAsia="Times New Roman" w:cs="Times New Roman"/>
                <w:szCs w:val="28"/>
                <w:lang w:eastAsia="lv-LV"/>
              </w:rPr>
              <w:t xml:space="preserve">Administratīvie pārkāpumi par patvaļīgo būvniecību ir grupēti </w:t>
            </w:r>
            <w:r w:rsidR="00D023D2" w:rsidRPr="00343631">
              <w:rPr>
                <w:rFonts w:eastAsia="Times New Roman" w:cs="Times New Roman"/>
                <w:szCs w:val="28"/>
                <w:lang w:eastAsia="lv-LV"/>
              </w:rPr>
              <w:t>pē</w:t>
            </w:r>
            <w:r w:rsidR="00A33DB5" w:rsidRPr="00343631">
              <w:rPr>
                <w:rFonts w:eastAsia="Times New Roman" w:cs="Times New Roman"/>
                <w:szCs w:val="28"/>
                <w:lang w:eastAsia="lv-LV"/>
              </w:rPr>
              <w:t>c: 1) būvju grupām, kur trešā</w:t>
            </w:r>
            <w:r w:rsidR="00D023D2" w:rsidRPr="00343631">
              <w:rPr>
                <w:rFonts w:eastAsia="Times New Roman" w:cs="Times New Roman"/>
                <w:szCs w:val="28"/>
                <w:lang w:eastAsia="lv-LV"/>
              </w:rPr>
              <w:t>s</w:t>
            </w:r>
            <w:r w:rsidR="00A33DB5" w:rsidRPr="00343631">
              <w:rPr>
                <w:rFonts w:eastAsia="Times New Roman" w:cs="Times New Roman"/>
                <w:szCs w:val="28"/>
                <w:lang w:eastAsia="lv-LV"/>
              </w:rPr>
              <w:t xml:space="preserve"> grupas būve ir uzskatāma</w:t>
            </w:r>
            <w:r w:rsidR="008A665F" w:rsidRPr="00343631">
              <w:rPr>
                <w:rFonts w:eastAsia="Times New Roman" w:cs="Times New Roman"/>
                <w:szCs w:val="28"/>
                <w:lang w:eastAsia="lv-LV"/>
              </w:rPr>
              <w:t xml:space="preserve"> par tādu, kura</w:t>
            </w:r>
            <w:r w:rsidR="00A33DB5" w:rsidRPr="00343631">
              <w:rPr>
                <w:rFonts w:eastAsia="Times New Roman" w:cs="Times New Roman"/>
                <w:szCs w:val="28"/>
                <w:lang w:eastAsia="lv-LV"/>
              </w:rPr>
              <w:t xml:space="preserve"> ir vissarežģītākā un atstāj visliekāko ietekmi uz vidi (sk. Ministru kabineta </w:t>
            </w:r>
            <w:r w:rsidR="00BD3A21">
              <w:rPr>
                <w:rFonts w:eastAsia="Times New Roman" w:cs="Times New Roman"/>
                <w:szCs w:val="28"/>
                <w:lang w:eastAsia="lv-LV"/>
              </w:rPr>
              <w:t>2014.gada 19.augusta</w:t>
            </w:r>
            <w:r w:rsidR="00A33DB5" w:rsidRPr="00343631">
              <w:rPr>
                <w:rFonts w:eastAsia="Times New Roman" w:cs="Times New Roman"/>
                <w:szCs w:val="28"/>
                <w:lang w:eastAsia="lv-LV"/>
              </w:rPr>
              <w:t xml:space="preserve">. noteikumu Nr.500 “Vispārīgie būvnoteikumi” 4.punktu); 2) būvdarbu </w:t>
            </w:r>
            <w:r w:rsidR="008A665F" w:rsidRPr="00343631">
              <w:rPr>
                <w:rFonts w:eastAsia="Times New Roman" w:cs="Times New Roman"/>
                <w:szCs w:val="28"/>
                <w:lang w:eastAsia="lv-LV"/>
              </w:rPr>
              <w:t xml:space="preserve">vai veiktās rīcības </w:t>
            </w:r>
            <w:r w:rsidR="00C454A0" w:rsidRPr="00343631">
              <w:rPr>
                <w:rFonts w:eastAsia="Times New Roman" w:cs="Times New Roman"/>
                <w:szCs w:val="28"/>
                <w:lang w:eastAsia="lv-LV"/>
              </w:rPr>
              <w:t>iespējamās</w:t>
            </w:r>
            <w:r w:rsidR="00A33DB5" w:rsidRPr="00343631">
              <w:rPr>
                <w:rFonts w:eastAsia="Times New Roman" w:cs="Times New Roman"/>
                <w:szCs w:val="28"/>
                <w:lang w:eastAsia="lv-LV"/>
              </w:rPr>
              <w:t xml:space="preserve"> negatīvās ietek</w:t>
            </w:r>
            <w:r w:rsidR="00D023D2" w:rsidRPr="00343631">
              <w:rPr>
                <w:rFonts w:eastAsia="Times New Roman" w:cs="Times New Roman"/>
                <w:szCs w:val="28"/>
                <w:lang w:eastAsia="lv-LV"/>
              </w:rPr>
              <w:t>mes uz aizsargātajām interesēm (jauna būvniecība un novietošana; ierīkošana, pārbūve vai nojaukšana; atjaunošana un restaurācija</w:t>
            </w:r>
            <w:r w:rsidR="008A665F" w:rsidRPr="00343631">
              <w:rPr>
                <w:rFonts w:eastAsia="Times New Roman" w:cs="Times New Roman"/>
                <w:szCs w:val="28"/>
                <w:lang w:eastAsia="lv-LV"/>
              </w:rPr>
              <w:t>; ekspluatācija neatbilstoši projektētajam lietošanas veidam</w:t>
            </w:r>
            <w:r w:rsidR="00776B6C" w:rsidRPr="00343631">
              <w:rPr>
                <w:rFonts w:eastAsia="Times New Roman" w:cs="Times New Roman"/>
                <w:szCs w:val="28"/>
                <w:lang w:eastAsia="lv-LV"/>
              </w:rPr>
              <w:t>; jauna būvniecība un novietošana ir uzskatāmas par darbībām, kuras var radīt vislielāko negatīvo ietekmi uz vidi, sabiedrību un veselību</w:t>
            </w:r>
            <w:r w:rsidR="00D023D2" w:rsidRPr="00343631">
              <w:rPr>
                <w:rFonts w:eastAsia="Times New Roman" w:cs="Times New Roman"/>
                <w:szCs w:val="28"/>
                <w:lang w:eastAsia="lv-LV"/>
              </w:rPr>
              <w:t>), atsevišķi izdalot tos būvdarbus, kuru veikšanai ir nepieciešama apliecinājuma karte vai paskaidrojuma raksts; 3) procesuāl</w:t>
            </w:r>
            <w:r w:rsidR="00DC7298" w:rsidRPr="00343631">
              <w:rPr>
                <w:rFonts w:eastAsia="Times New Roman" w:cs="Times New Roman"/>
                <w:szCs w:val="28"/>
                <w:lang w:eastAsia="lv-LV"/>
              </w:rPr>
              <w:t>ajām darbībām</w:t>
            </w:r>
            <w:r w:rsidR="00D023D2" w:rsidRPr="00343631">
              <w:rPr>
                <w:rFonts w:eastAsia="Times New Roman" w:cs="Times New Roman"/>
                <w:szCs w:val="28"/>
                <w:lang w:eastAsia="lv-LV"/>
              </w:rPr>
              <w:t>, k</w:t>
            </w:r>
            <w:r w:rsidR="00DC7298" w:rsidRPr="00343631">
              <w:rPr>
                <w:rFonts w:eastAsia="Times New Roman" w:cs="Times New Roman"/>
                <w:szCs w:val="28"/>
                <w:lang w:eastAsia="lv-LV"/>
              </w:rPr>
              <w:t>uras</w:t>
            </w:r>
            <w:r w:rsidR="00D023D2" w:rsidRPr="00343631">
              <w:rPr>
                <w:rFonts w:eastAsia="Times New Roman" w:cs="Times New Roman"/>
                <w:szCs w:val="28"/>
                <w:lang w:eastAsia="lv-LV"/>
              </w:rPr>
              <w:t xml:space="preserve"> nav veikta</w:t>
            </w:r>
            <w:r w:rsidR="00852CFB" w:rsidRPr="00343631">
              <w:rPr>
                <w:rFonts w:eastAsia="Times New Roman" w:cs="Times New Roman"/>
                <w:szCs w:val="28"/>
                <w:lang w:eastAsia="lv-LV"/>
              </w:rPr>
              <w:t>s</w:t>
            </w:r>
            <w:r w:rsidR="00D023D2" w:rsidRPr="00343631">
              <w:rPr>
                <w:rFonts w:eastAsia="Times New Roman" w:cs="Times New Roman"/>
                <w:szCs w:val="28"/>
                <w:lang w:eastAsia="lv-LV"/>
              </w:rPr>
              <w:t>; 4) būvniecības ieceres dokumentācijas veida, kura nav ievērota, veicot būvdarbus (šādā secībā –</w:t>
            </w:r>
            <w:r w:rsidR="00776B6C" w:rsidRPr="00343631">
              <w:rPr>
                <w:rFonts w:eastAsia="Times New Roman" w:cs="Times New Roman"/>
                <w:szCs w:val="28"/>
                <w:lang w:eastAsia="lv-LV"/>
              </w:rPr>
              <w:t xml:space="preserve">  paskaidrojuma raksts; apliecinājuma karte; būvprojekts;</w:t>
            </w:r>
            <w:r w:rsidR="000E5A82" w:rsidRPr="00343631">
              <w:rPr>
                <w:rFonts w:eastAsia="Times New Roman" w:cs="Times New Roman"/>
                <w:szCs w:val="28"/>
                <w:lang w:eastAsia="lv-LV"/>
              </w:rPr>
              <w:t>). Vienlaikus būtu jānorāda, ka administratīv</w:t>
            </w:r>
            <w:r w:rsidR="00992EF6" w:rsidRPr="00343631">
              <w:rPr>
                <w:rFonts w:eastAsia="Times New Roman" w:cs="Times New Roman"/>
                <w:szCs w:val="28"/>
                <w:lang w:eastAsia="lv-LV"/>
              </w:rPr>
              <w:t>ā</w:t>
            </w:r>
            <w:r w:rsidR="000E5A82" w:rsidRPr="00343631">
              <w:rPr>
                <w:rFonts w:eastAsia="Times New Roman" w:cs="Times New Roman"/>
                <w:szCs w:val="28"/>
                <w:lang w:eastAsia="lv-LV"/>
              </w:rPr>
              <w:t xml:space="preserve"> atbildība par patvaļīgo būvniecību ir saglabāta, jo patvaļīgā būvniecība </w:t>
            </w:r>
            <w:r w:rsidR="006A70A8" w:rsidRPr="00343631">
              <w:rPr>
                <w:rFonts w:eastAsia="Times New Roman" w:cs="Times New Roman"/>
                <w:szCs w:val="28"/>
                <w:lang w:eastAsia="lv-LV"/>
              </w:rPr>
              <w:t>joprojām tiek veikta un tās s</w:t>
            </w:r>
            <w:r w:rsidR="00F6252F" w:rsidRPr="00343631">
              <w:rPr>
                <w:rFonts w:eastAsia="Times New Roman" w:cs="Times New Roman"/>
                <w:szCs w:val="28"/>
                <w:lang w:eastAsia="lv-LV"/>
              </w:rPr>
              <w:t>ekas rada bīstamību sabiedrībai, kā arī aizskar ci</w:t>
            </w:r>
            <w:r w:rsidR="005F1EE8" w:rsidRPr="00343631">
              <w:rPr>
                <w:rFonts w:eastAsia="Times New Roman" w:cs="Times New Roman"/>
                <w:szCs w:val="28"/>
                <w:lang w:eastAsia="lv-LV"/>
              </w:rPr>
              <w:t>tu personu likumīgās intereses.</w:t>
            </w:r>
            <w:r w:rsidR="00776B6C" w:rsidRPr="00343631">
              <w:rPr>
                <w:rFonts w:eastAsia="Times New Roman" w:cs="Times New Roman"/>
                <w:szCs w:val="28"/>
                <w:lang w:eastAsia="lv-LV"/>
              </w:rPr>
              <w:t xml:space="preserve"> Salīdzinot ar LAPK 152.panta pirmajā un otrajā daļā ietvertajam san</w:t>
            </w:r>
            <w:r w:rsidR="006A1F4E" w:rsidRPr="00343631">
              <w:rPr>
                <w:rFonts w:eastAsia="Times New Roman" w:cs="Times New Roman"/>
                <w:szCs w:val="28"/>
                <w:lang w:eastAsia="lv-LV"/>
              </w:rPr>
              <w:t>kcijām, ar Būvniecība likuma 25.</w:t>
            </w:r>
            <w:r w:rsidR="00776B6C" w:rsidRPr="00343631">
              <w:rPr>
                <w:rFonts w:eastAsia="Times New Roman" w:cs="Times New Roman"/>
                <w:szCs w:val="28"/>
                <w:lang w:eastAsia="lv-LV"/>
              </w:rPr>
              <w:t>pantu maksimāl</w:t>
            </w:r>
            <w:r w:rsidR="00DC7298" w:rsidRPr="00343631">
              <w:rPr>
                <w:rFonts w:eastAsia="Times New Roman" w:cs="Times New Roman"/>
                <w:szCs w:val="28"/>
                <w:lang w:eastAsia="lv-LV"/>
              </w:rPr>
              <w:t>ās</w:t>
            </w:r>
            <w:r w:rsidR="00776B6C" w:rsidRPr="00343631">
              <w:rPr>
                <w:rFonts w:eastAsia="Times New Roman" w:cs="Times New Roman"/>
                <w:szCs w:val="28"/>
                <w:lang w:eastAsia="lv-LV"/>
              </w:rPr>
              <w:t xml:space="preserve"> sankcijas ir saglabāts līdzšinējā apmērā, bet minimāl</w:t>
            </w:r>
            <w:r w:rsidR="00DC7298" w:rsidRPr="00343631">
              <w:rPr>
                <w:rFonts w:eastAsia="Times New Roman" w:cs="Times New Roman"/>
                <w:szCs w:val="28"/>
                <w:lang w:eastAsia="lv-LV"/>
              </w:rPr>
              <w:t>ās</w:t>
            </w:r>
            <w:r w:rsidR="00776B6C" w:rsidRPr="00343631">
              <w:rPr>
                <w:rFonts w:eastAsia="Times New Roman" w:cs="Times New Roman"/>
                <w:szCs w:val="28"/>
                <w:lang w:eastAsia="lv-LV"/>
              </w:rPr>
              <w:t xml:space="preserve"> sankcija</w:t>
            </w:r>
            <w:r w:rsidR="00DC7298" w:rsidRPr="00343631">
              <w:rPr>
                <w:rFonts w:eastAsia="Times New Roman" w:cs="Times New Roman"/>
                <w:szCs w:val="28"/>
                <w:lang w:eastAsia="lv-LV"/>
              </w:rPr>
              <w:t>s</w:t>
            </w:r>
            <w:r w:rsidR="00776B6C" w:rsidRPr="00343631">
              <w:rPr>
                <w:rFonts w:eastAsia="Times New Roman" w:cs="Times New Roman"/>
                <w:szCs w:val="28"/>
                <w:lang w:eastAsia="lv-LV"/>
              </w:rPr>
              <w:t xml:space="preserve"> ir samazināta</w:t>
            </w:r>
            <w:r w:rsidR="00DC7298" w:rsidRPr="00343631">
              <w:rPr>
                <w:rFonts w:eastAsia="Times New Roman" w:cs="Times New Roman"/>
                <w:szCs w:val="28"/>
                <w:lang w:eastAsia="lv-LV"/>
              </w:rPr>
              <w:t>s</w:t>
            </w:r>
            <w:r w:rsidR="00776B6C" w:rsidRPr="00343631">
              <w:rPr>
                <w:rFonts w:eastAsia="Times New Roman" w:cs="Times New Roman"/>
                <w:szCs w:val="28"/>
                <w:lang w:eastAsia="lv-LV"/>
              </w:rPr>
              <w:t>, ņemot vēra iepriekš norādīto sodu par patvaļīgo būvniecību diferenciāciju.</w:t>
            </w:r>
          </w:p>
          <w:p w14:paraId="69B1933D" w14:textId="77777777" w:rsidR="006A70A8" w:rsidRPr="00343631" w:rsidRDefault="006A70A8" w:rsidP="006A70A8">
            <w:pPr>
              <w:contextualSpacing/>
              <w:jc w:val="both"/>
              <w:rPr>
                <w:rFonts w:eastAsia="Times New Roman" w:cs="Times New Roman"/>
                <w:szCs w:val="28"/>
                <w:lang w:eastAsia="lv-LV"/>
              </w:rPr>
            </w:pPr>
          </w:p>
          <w:p w14:paraId="5C6A87B1" w14:textId="77777777" w:rsidR="009124C2" w:rsidRPr="00343631" w:rsidRDefault="00F6252F" w:rsidP="009124C2">
            <w:pPr>
              <w:contextualSpacing/>
              <w:jc w:val="both"/>
              <w:rPr>
                <w:rFonts w:eastAsia="Times New Roman" w:cs="Times New Roman"/>
                <w:szCs w:val="28"/>
                <w:lang w:eastAsia="lv-LV"/>
              </w:rPr>
            </w:pPr>
            <w:r w:rsidRPr="00343631">
              <w:rPr>
                <w:rFonts w:eastAsia="Times New Roman" w:cs="Times New Roman"/>
                <w:szCs w:val="28"/>
                <w:lang w:eastAsia="lv-LV"/>
              </w:rPr>
              <w:t xml:space="preserve">LAPK 152.panta trešā daļa ir pārņemta ar Būvniecības likuma </w:t>
            </w:r>
            <w:r w:rsidR="008E3D35" w:rsidRPr="00343631">
              <w:rPr>
                <w:rFonts w:eastAsia="Times New Roman" w:cs="Times New Roman"/>
                <w:szCs w:val="28"/>
                <w:lang w:eastAsia="lv-LV"/>
              </w:rPr>
              <w:t>28.</w:t>
            </w:r>
            <w:r w:rsidRPr="00343631">
              <w:rPr>
                <w:rFonts w:eastAsia="Times New Roman" w:cs="Times New Roman"/>
                <w:szCs w:val="28"/>
                <w:lang w:eastAsia="lv-LV"/>
              </w:rPr>
              <w:t xml:space="preserve">panta </w:t>
            </w:r>
            <w:r w:rsidR="009124C2" w:rsidRPr="00343631">
              <w:rPr>
                <w:rFonts w:eastAsia="Times New Roman" w:cs="Times New Roman"/>
                <w:szCs w:val="28"/>
                <w:lang w:eastAsia="lv-LV"/>
              </w:rPr>
              <w:t>otro</w:t>
            </w:r>
            <w:r w:rsidRPr="00343631">
              <w:rPr>
                <w:rFonts w:eastAsia="Times New Roman" w:cs="Times New Roman"/>
                <w:szCs w:val="28"/>
                <w:lang w:eastAsia="lv-LV"/>
              </w:rPr>
              <w:t xml:space="preserve"> daļu, bet LAPK 152.panta ceturtā daļa ir pārņemta ar Būvniecības likuma </w:t>
            </w:r>
            <w:r w:rsidR="009124C2" w:rsidRPr="00343631">
              <w:rPr>
                <w:rFonts w:eastAsia="Times New Roman" w:cs="Times New Roman"/>
                <w:szCs w:val="28"/>
                <w:lang w:eastAsia="lv-LV"/>
              </w:rPr>
              <w:t>28.</w:t>
            </w:r>
            <w:r w:rsidRPr="00343631">
              <w:rPr>
                <w:rFonts w:eastAsia="Times New Roman" w:cs="Times New Roman"/>
                <w:szCs w:val="28"/>
                <w:lang w:eastAsia="lv-LV"/>
              </w:rPr>
              <w:t xml:space="preserve">panta </w:t>
            </w:r>
            <w:r w:rsidR="009124C2" w:rsidRPr="00343631">
              <w:rPr>
                <w:rFonts w:eastAsia="Times New Roman" w:cs="Times New Roman"/>
                <w:szCs w:val="28"/>
                <w:lang w:eastAsia="lv-LV"/>
              </w:rPr>
              <w:t>trešo</w:t>
            </w:r>
            <w:r w:rsidRPr="00343631">
              <w:rPr>
                <w:rFonts w:eastAsia="Times New Roman" w:cs="Times New Roman"/>
                <w:szCs w:val="28"/>
                <w:lang w:eastAsia="lv-LV"/>
              </w:rPr>
              <w:t xml:space="preserve"> daļu. Abu tiesību normu mērķis ir atturēt personas no būves ekspluatācijas, ja tā nav droša vai tās drošība nav pārbaudīta normatīvajos aktos noteiktajā kārtībā. </w:t>
            </w:r>
            <w:r w:rsidR="00DD141D" w:rsidRPr="00343631">
              <w:rPr>
                <w:rFonts w:eastAsia="Times New Roman" w:cs="Times New Roman"/>
                <w:szCs w:val="28"/>
                <w:lang w:eastAsia="lv-LV"/>
              </w:rPr>
              <w:t>Persona</w:t>
            </w:r>
            <w:r w:rsidR="00B01D17" w:rsidRPr="00343631">
              <w:rPr>
                <w:rFonts w:eastAsia="Times New Roman" w:cs="Times New Roman"/>
                <w:szCs w:val="28"/>
                <w:lang w:eastAsia="lv-LV"/>
              </w:rPr>
              <w:t>,</w:t>
            </w:r>
            <w:r w:rsidR="00DD141D" w:rsidRPr="00343631">
              <w:rPr>
                <w:rFonts w:eastAsia="Times New Roman" w:cs="Times New Roman"/>
                <w:szCs w:val="28"/>
                <w:lang w:eastAsia="lv-LV"/>
              </w:rPr>
              <w:t xml:space="preserve"> ekspluatējot būvi, kas nav nodota ekspluatācijā vai </w:t>
            </w:r>
            <w:r w:rsidR="00DD141D" w:rsidRPr="00343631">
              <w:rPr>
                <w:rFonts w:eastAsia="Times New Roman" w:cs="Times New Roman"/>
                <w:szCs w:val="28"/>
                <w:lang w:eastAsia="lv-LV"/>
              </w:rPr>
              <w:lastRenderedPageBreak/>
              <w:t>kas ir atzīta par bīstamu, vai atļaujot šādu būvi ekspluatēt citām personām, apdraud savu un citu personu drošību.</w:t>
            </w:r>
            <w:r w:rsidR="00324EF5" w:rsidRPr="00343631">
              <w:rPr>
                <w:rFonts w:eastAsia="Times New Roman" w:cs="Times New Roman"/>
                <w:szCs w:val="28"/>
                <w:lang w:eastAsia="lv-LV"/>
              </w:rPr>
              <w:t xml:space="preserve"> </w:t>
            </w:r>
            <w:r w:rsidR="00302E1F" w:rsidRPr="00343631">
              <w:rPr>
                <w:rFonts w:eastAsia="Times New Roman" w:cs="Times New Roman"/>
                <w:szCs w:val="28"/>
                <w:lang w:eastAsia="lv-LV"/>
              </w:rPr>
              <w:t>Šajā sakarā Būvniecības likuma 21.panta otrajā daļā ir noteikts, ka būvi aizliegts izmantot līdz</w:t>
            </w:r>
            <w:r w:rsidR="009124C2" w:rsidRPr="00343631">
              <w:rPr>
                <w:rFonts w:eastAsia="Times New Roman" w:cs="Times New Roman"/>
                <w:szCs w:val="28"/>
                <w:lang w:eastAsia="lv-LV"/>
              </w:rPr>
              <w:t xml:space="preserve"> tās pieņemšanai ekspluatācijā.</w:t>
            </w:r>
            <w:r w:rsidR="008E4806" w:rsidRPr="00343631">
              <w:rPr>
                <w:rFonts w:eastAsia="Times New Roman" w:cs="Times New Roman"/>
                <w:szCs w:val="28"/>
                <w:lang w:eastAsia="lv-LV"/>
              </w:rPr>
              <w:t xml:space="preserve"> </w:t>
            </w:r>
            <w:r w:rsidR="009124C2" w:rsidRPr="00343631">
              <w:rPr>
                <w:rFonts w:eastAsia="Times New Roman" w:cs="Times New Roman"/>
                <w:szCs w:val="28"/>
                <w:lang w:eastAsia="lv-LV"/>
              </w:rPr>
              <w:t>Salīdzinot ar LAPK 152.panta treš</w:t>
            </w:r>
            <w:r w:rsidR="00DC7298" w:rsidRPr="00343631">
              <w:rPr>
                <w:rFonts w:eastAsia="Times New Roman" w:cs="Times New Roman"/>
                <w:szCs w:val="28"/>
                <w:lang w:eastAsia="lv-LV"/>
              </w:rPr>
              <w:t>ajā un ceturtajā daļā ietvertajā</w:t>
            </w:r>
            <w:r w:rsidR="009124C2" w:rsidRPr="00343631">
              <w:rPr>
                <w:rFonts w:eastAsia="Times New Roman" w:cs="Times New Roman"/>
                <w:szCs w:val="28"/>
                <w:lang w:eastAsia="lv-LV"/>
              </w:rPr>
              <w:t>m san</w:t>
            </w:r>
            <w:r w:rsidR="008E4806" w:rsidRPr="00343631">
              <w:rPr>
                <w:rFonts w:eastAsia="Times New Roman" w:cs="Times New Roman"/>
                <w:szCs w:val="28"/>
                <w:lang w:eastAsia="lv-LV"/>
              </w:rPr>
              <w:t>kcijām, Būvniecība likuma 28</w:t>
            </w:r>
            <w:r w:rsidR="009124C2" w:rsidRPr="00343631">
              <w:rPr>
                <w:rFonts w:eastAsia="Times New Roman" w:cs="Times New Roman"/>
                <w:szCs w:val="28"/>
                <w:lang w:eastAsia="lv-LV"/>
              </w:rPr>
              <w:t>.</w:t>
            </w:r>
            <w:r w:rsidR="008E4806" w:rsidRPr="00343631">
              <w:rPr>
                <w:rFonts w:eastAsia="Times New Roman" w:cs="Times New Roman"/>
                <w:szCs w:val="28"/>
                <w:lang w:eastAsia="lv-LV"/>
              </w:rPr>
              <w:t>panta otrajā un trešajā daļā</w:t>
            </w:r>
            <w:r w:rsidR="009124C2" w:rsidRPr="00343631">
              <w:rPr>
                <w:rFonts w:eastAsia="Times New Roman" w:cs="Times New Roman"/>
                <w:szCs w:val="28"/>
                <w:lang w:eastAsia="lv-LV"/>
              </w:rPr>
              <w:t xml:space="preserve"> maksimāl</w:t>
            </w:r>
            <w:r w:rsidR="00DC7298" w:rsidRPr="00343631">
              <w:rPr>
                <w:rFonts w:eastAsia="Times New Roman" w:cs="Times New Roman"/>
                <w:szCs w:val="28"/>
                <w:lang w:eastAsia="lv-LV"/>
              </w:rPr>
              <w:t>ās</w:t>
            </w:r>
            <w:r w:rsidR="009124C2" w:rsidRPr="00343631">
              <w:rPr>
                <w:rFonts w:eastAsia="Times New Roman" w:cs="Times New Roman"/>
                <w:szCs w:val="28"/>
                <w:lang w:eastAsia="lv-LV"/>
              </w:rPr>
              <w:t xml:space="preserve"> sankcijas ir saglabāts līdzšinējā apmērā, bet minimāl</w:t>
            </w:r>
            <w:r w:rsidR="00DC7298" w:rsidRPr="00343631">
              <w:rPr>
                <w:rFonts w:eastAsia="Times New Roman" w:cs="Times New Roman"/>
                <w:szCs w:val="28"/>
                <w:lang w:eastAsia="lv-LV"/>
              </w:rPr>
              <w:t>ās</w:t>
            </w:r>
            <w:r w:rsidR="009124C2" w:rsidRPr="00343631">
              <w:rPr>
                <w:rFonts w:eastAsia="Times New Roman" w:cs="Times New Roman"/>
                <w:szCs w:val="28"/>
                <w:lang w:eastAsia="lv-LV"/>
              </w:rPr>
              <w:t xml:space="preserve"> sankcija</w:t>
            </w:r>
            <w:r w:rsidR="00DC7298" w:rsidRPr="00343631">
              <w:rPr>
                <w:rFonts w:eastAsia="Times New Roman" w:cs="Times New Roman"/>
                <w:szCs w:val="28"/>
                <w:lang w:eastAsia="lv-LV"/>
              </w:rPr>
              <w:t>s</w:t>
            </w:r>
            <w:r w:rsidR="009124C2" w:rsidRPr="00343631">
              <w:rPr>
                <w:rFonts w:eastAsia="Times New Roman" w:cs="Times New Roman"/>
                <w:szCs w:val="28"/>
                <w:lang w:eastAsia="lv-LV"/>
              </w:rPr>
              <w:t xml:space="preserve"> ir samazināta</w:t>
            </w:r>
            <w:r w:rsidR="00DC7298" w:rsidRPr="00343631">
              <w:rPr>
                <w:rFonts w:eastAsia="Times New Roman" w:cs="Times New Roman"/>
                <w:szCs w:val="28"/>
                <w:lang w:eastAsia="lv-LV"/>
              </w:rPr>
              <w:t>s</w:t>
            </w:r>
            <w:r w:rsidR="009124C2" w:rsidRPr="00343631">
              <w:rPr>
                <w:rFonts w:eastAsia="Times New Roman" w:cs="Times New Roman"/>
                <w:szCs w:val="28"/>
                <w:lang w:eastAsia="lv-LV"/>
              </w:rPr>
              <w:t>, ņemot vēra sodu diferenciāciju.</w:t>
            </w:r>
          </w:p>
          <w:p w14:paraId="7DE466CA" w14:textId="77777777" w:rsidR="00F338AE" w:rsidRPr="00343631" w:rsidRDefault="00F338AE" w:rsidP="006A70A8">
            <w:pPr>
              <w:contextualSpacing/>
              <w:jc w:val="both"/>
              <w:rPr>
                <w:rFonts w:eastAsia="Times New Roman" w:cs="Times New Roman"/>
                <w:szCs w:val="28"/>
                <w:lang w:eastAsia="lv-LV"/>
              </w:rPr>
            </w:pPr>
          </w:p>
          <w:p w14:paraId="3E485D40" w14:textId="77777777" w:rsidR="000A28E6" w:rsidRPr="00343631" w:rsidRDefault="000A28E6" w:rsidP="006A70A8">
            <w:pPr>
              <w:contextualSpacing/>
              <w:jc w:val="both"/>
              <w:rPr>
                <w:rFonts w:eastAsia="Times New Roman" w:cs="Times New Roman"/>
                <w:szCs w:val="28"/>
                <w:lang w:eastAsia="lv-LV"/>
              </w:rPr>
            </w:pPr>
            <w:r w:rsidRPr="00343631">
              <w:rPr>
                <w:rFonts w:eastAsia="Times New Roman" w:cs="Times New Roman"/>
                <w:szCs w:val="28"/>
                <w:lang w:eastAsia="lv-LV"/>
              </w:rPr>
              <w:t xml:space="preserve">LAPK 152.panta piektā daļa ir pārņemta ar Būvniecības likuma </w:t>
            </w:r>
            <w:r w:rsidR="008E4806" w:rsidRPr="00343631">
              <w:rPr>
                <w:rFonts w:eastAsia="Times New Roman" w:cs="Times New Roman"/>
                <w:szCs w:val="28"/>
                <w:lang w:eastAsia="lv-LV"/>
              </w:rPr>
              <w:t>26.pantu</w:t>
            </w:r>
            <w:r w:rsidRPr="00343631">
              <w:rPr>
                <w:rFonts w:eastAsia="Times New Roman" w:cs="Times New Roman"/>
                <w:szCs w:val="28"/>
                <w:lang w:eastAsia="lv-LV"/>
              </w:rPr>
              <w:t>. Šīs tiesību nomas mērķis ir panākt, ka persona veic visas noteiktās darbības, lai nodrošinātu, ka bīstamā būvē vai objektā nevar iekļūt nepiederošas personas, kā arī nodrošinātu, ka būve</w:t>
            </w:r>
            <w:r w:rsidR="00653E7C" w:rsidRPr="00343631">
              <w:rPr>
                <w:rFonts w:eastAsia="Times New Roman" w:cs="Times New Roman"/>
                <w:szCs w:val="28"/>
                <w:lang w:eastAsia="lv-LV"/>
              </w:rPr>
              <w:t xml:space="preserve"> līdz brīdim, kad tiek izlemta</w:t>
            </w:r>
            <w:r w:rsidRPr="00343631">
              <w:rPr>
                <w:rFonts w:eastAsia="Times New Roman" w:cs="Times New Roman"/>
                <w:szCs w:val="28"/>
                <w:lang w:eastAsia="lv-LV"/>
              </w:rPr>
              <w:t xml:space="preserve"> turpmākā rīcība ar to, nerada bīstamību videi vai cilvēku dzīvībai vai veselībai un tai nevar rasties bīstami bojājumi konstrukcijās.</w:t>
            </w:r>
            <w:r w:rsidR="00324EF5" w:rsidRPr="00343631">
              <w:rPr>
                <w:rFonts w:eastAsia="Times New Roman" w:cs="Times New Roman"/>
                <w:szCs w:val="28"/>
                <w:lang w:eastAsia="lv-LV"/>
              </w:rPr>
              <w:t xml:space="preserve"> Konservācijas pienākums ir noteikts </w:t>
            </w:r>
            <w:r w:rsidR="00302E1F" w:rsidRPr="00343631">
              <w:rPr>
                <w:rFonts w:eastAsia="Times New Roman" w:cs="Times New Roman"/>
                <w:szCs w:val="28"/>
                <w:lang w:eastAsia="lv-LV"/>
              </w:rPr>
              <w:t>Būvniecības likuma 17.panta trešajā daļā, kā arī speciālajos būvnoteikumos.</w:t>
            </w:r>
            <w:r w:rsidR="008E4806" w:rsidRPr="00343631">
              <w:rPr>
                <w:rFonts w:eastAsia="Times New Roman" w:cs="Times New Roman"/>
                <w:szCs w:val="28"/>
                <w:lang w:eastAsia="lv-LV"/>
              </w:rPr>
              <w:t xml:space="preserve"> </w:t>
            </w:r>
            <w:r w:rsidR="00DC7298" w:rsidRPr="00343631">
              <w:rPr>
                <w:rFonts w:eastAsia="Times New Roman" w:cs="Times New Roman"/>
                <w:szCs w:val="28"/>
                <w:lang w:eastAsia="lv-LV"/>
              </w:rPr>
              <w:t>Sankcijas</w:t>
            </w:r>
            <w:r w:rsidR="008E4806" w:rsidRPr="00343631">
              <w:rPr>
                <w:rFonts w:eastAsia="Times New Roman" w:cs="Times New Roman"/>
                <w:szCs w:val="28"/>
                <w:lang w:eastAsia="lv-LV"/>
              </w:rPr>
              <w:t>, ņemot vērā sabiedrisko bīstamību, ko var izraisīt būves konservāci</w:t>
            </w:r>
            <w:r w:rsidR="00DC7298" w:rsidRPr="00343631">
              <w:rPr>
                <w:rFonts w:eastAsia="Times New Roman" w:cs="Times New Roman"/>
                <w:szCs w:val="28"/>
                <w:lang w:eastAsia="lv-LV"/>
              </w:rPr>
              <w:t>jas vai norobežošanas neveikšana vai veikšana,</w:t>
            </w:r>
            <w:r w:rsidR="008E4806" w:rsidRPr="00343631">
              <w:rPr>
                <w:rFonts w:eastAsia="Times New Roman" w:cs="Times New Roman"/>
                <w:szCs w:val="28"/>
                <w:lang w:eastAsia="lv-LV"/>
              </w:rPr>
              <w:t xml:space="preserve"> neievērojot būvniecības jomas normatīvo aktu prasībām, ir noteikta atbilstoši Būvniecības likuma 28.panta trešajai daļai.</w:t>
            </w:r>
          </w:p>
          <w:p w14:paraId="792E427A" w14:textId="77777777" w:rsidR="000A28E6" w:rsidRPr="00343631" w:rsidRDefault="000A28E6" w:rsidP="006A70A8">
            <w:pPr>
              <w:contextualSpacing/>
              <w:jc w:val="both"/>
              <w:rPr>
                <w:rFonts w:eastAsia="Times New Roman" w:cs="Times New Roman"/>
                <w:szCs w:val="28"/>
                <w:lang w:eastAsia="lv-LV"/>
              </w:rPr>
            </w:pPr>
          </w:p>
          <w:p w14:paraId="7EB9478A" w14:textId="69D0455D" w:rsidR="0015603B" w:rsidRPr="00343631" w:rsidRDefault="002A1791" w:rsidP="0015603B">
            <w:pPr>
              <w:contextualSpacing/>
              <w:jc w:val="both"/>
              <w:rPr>
                <w:rFonts w:eastAsia="Times New Roman" w:cs="Times New Roman"/>
                <w:szCs w:val="28"/>
                <w:lang w:eastAsia="lv-LV"/>
              </w:rPr>
            </w:pPr>
            <w:r w:rsidRPr="00343631">
              <w:rPr>
                <w:rFonts w:eastAsia="Times New Roman" w:cs="Times New Roman"/>
                <w:szCs w:val="28"/>
                <w:lang w:eastAsia="lv-LV"/>
              </w:rPr>
              <w:t xml:space="preserve">LAPK 152.panta septītā daļa tiek pārņemta ar Būvniecības likuma </w:t>
            </w:r>
            <w:r w:rsidR="0015603B" w:rsidRPr="00343631">
              <w:rPr>
                <w:rFonts w:eastAsia="Times New Roman" w:cs="Times New Roman"/>
                <w:szCs w:val="28"/>
                <w:lang w:eastAsia="lv-LV"/>
              </w:rPr>
              <w:t>27.pantu</w:t>
            </w:r>
            <w:r w:rsidRPr="00343631">
              <w:rPr>
                <w:rFonts w:eastAsia="Times New Roman" w:cs="Times New Roman"/>
                <w:szCs w:val="28"/>
                <w:lang w:eastAsia="lv-LV"/>
              </w:rPr>
              <w:t xml:space="preserve">. Šīs tiesību normas mērķis ir panākt, ka persona ievēro Būvniecības likuma 20.pantā un Ministru kabineta </w:t>
            </w:r>
            <w:r w:rsidR="00BD3A21">
              <w:rPr>
                <w:rFonts w:eastAsia="Times New Roman" w:cs="Times New Roman"/>
                <w:szCs w:val="28"/>
                <w:lang w:eastAsia="lv-LV"/>
              </w:rPr>
              <w:t>2014.gada 19.augusta</w:t>
            </w:r>
            <w:r w:rsidRPr="00343631">
              <w:rPr>
                <w:rFonts w:eastAsia="Times New Roman" w:cs="Times New Roman"/>
                <w:szCs w:val="28"/>
                <w:lang w:eastAsia="lv-LV"/>
              </w:rPr>
              <w:t xml:space="preserve"> noteikumos Nr.502 “Noteikumi par būvspeciālistu un būvdarbu veicēju civiltiesiskās atbildības obligāto apdrošināšanu” noteikto. </w:t>
            </w:r>
            <w:r w:rsidR="00822BB9" w:rsidRPr="00343631">
              <w:rPr>
                <w:rFonts w:eastAsia="Times New Roman" w:cs="Times New Roman"/>
                <w:szCs w:val="28"/>
                <w:lang w:eastAsia="lv-LV"/>
              </w:rPr>
              <w:t xml:space="preserve">Būvdarbu veicēja </w:t>
            </w:r>
            <w:r w:rsidR="00E21DEE" w:rsidRPr="00343631">
              <w:rPr>
                <w:rFonts w:eastAsia="Times New Roman" w:cs="Times New Roman"/>
                <w:szCs w:val="28"/>
                <w:lang w:eastAsia="lv-LV"/>
              </w:rPr>
              <w:t xml:space="preserve">(speciālajos būvnoteikumos noteiktos gadījumos – būvētājs) </w:t>
            </w:r>
            <w:r w:rsidR="00822BB9" w:rsidRPr="00343631">
              <w:rPr>
                <w:rFonts w:eastAsia="Times New Roman" w:cs="Times New Roman"/>
                <w:szCs w:val="28"/>
                <w:lang w:eastAsia="lv-LV"/>
              </w:rPr>
              <w:t xml:space="preserve">civiltiesiskās atbildības obligātās apdrošināšanas neesamība var radīt situāciju, kurā trešajai personai radīto zaudējumu atlīdzināšana var būt apgrūtināta sakarā ar to, ka būvdarbu veicēja manta vai finanšu līdzekļi var būt </w:t>
            </w:r>
            <w:r w:rsidR="00653E7C" w:rsidRPr="00343631">
              <w:rPr>
                <w:rFonts w:eastAsia="Times New Roman" w:cs="Times New Roman"/>
                <w:szCs w:val="28"/>
                <w:lang w:eastAsia="lv-LV"/>
              </w:rPr>
              <w:t>ne</w:t>
            </w:r>
            <w:r w:rsidR="00822BB9" w:rsidRPr="00343631">
              <w:rPr>
                <w:rFonts w:eastAsia="Times New Roman" w:cs="Times New Roman"/>
                <w:szCs w:val="28"/>
                <w:lang w:eastAsia="lv-LV"/>
              </w:rPr>
              <w:t>pietiekami.</w:t>
            </w:r>
            <w:r w:rsidR="0015603B" w:rsidRPr="00343631">
              <w:rPr>
                <w:rFonts w:eastAsia="Times New Roman" w:cs="Times New Roman"/>
                <w:szCs w:val="28"/>
                <w:lang w:eastAsia="lv-LV"/>
              </w:rPr>
              <w:t xml:space="preserve"> Salīdzinot ar LAPK </w:t>
            </w:r>
            <w:r w:rsidR="0015603B" w:rsidRPr="00343631">
              <w:rPr>
                <w:rFonts w:eastAsia="Times New Roman" w:cs="Times New Roman"/>
                <w:szCs w:val="28"/>
                <w:lang w:eastAsia="lv-LV"/>
              </w:rPr>
              <w:lastRenderedPageBreak/>
              <w:t>152.panta septītajā d</w:t>
            </w:r>
            <w:r w:rsidR="00DC7298" w:rsidRPr="00343631">
              <w:rPr>
                <w:rFonts w:eastAsia="Times New Roman" w:cs="Times New Roman"/>
                <w:szCs w:val="28"/>
                <w:lang w:eastAsia="lv-LV"/>
              </w:rPr>
              <w:t>aļā ietvertajā</w:t>
            </w:r>
            <w:r w:rsidR="0015603B" w:rsidRPr="00343631">
              <w:rPr>
                <w:rFonts w:eastAsia="Times New Roman" w:cs="Times New Roman"/>
                <w:szCs w:val="28"/>
                <w:lang w:eastAsia="lv-LV"/>
              </w:rPr>
              <w:t>m sankcijām, Būvniecība likuma 27</w:t>
            </w:r>
            <w:r w:rsidR="00DC7298" w:rsidRPr="00343631">
              <w:rPr>
                <w:rFonts w:eastAsia="Times New Roman" w:cs="Times New Roman"/>
                <w:szCs w:val="28"/>
                <w:lang w:eastAsia="lv-LV"/>
              </w:rPr>
              <w:t>.pantā</w:t>
            </w:r>
            <w:r w:rsidR="0015603B" w:rsidRPr="00343631">
              <w:rPr>
                <w:rFonts w:eastAsia="Times New Roman" w:cs="Times New Roman"/>
                <w:szCs w:val="28"/>
                <w:lang w:eastAsia="lv-LV"/>
              </w:rPr>
              <w:t xml:space="preserve"> minimālā sankcija ir samazināta, bet maksimālā sankcija ir paaugstināta juridiskajai personai, ņemot vērā to, ka tieši juridiskās personas ir pārsvarā gadījumos būvniecības procesa dalībnieki būvniecības procesa ietvaros, kuros tiek būvētas trešās grupas būves jeb objekti, kuru apdrošināšanas polises var būt ievērojami dārgākas par septiņsimt euro.</w:t>
            </w:r>
            <w:r w:rsidR="00610977" w:rsidRPr="00343631">
              <w:rPr>
                <w:rFonts w:eastAsia="Times New Roman" w:cs="Times New Roman"/>
                <w:szCs w:val="28"/>
                <w:lang w:eastAsia="lv-LV"/>
              </w:rPr>
              <w:t xml:space="preserve"> </w:t>
            </w:r>
          </w:p>
          <w:p w14:paraId="24FA77D7" w14:textId="77777777" w:rsidR="00822BB9" w:rsidRPr="00343631" w:rsidRDefault="00822BB9" w:rsidP="006A70A8">
            <w:pPr>
              <w:contextualSpacing/>
              <w:jc w:val="both"/>
              <w:rPr>
                <w:rFonts w:eastAsia="Times New Roman" w:cs="Times New Roman"/>
                <w:szCs w:val="28"/>
                <w:lang w:eastAsia="lv-LV"/>
              </w:rPr>
            </w:pPr>
          </w:p>
          <w:p w14:paraId="37D42C94" w14:textId="77777777" w:rsidR="00822BB9" w:rsidRPr="00343631" w:rsidRDefault="00822BB9" w:rsidP="006A70A8">
            <w:pPr>
              <w:contextualSpacing/>
              <w:jc w:val="both"/>
              <w:rPr>
                <w:rFonts w:eastAsia="Times New Roman" w:cs="Times New Roman"/>
                <w:szCs w:val="28"/>
                <w:lang w:eastAsia="lv-LV"/>
              </w:rPr>
            </w:pPr>
            <w:r w:rsidRPr="00343631">
              <w:rPr>
                <w:rFonts w:eastAsia="Times New Roman" w:cs="Times New Roman"/>
                <w:szCs w:val="28"/>
                <w:lang w:eastAsia="lv-LV"/>
              </w:rPr>
              <w:t xml:space="preserve">LAPK 152.panta astotā daļa tiek pārņemta ar Būvniecības likuma </w:t>
            </w:r>
            <w:r w:rsidR="0015603B" w:rsidRPr="00343631">
              <w:rPr>
                <w:rFonts w:eastAsia="Times New Roman" w:cs="Times New Roman"/>
                <w:szCs w:val="28"/>
                <w:lang w:eastAsia="lv-LV"/>
              </w:rPr>
              <w:t>29.panta ceturto daļu</w:t>
            </w:r>
            <w:r w:rsidRPr="00343631">
              <w:rPr>
                <w:rFonts w:eastAsia="Times New Roman" w:cs="Times New Roman"/>
                <w:szCs w:val="28"/>
                <w:lang w:eastAsia="lv-LV"/>
              </w:rPr>
              <w:t>. Šīs tiesību normas mērķis ir panākt, ka būv</w:t>
            </w:r>
            <w:r w:rsidR="00B85047" w:rsidRPr="00343631">
              <w:rPr>
                <w:rFonts w:eastAsia="Times New Roman" w:cs="Times New Roman"/>
                <w:szCs w:val="28"/>
                <w:lang w:eastAsia="lv-LV"/>
              </w:rPr>
              <w:t>darbu veikšanai tiek izmantoti tikai tādi būvizstrādājumi, kuriem ir noteikta atbilstība. Citiem vārdiem s</w:t>
            </w:r>
            <w:r w:rsidR="00653E7C" w:rsidRPr="00343631">
              <w:rPr>
                <w:rFonts w:eastAsia="Times New Roman" w:cs="Times New Roman"/>
                <w:szCs w:val="28"/>
                <w:lang w:eastAsia="lv-LV"/>
              </w:rPr>
              <w:t>a</w:t>
            </w:r>
            <w:r w:rsidR="00B85047" w:rsidRPr="00343631">
              <w:rPr>
                <w:rFonts w:eastAsia="Times New Roman" w:cs="Times New Roman"/>
                <w:szCs w:val="28"/>
                <w:lang w:eastAsia="lv-LV"/>
              </w:rPr>
              <w:t>kot – tikai tādus būvizstrādājumus, kuriem ir noteiktas tehniskās un fizikālās īpašības. Projektēšanā, rēķinot noteiktus lielumus, piemēram, slodzes, tiek pieņemts un paredzēts, ka būvdar</w:t>
            </w:r>
            <w:r w:rsidR="00DC7298" w:rsidRPr="00343631">
              <w:rPr>
                <w:rFonts w:eastAsia="Times New Roman" w:cs="Times New Roman"/>
                <w:szCs w:val="28"/>
                <w:lang w:eastAsia="lv-LV"/>
              </w:rPr>
              <w:t>bu veicējs izmantos arī noteikta</w:t>
            </w:r>
            <w:r w:rsidR="00B85047" w:rsidRPr="00343631">
              <w:rPr>
                <w:rFonts w:eastAsia="Times New Roman" w:cs="Times New Roman"/>
                <w:szCs w:val="28"/>
                <w:lang w:eastAsia="lv-LV"/>
              </w:rPr>
              <w:t xml:space="preserve"> veida un kvalitātes materiālus. Ja būvēs tiks iebūvēti vai iestrādāti būvizstrādājumi, kuriem nav zināmas tehniskās vai fizikālās īpašības, tad nav pamats uzskatīt, ka tiks izpildītas būvei noteiktās būtiskās prasības, piemēram, mehāniskā stiprība un stabilitāte</w:t>
            </w:r>
            <w:r w:rsidR="00DC7298" w:rsidRPr="00343631">
              <w:rPr>
                <w:rFonts w:eastAsia="Times New Roman" w:cs="Times New Roman"/>
                <w:szCs w:val="28"/>
                <w:lang w:eastAsia="lv-LV"/>
              </w:rPr>
              <w:t xml:space="preserve"> (sk. Būvniecības likuma 9.pantu</w:t>
            </w:r>
            <w:r w:rsidR="00B85047" w:rsidRPr="00343631">
              <w:rPr>
                <w:rFonts w:eastAsia="Times New Roman" w:cs="Times New Roman"/>
                <w:szCs w:val="28"/>
                <w:lang w:eastAsia="lv-LV"/>
              </w:rPr>
              <w:t xml:space="preserve">). Šāda būve, kurā ir iebūvēti nezināma veida un kvalitātes materiāli, var radīt </w:t>
            </w:r>
            <w:r w:rsidR="00FE3169" w:rsidRPr="00343631">
              <w:rPr>
                <w:rFonts w:eastAsia="Times New Roman" w:cs="Times New Roman"/>
                <w:szCs w:val="28"/>
                <w:lang w:eastAsia="lv-LV"/>
              </w:rPr>
              <w:t xml:space="preserve">tiešu </w:t>
            </w:r>
            <w:r w:rsidR="00B85047" w:rsidRPr="00343631">
              <w:rPr>
                <w:rFonts w:eastAsia="Times New Roman" w:cs="Times New Roman"/>
                <w:szCs w:val="28"/>
                <w:lang w:eastAsia="lv-LV"/>
              </w:rPr>
              <w:t>lietotāju drošības apdraudējumu.</w:t>
            </w:r>
            <w:r w:rsidR="00FE3169" w:rsidRPr="00343631">
              <w:rPr>
                <w:rFonts w:eastAsia="Times New Roman" w:cs="Times New Roman"/>
                <w:szCs w:val="28"/>
                <w:lang w:eastAsia="lv-LV"/>
              </w:rPr>
              <w:t xml:space="preserve"> Sankcija, ņemot vērā potenciālo sabiedrības apdraudējumu, ir saskaņot</w:t>
            </w:r>
            <w:r w:rsidR="00DC7298" w:rsidRPr="00343631">
              <w:rPr>
                <w:rFonts w:eastAsia="Times New Roman" w:cs="Times New Roman"/>
                <w:szCs w:val="28"/>
                <w:lang w:eastAsia="lv-LV"/>
              </w:rPr>
              <w:t>a ar Būvniecības likuma 29.pantā</w:t>
            </w:r>
            <w:r w:rsidR="00FE3169" w:rsidRPr="00343631">
              <w:rPr>
                <w:rFonts w:eastAsia="Times New Roman" w:cs="Times New Roman"/>
                <w:szCs w:val="28"/>
                <w:lang w:eastAsia="lv-LV"/>
              </w:rPr>
              <w:t xml:space="preserve"> ietvertajām citām sankcijām.</w:t>
            </w:r>
          </w:p>
          <w:p w14:paraId="61BEE974" w14:textId="77777777" w:rsidR="003E6246" w:rsidRPr="00343631" w:rsidRDefault="003E6246" w:rsidP="006A70A8">
            <w:pPr>
              <w:contextualSpacing/>
              <w:jc w:val="both"/>
              <w:rPr>
                <w:rFonts w:eastAsia="Times New Roman" w:cs="Times New Roman"/>
                <w:szCs w:val="28"/>
                <w:lang w:eastAsia="lv-LV"/>
              </w:rPr>
            </w:pPr>
          </w:p>
          <w:p w14:paraId="740EF01D" w14:textId="6051FFFB" w:rsidR="006A70A8" w:rsidRPr="00343631" w:rsidRDefault="00B85047" w:rsidP="005C3B29">
            <w:pPr>
              <w:contextualSpacing/>
              <w:jc w:val="both"/>
              <w:rPr>
                <w:rFonts w:eastAsia="Times New Roman" w:cs="Times New Roman"/>
                <w:szCs w:val="28"/>
                <w:lang w:eastAsia="lv-LV"/>
              </w:rPr>
            </w:pPr>
            <w:r w:rsidRPr="00343631">
              <w:rPr>
                <w:rFonts w:eastAsia="Times New Roman" w:cs="Times New Roman"/>
                <w:szCs w:val="28"/>
                <w:lang w:eastAsia="lv-LV"/>
              </w:rPr>
              <w:t>Salīdzinot ar LAPK 152.pantu, ar šo likumproje</w:t>
            </w:r>
            <w:r w:rsidR="005C3B29" w:rsidRPr="00343631">
              <w:rPr>
                <w:rFonts w:eastAsia="Times New Roman" w:cs="Times New Roman"/>
                <w:szCs w:val="28"/>
                <w:lang w:eastAsia="lv-LV"/>
              </w:rPr>
              <w:t>ktu  tiek plānots noteikt jaunu</w:t>
            </w:r>
            <w:r w:rsidR="004D7FCB" w:rsidRPr="00343631">
              <w:rPr>
                <w:rFonts w:eastAsia="Times New Roman" w:cs="Times New Roman"/>
                <w:szCs w:val="28"/>
                <w:lang w:eastAsia="lv-LV"/>
              </w:rPr>
              <w:t>s</w:t>
            </w:r>
            <w:r w:rsidRPr="00343631">
              <w:rPr>
                <w:rFonts w:eastAsia="Times New Roman" w:cs="Times New Roman"/>
                <w:szCs w:val="28"/>
                <w:lang w:eastAsia="lv-LV"/>
              </w:rPr>
              <w:t xml:space="preserve"> administratīvos sodu, lai veicinātu sabiedrības drošību</w:t>
            </w:r>
            <w:r w:rsidR="00653E7C" w:rsidRPr="00343631">
              <w:rPr>
                <w:rFonts w:eastAsia="Times New Roman" w:cs="Times New Roman"/>
                <w:szCs w:val="28"/>
                <w:lang w:eastAsia="lv-LV"/>
              </w:rPr>
              <w:t>.</w:t>
            </w:r>
            <w:r w:rsidRPr="00343631">
              <w:rPr>
                <w:rFonts w:eastAsia="Times New Roman" w:cs="Times New Roman"/>
                <w:szCs w:val="28"/>
                <w:lang w:eastAsia="lv-LV"/>
              </w:rPr>
              <w:t xml:space="preserve"> </w:t>
            </w:r>
            <w:r w:rsidR="003E6246" w:rsidRPr="00343631">
              <w:rPr>
                <w:rFonts w:eastAsia="Times New Roman" w:cs="Times New Roman"/>
                <w:szCs w:val="28"/>
                <w:lang w:eastAsia="lv-LV"/>
              </w:rPr>
              <w:t xml:space="preserve">Ministru kabineta </w:t>
            </w:r>
            <w:r w:rsidR="00BD3A21">
              <w:rPr>
                <w:rFonts w:eastAsia="Times New Roman" w:cs="Times New Roman"/>
                <w:szCs w:val="28"/>
                <w:lang w:eastAsia="lv-LV"/>
              </w:rPr>
              <w:t>2014.gada 2.septembra</w:t>
            </w:r>
            <w:r w:rsidR="003E6246" w:rsidRPr="00343631">
              <w:rPr>
                <w:rFonts w:eastAsia="Times New Roman" w:cs="Times New Roman"/>
                <w:szCs w:val="28"/>
                <w:lang w:eastAsia="lv-LV"/>
              </w:rPr>
              <w:t xml:space="preserve"> noteikumu Nr.529 “Ēku būvnoteikumi” 191.punktā ir noteiks, ka, lai ekspluatācijas laikā nodrošinātu publiskas ēkas atbil</w:t>
            </w:r>
            <w:r w:rsidR="00DC7298" w:rsidRPr="00343631">
              <w:rPr>
                <w:rFonts w:eastAsia="Times New Roman" w:cs="Times New Roman"/>
                <w:szCs w:val="28"/>
                <w:lang w:eastAsia="lv-LV"/>
              </w:rPr>
              <w:t>stību Būvniecības likuma 9.pantā</w:t>
            </w:r>
            <w:r w:rsidR="003E6246" w:rsidRPr="00343631">
              <w:rPr>
                <w:rFonts w:eastAsia="Times New Roman" w:cs="Times New Roman"/>
                <w:szCs w:val="28"/>
                <w:lang w:eastAsia="lv-LV"/>
              </w:rPr>
              <w:t xml:space="preserve"> noteiktajām būtiskajām prasībām, ekspluatācijā nodotas otrās vai trešās grupas publiskas ēkas īpašniekam ir pienākums veikt ēkas tehnisko apsekošanu ne retāk kā reizi 10 gados. Ja tehniskās apsekošanas laikā konstatē redzamus ēkas bojājumus, kas var mazināt </w:t>
            </w:r>
            <w:r w:rsidR="003E6246" w:rsidRPr="00343631">
              <w:rPr>
                <w:rFonts w:eastAsia="Times New Roman" w:cs="Times New Roman"/>
                <w:szCs w:val="28"/>
                <w:lang w:eastAsia="lv-LV"/>
              </w:rPr>
              <w:lastRenderedPageBreak/>
              <w:t>ēkas stiprību vai noturību, īpašnieks veic nepieciešamos pasākumus to novēršanai. Papildus tam šo noteikumu 226.punktā ir noteiks, ka publiskā ēkā, kura nodota ekspluatācijā pirms 01.10.2014., bet ne agrāk kā 01.10</w:t>
            </w:r>
            <w:r w:rsidR="00082470" w:rsidRPr="00343631">
              <w:rPr>
                <w:rFonts w:eastAsia="Times New Roman" w:cs="Times New Roman"/>
                <w:szCs w:val="28"/>
                <w:lang w:eastAsia="lv-LV"/>
              </w:rPr>
              <w:t>.</w:t>
            </w:r>
            <w:r w:rsidR="003E6246" w:rsidRPr="00343631">
              <w:rPr>
                <w:rFonts w:eastAsia="Times New Roman" w:cs="Times New Roman"/>
                <w:szCs w:val="28"/>
                <w:lang w:eastAsia="lv-LV"/>
              </w:rPr>
              <w:t xml:space="preserve">2004., pirmo vai kārtējo tehnisko apsekošanu veic saskaņā ar šo noteikumu 191.punktu, bet publiskā ēkā, kura nodota ekspluatācijā pirms 01.10.2004. un kurai pēdējo 10 gadu laikā nav veikta tehniskā apsekošana, tehnisko apsekošanu veic līdz 30.09.2019. Šo tiesību normu mērķis ir sabiedrības drošības paaugstināšana – nodrošinot, ka tiek veikti regulāri drošības novērtējumi (tehniskā apsekošana). Ja šādi drošības novērtējumi netiks veikti, tad var pastāvēt iespēja, ka netiek laikus veiktas nepieciešamās darbības, lai novērstu potenciālu drošības apdraudējumu. </w:t>
            </w:r>
            <w:r w:rsidR="00C92914" w:rsidRPr="00343631">
              <w:rPr>
                <w:rFonts w:eastAsia="Times New Roman" w:cs="Times New Roman"/>
                <w:szCs w:val="28"/>
                <w:lang w:eastAsia="lv-LV"/>
              </w:rPr>
              <w:t xml:space="preserve">Lai panāktu attiecīgā pienākuma izpildi, Būvniecības likuma </w:t>
            </w:r>
            <w:r w:rsidR="00FE3169" w:rsidRPr="00343631">
              <w:rPr>
                <w:rFonts w:eastAsia="Times New Roman" w:cs="Times New Roman"/>
                <w:szCs w:val="28"/>
                <w:lang w:eastAsia="lv-LV"/>
              </w:rPr>
              <w:t>28.panta pirmajā</w:t>
            </w:r>
            <w:r w:rsidR="00C92914" w:rsidRPr="00343631">
              <w:rPr>
                <w:rFonts w:eastAsia="Times New Roman" w:cs="Times New Roman"/>
                <w:szCs w:val="28"/>
                <w:lang w:eastAsia="lv-LV"/>
              </w:rPr>
              <w:t xml:space="preserve"> </w:t>
            </w:r>
            <w:r w:rsidR="00DC7298" w:rsidRPr="00343631">
              <w:rPr>
                <w:rFonts w:eastAsia="Times New Roman" w:cs="Times New Roman"/>
                <w:szCs w:val="28"/>
                <w:lang w:eastAsia="lv-LV"/>
              </w:rPr>
              <w:t xml:space="preserve">daļā </w:t>
            </w:r>
            <w:r w:rsidR="00C92914" w:rsidRPr="00343631">
              <w:rPr>
                <w:rFonts w:eastAsia="Times New Roman" w:cs="Times New Roman"/>
                <w:szCs w:val="28"/>
                <w:lang w:eastAsia="lv-LV"/>
              </w:rPr>
              <w:t xml:space="preserve">ir noteikts, ka par publiskas ēkas periodiskās tehniskās apsekošanas neveikšanu noteiktajos termiņos – </w:t>
            </w:r>
            <w:r w:rsidR="00FE3169" w:rsidRPr="00343631">
              <w:rPr>
                <w:bCs/>
                <w:szCs w:val="28"/>
              </w:rPr>
              <w:t xml:space="preserve">fiziskajām personām – </w:t>
            </w:r>
            <w:r w:rsidR="00CF223A" w:rsidRPr="00343631">
              <w:rPr>
                <w:bCs/>
                <w:szCs w:val="28"/>
              </w:rPr>
              <w:t xml:space="preserve">piemēro </w:t>
            </w:r>
            <w:r w:rsidR="00FE3169" w:rsidRPr="00343631">
              <w:rPr>
                <w:bCs/>
                <w:szCs w:val="28"/>
              </w:rPr>
              <w:t>brīdinājumu vai naudas sodu līdz divdesmit piecām naudas soda vienībām, juridiskajām personām – piemēro naudas sodu no divdesmit piecām līdz simt naudas soda vienībām.</w:t>
            </w:r>
          </w:p>
          <w:p w14:paraId="7C1E74BA" w14:textId="77777777" w:rsidR="003F1C82" w:rsidRPr="00343631" w:rsidRDefault="003F1C82" w:rsidP="005F1EE8">
            <w:pPr>
              <w:contextualSpacing/>
              <w:jc w:val="both"/>
              <w:rPr>
                <w:rFonts w:eastAsia="Times New Roman" w:cs="Times New Roman"/>
                <w:szCs w:val="28"/>
                <w:lang w:eastAsia="lv-LV"/>
              </w:rPr>
            </w:pPr>
          </w:p>
          <w:p w14:paraId="37710EDD" w14:textId="77777777" w:rsidR="003F1C82" w:rsidRPr="00343631" w:rsidRDefault="005F1EE8" w:rsidP="003F1C82">
            <w:pPr>
              <w:contextualSpacing/>
              <w:jc w:val="both"/>
              <w:rPr>
                <w:rFonts w:eastAsia="Times New Roman" w:cs="Times New Roman"/>
                <w:szCs w:val="28"/>
                <w:lang w:eastAsia="lv-LV"/>
              </w:rPr>
            </w:pPr>
            <w:r w:rsidRPr="00343631">
              <w:rPr>
                <w:rFonts w:eastAsia="Times New Roman" w:cs="Times New Roman"/>
                <w:szCs w:val="28"/>
                <w:lang w:eastAsia="lv-LV"/>
              </w:rPr>
              <w:t>Ciktāl tas attiecas uz būvizstrādājumu apriti būtu jānorāda, ka esošais regulējums</w:t>
            </w:r>
            <w:r w:rsidR="003F1C82" w:rsidRPr="00343631">
              <w:rPr>
                <w:rFonts w:eastAsia="Times New Roman" w:cs="Times New Roman"/>
                <w:szCs w:val="28"/>
                <w:lang w:eastAsia="lv-LV"/>
              </w:rPr>
              <w:t>, piemēram,</w:t>
            </w:r>
            <w:r w:rsidRPr="00343631">
              <w:rPr>
                <w:rFonts w:eastAsia="Times New Roman" w:cs="Times New Roman"/>
                <w:szCs w:val="28"/>
                <w:lang w:eastAsia="lv-LV"/>
              </w:rPr>
              <w:t xml:space="preserve"> neparedz sodu par prasībām neatbilstoš</w:t>
            </w:r>
            <w:r w:rsidR="00DC7298" w:rsidRPr="00343631">
              <w:rPr>
                <w:rFonts w:eastAsia="Times New Roman" w:cs="Times New Roman"/>
                <w:szCs w:val="28"/>
                <w:lang w:eastAsia="lv-LV"/>
              </w:rPr>
              <w:t>a</w:t>
            </w:r>
            <w:r w:rsidRPr="00343631">
              <w:rPr>
                <w:rFonts w:eastAsia="Times New Roman" w:cs="Times New Roman"/>
                <w:szCs w:val="28"/>
                <w:lang w:eastAsia="lv-LV"/>
              </w:rPr>
              <w:t xml:space="preserve"> būvizstrādājuma piedāvāšanu tirgū. </w:t>
            </w:r>
            <w:r w:rsidR="003F1C82" w:rsidRPr="00343631">
              <w:rPr>
                <w:rFonts w:eastAsia="Times New Roman" w:cs="Times New Roman"/>
                <w:szCs w:val="28"/>
                <w:lang w:eastAsia="lv-LV"/>
              </w:rPr>
              <w:t>Š</w:t>
            </w:r>
            <w:r w:rsidRPr="00343631">
              <w:rPr>
                <w:rFonts w:eastAsia="Times New Roman" w:cs="Times New Roman"/>
                <w:szCs w:val="28"/>
                <w:lang w:eastAsia="lv-LV"/>
              </w:rPr>
              <w:t>obrīd tiek prasītas tikai korektīvās darbības attiecībā uz konstatētu neatbilstību novēršanu, tas ir izņemšana no tirgus, aizliegums piedāvāt tirgū. Patērētāju tiesību aizsardzības centra uzraudzības rezultāti parāda, ka korektīvo darbību veikšana, kā vienīgais instruments, nenodrošina efektīvu regulējuma ieviešanu un neattur no pārkāpuma izdarīšanas. Papildus, ir jānodrošina konsekvenci starp dažādiem produktiem piemērojamām tiesību normām, tā piemēram, LAPK paredz administratīvo atbildību par nedrošas preces piedāvāšanu tirgū vai par tādas preces piedāvāšanu tirgū, kurai nav veikta atbilstības novērtēšana</w:t>
            </w:r>
            <w:r w:rsidR="003F1C82" w:rsidRPr="00343631">
              <w:rPr>
                <w:rFonts w:eastAsia="Times New Roman" w:cs="Times New Roman"/>
                <w:szCs w:val="28"/>
                <w:lang w:eastAsia="lv-LV"/>
              </w:rPr>
              <w:t xml:space="preserve"> (šo sodus ir plānots saglabāt arī turpmāk)</w:t>
            </w:r>
            <w:r w:rsidRPr="00343631">
              <w:rPr>
                <w:rFonts w:eastAsia="Times New Roman" w:cs="Times New Roman"/>
                <w:szCs w:val="28"/>
                <w:lang w:eastAsia="lv-LV"/>
              </w:rPr>
              <w:t xml:space="preserve">. </w:t>
            </w:r>
            <w:r w:rsidR="003F1C82" w:rsidRPr="00343631">
              <w:rPr>
                <w:rFonts w:eastAsia="Times New Roman" w:cs="Times New Roman"/>
                <w:szCs w:val="28"/>
                <w:lang w:eastAsia="lv-LV"/>
              </w:rPr>
              <w:t xml:space="preserve">Šo iemeslu </w:t>
            </w:r>
            <w:r w:rsidR="003F1C82" w:rsidRPr="00343631">
              <w:rPr>
                <w:rFonts w:eastAsia="Times New Roman" w:cs="Times New Roman"/>
                <w:szCs w:val="28"/>
                <w:lang w:eastAsia="lv-LV"/>
              </w:rPr>
              <w:lastRenderedPageBreak/>
              <w:t>dēļ ir nepieciešams pilnveidot būvizstrādājumu aprites regulējuma ieviešanas mehānismu, paredzot efektīvu sodu sistēmu.</w:t>
            </w:r>
          </w:p>
          <w:p w14:paraId="0754018A" w14:textId="77777777" w:rsidR="003F1C82" w:rsidRPr="00343631" w:rsidRDefault="003F1C82" w:rsidP="003F1C82">
            <w:pPr>
              <w:contextualSpacing/>
              <w:jc w:val="both"/>
              <w:rPr>
                <w:rFonts w:eastAsia="Times New Roman" w:cs="Times New Roman"/>
                <w:szCs w:val="28"/>
                <w:lang w:eastAsia="lv-LV"/>
              </w:rPr>
            </w:pPr>
          </w:p>
          <w:p w14:paraId="3CCBC906" w14:textId="77777777" w:rsidR="005F1EE8" w:rsidRPr="00343631" w:rsidRDefault="005F1EE8" w:rsidP="005F1EE8">
            <w:pPr>
              <w:contextualSpacing/>
              <w:jc w:val="both"/>
              <w:rPr>
                <w:rFonts w:eastAsia="Times New Roman" w:cs="Times New Roman"/>
                <w:szCs w:val="28"/>
                <w:lang w:eastAsia="lv-LV"/>
              </w:rPr>
            </w:pPr>
            <w:r w:rsidRPr="00343631">
              <w:rPr>
                <w:rFonts w:eastAsia="Times New Roman" w:cs="Times New Roman"/>
                <w:szCs w:val="28"/>
                <w:lang w:eastAsia="lv-LV"/>
              </w:rPr>
              <w:t xml:space="preserve">Būvniecības likuma </w:t>
            </w:r>
            <w:r w:rsidR="00FE3169" w:rsidRPr="00343631">
              <w:rPr>
                <w:rFonts w:eastAsia="Times New Roman" w:cs="Times New Roman"/>
                <w:szCs w:val="28"/>
                <w:lang w:eastAsia="lv-LV"/>
              </w:rPr>
              <w:t>29.panta pirmās</w:t>
            </w:r>
            <w:r w:rsidRPr="00343631">
              <w:rPr>
                <w:rFonts w:eastAsia="Times New Roman" w:cs="Times New Roman"/>
                <w:szCs w:val="28"/>
                <w:lang w:eastAsia="lv-LV"/>
              </w:rPr>
              <w:t xml:space="preserve"> daļas mērķis </w:t>
            </w:r>
            <w:r w:rsidR="003F1C82" w:rsidRPr="00343631">
              <w:rPr>
                <w:rFonts w:eastAsia="Times New Roman" w:cs="Times New Roman"/>
                <w:szCs w:val="28"/>
                <w:lang w:eastAsia="lv-LV"/>
              </w:rPr>
              <w:t xml:space="preserve">ir </w:t>
            </w:r>
            <w:r w:rsidRPr="00343631">
              <w:rPr>
                <w:rFonts w:eastAsia="Times New Roman" w:cs="Times New Roman"/>
                <w:szCs w:val="28"/>
                <w:lang w:eastAsia="lv-LV"/>
              </w:rPr>
              <w:t xml:space="preserve">panākt to, ka Latvijas tirgū piedāvāti būvizstrādājumi ir nodrošināti ar informāciju par to tehniskām un fizikālām īpašībām. Informācija par būvizstrādājuma tehniskām un fizikālām īpašības ir būtiska, lai nodrošinātu būvizstrādājuma atbilstošu pielietojumu, proti, pielietojumu paredzētajam mērķim, kā arī </w:t>
            </w:r>
            <w:r w:rsidR="003F1C82" w:rsidRPr="00343631">
              <w:rPr>
                <w:rFonts w:eastAsia="Times New Roman" w:cs="Times New Roman"/>
                <w:szCs w:val="28"/>
                <w:lang w:eastAsia="lv-LV"/>
              </w:rPr>
              <w:t>būvniecības ieceres dokumentācijā</w:t>
            </w:r>
            <w:r w:rsidRPr="00343631">
              <w:rPr>
                <w:rFonts w:eastAsia="Times New Roman" w:cs="Times New Roman"/>
                <w:szCs w:val="28"/>
                <w:lang w:eastAsia="lv-LV"/>
              </w:rPr>
              <w:t xml:space="preserve"> izvirzītajām prasībām.</w:t>
            </w:r>
          </w:p>
          <w:p w14:paraId="70EBC65D" w14:textId="77777777" w:rsidR="005F1EE8" w:rsidRPr="00343631" w:rsidRDefault="005F1EE8" w:rsidP="005F1EE8">
            <w:pPr>
              <w:contextualSpacing/>
              <w:jc w:val="both"/>
              <w:rPr>
                <w:rFonts w:eastAsia="Times New Roman" w:cs="Times New Roman"/>
                <w:szCs w:val="28"/>
                <w:lang w:eastAsia="lv-LV"/>
              </w:rPr>
            </w:pPr>
          </w:p>
          <w:p w14:paraId="2025E02A" w14:textId="77777777" w:rsidR="005F1EE8" w:rsidRPr="00343631" w:rsidRDefault="005F1EE8" w:rsidP="005F1EE8">
            <w:pPr>
              <w:contextualSpacing/>
              <w:jc w:val="both"/>
              <w:rPr>
                <w:rFonts w:eastAsia="Times New Roman" w:cs="Times New Roman"/>
                <w:szCs w:val="28"/>
                <w:lang w:eastAsia="lv-LV"/>
              </w:rPr>
            </w:pPr>
            <w:r w:rsidRPr="00343631">
              <w:rPr>
                <w:rFonts w:eastAsia="Times New Roman" w:cs="Times New Roman"/>
                <w:szCs w:val="28"/>
                <w:lang w:eastAsia="lv-LV"/>
              </w:rPr>
              <w:t xml:space="preserve">Būvniecības likuma </w:t>
            </w:r>
            <w:r w:rsidR="00FE3169" w:rsidRPr="00343631">
              <w:rPr>
                <w:rFonts w:eastAsia="Times New Roman" w:cs="Times New Roman"/>
                <w:szCs w:val="28"/>
                <w:lang w:eastAsia="lv-LV"/>
              </w:rPr>
              <w:t>29.panta otrās</w:t>
            </w:r>
            <w:r w:rsidR="003F1C82" w:rsidRPr="00343631">
              <w:rPr>
                <w:rFonts w:eastAsia="Times New Roman" w:cs="Times New Roman"/>
                <w:szCs w:val="28"/>
                <w:lang w:eastAsia="lv-LV"/>
              </w:rPr>
              <w:t xml:space="preserve"> </w:t>
            </w:r>
            <w:r w:rsidRPr="00343631">
              <w:rPr>
                <w:rFonts w:eastAsia="Times New Roman" w:cs="Times New Roman"/>
                <w:szCs w:val="28"/>
                <w:lang w:eastAsia="lv-LV"/>
              </w:rPr>
              <w:t xml:space="preserve">daļas mērķis </w:t>
            </w:r>
            <w:r w:rsidR="003F1C82" w:rsidRPr="00343631">
              <w:rPr>
                <w:rFonts w:eastAsia="Times New Roman" w:cs="Times New Roman"/>
                <w:szCs w:val="28"/>
                <w:lang w:eastAsia="lv-LV"/>
              </w:rPr>
              <w:t xml:space="preserve">ir </w:t>
            </w:r>
            <w:r w:rsidRPr="00343631">
              <w:rPr>
                <w:rFonts w:eastAsia="Times New Roman" w:cs="Times New Roman"/>
                <w:szCs w:val="28"/>
                <w:lang w:eastAsia="lv-LV"/>
              </w:rPr>
              <w:t xml:space="preserve">panākt to, ka būvizstrādājuma būtiskie raksturlielumi ir noteikti un novērtēti atbilstoši piemērojamiem standartiem, kas savukārt nodrošina vienotu novērtēšanas un iegūto rezultātu izteikšanas sistēmu. </w:t>
            </w:r>
            <w:r w:rsidR="003F1C82" w:rsidRPr="00343631">
              <w:rPr>
                <w:rFonts w:eastAsia="Times New Roman" w:cs="Times New Roman"/>
                <w:szCs w:val="28"/>
                <w:lang w:eastAsia="lv-LV"/>
              </w:rPr>
              <w:t>Tas</w:t>
            </w:r>
            <w:r w:rsidRPr="00343631">
              <w:rPr>
                <w:rFonts w:eastAsia="Times New Roman" w:cs="Times New Roman"/>
                <w:szCs w:val="28"/>
                <w:lang w:eastAsia="lv-LV"/>
              </w:rPr>
              <w:t xml:space="preserve"> savukārt dod iespēju būvizstrādājuma lietotājiem salīdzināt būvizstrādājumu ekspluatācijas īpašības un izvēlēties piemērotāk</w:t>
            </w:r>
            <w:r w:rsidR="003F1C82" w:rsidRPr="00343631">
              <w:rPr>
                <w:rFonts w:eastAsia="Times New Roman" w:cs="Times New Roman"/>
                <w:szCs w:val="28"/>
                <w:lang w:eastAsia="lv-LV"/>
              </w:rPr>
              <w:t>o</w:t>
            </w:r>
            <w:r w:rsidRPr="00343631">
              <w:rPr>
                <w:rFonts w:eastAsia="Times New Roman" w:cs="Times New Roman"/>
                <w:szCs w:val="28"/>
                <w:lang w:eastAsia="lv-LV"/>
              </w:rPr>
              <w:t>s.</w:t>
            </w:r>
          </w:p>
          <w:p w14:paraId="681560D4" w14:textId="77777777" w:rsidR="005F1EE8" w:rsidRPr="00343631" w:rsidRDefault="005F1EE8" w:rsidP="005F1EE8">
            <w:pPr>
              <w:contextualSpacing/>
              <w:jc w:val="both"/>
              <w:rPr>
                <w:rFonts w:eastAsia="Times New Roman" w:cs="Times New Roman"/>
                <w:szCs w:val="28"/>
                <w:lang w:eastAsia="lv-LV"/>
              </w:rPr>
            </w:pPr>
          </w:p>
          <w:p w14:paraId="1730A05A" w14:textId="77777777" w:rsidR="00FE3169" w:rsidRPr="00343631" w:rsidRDefault="005F1EE8" w:rsidP="003F1C82">
            <w:pPr>
              <w:contextualSpacing/>
              <w:jc w:val="both"/>
              <w:rPr>
                <w:rFonts w:eastAsia="Times New Roman" w:cs="Times New Roman"/>
                <w:szCs w:val="28"/>
                <w:lang w:eastAsia="lv-LV"/>
              </w:rPr>
            </w:pPr>
            <w:r w:rsidRPr="00343631">
              <w:rPr>
                <w:rFonts w:eastAsia="Times New Roman" w:cs="Times New Roman"/>
                <w:szCs w:val="28"/>
                <w:lang w:eastAsia="lv-LV"/>
              </w:rPr>
              <w:t xml:space="preserve">Būvniecības likuma </w:t>
            </w:r>
            <w:r w:rsidR="00FE3169" w:rsidRPr="00343631">
              <w:rPr>
                <w:rFonts w:eastAsia="Times New Roman" w:cs="Times New Roman"/>
                <w:szCs w:val="28"/>
                <w:lang w:eastAsia="lv-LV"/>
              </w:rPr>
              <w:t>29.panta trešās</w:t>
            </w:r>
            <w:r w:rsidR="003F1C82" w:rsidRPr="00343631">
              <w:rPr>
                <w:rFonts w:eastAsia="Times New Roman" w:cs="Times New Roman"/>
                <w:szCs w:val="28"/>
                <w:lang w:eastAsia="lv-LV"/>
              </w:rPr>
              <w:t xml:space="preserve"> </w:t>
            </w:r>
            <w:r w:rsidRPr="00343631">
              <w:rPr>
                <w:rFonts w:eastAsia="Times New Roman" w:cs="Times New Roman"/>
                <w:szCs w:val="28"/>
                <w:lang w:eastAsia="lv-LV"/>
              </w:rPr>
              <w:t>daļas mērķis panākt, ka ražotāja deklarētās būvizstrādājuma ekspluatācijas īpašības, proti būvizstrādājuma veiktspēja attiecībā uz to būtiskiem raksturlielumiem, atbilst faktiskajām īpašībām.</w:t>
            </w:r>
            <w:r w:rsidR="00FE3169" w:rsidRPr="00343631">
              <w:rPr>
                <w:rFonts w:eastAsia="Times New Roman" w:cs="Times New Roman"/>
                <w:szCs w:val="28"/>
                <w:lang w:eastAsia="lv-LV"/>
              </w:rPr>
              <w:t xml:space="preserve"> </w:t>
            </w:r>
          </w:p>
          <w:p w14:paraId="3F844F6C" w14:textId="77777777" w:rsidR="00FE3169" w:rsidRPr="00343631" w:rsidRDefault="00FE3169" w:rsidP="003F1C82">
            <w:pPr>
              <w:contextualSpacing/>
              <w:jc w:val="both"/>
              <w:rPr>
                <w:rFonts w:eastAsia="Times New Roman" w:cs="Times New Roman"/>
                <w:szCs w:val="28"/>
                <w:lang w:eastAsia="lv-LV"/>
              </w:rPr>
            </w:pPr>
          </w:p>
          <w:p w14:paraId="51E7BAF3" w14:textId="77777777" w:rsidR="005F1EE8" w:rsidRPr="00343631" w:rsidRDefault="00FE3169" w:rsidP="003F1C82">
            <w:pPr>
              <w:contextualSpacing/>
              <w:jc w:val="both"/>
              <w:rPr>
                <w:bCs/>
                <w:szCs w:val="28"/>
              </w:rPr>
            </w:pPr>
            <w:r w:rsidRPr="00343631">
              <w:rPr>
                <w:rFonts w:eastAsia="Times New Roman" w:cs="Times New Roman"/>
                <w:szCs w:val="28"/>
                <w:lang w:eastAsia="lv-LV"/>
              </w:rPr>
              <w:t xml:space="preserve">Sankcijas būvizstrādājumu pārkāpumu jomā ir noteiktas savstarpējā kopsakarībā vērtējot potenciālo bīstamību, kur mazāk bīstama ir </w:t>
            </w:r>
            <w:r w:rsidR="00DC7298" w:rsidRPr="00343631">
              <w:rPr>
                <w:rFonts w:eastAsia="Times New Roman" w:cs="Times New Roman"/>
                <w:szCs w:val="28"/>
                <w:lang w:eastAsia="lv-LV"/>
              </w:rPr>
              <w:t>būvizstrādājumu laišana</w:t>
            </w:r>
            <w:r w:rsidRPr="00343631">
              <w:rPr>
                <w:rFonts w:eastAsia="Times New Roman" w:cs="Times New Roman"/>
                <w:szCs w:val="28"/>
                <w:lang w:eastAsia="lv-LV"/>
              </w:rPr>
              <w:t xml:space="preserve"> tirgū, bet bīstamāka ir neatbilstošu </w:t>
            </w:r>
            <w:r w:rsidR="00DC7298" w:rsidRPr="00343631">
              <w:rPr>
                <w:bCs/>
                <w:szCs w:val="28"/>
              </w:rPr>
              <w:t>būvizstrādājumu pielietošana</w:t>
            </w:r>
            <w:r w:rsidRPr="00343631">
              <w:rPr>
                <w:bCs/>
                <w:szCs w:val="28"/>
              </w:rPr>
              <w:t xml:space="preserve"> būvdarbu procesā. Papildus būtu jānorāda, ka sankcijas noteiktas ņemot vērā LAPK 166.</w:t>
            </w:r>
            <w:r w:rsidRPr="00343631">
              <w:rPr>
                <w:bCs/>
                <w:szCs w:val="28"/>
                <w:vertAlign w:val="superscript"/>
              </w:rPr>
              <w:t>9</w:t>
            </w:r>
            <w:r w:rsidRPr="00343631">
              <w:rPr>
                <w:bCs/>
                <w:szCs w:val="28"/>
              </w:rPr>
              <w:t xml:space="preserve"> panta trešajā daļā noteiktās sankcijas</w:t>
            </w:r>
            <w:r w:rsidR="00AB5F4F" w:rsidRPr="00343631">
              <w:rPr>
                <w:bCs/>
                <w:szCs w:val="28"/>
              </w:rPr>
              <w:t xml:space="preserve"> (maksimālā sankcija saskaņā ar LAPK 26.panta pirmo daļu)</w:t>
            </w:r>
            <w:r w:rsidRPr="00343631">
              <w:rPr>
                <w:bCs/>
                <w:szCs w:val="28"/>
              </w:rPr>
              <w:t>.</w:t>
            </w:r>
          </w:p>
          <w:p w14:paraId="41FBD884" w14:textId="77777777" w:rsidR="00AB5F4F" w:rsidRPr="00343631" w:rsidRDefault="00AB5F4F" w:rsidP="003F1C82">
            <w:pPr>
              <w:contextualSpacing/>
              <w:jc w:val="both"/>
              <w:rPr>
                <w:bCs/>
                <w:szCs w:val="28"/>
              </w:rPr>
            </w:pPr>
          </w:p>
          <w:p w14:paraId="75AE0A6E" w14:textId="77777777" w:rsidR="00AB5F4F" w:rsidRPr="00343631" w:rsidRDefault="00AB5F4F" w:rsidP="003F1C82">
            <w:pPr>
              <w:contextualSpacing/>
              <w:jc w:val="both"/>
              <w:rPr>
                <w:bCs/>
                <w:szCs w:val="28"/>
              </w:rPr>
            </w:pPr>
            <w:r w:rsidRPr="00343631">
              <w:rPr>
                <w:bCs/>
                <w:szCs w:val="28"/>
              </w:rPr>
              <w:t>Vienlaikus būtu jānorāda, ka LAPK 152.panta daļās noteiktie papildsodi netiek pārņemti, jo LAPK 152.panta piemērošanas praksē tika piemēroti tikai naudas sodi.</w:t>
            </w:r>
          </w:p>
          <w:p w14:paraId="30D30CEE" w14:textId="77777777" w:rsidR="00AB5F4F" w:rsidRPr="00343631" w:rsidRDefault="00AB5F4F" w:rsidP="003F1C82">
            <w:pPr>
              <w:contextualSpacing/>
              <w:jc w:val="both"/>
              <w:rPr>
                <w:bCs/>
                <w:szCs w:val="28"/>
              </w:rPr>
            </w:pPr>
          </w:p>
          <w:p w14:paraId="2BA3E0C0" w14:textId="77777777" w:rsidR="00C234A9" w:rsidRPr="00343631" w:rsidRDefault="00AB5F4F" w:rsidP="00C234A9">
            <w:pPr>
              <w:contextualSpacing/>
              <w:jc w:val="both"/>
              <w:rPr>
                <w:bCs/>
                <w:szCs w:val="28"/>
              </w:rPr>
            </w:pPr>
            <w:r w:rsidRPr="00343631">
              <w:rPr>
                <w:bCs/>
                <w:szCs w:val="28"/>
              </w:rPr>
              <w:t xml:space="preserve">Par kompetenci sodu piemērošanā būtu jānorāda, ka </w:t>
            </w:r>
            <w:r w:rsidR="00EC70B3" w:rsidRPr="00343631">
              <w:rPr>
                <w:bCs/>
                <w:szCs w:val="28"/>
              </w:rPr>
              <w:t xml:space="preserve">salīdzinot ar būvniecības jomas regulējumu līdz 01.10.2014. ir </w:t>
            </w:r>
            <w:r w:rsidR="00C234A9" w:rsidRPr="00343631">
              <w:rPr>
                <w:bCs/>
                <w:szCs w:val="28"/>
              </w:rPr>
              <w:t>būtiski mainījies būvniecības jomas regulējums, tai skaitā attiecībā uz institūcijām, kuras ir tiesīgas izdod administratīvos aktus būvniecības jomā un veikt būvniecības administratīvā procesa tiesiskuma kontroli. Šobrīd būvniecības administratīvā procesa tiesiskum</w:t>
            </w:r>
            <w:r w:rsidR="00DC7298" w:rsidRPr="00343631">
              <w:rPr>
                <w:bCs/>
                <w:szCs w:val="28"/>
              </w:rPr>
              <w:t>a</w:t>
            </w:r>
            <w:r w:rsidR="00C234A9" w:rsidRPr="00343631">
              <w:rPr>
                <w:bCs/>
                <w:szCs w:val="28"/>
              </w:rPr>
              <w:t xml:space="preserve"> kontroli ir tiesīgas veikt pašvaldības būvvaldes, Būvniecības valsts kontroles birojs un citas institūcijas, kuras pilda būvvaldes funkcijas, saskaņā ar Būvniecības likuma 6.panta ceturto daļu un citiem normatīvajiem aktiem (Ekonomikas ministrija, Vides aizsardzības un reģionālās attīstības ministrija, Valsts vides dienests, Valsts dzelzceļa tehniskā inspekcija, valsts akciju sabiedrība “Latvijas </w:t>
            </w:r>
            <w:r w:rsidR="00EC70B3" w:rsidRPr="00343631">
              <w:rPr>
                <w:bCs/>
                <w:szCs w:val="28"/>
              </w:rPr>
              <w:t>Valsts ceļi”):</w:t>
            </w:r>
          </w:p>
          <w:p w14:paraId="48F1FADE" w14:textId="77777777" w:rsidR="00EC70B3" w:rsidRPr="00343631" w:rsidRDefault="00EC70B3" w:rsidP="008511FE">
            <w:pPr>
              <w:jc w:val="both"/>
              <w:rPr>
                <w:bCs/>
                <w:szCs w:val="28"/>
              </w:rPr>
            </w:pPr>
            <w:r w:rsidRPr="00343631">
              <w:rPr>
                <w:bCs/>
                <w:szCs w:val="28"/>
              </w:rPr>
              <w:t xml:space="preserve">1. </w:t>
            </w:r>
            <w:r w:rsidR="00C234A9" w:rsidRPr="00343631">
              <w:rPr>
                <w:bCs/>
                <w:szCs w:val="28"/>
              </w:rPr>
              <w:t xml:space="preserve">Ekonomikas ministrija </w:t>
            </w:r>
            <w:r w:rsidRPr="00343631">
              <w:rPr>
                <w:bCs/>
                <w:szCs w:val="28"/>
              </w:rPr>
              <w:t>veic</w:t>
            </w:r>
            <w:r w:rsidR="00C234A9" w:rsidRPr="00343631">
              <w:rPr>
                <w:bCs/>
                <w:szCs w:val="28"/>
              </w:rPr>
              <w:t xml:space="preserve"> būvvaldes funkcijas attiecīb</w:t>
            </w:r>
            <w:r w:rsidRPr="00343631">
              <w:rPr>
                <w:bCs/>
                <w:szCs w:val="28"/>
              </w:rPr>
              <w:t>ā uz būvju būvniecību jūrā;</w:t>
            </w:r>
          </w:p>
          <w:p w14:paraId="0631FDAE" w14:textId="77777777" w:rsidR="00EC70B3" w:rsidRPr="00343631" w:rsidRDefault="00EC70B3" w:rsidP="008511FE">
            <w:pPr>
              <w:jc w:val="both"/>
            </w:pPr>
            <w:r w:rsidRPr="00343631">
              <w:t>2. </w:t>
            </w:r>
            <w:r w:rsidR="00C234A9" w:rsidRPr="00343631">
              <w:t>Vides aizsardzības un reģionālās attīstības ministrija</w:t>
            </w:r>
            <w:r w:rsidRPr="00343631">
              <w:t xml:space="preserve"> </w:t>
            </w:r>
            <w:r w:rsidR="00C234A9" w:rsidRPr="00343631">
              <w:t>– Padomju okupācijas upur</w:t>
            </w:r>
            <w:r w:rsidR="00DC7298" w:rsidRPr="00343631">
              <w:t>u piemiņas memoriāla kompleksa būvniecība</w:t>
            </w:r>
            <w:r w:rsidRPr="00343631">
              <w:t>;</w:t>
            </w:r>
          </w:p>
          <w:p w14:paraId="46DDA652" w14:textId="77777777" w:rsidR="00EC70B3" w:rsidRPr="00343631" w:rsidRDefault="00EC70B3" w:rsidP="008511FE">
            <w:pPr>
              <w:jc w:val="both"/>
            </w:pPr>
            <w:r w:rsidRPr="00343631">
              <w:t>3. </w:t>
            </w:r>
            <w:r w:rsidR="00C234A9" w:rsidRPr="00343631">
              <w:t>valsts akciju sabiedrība “Latvijas Valsts ceļi”</w:t>
            </w:r>
            <w:r w:rsidRPr="00343631">
              <w:t xml:space="preserve"> - valsts autoceļu būvniecības gadījumā;</w:t>
            </w:r>
          </w:p>
          <w:p w14:paraId="404274C6" w14:textId="77777777" w:rsidR="00EC70B3" w:rsidRPr="00343631" w:rsidRDefault="00EC70B3" w:rsidP="008511FE">
            <w:pPr>
              <w:jc w:val="both"/>
            </w:pPr>
            <w:r w:rsidRPr="00343631">
              <w:t xml:space="preserve">4. Valsts vides dienests </w:t>
            </w:r>
            <w:r w:rsidR="008511FE" w:rsidRPr="00343631">
              <w:t>–</w:t>
            </w:r>
            <w:r w:rsidRPr="00343631">
              <w:t xml:space="preserve"> ar</w:t>
            </w:r>
            <w:r w:rsidR="008511FE" w:rsidRPr="00343631">
              <w:t xml:space="preserve"> </w:t>
            </w:r>
            <w:r w:rsidRPr="00343631">
              <w:t xml:space="preserve">radiācijas drošību saistīto būvju (valsts nozīmes jonizējošā starojuma </w:t>
            </w:r>
            <w:r w:rsidR="008511FE" w:rsidRPr="00343631">
              <w:t>objektu) būvniecība;</w:t>
            </w:r>
          </w:p>
          <w:p w14:paraId="5086B9BA" w14:textId="77777777" w:rsidR="008511FE" w:rsidRPr="00343631" w:rsidRDefault="008511FE" w:rsidP="008511FE">
            <w:pPr>
              <w:jc w:val="both"/>
            </w:pPr>
            <w:r w:rsidRPr="00343631">
              <w:t>5. Valsts dzelzceļa tehniskā inspekcija - dzelzceļa infrastruktūras objektu būvniecība;</w:t>
            </w:r>
          </w:p>
          <w:p w14:paraId="5B9000B1" w14:textId="77777777" w:rsidR="008511FE" w:rsidRPr="00343631" w:rsidRDefault="008511FE" w:rsidP="008511FE">
            <w:pPr>
              <w:jc w:val="both"/>
            </w:pPr>
            <w:r w:rsidRPr="00343631">
              <w:t>6. Būvniecības valsts kontroles birojs – Būvniecības likuma 6.</w:t>
            </w:r>
            <w:r w:rsidRPr="00343631">
              <w:rPr>
                <w:vertAlign w:val="superscript"/>
              </w:rPr>
              <w:t>1</w:t>
            </w:r>
            <w:r w:rsidRPr="00343631">
              <w:t>panta pirmās daļas 1. un 2.punkts, kā arī pārejas noteikumu 19.punkts;</w:t>
            </w:r>
          </w:p>
          <w:p w14:paraId="3E776443" w14:textId="77777777" w:rsidR="00C234A9" w:rsidRPr="00343631" w:rsidRDefault="008511FE" w:rsidP="008511FE">
            <w:pPr>
              <w:jc w:val="both"/>
              <w:rPr>
                <w:bCs/>
                <w:szCs w:val="28"/>
              </w:rPr>
            </w:pPr>
            <w:r w:rsidRPr="00343631">
              <w:t>7. pašvaldības būvvalde – visos citos gadījumos.</w:t>
            </w:r>
          </w:p>
          <w:p w14:paraId="054E2FA4" w14:textId="59E2EC23" w:rsidR="00AB5F4F" w:rsidRPr="00343631" w:rsidRDefault="008511FE" w:rsidP="008511FE">
            <w:pPr>
              <w:contextualSpacing/>
              <w:jc w:val="both"/>
              <w:rPr>
                <w:bCs/>
                <w:szCs w:val="28"/>
              </w:rPr>
            </w:pPr>
            <w:r w:rsidRPr="00343631">
              <w:rPr>
                <w:bCs/>
                <w:szCs w:val="28"/>
              </w:rPr>
              <w:t>Šo institūciju, kuras not</w:t>
            </w:r>
            <w:r w:rsidR="00DC7298" w:rsidRPr="00343631">
              <w:rPr>
                <w:bCs/>
                <w:szCs w:val="28"/>
              </w:rPr>
              <w:t>ei</w:t>
            </w:r>
            <w:r w:rsidRPr="00343631">
              <w:rPr>
                <w:bCs/>
                <w:szCs w:val="28"/>
              </w:rPr>
              <w:t>ktos gadījumos pilda būvvaldes funkcijas, kompetence ir noteikta Būvniecības likumā un vispārīgajos un speciālajos būvnoteikumos. Katrā būvniecības administratīvā procesa posmā var skaidri noteikt kompetento institūciju saskaņā ar iepriekš minētajiem būvniecības jomas normatīvajiem aktiem.</w:t>
            </w:r>
          </w:p>
          <w:p w14:paraId="7189CFC1" w14:textId="4AB4421D" w:rsidR="00235B08" w:rsidRPr="00343631" w:rsidRDefault="00235B08" w:rsidP="008511FE">
            <w:pPr>
              <w:contextualSpacing/>
              <w:jc w:val="both"/>
              <w:rPr>
                <w:bCs/>
                <w:szCs w:val="28"/>
              </w:rPr>
            </w:pPr>
          </w:p>
          <w:p w14:paraId="00593A3D" w14:textId="5E4BFF51" w:rsidR="00235B08" w:rsidRPr="00343631" w:rsidRDefault="00235B08" w:rsidP="008511FE">
            <w:pPr>
              <w:contextualSpacing/>
              <w:jc w:val="both"/>
              <w:rPr>
                <w:bCs/>
                <w:szCs w:val="28"/>
              </w:rPr>
            </w:pPr>
            <w:r w:rsidRPr="00343631">
              <w:rPr>
                <w:bCs/>
                <w:szCs w:val="28"/>
              </w:rPr>
              <w:t xml:space="preserve">Vienlaikus būtu jānorāda, ka tiek saglabāta </w:t>
            </w:r>
            <w:r w:rsidR="009E1E25" w:rsidRPr="00343631">
              <w:rPr>
                <w:bCs/>
                <w:szCs w:val="28"/>
              </w:rPr>
              <w:t xml:space="preserve">līdzšinējā kārtība būvniecības administratīvo </w:t>
            </w:r>
            <w:r w:rsidR="009E1E25" w:rsidRPr="00343631">
              <w:rPr>
                <w:bCs/>
                <w:szCs w:val="28"/>
              </w:rPr>
              <w:lastRenderedPageBreak/>
              <w:t xml:space="preserve">pārkāpumu procesa uzsākšanā un veikšanā, ciktāl tas attiecas uz būvvaldes kompetencē esošiem būvdarbiem, proti, pašvaldības var brīvi saistošajos noteikumos noteikt, kura institūcija – būvvalde vai pašvaldības administratīvā komisija, veiks administratīvo pārkāpuma procesu.  </w:t>
            </w:r>
          </w:p>
          <w:p w14:paraId="23865D21" w14:textId="77777777" w:rsidR="008511FE" w:rsidRPr="00343631" w:rsidRDefault="008511FE" w:rsidP="008511FE">
            <w:pPr>
              <w:contextualSpacing/>
              <w:jc w:val="both"/>
              <w:rPr>
                <w:bCs/>
                <w:szCs w:val="28"/>
              </w:rPr>
            </w:pPr>
          </w:p>
          <w:p w14:paraId="635A69D3" w14:textId="77777777" w:rsidR="008511FE" w:rsidRPr="00343631" w:rsidRDefault="008511FE" w:rsidP="008511FE">
            <w:pPr>
              <w:contextualSpacing/>
              <w:jc w:val="both"/>
              <w:rPr>
                <w:rFonts w:eastAsia="Times New Roman" w:cs="Times New Roman"/>
                <w:szCs w:val="28"/>
                <w:lang w:eastAsia="lv-LV"/>
              </w:rPr>
            </w:pPr>
            <w:r w:rsidRPr="00343631">
              <w:rPr>
                <w:rFonts w:eastAsia="Times New Roman" w:cs="Times New Roman"/>
                <w:szCs w:val="28"/>
                <w:lang w:eastAsia="lv-LV"/>
              </w:rPr>
              <w:t>Patērētāju tiesību aizsardzības centra kompetencē saskaņā ar Ministru kabineta 25.03.2014. noteikumu Nr.156 “Būvizstrādājumu tirgus uzraudzības kārtība” 2.punktu ir jautājumi saistībā ar būvizstrādājumu laišanu tirgū (būvizstrādājumu tirgus uzraudzība).</w:t>
            </w:r>
          </w:p>
          <w:p w14:paraId="103B5E7D" w14:textId="77777777" w:rsidR="00CF223A" w:rsidRPr="00343631" w:rsidRDefault="00CF223A" w:rsidP="008511FE">
            <w:pPr>
              <w:contextualSpacing/>
              <w:jc w:val="both"/>
              <w:rPr>
                <w:rFonts w:eastAsia="Times New Roman" w:cs="Times New Roman"/>
                <w:szCs w:val="28"/>
                <w:lang w:eastAsia="lv-LV"/>
              </w:rPr>
            </w:pPr>
          </w:p>
          <w:p w14:paraId="0B024661" w14:textId="77777777" w:rsidR="00CF223A" w:rsidRPr="00343631" w:rsidRDefault="00CF223A" w:rsidP="00CF223A">
            <w:pPr>
              <w:contextualSpacing/>
              <w:jc w:val="both"/>
              <w:rPr>
                <w:rFonts w:eastAsia="Times New Roman" w:cs="Times New Roman"/>
                <w:szCs w:val="28"/>
                <w:lang w:eastAsia="lv-LV"/>
              </w:rPr>
            </w:pPr>
            <w:r w:rsidRPr="00343631">
              <w:rPr>
                <w:rFonts w:eastAsia="Times New Roman" w:cs="Times New Roman"/>
                <w:szCs w:val="28"/>
                <w:lang w:eastAsia="lv-LV"/>
              </w:rPr>
              <w:t>Papildus būtu jānorāda, ka likumprojektā termins “būvvalde” tiek lietots Būvniecības likuma 12.panta izpratnē – proti, būvvalde ir pašvaldības iestāde vai struktūrvienība vai vairāku pašvaldību izveidota iestāde.  Papildus būtu jānorāda, ka Būvniecības likuma termins “būvvalde” atbilst likumprojektā “Administratīvo pārkāpumu procesa likums” lietotajam jēdzienam “pašvaldības būvvalde”.</w:t>
            </w:r>
          </w:p>
          <w:p w14:paraId="1FB79442" w14:textId="77777777" w:rsidR="00CF223A" w:rsidRPr="00343631" w:rsidRDefault="00CF223A" w:rsidP="00CF223A">
            <w:pPr>
              <w:contextualSpacing/>
              <w:jc w:val="both"/>
              <w:rPr>
                <w:rFonts w:eastAsia="Times New Roman" w:cs="Times New Roman"/>
                <w:szCs w:val="28"/>
                <w:lang w:eastAsia="lv-LV"/>
              </w:rPr>
            </w:pPr>
          </w:p>
          <w:p w14:paraId="74AF7774" w14:textId="61242AAD" w:rsidR="00235B08" w:rsidRPr="00343631" w:rsidRDefault="00CF223A" w:rsidP="00235B08">
            <w:pPr>
              <w:contextualSpacing/>
              <w:jc w:val="both"/>
              <w:rPr>
                <w:rFonts w:eastAsia="Times New Roman" w:cs="Times New Roman"/>
                <w:szCs w:val="28"/>
                <w:lang w:eastAsia="lv-LV"/>
              </w:rPr>
            </w:pPr>
            <w:r w:rsidRPr="00343631">
              <w:rPr>
                <w:rFonts w:eastAsia="Times New Roman" w:cs="Times New Roman"/>
                <w:szCs w:val="28"/>
                <w:lang w:eastAsia="lv-LV"/>
              </w:rPr>
              <w:t>Tāpat būtu jānorāda, ka termins “institūciju, kura pilda būvvaldes funkcijas” norāda uz jebkuru institūciju, kura saskaņā ar Būvniecības likumu (sk. Būvniecības likuma 6.panta ceturto daļu vai 6.</w:t>
            </w:r>
            <w:r w:rsidRPr="00343631">
              <w:rPr>
                <w:rFonts w:eastAsia="Times New Roman" w:cs="Times New Roman"/>
                <w:szCs w:val="28"/>
                <w:vertAlign w:val="superscript"/>
                <w:lang w:eastAsia="lv-LV"/>
              </w:rPr>
              <w:t>1</w:t>
            </w:r>
            <w:r w:rsidRPr="00343631">
              <w:rPr>
                <w:rFonts w:eastAsia="Times New Roman" w:cs="Times New Roman"/>
                <w:szCs w:val="28"/>
                <w:lang w:eastAsia="lv-LV"/>
              </w:rPr>
              <w:t xml:space="preserve">pantu) pilda būvvaldes funkcijas, tai skaitā </w:t>
            </w:r>
            <w:r w:rsidR="00787A43" w:rsidRPr="00343631">
              <w:rPr>
                <w:rFonts w:eastAsia="Times New Roman" w:cs="Times New Roman"/>
                <w:szCs w:val="28"/>
                <w:lang w:eastAsia="lv-LV"/>
              </w:rPr>
              <w:t>Būvniecības valsts kontroles birojs.</w:t>
            </w:r>
            <w:r w:rsidR="00235B08" w:rsidRPr="00343631">
              <w:rPr>
                <w:rFonts w:eastAsia="Times New Roman" w:cs="Times New Roman"/>
                <w:szCs w:val="28"/>
                <w:lang w:eastAsia="lv-LV"/>
              </w:rPr>
              <w:t xml:space="preserve"> </w:t>
            </w:r>
          </w:p>
        </w:tc>
      </w:tr>
      <w:tr w:rsidR="00902348" w:rsidRPr="00343631" w14:paraId="11844325" w14:textId="77777777" w:rsidTr="00902348">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6EAC656" w14:textId="77777777" w:rsidR="00902348" w:rsidRPr="00343631" w:rsidRDefault="00902348" w:rsidP="00902348">
            <w:pPr>
              <w:contextualSpacing/>
              <w:jc w:val="center"/>
              <w:rPr>
                <w:rFonts w:eastAsia="Times New Roman" w:cs="Times New Roman"/>
                <w:szCs w:val="28"/>
                <w:lang w:eastAsia="lv-LV"/>
              </w:rPr>
            </w:pPr>
            <w:r w:rsidRPr="00343631">
              <w:rPr>
                <w:rFonts w:eastAsia="Times New Roman" w:cs="Times New Roman"/>
                <w:szCs w:val="28"/>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57C7B3FF" w14:textId="77777777" w:rsidR="00902348" w:rsidRPr="00343631" w:rsidRDefault="00902348" w:rsidP="00902348">
            <w:pPr>
              <w:contextualSpacing/>
              <w:rPr>
                <w:rFonts w:eastAsia="Times New Roman" w:cs="Times New Roman"/>
                <w:szCs w:val="28"/>
                <w:lang w:eastAsia="lv-LV"/>
              </w:rPr>
            </w:pPr>
            <w:r w:rsidRPr="00343631">
              <w:rPr>
                <w:rFonts w:eastAsia="Times New Roman" w:cs="Times New Roman"/>
                <w:szCs w:val="28"/>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235126EA" w14:textId="77777777" w:rsidR="00902348" w:rsidRPr="00343631" w:rsidRDefault="007D021D" w:rsidP="00FF11E7">
            <w:pPr>
              <w:contextualSpacing/>
              <w:jc w:val="both"/>
              <w:rPr>
                <w:rFonts w:eastAsia="Times New Roman" w:cs="Times New Roman"/>
                <w:szCs w:val="28"/>
                <w:lang w:eastAsia="lv-LV"/>
              </w:rPr>
            </w:pPr>
            <w:r w:rsidRPr="00343631">
              <w:rPr>
                <w:rFonts w:eastAsia="Times New Roman" w:cs="Times New Roman"/>
                <w:szCs w:val="28"/>
                <w:lang w:eastAsia="lv-LV"/>
              </w:rPr>
              <w:t>Likumprojekta izstrād</w:t>
            </w:r>
            <w:r w:rsidR="00FF11E7" w:rsidRPr="00343631">
              <w:rPr>
                <w:rFonts w:eastAsia="Times New Roman" w:cs="Times New Roman"/>
                <w:szCs w:val="28"/>
                <w:lang w:eastAsia="lv-LV"/>
              </w:rPr>
              <w:t>ē</w:t>
            </w:r>
            <w:r w:rsidRPr="00343631">
              <w:rPr>
                <w:rFonts w:eastAsia="Times New Roman" w:cs="Times New Roman"/>
                <w:szCs w:val="28"/>
                <w:lang w:eastAsia="lv-LV"/>
              </w:rPr>
              <w:t xml:space="preserve"> tika iesaistīts Būvn</w:t>
            </w:r>
            <w:r w:rsidR="00B85047" w:rsidRPr="00343631">
              <w:rPr>
                <w:rFonts w:eastAsia="Times New Roman" w:cs="Times New Roman"/>
                <w:szCs w:val="28"/>
                <w:lang w:eastAsia="lv-LV"/>
              </w:rPr>
              <w:t>iecības valsts kontroles birojs un</w:t>
            </w:r>
            <w:r w:rsidRPr="00343631">
              <w:rPr>
                <w:rFonts w:eastAsia="Times New Roman" w:cs="Times New Roman"/>
                <w:szCs w:val="28"/>
                <w:lang w:eastAsia="lv-LV"/>
              </w:rPr>
              <w:t xml:space="preserve"> Patērētāju tiesību aizsardzības centrs</w:t>
            </w:r>
            <w:r w:rsidR="00B85047" w:rsidRPr="00343631">
              <w:rPr>
                <w:rFonts w:eastAsia="Times New Roman" w:cs="Times New Roman"/>
                <w:szCs w:val="28"/>
                <w:lang w:eastAsia="lv-LV"/>
              </w:rPr>
              <w:t xml:space="preserve">, kā arī tika ņemti vērā </w:t>
            </w:r>
            <w:r w:rsidR="00BB25F7" w:rsidRPr="00343631">
              <w:rPr>
                <w:rFonts w:eastAsia="Times New Roman" w:cs="Times New Roman"/>
                <w:szCs w:val="28"/>
                <w:lang w:eastAsia="lv-LV"/>
              </w:rPr>
              <w:t xml:space="preserve">atsevišķi </w:t>
            </w:r>
            <w:r w:rsidR="00B85047" w:rsidRPr="00343631">
              <w:rPr>
                <w:rFonts w:eastAsia="Times New Roman" w:cs="Times New Roman"/>
                <w:szCs w:val="28"/>
                <w:lang w:eastAsia="lv-LV"/>
              </w:rPr>
              <w:t xml:space="preserve">Rīgas pilsētas būvvaldes </w:t>
            </w:r>
            <w:r w:rsidR="00677BA2" w:rsidRPr="00343631">
              <w:rPr>
                <w:rFonts w:eastAsia="Times New Roman" w:cs="Times New Roman"/>
                <w:szCs w:val="28"/>
                <w:lang w:eastAsia="lv-LV"/>
              </w:rPr>
              <w:t xml:space="preserve">(Latvijas Pašvaldību savienības) </w:t>
            </w:r>
            <w:r w:rsidR="00B85047" w:rsidRPr="00343631">
              <w:rPr>
                <w:rFonts w:eastAsia="Times New Roman" w:cs="Times New Roman"/>
                <w:szCs w:val="28"/>
                <w:lang w:eastAsia="lv-LV"/>
              </w:rPr>
              <w:t>izteiktie priekšlikumi.</w:t>
            </w:r>
            <w:r w:rsidR="00677BA2" w:rsidRPr="00343631">
              <w:rPr>
                <w:rFonts w:eastAsia="Times New Roman" w:cs="Times New Roman"/>
                <w:szCs w:val="28"/>
                <w:lang w:eastAsia="lv-LV"/>
              </w:rPr>
              <w:t xml:space="preserve"> Priekšlikumi par administratīvā soda noteikšanu par administratīvā akta neievērošanu un par būvdarbu laikā iestādīto augu un koku nekopšanu netika ņemti vērā. Jāatzīmē, ka augu un koku stādīšana pati par sevi nav uzskatāma par būvdarbiem, neatkarīgi no tā, ka to stādīšana var būt norādīta būvniecības </w:t>
            </w:r>
            <w:r w:rsidR="00AB5F4F" w:rsidRPr="00343631">
              <w:rPr>
                <w:rFonts w:eastAsia="Times New Roman" w:cs="Times New Roman"/>
                <w:szCs w:val="28"/>
                <w:lang w:eastAsia="lv-LV"/>
              </w:rPr>
              <w:t>iecer</w:t>
            </w:r>
            <w:r w:rsidR="00337E83" w:rsidRPr="00343631">
              <w:rPr>
                <w:rFonts w:eastAsia="Times New Roman" w:cs="Times New Roman"/>
                <w:szCs w:val="28"/>
                <w:lang w:eastAsia="lv-LV"/>
              </w:rPr>
              <w:t>e</w:t>
            </w:r>
            <w:r w:rsidR="00AB5F4F" w:rsidRPr="00343631">
              <w:rPr>
                <w:rFonts w:eastAsia="Times New Roman" w:cs="Times New Roman"/>
                <w:szCs w:val="28"/>
                <w:lang w:eastAsia="lv-LV"/>
              </w:rPr>
              <w:t xml:space="preserve">s </w:t>
            </w:r>
            <w:r w:rsidR="00677BA2" w:rsidRPr="00343631">
              <w:rPr>
                <w:rFonts w:eastAsia="Times New Roman" w:cs="Times New Roman"/>
                <w:szCs w:val="28"/>
                <w:lang w:eastAsia="lv-LV"/>
              </w:rPr>
              <w:t>dokumentos.</w:t>
            </w:r>
          </w:p>
          <w:p w14:paraId="7B4E9A59" w14:textId="4B6E5CAB" w:rsidR="00337E83" w:rsidRPr="00343631" w:rsidRDefault="00695619" w:rsidP="00337E83">
            <w:pPr>
              <w:contextualSpacing/>
              <w:jc w:val="both"/>
              <w:rPr>
                <w:rFonts w:eastAsia="Times New Roman" w:cs="Times New Roman"/>
                <w:szCs w:val="28"/>
                <w:lang w:eastAsia="lv-LV"/>
              </w:rPr>
            </w:pPr>
            <w:r w:rsidRPr="00343631">
              <w:rPr>
                <w:rFonts w:eastAsia="Times New Roman" w:cs="Times New Roman"/>
                <w:szCs w:val="28"/>
                <w:lang w:eastAsia="lv-LV"/>
              </w:rPr>
              <w:t xml:space="preserve">Likumprojekts izskatīts un atbalstīts Latvijas Administratīvo pārkāpumu kodeksa pastāvīgās </w:t>
            </w:r>
            <w:r w:rsidRPr="00343631">
              <w:rPr>
                <w:rFonts w:eastAsia="Times New Roman" w:cs="Times New Roman"/>
                <w:szCs w:val="28"/>
                <w:lang w:eastAsia="lv-LV"/>
              </w:rPr>
              <w:lastRenderedPageBreak/>
              <w:t>darba grupas 23.02.2017. sēdē.</w:t>
            </w:r>
          </w:p>
        </w:tc>
      </w:tr>
      <w:tr w:rsidR="00902348" w:rsidRPr="00343631" w14:paraId="7A32632D" w14:textId="77777777" w:rsidTr="00902348">
        <w:tc>
          <w:tcPr>
            <w:tcW w:w="250" w:type="pct"/>
            <w:tcBorders>
              <w:top w:val="outset" w:sz="6" w:space="0" w:color="414142"/>
              <w:left w:val="outset" w:sz="6" w:space="0" w:color="414142"/>
              <w:bottom w:val="outset" w:sz="6" w:space="0" w:color="414142"/>
              <w:right w:val="outset" w:sz="6" w:space="0" w:color="414142"/>
            </w:tcBorders>
            <w:hideMark/>
          </w:tcPr>
          <w:p w14:paraId="1A108AD5" w14:textId="77777777" w:rsidR="00902348" w:rsidRPr="00343631" w:rsidRDefault="00902348" w:rsidP="00902348">
            <w:pPr>
              <w:contextualSpacing/>
              <w:jc w:val="center"/>
              <w:rPr>
                <w:rFonts w:eastAsia="Times New Roman" w:cs="Times New Roman"/>
                <w:szCs w:val="28"/>
                <w:lang w:eastAsia="lv-LV"/>
              </w:rPr>
            </w:pPr>
            <w:r w:rsidRPr="00343631">
              <w:rPr>
                <w:rFonts w:eastAsia="Times New Roman" w:cs="Times New Roman"/>
                <w:szCs w:val="28"/>
                <w:lang w:eastAsia="lv-LV"/>
              </w:rPr>
              <w:lastRenderedPageBreak/>
              <w:t>4.</w:t>
            </w:r>
          </w:p>
        </w:tc>
        <w:tc>
          <w:tcPr>
            <w:tcW w:w="1550" w:type="pct"/>
            <w:tcBorders>
              <w:top w:val="outset" w:sz="6" w:space="0" w:color="414142"/>
              <w:left w:val="outset" w:sz="6" w:space="0" w:color="414142"/>
              <w:bottom w:val="outset" w:sz="6" w:space="0" w:color="414142"/>
              <w:right w:val="outset" w:sz="6" w:space="0" w:color="414142"/>
            </w:tcBorders>
            <w:hideMark/>
          </w:tcPr>
          <w:p w14:paraId="07AABD30" w14:textId="77777777" w:rsidR="00902348" w:rsidRPr="00343631" w:rsidRDefault="00902348" w:rsidP="00902348">
            <w:pPr>
              <w:contextualSpacing/>
              <w:rPr>
                <w:rFonts w:eastAsia="Times New Roman" w:cs="Times New Roman"/>
                <w:szCs w:val="28"/>
                <w:lang w:eastAsia="lv-LV"/>
              </w:rPr>
            </w:pPr>
            <w:r w:rsidRPr="00343631">
              <w:rPr>
                <w:rFonts w:eastAsia="Times New Roman" w:cs="Times New Roman"/>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3C288991" w14:textId="77777777" w:rsidR="00902348" w:rsidRPr="00343631" w:rsidRDefault="00902348" w:rsidP="007D021D">
            <w:pPr>
              <w:contextualSpacing/>
              <w:rPr>
                <w:rFonts w:eastAsia="Times New Roman" w:cs="Times New Roman"/>
                <w:szCs w:val="28"/>
                <w:lang w:eastAsia="lv-LV"/>
              </w:rPr>
            </w:pPr>
            <w:r w:rsidRPr="00343631">
              <w:rPr>
                <w:rFonts w:eastAsia="Times New Roman" w:cs="Times New Roman"/>
                <w:szCs w:val="28"/>
                <w:lang w:eastAsia="lv-LV"/>
              </w:rPr>
              <w:t>Nav</w:t>
            </w:r>
          </w:p>
        </w:tc>
      </w:tr>
    </w:tbl>
    <w:p w14:paraId="7A13BDF0" w14:textId="77777777" w:rsidR="00902348" w:rsidRPr="00343631" w:rsidRDefault="00902348" w:rsidP="00902348">
      <w:pPr>
        <w:shd w:val="clear" w:color="auto" w:fill="FFFFFF"/>
        <w:ind w:firstLine="300"/>
        <w:contextualSpacing/>
        <w:rPr>
          <w:rFonts w:eastAsia="Times New Roman" w:cs="Times New Roman"/>
          <w:szCs w:val="28"/>
          <w:lang w:eastAsia="lv-LV"/>
        </w:rPr>
      </w:pPr>
      <w:r w:rsidRPr="00343631">
        <w:rPr>
          <w:rFonts w:eastAsia="Times New Roman" w:cs="Times New Roman"/>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902348" w:rsidRPr="00343631" w14:paraId="305B6548" w14:textId="77777777" w:rsidTr="00902348">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6AA57C" w14:textId="77777777" w:rsidR="00902348" w:rsidRPr="00343631" w:rsidRDefault="00902348" w:rsidP="00902348">
            <w:pPr>
              <w:contextualSpacing/>
              <w:jc w:val="center"/>
              <w:rPr>
                <w:rFonts w:eastAsia="Times New Roman" w:cs="Times New Roman"/>
                <w:b/>
                <w:bCs/>
                <w:szCs w:val="28"/>
                <w:lang w:eastAsia="lv-LV"/>
              </w:rPr>
            </w:pPr>
            <w:r w:rsidRPr="00343631">
              <w:rPr>
                <w:rFonts w:eastAsia="Times New Roman" w:cs="Times New Roman"/>
                <w:b/>
                <w:bCs/>
                <w:szCs w:val="28"/>
                <w:lang w:eastAsia="lv-LV"/>
              </w:rPr>
              <w:t>II. Tiesību akta projekta ietekme uz sabiedrību, tautsaimniecības attīstību un administratīvo slogu</w:t>
            </w:r>
          </w:p>
        </w:tc>
      </w:tr>
      <w:tr w:rsidR="00902348" w:rsidRPr="00343631" w14:paraId="719E7E96" w14:textId="77777777" w:rsidTr="00902348">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D494FD3" w14:textId="77777777" w:rsidR="00902348" w:rsidRPr="00343631" w:rsidRDefault="00902348" w:rsidP="00902348">
            <w:pPr>
              <w:contextualSpacing/>
              <w:rPr>
                <w:rFonts w:eastAsia="Times New Roman" w:cs="Times New Roman"/>
                <w:szCs w:val="28"/>
                <w:lang w:eastAsia="lv-LV"/>
              </w:rPr>
            </w:pPr>
            <w:r w:rsidRPr="00343631">
              <w:rPr>
                <w:rFonts w:eastAsia="Times New Roman" w:cs="Times New Roman"/>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4088353B" w14:textId="77777777" w:rsidR="00902348" w:rsidRPr="00343631" w:rsidRDefault="00902348" w:rsidP="00902348">
            <w:pPr>
              <w:contextualSpacing/>
              <w:rPr>
                <w:rFonts w:eastAsia="Times New Roman" w:cs="Times New Roman"/>
                <w:szCs w:val="28"/>
                <w:lang w:eastAsia="lv-LV"/>
              </w:rPr>
            </w:pPr>
            <w:r w:rsidRPr="00343631">
              <w:rPr>
                <w:rFonts w:eastAsia="Times New Roman" w:cs="Times New Roman"/>
                <w:szCs w:val="28"/>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446F01A2" w14:textId="37652D5A" w:rsidR="00902348" w:rsidRPr="00343631" w:rsidRDefault="00677BA2" w:rsidP="002B0A4D">
            <w:pPr>
              <w:contextualSpacing/>
              <w:jc w:val="both"/>
              <w:rPr>
                <w:rFonts w:eastAsia="Times New Roman" w:cs="Times New Roman"/>
                <w:szCs w:val="28"/>
                <w:lang w:eastAsia="lv-LV"/>
              </w:rPr>
            </w:pPr>
            <w:r w:rsidRPr="00343631">
              <w:rPr>
                <w:rFonts w:eastAsia="Times New Roman" w:cs="Times New Roman"/>
                <w:szCs w:val="28"/>
                <w:lang w:eastAsia="lv-LV"/>
              </w:rPr>
              <w:t>Patērētāju tiesību aizsardz</w:t>
            </w:r>
            <w:r w:rsidR="00D204BD" w:rsidRPr="00343631">
              <w:rPr>
                <w:rFonts w:eastAsia="Times New Roman" w:cs="Times New Roman"/>
                <w:szCs w:val="28"/>
                <w:lang w:eastAsia="lv-LV"/>
              </w:rPr>
              <w:t>ības centra darbinieki</w:t>
            </w:r>
            <w:r w:rsidRPr="00343631">
              <w:rPr>
                <w:rFonts w:eastAsia="Times New Roman" w:cs="Times New Roman"/>
                <w:szCs w:val="28"/>
                <w:lang w:eastAsia="lv-LV"/>
              </w:rPr>
              <w:t xml:space="preserve">, </w:t>
            </w:r>
            <w:r w:rsidR="00D204BD" w:rsidRPr="00343631">
              <w:rPr>
                <w:rFonts w:eastAsia="Times New Roman" w:cs="Times New Roman"/>
                <w:szCs w:val="28"/>
                <w:lang w:eastAsia="lv-LV"/>
              </w:rPr>
              <w:t>b</w:t>
            </w:r>
            <w:r w:rsidR="00082470" w:rsidRPr="00343631">
              <w:rPr>
                <w:rFonts w:eastAsia="Times New Roman" w:cs="Times New Roman"/>
                <w:szCs w:val="28"/>
                <w:lang w:eastAsia="lv-LV"/>
              </w:rPr>
              <w:t>ūvniecības procesa dalībnieki</w:t>
            </w:r>
            <w:r w:rsidR="000B4839" w:rsidRPr="00343631">
              <w:rPr>
                <w:rFonts w:eastAsia="Times New Roman" w:cs="Times New Roman"/>
                <w:szCs w:val="28"/>
                <w:lang w:eastAsia="lv-LV"/>
              </w:rPr>
              <w:t>, publisko ēku īpašnieki un</w:t>
            </w:r>
            <w:r w:rsidR="00082470" w:rsidRPr="00343631">
              <w:rPr>
                <w:rFonts w:eastAsia="Times New Roman" w:cs="Times New Roman"/>
                <w:szCs w:val="28"/>
                <w:lang w:eastAsia="lv-LV"/>
              </w:rPr>
              <w:t xml:space="preserve"> </w:t>
            </w:r>
            <w:r w:rsidR="00082470" w:rsidRPr="00343631">
              <w:rPr>
                <w:bCs/>
                <w:szCs w:val="28"/>
              </w:rPr>
              <w:t xml:space="preserve">būvizstrādājumu ražotāji, importētāji un </w:t>
            </w:r>
            <w:r w:rsidR="002B0A4D" w:rsidRPr="00343631">
              <w:rPr>
                <w:bCs/>
                <w:szCs w:val="28"/>
              </w:rPr>
              <w:t>izplatītāji</w:t>
            </w:r>
            <w:r w:rsidRPr="00343631">
              <w:rPr>
                <w:bCs/>
                <w:szCs w:val="28"/>
              </w:rPr>
              <w:t xml:space="preserve">, kā arī </w:t>
            </w:r>
            <w:r w:rsidR="00695619" w:rsidRPr="00343631">
              <w:rPr>
                <w:bCs/>
                <w:szCs w:val="28"/>
              </w:rPr>
              <w:t xml:space="preserve">pašvaldības administratīvās komisijas, </w:t>
            </w:r>
            <w:r w:rsidRPr="00343631">
              <w:rPr>
                <w:bCs/>
                <w:szCs w:val="28"/>
              </w:rPr>
              <w:t>būvval</w:t>
            </w:r>
            <w:r w:rsidR="000B4839" w:rsidRPr="00343631">
              <w:rPr>
                <w:bCs/>
                <w:szCs w:val="28"/>
              </w:rPr>
              <w:t>žu</w:t>
            </w:r>
            <w:r w:rsidRPr="00343631">
              <w:rPr>
                <w:bCs/>
                <w:szCs w:val="28"/>
              </w:rPr>
              <w:t xml:space="preserve"> un cit</w:t>
            </w:r>
            <w:r w:rsidR="000B4839" w:rsidRPr="00343631">
              <w:rPr>
                <w:bCs/>
                <w:szCs w:val="28"/>
              </w:rPr>
              <w:t>u</w:t>
            </w:r>
            <w:r w:rsidRPr="00343631">
              <w:rPr>
                <w:bCs/>
                <w:szCs w:val="28"/>
              </w:rPr>
              <w:t xml:space="preserve"> </w:t>
            </w:r>
            <w:r w:rsidR="00D204BD" w:rsidRPr="00343631">
              <w:rPr>
                <w:bCs/>
                <w:szCs w:val="28"/>
              </w:rPr>
              <w:t>institūcij</w:t>
            </w:r>
            <w:r w:rsidR="000B4839" w:rsidRPr="00343631">
              <w:rPr>
                <w:bCs/>
                <w:szCs w:val="28"/>
              </w:rPr>
              <w:t>u</w:t>
            </w:r>
            <w:r w:rsidRPr="00343631">
              <w:rPr>
                <w:bCs/>
                <w:szCs w:val="28"/>
              </w:rPr>
              <w:t>, kuras pilda būvvaldes funkcijas</w:t>
            </w:r>
            <w:r w:rsidR="00D204BD" w:rsidRPr="00343631">
              <w:rPr>
                <w:bCs/>
                <w:szCs w:val="28"/>
              </w:rPr>
              <w:t>, darbinieki</w:t>
            </w:r>
            <w:r w:rsidR="00695619" w:rsidRPr="00343631">
              <w:rPr>
                <w:bCs/>
                <w:szCs w:val="28"/>
              </w:rPr>
              <w:t xml:space="preserve"> (tai skaitā </w:t>
            </w:r>
            <w:r w:rsidR="00695619" w:rsidRPr="00343631">
              <w:rPr>
                <w:rFonts w:eastAsia="Times New Roman" w:cs="Times New Roman"/>
                <w:szCs w:val="28"/>
                <w:lang w:eastAsia="lv-LV"/>
              </w:rPr>
              <w:t>Būvniecības valsts kontroles biroja darbinieki)</w:t>
            </w:r>
            <w:r w:rsidRPr="00343631">
              <w:rPr>
                <w:bCs/>
                <w:szCs w:val="28"/>
              </w:rPr>
              <w:t>.</w:t>
            </w:r>
          </w:p>
        </w:tc>
      </w:tr>
      <w:tr w:rsidR="00902348" w:rsidRPr="00343631" w14:paraId="7A020F8F" w14:textId="77777777" w:rsidTr="00902348">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686B3F6B" w14:textId="77777777" w:rsidR="00902348" w:rsidRPr="00343631" w:rsidRDefault="00902348" w:rsidP="00902348">
            <w:pPr>
              <w:contextualSpacing/>
              <w:rPr>
                <w:rFonts w:eastAsia="Times New Roman" w:cs="Times New Roman"/>
                <w:szCs w:val="28"/>
                <w:lang w:eastAsia="lv-LV"/>
              </w:rPr>
            </w:pPr>
            <w:r w:rsidRPr="00343631">
              <w:rPr>
                <w:rFonts w:eastAsia="Times New Roman" w:cs="Times New Roman"/>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756CE0AE" w14:textId="77777777" w:rsidR="00902348" w:rsidRPr="00343631" w:rsidRDefault="00902348" w:rsidP="00902348">
            <w:pPr>
              <w:contextualSpacing/>
              <w:rPr>
                <w:rFonts w:eastAsia="Times New Roman" w:cs="Times New Roman"/>
                <w:szCs w:val="28"/>
                <w:lang w:eastAsia="lv-LV"/>
              </w:rPr>
            </w:pPr>
            <w:r w:rsidRPr="00343631">
              <w:rPr>
                <w:rFonts w:eastAsia="Times New Roman" w:cs="Times New Roman"/>
                <w:szCs w:val="28"/>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6CF47A3B" w14:textId="77777777" w:rsidR="00902348" w:rsidRPr="00343631" w:rsidRDefault="00082470" w:rsidP="00082470">
            <w:pPr>
              <w:contextualSpacing/>
              <w:jc w:val="both"/>
              <w:rPr>
                <w:rFonts w:eastAsia="Times New Roman" w:cs="Times New Roman"/>
                <w:szCs w:val="28"/>
                <w:lang w:eastAsia="lv-LV"/>
              </w:rPr>
            </w:pPr>
            <w:r w:rsidRPr="00343631">
              <w:rPr>
                <w:rFonts w:eastAsia="Times New Roman" w:cs="Times New Roman"/>
                <w:szCs w:val="28"/>
                <w:lang w:eastAsia="lv-LV"/>
              </w:rPr>
              <w:t>Likumprojekts nerada papildus administratīvo slogu.</w:t>
            </w:r>
          </w:p>
        </w:tc>
      </w:tr>
      <w:tr w:rsidR="00902348" w:rsidRPr="00343631" w14:paraId="57A6D774" w14:textId="77777777" w:rsidTr="00902348">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3C1BD0F8" w14:textId="77777777" w:rsidR="00902348" w:rsidRPr="00343631" w:rsidRDefault="00902348" w:rsidP="00902348">
            <w:pPr>
              <w:contextualSpacing/>
              <w:rPr>
                <w:rFonts w:eastAsia="Times New Roman" w:cs="Times New Roman"/>
                <w:szCs w:val="28"/>
                <w:lang w:eastAsia="lv-LV"/>
              </w:rPr>
            </w:pPr>
            <w:r w:rsidRPr="00343631">
              <w:rPr>
                <w:rFonts w:eastAsia="Times New Roman" w:cs="Times New Roman"/>
                <w:szCs w:val="28"/>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122C82DA" w14:textId="77777777" w:rsidR="00902348" w:rsidRPr="00343631" w:rsidRDefault="00902348" w:rsidP="00902348">
            <w:pPr>
              <w:contextualSpacing/>
              <w:rPr>
                <w:rFonts w:eastAsia="Times New Roman" w:cs="Times New Roman"/>
                <w:szCs w:val="28"/>
                <w:lang w:eastAsia="lv-LV"/>
              </w:rPr>
            </w:pPr>
            <w:r w:rsidRPr="00343631">
              <w:rPr>
                <w:rFonts w:eastAsia="Times New Roman" w:cs="Times New Roman"/>
                <w:szCs w:val="28"/>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50A4A6FB" w14:textId="77777777" w:rsidR="00902348" w:rsidRPr="00343631" w:rsidRDefault="00082470" w:rsidP="00082470">
            <w:pPr>
              <w:contextualSpacing/>
              <w:jc w:val="both"/>
              <w:rPr>
                <w:rFonts w:eastAsia="Times New Roman" w:cs="Times New Roman"/>
                <w:szCs w:val="28"/>
                <w:lang w:eastAsia="lv-LV"/>
              </w:rPr>
            </w:pPr>
            <w:r w:rsidRPr="00343631">
              <w:rPr>
                <w:rFonts w:eastAsia="Times New Roman" w:cs="Times New Roman"/>
                <w:szCs w:val="28"/>
                <w:lang w:eastAsia="lv-LV"/>
              </w:rPr>
              <w:t>Projekts šo jomu neskar</w:t>
            </w:r>
            <w:r w:rsidR="00A7081A" w:rsidRPr="00343631">
              <w:rPr>
                <w:rFonts w:eastAsia="Times New Roman" w:cs="Times New Roman"/>
                <w:szCs w:val="28"/>
                <w:lang w:eastAsia="lv-LV"/>
              </w:rPr>
              <w:t>.</w:t>
            </w:r>
          </w:p>
        </w:tc>
      </w:tr>
      <w:tr w:rsidR="00902348" w:rsidRPr="00343631" w14:paraId="5B0F875E" w14:textId="77777777" w:rsidTr="00902348">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36A4690A" w14:textId="77777777" w:rsidR="00902348" w:rsidRPr="00343631" w:rsidRDefault="00902348" w:rsidP="00902348">
            <w:pPr>
              <w:contextualSpacing/>
              <w:rPr>
                <w:rFonts w:eastAsia="Times New Roman" w:cs="Times New Roman"/>
                <w:szCs w:val="28"/>
                <w:lang w:eastAsia="lv-LV"/>
              </w:rPr>
            </w:pPr>
            <w:r w:rsidRPr="00343631">
              <w:rPr>
                <w:rFonts w:eastAsia="Times New Roman" w:cs="Times New Roman"/>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5C5E6DB0" w14:textId="77777777" w:rsidR="00902348" w:rsidRPr="00343631" w:rsidRDefault="00902348" w:rsidP="00902348">
            <w:pPr>
              <w:contextualSpacing/>
              <w:rPr>
                <w:rFonts w:eastAsia="Times New Roman" w:cs="Times New Roman"/>
                <w:szCs w:val="28"/>
                <w:lang w:eastAsia="lv-LV"/>
              </w:rPr>
            </w:pPr>
            <w:r w:rsidRPr="00343631">
              <w:rPr>
                <w:rFonts w:eastAsia="Times New Roman" w:cs="Times New Roman"/>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2DA2D699" w14:textId="77777777" w:rsidR="00902348" w:rsidRPr="00343631" w:rsidRDefault="00082470" w:rsidP="00082470">
            <w:pPr>
              <w:contextualSpacing/>
              <w:jc w:val="both"/>
              <w:rPr>
                <w:rFonts w:eastAsia="Times New Roman" w:cs="Times New Roman"/>
                <w:szCs w:val="28"/>
                <w:lang w:eastAsia="lv-LV"/>
              </w:rPr>
            </w:pPr>
            <w:r w:rsidRPr="00343631">
              <w:rPr>
                <w:rFonts w:eastAsia="Times New Roman" w:cs="Times New Roman"/>
                <w:szCs w:val="28"/>
                <w:lang w:eastAsia="lv-LV"/>
              </w:rPr>
              <w:t>Nav</w:t>
            </w:r>
          </w:p>
        </w:tc>
      </w:tr>
    </w:tbl>
    <w:p w14:paraId="7DC90E8A" w14:textId="77777777" w:rsidR="00902348" w:rsidRPr="00343631" w:rsidRDefault="00902348" w:rsidP="0021775D">
      <w:pPr>
        <w:shd w:val="clear" w:color="auto" w:fill="FFFFFF"/>
        <w:ind w:firstLine="300"/>
        <w:contextualSpacing/>
        <w:rPr>
          <w:rFonts w:eastAsia="Times New Roman" w:cs="Times New Roman"/>
          <w:szCs w:val="28"/>
          <w:lang w:eastAsia="lv-LV"/>
        </w:rPr>
      </w:pPr>
      <w:r w:rsidRPr="00343631">
        <w:rPr>
          <w:rFonts w:eastAsia="Times New Roman" w:cs="Times New Roman"/>
          <w:szCs w:val="28"/>
          <w:lang w:eastAsia="lv-LV"/>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3A3248" w:rsidRPr="00343631" w14:paraId="1B7B5C0F" w14:textId="77777777" w:rsidTr="006D4262">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253FCBD4" w14:textId="77777777" w:rsidR="007E13C5" w:rsidRPr="00343631" w:rsidRDefault="007E13C5" w:rsidP="007E13C5">
            <w:pPr>
              <w:spacing w:before="100" w:beforeAutospacing="1" w:after="100" w:afterAutospacing="1" w:line="293" w:lineRule="atLeast"/>
              <w:jc w:val="center"/>
              <w:rPr>
                <w:rFonts w:eastAsia="Times New Roman" w:cs="Times New Roman"/>
                <w:b/>
                <w:bCs/>
                <w:szCs w:val="28"/>
                <w:lang w:eastAsia="lv-LV"/>
              </w:rPr>
            </w:pPr>
            <w:r w:rsidRPr="00343631">
              <w:rPr>
                <w:rFonts w:eastAsia="Times New Roman" w:cs="Times New Roman"/>
                <w:b/>
                <w:bCs/>
                <w:szCs w:val="28"/>
                <w:lang w:eastAsia="lv-LV"/>
              </w:rPr>
              <w:t>III. Tiesību akta projekta ietekme uz valsts budžetu un pašvaldību budžetiem</w:t>
            </w:r>
          </w:p>
        </w:tc>
      </w:tr>
      <w:tr w:rsidR="0030620F" w:rsidRPr="00343631" w14:paraId="74C6FF72" w14:textId="77777777" w:rsidTr="006D4262">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66876F55" w14:textId="77777777" w:rsidR="007E13C5" w:rsidRPr="00343631" w:rsidRDefault="007E13C5" w:rsidP="007E13C5">
            <w:pPr>
              <w:spacing w:before="100" w:beforeAutospacing="1" w:after="100" w:afterAutospacing="1" w:line="293" w:lineRule="atLeast"/>
              <w:jc w:val="center"/>
              <w:rPr>
                <w:rFonts w:eastAsia="Times New Roman" w:cs="Times New Roman"/>
                <w:bCs/>
                <w:szCs w:val="28"/>
                <w:lang w:eastAsia="lv-LV"/>
              </w:rPr>
            </w:pPr>
            <w:r w:rsidRPr="00343631">
              <w:rPr>
                <w:rFonts w:eastAsia="Times New Roman" w:cs="Times New Roman"/>
                <w:bCs/>
                <w:szCs w:val="28"/>
                <w:lang w:eastAsia="lv-LV"/>
              </w:rPr>
              <w:t>Projekts šo jomu neskar</w:t>
            </w:r>
          </w:p>
        </w:tc>
      </w:tr>
    </w:tbl>
    <w:p w14:paraId="1142A404" w14:textId="77777777" w:rsidR="007E13C5" w:rsidRPr="00343631" w:rsidRDefault="007E13C5" w:rsidP="0021775D">
      <w:pPr>
        <w:shd w:val="clear" w:color="auto" w:fill="FFFFFF"/>
        <w:ind w:firstLine="300"/>
        <w:contextualSpacing/>
        <w:rPr>
          <w:rFonts w:eastAsia="Times New Roman" w:cs="Times New Roman"/>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8"/>
        <w:gridCol w:w="6026"/>
      </w:tblGrid>
      <w:tr w:rsidR="00902348" w:rsidRPr="00343631" w14:paraId="03C26700" w14:textId="77777777" w:rsidTr="00902348">
        <w:trPr>
          <w:trHeight w:val="45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49ADAA3" w14:textId="77777777" w:rsidR="00902348" w:rsidRPr="00343631" w:rsidRDefault="00902348" w:rsidP="00902348">
            <w:pPr>
              <w:contextualSpacing/>
              <w:jc w:val="center"/>
              <w:rPr>
                <w:rFonts w:eastAsia="Times New Roman" w:cs="Times New Roman"/>
                <w:b/>
                <w:bCs/>
                <w:szCs w:val="28"/>
                <w:lang w:eastAsia="lv-LV"/>
              </w:rPr>
            </w:pPr>
            <w:r w:rsidRPr="00343631">
              <w:rPr>
                <w:rFonts w:eastAsia="Times New Roman" w:cs="Times New Roman"/>
                <w:b/>
                <w:bCs/>
                <w:szCs w:val="28"/>
                <w:lang w:eastAsia="lv-LV"/>
              </w:rPr>
              <w:t>IV. Tiesību akta projekta ietekme uz spēkā esošo tiesību normu sistēmu</w:t>
            </w:r>
          </w:p>
        </w:tc>
      </w:tr>
      <w:tr w:rsidR="00902348" w:rsidRPr="00343631" w14:paraId="6D14704D" w14:textId="77777777" w:rsidTr="00902348">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53F61EED" w14:textId="77777777" w:rsidR="00902348" w:rsidRPr="00343631" w:rsidRDefault="00902348" w:rsidP="00902348">
            <w:pPr>
              <w:contextualSpacing/>
              <w:rPr>
                <w:rFonts w:eastAsia="Times New Roman" w:cs="Times New Roman"/>
                <w:szCs w:val="28"/>
                <w:lang w:eastAsia="lv-LV"/>
              </w:rPr>
            </w:pPr>
            <w:r w:rsidRPr="00343631">
              <w:rPr>
                <w:rFonts w:eastAsia="Times New Roman" w:cs="Times New Roman"/>
                <w:szCs w:val="28"/>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240D3F38" w14:textId="77777777" w:rsidR="00902348" w:rsidRPr="00343631" w:rsidRDefault="00902348" w:rsidP="00902348">
            <w:pPr>
              <w:contextualSpacing/>
              <w:rPr>
                <w:rFonts w:eastAsia="Times New Roman" w:cs="Times New Roman"/>
                <w:szCs w:val="28"/>
                <w:lang w:eastAsia="lv-LV"/>
              </w:rPr>
            </w:pPr>
            <w:r w:rsidRPr="00343631">
              <w:rPr>
                <w:rFonts w:eastAsia="Times New Roman" w:cs="Times New Roman"/>
                <w:szCs w:val="28"/>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14:paraId="2B3F0802" w14:textId="77777777" w:rsidR="00902348" w:rsidRPr="00343631" w:rsidRDefault="00082470" w:rsidP="00635C05">
            <w:pPr>
              <w:contextualSpacing/>
              <w:jc w:val="both"/>
              <w:rPr>
                <w:rFonts w:eastAsia="Times New Roman" w:cs="Times New Roman"/>
                <w:szCs w:val="28"/>
                <w:lang w:eastAsia="lv-LV"/>
              </w:rPr>
            </w:pPr>
            <w:r w:rsidRPr="00343631">
              <w:rPr>
                <w:rFonts w:eastAsia="Times New Roman" w:cs="Times New Roman"/>
                <w:szCs w:val="28"/>
                <w:lang w:eastAsia="lv-LV"/>
              </w:rPr>
              <w:t xml:space="preserve">Nepieciešams veikt grozījumus Ministru kabineta 12.04.2016. noteikumos Nr.211 “Būvkomersantu klasifikācijas noteikumi” (nepieciešams </w:t>
            </w:r>
            <w:r w:rsidR="00F122D7" w:rsidRPr="00343631">
              <w:rPr>
                <w:rFonts w:eastAsia="Times New Roman" w:cs="Times New Roman"/>
                <w:szCs w:val="28"/>
                <w:lang w:eastAsia="lv-LV"/>
              </w:rPr>
              <w:t>aizstāt</w:t>
            </w:r>
            <w:r w:rsidRPr="00343631">
              <w:rPr>
                <w:rFonts w:eastAsia="Times New Roman" w:cs="Times New Roman"/>
                <w:szCs w:val="28"/>
                <w:lang w:eastAsia="lv-LV"/>
              </w:rPr>
              <w:t xml:space="preserve"> atsauces uz būvniecības jomas administratīvajiem pārkāpumiem).</w:t>
            </w:r>
            <w:r w:rsidR="00BC68D2" w:rsidRPr="00343631">
              <w:rPr>
                <w:rFonts w:eastAsia="Times New Roman" w:cs="Times New Roman"/>
                <w:szCs w:val="28"/>
                <w:lang w:eastAsia="lv-LV"/>
              </w:rPr>
              <w:t xml:space="preserve"> Grozījumiem ir jāstājas spēkā vienlaikus ar Administratīvo pārkāpumu procesa likumu.</w:t>
            </w:r>
          </w:p>
          <w:p w14:paraId="2C230533" w14:textId="77777777" w:rsidR="00EE1393" w:rsidRPr="00343631" w:rsidRDefault="00EE1393" w:rsidP="00635C05">
            <w:pPr>
              <w:contextualSpacing/>
              <w:jc w:val="both"/>
              <w:rPr>
                <w:rFonts w:eastAsia="Times New Roman" w:cs="Times New Roman"/>
                <w:szCs w:val="28"/>
                <w:lang w:eastAsia="lv-LV"/>
              </w:rPr>
            </w:pPr>
            <w:r w:rsidRPr="00343631">
              <w:rPr>
                <w:rFonts w:eastAsia="Times New Roman" w:cs="Times New Roman"/>
                <w:szCs w:val="28"/>
                <w:lang w:eastAsia="lv-LV"/>
              </w:rPr>
              <w:t>Pārskats par LAPK 152.pantā ietvertajām tiesību normām salīdzinājuma ar Būvniecības likumā plānoto regulējumu:</w:t>
            </w:r>
          </w:p>
          <w:tbl>
            <w:tblPr>
              <w:tblStyle w:val="TableGrid"/>
              <w:tblW w:w="5000" w:type="pct"/>
              <w:tblLook w:val="04A0" w:firstRow="1" w:lastRow="0" w:firstColumn="1" w:lastColumn="0" w:noHBand="0" w:noVBand="1"/>
            </w:tblPr>
            <w:tblGrid>
              <w:gridCol w:w="2684"/>
              <w:gridCol w:w="3272"/>
            </w:tblGrid>
            <w:tr w:rsidR="00EE1393" w:rsidRPr="00343631" w14:paraId="477DA316" w14:textId="77777777" w:rsidTr="00EE1393">
              <w:tc>
                <w:tcPr>
                  <w:tcW w:w="2253" w:type="pct"/>
                </w:tcPr>
                <w:p w14:paraId="568B5283" w14:textId="77777777" w:rsidR="00EE1393" w:rsidRPr="00343631" w:rsidRDefault="00EE1393" w:rsidP="00EE1393">
                  <w:r w:rsidRPr="00343631">
                    <w:t>LAPK</w:t>
                  </w:r>
                </w:p>
              </w:tc>
              <w:tc>
                <w:tcPr>
                  <w:tcW w:w="2747" w:type="pct"/>
                </w:tcPr>
                <w:p w14:paraId="39E95564" w14:textId="77777777" w:rsidR="00EE1393" w:rsidRPr="00343631" w:rsidRDefault="00EE1393" w:rsidP="00EE1393">
                  <w:r w:rsidRPr="00343631">
                    <w:t>Būvniecības likums</w:t>
                  </w:r>
                </w:p>
              </w:tc>
            </w:tr>
            <w:tr w:rsidR="00EE1393" w:rsidRPr="00343631" w14:paraId="7B487118" w14:textId="77777777" w:rsidTr="00EE1393">
              <w:tc>
                <w:tcPr>
                  <w:tcW w:w="2253" w:type="pct"/>
                </w:tcPr>
                <w:p w14:paraId="39E660F4" w14:textId="77777777" w:rsidR="00EE1393" w:rsidRPr="00343631" w:rsidRDefault="00EE1393" w:rsidP="00EE1393">
                  <w:r w:rsidRPr="00343631">
                    <w:t>152.panta pirmā daļa</w:t>
                  </w:r>
                </w:p>
              </w:tc>
              <w:tc>
                <w:tcPr>
                  <w:tcW w:w="2747" w:type="pct"/>
                  <w:vMerge w:val="restart"/>
                </w:tcPr>
                <w:p w14:paraId="562241F0" w14:textId="77777777" w:rsidR="00EE1393" w:rsidRPr="00343631" w:rsidRDefault="00DF0E60" w:rsidP="00EE1393">
                  <w:r w:rsidRPr="00343631">
                    <w:t>25.</w:t>
                  </w:r>
                  <w:r w:rsidR="00EE1393" w:rsidRPr="00343631">
                    <w:t>pants</w:t>
                  </w:r>
                </w:p>
              </w:tc>
            </w:tr>
            <w:tr w:rsidR="00EE1393" w:rsidRPr="00343631" w14:paraId="5F8D91EB" w14:textId="77777777" w:rsidTr="00EE1393">
              <w:tc>
                <w:tcPr>
                  <w:tcW w:w="2253" w:type="pct"/>
                </w:tcPr>
                <w:p w14:paraId="2527AEEA" w14:textId="77777777" w:rsidR="00EE1393" w:rsidRPr="00343631" w:rsidRDefault="00EE1393" w:rsidP="00EE1393">
                  <w:r w:rsidRPr="00343631">
                    <w:t>152.panta otrā daļa</w:t>
                  </w:r>
                </w:p>
              </w:tc>
              <w:tc>
                <w:tcPr>
                  <w:tcW w:w="2747" w:type="pct"/>
                  <w:vMerge/>
                </w:tcPr>
                <w:p w14:paraId="7E6E10F5" w14:textId="77777777" w:rsidR="00EE1393" w:rsidRPr="00343631" w:rsidRDefault="00EE1393" w:rsidP="00EE1393"/>
              </w:tc>
            </w:tr>
            <w:tr w:rsidR="00EE1393" w:rsidRPr="00343631" w14:paraId="666EE869" w14:textId="77777777" w:rsidTr="00EE1393">
              <w:tc>
                <w:tcPr>
                  <w:tcW w:w="2253" w:type="pct"/>
                </w:tcPr>
                <w:p w14:paraId="5523DB95" w14:textId="77777777" w:rsidR="00EE1393" w:rsidRPr="00343631" w:rsidRDefault="00EE1393" w:rsidP="00EE1393">
                  <w:r w:rsidRPr="00343631">
                    <w:t>152.panta trešā daļa</w:t>
                  </w:r>
                </w:p>
              </w:tc>
              <w:tc>
                <w:tcPr>
                  <w:tcW w:w="2747" w:type="pct"/>
                </w:tcPr>
                <w:p w14:paraId="5BABBC98" w14:textId="77777777" w:rsidR="00EE1393" w:rsidRPr="00343631" w:rsidRDefault="00DF0E60" w:rsidP="00EE1393">
                  <w:r w:rsidRPr="00343631">
                    <w:t>28.</w:t>
                  </w:r>
                  <w:r w:rsidR="00EE1393" w:rsidRPr="00343631">
                    <w:t xml:space="preserve">panta </w:t>
                  </w:r>
                  <w:r w:rsidR="009124C2" w:rsidRPr="00343631">
                    <w:t>otrā</w:t>
                  </w:r>
                  <w:r w:rsidR="00EE1393" w:rsidRPr="00343631">
                    <w:t xml:space="preserve"> daļa</w:t>
                  </w:r>
                </w:p>
              </w:tc>
            </w:tr>
            <w:tr w:rsidR="00EE1393" w:rsidRPr="00343631" w14:paraId="4A6D2852" w14:textId="77777777" w:rsidTr="00EE1393">
              <w:tc>
                <w:tcPr>
                  <w:tcW w:w="2253" w:type="pct"/>
                </w:tcPr>
                <w:p w14:paraId="47D6F224" w14:textId="77777777" w:rsidR="00EE1393" w:rsidRPr="00343631" w:rsidRDefault="00EE1393" w:rsidP="00EE1393">
                  <w:r w:rsidRPr="00343631">
                    <w:t>152.panta ceturtā daļa</w:t>
                  </w:r>
                </w:p>
              </w:tc>
              <w:tc>
                <w:tcPr>
                  <w:tcW w:w="2747" w:type="pct"/>
                </w:tcPr>
                <w:p w14:paraId="1C141B6F" w14:textId="77777777" w:rsidR="00EE1393" w:rsidRPr="00343631" w:rsidRDefault="00DF0E60" w:rsidP="00EE1393">
                  <w:r w:rsidRPr="00343631">
                    <w:t>28.</w:t>
                  </w:r>
                  <w:r w:rsidR="00EE1393" w:rsidRPr="00343631">
                    <w:t xml:space="preserve">panta </w:t>
                  </w:r>
                  <w:r w:rsidR="009124C2" w:rsidRPr="00343631">
                    <w:t>trešā</w:t>
                  </w:r>
                  <w:r w:rsidR="00EE1393" w:rsidRPr="00343631">
                    <w:t xml:space="preserve"> daļa</w:t>
                  </w:r>
                </w:p>
              </w:tc>
            </w:tr>
            <w:tr w:rsidR="00EE1393" w:rsidRPr="00343631" w14:paraId="1B08D523" w14:textId="77777777" w:rsidTr="00EE1393">
              <w:tc>
                <w:tcPr>
                  <w:tcW w:w="2253" w:type="pct"/>
                </w:tcPr>
                <w:p w14:paraId="58B0B811" w14:textId="77777777" w:rsidR="00EE1393" w:rsidRPr="00343631" w:rsidRDefault="00EE1393" w:rsidP="00EE1393">
                  <w:r w:rsidRPr="00343631">
                    <w:lastRenderedPageBreak/>
                    <w:t>152.panta piektā daļa</w:t>
                  </w:r>
                </w:p>
              </w:tc>
              <w:tc>
                <w:tcPr>
                  <w:tcW w:w="2747" w:type="pct"/>
                </w:tcPr>
                <w:p w14:paraId="0E923BB2" w14:textId="77777777" w:rsidR="00EE1393" w:rsidRPr="00343631" w:rsidRDefault="00DF0E60" w:rsidP="00EE1393">
                  <w:r w:rsidRPr="00343631">
                    <w:t>29.</w:t>
                  </w:r>
                  <w:r w:rsidR="00EE1393" w:rsidRPr="00343631">
                    <w:t>pants</w:t>
                  </w:r>
                </w:p>
              </w:tc>
            </w:tr>
            <w:tr w:rsidR="00EE1393" w:rsidRPr="00343631" w14:paraId="31B27787" w14:textId="77777777" w:rsidTr="00EE1393">
              <w:tc>
                <w:tcPr>
                  <w:tcW w:w="2253" w:type="pct"/>
                </w:tcPr>
                <w:p w14:paraId="3CE55F68" w14:textId="77777777" w:rsidR="00EE1393" w:rsidRPr="00343631" w:rsidRDefault="00EE1393" w:rsidP="00EE1393">
                  <w:r w:rsidRPr="00343631">
                    <w:t>152.panta sestā daļa</w:t>
                  </w:r>
                </w:p>
              </w:tc>
              <w:tc>
                <w:tcPr>
                  <w:tcW w:w="2747" w:type="pct"/>
                </w:tcPr>
                <w:p w14:paraId="4689DB64" w14:textId="77777777" w:rsidR="00EE1393" w:rsidRPr="00343631" w:rsidRDefault="003F7C9E" w:rsidP="00EE1393">
                  <w:r w:rsidRPr="00343631">
                    <w:t>n</w:t>
                  </w:r>
                  <w:r w:rsidR="0015603B" w:rsidRPr="00343631">
                    <w:t>etiek pārņemta</w:t>
                  </w:r>
                </w:p>
              </w:tc>
            </w:tr>
            <w:tr w:rsidR="00EE1393" w:rsidRPr="00343631" w14:paraId="3C2C8F1E" w14:textId="77777777" w:rsidTr="00EE1393">
              <w:tc>
                <w:tcPr>
                  <w:tcW w:w="2253" w:type="pct"/>
                </w:tcPr>
                <w:p w14:paraId="26A0349C" w14:textId="77777777" w:rsidR="00EE1393" w:rsidRPr="00343631" w:rsidRDefault="00EE1393" w:rsidP="00EE1393">
                  <w:r w:rsidRPr="00343631">
                    <w:t>152.panta septītā daļa</w:t>
                  </w:r>
                </w:p>
              </w:tc>
              <w:tc>
                <w:tcPr>
                  <w:tcW w:w="2747" w:type="pct"/>
                </w:tcPr>
                <w:p w14:paraId="6B0F11D9" w14:textId="77777777" w:rsidR="00EE1393" w:rsidRPr="00343631" w:rsidRDefault="00DF0E60" w:rsidP="00EE1393">
                  <w:r w:rsidRPr="00343631">
                    <w:t>27.</w:t>
                  </w:r>
                  <w:r w:rsidR="00EE1393" w:rsidRPr="00343631">
                    <w:t>pants</w:t>
                  </w:r>
                </w:p>
              </w:tc>
            </w:tr>
            <w:tr w:rsidR="00EE1393" w:rsidRPr="00343631" w14:paraId="04EB292E" w14:textId="77777777" w:rsidTr="00EE1393">
              <w:tc>
                <w:tcPr>
                  <w:tcW w:w="2253" w:type="pct"/>
                </w:tcPr>
                <w:p w14:paraId="147B5149" w14:textId="77777777" w:rsidR="00EE1393" w:rsidRPr="00343631" w:rsidRDefault="00EE1393" w:rsidP="00EE1393">
                  <w:r w:rsidRPr="00343631">
                    <w:t>152.panta astotā daļa</w:t>
                  </w:r>
                </w:p>
              </w:tc>
              <w:tc>
                <w:tcPr>
                  <w:tcW w:w="2747" w:type="pct"/>
                </w:tcPr>
                <w:p w14:paraId="59EA19C3" w14:textId="77777777" w:rsidR="00EE1393" w:rsidRPr="00343631" w:rsidRDefault="00DF0E60" w:rsidP="00EE1393">
                  <w:r w:rsidRPr="00343631">
                    <w:t>29.</w:t>
                  </w:r>
                  <w:r w:rsidR="00EE1393" w:rsidRPr="00343631">
                    <w:t>panta ceturtā daļa</w:t>
                  </w:r>
                </w:p>
              </w:tc>
            </w:tr>
          </w:tbl>
          <w:p w14:paraId="4C978D4C" w14:textId="77777777" w:rsidR="00EE1393" w:rsidRPr="00343631" w:rsidRDefault="00EE1393" w:rsidP="00E819B1">
            <w:pPr>
              <w:contextualSpacing/>
              <w:rPr>
                <w:rFonts w:eastAsia="Times New Roman" w:cs="Times New Roman"/>
                <w:szCs w:val="28"/>
                <w:lang w:eastAsia="lv-LV"/>
              </w:rPr>
            </w:pPr>
          </w:p>
        </w:tc>
      </w:tr>
      <w:tr w:rsidR="00902348" w:rsidRPr="00343631" w14:paraId="1A0C4B54" w14:textId="77777777" w:rsidTr="00902348">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4425360E" w14:textId="77777777" w:rsidR="00902348" w:rsidRPr="00343631" w:rsidRDefault="00902348" w:rsidP="00902348">
            <w:pPr>
              <w:contextualSpacing/>
              <w:rPr>
                <w:rFonts w:eastAsia="Times New Roman" w:cs="Times New Roman"/>
                <w:szCs w:val="28"/>
                <w:lang w:eastAsia="lv-LV"/>
              </w:rPr>
            </w:pPr>
            <w:r w:rsidRPr="00343631">
              <w:rPr>
                <w:rFonts w:eastAsia="Times New Roman" w:cs="Times New Roman"/>
                <w:szCs w:val="28"/>
                <w:lang w:eastAsia="lv-LV"/>
              </w:rPr>
              <w:lastRenderedPageBreak/>
              <w:t>2.</w:t>
            </w:r>
          </w:p>
        </w:tc>
        <w:tc>
          <w:tcPr>
            <w:tcW w:w="1450" w:type="pct"/>
            <w:tcBorders>
              <w:top w:val="outset" w:sz="6" w:space="0" w:color="414142"/>
              <w:left w:val="outset" w:sz="6" w:space="0" w:color="414142"/>
              <w:bottom w:val="outset" w:sz="6" w:space="0" w:color="414142"/>
              <w:right w:val="outset" w:sz="6" w:space="0" w:color="414142"/>
            </w:tcBorders>
            <w:hideMark/>
          </w:tcPr>
          <w:p w14:paraId="62978921" w14:textId="77777777" w:rsidR="00902348" w:rsidRPr="00343631" w:rsidRDefault="00902348" w:rsidP="00902348">
            <w:pPr>
              <w:contextualSpacing/>
              <w:rPr>
                <w:rFonts w:eastAsia="Times New Roman" w:cs="Times New Roman"/>
                <w:szCs w:val="28"/>
                <w:lang w:eastAsia="lv-LV"/>
              </w:rPr>
            </w:pPr>
            <w:r w:rsidRPr="00343631">
              <w:rPr>
                <w:rFonts w:eastAsia="Times New Roman" w:cs="Times New Roman"/>
                <w:szCs w:val="28"/>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6A74B338" w14:textId="77777777" w:rsidR="00902348" w:rsidRPr="00343631" w:rsidRDefault="00082470" w:rsidP="00902348">
            <w:pPr>
              <w:contextualSpacing/>
              <w:rPr>
                <w:rFonts w:eastAsia="Times New Roman" w:cs="Times New Roman"/>
                <w:szCs w:val="28"/>
                <w:lang w:eastAsia="lv-LV"/>
              </w:rPr>
            </w:pPr>
            <w:r w:rsidRPr="00343631">
              <w:rPr>
                <w:rFonts w:eastAsia="Times New Roman" w:cs="Times New Roman"/>
                <w:szCs w:val="28"/>
                <w:lang w:eastAsia="lv-LV"/>
              </w:rPr>
              <w:t>Ekonomikas ministrija</w:t>
            </w:r>
          </w:p>
        </w:tc>
      </w:tr>
      <w:tr w:rsidR="00902348" w:rsidRPr="00343631" w14:paraId="1913AF54" w14:textId="77777777" w:rsidTr="00902348">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64B2A324" w14:textId="77777777" w:rsidR="00902348" w:rsidRPr="00343631" w:rsidRDefault="00902348" w:rsidP="00902348">
            <w:pPr>
              <w:contextualSpacing/>
              <w:rPr>
                <w:rFonts w:eastAsia="Times New Roman" w:cs="Times New Roman"/>
                <w:szCs w:val="28"/>
                <w:lang w:eastAsia="lv-LV"/>
              </w:rPr>
            </w:pPr>
            <w:r w:rsidRPr="00343631">
              <w:rPr>
                <w:rFonts w:eastAsia="Times New Roman" w:cs="Times New Roman"/>
                <w:szCs w:val="28"/>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34297CD0" w14:textId="77777777" w:rsidR="00902348" w:rsidRPr="00343631" w:rsidRDefault="00902348" w:rsidP="00902348">
            <w:pPr>
              <w:contextualSpacing/>
              <w:rPr>
                <w:rFonts w:eastAsia="Times New Roman" w:cs="Times New Roman"/>
                <w:szCs w:val="28"/>
                <w:lang w:eastAsia="lv-LV"/>
              </w:rPr>
            </w:pPr>
            <w:r w:rsidRPr="00343631">
              <w:rPr>
                <w:rFonts w:eastAsia="Times New Roman" w:cs="Times New Roman"/>
                <w:szCs w:val="28"/>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36A5FE25" w14:textId="77777777" w:rsidR="00902348" w:rsidRPr="00343631" w:rsidRDefault="00082470" w:rsidP="00902348">
            <w:pPr>
              <w:contextualSpacing/>
              <w:rPr>
                <w:rFonts w:eastAsia="Times New Roman" w:cs="Times New Roman"/>
                <w:szCs w:val="28"/>
                <w:lang w:eastAsia="lv-LV"/>
              </w:rPr>
            </w:pPr>
            <w:r w:rsidRPr="00343631">
              <w:rPr>
                <w:rFonts w:eastAsia="Times New Roman" w:cs="Times New Roman"/>
                <w:szCs w:val="28"/>
                <w:lang w:eastAsia="lv-LV"/>
              </w:rPr>
              <w:t>Nav</w:t>
            </w:r>
          </w:p>
        </w:tc>
      </w:tr>
    </w:tbl>
    <w:p w14:paraId="014C8681" w14:textId="77777777" w:rsidR="003A3248" w:rsidRPr="00343631" w:rsidRDefault="003A3248" w:rsidP="003A3248">
      <w:pPr>
        <w:rPr>
          <w:rFonts w:eastAsia="Times New Roman" w:cs="Times New Roman"/>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131"/>
      </w:tblGrid>
      <w:tr w:rsidR="003A3248" w:rsidRPr="00343631" w14:paraId="363A8A68" w14:textId="77777777" w:rsidTr="003A3248">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D0BEF4" w14:textId="77777777" w:rsidR="003A3248" w:rsidRPr="00343631" w:rsidRDefault="003A3248" w:rsidP="003A3248">
            <w:pPr>
              <w:spacing w:before="100" w:beforeAutospacing="1" w:after="100" w:afterAutospacing="1" w:line="293" w:lineRule="atLeast"/>
              <w:jc w:val="center"/>
              <w:rPr>
                <w:rFonts w:eastAsia="Times New Roman" w:cs="Times New Roman"/>
                <w:b/>
                <w:bCs/>
                <w:szCs w:val="28"/>
                <w:lang w:eastAsia="lv-LV"/>
              </w:rPr>
            </w:pPr>
            <w:r w:rsidRPr="00343631">
              <w:rPr>
                <w:rFonts w:eastAsia="Times New Roman" w:cs="Times New Roman"/>
                <w:b/>
                <w:bCs/>
                <w:szCs w:val="28"/>
                <w:lang w:eastAsia="lv-LV"/>
              </w:rPr>
              <w:t>V. Tiesību akta projekta atbilstība Latvijas Republikas starptautiskajām saistībām</w:t>
            </w:r>
          </w:p>
        </w:tc>
      </w:tr>
      <w:tr w:rsidR="003A3248" w:rsidRPr="00343631" w14:paraId="6E6F5692" w14:textId="77777777" w:rsidTr="003A3248">
        <w:tc>
          <w:tcPr>
            <w:tcW w:w="5000" w:type="pct"/>
            <w:tcBorders>
              <w:top w:val="outset" w:sz="6" w:space="0" w:color="414142"/>
              <w:left w:val="outset" w:sz="6" w:space="0" w:color="414142"/>
              <w:bottom w:val="outset" w:sz="6" w:space="0" w:color="414142"/>
              <w:right w:val="outset" w:sz="6" w:space="0" w:color="414142"/>
            </w:tcBorders>
            <w:shd w:val="clear" w:color="auto" w:fill="FFFFFF"/>
          </w:tcPr>
          <w:p w14:paraId="7EDC8F38" w14:textId="77777777" w:rsidR="003A3248" w:rsidRPr="00343631" w:rsidRDefault="003A3248" w:rsidP="003A3248">
            <w:pPr>
              <w:jc w:val="center"/>
              <w:rPr>
                <w:rFonts w:eastAsia="Times New Roman" w:cs="Times New Roman"/>
                <w:szCs w:val="28"/>
                <w:lang w:eastAsia="lv-LV"/>
              </w:rPr>
            </w:pPr>
            <w:r w:rsidRPr="00343631">
              <w:rPr>
                <w:rFonts w:eastAsia="Times New Roman" w:cs="Times New Roman"/>
                <w:bCs/>
                <w:szCs w:val="28"/>
                <w:lang w:eastAsia="lv-LV"/>
              </w:rPr>
              <w:t>Projekts šo jomu neskar</w:t>
            </w:r>
          </w:p>
        </w:tc>
      </w:tr>
    </w:tbl>
    <w:p w14:paraId="4059095D" w14:textId="77777777" w:rsidR="003A3248" w:rsidRPr="00343631" w:rsidRDefault="003A3248" w:rsidP="00902348">
      <w:pPr>
        <w:shd w:val="clear" w:color="auto" w:fill="FFFFFF"/>
        <w:ind w:firstLine="300"/>
        <w:contextualSpacing/>
        <w:rPr>
          <w:rFonts w:eastAsia="Times New Roman" w:cs="Times New Roman"/>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902348" w:rsidRPr="00343631" w14:paraId="64D2F259" w14:textId="77777777" w:rsidTr="00902348">
        <w:trPr>
          <w:trHeight w:val="42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2C90509" w14:textId="77777777" w:rsidR="00902348" w:rsidRPr="00343631" w:rsidRDefault="00902348" w:rsidP="00902348">
            <w:pPr>
              <w:contextualSpacing/>
              <w:jc w:val="center"/>
              <w:rPr>
                <w:rFonts w:eastAsia="Times New Roman" w:cs="Times New Roman"/>
                <w:b/>
                <w:bCs/>
                <w:szCs w:val="28"/>
                <w:lang w:eastAsia="lv-LV"/>
              </w:rPr>
            </w:pPr>
            <w:r w:rsidRPr="00343631">
              <w:rPr>
                <w:rFonts w:eastAsia="Times New Roman" w:cs="Times New Roman"/>
                <w:b/>
                <w:bCs/>
                <w:szCs w:val="28"/>
                <w:lang w:eastAsia="lv-LV"/>
              </w:rPr>
              <w:t>VI. Sabiedrības līdzdalība un komunikācijas aktivitātes</w:t>
            </w:r>
          </w:p>
        </w:tc>
      </w:tr>
      <w:tr w:rsidR="00902348" w:rsidRPr="00343631" w14:paraId="65DA8B1A" w14:textId="77777777" w:rsidTr="000B4839">
        <w:trPr>
          <w:trHeight w:val="540"/>
          <w:jc w:val="center"/>
        </w:trPr>
        <w:tc>
          <w:tcPr>
            <w:tcW w:w="250" w:type="pct"/>
            <w:tcBorders>
              <w:top w:val="outset" w:sz="6" w:space="0" w:color="414142"/>
              <w:left w:val="outset" w:sz="6" w:space="0" w:color="414142"/>
              <w:bottom w:val="outset" w:sz="6" w:space="0" w:color="414142"/>
              <w:right w:val="outset" w:sz="6" w:space="0" w:color="414142"/>
            </w:tcBorders>
            <w:hideMark/>
          </w:tcPr>
          <w:p w14:paraId="0BA8367F" w14:textId="77777777" w:rsidR="00902348" w:rsidRPr="00343631" w:rsidRDefault="00902348" w:rsidP="00902348">
            <w:pPr>
              <w:contextualSpacing/>
              <w:rPr>
                <w:rFonts w:eastAsia="Times New Roman" w:cs="Times New Roman"/>
                <w:szCs w:val="28"/>
                <w:lang w:eastAsia="lv-LV"/>
              </w:rPr>
            </w:pPr>
            <w:r w:rsidRPr="00343631">
              <w:rPr>
                <w:rFonts w:eastAsia="Times New Roman" w:cs="Times New Roman"/>
                <w:szCs w:val="28"/>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4F3F6AC5" w14:textId="77777777" w:rsidR="00902348" w:rsidRPr="00343631" w:rsidRDefault="00902348" w:rsidP="00902348">
            <w:pPr>
              <w:contextualSpacing/>
              <w:rPr>
                <w:rFonts w:eastAsia="Times New Roman" w:cs="Times New Roman"/>
                <w:szCs w:val="28"/>
                <w:lang w:eastAsia="lv-LV"/>
              </w:rPr>
            </w:pPr>
            <w:r w:rsidRPr="00343631">
              <w:rPr>
                <w:rFonts w:eastAsia="Times New Roman" w:cs="Times New Roman"/>
                <w:szCs w:val="28"/>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tcPr>
          <w:p w14:paraId="4EEFF017" w14:textId="1EC5D6FF" w:rsidR="00902348" w:rsidRPr="00343631" w:rsidRDefault="00AE694A" w:rsidP="00F122D7">
            <w:pPr>
              <w:contextualSpacing/>
              <w:jc w:val="both"/>
              <w:rPr>
                <w:rFonts w:eastAsia="Times New Roman" w:cs="Times New Roman"/>
                <w:szCs w:val="28"/>
                <w:lang w:eastAsia="lv-LV"/>
              </w:rPr>
            </w:pPr>
            <w:r w:rsidRPr="00343631">
              <w:rPr>
                <w:rFonts w:eastAsia="Times New Roman" w:cs="Times New Roman"/>
                <w:szCs w:val="28"/>
                <w:lang w:eastAsia="lv-LV"/>
              </w:rPr>
              <w:t>S</w:t>
            </w:r>
            <w:r w:rsidR="000B4839" w:rsidRPr="00343631">
              <w:rPr>
                <w:rFonts w:eastAsia="Times New Roman" w:cs="Times New Roman"/>
                <w:szCs w:val="28"/>
                <w:lang w:eastAsia="lv-LV"/>
              </w:rPr>
              <w:t xml:space="preserve">askaņā ar Ministru kabineta 25.08.2009. noteikumu Nr.970 “Sabiedrības līdzdalības kārtība attīstības plānošanas procesā” 5.punktu </w:t>
            </w:r>
            <w:r w:rsidR="00343631" w:rsidRPr="00343631">
              <w:rPr>
                <w:rFonts w:eastAsia="Times New Roman" w:cs="Times New Roman"/>
                <w:szCs w:val="28"/>
                <w:lang w:eastAsia="lv-LV"/>
              </w:rPr>
              <w:t xml:space="preserve">ir </w:t>
            </w:r>
            <w:r w:rsidR="000B4839" w:rsidRPr="00343631">
              <w:rPr>
                <w:rFonts w:eastAsia="Times New Roman" w:cs="Times New Roman"/>
                <w:szCs w:val="28"/>
                <w:lang w:eastAsia="lv-LV"/>
              </w:rPr>
              <w:t xml:space="preserve"> nodrošināta at</w:t>
            </w:r>
            <w:r w:rsidR="00343631" w:rsidRPr="00343631">
              <w:rPr>
                <w:rFonts w:eastAsia="Times New Roman" w:cs="Times New Roman"/>
                <w:szCs w:val="28"/>
                <w:lang w:eastAsia="lv-LV"/>
              </w:rPr>
              <w:t xml:space="preserve">bilstoša sabiedrības līdzdalība laika periodā no 14.08.2017. līdz 29.08.2017. Papildus par likumprojektu tika </w:t>
            </w:r>
            <w:r w:rsidR="000D4E9D">
              <w:rPr>
                <w:rFonts w:eastAsia="Times New Roman" w:cs="Times New Roman"/>
                <w:szCs w:val="28"/>
                <w:lang w:eastAsia="lv-LV"/>
              </w:rPr>
              <w:t xml:space="preserve">14.08.2017. atsevišķi </w:t>
            </w:r>
            <w:r w:rsidR="00343631" w:rsidRPr="00343631">
              <w:rPr>
                <w:rFonts w:eastAsia="Times New Roman" w:cs="Times New Roman"/>
                <w:szCs w:val="28"/>
                <w:lang w:eastAsia="lv-LV"/>
              </w:rPr>
              <w:t>informēti Ekonomikas ministrijas būvniecības likuma darba grupas locekļi (Latvijas Pašvaldību savienība, Latvijas Lielo pilsētu asociācija, Latvijas Būvuzņēmēju partnerība, Latvijas Arhitektu savienība, Latvijas Būvniecības padome, Latvijas Būvinženieru savienība, Vides aizsardzības un reģionālās attīstības ministrija, Ārvalstu investoru padome Latvijā, Inženierkomunikāciju turētāju sadarbības padome, Aizsardzības ministrija, Nacionālā nekustamo īpašumu attīstītāju alianse, Latvijas Būvkonstrukciju projektētāju asociācija, Valsts zemes dienests, Latvijas Apdrošinātāju asociācija, valsts akciju sabiedrība “Valsts nekustamie īpašumi”).</w:t>
            </w:r>
          </w:p>
        </w:tc>
      </w:tr>
      <w:tr w:rsidR="00902348" w:rsidRPr="00343631" w14:paraId="25F33C06" w14:textId="77777777" w:rsidTr="000B4839">
        <w:trPr>
          <w:trHeight w:val="330"/>
          <w:jc w:val="center"/>
        </w:trPr>
        <w:tc>
          <w:tcPr>
            <w:tcW w:w="250" w:type="pct"/>
            <w:tcBorders>
              <w:top w:val="outset" w:sz="6" w:space="0" w:color="414142"/>
              <w:left w:val="outset" w:sz="6" w:space="0" w:color="414142"/>
              <w:bottom w:val="outset" w:sz="6" w:space="0" w:color="414142"/>
              <w:right w:val="outset" w:sz="6" w:space="0" w:color="414142"/>
            </w:tcBorders>
            <w:hideMark/>
          </w:tcPr>
          <w:p w14:paraId="0C17621B" w14:textId="77777777" w:rsidR="00902348" w:rsidRPr="00343631" w:rsidRDefault="00902348" w:rsidP="00902348">
            <w:pPr>
              <w:contextualSpacing/>
              <w:rPr>
                <w:rFonts w:eastAsia="Times New Roman" w:cs="Times New Roman"/>
                <w:szCs w:val="28"/>
                <w:lang w:eastAsia="lv-LV"/>
              </w:rPr>
            </w:pPr>
            <w:r w:rsidRPr="00343631">
              <w:rPr>
                <w:rFonts w:eastAsia="Times New Roman" w:cs="Times New Roman"/>
                <w:szCs w:val="28"/>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781B4A5F" w14:textId="77777777" w:rsidR="00902348" w:rsidRPr="00343631" w:rsidRDefault="00902348" w:rsidP="00902348">
            <w:pPr>
              <w:contextualSpacing/>
              <w:rPr>
                <w:rFonts w:eastAsia="Times New Roman" w:cs="Times New Roman"/>
                <w:szCs w:val="28"/>
                <w:lang w:eastAsia="lv-LV"/>
              </w:rPr>
            </w:pPr>
            <w:r w:rsidRPr="00343631">
              <w:rPr>
                <w:rFonts w:eastAsia="Times New Roman" w:cs="Times New Roman"/>
                <w:szCs w:val="28"/>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tcPr>
          <w:p w14:paraId="4A0110ED" w14:textId="50A39A51" w:rsidR="00902348" w:rsidRPr="00343631" w:rsidRDefault="000D4E9D" w:rsidP="000D4E9D">
            <w:pPr>
              <w:contextualSpacing/>
              <w:jc w:val="both"/>
              <w:rPr>
                <w:rFonts w:eastAsia="Times New Roman" w:cs="Times New Roman"/>
                <w:szCs w:val="28"/>
                <w:lang w:eastAsia="lv-LV"/>
              </w:rPr>
            </w:pPr>
            <w:r>
              <w:rPr>
                <w:rFonts w:eastAsia="Times New Roman" w:cs="Times New Roman"/>
                <w:szCs w:val="28"/>
                <w:lang w:eastAsia="lv-LV"/>
              </w:rPr>
              <w:t xml:space="preserve">Par likumprojektu priekšlikumus sniedza </w:t>
            </w:r>
            <w:r w:rsidRPr="000D4E9D">
              <w:rPr>
                <w:rFonts w:eastAsia="Times New Roman" w:cs="Times New Roman"/>
                <w:szCs w:val="28"/>
                <w:lang w:eastAsia="lv-LV"/>
              </w:rPr>
              <w:t>Latvijas Būvuzņēmēju partnerība</w:t>
            </w:r>
            <w:r>
              <w:rPr>
                <w:rFonts w:eastAsia="Times New Roman" w:cs="Times New Roman"/>
                <w:szCs w:val="28"/>
                <w:lang w:eastAsia="lv-LV"/>
              </w:rPr>
              <w:t xml:space="preserve"> un </w:t>
            </w:r>
            <w:r w:rsidRPr="000D4E9D">
              <w:rPr>
                <w:rFonts w:eastAsia="Times New Roman" w:cs="Times New Roman"/>
                <w:szCs w:val="28"/>
                <w:lang w:eastAsia="lv-LV"/>
              </w:rPr>
              <w:t>Latvijas Apdrošinātāju asociācija</w:t>
            </w:r>
            <w:r>
              <w:rPr>
                <w:rFonts w:eastAsia="Times New Roman" w:cs="Times New Roman"/>
                <w:szCs w:val="28"/>
                <w:lang w:eastAsia="lv-LV"/>
              </w:rPr>
              <w:t xml:space="preserve">, neiebilstot pret likumprojekta tālāku virzību. </w:t>
            </w:r>
          </w:p>
        </w:tc>
      </w:tr>
      <w:tr w:rsidR="00902348" w:rsidRPr="00343631" w14:paraId="077968E2" w14:textId="77777777" w:rsidTr="000B4839">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14:paraId="7F52898B" w14:textId="77777777" w:rsidR="00902348" w:rsidRPr="00343631" w:rsidRDefault="00902348" w:rsidP="00902348">
            <w:pPr>
              <w:contextualSpacing/>
              <w:rPr>
                <w:rFonts w:eastAsia="Times New Roman" w:cs="Times New Roman"/>
                <w:szCs w:val="28"/>
                <w:lang w:eastAsia="lv-LV"/>
              </w:rPr>
            </w:pPr>
            <w:r w:rsidRPr="00343631">
              <w:rPr>
                <w:rFonts w:eastAsia="Times New Roman" w:cs="Times New Roman"/>
                <w:szCs w:val="28"/>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1C7391C2" w14:textId="77777777" w:rsidR="00902348" w:rsidRPr="00343631" w:rsidRDefault="00902348" w:rsidP="00902348">
            <w:pPr>
              <w:contextualSpacing/>
              <w:rPr>
                <w:rFonts w:eastAsia="Times New Roman" w:cs="Times New Roman"/>
                <w:szCs w:val="28"/>
                <w:lang w:eastAsia="lv-LV"/>
              </w:rPr>
            </w:pPr>
            <w:r w:rsidRPr="00343631">
              <w:rPr>
                <w:rFonts w:eastAsia="Times New Roman" w:cs="Times New Roman"/>
                <w:szCs w:val="28"/>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tcPr>
          <w:p w14:paraId="1AA68413" w14:textId="09846B35" w:rsidR="00902348" w:rsidRDefault="000D4E9D" w:rsidP="00050901">
            <w:pPr>
              <w:contextualSpacing/>
              <w:jc w:val="both"/>
              <w:rPr>
                <w:rFonts w:eastAsia="Times New Roman" w:cs="Times New Roman"/>
                <w:szCs w:val="28"/>
                <w:lang w:eastAsia="lv-LV"/>
              </w:rPr>
            </w:pPr>
            <w:r w:rsidRPr="000D4E9D">
              <w:rPr>
                <w:rFonts w:eastAsia="Times New Roman" w:cs="Times New Roman"/>
                <w:szCs w:val="28"/>
                <w:lang w:eastAsia="lv-LV"/>
              </w:rPr>
              <w:t>Latvijas Būvuzņēmēju partnerība</w:t>
            </w:r>
            <w:r>
              <w:rPr>
                <w:rFonts w:eastAsia="Times New Roman" w:cs="Times New Roman"/>
                <w:szCs w:val="28"/>
                <w:lang w:eastAsia="lv-LV"/>
              </w:rPr>
              <w:t xml:space="preserve"> norādīja uz to, ka </w:t>
            </w:r>
            <w:r w:rsidRPr="000D4E9D">
              <w:rPr>
                <w:rFonts w:eastAsia="Times New Roman" w:cs="Times New Roman"/>
                <w:szCs w:val="28"/>
                <w:lang w:eastAsia="lv-LV"/>
              </w:rPr>
              <w:t>pastāv nopietns risks neatbilstošo būvizstrādājumu tirdzniecības pārorganizēšanai no juridiskajām uz fiziskajām personām</w:t>
            </w:r>
            <w:r>
              <w:rPr>
                <w:rFonts w:eastAsia="Times New Roman" w:cs="Times New Roman"/>
                <w:szCs w:val="28"/>
                <w:lang w:eastAsia="lv-LV"/>
              </w:rPr>
              <w:t xml:space="preserve">, un lūdz atbilstoši pārskatīt Būvniecības likuma 29.pantu. </w:t>
            </w:r>
            <w:r w:rsidR="00050901">
              <w:rPr>
                <w:rFonts w:eastAsia="Times New Roman" w:cs="Times New Roman"/>
                <w:szCs w:val="28"/>
                <w:lang w:eastAsia="lv-LV"/>
              </w:rPr>
              <w:t xml:space="preserve">Ņemot vērā priekšlikumu ir atbilstoši precizēta plānotā </w:t>
            </w:r>
            <w:r w:rsidR="00050901">
              <w:rPr>
                <w:rFonts w:eastAsia="Times New Roman" w:cs="Times New Roman"/>
                <w:szCs w:val="28"/>
                <w:lang w:eastAsia="lv-LV"/>
              </w:rPr>
              <w:lastRenderedPageBreak/>
              <w:t>Būvniecības likuma 29.panta pirmā, otrā un trešā daļa – fiziskai un juridiskais personai paredzot vienādu administratīvo sodu par attiecīgajiem administratīvajiem pārkāpumiem.</w:t>
            </w:r>
          </w:p>
          <w:p w14:paraId="3811878D" w14:textId="1D781C8E" w:rsidR="00050901" w:rsidRDefault="00050901" w:rsidP="00050901">
            <w:pPr>
              <w:contextualSpacing/>
              <w:jc w:val="both"/>
              <w:rPr>
                <w:rFonts w:eastAsia="Times New Roman" w:cs="Times New Roman"/>
                <w:szCs w:val="28"/>
                <w:lang w:eastAsia="lv-LV"/>
              </w:rPr>
            </w:pPr>
          </w:p>
          <w:p w14:paraId="18AB877C" w14:textId="0C8610BD" w:rsidR="00050901" w:rsidRPr="00343631" w:rsidRDefault="00050901" w:rsidP="00050901">
            <w:pPr>
              <w:contextualSpacing/>
              <w:jc w:val="both"/>
              <w:rPr>
                <w:rFonts w:eastAsia="Times New Roman" w:cs="Times New Roman"/>
                <w:szCs w:val="28"/>
                <w:lang w:eastAsia="lv-LV"/>
              </w:rPr>
            </w:pPr>
            <w:r>
              <w:rPr>
                <w:rFonts w:eastAsia="Times New Roman" w:cs="Times New Roman"/>
                <w:szCs w:val="28"/>
                <w:lang w:eastAsia="lv-LV"/>
              </w:rPr>
              <w:t xml:space="preserve">Papildus, ņemot vērā </w:t>
            </w:r>
            <w:r w:rsidRPr="000D4E9D">
              <w:rPr>
                <w:rFonts w:eastAsia="Times New Roman" w:cs="Times New Roman"/>
                <w:szCs w:val="28"/>
                <w:lang w:eastAsia="lv-LV"/>
              </w:rPr>
              <w:t>Latvijas Apdrošinātāju asociācija</w:t>
            </w:r>
            <w:r>
              <w:rPr>
                <w:rFonts w:eastAsia="Times New Roman" w:cs="Times New Roman"/>
                <w:szCs w:val="28"/>
                <w:lang w:eastAsia="lv-LV"/>
              </w:rPr>
              <w:t>s, priekšlikumu ir precizēts plānotais Būvniecības likuma 27.pants.</w:t>
            </w:r>
          </w:p>
        </w:tc>
      </w:tr>
      <w:tr w:rsidR="00902348" w:rsidRPr="00343631" w14:paraId="2FCC2D56" w14:textId="77777777" w:rsidTr="000B4839">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14:paraId="57B9487E" w14:textId="77777777" w:rsidR="00902348" w:rsidRPr="00343631" w:rsidRDefault="00902348" w:rsidP="00902348">
            <w:pPr>
              <w:contextualSpacing/>
              <w:rPr>
                <w:rFonts w:eastAsia="Times New Roman" w:cs="Times New Roman"/>
                <w:szCs w:val="28"/>
                <w:lang w:eastAsia="lv-LV"/>
              </w:rPr>
            </w:pPr>
            <w:r w:rsidRPr="00343631">
              <w:rPr>
                <w:rFonts w:eastAsia="Times New Roman" w:cs="Times New Roman"/>
                <w:szCs w:val="28"/>
                <w:lang w:eastAsia="lv-LV"/>
              </w:rPr>
              <w:lastRenderedPageBreak/>
              <w:t>4.</w:t>
            </w:r>
          </w:p>
        </w:tc>
        <w:tc>
          <w:tcPr>
            <w:tcW w:w="1500" w:type="pct"/>
            <w:tcBorders>
              <w:top w:val="outset" w:sz="6" w:space="0" w:color="414142"/>
              <w:left w:val="outset" w:sz="6" w:space="0" w:color="414142"/>
              <w:bottom w:val="outset" w:sz="6" w:space="0" w:color="414142"/>
              <w:right w:val="outset" w:sz="6" w:space="0" w:color="414142"/>
            </w:tcBorders>
            <w:hideMark/>
          </w:tcPr>
          <w:p w14:paraId="7A1EF1EC" w14:textId="77777777" w:rsidR="00902348" w:rsidRPr="00343631" w:rsidRDefault="00902348" w:rsidP="00902348">
            <w:pPr>
              <w:contextualSpacing/>
              <w:rPr>
                <w:rFonts w:eastAsia="Times New Roman" w:cs="Times New Roman"/>
                <w:szCs w:val="28"/>
                <w:lang w:eastAsia="lv-LV"/>
              </w:rPr>
            </w:pPr>
            <w:r w:rsidRPr="00343631">
              <w:rPr>
                <w:rFonts w:eastAsia="Times New Roman" w:cs="Times New Roman"/>
                <w:szCs w:val="28"/>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tcPr>
          <w:p w14:paraId="1033D702" w14:textId="77777777" w:rsidR="00902348" w:rsidRPr="00343631" w:rsidRDefault="000B4839" w:rsidP="00902348">
            <w:pPr>
              <w:contextualSpacing/>
              <w:rPr>
                <w:rFonts w:eastAsia="Times New Roman" w:cs="Times New Roman"/>
                <w:szCs w:val="28"/>
                <w:lang w:eastAsia="lv-LV"/>
              </w:rPr>
            </w:pPr>
            <w:r w:rsidRPr="00343631">
              <w:rPr>
                <w:rFonts w:eastAsia="Times New Roman" w:cs="Times New Roman"/>
                <w:szCs w:val="28"/>
                <w:lang w:eastAsia="lv-LV"/>
              </w:rPr>
              <w:t>Nav.</w:t>
            </w:r>
          </w:p>
        </w:tc>
      </w:tr>
    </w:tbl>
    <w:p w14:paraId="46F40C44" w14:textId="77777777" w:rsidR="00902348" w:rsidRPr="00343631" w:rsidRDefault="00902348" w:rsidP="00902348">
      <w:pPr>
        <w:shd w:val="clear" w:color="auto" w:fill="FFFFFF"/>
        <w:ind w:firstLine="300"/>
        <w:contextualSpacing/>
        <w:rPr>
          <w:rFonts w:eastAsia="Times New Roman" w:cs="Times New Roman"/>
          <w:szCs w:val="28"/>
          <w:lang w:eastAsia="lv-LV"/>
        </w:rPr>
      </w:pPr>
      <w:r w:rsidRPr="00343631">
        <w:rPr>
          <w:rFonts w:eastAsia="Times New Roman" w:cs="Times New Roman"/>
          <w:szCs w:val="28"/>
          <w:lang w:eastAsia="lv-LV"/>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902348" w:rsidRPr="00343631" w14:paraId="346A34B0" w14:textId="77777777" w:rsidTr="00902348">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B87663F" w14:textId="77777777" w:rsidR="00902348" w:rsidRPr="00343631" w:rsidRDefault="00902348" w:rsidP="00902348">
            <w:pPr>
              <w:contextualSpacing/>
              <w:jc w:val="center"/>
              <w:rPr>
                <w:rFonts w:eastAsia="Times New Roman" w:cs="Times New Roman"/>
                <w:b/>
                <w:bCs/>
                <w:szCs w:val="28"/>
                <w:lang w:eastAsia="lv-LV"/>
              </w:rPr>
            </w:pPr>
            <w:r w:rsidRPr="00343631">
              <w:rPr>
                <w:rFonts w:eastAsia="Times New Roman" w:cs="Times New Roman"/>
                <w:b/>
                <w:bCs/>
                <w:szCs w:val="28"/>
                <w:lang w:eastAsia="lv-LV"/>
              </w:rPr>
              <w:t>VII. Tiesību akta projekta izpildes nodrošināšana un tās ietekme uz institūcijām</w:t>
            </w:r>
          </w:p>
        </w:tc>
      </w:tr>
      <w:tr w:rsidR="00902348" w:rsidRPr="00343631" w14:paraId="24E4EC10" w14:textId="77777777" w:rsidTr="00902348">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14:paraId="69740772" w14:textId="77777777" w:rsidR="00902348" w:rsidRPr="00343631" w:rsidRDefault="00902348" w:rsidP="00902348">
            <w:pPr>
              <w:contextualSpacing/>
              <w:rPr>
                <w:rFonts w:eastAsia="Times New Roman" w:cs="Times New Roman"/>
                <w:szCs w:val="28"/>
                <w:lang w:eastAsia="lv-LV"/>
              </w:rPr>
            </w:pPr>
            <w:r w:rsidRPr="00343631">
              <w:rPr>
                <w:rFonts w:eastAsia="Times New Roman" w:cs="Times New Roman"/>
                <w:szCs w:val="28"/>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234E9382" w14:textId="77777777" w:rsidR="00902348" w:rsidRPr="00343631" w:rsidRDefault="00902348" w:rsidP="00902348">
            <w:pPr>
              <w:contextualSpacing/>
              <w:rPr>
                <w:rFonts w:eastAsia="Times New Roman" w:cs="Times New Roman"/>
                <w:szCs w:val="28"/>
                <w:lang w:eastAsia="lv-LV"/>
              </w:rPr>
            </w:pPr>
            <w:r w:rsidRPr="00343631">
              <w:rPr>
                <w:rFonts w:eastAsia="Times New Roman" w:cs="Times New Roman"/>
                <w:szCs w:val="28"/>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187D95B4" w14:textId="77777777" w:rsidR="00902348" w:rsidRPr="00343631" w:rsidRDefault="00F122D7" w:rsidP="00E62CF8">
            <w:pPr>
              <w:contextualSpacing/>
              <w:jc w:val="both"/>
              <w:rPr>
                <w:rFonts w:eastAsia="Times New Roman" w:cs="Times New Roman"/>
                <w:szCs w:val="28"/>
                <w:lang w:eastAsia="lv-LV"/>
              </w:rPr>
            </w:pPr>
            <w:r w:rsidRPr="00343631">
              <w:rPr>
                <w:rFonts w:eastAsia="Times New Roman" w:cs="Times New Roman"/>
                <w:szCs w:val="28"/>
                <w:lang w:eastAsia="lv-LV"/>
              </w:rPr>
              <w:t>Būvniecības valsts kontroles birojs, Patērētāju tiesību aizsardzības centrs</w:t>
            </w:r>
            <w:r w:rsidR="007741C6" w:rsidRPr="00343631">
              <w:rPr>
                <w:rFonts w:eastAsia="Times New Roman" w:cs="Times New Roman"/>
                <w:szCs w:val="28"/>
                <w:lang w:eastAsia="lv-LV"/>
              </w:rPr>
              <w:t>,</w:t>
            </w:r>
            <w:r w:rsidRPr="00343631">
              <w:rPr>
                <w:rFonts w:eastAsia="Times New Roman" w:cs="Times New Roman"/>
                <w:szCs w:val="28"/>
                <w:lang w:eastAsia="lv-LV"/>
              </w:rPr>
              <w:t xml:space="preserve">  pašvaldību būvvaldes</w:t>
            </w:r>
            <w:r w:rsidR="00337E83" w:rsidRPr="00343631">
              <w:rPr>
                <w:rFonts w:eastAsia="Times New Roman" w:cs="Times New Roman"/>
                <w:szCs w:val="28"/>
                <w:lang w:eastAsia="lv-LV"/>
              </w:rPr>
              <w:t xml:space="preserve"> un</w:t>
            </w:r>
            <w:r w:rsidR="00D204BD" w:rsidRPr="00343631">
              <w:rPr>
                <w:rFonts w:eastAsia="Times New Roman" w:cs="Times New Roman"/>
                <w:szCs w:val="28"/>
                <w:lang w:eastAsia="lv-LV"/>
              </w:rPr>
              <w:t xml:space="preserve"> pašvaldību administratīvās komisijas</w:t>
            </w:r>
            <w:r w:rsidR="00F61524" w:rsidRPr="00343631">
              <w:rPr>
                <w:rFonts w:eastAsia="Times New Roman" w:cs="Times New Roman"/>
                <w:szCs w:val="28"/>
                <w:lang w:eastAsia="lv-LV"/>
              </w:rPr>
              <w:t>,</w:t>
            </w:r>
            <w:r w:rsidRPr="00343631">
              <w:rPr>
                <w:rFonts w:eastAsia="Times New Roman" w:cs="Times New Roman"/>
                <w:szCs w:val="28"/>
                <w:lang w:eastAsia="lv-LV"/>
              </w:rPr>
              <w:t xml:space="preserve"> kā</w:t>
            </w:r>
            <w:r w:rsidR="00F61524" w:rsidRPr="00343631">
              <w:rPr>
                <w:rFonts w:eastAsia="Times New Roman" w:cs="Times New Roman"/>
                <w:szCs w:val="28"/>
                <w:lang w:eastAsia="lv-LV"/>
              </w:rPr>
              <w:t xml:space="preserve"> arī</w:t>
            </w:r>
            <w:r w:rsidRPr="00343631">
              <w:rPr>
                <w:rFonts w:eastAsia="Times New Roman" w:cs="Times New Roman"/>
                <w:szCs w:val="28"/>
                <w:lang w:eastAsia="lv-LV"/>
              </w:rPr>
              <w:t xml:space="preserve"> </w:t>
            </w:r>
            <w:r w:rsidR="00D204BD" w:rsidRPr="00343631">
              <w:rPr>
                <w:rFonts w:eastAsia="Times New Roman" w:cs="Times New Roman"/>
                <w:szCs w:val="28"/>
                <w:lang w:eastAsia="lv-LV"/>
              </w:rPr>
              <w:t xml:space="preserve">institūcijas, kuras pilda būvvaldes funkcijas </w:t>
            </w:r>
            <w:r w:rsidRPr="00343631">
              <w:rPr>
                <w:rFonts w:eastAsia="Times New Roman" w:cs="Times New Roman"/>
                <w:szCs w:val="28"/>
                <w:lang w:eastAsia="lv-LV"/>
              </w:rPr>
              <w:t>(piemēram, Valsts vides dienests).</w:t>
            </w:r>
          </w:p>
        </w:tc>
      </w:tr>
      <w:tr w:rsidR="00902348" w:rsidRPr="00343631" w14:paraId="503CE6D3" w14:textId="77777777" w:rsidTr="00902348">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14:paraId="7D40FB33" w14:textId="77777777" w:rsidR="00902348" w:rsidRPr="00343631" w:rsidRDefault="00902348" w:rsidP="00902348">
            <w:pPr>
              <w:contextualSpacing/>
              <w:rPr>
                <w:rFonts w:eastAsia="Times New Roman" w:cs="Times New Roman"/>
                <w:szCs w:val="28"/>
                <w:lang w:eastAsia="lv-LV"/>
              </w:rPr>
            </w:pPr>
            <w:r w:rsidRPr="00343631">
              <w:rPr>
                <w:rFonts w:eastAsia="Times New Roman" w:cs="Times New Roman"/>
                <w:szCs w:val="28"/>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40F1C81E" w14:textId="77777777" w:rsidR="00902348" w:rsidRPr="00343631" w:rsidRDefault="00902348" w:rsidP="00902348">
            <w:pPr>
              <w:contextualSpacing/>
              <w:rPr>
                <w:rFonts w:eastAsia="Times New Roman" w:cs="Times New Roman"/>
                <w:szCs w:val="28"/>
                <w:lang w:eastAsia="lv-LV"/>
              </w:rPr>
            </w:pPr>
            <w:r w:rsidRPr="00343631">
              <w:rPr>
                <w:rFonts w:eastAsia="Times New Roman" w:cs="Times New Roman"/>
                <w:szCs w:val="28"/>
                <w:lang w:eastAsia="lv-LV"/>
              </w:rPr>
              <w:t>Projekta izpildes ietekme uz pārvaldes funkcijām un institucionālo struktūru.</w:t>
            </w:r>
          </w:p>
          <w:p w14:paraId="1696F2A7" w14:textId="77777777" w:rsidR="00902348" w:rsidRPr="00343631" w:rsidRDefault="00902348" w:rsidP="00902348">
            <w:pPr>
              <w:contextualSpacing/>
              <w:rPr>
                <w:rFonts w:eastAsia="Times New Roman" w:cs="Times New Roman"/>
                <w:szCs w:val="28"/>
                <w:lang w:eastAsia="lv-LV"/>
              </w:rPr>
            </w:pPr>
            <w:r w:rsidRPr="00343631">
              <w:rPr>
                <w:rFonts w:eastAsia="Times New Roman" w:cs="Times New Roman"/>
                <w:szCs w:val="28"/>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37E7BCA5" w14:textId="77777777" w:rsidR="00902348" w:rsidRPr="00343631" w:rsidRDefault="005A6E10" w:rsidP="00F122D7">
            <w:pPr>
              <w:contextualSpacing/>
              <w:rPr>
                <w:rFonts w:eastAsia="Times New Roman" w:cs="Times New Roman"/>
                <w:szCs w:val="28"/>
                <w:lang w:eastAsia="lv-LV"/>
              </w:rPr>
            </w:pPr>
            <w:r w:rsidRPr="00343631">
              <w:rPr>
                <w:rFonts w:eastAsia="Times New Roman" w:cs="Times New Roman"/>
                <w:szCs w:val="28"/>
                <w:lang w:eastAsia="lv-LV"/>
              </w:rPr>
              <w:t>P</w:t>
            </w:r>
            <w:r w:rsidR="00F122D7" w:rsidRPr="00343631">
              <w:rPr>
                <w:rFonts w:eastAsia="Times New Roman" w:cs="Times New Roman"/>
                <w:szCs w:val="28"/>
                <w:lang w:eastAsia="lv-LV"/>
              </w:rPr>
              <w:t>rojekts neparedz veidot jaunas valsts institūcijas.</w:t>
            </w:r>
          </w:p>
        </w:tc>
      </w:tr>
      <w:tr w:rsidR="00902348" w:rsidRPr="00343631" w14:paraId="2C1F8DAB" w14:textId="77777777" w:rsidTr="00902348">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14:paraId="4B70012C" w14:textId="77777777" w:rsidR="00902348" w:rsidRPr="00343631" w:rsidRDefault="00902348" w:rsidP="00902348">
            <w:pPr>
              <w:contextualSpacing/>
              <w:rPr>
                <w:rFonts w:eastAsia="Times New Roman" w:cs="Times New Roman"/>
                <w:szCs w:val="28"/>
                <w:lang w:eastAsia="lv-LV"/>
              </w:rPr>
            </w:pPr>
            <w:r w:rsidRPr="00343631">
              <w:rPr>
                <w:rFonts w:eastAsia="Times New Roman" w:cs="Times New Roman"/>
                <w:szCs w:val="28"/>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22E9CAA1" w14:textId="77777777" w:rsidR="00902348" w:rsidRPr="00343631" w:rsidRDefault="00902348" w:rsidP="00902348">
            <w:pPr>
              <w:contextualSpacing/>
              <w:rPr>
                <w:rFonts w:eastAsia="Times New Roman" w:cs="Times New Roman"/>
                <w:szCs w:val="28"/>
                <w:lang w:eastAsia="lv-LV"/>
              </w:rPr>
            </w:pPr>
            <w:r w:rsidRPr="00343631">
              <w:rPr>
                <w:rFonts w:eastAsia="Times New Roman" w:cs="Times New Roman"/>
                <w:szCs w:val="28"/>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7E0F4D90" w14:textId="77777777" w:rsidR="00902348" w:rsidRPr="00343631" w:rsidRDefault="00F122D7" w:rsidP="00902348">
            <w:pPr>
              <w:contextualSpacing/>
              <w:rPr>
                <w:rFonts w:eastAsia="Times New Roman" w:cs="Times New Roman"/>
                <w:szCs w:val="28"/>
                <w:lang w:eastAsia="lv-LV"/>
              </w:rPr>
            </w:pPr>
            <w:r w:rsidRPr="00343631">
              <w:rPr>
                <w:rFonts w:eastAsia="Times New Roman" w:cs="Times New Roman"/>
                <w:szCs w:val="28"/>
                <w:lang w:eastAsia="lv-LV"/>
              </w:rPr>
              <w:t>Nav</w:t>
            </w:r>
          </w:p>
        </w:tc>
      </w:tr>
    </w:tbl>
    <w:p w14:paraId="4C20D12B" w14:textId="77777777" w:rsidR="00082470" w:rsidRPr="00343631" w:rsidRDefault="00082470" w:rsidP="00902348">
      <w:pPr>
        <w:contextualSpacing/>
        <w:rPr>
          <w:rFonts w:cs="Times New Roman"/>
          <w:szCs w:val="28"/>
        </w:rPr>
      </w:pPr>
    </w:p>
    <w:p w14:paraId="2205297A" w14:textId="77777777" w:rsidR="00902348" w:rsidRPr="00343631" w:rsidRDefault="00902348"/>
    <w:p w14:paraId="3B14F268" w14:textId="77777777" w:rsidR="00902348" w:rsidRPr="00343631" w:rsidRDefault="007636B0" w:rsidP="00902348">
      <w:pPr>
        <w:rPr>
          <w:rFonts w:cs="Times New Roman"/>
          <w:bCs/>
          <w:szCs w:val="27"/>
        </w:rPr>
      </w:pPr>
      <w:r w:rsidRPr="00343631">
        <w:rPr>
          <w:rFonts w:cs="Times New Roman"/>
          <w:bCs/>
          <w:szCs w:val="27"/>
        </w:rPr>
        <w:t>Iesniedzējs:</w:t>
      </w:r>
    </w:p>
    <w:p w14:paraId="2DA44564" w14:textId="77777777" w:rsidR="00902348" w:rsidRPr="00343631" w:rsidRDefault="00902348" w:rsidP="00902348">
      <w:pPr>
        <w:rPr>
          <w:rFonts w:cs="Times New Roman"/>
          <w:szCs w:val="27"/>
        </w:rPr>
      </w:pPr>
      <w:r w:rsidRPr="00343631">
        <w:rPr>
          <w:rFonts w:cs="Times New Roman"/>
          <w:szCs w:val="27"/>
        </w:rPr>
        <w:t>Ministru prezidenta biedrs,</w:t>
      </w:r>
    </w:p>
    <w:p w14:paraId="1206DD5B" w14:textId="77777777" w:rsidR="00902348" w:rsidRPr="00343631" w:rsidRDefault="00902348" w:rsidP="00902348">
      <w:pPr>
        <w:rPr>
          <w:rFonts w:cs="Times New Roman"/>
          <w:szCs w:val="27"/>
        </w:rPr>
      </w:pPr>
      <w:r w:rsidRPr="00343631">
        <w:rPr>
          <w:rFonts w:cs="Times New Roman"/>
          <w:szCs w:val="27"/>
        </w:rPr>
        <w:t>ekonomikas ministrs</w:t>
      </w:r>
      <w:r w:rsidRPr="00343631">
        <w:rPr>
          <w:rFonts w:cs="Times New Roman"/>
          <w:szCs w:val="27"/>
        </w:rPr>
        <w:tab/>
      </w:r>
      <w:r w:rsidRPr="00343631">
        <w:rPr>
          <w:rFonts w:cs="Times New Roman"/>
          <w:szCs w:val="27"/>
        </w:rPr>
        <w:tab/>
      </w:r>
      <w:r w:rsidRPr="00343631">
        <w:rPr>
          <w:rFonts w:cs="Times New Roman"/>
          <w:szCs w:val="27"/>
        </w:rPr>
        <w:tab/>
      </w:r>
      <w:r w:rsidRPr="00343631">
        <w:rPr>
          <w:rFonts w:cs="Times New Roman"/>
          <w:szCs w:val="27"/>
        </w:rPr>
        <w:tab/>
      </w:r>
      <w:r w:rsidRPr="00343631">
        <w:rPr>
          <w:rFonts w:cs="Times New Roman"/>
          <w:szCs w:val="27"/>
        </w:rPr>
        <w:tab/>
      </w:r>
      <w:r w:rsidRPr="00343631">
        <w:rPr>
          <w:rFonts w:cs="Times New Roman"/>
          <w:szCs w:val="27"/>
        </w:rPr>
        <w:tab/>
      </w:r>
      <w:r w:rsidRPr="00343631">
        <w:rPr>
          <w:rFonts w:cs="Times New Roman"/>
          <w:szCs w:val="27"/>
        </w:rPr>
        <w:tab/>
        <w:t>A. Ašeradens</w:t>
      </w:r>
    </w:p>
    <w:p w14:paraId="2C669F3C" w14:textId="77777777" w:rsidR="00902348" w:rsidRPr="00343631" w:rsidRDefault="00902348" w:rsidP="00902348">
      <w:pPr>
        <w:rPr>
          <w:rFonts w:cs="Times New Roman"/>
          <w:bCs/>
          <w:sz w:val="20"/>
          <w:szCs w:val="27"/>
        </w:rPr>
      </w:pPr>
    </w:p>
    <w:p w14:paraId="77F79CF5" w14:textId="77777777" w:rsidR="007636B0" w:rsidRPr="00343631" w:rsidRDefault="007636B0" w:rsidP="00902348">
      <w:pPr>
        <w:rPr>
          <w:rFonts w:cs="Times New Roman"/>
          <w:bCs/>
          <w:sz w:val="20"/>
          <w:szCs w:val="27"/>
        </w:rPr>
      </w:pPr>
    </w:p>
    <w:p w14:paraId="714D4CE0" w14:textId="77777777" w:rsidR="00902348" w:rsidRPr="00343631" w:rsidRDefault="00902348" w:rsidP="00902348">
      <w:pPr>
        <w:rPr>
          <w:rFonts w:cs="Times New Roman"/>
          <w:bCs/>
          <w:szCs w:val="27"/>
        </w:rPr>
      </w:pPr>
      <w:r w:rsidRPr="00343631">
        <w:rPr>
          <w:rFonts w:cs="Times New Roman"/>
          <w:bCs/>
          <w:szCs w:val="27"/>
        </w:rPr>
        <w:t xml:space="preserve">Vīza: </w:t>
      </w:r>
    </w:p>
    <w:p w14:paraId="3D8B208A" w14:textId="77777777" w:rsidR="00902348" w:rsidRPr="00343631" w:rsidRDefault="00902348" w:rsidP="00902348">
      <w:pPr>
        <w:rPr>
          <w:szCs w:val="28"/>
        </w:rPr>
      </w:pPr>
      <w:r w:rsidRPr="00343631">
        <w:rPr>
          <w:szCs w:val="28"/>
        </w:rPr>
        <w:t xml:space="preserve">Valsts sekretārs </w:t>
      </w:r>
      <w:r w:rsidRPr="00343631">
        <w:rPr>
          <w:szCs w:val="28"/>
        </w:rPr>
        <w:tab/>
      </w:r>
      <w:r w:rsidRPr="00343631">
        <w:rPr>
          <w:szCs w:val="28"/>
        </w:rPr>
        <w:tab/>
      </w:r>
      <w:r w:rsidRPr="00343631">
        <w:rPr>
          <w:szCs w:val="28"/>
        </w:rPr>
        <w:tab/>
      </w:r>
      <w:r w:rsidRPr="00343631">
        <w:rPr>
          <w:szCs w:val="28"/>
        </w:rPr>
        <w:tab/>
      </w:r>
      <w:r w:rsidRPr="00343631">
        <w:rPr>
          <w:szCs w:val="28"/>
        </w:rPr>
        <w:tab/>
      </w:r>
      <w:r w:rsidRPr="00343631">
        <w:rPr>
          <w:szCs w:val="28"/>
        </w:rPr>
        <w:tab/>
      </w:r>
      <w:r w:rsidRPr="00343631">
        <w:rPr>
          <w:szCs w:val="28"/>
        </w:rPr>
        <w:tab/>
      </w:r>
      <w:r w:rsidRPr="00343631">
        <w:rPr>
          <w:szCs w:val="28"/>
        </w:rPr>
        <w:tab/>
        <w:t>J. Stinka</w:t>
      </w:r>
    </w:p>
    <w:p w14:paraId="1D6C2F04" w14:textId="77777777" w:rsidR="00902348" w:rsidRPr="00343631" w:rsidRDefault="00902348" w:rsidP="00902348">
      <w:pPr>
        <w:rPr>
          <w:sz w:val="20"/>
          <w:szCs w:val="28"/>
        </w:rPr>
      </w:pPr>
    </w:p>
    <w:p w14:paraId="5A5480F9" w14:textId="77777777" w:rsidR="007636B0" w:rsidRPr="00343631" w:rsidRDefault="007636B0" w:rsidP="00902348">
      <w:pPr>
        <w:rPr>
          <w:sz w:val="20"/>
          <w:szCs w:val="28"/>
        </w:rPr>
      </w:pPr>
    </w:p>
    <w:p w14:paraId="76E4A619" w14:textId="77777777" w:rsidR="00902348" w:rsidRPr="00343631" w:rsidRDefault="00902348" w:rsidP="00902348">
      <w:pPr>
        <w:rPr>
          <w:sz w:val="20"/>
          <w:szCs w:val="28"/>
        </w:rPr>
      </w:pPr>
    </w:p>
    <w:p w14:paraId="3CC4FE86" w14:textId="77777777" w:rsidR="003A3248" w:rsidRPr="00343631" w:rsidRDefault="00902348" w:rsidP="00902348">
      <w:pPr>
        <w:rPr>
          <w:sz w:val="20"/>
          <w:szCs w:val="20"/>
        </w:rPr>
      </w:pPr>
      <w:r w:rsidRPr="00343631">
        <w:rPr>
          <w:sz w:val="20"/>
          <w:szCs w:val="20"/>
        </w:rPr>
        <w:t>Lazarevs,</w:t>
      </w:r>
      <w:r w:rsidR="009C7F98" w:rsidRPr="00343631">
        <w:rPr>
          <w:sz w:val="20"/>
          <w:szCs w:val="20"/>
        </w:rPr>
        <w:t xml:space="preserve"> 67013035</w:t>
      </w:r>
    </w:p>
    <w:p w14:paraId="6C6534D1" w14:textId="77777777" w:rsidR="00902348" w:rsidRPr="00343631" w:rsidRDefault="00902348">
      <w:r w:rsidRPr="00343631">
        <w:rPr>
          <w:sz w:val="20"/>
          <w:szCs w:val="20"/>
        </w:rPr>
        <w:t>Andris.Lazarevs@em.gov.lv</w:t>
      </w:r>
    </w:p>
    <w:sectPr w:rsidR="00902348" w:rsidRPr="00343631" w:rsidSect="00026CE8">
      <w:headerReference w:type="default" r:id="rId9"/>
      <w:footerReference w:type="default" r:id="rId10"/>
      <w:footerReference w:type="first" r:id="rId11"/>
      <w:pgSz w:w="11906" w:h="16838"/>
      <w:pgMar w:top="1134" w:right="1134"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D696C7" w14:textId="77777777" w:rsidR="00DB2FF7" w:rsidRDefault="00DB2FF7" w:rsidP="00026CE8">
      <w:r>
        <w:separator/>
      </w:r>
    </w:p>
  </w:endnote>
  <w:endnote w:type="continuationSeparator" w:id="0">
    <w:p w14:paraId="225F375D" w14:textId="77777777" w:rsidR="00DB2FF7" w:rsidRDefault="00DB2FF7" w:rsidP="00026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2FAA8" w14:textId="0C9A8663" w:rsidR="00026CE8" w:rsidRPr="00905704" w:rsidRDefault="00CF223A" w:rsidP="00905704">
    <w:pPr>
      <w:jc w:val="both"/>
    </w:pPr>
    <w:r>
      <w:rPr>
        <w:sz w:val="24"/>
      </w:rPr>
      <w:t>EMAnot_</w:t>
    </w:r>
    <w:r w:rsidR="00862568">
      <w:rPr>
        <w:sz w:val="24"/>
      </w:rPr>
      <w:t>1209</w:t>
    </w:r>
    <w:r w:rsidR="00905704" w:rsidRPr="00905704">
      <w:rPr>
        <w:sz w:val="24"/>
      </w:rPr>
      <w:t>17_grozBL-APK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11629" w14:textId="0B0969F5" w:rsidR="000F3A14" w:rsidRPr="00905704" w:rsidRDefault="00CF223A" w:rsidP="000F3A14">
    <w:pPr>
      <w:jc w:val="both"/>
      <w:rPr>
        <w:sz w:val="24"/>
      </w:rPr>
    </w:pPr>
    <w:r>
      <w:rPr>
        <w:sz w:val="24"/>
      </w:rPr>
      <w:t>EMAnot_</w:t>
    </w:r>
    <w:r w:rsidR="00862568">
      <w:rPr>
        <w:sz w:val="24"/>
      </w:rPr>
      <w:t>1209</w:t>
    </w:r>
    <w:r w:rsidR="00905704" w:rsidRPr="00905704">
      <w:rPr>
        <w:sz w:val="24"/>
      </w:rPr>
      <w:t>17_grozBL-APK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E11423" w14:textId="77777777" w:rsidR="00DB2FF7" w:rsidRDefault="00DB2FF7" w:rsidP="00026CE8">
      <w:r>
        <w:separator/>
      </w:r>
    </w:p>
  </w:footnote>
  <w:footnote w:type="continuationSeparator" w:id="0">
    <w:p w14:paraId="5E3708EF" w14:textId="77777777" w:rsidR="00DB2FF7" w:rsidRDefault="00DB2FF7" w:rsidP="00026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035764"/>
      <w:docPartObj>
        <w:docPartGallery w:val="Page Numbers (Top of Page)"/>
        <w:docPartUnique/>
      </w:docPartObj>
    </w:sdtPr>
    <w:sdtEndPr>
      <w:rPr>
        <w:noProof/>
        <w:sz w:val="24"/>
      </w:rPr>
    </w:sdtEndPr>
    <w:sdtContent>
      <w:p w14:paraId="3A452D30" w14:textId="68C148B2" w:rsidR="00026CE8" w:rsidRPr="00026CE8" w:rsidRDefault="00026CE8">
        <w:pPr>
          <w:pStyle w:val="Header"/>
          <w:jc w:val="center"/>
          <w:rPr>
            <w:sz w:val="24"/>
          </w:rPr>
        </w:pPr>
        <w:r w:rsidRPr="00026CE8">
          <w:rPr>
            <w:sz w:val="24"/>
          </w:rPr>
          <w:fldChar w:fldCharType="begin"/>
        </w:r>
        <w:r w:rsidRPr="00026CE8">
          <w:rPr>
            <w:sz w:val="24"/>
          </w:rPr>
          <w:instrText xml:space="preserve"> PAGE   \* MERGEFORMAT </w:instrText>
        </w:r>
        <w:r w:rsidRPr="00026CE8">
          <w:rPr>
            <w:sz w:val="24"/>
          </w:rPr>
          <w:fldChar w:fldCharType="separate"/>
        </w:r>
        <w:r w:rsidR="00E92B15">
          <w:rPr>
            <w:noProof/>
            <w:sz w:val="24"/>
          </w:rPr>
          <w:t>11</w:t>
        </w:r>
        <w:r w:rsidRPr="00026CE8">
          <w:rPr>
            <w:noProof/>
            <w:sz w:val="24"/>
          </w:rPr>
          <w:fldChar w:fldCharType="end"/>
        </w:r>
      </w:p>
    </w:sdtContent>
  </w:sdt>
  <w:p w14:paraId="0AE3531F" w14:textId="77777777" w:rsidR="00026CE8" w:rsidRDefault="00026C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A710B"/>
    <w:multiLevelType w:val="hybridMultilevel"/>
    <w:tmpl w:val="8EFE47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1"/>
  <w:hideSpellingErrors/>
  <w:hideGrammaticalErrors/>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748"/>
    <w:rsid w:val="00001DCF"/>
    <w:rsid w:val="00006B70"/>
    <w:rsid w:val="00026CE8"/>
    <w:rsid w:val="00050901"/>
    <w:rsid w:val="00082470"/>
    <w:rsid w:val="00084BAF"/>
    <w:rsid w:val="000A28E6"/>
    <w:rsid w:val="000A3F2E"/>
    <w:rsid w:val="000B4839"/>
    <w:rsid w:val="000C45EC"/>
    <w:rsid w:val="000D4E9D"/>
    <w:rsid w:val="000E5A82"/>
    <w:rsid w:val="000F3A14"/>
    <w:rsid w:val="001031B0"/>
    <w:rsid w:val="0015603B"/>
    <w:rsid w:val="001A5B0D"/>
    <w:rsid w:val="001B25EA"/>
    <w:rsid w:val="001E0519"/>
    <w:rsid w:val="0020596C"/>
    <w:rsid w:val="0021775D"/>
    <w:rsid w:val="00221A6A"/>
    <w:rsid w:val="00235B08"/>
    <w:rsid w:val="00246BED"/>
    <w:rsid w:val="00253F21"/>
    <w:rsid w:val="0029701E"/>
    <w:rsid w:val="002A1791"/>
    <w:rsid w:val="002B0A4D"/>
    <w:rsid w:val="002E2A9C"/>
    <w:rsid w:val="00302E1F"/>
    <w:rsid w:val="0030620F"/>
    <w:rsid w:val="00324EF5"/>
    <w:rsid w:val="00337E83"/>
    <w:rsid w:val="00343631"/>
    <w:rsid w:val="00364D4E"/>
    <w:rsid w:val="003A3248"/>
    <w:rsid w:val="003C5D73"/>
    <w:rsid w:val="003E6188"/>
    <w:rsid w:val="003E6246"/>
    <w:rsid w:val="003E6E8C"/>
    <w:rsid w:val="003F1C82"/>
    <w:rsid w:val="003F7C9E"/>
    <w:rsid w:val="004050EF"/>
    <w:rsid w:val="00406A31"/>
    <w:rsid w:val="004573D8"/>
    <w:rsid w:val="004D6B5A"/>
    <w:rsid w:val="004D7C26"/>
    <w:rsid w:val="004D7FCB"/>
    <w:rsid w:val="00501937"/>
    <w:rsid w:val="00504775"/>
    <w:rsid w:val="00562907"/>
    <w:rsid w:val="00592C6A"/>
    <w:rsid w:val="005A2CEC"/>
    <w:rsid w:val="005A6E10"/>
    <w:rsid w:val="005C3B29"/>
    <w:rsid w:val="005C5239"/>
    <w:rsid w:val="005F1EE8"/>
    <w:rsid w:val="00610977"/>
    <w:rsid w:val="00635C05"/>
    <w:rsid w:val="00653E7C"/>
    <w:rsid w:val="0067531D"/>
    <w:rsid w:val="00677BA2"/>
    <w:rsid w:val="006823BB"/>
    <w:rsid w:val="00694F58"/>
    <w:rsid w:val="00695619"/>
    <w:rsid w:val="006A1F4E"/>
    <w:rsid w:val="006A560D"/>
    <w:rsid w:val="006A70A8"/>
    <w:rsid w:val="0071038B"/>
    <w:rsid w:val="007636B0"/>
    <w:rsid w:val="00771C79"/>
    <w:rsid w:val="00772DAF"/>
    <w:rsid w:val="007741C6"/>
    <w:rsid w:val="00776B6C"/>
    <w:rsid w:val="00787A43"/>
    <w:rsid w:val="00792586"/>
    <w:rsid w:val="007C2117"/>
    <w:rsid w:val="007D021D"/>
    <w:rsid w:val="007E13C5"/>
    <w:rsid w:val="00806020"/>
    <w:rsid w:val="008123EA"/>
    <w:rsid w:val="00816536"/>
    <w:rsid w:val="00822BB9"/>
    <w:rsid w:val="008511FE"/>
    <w:rsid w:val="00852CFB"/>
    <w:rsid w:val="00854DA0"/>
    <w:rsid w:val="00862568"/>
    <w:rsid w:val="0088020D"/>
    <w:rsid w:val="008A665F"/>
    <w:rsid w:val="008C5635"/>
    <w:rsid w:val="008E3D35"/>
    <w:rsid w:val="008E4806"/>
    <w:rsid w:val="00902348"/>
    <w:rsid w:val="00905704"/>
    <w:rsid w:val="009077A7"/>
    <w:rsid w:val="009124C2"/>
    <w:rsid w:val="00932C12"/>
    <w:rsid w:val="009361B8"/>
    <w:rsid w:val="00954B04"/>
    <w:rsid w:val="00992EF6"/>
    <w:rsid w:val="00997B82"/>
    <w:rsid w:val="009C7F98"/>
    <w:rsid w:val="009E1E25"/>
    <w:rsid w:val="00A05C38"/>
    <w:rsid w:val="00A10748"/>
    <w:rsid w:val="00A170FD"/>
    <w:rsid w:val="00A33DB5"/>
    <w:rsid w:val="00A551F1"/>
    <w:rsid w:val="00A66C67"/>
    <w:rsid w:val="00A7081A"/>
    <w:rsid w:val="00AA23BE"/>
    <w:rsid w:val="00AB1B1D"/>
    <w:rsid w:val="00AB5F4F"/>
    <w:rsid w:val="00AE694A"/>
    <w:rsid w:val="00B01D17"/>
    <w:rsid w:val="00B07DE5"/>
    <w:rsid w:val="00B23C5A"/>
    <w:rsid w:val="00B45CB5"/>
    <w:rsid w:val="00B554A9"/>
    <w:rsid w:val="00B63706"/>
    <w:rsid w:val="00B83BF8"/>
    <w:rsid w:val="00B85047"/>
    <w:rsid w:val="00B94E2C"/>
    <w:rsid w:val="00BB25F7"/>
    <w:rsid w:val="00BC68D2"/>
    <w:rsid w:val="00BD3A21"/>
    <w:rsid w:val="00BF044E"/>
    <w:rsid w:val="00C20BBE"/>
    <w:rsid w:val="00C234A9"/>
    <w:rsid w:val="00C454A0"/>
    <w:rsid w:val="00C554EB"/>
    <w:rsid w:val="00C61736"/>
    <w:rsid w:val="00C92914"/>
    <w:rsid w:val="00C946F1"/>
    <w:rsid w:val="00CD3703"/>
    <w:rsid w:val="00CF223A"/>
    <w:rsid w:val="00D023D2"/>
    <w:rsid w:val="00D11C52"/>
    <w:rsid w:val="00D204BD"/>
    <w:rsid w:val="00D91A59"/>
    <w:rsid w:val="00DB2FF7"/>
    <w:rsid w:val="00DB409E"/>
    <w:rsid w:val="00DC7298"/>
    <w:rsid w:val="00DD04A1"/>
    <w:rsid w:val="00DD141D"/>
    <w:rsid w:val="00DD395C"/>
    <w:rsid w:val="00DF0E60"/>
    <w:rsid w:val="00E208AF"/>
    <w:rsid w:val="00E21DEE"/>
    <w:rsid w:val="00E5619D"/>
    <w:rsid w:val="00E62CF8"/>
    <w:rsid w:val="00E819B1"/>
    <w:rsid w:val="00E92B15"/>
    <w:rsid w:val="00EC6CA5"/>
    <w:rsid w:val="00EC70B3"/>
    <w:rsid w:val="00EE1393"/>
    <w:rsid w:val="00F122D7"/>
    <w:rsid w:val="00F24CC4"/>
    <w:rsid w:val="00F338AE"/>
    <w:rsid w:val="00F61524"/>
    <w:rsid w:val="00F6252F"/>
    <w:rsid w:val="00F870F1"/>
    <w:rsid w:val="00FA0175"/>
    <w:rsid w:val="00FD7ADE"/>
    <w:rsid w:val="00FE3169"/>
    <w:rsid w:val="00FF11E7"/>
    <w:rsid w:val="00FF1D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5E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348"/>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902348"/>
    <w:pPr>
      <w:spacing w:before="100" w:beforeAutospacing="1" w:after="100" w:afterAutospacing="1"/>
    </w:pPr>
    <w:rPr>
      <w:rFonts w:eastAsia="Times New Roman" w:cs="Times New Roman"/>
      <w:sz w:val="24"/>
      <w:szCs w:val="24"/>
      <w:lang w:eastAsia="lv-LV"/>
    </w:rPr>
  </w:style>
  <w:style w:type="character" w:customStyle="1" w:styleId="apple-converted-space">
    <w:name w:val="apple-converted-space"/>
    <w:basedOn w:val="DefaultParagraphFont"/>
    <w:rsid w:val="00902348"/>
  </w:style>
  <w:style w:type="character" w:styleId="Hyperlink">
    <w:name w:val="Hyperlink"/>
    <w:basedOn w:val="DefaultParagraphFont"/>
    <w:uiPriority w:val="99"/>
    <w:semiHidden/>
    <w:unhideWhenUsed/>
    <w:rsid w:val="00902348"/>
    <w:rPr>
      <w:color w:val="0000FF"/>
      <w:u w:val="single"/>
    </w:rPr>
  </w:style>
  <w:style w:type="paragraph" w:customStyle="1" w:styleId="tvhtml">
    <w:name w:val="tv_html"/>
    <w:basedOn w:val="Normal"/>
    <w:rsid w:val="00902348"/>
    <w:pPr>
      <w:spacing w:before="100" w:beforeAutospacing="1" w:after="100" w:afterAutospacing="1"/>
    </w:pPr>
    <w:rPr>
      <w:rFonts w:eastAsia="Times New Roman" w:cs="Times New Roman"/>
      <w:sz w:val="24"/>
      <w:szCs w:val="24"/>
      <w:lang w:eastAsia="lv-LV"/>
    </w:rPr>
  </w:style>
  <w:style w:type="paragraph" w:styleId="ListParagraph">
    <w:name w:val="List Paragraph"/>
    <w:basedOn w:val="Normal"/>
    <w:uiPriority w:val="34"/>
    <w:qFormat/>
    <w:rsid w:val="00BB25F7"/>
    <w:pPr>
      <w:ind w:left="720"/>
      <w:contextualSpacing/>
    </w:pPr>
  </w:style>
  <w:style w:type="paragraph" w:styleId="BalloonText">
    <w:name w:val="Balloon Text"/>
    <w:basedOn w:val="Normal"/>
    <w:link w:val="BalloonTextChar"/>
    <w:uiPriority w:val="99"/>
    <w:semiHidden/>
    <w:unhideWhenUsed/>
    <w:rsid w:val="00653E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E7C"/>
    <w:rPr>
      <w:rFonts w:ascii="Segoe UI" w:hAnsi="Segoe UI" w:cs="Segoe UI"/>
      <w:sz w:val="18"/>
      <w:szCs w:val="18"/>
    </w:rPr>
  </w:style>
  <w:style w:type="character" w:styleId="CommentReference">
    <w:name w:val="annotation reference"/>
    <w:basedOn w:val="DefaultParagraphFont"/>
    <w:uiPriority w:val="99"/>
    <w:semiHidden/>
    <w:unhideWhenUsed/>
    <w:rsid w:val="00C20BBE"/>
    <w:rPr>
      <w:sz w:val="16"/>
      <w:szCs w:val="16"/>
    </w:rPr>
  </w:style>
  <w:style w:type="paragraph" w:styleId="CommentText">
    <w:name w:val="annotation text"/>
    <w:basedOn w:val="Normal"/>
    <w:link w:val="CommentTextChar"/>
    <w:uiPriority w:val="99"/>
    <w:semiHidden/>
    <w:unhideWhenUsed/>
    <w:rsid w:val="00C20BBE"/>
    <w:rPr>
      <w:sz w:val="20"/>
      <w:szCs w:val="20"/>
    </w:rPr>
  </w:style>
  <w:style w:type="character" w:customStyle="1" w:styleId="CommentTextChar">
    <w:name w:val="Comment Text Char"/>
    <w:basedOn w:val="DefaultParagraphFont"/>
    <w:link w:val="CommentText"/>
    <w:uiPriority w:val="99"/>
    <w:semiHidden/>
    <w:rsid w:val="00C20BB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20BBE"/>
    <w:rPr>
      <w:b/>
      <w:bCs/>
    </w:rPr>
  </w:style>
  <w:style w:type="character" w:customStyle="1" w:styleId="CommentSubjectChar">
    <w:name w:val="Comment Subject Char"/>
    <w:basedOn w:val="CommentTextChar"/>
    <w:link w:val="CommentSubject"/>
    <w:uiPriority w:val="99"/>
    <w:semiHidden/>
    <w:rsid w:val="00C20BBE"/>
    <w:rPr>
      <w:rFonts w:ascii="Times New Roman" w:hAnsi="Times New Roman"/>
      <w:b/>
      <w:bCs/>
      <w:sz w:val="20"/>
      <w:szCs w:val="20"/>
    </w:rPr>
  </w:style>
  <w:style w:type="paragraph" w:styleId="Header">
    <w:name w:val="header"/>
    <w:basedOn w:val="Normal"/>
    <w:link w:val="HeaderChar"/>
    <w:uiPriority w:val="99"/>
    <w:unhideWhenUsed/>
    <w:rsid w:val="00026CE8"/>
    <w:pPr>
      <w:tabs>
        <w:tab w:val="center" w:pos="4153"/>
        <w:tab w:val="right" w:pos="8306"/>
      </w:tabs>
    </w:pPr>
  </w:style>
  <w:style w:type="character" w:customStyle="1" w:styleId="HeaderChar">
    <w:name w:val="Header Char"/>
    <w:basedOn w:val="DefaultParagraphFont"/>
    <w:link w:val="Header"/>
    <w:uiPriority w:val="99"/>
    <w:rsid w:val="00026CE8"/>
    <w:rPr>
      <w:rFonts w:ascii="Times New Roman" w:hAnsi="Times New Roman"/>
      <w:sz w:val="28"/>
    </w:rPr>
  </w:style>
  <w:style w:type="paragraph" w:styleId="Footer">
    <w:name w:val="footer"/>
    <w:basedOn w:val="Normal"/>
    <w:link w:val="FooterChar"/>
    <w:uiPriority w:val="99"/>
    <w:unhideWhenUsed/>
    <w:rsid w:val="00026CE8"/>
    <w:pPr>
      <w:tabs>
        <w:tab w:val="center" w:pos="4153"/>
        <w:tab w:val="right" w:pos="8306"/>
      </w:tabs>
    </w:pPr>
  </w:style>
  <w:style w:type="character" w:customStyle="1" w:styleId="FooterChar">
    <w:name w:val="Footer Char"/>
    <w:basedOn w:val="DefaultParagraphFont"/>
    <w:link w:val="Footer"/>
    <w:uiPriority w:val="99"/>
    <w:rsid w:val="00026CE8"/>
    <w:rPr>
      <w:rFonts w:ascii="Times New Roman" w:hAnsi="Times New Roman"/>
      <w:sz w:val="28"/>
    </w:rPr>
  </w:style>
  <w:style w:type="table" w:styleId="TableGrid">
    <w:name w:val="Table Grid"/>
    <w:basedOn w:val="TableNormal"/>
    <w:uiPriority w:val="39"/>
    <w:rsid w:val="00EE1393"/>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348"/>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902348"/>
    <w:pPr>
      <w:spacing w:before="100" w:beforeAutospacing="1" w:after="100" w:afterAutospacing="1"/>
    </w:pPr>
    <w:rPr>
      <w:rFonts w:eastAsia="Times New Roman" w:cs="Times New Roman"/>
      <w:sz w:val="24"/>
      <w:szCs w:val="24"/>
      <w:lang w:eastAsia="lv-LV"/>
    </w:rPr>
  </w:style>
  <w:style w:type="character" w:customStyle="1" w:styleId="apple-converted-space">
    <w:name w:val="apple-converted-space"/>
    <w:basedOn w:val="DefaultParagraphFont"/>
    <w:rsid w:val="00902348"/>
  </w:style>
  <w:style w:type="character" w:styleId="Hyperlink">
    <w:name w:val="Hyperlink"/>
    <w:basedOn w:val="DefaultParagraphFont"/>
    <w:uiPriority w:val="99"/>
    <w:semiHidden/>
    <w:unhideWhenUsed/>
    <w:rsid w:val="00902348"/>
    <w:rPr>
      <w:color w:val="0000FF"/>
      <w:u w:val="single"/>
    </w:rPr>
  </w:style>
  <w:style w:type="paragraph" w:customStyle="1" w:styleId="tvhtml">
    <w:name w:val="tv_html"/>
    <w:basedOn w:val="Normal"/>
    <w:rsid w:val="00902348"/>
    <w:pPr>
      <w:spacing w:before="100" w:beforeAutospacing="1" w:after="100" w:afterAutospacing="1"/>
    </w:pPr>
    <w:rPr>
      <w:rFonts w:eastAsia="Times New Roman" w:cs="Times New Roman"/>
      <w:sz w:val="24"/>
      <w:szCs w:val="24"/>
      <w:lang w:eastAsia="lv-LV"/>
    </w:rPr>
  </w:style>
  <w:style w:type="paragraph" w:styleId="ListParagraph">
    <w:name w:val="List Paragraph"/>
    <w:basedOn w:val="Normal"/>
    <w:uiPriority w:val="34"/>
    <w:qFormat/>
    <w:rsid w:val="00BB25F7"/>
    <w:pPr>
      <w:ind w:left="720"/>
      <w:contextualSpacing/>
    </w:pPr>
  </w:style>
  <w:style w:type="paragraph" w:styleId="BalloonText">
    <w:name w:val="Balloon Text"/>
    <w:basedOn w:val="Normal"/>
    <w:link w:val="BalloonTextChar"/>
    <w:uiPriority w:val="99"/>
    <w:semiHidden/>
    <w:unhideWhenUsed/>
    <w:rsid w:val="00653E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E7C"/>
    <w:rPr>
      <w:rFonts w:ascii="Segoe UI" w:hAnsi="Segoe UI" w:cs="Segoe UI"/>
      <w:sz w:val="18"/>
      <w:szCs w:val="18"/>
    </w:rPr>
  </w:style>
  <w:style w:type="character" w:styleId="CommentReference">
    <w:name w:val="annotation reference"/>
    <w:basedOn w:val="DefaultParagraphFont"/>
    <w:uiPriority w:val="99"/>
    <w:semiHidden/>
    <w:unhideWhenUsed/>
    <w:rsid w:val="00C20BBE"/>
    <w:rPr>
      <w:sz w:val="16"/>
      <w:szCs w:val="16"/>
    </w:rPr>
  </w:style>
  <w:style w:type="paragraph" w:styleId="CommentText">
    <w:name w:val="annotation text"/>
    <w:basedOn w:val="Normal"/>
    <w:link w:val="CommentTextChar"/>
    <w:uiPriority w:val="99"/>
    <w:semiHidden/>
    <w:unhideWhenUsed/>
    <w:rsid w:val="00C20BBE"/>
    <w:rPr>
      <w:sz w:val="20"/>
      <w:szCs w:val="20"/>
    </w:rPr>
  </w:style>
  <w:style w:type="character" w:customStyle="1" w:styleId="CommentTextChar">
    <w:name w:val="Comment Text Char"/>
    <w:basedOn w:val="DefaultParagraphFont"/>
    <w:link w:val="CommentText"/>
    <w:uiPriority w:val="99"/>
    <w:semiHidden/>
    <w:rsid w:val="00C20BB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20BBE"/>
    <w:rPr>
      <w:b/>
      <w:bCs/>
    </w:rPr>
  </w:style>
  <w:style w:type="character" w:customStyle="1" w:styleId="CommentSubjectChar">
    <w:name w:val="Comment Subject Char"/>
    <w:basedOn w:val="CommentTextChar"/>
    <w:link w:val="CommentSubject"/>
    <w:uiPriority w:val="99"/>
    <w:semiHidden/>
    <w:rsid w:val="00C20BBE"/>
    <w:rPr>
      <w:rFonts w:ascii="Times New Roman" w:hAnsi="Times New Roman"/>
      <w:b/>
      <w:bCs/>
      <w:sz w:val="20"/>
      <w:szCs w:val="20"/>
    </w:rPr>
  </w:style>
  <w:style w:type="paragraph" w:styleId="Header">
    <w:name w:val="header"/>
    <w:basedOn w:val="Normal"/>
    <w:link w:val="HeaderChar"/>
    <w:uiPriority w:val="99"/>
    <w:unhideWhenUsed/>
    <w:rsid w:val="00026CE8"/>
    <w:pPr>
      <w:tabs>
        <w:tab w:val="center" w:pos="4153"/>
        <w:tab w:val="right" w:pos="8306"/>
      </w:tabs>
    </w:pPr>
  </w:style>
  <w:style w:type="character" w:customStyle="1" w:styleId="HeaderChar">
    <w:name w:val="Header Char"/>
    <w:basedOn w:val="DefaultParagraphFont"/>
    <w:link w:val="Header"/>
    <w:uiPriority w:val="99"/>
    <w:rsid w:val="00026CE8"/>
    <w:rPr>
      <w:rFonts w:ascii="Times New Roman" w:hAnsi="Times New Roman"/>
      <w:sz w:val="28"/>
    </w:rPr>
  </w:style>
  <w:style w:type="paragraph" w:styleId="Footer">
    <w:name w:val="footer"/>
    <w:basedOn w:val="Normal"/>
    <w:link w:val="FooterChar"/>
    <w:uiPriority w:val="99"/>
    <w:unhideWhenUsed/>
    <w:rsid w:val="00026CE8"/>
    <w:pPr>
      <w:tabs>
        <w:tab w:val="center" w:pos="4153"/>
        <w:tab w:val="right" w:pos="8306"/>
      </w:tabs>
    </w:pPr>
  </w:style>
  <w:style w:type="character" w:customStyle="1" w:styleId="FooterChar">
    <w:name w:val="Footer Char"/>
    <w:basedOn w:val="DefaultParagraphFont"/>
    <w:link w:val="Footer"/>
    <w:uiPriority w:val="99"/>
    <w:rsid w:val="00026CE8"/>
    <w:rPr>
      <w:rFonts w:ascii="Times New Roman" w:hAnsi="Times New Roman"/>
      <w:sz w:val="28"/>
    </w:rPr>
  </w:style>
  <w:style w:type="table" w:styleId="TableGrid">
    <w:name w:val="Table Grid"/>
    <w:basedOn w:val="TableNormal"/>
    <w:uiPriority w:val="39"/>
    <w:rsid w:val="00EE1393"/>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045044">
      <w:bodyDiv w:val="1"/>
      <w:marLeft w:val="0"/>
      <w:marRight w:val="0"/>
      <w:marTop w:val="0"/>
      <w:marBottom w:val="0"/>
      <w:divBdr>
        <w:top w:val="none" w:sz="0" w:space="0" w:color="auto"/>
        <w:left w:val="none" w:sz="0" w:space="0" w:color="auto"/>
        <w:bottom w:val="none" w:sz="0" w:space="0" w:color="auto"/>
        <w:right w:val="none" w:sz="0" w:space="0" w:color="auto"/>
      </w:divBdr>
    </w:div>
    <w:div w:id="1330132104">
      <w:bodyDiv w:val="1"/>
      <w:marLeft w:val="0"/>
      <w:marRight w:val="0"/>
      <w:marTop w:val="0"/>
      <w:marBottom w:val="0"/>
      <w:divBdr>
        <w:top w:val="none" w:sz="0" w:space="0" w:color="auto"/>
        <w:left w:val="none" w:sz="0" w:space="0" w:color="auto"/>
        <w:bottom w:val="none" w:sz="0" w:space="0" w:color="auto"/>
        <w:right w:val="none" w:sz="0" w:space="0" w:color="auto"/>
      </w:divBdr>
      <w:divsChild>
        <w:div w:id="814295571">
          <w:marLeft w:val="0"/>
          <w:marRight w:val="0"/>
          <w:marTop w:val="400"/>
          <w:marBottom w:val="0"/>
          <w:divBdr>
            <w:top w:val="none" w:sz="0" w:space="0" w:color="auto"/>
            <w:left w:val="none" w:sz="0" w:space="0" w:color="auto"/>
            <w:bottom w:val="none" w:sz="0" w:space="0" w:color="auto"/>
            <w:right w:val="none" w:sz="0" w:space="0" w:color="auto"/>
          </w:divBdr>
        </w:div>
        <w:div w:id="1033773587">
          <w:marLeft w:val="0"/>
          <w:marRight w:val="0"/>
          <w:marTop w:val="240"/>
          <w:marBottom w:val="0"/>
          <w:divBdr>
            <w:top w:val="none" w:sz="0" w:space="0" w:color="auto"/>
            <w:left w:val="none" w:sz="0" w:space="0" w:color="auto"/>
            <w:bottom w:val="none" w:sz="0" w:space="0" w:color="auto"/>
            <w:right w:val="none" w:sz="0" w:space="0" w:color="auto"/>
          </w:divBdr>
        </w:div>
      </w:divsChild>
    </w:div>
    <w:div w:id="145571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CC9A6-D03B-4351-B290-EFA0462C1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12908</Words>
  <Characters>7359</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20227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 Lazarevs</dc:creator>
  <cp:lastModifiedBy>Jekaterina Borovika</cp:lastModifiedBy>
  <cp:revision>2</cp:revision>
  <cp:lastPrinted>2017-08-14T05:59:00Z</cp:lastPrinted>
  <dcterms:created xsi:type="dcterms:W3CDTF">2017-09-19T11:15:00Z</dcterms:created>
  <dcterms:modified xsi:type="dcterms:W3CDTF">2017-09-19T11:15:00Z</dcterms:modified>
</cp:coreProperties>
</file>