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D93C" w14:textId="64B3CB0F" w:rsidR="005F02E7" w:rsidRPr="000840A6" w:rsidRDefault="008E38BC" w:rsidP="0092782F">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E16EF0" w:rsidRPr="00E16EF0">
        <w:rPr>
          <w:b/>
          <w:sz w:val="28"/>
          <w:szCs w:val="28"/>
        </w:rPr>
        <w:t>Grozījumi likumā “Par valsts un pašvaldību dzīvojamo māju privatizāciju”</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14:paraId="47AC9387" w14:textId="77777777" w:rsidTr="00E2648C">
        <w:tc>
          <w:tcPr>
            <w:tcW w:w="9725" w:type="dxa"/>
            <w:gridSpan w:val="3"/>
            <w:vAlign w:val="center"/>
          </w:tcPr>
          <w:p w14:paraId="4DBF870B"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66AF5836" w14:textId="77777777" w:rsidTr="00ED386F">
        <w:trPr>
          <w:trHeight w:val="630"/>
        </w:trPr>
        <w:tc>
          <w:tcPr>
            <w:tcW w:w="550" w:type="dxa"/>
          </w:tcPr>
          <w:p w14:paraId="42A4766A" w14:textId="77777777" w:rsidR="00F6571B" w:rsidRPr="0093291B" w:rsidRDefault="00F6571B" w:rsidP="00E2648C">
            <w:pPr>
              <w:pStyle w:val="naiskr"/>
              <w:spacing w:before="0" w:after="0"/>
              <w:rPr>
                <w:sz w:val="28"/>
                <w:szCs w:val="28"/>
              </w:rPr>
            </w:pPr>
            <w:r w:rsidRPr="0093291B">
              <w:rPr>
                <w:sz w:val="28"/>
                <w:szCs w:val="28"/>
              </w:rPr>
              <w:t>1.</w:t>
            </w:r>
          </w:p>
        </w:tc>
        <w:tc>
          <w:tcPr>
            <w:tcW w:w="3991" w:type="dxa"/>
          </w:tcPr>
          <w:p w14:paraId="3A5F8837" w14:textId="77777777"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shd w:val="clear" w:color="auto" w:fill="auto"/>
          </w:tcPr>
          <w:p w14:paraId="7DF9794C" w14:textId="43B5B068" w:rsidR="00F6571B" w:rsidRPr="009852C6" w:rsidRDefault="009852C6" w:rsidP="00F143AD">
            <w:pPr>
              <w:spacing w:after="120"/>
              <w:ind w:left="142" w:right="81"/>
              <w:jc w:val="both"/>
              <w:rPr>
                <w:sz w:val="28"/>
                <w:szCs w:val="28"/>
              </w:rPr>
            </w:pPr>
            <w:r w:rsidRPr="00ED386F">
              <w:rPr>
                <w:sz w:val="28"/>
                <w:szCs w:val="28"/>
              </w:rPr>
              <w:t>Likumprojekts</w:t>
            </w:r>
            <w:r w:rsidR="00C90B15">
              <w:rPr>
                <w:sz w:val="28"/>
                <w:szCs w:val="28"/>
              </w:rPr>
              <w:t xml:space="preserve"> “</w:t>
            </w:r>
            <w:r w:rsidR="00E16EF0" w:rsidRPr="00E16EF0">
              <w:rPr>
                <w:sz w:val="28"/>
                <w:szCs w:val="28"/>
              </w:rPr>
              <w:t>Grozījumi likumā “Par valsts un pašvaldību dzīvojamo māju privatizāciju”</w:t>
            </w:r>
            <w:r w:rsidR="00C90B15">
              <w:rPr>
                <w:sz w:val="28"/>
                <w:szCs w:val="28"/>
              </w:rPr>
              <w:t>” (turpmāk – Likumprojekts)</w:t>
            </w:r>
            <w:r w:rsidRPr="00ED386F">
              <w:rPr>
                <w:sz w:val="28"/>
                <w:szCs w:val="28"/>
              </w:rPr>
              <w:t xml:space="preserve"> ir sagatavots</w:t>
            </w:r>
            <w:r w:rsidR="00F16FD2" w:rsidRPr="00ED386F">
              <w:rPr>
                <w:sz w:val="28"/>
                <w:szCs w:val="28"/>
              </w:rPr>
              <w:t>, izpildo</w:t>
            </w:r>
            <w:r w:rsidR="00F16FD2" w:rsidRPr="00C90B15">
              <w:rPr>
                <w:sz w:val="28"/>
                <w:szCs w:val="28"/>
              </w:rPr>
              <w:t xml:space="preserve">t </w:t>
            </w:r>
            <w:r w:rsidR="00ED386F" w:rsidRPr="00ED386F">
              <w:rPr>
                <w:sz w:val="28"/>
                <w:szCs w:val="28"/>
              </w:rPr>
              <w:t xml:space="preserve">Ministru kabineta 2017.gada </w:t>
            </w:r>
            <w:r w:rsidR="000D652E">
              <w:rPr>
                <w:sz w:val="28"/>
                <w:szCs w:val="28"/>
              </w:rPr>
              <w:t>6.jūnija sēdē (prot.29 68.§, 7.</w:t>
            </w:r>
            <w:r w:rsidR="00E16EF0">
              <w:rPr>
                <w:sz w:val="28"/>
                <w:szCs w:val="28"/>
              </w:rPr>
              <w:t>5</w:t>
            </w:r>
            <w:r w:rsidR="00ED386F" w:rsidRPr="00ED386F">
              <w:rPr>
                <w:sz w:val="28"/>
                <w:szCs w:val="28"/>
              </w:rPr>
              <w:t>.apakšpunkts) doto uzdevumu.</w:t>
            </w:r>
          </w:p>
        </w:tc>
      </w:tr>
      <w:tr w:rsidR="00F6571B" w:rsidRPr="0093291B" w14:paraId="4A93ADFA" w14:textId="77777777" w:rsidTr="005A2806">
        <w:trPr>
          <w:trHeight w:val="472"/>
        </w:trPr>
        <w:tc>
          <w:tcPr>
            <w:tcW w:w="550" w:type="dxa"/>
          </w:tcPr>
          <w:p w14:paraId="6FD7F657" w14:textId="77777777" w:rsidR="00F6571B" w:rsidRPr="0093291B" w:rsidRDefault="00F6571B" w:rsidP="00E2648C">
            <w:pPr>
              <w:pStyle w:val="naiskr"/>
              <w:spacing w:before="0" w:after="0"/>
              <w:rPr>
                <w:sz w:val="28"/>
                <w:szCs w:val="28"/>
              </w:rPr>
            </w:pPr>
            <w:r w:rsidRPr="0093291B">
              <w:rPr>
                <w:sz w:val="28"/>
                <w:szCs w:val="28"/>
              </w:rPr>
              <w:t>2.</w:t>
            </w:r>
          </w:p>
        </w:tc>
        <w:tc>
          <w:tcPr>
            <w:tcW w:w="3991" w:type="dxa"/>
          </w:tcPr>
          <w:p w14:paraId="4B1268EE" w14:textId="77777777"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14:paraId="1C506015" w14:textId="77022AB0" w:rsidR="00ED386F" w:rsidRDefault="00ED386F" w:rsidP="00160D2E">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protokollēmums)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14:paraId="4565EBE5" w14:textId="59E9EFBF" w:rsidR="00051E0D" w:rsidRPr="00051E0D" w:rsidRDefault="00B63E40" w:rsidP="00051E0D">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852692">
              <w:rPr>
                <w:sz w:val="28"/>
                <w:szCs w:val="28"/>
              </w:rPr>
              <w:t>Vienlaikus</w:t>
            </w:r>
            <w:r w:rsidR="0085049F">
              <w:rPr>
                <w:sz w:val="28"/>
                <w:szCs w:val="28"/>
              </w:rPr>
              <w:t xml:space="preserve"> j</w:t>
            </w:r>
            <w:r w:rsidR="0085049F" w:rsidRPr="0085049F">
              <w:rPr>
                <w:sz w:val="28"/>
                <w:szCs w:val="28"/>
              </w:rPr>
              <w:t xml:space="preserve">āņem vērā, ka nākotnē var būt situācijas, kurās nepieciešami līdzīgi grozījumi </w:t>
            </w:r>
            <w:r w:rsidR="004B366F">
              <w:t xml:space="preserve"> </w:t>
            </w:r>
            <w:r w:rsidR="004B366F" w:rsidRPr="004B366F">
              <w:rPr>
                <w:sz w:val="28"/>
                <w:szCs w:val="28"/>
              </w:rPr>
              <w:t>likumā “Par valsts un pašvaldību dzīvojamo māju privatizāciju”</w:t>
            </w:r>
            <w:r w:rsidR="001939E0">
              <w:rPr>
                <w:sz w:val="28"/>
                <w:szCs w:val="28"/>
              </w:rPr>
              <w:t xml:space="preserve"> (turpmāk – Likums)</w:t>
            </w:r>
            <w:r w:rsidR="0085049F" w:rsidRPr="004B366F">
              <w:rPr>
                <w:sz w:val="28"/>
                <w:szCs w:val="28"/>
              </w:rPr>
              <w:t xml:space="preserve">, </w:t>
            </w:r>
            <w:r w:rsidR="0085049F" w:rsidRPr="0085049F">
              <w:rPr>
                <w:sz w:val="28"/>
                <w:szCs w:val="28"/>
              </w:rPr>
              <w:t xml:space="preserve">piemēram, atkārtoti var tikt mainīta Privatizācijas aģentūras firma vai </w:t>
            </w:r>
            <w:r w:rsidR="0085049F" w:rsidRPr="0085049F">
              <w:rPr>
                <w:sz w:val="28"/>
                <w:szCs w:val="28"/>
              </w:rPr>
              <w:lastRenderedPageBreak/>
              <w:t>valsts pārvaldes uzdevums var tikt deleģēts citai institūcijai. La</w:t>
            </w:r>
            <w:r w:rsidR="00DA182E">
              <w:rPr>
                <w:sz w:val="28"/>
                <w:szCs w:val="28"/>
              </w:rPr>
              <w:t xml:space="preserve">i izvairītos no normatīvisma,  </w:t>
            </w:r>
            <w:r w:rsidR="00962D4E">
              <w:t xml:space="preserve"> </w:t>
            </w:r>
            <w:r w:rsidR="001939E0">
              <w:rPr>
                <w:sz w:val="28"/>
                <w:szCs w:val="28"/>
              </w:rPr>
              <w:t xml:space="preserve">Likumā </w:t>
            </w:r>
            <w:r w:rsidR="0085049F" w:rsidRPr="00C47EAC">
              <w:rPr>
                <w:sz w:val="28"/>
                <w:szCs w:val="28"/>
              </w:rPr>
              <w:t xml:space="preserve">jāietver vispārēja atsauce </w:t>
            </w:r>
            <w:r w:rsidR="00DA182E" w:rsidRPr="00C47EAC">
              <w:t xml:space="preserve"> </w:t>
            </w:r>
            <w:r w:rsidR="00DA182E" w:rsidRPr="00C47EAC">
              <w:rPr>
                <w:sz w:val="28"/>
                <w:szCs w:val="28"/>
              </w:rPr>
              <w:t xml:space="preserve">uz valsts </w:t>
            </w:r>
            <w:r w:rsidR="00C47EAC" w:rsidRPr="00C47EAC">
              <w:rPr>
                <w:sz w:val="28"/>
                <w:szCs w:val="28"/>
              </w:rPr>
              <w:t>dzīvojamo māju</w:t>
            </w:r>
            <w:r w:rsidR="00DA182E" w:rsidRPr="00C47EAC">
              <w:rPr>
                <w:sz w:val="28"/>
                <w:szCs w:val="28"/>
              </w:rPr>
              <w:t xml:space="preserve"> privatizāciju veicošo </w:t>
            </w:r>
            <w:r w:rsidR="00DA182E" w:rsidRPr="00051E0D">
              <w:rPr>
                <w:sz w:val="28"/>
                <w:szCs w:val="28"/>
              </w:rPr>
              <w:t xml:space="preserve">institūciju, </w:t>
            </w:r>
            <w:r w:rsidR="00051E0D" w:rsidRPr="00051E0D">
              <w:rPr>
                <w:sz w:val="28"/>
                <w:szCs w:val="28"/>
              </w:rPr>
              <w:t>nenosakot konkrētu institūciju.</w:t>
            </w:r>
          </w:p>
          <w:p w14:paraId="5295340C" w14:textId="491A48D2" w:rsidR="00C47EAC" w:rsidRDefault="00051E0D" w:rsidP="005448B6">
            <w:pPr>
              <w:spacing w:before="120"/>
              <w:ind w:left="142" w:right="81" w:firstLine="578"/>
              <w:jc w:val="both"/>
              <w:rPr>
                <w:sz w:val="28"/>
                <w:szCs w:val="28"/>
              </w:rPr>
            </w:pPr>
            <w:r w:rsidRPr="00051E0D">
              <w:rPr>
                <w:sz w:val="28"/>
                <w:szCs w:val="28"/>
              </w:rPr>
              <w:t xml:space="preserve">Privatizācijas aģentūra no 2009.gada 1.jūlija veic ar Ministru kabineta 2009.gada 29.maija rīkojumu Nr.353 “Par Būvniecības, enerģētikas un mājokļu valsts aģentūras likvidāciju” nodotās saskaņā ar </w:t>
            </w:r>
            <w:r w:rsidR="001939E0">
              <w:rPr>
                <w:sz w:val="28"/>
                <w:szCs w:val="28"/>
              </w:rPr>
              <w:t xml:space="preserve">Likumu </w:t>
            </w:r>
            <w:r w:rsidRPr="00051E0D">
              <w:rPr>
                <w:sz w:val="28"/>
                <w:szCs w:val="28"/>
              </w:rPr>
              <w:t>veicamās valsts īpašumā esošo un valstij piekritīgo dzīvojamo māju (dzīvokļu īpašumu) privatizācijas un pārvaldīšanas funkcijas. Līdz ar to jāparedz</w:t>
            </w:r>
            <w:r w:rsidR="00C47EAC" w:rsidRPr="00051E0D">
              <w:rPr>
                <w:sz w:val="28"/>
                <w:szCs w:val="28"/>
              </w:rPr>
              <w:t>, ka valsts dzīvojamo māju privatizāciju veicošās institūcijas  uzdevumus pilda Privatizācijas aģentūra līdz brīdim, kad Ministru kabinets pieņem lēmumu par valsts dzīvojamo māju privatizāciju veicošo institūciju.</w:t>
            </w:r>
          </w:p>
          <w:p w14:paraId="008E0273" w14:textId="77777777" w:rsidR="001939E0" w:rsidRDefault="001939E0" w:rsidP="001939E0">
            <w:pPr>
              <w:spacing w:before="360"/>
              <w:ind w:left="142" w:right="79" w:firstLine="578"/>
              <w:jc w:val="both"/>
              <w:rPr>
                <w:sz w:val="28"/>
                <w:szCs w:val="28"/>
              </w:rPr>
            </w:pPr>
            <w:r w:rsidRPr="006F2EC1">
              <w:rPr>
                <w:sz w:val="28"/>
                <w:szCs w:val="28"/>
              </w:rPr>
              <w:t>Likuma izpratnē</w:t>
            </w:r>
            <w:r w:rsidRPr="001939E0">
              <w:rPr>
                <w:sz w:val="28"/>
                <w:szCs w:val="28"/>
              </w:rPr>
              <w:t xml:space="preserve"> privatizācijas objekts ir dzīvojamā māja un tajā esošie dzīvokļi, neapdzīvojamās telpas un mākslinieku darbnīcas kopā ar piekrītošajām kopīpašuma domājamām daļām no dzīvojamās mājas, palīgēkām un zemes (turpmāk – privatizācijas objekts).</w:t>
            </w:r>
            <w:r>
              <w:rPr>
                <w:sz w:val="28"/>
                <w:szCs w:val="28"/>
              </w:rPr>
              <w:t xml:space="preserve"> </w:t>
            </w:r>
            <w:r w:rsidR="00F37691">
              <w:rPr>
                <w:sz w:val="28"/>
                <w:szCs w:val="28"/>
              </w:rPr>
              <w:t>Atbilstoši I</w:t>
            </w:r>
            <w:r w:rsidR="00C55809">
              <w:rPr>
                <w:sz w:val="28"/>
                <w:szCs w:val="28"/>
              </w:rPr>
              <w:t>nform</w:t>
            </w:r>
            <w:r w:rsidR="000D652E">
              <w:rPr>
                <w:sz w:val="28"/>
                <w:szCs w:val="28"/>
              </w:rPr>
              <w:t>atīvā ziņojuma 5.3</w:t>
            </w:r>
            <w:r w:rsidR="00946188">
              <w:rPr>
                <w:sz w:val="28"/>
                <w:szCs w:val="28"/>
              </w:rPr>
              <w:t xml:space="preserve">.apakšsadaļā </w:t>
            </w:r>
            <w:r w:rsidR="00C55809">
              <w:rPr>
                <w:sz w:val="28"/>
                <w:szCs w:val="28"/>
              </w:rPr>
              <w:t xml:space="preserve">norādītajam </w:t>
            </w:r>
            <w:r w:rsidR="000D652E">
              <w:t xml:space="preserve"> </w:t>
            </w:r>
            <w:r w:rsidR="005448B6">
              <w:t xml:space="preserve"> </w:t>
            </w:r>
            <w:r>
              <w:rPr>
                <w:sz w:val="28"/>
                <w:szCs w:val="28"/>
              </w:rPr>
              <w:t>L</w:t>
            </w:r>
            <w:r w:rsidR="005448B6" w:rsidRPr="005448B6">
              <w:rPr>
                <w:sz w:val="28"/>
                <w:szCs w:val="28"/>
              </w:rPr>
              <w:t xml:space="preserve">ikumā </w:t>
            </w:r>
            <w:r w:rsidR="000D652E">
              <w:rPr>
                <w:sz w:val="28"/>
                <w:szCs w:val="28"/>
              </w:rPr>
              <w:t>nepieciešami grozījumi, samazinot</w:t>
            </w:r>
            <w:r>
              <w:rPr>
                <w:sz w:val="28"/>
                <w:szCs w:val="28"/>
              </w:rPr>
              <w:t xml:space="preserve"> privatizācijas objekta</w:t>
            </w:r>
            <w:r w:rsidR="000D652E">
              <w:rPr>
                <w:sz w:val="28"/>
                <w:szCs w:val="28"/>
              </w:rPr>
              <w:t xml:space="preserve"> p</w:t>
            </w:r>
            <w:r w:rsidR="000D652E" w:rsidRPr="000D652E">
              <w:rPr>
                <w:sz w:val="28"/>
                <w:szCs w:val="28"/>
              </w:rPr>
              <w:t>irkuma līguma nomaksas termiņ</w:t>
            </w:r>
            <w:r w:rsidR="000D652E">
              <w:rPr>
                <w:sz w:val="28"/>
                <w:szCs w:val="28"/>
              </w:rPr>
              <w:t xml:space="preserve">u </w:t>
            </w:r>
            <w:r w:rsidR="000D652E" w:rsidRPr="000D652E">
              <w:rPr>
                <w:sz w:val="28"/>
                <w:szCs w:val="28"/>
              </w:rPr>
              <w:t>no 10 līdz 5 gadiem</w:t>
            </w:r>
            <w:r w:rsidR="000D652E">
              <w:rPr>
                <w:sz w:val="28"/>
                <w:szCs w:val="28"/>
              </w:rPr>
              <w:t>.</w:t>
            </w:r>
          </w:p>
          <w:p w14:paraId="5A8E2645" w14:textId="356B33AB" w:rsidR="005448B6" w:rsidRDefault="005448B6" w:rsidP="001939E0">
            <w:pPr>
              <w:spacing w:before="120"/>
              <w:ind w:left="142" w:right="79" w:firstLine="578"/>
              <w:jc w:val="both"/>
              <w:rPr>
                <w:sz w:val="28"/>
                <w:szCs w:val="28"/>
              </w:rPr>
            </w:pPr>
            <w:r w:rsidRPr="005448B6">
              <w:rPr>
                <w:sz w:val="28"/>
                <w:szCs w:val="28"/>
              </w:rPr>
              <w:t xml:space="preserve">Lai sekmētu privatizācijas subjektu norēķināšanos par privatizācijas objektiem, jāgroza </w:t>
            </w:r>
            <w:r w:rsidR="002A5F41">
              <w:rPr>
                <w:sz w:val="28"/>
                <w:szCs w:val="28"/>
              </w:rPr>
              <w:t>Likums</w:t>
            </w:r>
            <w:r w:rsidRPr="005448B6">
              <w:rPr>
                <w:sz w:val="28"/>
                <w:szCs w:val="28"/>
              </w:rPr>
              <w:t>, izslēdzot pārejas noteikumu 45.punktu, kas šobrīd nosaka pirkuma līgumos, kuri noslēgti šā likuma 46.pantā noteiktajā kārtībā, ka pēc pušu vienošanās var pagarināt pirkuma maksas samaksas termiņu, izdarot periodiskus maksājumus ne ilgāk kā 10 gadu laikā no pirkuma līguma noslēgšanas dienas</w:t>
            </w:r>
            <w:r w:rsidR="0036362C">
              <w:rPr>
                <w:sz w:val="28"/>
                <w:szCs w:val="28"/>
              </w:rPr>
              <w:t>.</w:t>
            </w:r>
          </w:p>
          <w:p w14:paraId="5AF10861" w14:textId="5F1D1E9F" w:rsidR="002A5F41" w:rsidRPr="002A5F41" w:rsidRDefault="00083CE1" w:rsidP="00954AE0">
            <w:pPr>
              <w:spacing w:before="120"/>
              <w:ind w:left="142" w:right="79" w:firstLine="578"/>
              <w:jc w:val="both"/>
              <w:rPr>
                <w:sz w:val="28"/>
                <w:szCs w:val="28"/>
              </w:rPr>
            </w:pPr>
            <w:r>
              <w:rPr>
                <w:sz w:val="28"/>
                <w:szCs w:val="28"/>
              </w:rPr>
              <w:lastRenderedPageBreak/>
              <w:t>L</w:t>
            </w:r>
            <w:r w:rsidR="002A5F41" w:rsidRPr="002A5F41">
              <w:rPr>
                <w:sz w:val="28"/>
                <w:szCs w:val="28"/>
              </w:rPr>
              <w:t>ikuma  46.panta pirmā daļa no</w:t>
            </w:r>
            <w:r w:rsidR="005F02E7">
              <w:rPr>
                <w:sz w:val="28"/>
                <w:szCs w:val="28"/>
              </w:rPr>
              <w:t>saka</w:t>
            </w:r>
            <w:r w:rsidR="002A5F41" w:rsidRPr="002A5F41">
              <w:rPr>
                <w:sz w:val="28"/>
                <w:szCs w:val="28"/>
              </w:rPr>
              <w:t xml:space="preserve">, ka par privatizācijas objektiem samaksu var veikt 5 gadu laikā. </w:t>
            </w:r>
            <w:r w:rsidR="00D80E51">
              <w:rPr>
                <w:sz w:val="28"/>
                <w:szCs w:val="28"/>
              </w:rPr>
              <w:t>Ņ</w:t>
            </w:r>
            <w:r w:rsidR="002A5F41" w:rsidRPr="002A5F41">
              <w:rPr>
                <w:sz w:val="28"/>
                <w:szCs w:val="28"/>
              </w:rPr>
              <w:t xml:space="preserve">emot vērā </w:t>
            </w:r>
            <w:r w:rsidR="00D80E51">
              <w:rPr>
                <w:sz w:val="28"/>
                <w:szCs w:val="28"/>
              </w:rPr>
              <w:t>ekonomiskās situācijas un personu maksātspējas pasliktināšanos</w:t>
            </w:r>
            <w:r w:rsidR="002A5F41" w:rsidRPr="002A5F41">
              <w:rPr>
                <w:sz w:val="28"/>
                <w:szCs w:val="28"/>
              </w:rPr>
              <w:t xml:space="preserve">, tika sagatavoti grozījumi </w:t>
            </w:r>
            <w:r>
              <w:rPr>
                <w:sz w:val="28"/>
                <w:szCs w:val="28"/>
              </w:rPr>
              <w:t xml:space="preserve"> L</w:t>
            </w:r>
            <w:r w:rsidR="002A5F41" w:rsidRPr="002A5F41">
              <w:rPr>
                <w:sz w:val="28"/>
                <w:szCs w:val="28"/>
              </w:rPr>
              <w:t>ikum</w:t>
            </w:r>
            <w:r>
              <w:rPr>
                <w:sz w:val="28"/>
                <w:szCs w:val="28"/>
              </w:rPr>
              <w:t xml:space="preserve">ā un </w:t>
            </w:r>
            <w:r w:rsidR="005F02E7">
              <w:rPr>
                <w:sz w:val="28"/>
                <w:szCs w:val="28"/>
              </w:rPr>
              <w:t xml:space="preserve">no 2010.gada 20.jūlija Likums tika </w:t>
            </w:r>
            <w:r w:rsidR="002A5F41" w:rsidRPr="002A5F41">
              <w:rPr>
                <w:sz w:val="28"/>
                <w:szCs w:val="28"/>
              </w:rPr>
              <w:t>papildināts</w:t>
            </w:r>
            <w:r w:rsidR="005F02E7">
              <w:rPr>
                <w:sz w:val="28"/>
                <w:szCs w:val="28"/>
              </w:rPr>
              <w:t xml:space="preserve"> ar pārejas noteikumu 45.punktu</w:t>
            </w:r>
            <w:r w:rsidR="002A5F41" w:rsidRPr="002A5F41">
              <w:rPr>
                <w:sz w:val="28"/>
                <w:szCs w:val="28"/>
              </w:rPr>
              <w:t xml:space="preserve">. </w:t>
            </w:r>
          </w:p>
          <w:p w14:paraId="3AE65083" w14:textId="7B2C922C" w:rsidR="00CA3F51" w:rsidRPr="009D451C" w:rsidRDefault="002A5F41" w:rsidP="009D451C">
            <w:pPr>
              <w:spacing w:before="120"/>
              <w:ind w:left="142" w:right="79" w:firstLine="578"/>
              <w:jc w:val="both"/>
              <w:rPr>
                <w:sz w:val="28"/>
                <w:szCs w:val="28"/>
              </w:rPr>
            </w:pPr>
            <w:r w:rsidRPr="002A5F41">
              <w:rPr>
                <w:sz w:val="28"/>
                <w:szCs w:val="28"/>
              </w:rPr>
              <w:t>Taču šobrīd, ņemot vērā, ka vairs nepastāv apstākļi, kas bija par pamatu norēķinu par nomaksas pirkuma līgumiem termiņa pagarinājumam, nepieciešams atgriezties pie 5 gadu norēķinu termiņa</w:t>
            </w:r>
            <w:r w:rsidR="00D80E51">
              <w:rPr>
                <w:sz w:val="28"/>
                <w:szCs w:val="28"/>
              </w:rPr>
              <w:t xml:space="preserve"> noteikšanas nomaksas līgumiem</w:t>
            </w:r>
            <w:r w:rsidR="00116990">
              <w:rPr>
                <w:sz w:val="28"/>
                <w:szCs w:val="28"/>
              </w:rPr>
              <w:t>, kas tiek slēgti no jauna</w:t>
            </w:r>
            <w:r w:rsidRPr="002A5F41">
              <w:rPr>
                <w:sz w:val="28"/>
                <w:szCs w:val="28"/>
              </w:rPr>
              <w:t xml:space="preserve">. </w:t>
            </w:r>
            <w:r w:rsidR="00116990" w:rsidRPr="002A5F41">
              <w:rPr>
                <w:sz w:val="28"/>
                <w:szCs w:val="28"/>
              </w:rPr>
              <w:t>T</w:t>
            </w:r>
            <w:r w:rsidR="00116990">
              <w:rPr>
                <w:sz w:val="28"/>
                <w:szCs w:val="28"/>
              </w:rPr>
              <w:t>urklāt</w:t>
            </w:r>
            <w:r w:rsidR="00116990" w:rsidRPr="002A5F41">
              <w:rPr>
                <w:sz w:val="28"/>
                <w:szCs w:val="28"/>
              </w:rPr>
              <w:t xml:space="preserve"> </w:t>
            </w:r>
            <w:r w:rsidRPr="002A5F41">
              <w:rPr>
                <w:sz w:val="28"/>
                <w:szCs w:val="28"/>
              </w:rPr>
              <w:t>jānorāda, ka Publiskas personas mantas atsavināšanas likuma 36.panta piektā daļa nosaka, ka, pārdodot publiskas personas nekustamo īpašumu uz nomaksu, nomaksas termiņš nedrīkst būt lielāks par 5 gadiem. Minētā 5 gadu termiņa noteikšana  veicinās zemes reformas un privatizācijas mērķu sasniegšanu, tādējādi šāds priekšlikums ir uzskatāms par samērīgu attiecībā pret sabiedrības interesēm, jo, sekmējot zemes reformas un privatizācijas procesu pabeigšanu tuvāko 5 gadu laikā, attiecīgi samazināsies valsts izmaksas, tai skaitā, administratīvās izmaksas, kas saistītas ar līgumu nosacījumu izpildes kontroles nodrošināšanu, zemes reformas un privatizācijas procesu nodrošināšanai.</w:t>
            </w:r>
          </w:p>
          <w:p w14:paraId="0C255F12" w14:textId="583EF7BA" w:rsidR="00AF581E" w:rsidRPr="00AF581E" w:rsidRDefault="00B63E40" w:rsidP="00AF5FC4">
            <w:pPr>
              <w:spacing w:before="120"/>
              <w:ind w:left="142" w:right="81" w:firstLine="578"/>
              <w:jc w:val="both"/>
              <w:rPr>
                <w:sz w:val="28"/>
                <w:szCs w:val="28"/>
              </w:rPr>
            </w:pPr>
            <w:r w:rsidRPr="00AF5FC4">
              <w:rPr>
                <w:sz w:val="28"/>
                <w:szCs w:val="28"/>
              </w:rPr>
              <w:t>Ņemot vērā</w:t>
            </w:r>
            <w:r w:rsidR="00BE000C" w:rsidRPr="00AF5FC4">
              <w:rPr>
                <w:sz w:val="28"/>
                <w:szCs w:val="28"/>
              </w:rPr>
              <w:t xml:space="preserve"> minēto, Likumprojekts</w:t>
            </w:r>
            <w:r w:rsidR="007F3541" w:rsidRPr="00AF5FC4">
              <w:rPr>
                <w:sz w:val="28"/>
                <w:szCs w:val="28"/>
              </w:rPr>
              <w:t xml:space="preserve"> paredz</w:t>
            </w:r>
            <w:r w:rsidR="009D167E" w:rsidRPr="00AF5FC4">
              <w:rPr>
                <w:sz w:val="28"/>
                <w:szCs w:val="28"/>
              </w:rPr>
              <w:t xml:space="preserve"> </w:t>
            </w:r>
            <w:r w:rsidR="00CA3F51" w:rsidRPr="00AF5FC4">
              <w:rPr>
                <w:sz w:val="28"/>
                <w:szCs w:val="28"/>
              </w:rPr>
              <w:t xml:space="preserve"> </w:t>
            </w:r>
            <w:r w:rsidR="00AF5FC4" w:rsidRPr="00AF5FC4">
              <w:rPr>
                <w:sz w:val="28"/>
                <w:szCs w:val="28"/>
              </w:rPr>
              <w:t>a</w:t>
            </w:r>
            <w:r w:rsidR="00AF581E" w:rsidRPr="00AF5FC4">
              <w:rPr>
                <w:sz w:val="28"/>
                <w:szCs w:val="28"/>
              </w:rPr>
              <w:t xml:space="preserve">izstāt </w:t>
            </w:r>
            <w:r w:rsidR="00AF5FC4">
              <w:rPr>
                <w:sz w:val="28"/>
                <w:szCs w:val="28"/>
              </w:rPr>
              <w:t xml:space="preserve">Likuma </w:t>
            </w:r>
            <w:r w:rsidR="00AF581E" w:rsidRPr="00AF5FC4">
              <w:rPr>
                <w:sz w:val="28"/>
                <w:szCs w:val="28"/>
              </w:rPr>
              <w:t>8.</w:t>
            </w:r>
            <w:r w:rsidR="00AF581E" w:rsidRPr="00AF5FC4">
              <w:rPr>
                <w:sz w:val="28"/>
                <w:szCs w:val="28"/>
                <w:vertAlign w:val="superscript"/>
              </w:rPr>
              <w:t>1</w:t>
            </w:r>
            <w:r w:rsidR="00AF581E" w:rsidRPr="00AF5FC4">
              <w:rPr>
                <w:sz w:val="28"/>
                <w:szCs w:val="28"/>
              </w:rPr>
              <w:t xml:space="preserve"> panta pirmajā daļā vārdus valsts akciju sabiedrība “Privatizācijas aģentūra” ar vārdiem “institūcija, kurai Ministru kabinets ir noteicis vai deleģējis pildīt valsts pārvaldes uzdevumu veikt valsts īpašumā esošo un valstij piekritīgo dzīvojamo māju (dzīvokļu īpašumu) privatizāciju (turpmāk – valsts dzīvojamo māju priva</w:t>
            </w:r>
            <w:r w:rsidR="00AF5FC4">
              <w:rPr>
                <w:sz w:val="28"/>
                <w:szCs w:val="28"/>
              </w:rPr>
              <w:t>tizāciju veicošā institūcija)” un visā L</w:t>
            </w:r>
            <w:r w:rsidR="00AF581E" w:rsidRPr="00AF5FC4">
              <w:rPr>
                <w:sz w:val="28"/>
                <w:szCs w:val="28"/>
              </w:rPr>
              <w:t xml:space="preserve">ikumā vārdus „valsts akciju sabiedrība „Privatizācijas aģentūra” </w:t>
            </w:r>
            <w:r w:rsidR="00AF581E" w:rsidRPr="00AF5FC4">
              <w:rPr>
                <w:sz w:val="28"/>
                <w:szCs w:val="28"/>
              </w:rPr>
              <w:lastRenderedPageBreak/>
              <w:t>(attiecīgajā</w:t>
            </w:r>
            <w:r w:rsidR="00AF581E" w:rsidRPr="00AF581E">
              <w:rPr>
                <w:sz w:val="28"/>
                <w:szCs w:val="28"/>
              </w:rPr>
              <w:t xml:space="preserve"> locījumā) ar vārdiem „valsts dzīvojamo māju privatizāciju veicošā institūcija” (attiecīgajā locījumā).</w:t>
            </w:r>
          </w:p>
          <w:p w14:paraId="058496A3" w14:textId="6FB12AC2" w:rsidR="0077736D" w:rsidRPr="009D167E" w:rsidRDefault="00AF5FC4" w:rsidP="00AF5FC4">
            <w:pPr>
              <w:spacing w:before="120"/>
              <w:ind w:left="142" w:right="81" w:firstLine="578"/>
              <w:jc w:val="both"/>
              <w:rPr>
                <w:sz w:val="28"/>
                <w:szCs w:val="28"/>
              </w:rPr>
            </w:pPr>
            <w:r>
              <w:rPr>
                <w:sz w:val="28"/>
                <w:szCs w:val="28"/>
              </w:rPr>
              <w:t>Savukārt pārejas noteikumos: izslēgt 45.punktu un p</w:t>
            </w:r>
            <w:r w:rsidR="00AF581E" w:rsidRPr="00AF581E">
              <w:rPr>
                <w:sz w:val="28"/>
                <w:szCs w:val="28"/>
              </w:rPr>
              <w:t>apildināt ar 54</w:t>
            </w:r>
            <w:r>
              <w:rPr>
                <w:sz w:val="28"/>
                <w:szCs w:val="28"/>
              </w:rPr>
              <w:t>.punktu šādā redakcijā:</w:t>
            </w:r>
            <w:r w:rsidR="00AF581E" w:rsidRPr="00AF581E">
              <w:rPr>
                <w:sz w:val="28"/>
                <w:szCs w:val="28"/>
              </w:rPr>
              <w:t>“54. Šajā likumā noteiktos valsts dzīvojamo māju privatizāciju veicošās institūcijas uzdevumus pilda valsts akciju sabiedrība “Privatizācijas aģentūra” līdz brīdim, kad Ministru kabinets pieņem lēmumu par valsts dzīvojamo māju privatizāciju veicošo institūciju.”</w:t>
            </w:r>
          </w:p>
        </w:tc>
      </w:tr>
      <w:tr w:rsidR="00F6571B" w:rsidRPr="0093291B" w14:paraId="675A59B2" w14:textId="77777777" w:rsidTr="00BA7A5B">
        <w:trPr>
          <w:trHeight w:val="211"/>
        </w:trPr>
        <w:tc>
          <w:tcPr>
            <w:tcW w:w="550" w:type="dxa"/>
          </w:tcPr>
          <w:p w14:paraId="1E8631F7"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14:paraId="2E2EE0F4" w14:textId="556A9BDF" w:rsidR="00F6571B" w:rsidRPr="00BA7A5B" w:rsidRDefault="00F6571B" w:rsidP="00BA7A5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14:paraId="77DFFF84" w14:textId="77777777" w:rsidR="00F6571B" w:rsidRPr="00C45EBB" w:rsidRDefault="00645353" w:rsidP="00681419">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rsidR="00F6571B" w:rsidRPr="0093291B" w14:paraId="19777DC9" w14:textId="77777777" w:rsidTr="005A2806">
        <w:tc>
          <w:tcPr>
            <w:tcW w:w="550" w:type="dxa"/>
          </w:tcPr>
          <w:p w14:paraId="102FED7D" w14:textId="77777777" w:rsidR="00F6571B" w:rsidRPr="00624573" w:rsidRDefault="00F6571B" w:rsidP="00E2648C">
            <w:pPr>
              <w:pStyle w:val="naiskr"/>
              <w:spacing w:before="0" w:after="0"/>
              <w:rPr>
                <w:sz w:val="28"/>
                <w:szCs w:val="28"/>
              </w:rPr>
            </w:pPr>
            <w:r w:rsidRPr="00624573">
              <w:rPr>
                <w:sz w:val="28"/>
                <w:szCs w:val="28"/>
              </w:rPr>
              <w:t>4.</w:t>
            </w:r>
          </w:p>
        </w:tc>
        <w:tc>
          <w:tcPr>
            <w:tcW w:w="3991" w:type="dxa"/>
          </w:tcPr>
          <w:p w14:paraId="19B69680"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14:paraId="0CB867EC" w14:textId="77777777" w:rsidR="008E38BC" w:rsidRPr="00624573" w:rsidRDefault="00B976C1" w:rsidP="00B976C1">
            <w:pPr>
              <w:pStyle w:val="naiskr"/>
              <w:spacing w:before="0" w:after="0"/>
              <w:ind w:firstLine="142"/>
              <w:jc w:val="both"/>
              <w:rPr>
                <w:sz w:val="28"/>
                <w:szCs w:val="28"/>
              </w:rPr>
            </w:pPr>
            <w:r>
              <w:rPr>
                <w:sz w:val="28"/>
                <w:szCs w:val="28"/>
              </w:rPr>
              <w:t>Nav.</w:t>
            </w:r>
          </w:p>
        </w:tc>
      </w:tr>
    </w:tbl>
    <w:p w14:paraId="5169A0FA" w14:textId="04288339" w:rsidR="00FE2BE7" w:rsidRPr="0093291B" w:rsidRDefault="00FE2BE7" w:rsidP="00F6571B">
      <w:pPr>
        <w:pStyle w:val="naisf"/>
        <w:spacing w:before="0" w:after="0"/>
        <w:ind w:firstLine="0"/>
        <w:rPr>
          <w:sz w:val="28"/>
          <w:szCs w:val="28"/>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68"/>
      </w:tblGrid>
      <w:tr w:rsidR="00F6571B" w:rsidRPr="0093291B" w14:paraId="3ACC1B89" w14:textId="77777777" w:rsidTr="00BA7A5B">
        <w:tc>
          <w:tcPr>
            <w:tcW w:w="9768" w:type="dxa"/>
            <w:vAlign w:val="center"/>
          </w:tcPr>
          <w:p w14:paraId="5C516CE9"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BA7A5B" w:rsidRPr="0093291B" w14:paraId="6F19B583" w14:textId="77777777" w:rsidTr="00BA7A5B">
        <w:tc>
          <w:tcPr>
            <w:tcW w:w="9768" w:type="dxa"/>
            <w:vAlign w:val="center"/>
          </w:tcPr>
          <w:p w14:paraId="7D382CC0" w14:textId="344EAD10" w:rsidR="00BA7A5B" w:rsidRPr="00BA7A5B" w:rsidRDefault="00BA7A5B" w:rsidP="00E2648C">
            <w:pPr>
              <w:pStyle w:val="naisnod"/>
              <w:spacing w:before="0" w:after="0"/>
              <w:rPr>
                <w:b w:val="0"/>
                <w:sz w:val="28"/>
                <w:szCs w:val="28"/>
              </w:rPr>
            </w:pPr>
            <w:r w:rsidRPr="00BA7A5B">
              <w:rPr>
                <w:b w:val="0"/>
                <w:i/>
                <w:iCs/>
                <w:sz w:val="28"/>
                <w:szCs w:val="28"/>
              </w:rPr>
              <w:t>Projekts šo jomu neskar</w:t>
            </w:r>
          </w:p>
        </w:tc>
      </w:tr>
    </w:tbl>
    <w:p w14:paraId="395B3739" w14:textId="77777777"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41"/>
      </w:tblGrid>
      <w:tr w:rsidR="006B3556" w:rsidRPr="00F970C6" w14:paraId="050FD108" w14:textId="77777777" w:rsidTr="00BB6830">
        <w:tc>
          <w:tcPr>
            <w:tcW w:w="5000" w:type="pct"/>
            <w:tcBorders>
              <w:top w:val="outset" w:sz="6" w:space="0" w:color="auto"/>
              <w:left w:val="outset" w:sz="6" w:space="0" w:color="auto"/>
              <w:bottom w:val="outset" w:sz="6" w:space="0" w:color="auto"/>
              <w:right w:val="outset" w:sz="6" w:space="0" w:color="auto"/>
            </w:tcBorders>
            <w:hideMark/>
          </w:tcPr>
          <w:p w14:paraId="7B624C23" w14:textId="77777777" w:rsidR="006B3556" w:rsidRPr="00F970C6" w:rsidRDefault="006B3556" w:rsidP="0092782F">
            <w:pPr>
              <w:spacing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14:paraId="13F034B1" w14:textId="77777777"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CC30" w14:textId="77777777"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01222952" w14:textId="77777777"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4"/>
        <w:gridCol w:w="2502"/>
        <w:gridCol w:w="6515"/>
      </w:tblGrid>
      <w:tr w:rsidR="00C45EBB" w:rsidRPr="00C45EBB" w14:paraId="5A6E8C48" w14:textId="77777777"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7D90D" w14:textId="77777777"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14:paraId="3F5A3374"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5E089336" w14:textId="77777777"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0A047A1A" w14:textId="77777777"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68CCF81B" w14:textId="3CE1DBCF" w:rsidR="005714A9" w:rsidRPr="00946188" w:rsidRDefault="00B9742D" w:rsidP="005714A9">
            <w:pPr>
              <w:widowControl w:val="0"/>
              <w:spacing w:after="60"/>
              <w:jc w:val="both"/>
              <w:rPr>
                <w:sz w:val="28"/>
                <w:szCs w:val="28"/>
              </w:rPr>
            </w:pPr>
            <w:r w:rsidRPr="00B9742D">
              <w:rPr>
                <w:sz w:val="28"/>
                <w:szCs w:val="28"/>
              </w:rPr>
              <w:t xml:space="preserve">Ņemot vērā Ministru kabineta 2017.gada 6.jūnija sēdē (prot.29 68.§ 7.punkts) doto uzdevumu un saistībā arī ar Privatizācijas aģentūras nosaukuma (firmas) maiņu ir jāveic grozījumi arī citos likumos, kur minēta Privatizācijas aģentūra, un </w:t>
            </w:r>
            <w:r>
              <w:rPr>
                <w:sz w:val="28"/>
                <w:szCs w:val="28"/>
              </w:rPr>
              <w:t>izstrādājami šādi likumprojekti</w:t>
            </w:r>
            <w:r w:rsidR="005714A9" w:rsidRPr="00946188">
              <w:rPr>
                <w:sz w:val="28"/>
                <w:szCs w:val="28"/>
              </w:rPr>
              <w:t>:</w:t>
            </w:r>
          </w:p>
          <w:p w14:paraId="1A571AA6" w14:textId="79B1BF82" w:rsidR="009F14D3" w:rsidRPr="005714A9" w:rsidRDefault="005714A9" w:rsidP="005714A9">
            <w:pPr>
              <w:pStyle w:val="ListParagraph"/>
              <w:widowControl w:val="0"/>
              <w:numPr>
                <w:ilvl w:val="0"/>
                <w:numId w:val="9"/>
              </w:numPr>
              <w:spacing w:after="60"/>
              <w:jc w:val="both"/>
              <w:rPr>
                <w:rFonts w:ascii="Times New Roman" w:hAnsi="Times New Roman"/>
                <w:sz w:val="28"/>
                <w:szCs w:val="28"/>
              </w:rPr>
            </w:pPr>
            <w:r w:rsidRPr="005714A9">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pašvaldīb</w:t>
            </w:r>
            <w:r w:rsidR="00946188">
              <w:rPr>
                <w:rFonts w:ascii="Times New Roman" w:hAnsi="Times New Roman"/>
                <w:sz w:val="28"/>
                <w:szCs w:val="28"/>
              </w:rPr>
              <w:t>u īpašuma objektu privatizāciju”</w:t>
            </w:r>
            <w:r w:rsidRPr="005714A9">
              <w:rPr>
                <w:rFonts w:ascii="Times New Roman" w:hAnsi="Times New Roman"/>
                <w:sz w:val="28"/>
                <w:szCs w:val="28"/>
              </w:rPr>
              <w:t>”</w:t>
            </w:r>
            <w:r w:rsidR="009F14D3" w:rsidRPr="005714A9">
              <w:rPr>
                <w:rFonts w:ascii="Times New Roman" w:hAnsi="Times New Roman"/>
                <w:sz w:val="28"/>
                <w:szCs w:val="28"/>
              </w:rPr>
              <w:t>;</w:t>
            </w:r>
          </w:p>
          <w:p w14:paraId="1AA608EE" w14:textId="0D641AF3"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0035776B">
              <w:rPr>
                <w:rFonts w:ascii="Times New Roman" w:hAnsi="Times New Roman"/>
                <w:sz w:val="28"/>
                <w:szCs w:val="28"/>
              </w:rPr>
              <w:t>Grozījums</w:t>
            </w:r>
            <w:r w:rsidR="005714A9" w:rsidRPr="005714A9">
              <w:rPr>
                <w:rFonts w:ascii="Times New Roman" w:hAnsi="Times New Roman"/>
                <w:sz w:val="28"/>
                <w:szCs w:val="28"/>
              </w:rPr>
              <w:t xml:space="preserve"> </w:t>
            </w:r>
            <w:r w:rsidR="0035776B">
              <w:rPr>
                <w:rFonts w:ascii="Times New Roman" w:hAnsi="Times New Roman"/>
                <w:sz w:val="28"/>
                <w:szCs w:val="28"/>
              </w:rPr>
              <w:t>Zemesgrāmatu</w:t>
            </w:r>
            <w:r w:rsidR="009F14D3" w:rsidRPr="005714A9">
              <w:rPr>
                <w:rFonts w:ascii="Times New Roman" w:hAnsi="Times New Roman"/>
                <w:sz w:val="28"/>
                <w:szCs w:val="28"/>
              </w:rPr>
              <w:t xml:space="preserve"> likumā</w:t>
            </w:r>
            <w:r>
              <w:rPr>
                <w:rFonts w:ascii="Times New Roman" w:hAnsi="Times New Roman"/>
                <w:sz w:val="28"/>
                <w:szCs w:val="28"/>
              </w:rPr>
              <w:t>”</w:t>
            </w:r>
            <w:r w:rsidR="009F14D3" w:rsidRPr="005714A9">
              <w:rPr>
                <w:rFonts w:ascii="Times New Roman" w:hAnsi="Times New Roman"/>
                <w:sz w:val="28"/>
                <w:szCs w:val="28"/>
              </w:rPr>
              <w:t>;</w:t>
            </w:r>
          </w:p>
          <w:p w14:paraId="24391E51" w14:textId="545F7C41" w:rsidR="009F14D3" w:rsidRPr="005C6282" w:rsidRDefault="002555D7" w:rsidP="005C6282">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F14D3" w:rsidRPr="005714A9">
              <w:rPr>
                <w:rFonts w:ascii="Times New Roman" w:hAnsi="Times New Roman"/>
                <w:sz w:val="28"/>
                <w:szCs w:val="28"/>
              </w:rPr>
              <w:t xml:space="preserve"> Publiskas personas mantas atsavināšanas likumā</w:t>
            </w:r>
            <w:r>
              <w:rPr>
                <w:rFonts w:ascii="Times New Roman" w:hAnsi="Times New Roman"/>
                <w:sz w:val="28"/>
                <w:szCs w:val="28"/>
              </w:rPr>
              <w:t>”</w:t>
            </w:r>
            <w:r w:rsidR="009F14D3" w:rsidRPr="005714A9">
              <w:rPr>
                <w:rFonts w:ascii="Times New Roman" w:hAnsi="Times New Roman"/>
                <w:sz w:val="28"/>
                <w:szCs w:val="28"/>
              </w:rPr>
              <w:t>;</w:t>
            </w:r>
          </w:p>
          <w:p w14:paraId="3E4CC119" w14:textId="36A9527C" w:rsidR="009F14D3" w:rsidRPr="005714A9" w:rsidRDefault="002555D7" w:rsidP="00CF7C7D">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CF7C7D" w:rsidRPr="00CF7C7D">
              <w:rPr>
                <w:rFonts w:ascii="Times New Roman" w:hAnsi="Times New Roman"/>
                <w:sz w:val="28"/>
                <w:szCs w:val="28"/>
              </w:rPr>
              <w:t>Valsts un pašvaldību īpašuma privatizācijas un privatizācijas sertifikātu izmantošanas pabeigšanas likumā</w:t>
            </w:r>
            <w:r w:rsidR="004B366F">
              <w:rPr>
                <w:rFonts w:ascii="Times New Roman" w:hAnsi="Times New Roman"/>
                <w:sz w:val="28"/>
                <w:szCs w:val="28"/>
              </w:rPr>
              <w:t>”</w:t>
            </w:r>
            <w:r w:rsidR="009F14D3" w:rsidRPr="005714A9">
              <w:rPr>
                <w:rFonts w:ascii="Times New Roman" w:hAnsi="Times New Roman"/>
                <w:sz w:val="28"/>
                <w:szCs w:val="28"/>
              </w:rPr>
              <w:t>;</w:t>
            </w:r>
          </w:p>
          <w:p w14:paraId="2198B45A" w14:textId="1CB69352"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privatizējamo valsts un pašvaldību īpašu</w:t>
            </w:r>
            <w:r w:rsidR="00946188">
              <w:rPr>
                <w:rFonts w:ascii="Times New Roman" w:hAnsi="Times New Roman"/>
                <w:sz w:val="28"/>
                <w:szCs w:val="28"/>
              </w:rPr>
              <w:t xml:space="preserve">ma objektu novērtēšanas </w:t>
            </w:r>
            <w:r w:rsidR="00946188">
              <w:rPr>
                <w:rFonts w:ascii="Times New Roman" w:hAnsi="Times New Roman"/>
                <w:sz w:val="28"/>
                <w:szCs w:val="28"/>
              </w:rPr>
              <w:lastRenderedPageBreak/>
              <w:t>kārtību”</w:t>
            </w:r>
            <w:r>
              <w:rPr>
                <w:rFonts w:ascii="Times New Roman" w:hAnsi="Times New Roman"/>
                <w:sz w:val="28"/>
                <w:szCs w:val="28"/>
              </w:rPr>
              <w:t>”</w:t>
            </w:r>
            <w:r w:rsidR="009F14D3" w:rsidRPr="005714A9">
              <w:rPr>
                <w:rFonts w:ascii="Times New Roman" w:hAnsi="Times New Roman"/>
                <w:sz w:val="28"/>
                <w:szCs w:val="28"/>
              </w:rPr>
              <w:t>;</w:t>
            </w:r>
          </w:p>
          <w:p w14:paraId="7A4B931E" w14:textId="2DF1FD48"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F14D3" w:rsidRPr="005714A9">
              <w:rPr>
                <w:rFonts w:ascii="Times New Roman" w:hAnsi="Times New Roman"/>
                <w:sz w:val="28"/>
                <w:szCs w:val="28"/>
              </w:rPr>
              <w:t xml:space="preserve"> Nekustamā īpašuma valsts kadastra likumā</w:t>
            </w:r>
            <w:r>
              <w:rPr>
                <w:rFonts w:ascii="Times New Roman" w:hAnsi="Times New Roman"/>
                <w:sz w:val="28"/>
                <w:szCs w:val="28"/>
              </w:rPr>
              <w:t>”</w:t>
            </w:r>
            <w:r w:rsidR="009F14D3" w:rsidRPr="005714A9">
              <w:rPr>
                <w:rFonts w:ascii="Times New Roman" w:hAnsi="Times New Roman"/>
                <w:sz w:val="28"/>
                <w:szCs w:val="28"/>
              </w:rPr>
              <w:t>;</w:t>
            </w:r>
          </w:p>
          <w:p w14:paraId="4057EF78" w14:textId="14EF050B"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46188">
              <w:rPr>
                <w:rFonts w:ascii="Times New Roman" w:hAnsi="Times New Roman"/>
                <w:sz w:val="28"/>
                <w:szCs w:val="28"/>
              </w:rPr>
              <w:t xml:space="preserve"> likumā “</w:t>
            </w:r>
            <w:r w:rsidR="009F14D3" w:rsidRPr="005714A9">
              <w:rPr>
                <w:rFonts w:ascii="Times New Roman" w:hAnsi="Times New Roman"/>
                <w:sz w:val="28"/>
                <w:szCs w:val="28"/>
              </w:rPr>
              <w:t xml:space="preserve">Par valsts un pašvaldību zemes īpašuma tiesībām un </w:t>
            </w:r>
            <w:r w:rsidR="00946188">
              <w:rPr>
                <w:rFonts w:ascii="Times New Roman" w:hAnsi="Times New Roman"/>
                <w:sz w:val="28"/>
                <w:szCs w:val="28"/>
              </w:rPr>
              <w:t>to nostiprināšanu zemesgrāmatās”</w:t>
            </w:r>
            <w:r>
              <w:rPr>
                <w:rFonts w:ascii="Times New Roman" w:hAnsi="Times New Roman"/>
                <w:sz w:val="28"/>
                <w:szCs w:val="28"/>
              </w:rPr>
              <w:t>”</w:t>
            </w:r>
            <w:r w:rsidR="009F14D3" w:rsidRPr="005714A9">
              <w:rPr>
                <w:rFonts w:ascii="Times New Roman" w:hAnsi="Times New Roman"/>
                <w:sz w:val="28"/>
                <w:szCs w:val="28"/>
              </w:rPr>
              <w:t>;</w:t>
            </w:r>
          </w:p>
          <w:p w14:paraId="088A94F5" w14:textId="47D88C2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46188">
              <w:rPr>
                <w:rFonts w:ascii="Times New Roman" w:hAnsi="Times New Roman"/>
                <w:sz w:val="28"/>
                <w:szCs w:val="28"/>
              </w:rPr>
              <w:t xml:space="preserve"> likumā “</w:t>
            </w:r>
            <w:r w:rsidR="009F14D3" w:rsidRPr="005714A9">
              <w:rPr>
                <w:rFonts w:ascii="Times New Roman" w:hAnsi="Times New Roman"/>
                <w:sz w:val="28"/>
                <w:szCs w:val="28"/>
              </w:rPr>
              <w:t>Par zemes refor</w:t>
            </w:r>
            <w:r w:rsidR="00946188">
              <w:rPr>
                <w:rFonts w:ascii="Times New Roman" w:hAnsi="Times New Roman"/>
                <w:sz w:val="28"/>
                <w:szCs w:val="28"/>
              </w:rPr>
              <w:t>mu Latvijas Republikas pilsētās”</w:t>
            </w:r>
            <w:r>
              <w:rPr>
                <w:rFonts w:ascii="Times New Roman" w:hAnsi="Times New Roman"/>
                <w:sz w:val="28"/>
                <w:szCs w:val="28"/>
              </w:rPr>
              <w:t>”</w:t>
            </w:r>
            <w:r w:rsidR="009F14D3" w:rsidRPr="005714A9">
              <w:rPr>
                <w:rFonts w:ascii="Times New Roman" w:hAnsi="Times New Roman"/>
                <w:sz w:val="28"/>
                <w:szCs w:val="28"/>
              </w:rPr>
              <w:t>;</w:t>
            </w:r>
          </w:p>
          <w:p w14:paraId="47811D9F" w14:textId="1A2E597B" w:rsidR="009F14D3" w:rsidRPr="002555D7" w:rsidRDefault="002555D7" w:rsidP="002555D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ze</w:t>
            </w:r>
            <w:r w:rsidR="00946188">
              <w:rPr>
                <w:rFonts w:ascii="Times New Roman" w:hAnsi="Times New Roman"/>
                <w:sz w:val="28"/>
                <w:szCs w:val="28"/>
              </w:rPr>
              <w:t>mes privatizāciju lauku apvidos”</w:t>
            </w:r>
            <w:r>
              <w:rPr>
                <w:rFonts w:ascii="Times New Roman" w:hAnsi="Times New Roman"/>
                <w:sz w:val="28"/>
                <w:szCs w:val="28"/>
              </w:rPr>
              <w:t>”.</w:t>
            </w:r>
          </w:p>
        </w:tc>
      </w:tr>
      <w:tr w:rsidR="00C45EBB" w:rsidRPr="00C45EBB" w14:paraId="1ECF99E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0274C90E" w14:textId="77777777" w:rsidR="00C45EBB" w:rsidRPr="00C45EBB" w:rsidRDefault="00C45EBB" w:rsidP="0052543F">
            <w:pPr>
              <w:rPr>
                <w:sz w:val="28"/>
                <w:szCs w:val="28"/>
              </w:rPr>
            </w:pPr>
            <w:r w:rsidRPr="00C45EBB">
              <w:rPr>
                <w:sz w:val="28"/>
                <w:szCs w:val="28"/>
              </w:rPr>
              <w:lastRenderedPageBreak/>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5551BE61" w14:textId="77777777"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017418" w14:textId="77777777" w:rsidR="00C45EBB" w:rsidRPr="00C45EBB" w:rsidRDefault="00A62E50" w:rsidP="0052543F">
            <w:pPr>
              <w:rPr>
                <w:sz w:val="28"/>
                <w:szCs w:val="28"/>
              </w:rPr>
            </w:pPr>
            <w:r>
              <w:rPr>
                <w:sz w:val="28"/>
                <w:szCs w:val="28"/>
              </w:rPr>
              <w:t>Ekonomikas ministrija</w:t>
            </w:r>
          </w:p>
        </w:tc>
      </w:tr>
      <w:tr w:rsidR="00C45EBB" w:rsidRPr="00C45EBB" w14:paraId="34471E2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1D5117CE" w14:textId="77777777"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4B0AF33B" w14:textId="77777777"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9079E0C" w14:textId="0A8881FE" w:rsidR="00C45EBB" w:rsidRPr="00C45EBB" w:rsidRDefault="00B66A05" w:rsidP="0052543F">
            <w:pPr>
              <w:spacing w:before="100" w:beforeAutospacing="1" w:after="100" w:afterAutospacing="1" w:line="293" w:lineRule="atLeast"/>
              <w:rPr>
                <w:sz w:val="28"/>
                <w:szCs w:val="28"/>
              </w:rPr>
            </w:pPr>
            <w:r>
              <w:rPr>
                <w:sz w:val="28"/>
                <w:szCs w:val="28"/>
              </w:rPr>
              <w:t>Nav.</w:t>
            </w:r>
          </w:p>
        </w:tc>
      </w:tr>
    </w:tbl>
    <w:p w14:paraId="275DB33D" w14:textId="77777777"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1"/>
      </w:tblGrid>
      <w:tr w:rsidR="006B3556" w:rsidRPr="00F970C6" w14:paraId="54F2EB26" w14:textId="77777777" w:rsidTr="00BB6830">
        <w:tc>
          <w:tcPr>
            <w:tcW w:w="5000" w:type="pct"/>
            <w:tcBorders>
              <w:top w:val="single" w:sz="6" w:space="0" w:color="auto"/>
              <w:left w:val="single" w:sz="6" w:space="0" w:color="auto"/>
              <w:bottom w:val="single" w:sz="6" w:space="0" w:color="auto"/>
              <w:right w:val="single" w:sz="6" w:space="0" w:color="auto"/>
            </w:tcBorders>
          </w:tcPr>
          <w:p w14:paraId="50B1ED8C" w14:textId="77777777"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B3556" w:rsidRPr="00F970C6" w14:paraId="14414523" w14:textId="77777777" w:rsidTr="00BB6830">
        <w:tc>
          <w:tcPr>
            <w:tcW w:w="5000" w:type="pct"/>
            <w:tcBorders>
              <w:top w:val="single" w:sz="6" w:space="0" w:color="auto"/>
              <w:left w:val="single" w:sz="6" w:space="0" w:color="auto"/>
              <w:bottom w:val="outset" w:sz="6" w:space="0" w:color="000000"/>
              <w:right w:val="single" w:sz="6" w:space="0" w:color="auto"/>
            </w:tcBorders>
          </w:tcPr>
          <w:p w14:paraId="0634021A" w14:textId="77777777"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14:paraId="27061134" w14:textId="77777777" w:rsidR="006B3556" w:rsidRPr="00F970C6" w:rsidRDefault="006B3556" w:rsidP="004F2B01">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14:paraId="4DE694E6" w14:textId="77777777" w:rsidTr="00BB6830">
        <w:tc>
          <w:tcPr>
            <w:tcW w:w="9928" w:type="dxa"/>
          </w:tcPr>
          <w:p w14:paraId="2ECEC84A" w14:textId="77777777" w:rsidR="006B3556" w:rsidRPr="00F970C6" w:rsidRDefault="006B3556" w:rsidP="00BB6830">
            <w:pPr>
              <w:ind w:left="57" w:right="57"/>
              <w:jc w:val="center"/>
              <w:rPr>
                <w:b/>
                <w:bCs/>
                <w:sz w:val="28"/>
                <w:szCs w:val="28"/>
              </w:rPr>
            </w:pPr>
            <w:r w:rsidRPr="00946188">
              <w:rPr>
                <w:b/>
                <w:bCs/>
                <w:sz w:val="28"/>
                <w:szCs w:val="28"/>
              </w:rPr>
              <w:t>VI. Sabiedrības līdzdalība un komunikācijas aktivitātes</w:t>
            </w:r>
          </w:p>
        </w:tc>
      </w:tr>
      <w:tr w:rsidR="004F2B01" w:rsidRPr="00F970C6" w14:paraId="10387EE7" w14:textId="77777777" w:rsidTr="00BB6830">
        <w:tc>
          <w:tcPr>
            <w:tcW w:w="9928" w:type="dxa"/>
          </w:tcPr>
          <w:p w14:paraId="046ACC9E" w14:textId="437D4CD8" w:rsidR="004F2B01" w:rsidRPr="00946188" w:rsidRDefault="004F2B01" w:rsidP="00BB6830">
            <w:pPr>
              <w:ind w:left="57" w:right="57"/>
              <w:jc w:val="center"/>
              <w:rPr>
                <w:b/>
                <w:bCs/>
                <w:sz w:val="28"/>
                <w:szCs w:val="28"/>
              </w:rPr>
            </w:pPr>
            <w:r w:rsidRPr="007D1609">
              <w:rPr>
                <w:rFonts w:eastAsia="Calibri"/>
                <w:i/>
                <w:sz w:val="28"/>
                <w:szCs w:val="28"/>
                <w:lang w:eastAsia="en-US"/>
              </w:rPr>
              <w:t>Projekts šo jomu neskar</w:t>
            </w:r>
          </w:p>
        </w:tc>
      </w:tr>
    </w:tbl>
    <w:p w14:paraId="6745C4DF" w14:textId="77777777"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4535"/>
        <w:gridCol w:w="4711"/>
      </w:tblGrid>
      <w:tr w:rsidR="00F970C6" w:rsidRPr="00F970C6" w14:paraId="2E5DE00C" w14:textId="77777777" w:rsidTr="00F970C6">
        <w:tc>
          <w:tcPr>
            <w:tcW w:w="9951" w:type="dxa"/>
            <w:gridSpan w:val="3"/>
          </w:tcPr>
          <w:p w14:paraId="7A9E84E9" w14:textId="77777777"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14:paraId="577085A4" w14:textId="77777777" w:rsidTr="0092782F">
        <w:trPr>
          <w:trHeight w:val="427"/>
        </w:trPr>
        <w:tc>
          <w:tcPr>
            <w:tcW w:w="705" w:type="dxa"/>
          </w:tcPr>
          <w:p w14:paraId="6268FA82" w14:textId="77777777" w:rsidR="00F970C6" w:rsidRPr="00F970C6" w:rsidRDefault="00F970C6" w:rsidP="00F970C6">
            <w:pPr>
              <w:ind w:left="57" w:right="57"/>
              <w:rPr>
                <w:bCs/>
                <w:sz w:val="28"/>
                <w:szCs w:val="28"/>
              </w:rPr>
            </w:pPr>
            <w:r w:rsidRPr="00F970C6">
              <w:rPr>
                <w:bCs/>
                <w:sz w:val="28"/>
                <w:szCs w:val="28"/>
              </w:rPr>
              <w:t>1.</w:t>
            </w:r>
          </w:p>
        </w:tc>
        <w:tc>
          <w:tcPr>
            <w:tcW w:w="4535" w:type="dxa"/>
          </w:tcPr>
          <w:p w14:paraId="705F385F" w14:textId="77777777"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4711" w:type="dxa"/>
          </w:tcPr>
          <w:p w14:paraId="10028AFA" w14:textId="77777777" w:rsidR="00F970C6" w:rsidRDefault="00957742" w:rsidP="00D96899">
            <w:pPr>
              <w:ind w:firstLine="715"/>
              <w:jc w:val="both"/>
              <w:rPr>
                <w:rFonts w:eastAsia="Calibri"/>
                <w:sz w:val="28"/>
                <w:szCs w:val="28"/>
                <w:lang w:eastAsia="en-US"/>
              </w:rPr>
            </w:pPr>
            <w:r w:rsidRPr="00A8228F">
              <w:rPr>
                <w:rFonts w:eastAsia="Calibri"/>
                <w:sz w:val="28"/>
                <w:szCs w:val="28"/>
                <w:lang w:eastAsia="en-US"/>
              </w:rPr>
              <w:t>Ekonomikas ministrija</w:t>
            </w:r>
            <w:r w:rsidR="00B653F1" w:rsidRPr="00A8228F">
              <w:rPr>
                <w:rFonts w:eastAsia="Calibri"/>
                <w:sz w:val="28"/>
                <w:szCs w:val="28"/>
                <w:lang w:eastAsia="en-US"/>
              </w:rPr>
              <w:t>.</w:t>
            </w:r>
          </w:p>
          <w:p w14:paraId="4C9A530A" w14:textId="77777777" w:rsidR="00D96899" w:rsidRPr="00F970C6" w:rsidRDefault="00D96899" w:rsidP="00D96899">
            <w:pPr>
              <w:ind w:firstLine="715"/>
              <w:jc w:val="both"/>
              <w:rPr>
                <w:rFonts w:eastAsia="Calibri"/>
                <w:sz w:val="28"/>
                <w:szCs w:val="28"/>
                <w:lang w:eastAsia="en-US"/>
              </w:rPr>
            </w:pPr>
          </w:p>
        </w:tc>
      </w:tr>
      <w:tr w:rsidR="00F970C6" w:rsidRPr="00F970C6" w14:paraId="7DACA970" w14:textId="77777777" w:rsidTr="0092782F">
        <w:trPr>
          <w:trHeight w:val="463"/>
        </w:trPr>
        <w:tc>
          <w:tcPr>
            <w:tcW w:w="705" w:type="dxa"/>
          </w:tcPr>
          <w:p w14:paraId="12C3CAB5" w14:textId="77777777" w:rsidR="00F970C6" w:rsidRPr="00F970C6" w:rsidRDefault="00F970C6" w:rsidP="00F970C6">
            <w:pPr>
              <w:ind w:left="57" w:right="57"/>
              <w:rPr>
                <w:bCs/>
                <w:sz w:val="28"/>
                <w:szCs w:val="28"/>
              </w:rPr>
            </w:pPr>
            <w:r w:rsidRPr="00F970C6">
              <w:rPr>
                <w:bCs/>
                <w:sz w:val="28"/>
                <w:szCs w:val="28"/>
              </w:rPr>
              <w:t>2.</w:t>
            </w:r>
          </w:p>
        </w:tc>
        <w:tc>
          <w:tcPr>
            <w:tcW w:w="4535" w:type="dxa"/>
          </w:tcPr>
          <w:p w14:paraId="7C444B55" w14:textId="77777777"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14:paraId="630AE3F4" w14:textId="77777777"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4711" w:type="dxa"/>
          </w:tcPr>
          <w:p w14:paraId="33D7ED05" w14:textId="77777777"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14:paraId="5E32B15B" w14:textId="77777777" w:rsidTr="0092782F">
        <w:trPr>
          <w:trHeight w:val="366"/>
        </w:trPr>
        <w:tc>
          <w:tcPr>
            <w:tcW w:w="705" w:type="dxa"/>
          </w:tcPr>
          <w:p w14:paraId="63ED189C" w14:textId="77777777" w:rsidR="00F970C6" w:rsidRPr="00F970C6" w:rsidRDefault="00F970C6" w:rsidP="00F970C6">
            <w:pPr>
              <w:ind w:left="57" w:right="57"/>
              <w:rPr>
                <w:bCs/>
                <w:sz w:val="28"/>
                <w:szCs w:val="28"/>
              </w:rPr>
            </w:pPr>
            <w:r w:rsidRPr="00F970C6">
              <w:rPr>
                <w:bCs/>
                <w:sz w:val="28"/>
                <w:szCs w:val="28"/>
              </w:rPr>
              <w:t xml:space="preserve">3. </w:t>
            </w:r>
          </w:p>
        </w:tc>
        <w:tc>
          <w:tcPr>
            <w:tcW w:w="4535" w:type="dxa"/>
          </w:tcPr>
          <w:p w14:paraId="19D5FA4E" w14:textId="77777777" w:rsidR="00F970C6" w:rsidRPr="00F970C6" w:rsidRDefault="00F970C6" w:rsidP="00F970C6">
            <w:pPr>
              <w:ind w:left="57" w:right="57"/>
              <w:rPr>
                <w:sz w:val="28"/>
                <w:szCs w:val="28"/>
              </w:rPr>
            </w:pPr>
            <w:r w:rsidRPr="00F970C6">
              <w:rPr>
                <w:sz w:val="28"/>
                <w:szCs w:val="28"/>
              </w:rPr>
              <w:t>Cita informācija</w:t>
            </w:r>
          </w:p>
        </w:tc>
        <w:tc>
          <w:tcPr>
            <w:tcW w:w="4711" w:type="dxa"/>
          </w:tcPr>
          <w:p w14:paraId="40F04FD0" w14:textId="77777777" w:rsidR="00F970C6" w:rsidRPr="00F970C6" w:rsidRDefault="00F970C6" w:rsidP="00F970C6">
            <w:pPr>
              <w:ind w:left="57" w:right="57"/>
              <w:jc w:val="both"/>
              <w:rPr>
                <w:bCs/>
                <w:sz w:val="28"/>
                <w:szCs w:val="28"/>
              </w:rPr>
            </w:pPr>
            <w:r w:rsidRPr="00F970C6">
              <w:rPr>
                <w:bCs/>
                <w:sz w:val="28"/>
                <w:szCs w:val="28"/>
              </w:rPr>
              <w:t>Nav.</w:t>
            </w:r>
          </w:p>
        </w:tc>
      </w:tr>
    </w:tbl>
    <w:p w14:paraId="53D40413" w14:textId="2BAF7C8A" w:rsidR="005C6282" w:rsidRDefault="005C6282" w:rsidP="005C6282">
      <w:pPr>
        <w:tabs>
          <w:tab w:val="left" w:pos="6885"/>
        </w:tabs>
        <w:rPr>
          <w:b/>
          <w:sz w:val="28"/>
          <w:szCs w:val="28"/>
        </w:rPr>
      </w:pPr>
    </w:p>
    <w:p w14:paraId="5B6A08FD" w14:textId="0DBA7FFA" w:rsidR="00F06F2B" w:rsidRDefault="00F06F2B" w:rsidP="005C6282">
      <w:pPr>
        <w:tabs>
          <w:tab w:val="left" w:pos="6885"/>
        </w:tabs>
        <w:rPr>
          <w:sz w:val="28"/>
          <w:szCs w:val="28"/>
        </w:rPr>
      </w:pPr>
      <w:r>
        <w:rPr>
          <w:sz w:val="28"/>
          <w:szCs w:val="28"/>
        </w:rPr>
        <w:t>Iesniedzējs:</w:t>
      </w:r>
    </w:p>
    <w:p w14:paraId="07AD3282" w14:textId="011345D1" w:rsidR="005C6282" w:rsidRDefault="005C6282" w:rsidP="005C6282">
      <w:pPr>
        <w:tabs>
          <w:tab w:val="left" w:pos="6885"/>
        </w:tabs>
        <w:rPr>
          <w:sz w:val="28"/>
          <w:szCs w:val="28"/>
        </w:rPr>
      </w:pPr>
      <w:r>
        <w:rPr>
          <w:sz w:val="28"/>
          <w:szCs w:val="28"/>
        </w:rPr>
        <w:t>Ministru prezidenta biedrs,</w:t>
      </w:r>
    </w:p>
    <w:p w14:paraId="1A776465" w14:textId="77777777" w:rsidR="005C6282" w:rsidRDefault="005C6282" w:rsidP="005C6282">
      <w:pPr>
        <w:tabs>
          <w:tab w:val="left" w:pos="6885"/>
        </w:tabs>
        <w:rPr>
          <w:sz w:val="28"/>
          <w:szCs w:val="28"/>
        </w:rPr>
      </w:pPr>
      <w:r>
        <w:rPr>
          <w:sz w:val="28"/>
          <w:szCs w:val="28"/>
        </w:rPr>
        <w:t>ekonomikas ministrs</w:t>
      </w:r>
      <w:r>
        <w:rPr>
          <w:sz w:val="28"/>
          <w:szCs w:val="28"/>
        </w:rPr>
        <w:tab/>
      </w:r>
      <w:r>
        <w:rPr>
          <w:sz w:val="28"/>
          <w:szCs w:val="28"/>
        </w:rPr>
        <w:tab/>
        <w:t>A. Ašeradens</w:t>
      </w:r>
    </w:p>
    <w:p w14:paraId="71532EE3" w14:textId="77777777" w:rsidR="005C6282" w:rsidRDefault="005C6282" w:rsidP="005C6282">
      <w:pPr>
        <w:tabs>
          <w:tab w:val="left" w:pos="6885"/>
        </w:tabs>
        <w:rPr>
          <w:sz w:val="28"/>
          <w:szCs w:val="28"/>
        </w:rPr>
      </w:pPr>
    </w:p>
    <w:p w14:paraId="1F3A9D26" w14:textId="77777777" w:rsidR="005C6282" w:rsidRDefault="005C6282" w:rsidP="005C6282">
      <w:pPr>
        <w:tabs>
          <w:tab w:val="left" w:pos="7655"/>
        </w:tabs>
        <w:rPr>
          <w:sz w:val="28"/>
          <w:szCs w:val="28"/>
        </w:rPr>
      </w:pPr>
      <w:r>
        <w:rPr>
          <w:sz w:val="28"/>
          <w:szCs w:val="28"/>
        </w:rPr>
        <w:t xml:space="preserve">Vīza: </w:t>
      </w:r>
    </w:p>
    <w:p w14:paraId="26AB76D3" w14:textId="05B726A6" w:rsidR="005C6282" w:rsidRDefault="005C6282" w:rsidP="005C6282">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14:paraId="50E3CF90" w14:textId="77777777" w:rsidR="0092782F" w:rsidRDefault="0092782F" w:rsidP="005C6282">
      <w:pPr>
        <w:pStyle w:val="NormalWeb"/>
        <w:spacing w:before="0" w:beforeAutospacing="0" w:after="0" w:afterAutospacing="0"/>
        <w:rPr>
          <w:rFonts w:ascii="Times New Roman" w:hAnsi="Times New Roman" w:cs="Times New Roman"/>
          <w:sz w:val="20"/>
          <w:szCs w:val="20"/>
          <w:lang w:val="lv-LV"/>
        </w:rPr>
      </w:pPr>
    </w:p>
    <w:p w14:paraId="0DEC72F2" w14:textId="50546642" w:rsidR="005C6282" w:rsidRDefault="00D64261" w:rsidP="005C6282">
      <w:pPr>
        <w:pStyle w:val="NormalWeb"/>
        <w:spacing w:before="0" w:beforeAutospacing="0" w:after="0" w:afterAutospacing="0"/>
        <w:rPr>
          <w:rFonts w:ascii="Times New Roman" w:hAnsi="Times New Roman" w:cs="Times New Roman"/>
          <w:sz w:val="20"/>
          <w:szCs w:val="20"/>
          <w:lang w:val="lv-LV"/>
        </w:rPr>
      </w:pPr>
      <w:bookmarkStart w:id="0" w:name="_GoBack"/>
      <w:bookmarkEnd w:id="0"/>
      <w:r>
        <w:rPr>
          <w:rFonts w:ascii="Times New Roman" w:hAnsi="Times New Roman" w:cs="Times New Roman"/>
          <w:sz w:val="20"/>
          <w:szCs w:val="20"/>
          <w:lang w:val="lv-LV"/>
        </w:rPr>
        <w:t>2</w:t>
      </w:r>
      <w:r w:rsidR="00530DA6">
        <w:rPr>
          <w:rFonts w:ascii="Times New Roman" w:hAnsi="Times New Roman" w:cs="Times New Roman"/>
          <w:sz w:val="20"/>
          <w:szCs w:val="20"/>
          <w:lang w:val="lv-LV"/>
        </w:rPr>
        <w:t>5</w:t>
      </w:r>
      <w:r w:rsidR="005C6282">
        <w:rPr>
          <w:rFonts w:ascii="Times New Roman" w:hAnsi="Times New Roman" w:cs="Times New Roman"/>
          <w:sz w:val="20"/>
          <w:szCs w:val="20"/>
          <w:lang w:val="lv-LV"/>
        </w:rPr>
        <w:t xml:space="preserve">.08.2017. </w:t>
      </w:r>
      <w:r w:rsidR="00116990">
        <w:rPr>
          <w:rFonts w:ascii="Times New Roman" w:hAnsi="Times New Roman" w:cs="Times New Roman"/>
          <w:sz w:val="20"/>
          <w:szCs w:val="20"/>
          <w:lang w:val="lv-LV"/>
        </w:rPr>
        <w:t>13</w:t>
      </w:r>
      <w:r w:rsidR="005C6282">
        <w:rPr>
          <w:rFonts w:ascii="Times New Roman" w:hAnsi="Times New Roman" w:cs="Times New Roman"/>
          <w:sz w:val="20"/>
          <w:szCs w:val="20"/>
          <w:lang w:val="lv-LV"/>
        </w:rPr>
        <w:t>:</w:t>
      </w:r>
      <w:r w:rsidR="00116990">
        <w:rPr>
          <w:rFonts w:ascii="Times New Roman" w:hAnsi="Times New Roman" w:cs="Times New Roman"/>
          <w:sz w:val="20"/>
          <w:szCs w:val="20"/>
          <w:lang w:val="lv-LV"/>
        </w:rPr>
        <w:t>02</w:t>
      </w:r>
    </w:p>
    <w:p w14:paraId="43025A1F" w14:textId="20AD7573" w:rsidR="005C6282" w:rsidRDefault="005F02E7" w:rsidP="005C6282">
      <w:pPr>
        <w:pStyle w:val="NormalWeb"/>
        <w:spacing w:before="0" w:beforeAutospacing="0" w:after="0" w:afterAutospacing="0"/>
        <w:rPr>
          <w:rFonts w:ascii="Times New Roman" w:hAnsi="Times New Roman" w:cs="Times New Roman"/>
          <w:sz w:val="20"/>
          <w:szCs w:val="20"/>
          <w:lang w:val="lv-LV"/>
        </w:rPr>
      </w:pPr>
      <w:r>
        <w:rPr>
          <w:rFonts w:ascii="Times New Roman" w:hAnsi="Times New Roman" w:cs="Times New Roman"/>
          <w:sz w:val="20"/>
          <w:szCs w:val="20"/>
          <w:lang w:val="lv-LV"/>
        </w:rPr>
        <w:t>9</w:t>
      </w:r>
      <w:r w:rsidR="00116990">
        <w:rPr>
          <w:rFonts w:ascii="Times New Roman" w:hAnsi="Times New Roman" w:cs="Times New Roman"/>
          <w:sz w:val="20"/>
          <w:szCs w:val="20"/>
          <w:lang w:val="lv-LV"/>
        </w:rPr>
        <w:t>74</w:t>
      </w:r>
    </w:p>
    <w:p w14:paraId="4C48378B" w14:textId="77777777" w:rsidR="005C6282" w:rsidRDefault="005C6282" w:rsidP="005C6282">
      <w:pPr>
        <w:pStyle w:val="naisf"/>
        <w:spacing w:before="0" w:after="0"/>
        <w:ind w:firstLine="0"/>
        <w:rPr>
          <w:sz w:val="20"/>
          <w:szCs w:val="20"/>
        </w:rPr>
      </w:pPr>
      <w:r>
        <w:rPr>
          <w:sz w:val="20"/>
          <w:szCs w:val="20"/>
        </w:rPr>
        <w:t>Zelča 67013163,</w:t>
      </w:r>
    </w:p>
    <w:p w14:paraId="47FBE465" w14:textId="4F979C0C" w:rsidR="00367CBE" w:rsidRPr="001E6360" w:rsidRDefault="005C6282" w:rsidP="0085049F">
      <w:pPr>
        <w:pStyle w:val="naisf"/>
        <w:spacing w:before="0" w:after="0"/>
        <w:ind w:firstLine="0"/>
        <w:rPr>
          <w:sz w:val="20"/>
          <w:szCs w:val="20"/>
        </w:rPr>
      </w:pPr>
      <w:r>
        <w:rPr>
          <w:sz w:val="20"/>
          <w:szCs w:val="20"/>
        </w:rPr>
        <w:t xml:space="preserve">Inese.Zelca@em.gov.lv </w:t>
      </w:r>
    </w:p>
    <w:sectPr w:rsidR="00367CBE" w:rsidRPr="001E6360" w:rsidSect="0092782F">
      <w:headerReference w:type="even" r:id="rId8"/>
      <w:headerReference w:type="default" r:id="rId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6CA81" w14:textId="77777777" w:rsidR="000A1D94" w:rsidRDefault="000A1D94" w:rsidP="00523538">
      <w:r>
        <w:separator/>
      </w:r>
    </w:p>
  </w:endnote>
  <w:endnote w:type="continuationSeparator" w:id="0">
    <w:p w14:paraId="09948BF4" w14:textId="77777777" w:rsidR="000A1D94" w:rsidRDefault="000A1D94"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308" w14:textId="4927F270" w:rsidR="00DE1C13" w:rsidRPr="000840A6" w:rsidRDefault="000A1D94" w:rsidP="000840A6">
    <w:pPr>
      <w:pStyle w:val="Footer"/>
    </w:pPr>
    <w:r>
      <w:fldChar w:fldCharType="begin"/>
    </w:r>
    <w:r>
      <w:instrText xml:space="preserve"> FILENAME   \* MERGEFORMAT </w:instrText>
    </w:r>
    <w:r>
      <w:fldChar w:fldCharType="separate"/>
    </w:r>
    <w:r w:rsidR="00E02D8F">
      <w:rPr>
        <w:noProof/>
      </w:rPr>
      <w:t>EMAnot_250817_Dziv_priv_lik.docx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9C6" w14:textId="550C5ED4" w:rsidR="00F16FD2" w:rsidRPr="00F16FD2" w:rsidRDefault="00F16FD2" w:rsidP="00F16FD2">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00E02D8F">
      <w:rPr>
        <w:rFonts w:ascii="Times New Roman" w:hAnsi="Times New Roman" w:cs="Times New Roman"/>
        <w:b w:val="0"/>
        <w:noProof/>
        <w:color w:val="auto"/>
      </w:rPr>
      <w:t>EMAnot_250817_Dziv_priv_lik.docx</w:t>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A92DC" w14:textId="77777777" w:rsidR="000A1D94" w:rsidRDefault="000A1D94" w:rsidP="00523538">
      <w:r>
        <w:separator/>
      </w:r>
    </w:p>
  </w:footnote>
  <w:footnote w:type="continuationSeparator" w:id="0">
    <w:p w14:paraId="30E1531A" w14:textId="77777777" w:rsidR="000A1D94" w:rsidRDefault="000A1D94" w:rsidP="0052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BEEA" w14:textId="7777777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2DF3E" w14:textId="77777777" w:rsidR="00DE1C13" w:rsidRDefault="000A1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7F2" w14:textId="037EA9EA"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82F">
      <w:rPr>
        <w:rStyle w:val="PageNumber"/>
        <w:noProof/>
      </w:rPr>
      <w:t>5</w:t>
    </w:r>
    <w:r>
      <w:rPr>
        <w:rStyle w:val="PageNumber"/>
      </w:rPr>
      <w:fldChar w:fldCharType="end"/>
    </w:r>
  </w:p>
  <w:p w14:paraId="4C82D830" w14:textId="77777777" w:rsidR="00DE1C13" w:rsidRDefault="000A1D94">
    <w:pPr>
      <w:pStyle w:val="Header"/>
    </w:pPr>
  </w:p>
  <w:p w14:paraId="52AC8B38" w14:textId="77777777" w:rsidR="00372711" w:rsidRDefault="00372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C22203"/>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4"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6"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7" w15:restartNumberingAfterBreak="0">
    <w:nsid w:val="4BBE6D8B"/>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9" w15:restartNumberingAfterBreak="0">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1E0D"/>
    <w:rsid w:val="00053474"/>
    <w:rsid w:val="0005374B"/>
    <w:rsid w:val="00055D6E"/>
    <w:rsid w:val="00057C1B"/>
    <w:rsid w:val="00057EBB"/>
    <w:rsid w:val="00070763"/>
    <w:rsid w:val="000717D7"/>
    <w:rsid w:val="000832C5"/>
    <w:rsid w:val="00083CE1"/>
    <w:rsid w:val="000840A6"/>
    <w:rsid w:val="000853F7"/>
    <w:rsid w:val="000862DD"/>
    <w:rsid w:val="0008775F"/>
    <w:rsid w:val="000A1D94"/>
    <w:rsid w:val="000A5B33"/>
    <w:rsid w:val="000B0040"/>
    <w:rsid w:val="000B1D1A"/>
    <w:rsid w:val="000C1B72"/>
    <w:rsid w:val="000C26CD"/>
    <w:rsid w:val="000C6353"/>
    <w:rsid w:val="000D0E66"/>
    <w:rsid w:val="000D482B"/>
    <w:rsid w:val="000D5949"/>
    <w:rsid w:val="000D62F1"/>
    <w:rsid w:val="000D652E"/>
    <w:rsid w:val="000E03BE"/>
    <w:rsid w:val="000E18BC"/>
    <w:rsid w:val="000E1DF8"/>
    <w:rsid w:val="000E7346"/>
    <w:rsid w:val="000F1A89"/>
    <w:rsid w:val="000F3BA5"/>
    <w:rsid w:val="000F6C98"/>
    <w:rsid w:val="000F6EE8"/>
    <w:rsid w:val="001026F6"/>
    <w:rsid w:val="0011322A"/>
    <w:rsid w:val="00116990"/>
    <w:rsid w:val="0013254B"/>
    <w:rsid w:val="00132805"/>
    <w:rsid w:val="00137D7B"/>
    <w:rsid w:val="00140071"/>
    <w:rsid w:val="0015045A"/>
    <w:rsid w:val="001510FA"/>
    <w:rsid w:val="0015498F"/>
    <w:rsid w:val="00160D2E"/>
    <w:rsid w:val="001617C4"/>
    <w:rsid w:val="00161C9B"/>
    <w:rsid w:val="001623BB"/>
    <w:rsid w:val="00162BEB"/>
    <w:rsid w:val="001736EB"/>
    <w:rsid w:val="001746F0"/>
    <w:rsid w:val="001764E7"/>
    <w:rsid w:val="00182511"/>
    <w:rsid w:val="00184666"/>
    <w:rsid w:val="001866D4"/>
    <w:rsid w:val="00192D7F"/>
    <w:rsid w:val="001939E0"/>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3E9A"/>
    <w:rsid w:val="00235F2C"/>
    <w:rsid w:val="0024146D"/>
    <w:rsid w:val="00244E59"/>
    <w:rsid w:val="00251B76"/>
    <w:rsid w:val="00251D52"/>
    <w:rsid w:val="00252C26"/>
    <w:rsid w:val="002555D7"/>
    <w:rsid w:val="00263AEA"/>
    <w:rsid w:val="00264DEF"/>
    <w:rsid w:val="00264F4D"/>
    <w:rsid w:val="00265B85"/>
    <w:rsid w:val="00270A6A"/>
    <w:rsid w:val="00271E2E"/>
    <w:rsid w:val="0027371E"/>
    <w:rsid w:val="00273937"/>
    <w:rsid w:val="0028075D"/>
    <w:rsid w:val="002813CC"/>
    <w:rsid w:val="00281C85"/>
    <w:rsid w:val="00282F77"/>
    <w:rsid w:val="00283947"/>
    <w:rsid w:val="00293715"/>
    <w:rsid w:val="002A2146"/>
    <w:rsid w:val="002A4883"/>
    <w:rsid w:val="002A531A"/>
    <w:rsid w:val="002A5789"/>
    <w:rsid w:val="002A5F41"/>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5776B"/>
    <w:rsid w:val="003624BE"/>
    <w:rsid w:val="0036362C"/>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46AE"/>
    <w:rsid w:val="003E5ED8"/>
    <w:rsid w:val="003F1A06"/>
    <w:rsid w:val="003F5C7E"/>
    <w:rsid w:val="003F5D53"/>
    <w:rsid w:val="004005AD"/>
    <w:rsid w:val="00401C57"/>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1A"/>
    <w:rsid w:val="004A2A35"/>
    <w:rsid w:val="004A414F"/>
    <w:rsid w:val="004B366F"/>
    <w:rsid w:val="004B6AE9"/>
    <w:rsid w:val="004B78E3"/>
    <w:rsid w:val="004B7C30"/>
    <w:rsid w:val="004C4150"/>
    <w:rsid w:val="004C6F70"/>
    <w:rsid w:val="004C768C"/>
    <w:rsid w:val="004D438B"/>
    <w:rsid w:val="004D49CF"/>
    <w:rsid w:val="004E0281"/>
    <w:rsid w:val="004E1E2B"/>
    <w:rsid w:val="004E38B7"/>
    <w:rsid w:val="004E7334"/>
    <w:rsid w:val="004F2B01"/>
    <w:rsid w:val="004F3CDA"/>
    <w:rsid w:val="004F4D19"/>
    <w:rsid w:val="004F54C5"/>
    <w:rsid w:val="004F78DA"/>
    <w:rsid w:val="005021E8"/>
    <w:rsid w:val="005060F3"/>
    <w:rsid w:val="00507A2F"/>
    <w:rsid w:val="0051016E"/>
    <w:rsid w:val="005101B8"/>
    <w:rsid w:val="00512BD1"/>
    <w:rsid w:val="00523538"/>
    <w:rsid w:val="00525AFA"/>
    <w:rsid w:val="00530DA6"/>
    <w:rsid w:val="0053136A"/>
    <w:rsid w:val="00540E36"/>
    <w:rsid w:val="00542B31"/>
    <w:rsid w:val="005448B6"/>
    <w:rsid w:val="005507BA"/>
    <w:rsid w:val="00553557"/>
    <w:rsid w:val="0056293E"/>
    <w:rsid w:val="0056348F"/>
    <w:rsid w:val="00564642"/>
    <w:rsid w:val="005714A9"/>
    <w:rsid w:val="005752F5"/>
    <w:rsid w:val="00575537"/>
    <w:rsid w:val="00575766"/>
    <w:rsid w:val="00582474"/>
    <w:rsid w:val="005857E6"/>
    <w:rsid w:val="00590C14"/>
    <w:rsid w:val="00591F15"/>
    <w:rsid w:val="00597306"/>
    <w:rsid w:val="005A2488"/>
    <w:rsid w:val="005A2753"/>
    <w:rsid w:val="005A2806"/>
    <w:rsid w:val="005A5748"/>
    <w:rsid w:val="005A5CF0"/>
    <w:rsid w:val="005A60EE"/>
    <w:rsid w:val="005B1E6A"/>
    <w:rsid w:val="005B3D79"/>
    <w:rsid w:val="005C1292"/>
    <w:rsid w:val="005C6282"/>
    <w:rsid w:val="005D66D4"/>
    <w:rsid w:val="005E16FE"/>
    <w:rsid w:val="005E589E"/>
    <w:rsid w:val="005E64BF"/>
    <w:rsid w:val="005F02E7"/>
    <w:rsid w:val="005F372D"/>
    <w:rsid w:val="00601E41"/>
    <w:rsid w:val="0060451A"/>
    <w:rsid w:val="00610AC4"/>
    <w:rsid w:val="006172A7"/>
    <w:rsid w:val="00622CFA"/>
    <w:rsid w:val="00623075"/>
    <w:rsid w:val="0062471A"/>
    <w:rsid w:val="00624A1E"/>
    <w:rsid w:val="0062555B"/>
    <w:rsid w:val="006267E9"/>
    <w:rsid w:val="00634495"/>
    <w:rsid w:val="00634C78"/>
    <w:rsid w:val="0063607F"/>
    <w:rsid w:val="006443BF"/>
    <w:rsid w:val="00644E77"/>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46C0"/>
    <w:rsid w:val="006E1D1F"/>
    <w:rsid w:val="006E7544"/>
    <w:rsid w:val="006F2EC1"/>
    <w:rsid w:val="0070019A"/>
    <w:rsid w:val="00702AD0"/>
    <w:rsid w:val="00713E8A"/>
    <w:rsid w:val="007162F5"/>
    <w:rsid w:val="00723CA5"/>
    <w:rsid w:val="00725326"/>
    <w:rsid w:val="00726B7E"/>
    <w:rsid w:val="00726D1B"/>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31AD"/>
    <w:rsid w:val="007D6734"/>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49F"/>
    <w:rsid w:val="00850ABF"/>
    <w:rsid w:val="008510B6"/>
    <w:rsid w:val="00852692"/>
    <w:rsid w:val="00854927"/>
    <w:rsid w:val="00855368"/>
    <w:rsid w:val="0085606E"/>
    <w:rsid w:val="008600DF"/>
    <w:rsid w:val="00886AC1"/>
    <w:rsid w:val="0089007D"/>
    <w:rsid w:val="00891738"/>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2782F"/>
    <w:rsid w:val="00937C69"/>
    <w:rsid w:val="00940799"/>
    <w:rsid w:val="00944508"/>
    <w:rsid w:val="00946188"/>
    <w:rsid w:val="00953DD7"/>
    <w:rsid w:val="00954AE0"/>
    <w:rsid w:val="00957742"/>
    <w:rsid w:val="00960468"/>
    <w:rsid w:val="00960655"/>
    <w:rsid w:val="00960E67"/>
    <w:rsid w:val="00962D4E"/>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451C"/>
    <w:rsid w:val="009D5D7C"/>
    <w:rsid w:val="009E32B2"/>
    <w:rsid w:val="009E38DB"/>
    <w:rsid w:val="009F0B55"/>
    <w:rsid w:val="009F14D3"/>
    <w:rsid w:val="00A02FAF"/>
    <w:rsid w:val="00A0508B"/>
    <w:rsid w:val="00A10AFB"/>
    <w:rsid w:val="00A152AB"/>
    <w:rsid w:val="00A16955"/>
    <w:rsid w:val="00A16C05"/>
    <w:rsid w:val="00A24E34"/>
    <w:rsid w:val="00A25EA1"/>
    <w:rsid w:val="00A31E9B"/>
    <w:rsid w:val="00A326D4"/>
    <w:rsid w:val="00A35A14"/>
    <w:rsid w:val="00A403EF"/>
    <w:rsid w:val="00A41456"/>
    <w:rsid w:val="00A42361"/>
    <w:rsid w:val="00A43506"/>
    <w:rsid w:val="00A44E94"/>
    <w:rsid w:val="00A52D95"/>
    <w:rsid w:val="00A6035F"/>
    <w:rsid w:val="00A62E50"/>
    <w:rsid w:val="00A65363"/>
    <w:rsid w:val="00A675C7"/>
    <w:rsid w:val="00A72B82"/>
    <w:rsid w:val="00A80E58"/>
    <w:rsid w:val="00A8228F"/>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AF581E"/>
    <w:rsid w:val="00AF5FC4"/>
    <w:rsid w:val="00B02A2E"/>
    <w:rsid w:val="00B05C09"/>
    <w:rsid w:val="00B12EFA"/>
    <w:rsid w:val="00B14A42"/>
    <w:rsid w:val="00B14E0F"/>
    <w:rsid w:val="00B31C03"/>
    <w:rsid w:val="00B42593"/>
    <w:rsid w:val="00B445D2"/>
    <w:rsid w:val="00B47F33"/>
    <w:rsid w:val="00B543AE"/>
    <w:rsid w:val="00B55BD2"/>
    <w:rsid w:val="00B63E40"/>
    <w:rsid w:val="00B653F1"/>
    <w:rsid w:val="00B66A05"/>
    <w:rsid w:val="00B71716"/>
    <w:rsid w:val="00B8010F"/>
    <w:rsid w:val="00B86A36"/>
    <w:rsid w:val="00B86E03"/>
    <w:rsid w:val="00B9742D"/>
    <w:rsid w:val="00B976C1"/>
    <w:rsid w:val="00BA0DC0"/>
    <w:rsid w:val="00BA0F18"/>
    <w:rsid w:val="00BA44C5"/>
    <w:rsid w:val="00BA561A"/>
    <w:rsid w:val="00BA7A5B"/>
    <w:rsid w:val="00BB336D"/>
    <w:rsid w:val="00BB522B"/>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533"/>
    <w:rsid w:val="00C478C1"/>
    <w:rsid w:val="00C47EAC"/>
    <w:rsid w:val="00C551B0"/>
    <w:rsid w:val="00C55809"/>
    <w:rsid w:val="00C57766"/>
    <w:rsid w:val="00C63064"/>
    <w:rsid w:val="00C66CA9"/>
    <w:rsid w:val="00C86F93"/>
    <w:rsid w:val="00C90B15"/>
    <w:rsid w:val="00C9208A"/>
    <w:rsid w:val="00C96A0D"/>
    <w:rsid w:val="00C97959"/>
    <w:rsid w:val="00CA3F51"/>
    <w:rsid w:val="00CA5BF2"/>
    <w:rsid w:val="00CB06ED"/>
    <w:rsid w:val="00CB47D4"/>
    <w:rsid w:val="00CB6A0C"/>
    <w:rsid w:val="00CC0E6A"/>
    <w:rsid w:val="00CC6579"/>
    <w:rsid w:val="00CC7D3A"/>
    <w:rsid w:val="00CE2ACA"/>
    <w:rsid w:val="00CE74CC"/>
    <w:rsid w:val="00CF0E7C"/>
    <w:rsid w:val="00CF3AA2"/>
    <w:rsid w:val="00CF3F35"/>
    <w:rsid w:val="00CF7C7D"/>
    <w:rsid w:val="00D00D82"/>
    <w:rsid w:val="00D11782"/>
    <w:rsid w:val="00D118F0"/>
    <w:rsid w:val="00D140C4"/>
    <w:rsid w:val="00D30804"/>
    <w:rsid w:val="00D35D53"/>
    <w:rsid w:val="00D36344"/>
    <w:rsid w:val="00D36E23"/>
    <w:rsid w:val="00D547ED"/>
    <w:rsid w:val="00D57266"/>
    <w:rsid w:val="00D64261"/>
    <w:rsid w:val="00D64F19"/>
    <w:rsid w:val="00D67310"/>
    <w:rsid w:val="00D73ED5"/>
    <w:rsid w:val="00D75F08"/>
    <w:rsid w:val="00D80E51"/>
    <w:rsid w:val="00D841A5"/>
    <w:rsid w:val="00D862D2"/>
    <w:rsid w:val="00D86FA5"/>
    <w:rsid w:val="00D9446B"/>
    <w:rsid w:val="00D956BB"/>
    <w:rsid w:val="00D96899"/>
    <w:rsid w:val="00DA182E"/>
    <w:rsid w:val="00DA378C"/>
    <w:rsid w:val="00DB0F77"/>
    <w:rsid w:val="00DB7163"/>
    <w:rsid w:val="00DC54A5"/>
    <w:rsid w:val="00DD0C12"/>
    <w:rsid w:val="00DD2A4D"/>
    <w:rsid w:val="00DE03E6"/>
    <w:rsid w:val="00DF33D7"/>
    <w:rsid w:val="00DF6CF1"/>
    <w:rsid w:val="00DF79E3"/>
    <w:rsid w:val="00E01F4F"/>
    <w:rsid w:val="00E02D8F"/>
    <w:rsid w:val="00E1099A"/>
    <w:rsid w:val="00E1633E"/>
    <w:rsid w:val="00E16EF0"/>
    <w:rsid w:val="00E17657"/>
    <w:rsid w:val="00E25523"/>
    <w:rsid w:val="00E2755F"/>
    <w:rsid w:val="00E27AA8"/>
    <w:rsid w:val="00E35E1E"/>
    <w:rsid w:val="00E37553"/>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39D5"/>
    <w:rsid w:val="00F54B46"/>
    <w:rsid w:val="00F56326"/>
    <w:rsid w:val="00F56E8A"/>
    <w:rsid w:val="00F5791E"/>
    <w:rsid w:val="00F64982"/>
    <w:rsid w:val="00F6571B"/>
    <w:rsid w:val="00F66CE6"/>
    <w:rsid w:val="00F6775E"/>
    <w:rsid w:val="00F72687"/>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62A5"/>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323513529">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2BE8-D954-4A72-BC95-34FF91C2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5142</Words>
  <Characters>2932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Grozījums Zemesgrāmatu likumā</dc:subject>
  <dc:creator>Inese Zelča</dc:creator>
  <dc:description>67013163, inese.zelca@em.gov.lv</dc:description>
  <cp:lastModifiedBy>Inese Zelča</cp:lastModifiedBy>
  <cp:revision>5</cp:revision>
  <cp:lastPrinted>2017-08-25T08:06:00Z</cp:lastPrinted>
  <dcterms:created xsi:type="dcterms:W3CDTF">2017-08-25T09:10:00Z</dcterms:created>
  <dcterms:modified xsi:type="dcterms:W3CDTF">2017-08-25T10:08:00Z</dcterms:modified>
</cp:coreProperties>
</file>