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801B0" w14:textId="183B5CEE" w:rsidR="00A83B09" w:rsidRPr="004024C2" w:rsidRDefault="00A83B09" w:rsidP="00A83B09">
      <w:pPr>
        <w:contextualSpacing/>
        <w:jc w:val="center"/>
        <w:outlineLvl w:val="0"/>
        <w:rPr>
          <w:b/>
          <w:bCs/>
        </w:rPr>
      </w:pPr>
      <w:bookmarkStart w:id="0" w:name="OLE_LINK1"/>
      <w:bookmarkStart w:id="1" w:name="OLE_LINK2"/>
      <w:bookmarkStart w:id="2" w:name="OLE_LINK10"/>
      <w:bookmarkStart w:id="3" w:name="OLE_LINK11"/>
      <w:r w:rsidRPr="004024C2">
        <w:rPr>
          <w:b/>
          <w:color w:val="000000"/>
        </w:rPr>
        <w:t xml:space="preserve">Ministru kabineta noteikumu projekta </w:t>
      </w:r>
      <w:bookmarkEnd w:id="0"/>
      <w:bookmarkEnd w:id="1"/>
      <w:r>
        <w:rPr>
          <w:b/>
          <w:bCs/>
        </w:rPr>
        <w:t>“</w:t>
      </w:r>
      <w:r w:rsidRPr="004024C2">
        <w:rPr>
          <w:b/>
          <w:bCs/>
        </w:rPr>
        <w:t>Grozījum</w:t>
      </w:r>
      <w:r>
        <w:rPr>
          <w:b/>
          <w:bCs/>
        </w:rPr>
        <w:t>i</w:t>
      </w:r>
      <w:r w:rsidRPr="004024C2">
        <w:rPr>
          <w:b/>
          <w:bCs/>
        </w:rPr>
        <w:t xml:space="preserve"> </w:t>
      </w:r>
      <w:r w:rsidRPr="004024C2">
        <w:rPr>
          <w:b/>
          <w:color w:val="000000"/>
        </w:rPr>
        <w:t>Ministru kabineta 20</w:t>
      </w:r>
      <w:r>
        <w:rPr>
          <w:b/>
          <w:color w:val="000000"/>
        </w:rPr>
        <w:t>09.</w:t>
      </w:r>
      <w:r w:rsidR="00491BAE" w:rsidDel="00491BAE">
        <w:rPr>
          <w:b/>
          <w:color w:val="000000"/>
        </w:rPr>
        <w:t xml:space="preserve"> </w:t>
      </w:r>
      <w:r>
        <w:rPr>
          <w:b/>
          <w:color w:val="000000"/>
        </w:rPr>
        <w:t>gada 10</w:t>
      </w:r>
      <w:r w:rsidRPr="004024C2">
        <w:rPr>
          <w:b/>
          <w:color w:val="000000"/>
        </w:rPr>
        <w:t>.</w:t>
      </w:r>
      <w:r w:rsidR="00AB5087">
        <w:rPr>
          <w:b/>
          <w:color w:val="000000"/>
        </w:rPr>
        <w:t> </w:t>
      </w:r>
      <w:r w:rsidRPr="004024C2">
        <w:rPr>
          <w:b/>
          <w:color w:val="000000"/>
        </w:rPr>
        <w:t>marta noteikumos Nr.2</w:t>
      </w:r>
      <w:r>
        <w:rPr>
          <w:b/>
          <w:color w:val="000000"/>
        </w:rPr>
        <w:t>21</w:t>
      </w:r>
      <w:r w:rsidRPr="004024C2">
        <w:rPr>
          <w:b/>
          <w:color w:val="000000"/>
        </w:rPr>
        <w:t xml:space="preserve"> </w:t>
      </w:r>
      <w:r>
        <w:rPr>
          <w:b/>
          <w:color w:val="000000"/>
        </w:rPr>
        <w:t>“</w:t>
      </w:r>
      <w:r w:rsidRPr="00BA077D">
        <w:rPr>
          <w:b/>
          <w:color w:val="000000"/>
        </w:rPr>
        <w:t>Noteikumi par elektroenerģijas ra</w:t>
      </w:r>
      <w:r>
        <w:rPr>
          <w:b/>
          <w:color w:val="000000"/>
        </w:rPr>
        <w:t>žošanu un cenu noteikšan</w:t>
      </w:r>
      <w:r w:rsidRPr="00BA077D">
        <w:rPr>
          <w:b/>
          <w:color w:val="000000"/>
        </w:rPr>
        <w:t>u</w:t>
      </w:r>
      <w:r>
        <w:rPr>
          <w:b/>
          <w:color w:val="000000"/>
        </w:rPr>
        <w:t>, ražojot elektroenerģiju koģenerācijā</w:t>
      </w:r>
      <w:r w:rsidRPr="004024C2">
        <w:rPr>
          <w:b/>
          <w:color w:val="000000"/>
        </w:rPr>
        <w:t>”</w:t>
      </w:r>
      <w:r w:rsidRPr="004024C2">
        <w:rPr>
          <w:b/>
          <w:bCs/>
        </w:rPr>
        <w:t>” 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86"/>
        <w:gridCol w:w="6037"/>
      </w:tblGrid>
      <w:tr w:rsidR="001C1A2E" w:rsidRPr="002763E8" w14:paraId="37A7223A" w14:textId="77777777" w:rsidTr="00AC1F53">
        <w:tc>
          <w:tcPr>
            <w:tcW w:w="9444" w:type="dxa"/>
            <w:gridSpan w:val="3"/>
            <w:vAlign w:val="center"/>
          </w:tcPr>
          <w:bookmarkEnd w:id="2"/>
          <w:bookmarkEnd w:id="3"/>
          <w:p w14:paraId="05FC35C3" w14:textId="77777777" w:rsidR="001C1A2E" w:rsidRPr="006E2F36" w:rsidRDefault="001C1A2E" w:rsidP="008667DC">
            <w:pPr>
              <w:pStyle w:val="naisnod"/>
              <w:spacing w:before="0" w:beforeAutospacing="0" w:after="0" w:afterAutospacing="0"/>
              <w:jc w:val="center"/>
              <w:rPr>
                <w:b/>
                <w:color w:val="000000" w:themeColor="text1"/>
              </w:rPr>
            </w:pPr>
            <w:r w:rsidRPr="006E2F36">
              <w:rPr>
                <w:b/>
                <w:color w:val="000000" w:themeColor="text1"/>
              </w:rPr>
              <w:t>I. Tiesību akta projekta izstrādes nepieciešamība</w:t>
            </w:r>
          </w:p>
        </w:tc>
      </w:tr>
      <w:tr w:rsidR="001C1A2E" w:rsidRPr="002763E8" w14:paraId="5F0E2E4B" w14:textId="77777777" w:rsidTr="001E1CB2">
        <w:trPr>
          <w:trHeight w:val="1966"/>
        </w:trPr>
        <w:tc>
          <w:tcPr>
            <w:tcW w:w="421" w:type="dxa"/>
          </w:tcPr>
          <w:p w14:paraId="21D8E13D" w14:textId="77777777"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1.</w:t>
            </w:r>
          </w:p>
        </w:tc>
        <w:tc>
          <w:tcPr>
            <w:tcW w:w="2986" w:type="dxa"/>
          </w:tcPr>
          <w:p w14:paraId="1845B6A8" w14:textId="2722CA4B" w:rsidR="002D552E" w:rsidRDefault="001C1A2E" w:rsidP="008667DC">
            <w:pPr>
              <w:pStyle w:val="naiskr"/>
              <w:spacing w:before="0" w:beforeAutospacing="0" w:after="0" w:afterAutospacing="0"/>
              <w:ind w:hanging="10"/>
              <w:rPr>
                <w:color w:val="000000" w:themeColor="text1"/>
              </w:rPr>
            </w:pPr>
            <w:r w:rsidRPr="0016387A">
              <w:rPr>
                <w:color w:val="000000" w:themeColor="text1"/>
              </w:rPr>
              <w:t>Pamatojums</w:t>
            </w:r>
          </w:p>
          <w:p w14:paraId="1789791D" w14:textId="77777777" w:rsidR="002D552E" w:rsidRPr="002D552E" w:rsidRDefault="002D552E" w:rsidP="002D552E"/>
          <w:p w14:paraId="39DB2FC9" w14:textId="77777777" w:rsidR="002D552E" w:rsidRPr="002D552E" w:rsidRDefault="002D552E" w:rsidP="002D552E"/>
          <w:p w14:paraId="2AB824D8" w14:textId="77777777" w:rsidR="002D552E" w:rsidRPr="002D552E" w:rsidRDefault="002D552E" w:rsidP="002D552E"/>
          <w:p w14:paraId="09436CC8" w14:textId="77777777" w:rsidR="002D552E" w:rsidRPr="002D552E" w:rsidRDefault="002D552E" w:rsidP="002D552E"/>
          <w:p w14:paraId="6F9DF3D5" w14:textId="77777777" w:rsidR="002D552E" w:rsidRPr="002D552E" w:rsidRDefault="002D552E" w:rsidP="002D552E"/>
          <w:p w14:paraId="2ED5F180" w14:textId="77777777" w:rsidR="002D552E" w:rsidRPr="002D552E" w:rsidRDefault="002D552E" w:rsidP="002D552E"/>
          <w:p w14:paraId="3F6695AF" w14:textId="77777777" w:rsidR="002D552E" w:rsidRPr="002D552E" w:rsidRDefault="002D552E" w:rsidP="002D552E"/>
          <w:p w14:paraId="70DB18A3" w14:textId="77777777" w:rsidR="002D552E" w:rsidRPr="002D552E" w:rsidRDefault="002D552E" w:rsidP="002D552E"/>
          <w:p w14:paraId="4A596EED" w14:textId="77777777" w:rsidR="002D552E" w:rsidRPr="002D552E" w:rsidRDefault="002D552E" w:rsidP="002D552E"/>
          <w:p w14:paraId="22348D67" w14:textId="77777777" w:rsidR="002D552E" w:rsidRPr="002D552E" w:rsidRDefault="002D552E" w:rsidP="002D552E"/>
          <w:p w14:paraId="01415325" w14:textId="77777777" w:rsidR="002D552E" w:rsidRPr="002D552E" w:rsidRDefault="002D552E" w:rsidP="002D552E"/>
          <w:p w14:paraId="48F1E16A" w14:textId="77777777" w:rsidR="002D552E" w:rsidRPr="002D552E" w:rsidRDefault="002D552E" w:rsidP="002D552E"/>
          <w:p w14:paraId="72D4C1D8" w14:textId="77777777" w:rsidR="002D552E" w:rsidRPr="002D552E" w:rsidRDefault="002D552E" w:rsidP="002D552E"/>
          <w:p w14:paraId="6DD703EB" w14:textId="77777777" w:rsidR="002D552E" w:rsidRPr="002D552E" w:rsidRDefault="002D552E" w:rsidP="002D552E"/>
          <w:p w14:paraId="64B968A5" w14:textId="4209F9F3" w:rsidR="002D552E" w:rsidRDefault="002D552E" w:rsidP="002D552E"/>
          <w:p w14:paraId="51F32BD9" w14:textId="77777777" w:rsidR="001C1A2E" w:rsidRPr="002D552E" w:rsidRDefault="001C1A2E" w:rsidP="002D552E">
            <w:pPr>
              <w:jc w:val="center"/>
            </w:pPr>
          </w:p>
        </w:tc>
        <w:tc>
          <w:tcPr>
            <w:tcW w:w="6037" w:type="dxa"/>
          </w:tcPr>
          <w:p w14:paraId="0101E992" w14:textId="508FB83C" w:rsidR="00ED5BD7" w:rsidRPr="00840403" w:rsidRDefault="00ED5BD7" w:rsidP="00ED5BD7">
            <w:pPr>
              <w:spacing w:before="120"/>
              <w:jc w:val="both"/>
            </w:pPr>
            <w:r w:rsidRPr="00840403">
              <w:t xml:space="preserve">Deklarācija par Māra Kučinska vadītā MK iecerēto darbību paredz OIK nepaaugstināšanu virs 26,79 EUR/MWh. </w:t>
            </w:r>
          </w:p>
          <w:p w14:paraId="2B57B6D7" w14:textId="66F4EC8F" w:rsidR="00641F7D" w:rsidRPr="00204997" w:rsidRDefault="00F965CC" w:rsidP="0047451B">
            <w:pPr>
              <w:spacing w:before="120"/>
              <w:jc w:val="both"/>
            </w:pPr>
            <w:r w:rsidRPr="00487D69">
              <w:t xml:space="preserve">Ministru kabineta noteikumu projekts  “Grozījumi Ministru kabineta </w:t>
            </w:r>
            <w:r w:rsidR="00572685" w:rsidRPr="00572685">
              <w:t>2009.</w:t>
            </w:r>
            <w:r w:rsidR="00572685" w:rsidRPr="00572685" w:rsidDel="00491BAE">
              <w:t xml:space="preserve"> </w:t>
            </w:r>
            <w:r w:rsidR="00572685" w:rsidRPr="00572685">
              <w:t>gada 10. marta noteikumos Nr.221 “Noteikumi par elektroenerģijas ražošanu un cenu noteikšanu, ražojot elektroenerģiju koģenerācijā””</w:t>
            </w:r>
            <w:r w:rsidR="00572685">
              <w:t xml:space="preserve"> </w:t>
            </w:r>
            <w:r w:rsidRPr="00487D69">
              <w:t xml:space="preserve">(turpmāk – noteikumu projekts) izstrādāts, pamatojoties uz </w:t>
            </w:r>
            <w:r w:rsidRPr="0061446D">
              <w:t xml:space="preserve">Ministru kabineta 2017.gada </w:t>
            </w:r>
            <w:r w:rsidR="000941CA" w:rsidRPr="0061446D">
              <w:t>2</w:t>
            </w:r>
            <w:r w:rsidR="00D31A53">
              <w:t>2</w:t>
            </w:r>
            <w:r w:rsidRPr="0061446D">
              <w:t>.</w:t>
            </w:r>
            <w:r w:rsidR="0061446D">
              <w:t> </w:t>
            </w:r>
            <w:r w:rsidR="00D31A53">
              <w:t>septembra</w:t>
            </w:r>
            <w:r w:rsidRPr="0061446D">
              <w:t xml:space="preserve"> rīkojuma </w:t>
            </w:r>
            <w:r w:rsidRPr="0006057B">
              <w:t>Nr.</w:t>
            </w:r>
            <w:r w:rsidR="0006057B">
              <w:t> </w:t>
            </w:r>
            <w:r w:rsidR="00203EF7">
              <w:t xml:space="preserve">530 </w:t>
            </w:r>
            <w:r w:rsidRPr="0061446D">
              <w:t>,,Par konceptuālo ziņojumu “</w:t>
            </w:r>
            <w:r w:rsidR="00572685" w:rsidRPr="0061446D">
              <w:t>Kompleksi risinājumi elektroenerģijas tirgus attīstībai</w:t>
            </w:r>
            <w:r w:rsidRPr="0061446D">
              <w:t>””</w:t>
            </w:r>
            <w:r w:rsidRPr="00002666">
              <w:t xml:space="preserve"> </w:t>
            </w:r>
            <w:r w:rsidR="00750298">
              <w:t xml:space="preserve">(turpmāk – rīkojums </w:t>
            </w:r>
            <w:r w:rsidR="0006057B" w:rsidRPr="0006057B">
              <w:t xml:space="preserve"> Nr.</w:t>
            </w:r>
            <w:r w:rsidR="0006057B">
              <w:t> </w:t>
            </w:r>
            <w:r w:rsidR="00203EF7">
              <w:t>530</w:t>
            </w:r>
            <w:r w:rsidR="00750298">
              <w:t xml:space="preserve">) </w:t>
            </w:r>
            <w:r w:rsidRPr="00002666">
              <w:t>1</w:t>
            </w:r>
            <w:r w:rsidR="00002666" w:rsidRPr="00002666">
              <w:t>0</w:t>
            </w:r>
            <w:r w:rsidRPr="00002666">
              <w:t>.</w:t>
            </w:r>
            <w:r w:rsidR="00002666" w:rsidRPr="00002666">
              <w:t>1.</w:t>
            </w:r>
            <w:r w:rsidRPr="00002666">
              <w:t> punktu,</w:t>
            </w:r>
            <w:r w:rsidRPr="00487D69">
              <w:t xml:space="preserve"> kurš paredz, ka Ministru kabineta </w:t>
            </w:r>
            <w:r w:rsidR="00287A68" w:rsidRPr="00572685">
              <w:t>2009.</w:t>
            </w:r>
            <w:r w:rsidR="00287A68" w:rsidRPr="00572685" w:rsidDel="00491BAE">
              <w:t xml:space="preserve"> </w:t>
            </w:r>
            <w:r w:rsidR="00287A68" w:rsidRPr="00572685">
              <w:t>gada 10. marta noteikumos Nr.221 “Noteikumi par elektroenerģijas ražošanu un cenu noteikšanu, ražojot elektroenerģiju koģenerācijā””</w:t>
            </w:r>
            <w:r w:rsidRPr="00487D69">
              <w:t xml:space="preserve"> (turpmāk – Noteikumi Nr. </w:t>
            </w:r>
            <w:r w:rsidR="00287A68">
              <w:t>221</w:t>
            </w:r>
            <w:r w:rsidR="00780444">
              <w:t>) tiek veikti grozījumi nolūkā noteikt kārtību</w:t>
            </w:r>
            <w:r w:rsidR="00287A68" w:rsidRPr="00287A68">
              <w:t>, kādā komersanti, kuri saņem garantētu maksu par koģenerācijas elektrostacijā uzstādīto elektrisko jaudu un kuru uzstādītā elektriskā jauda ir lielāka par 100 MW, 2017.gadā var daļēji atteikties no atlikušajā atbalsta periodā garantētās maksas par koģenerācijas elektrostacijā uzstādīto jaudu</w:t>
            </w:r>
            <w:r w:rsidR="001B638B">
              <w:t>, par to saņemot vienreizēju maksājumu</w:t>
            </w:r>
            <w:r w:rsidR="00DE2681">
              <w:t>.</w:t>
            </w:r>
          </w:p>
        </w:tc>
      </w:tr>
      <w:tr w:rsidR="001C1A2E" w:rsidRPr="00BF1167" w14:paraId="3E6D787E" w14:textId="77777777" w:rsidTr="001E1CB2">
        <w:trPr>
          <w:trHeight w:val="984"/>
        </w:trPr>
        <w:tc>
          <w:tcPr>
            <w:tcW w:w="421" w:type="dxa"/>
          </w:tcPr>
          <w:p w14:paraId="3E12EB6E" w14:textId="795D5C51"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2.</w:t>
            </w:r>
          </w:p>
        </w:tc>
        <w:tc>
          <w:tcPr>
            <w:tcW w:w="2986" w:type="dxa"/>
          </w:tcPr>
          <w:p w14:paraId="76DEC249" w14:textId="77777777" w:rsidR="001C1A2E" w:rsidRPr="002763E8" w:rsidRDefault="001C1A2E" w:rsidP="008667DC">
            <w:pPr>
              <w:pStyle w:val="naiskr"/>
              <w:tabs>
                <w:tab w:val="left" w:pos="170"/>
              </w:tabs>
              <w:spacing w:before="0" w:beforeAutospacing="0" w:after="0" w:afterAutospacing="0"/>
              <w:rPr>
                <w:color w:val="000000" w:themeColor="text1"/>
              </w:rPr>
            </w:pPr>
            <w:r w:rsidRPr="00226CE3">
              <w:rPr>
                <w:color w:val="000000" w:themeColor="text1"/>
              </w:rPr>
              <w:t>Pašreizējā situācija un problēmas, kuru risināšanai tiesību akta projekts izstrādāts, tiesiskā regulējuma mērķis un būtība</w:t>
            </w:r>
          </w:p>
        </w:tc>
        <w:tc>
          <w:tcPr>
            <w:tcW w:w="6037" w:type="dxa"/>
          </w:tcPr>
          <w:p w14:paraId="0D94C7AC" w14:textId="7B442FD9" w:rsidR="008E7ED4" w:rsidRDefault="00374DC8" w:rsidP="00840403">
            <w:pPr>
              <w:spacing w:before="120"/>
              <w:jc w:val="both"/>
            </w:pPr>
            <w:r>
              <w:t xml:space="preserve">Ņemot vērā vēsturiskās </w:t>
            </w:r>
            <w:r w:rsidR="00840403" w:rsidRPr="00840403">
              <w:t xml:space="preserve">tiesības </w:t>
            </w:r>
            <w:r w:rsidR="00840403">
              <w:t xml:space="preserve">elektroenerģijas </w:t>
            </w:r>
            <w:r w:rsidR="00840403" w:rsidRPr="00840403">
              <w:t xml:space="preserve">ražotājiem pārdot saražoto elektroenerģiju </w:t>
            </w:r>
            <w:r w:rsidR="00840403">
              <w:t>obligātā iepirkuma</w:t>
            </w:r>
            <w:r w:rsidR="00840403" w:rsidRPr="00840403">
              <w:t xml:space="preserve"> ietvaros, laika posmā no 2008. gada līdz 2016. gadam </w:t>
            </w:r>
            <w:r w:rsidR="00840403">
              <w:t xml:space="preserve">obligātā iepirkuma komponente (turpmāk – </w:t>
            </w:r>
            <w:r w:rsidR="00840403" w:rsidRPr="00840403">
              <w:t>OIK</w:t>
            </w:r>
            <w:r w:rsidR="00840403">
              <w:t>)</w:t>
            </w:r>
            <w:r w:rsidR="00840403" w:rsidRPr="00840403">
              <w:t xml:space="preserve"> pieauga no </w:t>
            </w:r>
            <w:r w:rsidR="003D225C">
              <w:t>9,30 </w:t>
            </w:r>
            <w:r w:rsidR="00840403" w:rsidRPr="00840403">
              <w:t xml:space="preserve">EUR/MWh līdz 38,63 EUR/MWh. </w:t>
            </w:r>
            <w:r w:rsidR="00D02936">
              <w:t>Ņ</w:t>
            </w:r>
            <w:r w:rsidR="00840403" w:rsidRPr="00840403">
              <w:t xml:space="preserve">emot vērā </w:t>
            </w:r>
            <w:r w:rsidR="00ED5BD7">
              <w:t>ilgtermiņa</w:t>
            </w:r>
            <w:r w:rsidR="00840403" w:rsidRPr="00840403">
              <w:t xml:space="preserve"> OIK prognozes</w:t>
            </w:r>
            <w:r w:rsidR="00ED5BD7">
              <w:t xml:space="preserve">, t.sk. </w:t>
            </w:r>
            <w:r w:rsidR="00461E10">
              <w:t xml:space="preserve">vidējās vērtības </w:t>
            </w:r>
            <w:r w:rsidR="00ED5BD7">
              <w:t xml:space="preserve">pieaugumu līdz pat </w:t>
            </w:r>
            <w:r w:rsidR="00B004E5">
              <w:t xml:space="preserve">40,52 EUR/MWh 2019. gadā un </w:t>
            </w:r>
            <w:r w:rsidR="00ED5BD7">
              <w:t>40,98 EUR/MWh</w:t>
            </w:r>
            <w:r w:rsidR="00B004E5">
              <w:t xml:space="preserve"> 2020. gad</w:t>
            </w:r>
            <w:r w:rsidR="001026C7">
              <w:t>ā</w:t>
            </w:r>
            <w:r w:rsidR="00840403" w:rsidRPr="00840403">
              <w:t>, sākot ar 2014. gadu</w:t>
            </w:r>
            <w:r w:rsidR="00840403" w:rsidRPr="005008C6">
              <w:rPr>
                <w:vertAlign w:val="superscript"/>
              </w:rPr>
              <w:footnoteReference w:id="1"/>
            </w:r>
            <w:r w:rsidR="00151E90">
              <w:t xml:space="preserve">, izmantojot </w:t>
            </w:r>
            <w:r w:rsidR="001464E6">
              <w:t>valst</w:t>
            </w:r>
            <w:r w:rsidR="00151E90">
              <w:t>s</w:t>
            </w:r>
            <w:r w:rsidR="001464E6">
              <w:t xml:space="preserve"> budžeta līdzekļu</w:t>
            </w:r>
            <w:r w:rsidR="00151E90">
              <w:t xml:space="preserve">s, </w:t>
            </w:r>
            <w:r>
              <w:t xml:space="preserve">OIK </w:t>
            </w:r>
            <w:r w:rsidR="006E04D8">
              <w:t xml:space="preserve">vidējā vērtība </w:t>
            </w:r>
            <w:r>
              <w:t xml:space="preserve">elektroenerģijas galalietotājiem tiek </w:t>
            </w:r>
            <w:r w:rsidR="00840403" w:rsidRPr="00840403">
              <w:t>saglabāta</w:t>
            </w:r>
            <w:r>
              <w:t xml:space="preserve"> </w:t>
            </w:r>
            <w:r w:rsidR="00840403" w:rsidRPr="00840403">
              <w:t>26,79 EUR/MWh apmērā.</w:t>
            </w:r>
          </w:p>
          <w:p w14:paraId="5D3CF469" w14:textId="19D8BD2C" w:rsidR="00A34565" w:rsidRDefault="0076264E" w:rsidP="00D127EA">
            <w:pPr>
              <w:spacing w:before="120"/>
              <w:jc w:val="both"/>
            </w:pPr>
            <w:r>
              <w:t xml:space="preserve">Izmantojot līdzšinējo </w:t>
            </w:r>
            <w:r w:rsidR="00044212">
              <w:t xml:space="preserve">pieeju </w:t>
            </w:r>
            <w:r>
              <w:t xml:space="preserve">OIK </w:t>
            </w:r>
            <w:r w:rsidR="00974E48">
              <w:t>ierobežo</w:t>
            </w:r>
            <w:r w:rsidR="00044212">
              <w:t>šanai</w:t>
            </w:r>
            <w:r w:rsidR="004D2D83">
              <w:t xml:space="preserve">, 2019. gadā valsts budžetā pietrūkst līdzekļu vairāku desmitu milj. EUR apmērā. </w:t>
            </w:r>
            <w:r w:rsidR="003E2A09">
              <w:t>Tādēļ Ministru kabinets</w:t>
            </w:r>
            <w:r w:rsidR="00924B70">
              <w:t>, pieņemot</w:t>
            </w:r>
            <w:r w:rsidR="003E2A09">
              <w:t xml:space="preserve"> </w:t>
            </w:r>
            <w:r w:rsidR="00750298" w:rsidRPr="00203EF7">
              <w:t>rīkojumu Nr. </w:t>
            </w:r>
            <w:r w:rsidR="00203EF7" w:rsidRPr="00203EF7">
              <w:t>530</w:t>
            </w:r>
            <w:r w:rsidR="00924B70">
              <w:t>,</w:t>
            </w:r>
            <w:r w:rsidR="00750298">
              <w:t xml:space="preserve"> </w:t>
            </w:r>
            <w:r w:rsidR="003E2A09">
              <w:t xml:space="preserve">ir atbalstījis </w:t>
            </w:r>
            <w:r w:rsidR="00750298">
              <w:t xml:space="preserve">risinājumu, kura ietvaros </w:t>
            </w:r>
            <w:r w:rsidR="000F23BD">
              <w:t xml:space="preserve">ir iespēja </w:t>
            </w:r>
            <w:r w:rsidR="0066090E">
              <w:t xml:space="preserve">būtiski samazināt valsts budžeta līdzekļus OIK finansēšanas vajadzībām (no 80,03 milj. EUR 2018. gadā līdz 9,08 milj. </w:t>
            </w:r>
            <w:r w:rsidR="00EE17E2">
              <w:t xml:space="preserve">2019. gadā un </w:t>
            </w:r>
            <w:r w:rsidR="0066090E">
              <w:t>9,68 milj. EUR 2020. gadā</w:t>
            </w:r>
            <w:r w:rsidR="00F930E4">
              <w:t xml:space="preserve"> pēc naudas plūsmas principa</w:t>
            </w:r>
            <w:r w:rsidR="0066090E">
              <w:t xml:space="preserve">), </w:t>
            </w:r>
            <w:r w:rsidR="006F0899">
              <w:t>lielāku līdzekļu daļu</w:t>
            </w:r>
            <w:r w:rsidR="0066090E">
              <w:t xml:space="preserve"> novirzot vispārējām budžeta vajadzīb</w:t>
            </w:r>
            <w:r w:rsidR="006F0899">
              <w:t xml:space="preserve">ām. Turklāt, šī risinājuma ietekmē </w:t>
            </w:r>
            <w:r w:rsidR="005D180E">
              <w:t>tiks</w:t>
            </w:r>
            <w:r w:rsidR="009E0514">
              <w:t xml:space="preserve"> samazināt</w:t>
            </w:r>
            <w:r w:rsidR="005D180E">
              <w:t>a</w:t>
            </w:r>
            <w:r w:rsidR="009E0514">
              <w:t xml:space="preserve"> </w:t>
            </w:r>
            <w:r w:rsidR="009E0514">
              <w:lastRenderedPageBreak/>
              <w:t>vidējā OIK vērt</w:t>
            </w:r>
            <w:r w:rsidR="005D180E">
              <w:t>ība</w:t>
            </w:r>
            <w:r w:rsidR="009E0514">
              <w:t xml:space="preserve"> līdz 25,79 EUR 2018.-2019. gadā un 24,92 EUR 2020. gadā.</w:t>
            </w:r>
          </w:p>
          <w:p w14:paraId="3F1B142B" w14:textId="71D111C0" w:rsidR="0057556F" w:rsidRDefault="00407647" w:rsidP="00D127EA">
            <w:pPr>
              <w:spacing w:before="120"/>
              <w:jc w:val="both"/>
            </w:pPr>
            <w:r>
              <w:t xml:space="preserve">Noteikumu projekts </w:t>
            </w:r>
            <w:r w:rsidR="007B5443">
              <w:t xml:space="preserve">paredz </w:t>
            </w:r>
            <w:r w:rsidR="0057556F">
              <w:t>uz  Elektroenerģijas tirgus likuma 28.</w:t>
            </w:r>
            <w:r w:rsidR="0057556F" w:rsidRPr="006B3B33">
              <w:rPr>
                <w:vertAlign w:val="superscript"/>
              </w:rPr>
              <w:t>1</w:t>
            </w:r>
            <w:r w:rsidR="0057556F">
              <w:t xml:space="preserve"> otrās daļas pamata izdoto un šobrīd spēkā esošo nosacījumu precizēšanu attiecībā uz kārtību kādā veicama garantētā maksa par koģenerācijas stacijā uzstādīto elektrisko jaudu kopsakarā ar kārtību kādā komersanti var atteikties no tiesībām saņemt garantētu maksu par koģenerācijas stacijā uzstād</w:t>
            </w:r>
            <w:r w:rsidR="00EB4F6F">
              <w:t>īto elektrisko jaudu nolūkā samazināt atbalst</w:t>
            </w:r>
            <w:r w:rsidR="00F05528">
              <w:t>u</w:t>
            </w:r>
            <w:r w:rsidR="00EB4F6F">
              <w:t xml:space="preserve"> </w:t>
            </w:r>
            <w:r w:rsidR="003A47DE">
              <w:t>lielajām koģenerācijas stacijām</w:t>
            </w:r>
            <w:r w:rsidR="00AB6544">
              <w:t xml:space="preserve"> (ar uzstādīto elektrisko jaudu virs 100MW) un vienlaikus </w:t>
            </w:r>
            <w:r w:rsidR="00494A72">
              <w:t xml:space="preserve">līdz atbalsta perioda beigām šīm stacijām </w:t>
            </w:r>
            <w:r w:rsidR="00AB6544">
              <w:t>saglabājot</w:t>
            </w:r>
            <w:r w:rsidR="00494A72">
              <w:t xml:space="preserve"> līdzšinējos darbības nosacījumus</w:t>
            </w:r>
            <w:r w:rsidR="00893FA5">
              <w:t xml:space="preserve">. </w:t>
            </w:r>
          </w:p>
          <w:p w14:paraId="1789022A" w14:textId="1547317C" w:rsidR="000E2D96" w:rsidRDefault="00893FA5" w:rsidP="004B27A8">
            <w:pPr>
              <w:spacing w:before="120"/>
              <w:jc w:val="both"/>
            </w:pPr>
            <w:r>
              <w:t xml:space="preserve">Līdzšinējā horizontālā kārtība, kādā komersanti var atteikties no valsts atbalsta elektroenerģijas ražošanai, nav </w:t>
            </w:r>
            <w:r w:rsidR="00D17DA4">
              <w:t>efektīva</w:t>
            </w:r>
            <w:r w:rsidR="00EA1407">
              <w:t>.</w:t>
            </w:r>
          </w:p>
          <w:p w14:paraId="54342FDE" w14:textId="0CC6DA40" w:rsidR="00BD3808" w:rsidRDefault="00EA1407" w:rsidP="004B27A8">
            <w:pPr>
              <w:spacing w:before="120"/>
              <w:jc w:val="both"/>
            </w:pPr>
            <w:r>
              <w:t xml:space="preserve">Tādēļ, </w:t>
            </w:r>
            <w:r w:rsidR="004B27A8">
              <w:t xml:space="preserve">lai vidēja un ilgtermiņa perspektīvā nodrošinātu ilgtspējīgu finansējumu OIK vajadzībām, kā arī vispārējām budžeta vajadzībām, </w:t>
            </w:r>
            <w:r w:rsidR="00A25F79">
              <w:t>ar šo noteikumu projektu tiek paredzēt</w:t>
            </w:r>
            <w:r w:rsidR="004B27A8">
              <w:t>s</w:t>
            </w:r>
            <w:r w:rsidR="00A25F79">
              <w:t xml:space="preserve">, ka </w:t>
            </w:r>
            <w:r w:rsidR="004B27A8">
              <w:t xml:space="preserve">komersanti, </w:t>
            </w:r>
            <w:r w:rsidR="004B27A8" w:rsidRPr="00287A68">
              <w:t xml:space="preserve">kuri </w:t>
            </w:r>
            <w:r w:rsidR="00415987">
              <w:t>saskaņā ar Elektroenerģijas tirgus likuma 28.</w:t>
            </w:r>
            <w:r w:rsidR="00415987" w:rsidRPr="006B3B33">
              <w:rPr>
                <w:vertAlign w:val="superscript"/>
              </w:rPr>
              <w:t>1</w:t>
            </w:r>
            <w:r w:rsidR="00415987">
              <w:t xml:space="preserve"> pantu </w:t>
            </w:r>
            <w:r w:rsidR="004B27A8" w:rsidRPr="00287A68">
              <w:t>saņem garantētu maksu par koģenerācijas elektrostacijā uzstādīto elektrisko jaudu</w:t>
            </w:r>
            <w:r w:rsidR="009F2AEB">
              <w:t>,</w:t>
            </w:r>
            <w:r w:rsidR="004B27A8" w:rsidRPr="00287A68">
              <w:t xml:space="preserve"> un kuru uzstādītā elektriskā jauda ir lielāka par 100 MW, 2017.gadā var </w:t>
            </w:r>
            <w:r w:rsidR="004B27A8">
              <w:t xml:space="preserve">pieteikties </w:t>
            </w:r>
            <w:r w:rsidR="00415987">
              <w:t xml:space="preserve">vienreizējam maksājumam, kas sastāv no </w:t>
            </w:r>
            <w:r w:rsidR="00D15AC7">
              <w:t>75%</w:t>
            </w:r>
            <w:r w:rsidR="00415987">
              <w:t xml:space="preserve"> no atlikušajā atbalsta periodā saņemamās garantētās maksas par koģenerācijas elektrostacijā uzstādīto elektrisko jaudu. </w:t>
            </w:r>
            <w:r w:rsidR="009F2AEB">
              <w:t>Turklāt, šī maksa tiek diskontēta ar 9% diskonta faktoru</w:t>
            </w:r>
            <w:r w:rsidR="00BD3808">
              <w:rPr>
                <w:rStyle w:val="FootnoteReference"/>
              </w:rPr>
              <w:footnoteReference w:id="2"/>
            </w:r>
            <w:r w:rsidR="009F2AEB">
              <w:t xml:space="preserve">, </w:t>
            </w:r>
            <w:r w:rsidR="00343230">
              <w:t xml:space="preserve">par </w:t>
            </w:r>
            <w:r w:rsidR="005D4432">
              <w:t xml:space="preserve">262,01 milj. </w:t>
            </w:r>
            <w:r w:rsidR="00343230">
              <w:t xml:space="preserve">EUR samazinot valsts ilgtermiņa saistības pret </w:t>
            </w:r>
            <w:r w:rsidR="00D15AC7">
              <w:t>attiecīg</w:t>
            </w:r>
            <w:r w:rsidR="00C94432">
              <w:t>aj</w:t>
            </w:r>
            <w:r w:rsidR="00D15AC7">
              <w:t>ām</w:t>
            </w:r>
            <w:r w:rsidR="00343230">
              <w:t xml:space="preserve"> </w:t>
            </w:r>
            <w:r w:rsidR="00584BD1">
              <w:t xml:space="preserve">koģenerācijas </w:t>
            </w:r>
            <w:r w:rsidR="00343230">
              <w:t>elektrostacijām</w:t>
            </w:r>
            <w:r w:rsidR="001B638B">
              <w:t>, ja uz vienreizējā maksājuma saņemšanu piesakās visas nosacījumiem atbilstošās elektrostacijas</w:t>
            </w:r>
            <w:r w:rsidR="00343230">
              <w:t>.</w:t>
            </w:r>
          </w:p>
          <w:p w14:paraId="43AF7AC7" w14:textId="697DF5A2" w:rsidR="00245C93" w:rsidRDefault="00245C93" w:rsidP="004B27A8">
            <w:pPr>
              <w:spacing w:before="120"/>
              <w:jc w:val="both"/>
            </w:pPr>
            <w:r w:rsidRPr="00245C93">
              <w:t>Attiecīgi, ja komersanta iesniegto pieteikumu par vienreizējā maksājuma saņemšanu, kas sastāv no trim ceturtdaļām no atlikušajā atbalsta periodā saņemamās garantētās maksas par koģenerācijas elektrostacijā uzstādīto elektrisko jaudu, atzīs par atbilstošu šā noteikuma projekta nosacījumiem, tad Ministru kabinets, ņemot vērā deleģējumu, pieņems lēmumu, kurš būs administratīvais akts. Ekonomikas ministrijas kompetencē būs sagatavot lēmuma projektu Administratīvā procesa likuma noteiktajā kārtībā, kuru iesniegs izskatīšanai Ministru kabinetam. Ministru kabineta lēmums par vienreizējas garantētās maksas par koģenerācijas elektrostacijā uzstādīto elektrisko jaudu izmaksu tiks pieņemts ievērojot Administratīvā procesa likumā noteiktās prasības par administratīvo aktu izdošanu, spēkā stāšanos un apstrīdēšanu.</w:t>
            </w:r>
          </w:p>
          <w:p w14:paraId="2FB90BBB" w14:textId="44002264" w:rsidR="000C6C66" w:rsidRPr="00F72B14" w:rsidRDefault="000C6C66" w:rsidP="004B27A8">
            <w:pPr>
              <w:spacing w:before="120"/>
              <w:jc w:val="both"/>
              <w:rPr>
                <w:sz w:val="22"/>
              </w:rPr>
            </w:pPr>
            <w:r>
              <w:lastRenderedPageBreak/>
              <w:t>Būtiski, ka noteikumu projekts paredz nosacījumu, ka risinājums īstenojams attiecībā uz tām koģenerācijas elektrostacijām, kuru kapitālieguldījumu</w:t>
            </w:r>
            <w:r w:rsidR="004B46A3">
              <w:t xml:space="preserve"> iekšējās</w:t>
            </w:r>
            <w:r>
              <w:t xml:space="preserve"> peļ</w:t>
            </w:r>
            <w:r w:rsidR="004B46A3">
              <w:t xml:space="preserve">ņas norma visā atbalsta periodā </w:t>
            </w:r>
            <w:r w:rsidR="001B638B">
              <w:t xml:space="preserve">pirms vienreizēja maksājuma saņemšanas </w:t>
            </w:r>
            <w:r w:rsidR="004B46A3">
              <w:t xml:space="preserve">nepārsniedz 9% un ir aprēķināta </w:t>
            </w:r>
            <w:r w:rsidR="00D00D67">
              <w:t xml:space="preserve">atbilstoši ar Eiropas Komisiju saskaņotiem nosacījumiem valsts atbalsta lietas </w:t>
            </w:r>
            <w:r w:rsidR="00612496" w:rsidRPr="00612496">
              <w:rPr>
                <w:szCs w:val="28"/>
              </w:rPr>
              <w:t xml:space="preserve">SA.43140 (2015/NN) </w:t>
            </w:r>
            <w:r w:rsidR="00612496">
              <w:rPr>
                <w:szCs w:val="28"/>
              </w:rPr>
              <w:t>–</w:t>
            </w:r>
            <w:r w:rsidR="00612496" w:rsidRPr="00612496">
              <w:rPr>
                <w:szCs w:val="28"/>
              </w:rPr>
              <w:t xml:space="preserve"> </w:t>
            </w:r>
            <w:r w:rsidR="00612496" w:rsidRPr="00612496">
              <w:rPr>
                <w:i/>
                <w:szCs w:val="28"/>
              </w:rPr>
              <w:t>“Atbalsts elektroenerģijas ražotājiem</w:t>
            </w:r>
            <w:r w:rsidR="00612496">
              <w:rPr>
                <w:i/>
                <w:szCs w:val="28"/>
              </w:rPr>
              <w:t xml:space="preserve">” </w:t>
            </w:r>
            <w:r w:rsidR="00612496">
              <w:rPr>
                <w:szCs w:val="28"/>
              </w:rPr>
              <w:t>ietvaros</w:t>
            </w:r>
            <w:r w:rsidR="00F72B14">
              <w:rPr>
                <w:szCs w:val="28"/>
              </w:rPr>
              <w:t>, tādējādi nodrošinot</w:t>
            </w:r>
            <w:r w:rsidR="007659EF">
              <w:rPr>
                <w:szCs w:val="28"/>
              </w:rPr>
              <w:t>ies</w:t>
            </w:r>
            <w:r w:rsidR="00F72B14">
              <w:rPr>
                <w:szCs w:val="28"/>
              </w:rPr>
              <w:t>, ka</w:t>
            </w:r>
            <w:r w:rsidR="007659EF">
              <w:rPr>
                <w:szCs w:val="28"/>
              </w:rPr>
              <w:t xml:space="preserve"> risinājumu izmanto koģenerācijas elektrostacijas, kas nav pārsubsidētas. </w:t>
            </w:r>
            <w:r w:rsidR="00F72B14">
              <w:rPr>
                <w:szCs w:val="28"/>
              </w:rPr>
              <w:t xml:space="preserve"> </w:t>
            </w:r>
          </w:p>
          <w:p w14:paraId="3F66364D" w14:textId="1F1F0DBD" w:rsidR="001B67D8" w:rsidRDefault="00D41E8C" w:rsidP="004B27A8">
            <w:pPr>
              <w:spacing w:before="120"/>
              <w:jc w:val="both"/>
            </w:pPr>
            <w:r>
              <w:t xml:space="preserve">Turklāt, tā kā </w:t>
            </w:r>
            <w:r w:rsidR="009C1C0D">
              <w:t xml:space="preserve">saskaņā ar  Ministru kabineta </w:t>
            </w:r>
            <w:r w:rsidR="009C1C0D" w:rsidRPr="00203EF7">
              <w:t>rīkojumu Nr. 530</w:t>
            </w:r>
            <w:r w:rsidR="009C1C0D">
              <w:t xml:space="preserve"> vienreizējais maksājums tiks segts no AS “Latvenergo” pamatkapitāla samazināšanas, kopējais ilgtermiņa valsts atbalsta saistību samazinājums </w:t>
            </w:r>
            <w:r w:rsidR="001250E9">
              <w:t xml:space="preserve">līdz 2028. gadam </w:t>
            </w:r>
            <w:r w:rsidR="009C1C0D">
              <w:t xml:space="preserve">sasniegs </w:t>
            </w:r>
            <w:r w:rsidR="00244B0A">
              <w:t>716,29 milj. EUR.</w:t>
            </w:r>
          </w:p>
          <w:p w14:paraId="3E0F62B8" w14:textId="39C63F23" w:rsidR="00CC00D9" w:rsidRDefault="00D15AC7" w:rsidP="00D127EA">
            <w:pPr>
              <w:spacing w:before="120"/>
              <w:jc w:val="both"/>
            </w:pPr>
            <w:r>
              <w:t xml:space="preserve">Tajā pašā laikā līdztekus vienreizējam maksājumam </w:t>
            </w:r>
            <w:r w:rsidR="00CC00D9">
              <w:t xml:space="preserve">no 2018.gada 1.janvāra </w:t>
            </w:r>
            <w:r>
              <w:t xml:space="preserve">līdz atbalsta perioda beigām attiecīgās koģenerācijas elektrostacijas turpinās saņemt </w:t>
            </w:r>
            <w:r w:rsidR="00CC00D9">
              <w:t>garantēto maksu par koģenerācijas elektrostacijā uzstādīto elektrisko jaudu 25 % apmērā no aprēķinātās jaudas komponentes</w:t>
            </w:r>
            <w:r w:rsidR="0086334C">
              <w:t xml:space="preserve">, vienlaikus </w:t>
            </w:r>
            <w:r w:rsidR="0025295D">
              <w:t xml:space="preserve">atlikušajā atbalsta periodā </w:t>
            </w:r>
            <w:r w:rsidR="0086334C">
              <w:t>nodrošinot staciju darbību atbilstoši līdzšinējiem nosacījumiem</w:t>
            </w:r>
            <w:r w:rsidR="00CC00D9">
              <w:t>.</w:t>
            </w:r>
          </w:p>
          <w:p w14:paraId="41784F91" w14:textId="77777777" w:rsidR="00500C77" w:rsidRDefault="00F944B0" w:rsidP="00D127EA">
            <w:pPr>
              <w:spacing w:before="120"/>
              <w:jc w:val="both"/>
            </w:pPr>
            <w:r>
              <w:t xml:space="preserve">Ar noteikumu projektu tiek </w:t>
            </w:r>
            <w:r w:rsidR="00500C77">
              <w:t>noteikts</w:t>
            </w:r>
            <w:r>
              <w:t>, ka Ministru kabinets</w:t>
            </w:r>
            <w:r w:rsidR="005D146C">
              <w:t>, balstoties uz Ekonomikas ministrijas izvērtējumu un sagatavoto lēmuma projektu,</w:t>
            </w:r>
            <w:r>
              <w:t xml:space="preserve"> pieņem lēmumu</w:t>
            </w:r>
            <w:r w:rsidR="005D146C">
              <w:t xml:space="preserve"> </w:t>
            </w:r>
            <w:r w:rsidR="0055647C">
              <w:t>par</w:t>
            </w:r>
            <w:r w:rsidR="00500C77">
              <w:t xml:space="preserve"> vienreizējā maksājuma veikšanu attiecībā uz garantēto maksu par koģenerācijas elektrostacijā uzstādīto elektrisko jaudu.</w:t>
            </w:r>
          </w:p>
          <w:p w14:paraId="0D28AE0E" w14:textId="77777777" w:rsidR="00C41576" w:rsidRDefault="00500C77" w:rsidP="00D127EA">
            <w:pPr>
              <w:spacing w:before="120"/>
              <w:jc w:val="both"/>
            </w:pPr>
            <w:r>
              <w:t xml:space="preserve">Ņemot vērā, ka </w:t>
            </w:r>
            <w:r w:rsidR="00AB0C7A">
              <w:t>noteikumu projektā piedāvātās regulējuma izmaiņas</w:t>
            </w:r>
            <w:r>
              <w:t xml:space="preserve"> skar </w:t>
            </w:r>
            <w:r w:rsidR="001A03EC">
              <w:t xml:space="preserve">valsts atbalsta jautājumus, </w:t>
            </w:r>
            <w:r w:rsidR="003F2A36">
              <w:t>Ekonomikas ministrija</w:t>
            </w:r>
            <w:r w:rsidR="00466E52">
              <w:t>, izpildot rīkojuma Nr. 530</w:t>
            </w:r>
            <w:r w:rsidR="003F2A36">
              <w:t xml:space="preserve"> </w:t>
            </w:r>
            <w:r w:rsidR="00466E52">
              <w:t>11.2. </w:t>
            </w:r>
            <w:r w:rsidR="00003302">
              <w:t>apakš</w:t>
            </w:r>
            <w:r w:rsidR="00466E52">
              <w:t xml:space="preserve">punktu, </w:t>
            </w:r>
            <w:r w:rsidR="003F2A36">
              <w:t>2017. gada 20. septembrī lūdza Finanšu ministriju informēt Eiropas Komisiju par šī risinājuma īsteno</w:t>
            </w:r>
            <w:r w:rsidR="005B07FE">
              <w:t>šanu.</w:t>
            </w:r>
            <w:r w:rsidR="00666317">
              <w:t xml:space="preserve"> </w:t>
            </w:r>
          </w:p>
          <w:p w14:paraId="0570E275" w14:textId="14DA84C9" w:rsidR="00C50E55" w:rsidRDefault="00C41576" w:rsidP="00D127EA">
            <w:pPr>
              <w:spacing w:before="120"/>
              <w:jc w:val="both"/>
            </w:pPr>
            <w:r>
              <w:t>Līdz ar to noteikumu projektā paredzētais Ministru kabineta lēmums</w:t>
            </w:r>
            <w:r w:rsidR="001A1483">
              <w:t xml:space="preserve"> (Noteikumu Nr. 221 56.</w:t>
            </w:r>
            <w:r w:rsidR="001A1483" w:rsidRPr="001A1483">
              <w:rPr>
                <w:vertAlign w:val="superscript"/>
              </w:rPr>
              <w:t>26</w:t>
            </w:r>
            <w:r w:rsidR="001A1483">
              <w:t xml:space="preserve"> punkts)</w:t>
            </w:r>
            <w:r>
              <w:t xml:space="preserve"> </w:t>
            </w:r>
            <w:r w:rsidR="000A35B8">
              <w:t xml:space="preserve">pieņemams pēc pozitīva Eiropas Komisijas atzinuma saņemšanas </w:t>
            </w:r>
            <w:r w:rsidR="00D67851">
              <w:t xml:space="preserve"> par</w:t>
            </w:r>
            <w:r w:rsidR="00D67851">
              <w:rPr>
                <w:color w:val="000000" w:themeColor="text1"/>
              </w:rPr>
              <w:t xml:space="preserve"> konceptuālā ziņojuma “Kompleksi pasākumi elektroenerģijas tirgus attīstībai” 4. risinājumu</w:t>
            </w:r>
            <w:r w:rsidR="000A35B8">
              <w:t>.</w:t>
            </w:r>
          </w:p>
          <w:p w14:paraId="1B36C85D" w14:textId="29D69B92" w:rsidR="004518CF" w:rsidRPr="00F72B14" w:rsidRDefault="00F905CC" w:rsidP="004518CF">
            <w:pPr>
              <w:spacing w:before="120"/>
              <w:jc w:val="both"/>
              <w:rPr>
                <w:sz w:val="22"/>
              </w:rPr>
            </w:pPr>
            <w:r>
              <w:t>Tā</w:t>
            </w:r>
            <w:r w:rsidR="00B5235D">
              <w:t xml:space="preserve">dējādi, </w:t>
            </w:r>
            <w:r w:rsidR="00DA149C">
              <w:t>veicot</w:t>
            </w:r>
            <w:r w:rsidR="00B5235D">
              <w:t xml:space="preserve"> </w:t>
            </w:r>
            <w:r w:rsidR="00DA149C">
              <w:t xml:space="preserve">noteikumu projektā paredzētās darbības </w:t>
            </w:r>
            <w:r w:rsidR="00B5235D">
              <w:t>4. risin</w:t>
            </w:r>
            <w:r w:rsidR="00DA149C">
              <w:t xml:space="preserve">ājuma īstenošanai tiks ievēroti visi </w:t>
            </w:r>
            <w:r w:rsidR="004518CF">
              <w:t xml:space="preserve">no valsts atbalsta lietas </w:t>
            </w:r>
            <w:r w:rsidR="004518CF" w:rsidRPr="00612496">
              <w:rPr>
                <w:szCs w:val="28"/>
              </w:rPr>
              <w:t xml:space="preserve">SA.43140 (2015/NN) </w:t>
            </w:r>
            <w:r w:rsidR="004518CF">
              <w:rPr>
                <w:szCs w:val="28"/>
              </w:rPr>
              <w:t>–</w:t>
            </w:r>
            <w:r w:rsidR="004518CF" w:rsidRPr="00612496">
              <w:rPr>
                <w:szCs w:val="28"/>
              </w:rPr>
              <w:t xml:space="preserve"> </w:t>
            </w:r>
            <w:r w:rsidR="004518CF" w:rsidRPr="00612496">
              <w:rPr>
                <w:i/>
                <w:szCs w:val="28"/>
              </w:rPr>
              <w:t>“Atbalsts elektroenerģijas ražotājiem</w:t>
            </w:r>
            <w:r w:rsidR="004518CF">
              <w:rPr>
                <w:i/>
                <w:szCs w:val="28"/>
              </w:rPr>
              <w:t xml:space="preserve">” </w:t>
            </w:r>
            <w:r w:rsidR="004518CF">
              <w:rPr>
                <w:szCs w:val="28"/>
              </w:rPr>
              <w:t xml:space="preserve">izrietošie nosacījumi.  </w:t>
            </w:r>
          </w:p>
          <w:p w14:paraId="0C0D4FD3" w14:textId="77777777" w:rsidR="00731F58" w:rsidRDefault="005C4CED" w:rsidP="00D127EA">
            <w:pPr>
              <w:spacing w:before="120"/>
              <w:jc w:val="both"/>
            </w:pPr>
            <w:r>
              <w:t xml:space="preserve">Vienlaikus ar šo noteikumu projektu </w:t>
            </w:r>
            <w:r w:rsidR="002843B6">
              <w:t xml:space="preserve">tiek </w:t>
            </w:r>
            <w:r w:rsidR="00667014">
              <w:t xml:space="preserve">paredzēts, ka koģenerācijas elektrostacijas, kas ir pieslēgtas pārvades sistēmai un ir saņēmušas tiesības pārdot saražoto elektroenerģiju obligātā iepirkuma ietvaros un kuru uzstādītā elektriskā jauda ir lielāka par </w:t>
            </w:r>
            <w:r w:rsidR="00667014" w:rsidRPr="00667014">
              <w:t xml:space="preserve">četriem megavatiem, ir tiesīgas samazināt koģenerācijas elektrostacijas vai atsevišķas tās </w:t>
            </w:r>
            <w:r w:rsidR="00667014" w:rsidRPr="00667014">
              <w:lastRenderedPageBreak/>
              <w:t>iekārtas uzstādītās elektriskās jaudas izmantošanas stundu skaitu gadā par 25%, ja iepriekšējos gados elektriskās jaudas izmantošanas stundu skaits gadā ir pārsniedzis 1200 stundas, bet ne vairāk par iepriekšējos gados izveidoto un neizmantoto jaudas izmantošanas stundu uzkrājumu.</w:t>
            </w:r>
            <w:r w:rsidR="00667014">
              <w:t xml:space="preserve"> </w:t>
            </w:r>
            <w:r w:rsidR="00C830C7">
              <w:t xml:space="preserve">Šī elastība tiek paredzēta ar nolūku, lai </w:t>
            </w:r>
            <w:r w:rsidR="00774A76">
              <w:t xml:space="preserve">ierobežotā kārtā </w:t>
            </w:r>
            <w:r w:rsidR="00C830C7">
              <w:t>optimizētu garantēto maksu saņemošo koģenerācijas elektrostaciju izmaksu efektivitāti, tas ir, veicinātu to darbību ekonomiski labvēlīgos tirgus apstākļos</w:t>
            </w:r>
            <w:r w:rsidR="004B4DAC">
              <w:t>, vienlaikus nodrošinot</w:t>
            </w:r>
            <w:r w:rsidR="00E52642">
              <w:t xml:space="preserve"> kopējā pienākuma izpildi </w:t>
            </w:r>
            <w:r w:rsidR="00C91993">
              <w:t>atlikušajā</w:t>
            </w:r>
            <w:r w:rsidR="00E52642">
              <w:t xml:space="preserve"> atbalsta periodā</w:t>
            </w:r>
            <w:r w:rsidR="00C830C7">
              <w:t>.</w:t>
            </w:r>
          </w:p>
          <w:p w14:paraId="626E5987" w14:textId="058B6915" w:rsidR="003C049F" w:rsidRPr="00840403" w:rsidRDefault="003C049F" w:rsidP="00D127EA">
            <w:pPr>
              <w:spacing w:before="120"/>
              <w:jc w:val="both"/>
            </w:pPr>
            <w:r>
              <w:t>Ar noteikumu projektu tiek precizēta Noteikumos Nr.221 iekļautā kārtība, kā tiek segtas  o</w:t>
            </w:r>
            <w:r w:rsidRPr="003C049F">
              <w:t>bligātā iepirkuma izmaksas un izmaksas, ko veido maksājumi par uzstādīto elektrisko jaudu</w:t>
            </w:r>
            <w:r>
              <w:t xml:space="preserve">, atbilstoši 2016.gada 23.novembrī Saeimā pieņemtajam likumam “Grozījumi </w:t>
            </w:r>
            <w:proofErr w:type="spellStart"/>
            <w:r>
              <w:t>Elektroenreģijas</w:t>
            </w:r>
            <w:proofErr w:type="spellEnd"/>
            <w:r>
              <w:t xml:space="preserve"> tirgus likumā”, kas stājās spēkā 2017.gada 1.septembrī.</w:t>
            </w:r>
          </w:p>
        </w:tc>
      </w:tr>
      <w:tr w:rsidR="001C1A2E" w:rsidRPr="002763E8" w14:paraId="0705BB2A" w14:textId="77777777" w:rsidTr="001E1CB2">
        <w:trPr>
          <w:trHeight w:val="132"/>
        </w:trPr>
        <w:tc>
          <w:tcPr>
            <w:tcW w:w="421" w:type="dxa"/>
          </w:tcPr>
          <w:p w14:paraId="08B45B8F" w14:textId="244F4EB1"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lastRenderedPageBreak/>
              <w:t>3.</w:t>
            </w:r>
          </w:p>
        </w:tc>
        <w:tc>
          <w:tcPr>
            <w:tcW w:w="2986" w:type="dxa"/>
          </w:tcPr>
          <w:p w14:paraId="0A293201" w14:textId="77777777" w:rsidR="001C1A2E" w:rsidRPr="002763E8" w:rsidRDefault="001C1A2E" w:rsidP="008667DC">
            <w:pPr>
              <w:jc w:val="both"/>
              <w:rPr>
                <w:color w:val="000000" w:themeColor="text1"/>
              </w:rPr>
            </w:pPr>
            <w:r w:rsidRPr="002763E8">
              <w:rPr>
                <w:color w:val="000000" w:themeColor="text1"/>
              </w:rPr>
              <w:t>Projekta izstrādē iesaistītās institūcijas</w:t>
            </w:r>
          </w:p>
        </w:tc>
        <w:tc>
          <w:tcPr>
            <w:tcW w:w="6037" w:type="dxa"/>
          </w:tcPr>
          <w:p w14:paraId="696FF48D" w14:textId="3DDBD0A4" w:rsidR="001C1A2E" w:rsidRPr="002763E8" w:rsidRDefault="00A644BE" w:rsidP="009279E6">
            <w:pPr>
              <w:spacing w:before="120"/>
              <w:jc w:val="both"/>
              <w:rPr>
                <w:color w:val="000000" w:themeColor="text1"/>
              </w:rPr>
            </w:pPr>
            <w:r w:rsidRPr="00656C16">
              <w:rPr>
                <w:shd w:val="clear" w:color="auto" w:fill="FFFFFF"/>
              </w:rPr>
              <w:t>Projekts šo jomu neskar</w:t>
            </w:r>
            <w:r w:rsidR="00656C16">
              <w:rPr>
                <w:shd w:val="clear" w:color="auto" w:fill="FFFFFF"/>
              </w:rPr>
              <w:t>.</w:t>
            </w:r>
          </w:p>
        </w:tc>
      </w:tr>
      <w:tr w:rsidR="001C1A2E" w:rsidRPr="002763E8" w14:paraId="3E862D21" w14:textId="77777777" w:rsidTr="001E1CB2">
        <w:tc>
          <w:tcPr>
            <w:tcW w:w="421" w:type="dxa"/>
          </w:tcPr>
          <w:p w14:paraId="01E9E9FE" w14:textId="77777777"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4.</w:t>
            </w:r>
          </w:p>
        </w:tc>
        <w:tc>
          <w:tcPr>
            <w:tcW w:w="2986" w:type="dxa"/>
          </w:tcPr>
          <w:p w14:paraId="05C25D70"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Cita informācija</w:t>
            </w:r>
          </w:p>
        </w:tc>
        <w:tc>
          <w:tcPr>
            <w:tcW w:w="6037" w:type="dxa"/>
          </w:tcPr>
          <w:p w14:paraId="0C8752F5" w14:textId="77777777" w:rsidR="001C1A2E" w:rsidRPr="002763E8" w:rsidRDefault="007C1F2A" w:rsidP="007422D8">
            <w:pPr>
              <w:pStyle w:val="naiskr"/>
              <w:spacing w:before="120" w:beforeAutospacing="0" w:after="0" w:afterAutospacing="0"/>
              <w:jc w:val="both"/>
              <w:rPr>
                <w:color w:val="000000" w:themeColor="text1"/>
              </w:rPr>
            </w:pPr>
            <w:r w:rsidRPr="002763E8">
              <w:t>Nav.</w:t>
            </w:r>
          </w:p>
        </w:tc>
      </w:tr>
    </w:tbl>
    <w:p w14:paraId="3C7E150C" w14:textId="77777777" w:rsidR="001C1A2E" w:rsidRPr="002763E8"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6037"/>
      </w:tblGrid>
      <w:tr w:rsidR="0094759F" w:rsidRPr="002763E8" w14:paraId="598D7817" w14:textId="77777777" w:rsidTr="005008C6">
        <w:tc>
          <w:tcPr>
            <w:tcW w:w="9584" w:type="dxa"/>
            <w:gridSpan w:val="2"/>
            <w:vAlign w:val="center"/>
          </w:tcPr>
          <w:p w14:paraId="4BFA39F0" w14:textId="77777777" w:rsidR="0094759F" w:rsidRPr="002763E8" w:rsidRDefault="0094759F" w:rsidP="008667DC">
            <w:pPr>
              <w:pStyle w:val="naisnod"/>
              <w:spacing w:before="0" w:beforeAutospacing="0" w:after="0" w:afterAutospacing="0"/>
              <w:jc w:val="center"/>
              <w:rPr>
                <w:b/>
                <w:color w:val="000000" w:themeColor="text1"/>
              </w:rPr>
            </w:pPr>
            <w:r w:rsidRPr="002763E8">
              <w:rPr>
                <w:b/>
                <w:color w:val="000000" w:themeColor="text1"/>
              </w:rPr>
              <w:t>II.  Tiesību akta projekta ietekme uz sabiedrību, tautsaimniecības attīstību un administratīvo slogu</w:t>
            </w:r>
          </w:p>
        </w:tc>
      </w:tr>
      <w:tr w:rsidR="0094759F" w:rsidRPr="002763E8" w14:paraId="0CF90C07" w14:textId="77777777" w:rsidTr="005008C6">
        <w:trPr>
          <w:trHeight w:val="281"/>
        </w:trPr>
        <w:tc>
          <w:tcPr>
            <w:tcW w:w="3547" w:type="dxa"/>
          </w:tcPr>
          <w:p w14:paraId="2344E446" w14:textId="77777777" w:rsidR="0094759F" w:rsidRPr="002763E8" w:rsidRDefault="0094759F" w:rsidP="008667DC">
            <w:pPr>
              <w:pStyle w:val="naiskr"/>
              <w:spacing w:before="0" w:beforeAutospacing="0" w:after="0" w:afterAutospacing="0"/>
              <w:ind w:hanging="10"/>
              <w:jc w:val="both"/>
              <w:rPr>
                <w:color w:val="000000" w:themeColor="text1"/>
              </w:rPr>
            </w:pPr>
            <w:r w:rsidRPr="002763E8">
              <w:rPr>
                <w:color w:val="000000" w:themeColor="text1"/>
              </w:rPr>
              <w:t xml:space="preserve">Sabiedrības </w:t>
            </w:r>
            <w:proofErr w:type="spellStart"/>
            <w:r w:rsidRPr="002763E8">
              <w:rPr>
                <w:color w:val="000000" w:themeColor="text1"/>
              </w:rPr>
              <w:t>mērķgrupas</w:t>
            </w:r>
            <w:proofErr w:type="spellEnd"/>
            <w:r w:rsidRPr="002763E8">
              <w:rPr>
                <w:color w:val="000000" w:themeColor="text1"/>
              </w:rPr>
              <w:t>, kuras tiesiskais regulējums ietekmē vai varētu ietekmēt</w:t>
            </w:r>
          </w:p>
        </w:tc>
        <w:tc>
          <w:tcPr>
            <w:tcW w:w="6037" w:type="dxa"/>
          </w:tcPr>
          <w:p w14:paraId="7137EB44" w14:textId="3B6A0C4E" w:rsidR="00DB1DA9" w:rsidRDefault="0060359C" w:rsidP="003277A6">
            <w:pPr>
              <w:pStyle w:val="Default"/>
              <w:spacing w:after="120"/>
              <w:jc w:val="both"/>
              <w:rPr>
                <w:rFonts w:ascii="Times New Roman" w:hAnsi="Times New Roman"/>
                <w:color w:val="000000" w:themeColor="text1"/>
              </w:rPr>
            </w:pPr>
            <w:r w:rsidRPr="002763E8">
              <w:rPr>
                <w:rFonts w:ascii="Times New Roman" w:hAnsi="Times New Roman"/>
                <w:color w:val="000000" w:themeColor="text1"/>
              </w:rPr>
              <w:t xml:space="preserve">Ražotāji, kas </w:t>
            </w:r>
            <w:r w:rsidR="00EE719C">
              <w:rPr>
                <w:rFonts w:ascii="Times New Roman" w:hAnsi="Times New Roman"/>
                <w:color w:val="000000" w:themeColor="text1"/>
              </w:rPr>
              <w:t xml:space="preserve">izmantos tiesības </w:t>
            </w:r>
            <w:r w:rsidR="00E714C0">
              <w:rPr>
                <w:rFonts w:ascii="Times New Roman" w:hAnsi="Times New Roman"/>
                <w:color w:val="000000" w:themeColor="text1"/>
              </w:rPr>
              <w:t xml:space="preserve">pieteikties </w:t>
            </w:r>
            <w:r w:rsidR="00154E78">
              <w:rPr>
                <w:rFonts w:ascii="Times New Roman" w:hAnsi="Times New Roman"/>
                <w:color w:val="000000" w:themeColor="text1"/>
              </w:rPr>
              <w:t>val</w:t>
            </w:r>
            <w:r w:rsidR="00E714C0">
              <w:rPr>
                <w:rFonts w:ascii="Times New Roman" w:hAnsi="Times New Roman"/>
                <w:color w:val="000000" w:themeColor="text1"/>
              </w:rPr>
              <w:t>sts garantētās maksas par koģenerācijas elektrostacijā uzstādīto elektrisko jaudu saistību samazināšanai, saņemot vienreizēju diskontētu maksājumu.</w:t>
            </w:r>
          </w:p>
          <w:p w14:paraId="24F603B5" w14:textId="3FDBE387" w:rsidR="00C87F02" w:rsidRPr="002763E8" w:rsidRDefault="00712ABF" w:rsidP="00C87F02">
            <w:pPr>
              <w:pStyle w:val="Default"/>
              <w:spacing w:before="120" w:after="120"/>
              <w:jc w:val="both"/>
              <w:rPr>
                <w:rFonts w:ascii="Times New Roman" w:hAnsi="Times New Roman" w:cs="Times New Roman"/>
                <w:bCs/>
                <w:color w:val="000000" w:themeColor="text1"/>
              </w:rPr>
            </w:pPr>
            <w:r>
              <w:rPr>
                <w:rFonts w:ascii="Times New Roman" w:hAnsi="Times New Roman"/>
                <w:color w:val="000000" w:themeColor="text1"/>
              </w:rPr>
              <w:t>Visi e</w:t>
            </w:r>
            <w:r w:rsidR="00C87F02">
              <w:rPr>
                <w:rFonts w:ascii="Times New Roman" w:hAnsi="Times New Roman"/>
                <w:color w:val="000000" w:themeColor="text1"/>
              </w:rPr>
              <w:t>lektroenerģijas galapatērētāji</w:t>
            </w:r>
            <w:r>
              <w:rPr>
                <w:rFonts w:ascii="Times New Roman" w:hAnsi="Times New Roman"/>
                <w:color w:val="000000" w:themeColor="text1"/>
              </w:rPr>
              <w:t>, ņemot vērā OIK izmaksu samazinājumu</w:t>
            </w:r>
            <w:r w:rsidR="00C87F02">
              <w:rPr>
                <w:rFonts w:ascii="Times New Roman" w:hAnsi="Times New Roman"/>
                <w:color w:val="000000" w:themeColor="text1"/>
              </w:rPr>
              <w:t>.</w:t>
            </w:r>
          </w:p>
        </w:tc>
      </w:tr>
      <w:tr w:rsidR="0094759F" w:rsidRPr="002763E8" w14:paraId="6714E04D" w14:textId="77777777" w:rsidTr="005008C6">
        <w:trPr>
          <w:trHeight w:val="280"/>
        </w:trPr>
        <w:tc>
          <w:tcPr>
            <w:tcW w:w="3547" w:type="dxa"/>
          </w:tcPr>
          <w:p w14:paraId="494F10C7" w14:textId="77777777" w:rsidR="0094759F" w:rsidRPr="002763E8" w:rsidRDefault="0094759F" w:rsidP="008667DC">
            <w:pPr>
              <w:jc w:val="both"/>
              <w:rPr>
                <w:color w:val="000000" w:themeColor="text1"/>
              </w:rPr>
            </w:pPr>
            <w:r w:rsidRPr="002763E8">
              <w:rPr>
                <w:color w:val="000000" w:themeColor="text1"/>
              </w:rPr>
              <w:t>Tiesiskā regulējuma ietekme uz tautsaimniecību un administratīvo slogu</w:t>
            </w:r>
          </w:p>
        </w:tc>
        <w:tc>
          <w:tcPr>
            <w:tcW w:w="6037" w:type="dxa"/>
          </w:tcPr>
          <w:p w14:paraId="7804B15B" w14:textId="1679CB1A" w:rsidR="008667DC" w:rsidRPr="002763E8" w:rsidRDefault="00E10361" w:rsidP="003277A6">
            <w:pPr>
              <w:spacing w:after="120"/>
              <w:jc w:val="both"/>
              <w:rPr>
                <w:color w:val="000000" w:themeColor="text1"/>
              </w:rPr>
            </w:pPr>
            <w:r w:rsidRPr="002763E8">
              <w:rPr>
                <w:color w:val="000000" w:themeColor="text1"/>
              </w:rPr>
              <w:t xml:space="preserve">Grozījumu rezultātā tiks </w:t>
            </w:r>
            <w:r w:rsidR="00473818">
              <w:rPr>
                <w:color w:val="000000" w:themeColor="text1"/>
              </w:rPr>
              <w:t>samazināts valsts atbalsts</w:t>
            </w:r>
            <w:r w:rsidR="009E12DE">
              <w:rPr>
                <w:color w:val="000000" w:themeColor="text1"/>
              </w:rPr>
              <w:t xml:space="preserve"> elektroenerģijas ražotājiem</w:t>
            </w:r>
            <w:r w:rsidR="00DB320D">
              <w:rPr>
                <w:color w:val="000000" w:themeColor="text1"/>
              </w:rPr>
              <w:t>, kas saņem garantēto maksu par elektrostacijā uzstādīto elektrisko jaudu</w:t>
            </w:r>
            <w:r w:rsidR="00925943">
              <w:rPr>
                <w:color w:val="000000" w:themeColor="text1"/>
              </w:rPr>
              <w:t xml:space="preserve">, vienlaikus nodrošinot </w:t>
            </w:r>
            <w:r w:rsidR="006D3A70">
              <w:rPr>
                <w:color w:val="000000" w:themeColor="text1"/>
              </w:rPr>
              <w:t xml:space="preserve">elektroenerģijas galapatēriņa izmaksu pazemināšanos un </w:t>
            </w:r>
            <w:r w:rsidR="005C4912">
              <w:rPr>
                <w:color w:val="000000" w:themeColor="text1"/>
              </w:rPr>
              <w:t xml:space="preserve">iespēju </w:t>
            </w:r>
            <w:r w:rsidR="0062563C">
              <w:rPr>
                <w:color w:val="000000" w:themeColor="text1"/>
              </w:rPr>
              <w:t xml:space="preserve">daļu no </w:t>
            </w:r>
            <w:r w:rsidR="005C4912">
              <w:rPr>
                <w:color w:val="000000" w:themeColor="text1"/>
              </w:rPr>
              <w:t>iepriek</w:t>
            </w:r>
            <w:r w:rsidR="0062563C">
              <w:rPr>
                <w:color w:val="000000" w:themeColor="text1"/>
              </w:rPr>
              <w:t>š valsts atbalstam izmantotiem</w:t>
            </w:r>
            <w:r w:rsidR="005C4912">
              <w:rPr>
                <w:color w:val="000000" w:themeColor="text1"/>
              </w:rPr>
              <w:t xml:space="preserve"> budžeta līdzek</w:t>
            </w:r>
            <w:r w:rsidR="00066836">
              <w:rPr>
                <w:color w:val="000000" w:themeColor="text1"/>
              </w:rPr>
              <w:t>ļiem</w:t>
            </w:r>
            <w:r w:rsidR="005C4912">
              <w:rPr>
                <w:color w:val="000000" w:themeColor="text1"/>
              </w:rPr>
              <w:t xml:space="preserve"> novirzīt vispārējām budžeta vajadzībām</w:t>
            </w:r>
            <w:r w:rsidR="009E12DE">
              <w:rPr>
                <w:color w:val="000000" w:themeColor="text1"/>
              </w:rPr>
              <w:t>.</w:t>
            </w:r>
          </w:p>
        </w:tc>
      </w:tr>
      <w:tr w:rsidR="0094759F" w:rsidRPr="002763E8" w14:paraId="7E915D7F" w14:textId="77777777" w:rsidTr="005008C6">
        <w:trPr>
          <w:trHeight w:val="481"/>
        </w:trPr>
        <w:tc>
          <w:tcPr>
            <w:tcW w:w="3547" w:type="dxa"/>
          </w:tcPr>
          <w:p w14:paraId="26EDC7B6" w14:textId="77777777" w:rsidR="0094759F" w:rsidRPr="00BF4E15" w:rsidRDefault="0094759F" w:rsidP="008667DC">
            <w:pPr>
              <w:jc w:val="both"/>
              <w:rPr>
                <w:color w:val="000000" w:themeColor="text1"/>
              </w:rPr>
            </w:pPr>
            <w:r w:rsidRPr="002763E8">
              <w:rPr>
                <w:color w:val="000000" w:themeColor="text1"/>
              </w:rPr>
              <w:t xml:space="preserve">Administratīvo izmaksu monetārs </w:t>
            </w:r>
            <w:r w:rsidRPr="00187D7E">
              <w:rPr>
                <w:color w:val="000000" w:themeColor="text1"/>
              </w:rPr>
              <w:t>novērtējums</w:t>
            </w:r>
          </w:p>
        </w:tc>
        <w:tc>
          <w:tcPr>
            <w:tcW w:w="6037" w:type="dxa"/>
          </w:tcPr>
          <w:p w14:paraId="0B134D83" w14:textId="375EB9F9" w:rsidR="00F2130A" w:rsidRPr="00187D7E" w:rsidRDefault="004F0D4A" w:rsidP="004068A0">
            <w:pPr>
              <w:spacing w:before="120" w:after="120"/>
              <w:jc w:val="both"/>
              <w:rPr>
                <w:color w:val="000000" w:themeColor="text1"/>
              </w:rPr>
            </w:pPr>
            <w:r w:rsidRPr="00B260D5">
              <w:t>Projekts šo jomu neskar</w:t>
            </w:r>
          </w:p>
        </w:tc>
      </w:tr>
      <w:tr w:rsidR="0094759F" w:rsidRPr="002763E8" w14:paraId="1F6C93B4" w14:textId="77777777" w:rsidTr="005008C6">
        <w:trPr>
          <w:trHeight w:val="274"/>
        </w:trPr>
        <w:tc>
          <w:tcPr>
            <w:tcW w:w="3547" w:type="dxa"/>
          </w:tcPr>
          <w:p w14:paraId="29BCD935" w14:textId="77777777" w:rsidR="0094759F" w:rsidRPr="002763E8" w:rsidRDefault="0094759F" w:rsidP="008667DC">
            <w:pPr>
              <w:jc w:val="both"/>
              <w:rPr>
                <w:color w:val="000000" w:themeColor="text1"/>
              </w:rPr>
            </w:pPr>
            <w:r w:rsidRPr="002763E8">
              <w:rPr>
                <w:color w:val="000000" w:themeColor="text1"/>
              </w:rPr>
              <w:t>Cita informācija</w:t>
            </w:r>
          </w:p>
        </w:tc>
        <w:tc>
          <w:tcPr>
            <w:tcW w:w="6037" w:type="dxa"/>
          </w:tcPr>
          <w:p w14:paraId="4CE59AB3" w14:textId="77777777" w:rsidR="0094759F" w:rsidRPr="002763E8" w:rsidRDefault="00F2130A" w:rsidP="007422D8">
            <w:pPr>
              <w:spacing w:before="120"/>
              <w:jc w:val="both"/>
              <w:rPr>
                <w:color w:val="000000" w:themeColor="text1"/>
              </w:rPr>
            </w:pPr>
            <w:r w:rsidRPr="002763E8">
              <w:rPr>
                <w:color w:val="000000" w:themeColor="text1"/>
              </w:rPr>
              <w:t>Nav.</w:t>
            </w:r>
          </w:p>
        </w:tc>
      </w:tr>
    </w:tbl>
    <w:p w14:paraId="236B2F98" w14:textId="0139D112" w:rsidR="001041EC" w:rsidRDefault="001041EC" w:rsidP="008667DC">
      <w:pPr>
        <w:rPr>
          <w:color w:val="000000" w:themeColor="text1"/>
        </w:rPr>
      </w:pPr>
    </w:p>
    <w:tbl>
      <w:tblPr>
        <w:tblW w:w="5235"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2"/>
        <w:gridCol w:w="1194"/>
        <w:gridCol w:w="1009"/>
        <w:gridCol w:w="1416"/>
        <w:gridCol w:w="1433"/>
        <w:gridCol w:w="1296"/>
      </w:tblGrid>
      <w:tr w:rsidR="00E74762" w:rsidRPr="002763E8" w14:paraId="3CF917B9" w14:textId="77777777" w:rsidTr="004744C5">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8D78" w14:textId="4986EBE3"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III. Tiesību akta projekta ietekme uz valsts budžetu un pašvaldību budžetiem</w:t>
            </w:r>
          </w:p>
        </w:tc>
      </w:tr>
      <w:tr w:rsidR="00E74762" w:rsidRPr="002763E8" w14:paraId="3FC01213" w14:textId="77777777" w:rsidTr="008610D1">
        <w:trPr>
          <w:jc w:val="center"/>
        </w:trPr>
        <w:tc>
          <w:tcPr>
            <w:tcW w:w="170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FF9F6"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Rādītāji</w:t>
            </w:r>
          </w:p>
        </w:tc>
        <w:tc>
          <w:tcPr>
            <w:tcW w:w="114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1F77" w14:textId="1A641A3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w:t>
            </w:r>
            <w:r w:rsidR="004F0D4A">
              <w:rPr>
                <w:b/>
                <w:bCs/>
                <w:color w:val="000000" w:themeColor="text1"/>
              </w:rPr>
              <w:t>7</w:t>
            </w:r>
            <w:r w:rsidRPr="002763E8">
              <w:rPr>
                <w:b/>
                <w:bCs/>
                <w:color w:val="000000" w:themeColor="text1"/>
              </w:rPr>
              <w:t>. gads</w:t>
            </w:r>
          </w:p>
        </w:tc>
        <w:tc>
          <w:tcPr>
            <w:tcW w:w="215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514E9"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Turpmākie trīs gadi (</w:t>
            </w:r>
            <w:r w:rsidRPr="002763E8">
              <w:rPr>
                <w:i/>
                <w:iCs/>
                <w:color w:val="000000" w:themeColor="text1"/>
              </w:rPr>
              <w:t>euro</w:t>
            </w:r>
            <w:r w:rsidRPr="002763E8">
              <w:rPr>
                <w:color w:val="000000" w:themeColor="text1"/>
              </w:rPr>
              <w:t>)</w:t>
            </w:r>
          </w:p>
        </w:tc>
      </w:tr>
      <w:tr w:rsidR="00E74762" w:rsidRPr="002763E8" w14:paraId="2F44B020" w14:textId="77777777" w:rsidTr="008610D1">
        <w:trPr>
          <w:jc w:val="center"/>
        </w:trPr>
        <w:tc>
          <w:tcPr>
            <w:tcW w:w="170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23E2A" w14:textId="77777777" w:rsidR="00E74762" w:rsidRPr="002763E8" w:rsidRDefault="00E74762" w:rsidP="000056F9">
            <w:pPr>
              <w:rPr>
                <w:b/>
                <w:bCs/>
                <w:color w:val="000000" w:themeColor="text1"/>
              </w:rPr>
            </w:pPr>
          </w:p>
        </w:tc>
        <w:tc>
          <w:tcPr>
            <w:tcW w:w="114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7B43E" w14:textId="77777777" w:rsidR="00E74762" w:rsidRPr="002763E8" w:rsidRDefault="00E74762" w:rsidP="000056F9">
            <w:pPr>
              <w:rPr>
                <w:b/>
                <w:bCs/>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A5FFB" w14:textId="18CB633E"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w:t>
            </w:r>
            <w:r w:rsidR="004F0D4A">
              <w:rPr>
                <w:b/>
                <w:bCs/>
                <w:color w:val="000000" w:themeColor="text1"/>
              </w:rPr>
              <w:t>8</w:t>
            </w:r>
            <w:r w:rsidRPr="002763E8">
              <w:rPr>
                <w:b/>
                <w:bCs/>
                <w:color w:val="000000" w:themeColor="text1"/>
              </w:rPr>
              <w:t>. gads</w:t>
            </w:r>
          </w:p>
        </w:tc>
        <w:tc>
          <w:tcPr>
            <w:tcW w:w="7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CF2A" w14:textId="61CC9FE6" w:rsidR="00E74762" w:rsidRPr="002763E8" w:rsidRDefault="004F0D4A" w:rsidP="000056F9">
            <w:pPr>
              <w:pStyle w:val="tvhtml"/>
              <w:spacing w:before="0" w:beforeAutospacing="0" w:after="0" w:afterAutospacing="0"/>
              <w:jc w:val="center"/>
              <w:rPr>
                <w:b/>
                <w:bCs/>
                <w:color w:val="000000" w:themeColor="text1"/>
              </w:rPr>
            </w:pPr>
            <w:r>
              <w:rPr>
                <w:b/>
                <w:bCs/>
                <w:color w:val="000000" w:themeColor="text1"/>
              </w:rPr>
              <w:t>2019</w:t>
            </w:r>
            <w:r w:rsidR="00E74762" w:rsidRPr="002763E8">
              <w:rPr>
                <w:b/>
                <w:bCs/>
                <w:color w:val="000000" w:themeColor="text1"/>
              </w:rPr>
              <w:t>. gads</w:t>
            </w:r>
          </w:p>
        </w:tc>
        <w:tc>
          <w:tcPr>
            <w:tcW w:w="6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53D3" w14:textId="508BA7E1"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w:t>
            </w:r>
            <w:r w:rsidR="004F0D4A">
              <w:rPr>
                <w:b/>
                <w:bCs/>
                <w:color w:val="000000" w:themeColor="text1"/>
              </w:rPr>
              <w:t>20</w:t>
            </w:r>
            <w:r w:rsidRPr="002763E8">
              <w:rPr>
                <w:b/>
                <w:bCs/>
                <w:color w:val="000000" w:themeColor="text1"/>
              </w:rPr>
              <w:t>. gads</w:t>
            </w:r>
          </w:p>
        </w:tc>
      </w:tr>
      <w:tr w:rsidR="00E74762" w:rsidRPr="002763E8" w14:paraId="7301F109" w14:textId="77777777" w:rsidTr="008610D1">
        <w:trPr>
          <w:jc w:val="center"/>
        </w:trPr>
        <w:tc>
          <w:tcPr>
            <w:tcW w:w="170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599BB" w14:textId="77777777" w:rsidR="00E74762" w:rsidRPr="002763E8" w:rsidRDefault="00E74762" w:rsidP="000056F9">
            <w:pPr>
              <w:rPr>
                <w:b/>
                <w:bCs/>
                <w:color w:val="000000" w:themeColor="text1"/>
              </w:rPr>
            </w:pPr>
          </w:p>
        </w:tc>
        <w:tc>
          <w:tcPr>
            <w:tcW w:w="6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A088"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 xml:space="preserve">saskaņā ar valsts budžetu </w:t>
            </w:r>
            <w:r w:rsidRPr="002763E8">
              <w:rPr>
                <w:color w:val="000000" w:themeColor="text1"/>
              </w:rPr>
              <w:lastRenderedPageBreak/>
              <w:t>kārtējam gadam</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65627"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lastRenderedPageBreak/>
              <w:t xml:space="preserve">izmaiņas kārtējā gadā, </w:t>
            </w:r>
            <w:r w:rsidRPr="002763E8">
              <w:rPr>
                <w:color w:val="000000" w:themeColor="text1"/>
              </w:rPr>
              <w:lastRenderedPageBreak/>
              <w:t>salīdzinot ar valsts budžetu kārtējam gadam</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DA5B"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lastRenderedPageBreak/>
              <w:t xml:space="preserve">izmaiņas, salīdzinot ar </w:t>
            </w:r>
            <w:r w:rsidRPr="002763E8">
              <w:rPr>
                <w:color w:val="000000" w:themeColor="text1"/>
              </w:rPr>
              <w:lastRenderedPageBreak/>
              <w:t>kārtējo (n) gadu</w:t>
            </w:r>
          </w:p>
        </w:tc>
        <w:tc>
          <w:tcPr>
            <w:tcW w:w="7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C93C7"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lastRenderedPageBreak/>
              <w:t xml:space="preserve">izmaiņas, salīdzinot ar </w:t>
            </w:r>
            <w:r w:rsidRPr="002763E8">
              <w:rPr>
                <w:color w:val="000000" w:themeColor="text1"/>
              </w:rPr>
              <w:lastRenderedPageBreak/>
              <w:t>kārtējo (n) gadu</w:t>
            </w:r>
          </w:p>
        </w:tc>
        <w:tc>
          <w:tcPr>
            <w:tcW w:w="6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EE0C"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lastRenderedPageBreak/>
              <w:t xml:space="preserve">izmaiņas, salīdzinot ar </w:t>
            </w:r>
            <w:r w:rsidRPr="002763E8">
              <w:rPr>
                <w:color w:val="000000" w:themeColor="text1"/>
              </w:rPr>
              <w:lastRenderedPageBreak/>
              <w:t>kārtējo (n) gadu</w:t>
            </w:r>
          </w:p>
        </w:tc>
      </w:tr>
      <w:tr w:rsidR="00E74762" w:rsidRPr="002763E8" w14:paraId="501E1696"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8ECB1"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lastRenderedPageBreak/>
              <w:t>1</w:t>
            </w:r>
          </w:p>
        </w:tc>
        <w:tc>
          <w:tcPr>
            <w:tcW w:w="6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D170C"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2</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9EB8B"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3</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E1893"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4</w:t>
            </w:r>
          </w:p>
        </w:tc>
        <w:tc>
          <w:tcPr>
            <w:tcW w:w="7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9A98"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5</w:t>
            </w:r>
          </w:p>
        </w:tc>
        <w:tc>
          <w:tcPr>
            <w:tcW w:w="6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46EDF"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6</w:t>
            </w:r>
          </w:p>
        </w:tc>
      </w:tr>
      <w:tr w:rsidR="00E74762" w:rsidRPr="002763E8" w14:paraId="5D4E3DCF"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2D554D76" w14:textId="77777777" w:rsidR="00E74762" w:rsidRPr="002763E8" w:rsidRDefault="00E74762" w:rsidP="000056F9">
            <w:pPr>
              <w:rPr>
                <w:color w:val="000000" w:themeColor="text1"/>
              </w:rPr>
            </w:pPr>
            <w:r w:rsidRPr="002763E8">
              <w:rPr>
                <w:color w:val="000000" w:themeColor="text1"/>
              </w:rPr>
              <w:t>1. Budžeta ieņēmumi:</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3C8980F5"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02250FB9"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62D8E214" w14:textId="77777777" w:rsidR="00E74762" w:rsidRPr="002763E8" w:rsidRDefault="00E74762" w:rsidP="00E74762">
            <w:pPr>
              <w:jc w:val="center"/>
              <w:rPr>
                <w:color w:val="000000" w:themeColor="text1"/>
              </w:rPr>
            </w:pPr>
            <w:r w:rsidRPr="002763E8">
              <w:rPr>
                <w:color w:val="000000" w:themeColor="text1"/>
              </w:rPr>
              <w:t>0</w:t>
            </w:r>
          </w:p>
          <w:p w14:paraId="35660A1C"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269EB3C8" w14:textId="77777777" w:rsidR="00E74762" w:rsidRPr="002763E8" w:rsidRDefault="00E74762" w:rsidP="00E74762">
            <w:pPr>
              <w:jc w:val="center"/>
              <w:rPr>
                <w:color w:val="000000" w:themeColor="text1"/>
                <w:highlight w:val="yellow"/>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3163D0CE" w14:textId="77777777" w:rsidR="00E74762" w:rsidRPr="002763E8" w:rsidRDefault="00E74762" w:rsidP="00E74762">
            <w:pPr>
              <w:jc w:val="center"/>
              <w:rPr>
                <w:color w:val="000000" w:themeColor="text1"/>
                <w:highlight w:val="yellow"/>
              </w:rPr>
            </w:pPr>
            <w:r w:rsidRPr="002763E8">
              <w:rPr>
                <w:color w:val="000000" w:themeColor="text1"/>
              </w:rPr>
              <w:t>0</w:t>
            </w:r>
          </w:p>
        </w:tc>
      </w:tr>
      <w:tr w:rsidR="00F63A1C" w:rsidRPr="002763E8" w14:paraId="52B6039D"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1DA61946" w14:textId="77777777" w:rsidR="00F63A1C" w:rsidRPr="002763E8" w:rsidRDefault="00F63A1C" w:rsidP="00F63A1C">
            <w:pPr>
              <w:pStyle w:val="ListParagraph"/>
              <w:numPr>
                <w:ilvl w:val="1"/>
                <w:numId w:val="14"/>
              </w:numPr>
              <w:rPr>
                <w:color w:val="000000" w:themeColor="text1"/>
                <w:sz w:val="24"/>
                <w:szCs w:val="24"/>
              </w:rPr>
            </w:pPr>
            <w:r w:rsidRPr="002763E8">
              <w:rPr>
                <w:color w:val="000000" w:themeColor="text1"/>
                <w:sz w:val="24"/>
                <w:szCs w:val="24"/>
              </w:rPr>
              <w:t>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08245B90" w14:textId="77777777" w:rsidR="00F63A1C" w:rsidRPr="002763E8" w:rsidRDefault="00F63A1C" w:rsidP="00F63A1C">
            <w:pPr>
              <w:jc w:val="center"/>
              <w:rPr>
                <w:color w:val="000000" w:themeColor="text1"/>
              </w:rPr>
            </w:pPr>
          </w:p>
          <w:p w14:paraId="75D96193" w14:textId="77777777" w:rsidR="00F63A1C" w:rsidRPr="002763E8" w:rsidRDefault="00F63A1C" w:rsidP="00F63A1C">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2F81426F" w14:textId="77777777" w:rsidR="00F63A1C" w:rsidRPr="002763E8" w:rsidRDefault="00F63A1C" w:rsidP="00F63A1C">
            <w:pPr>
              <w:jc w:val="center"/>
              <w:rPr>
                <w:color w:val="000000" w:themeColor="text1"/>
              </w:rPr>
            </w:pPr>
          </w:p>
          <w:p w14:paraId="0CDE63E2" w14:textId="77777777" w:rsidR="00F63A1C" w:rsidRPr="002763E8" w:rsidRDefault="00F63A1C" w:rsidP="00F63A1C">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0DF56888" w14:textId="1C67ACAB" w:rsidR="00F63A1C" w:rsidRPr="00954152" w:rsidRDefault="00F63A1C" w:rsidP="00F63A1C">
            <w:pPr>
              <w:jc w:val="center"/>
              <w:rPr>
                <w:color w:val="000000" w:themeColor="text1"/>
              </w:rPr>
            </w:pPr>
            <w:r w:rsidRPr="00FD629E">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1C7066F4" w14:textId="55566026" w:rsidR="00F63A1C" w:rsidRPr="00954152" w:rsidRDefault="00F63A1C" w:rsidP="00F63A1C">
            <w:pPr>
              <w:jc w:val="center"/>
              <w:rPr>
                <w:color w:val="000000" w:themeColor="text1"/>
              </w:rPr>
            </w:pPr>
            <w:r w:rsidRPr="00FD629E">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39998CA9" w14:textId="16EAADFB" w:rsidR="00F63A1C" w:rsidRPr="00954152" w:rsidRDefault="00F63A1C" w:rsidP="00F63A1C">
            <w:pPr>
              <w:jc w:val="center"/>
              <w:rPr>
                <w:color w:val="000000" w:themeColor="text1"/>
              </w:rPr>
            </w:pPr>
            <w:r w:rsidRPr="00FD629E">
              <w:rPr>
                <w:color w:val="000000" w:themeColor="text1"/>
              </w:rPr>
              <w:t>0</w:t>
            </w:r>
          </w:p>
        </w:tc>
      </w:tr>
      <w:tr w:rsidR="00E74762" w:rsidRPr="002763E8" w14:paraId="0F6D1A60"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2BB57E2B" w14:textId="77777777" w:rsidR="00E74762" w:rsidRPr="002763E8" w:rsidRDefault="00E74762" w:rsidP="000056F9">
            <w:pPr>
              <w:rPr>
                <w:color w:val="000000" w:themeColor="text1"/>
              </w:rPr>
            </w:pPr>
            <w:r w:rsidRPr="002763E8">
              <w:rPr>
                <w:color w:val="000000" w:themeColor="text1"/>
              </w:rPr>
              <w:t>1.2. valsts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6CB6132E"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200ACA91"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909E415" w14:textId="77777777" w:rsidR="00E74762" w:rsidRPr="002763E8" w:rsidRDefault="00E74762" w:rsidP="00E74762">
            <w:pPr>
              <w:jc w:val="center"/>
              <w:rPr>
                <w:color w:val="000000" w:themeColor="text1"/>
              </w:rPr>
            </w:pPr>
            <w:r w:rsidRPr="002763E8">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6B7FD770"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2278CD6A"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F174248"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6799978F" w14:textId="77777777" w:rsidR="00E74762" w:rsidRPr="002763E8" w:rsidRDefault="00E74762" w:rsidP="000056F9">
            <w:pPr>
              <w:rPr>
                <w:color w:val="000000" w:themeColor="text1"/>
              </w:rPr>
            </w:pPr>
            <w:r w:rsidRPr="002763E8">
              <w:rPr>
                <w:color w:val="000000" w:themeColor="text1"/>
              </w:rPr>
              <w:t>1.3.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0A583C1E"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76070557"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0664CE86" w14:textId="77777777" w:rsidR="00E74762" w:rsidRPr="002763E8" w:rsidRDefault="00E74762" w:rsidP="00E74762">
            <w:pPr>
              <w:jc w:val="center"/>
              <w:rPr>
                <w:color w:val="000000" w:themeColor="text1"/>
              </w:rPr>
            </w:pPr>
            <w:r w:rsidRPr="002763E8">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64539E27"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76E73633"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DA9EE3C"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tcPr>
          <w:p w14:paraId="5A569274" w14:textId="77777777" w:rsidR="00E74762" w:rsidRPr="002763E8" w:rsidRDefault="00E74762" w:rsidP="000056F9">
            <w:pPr>
              <w:rPr>
                <w:color w:val="000000" w:themeColor="text1"/>
              </w:rPr>
            </w:pP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463D653A" w14:textId="77777777" w:rsidR="00E74762" w:rsidRPr="002763E8" w:rsidRDefault="00E74762" w:rsidP="00E74762">
            <w:pPr>
              <w:jc w:val="center"/>
              <w:rPr>
                <w:color w:val="000000" w:themeColor="text1"/>
                <w:highlight w:val="yellow"/>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3C6129ED" w14:textId="77777777" w:rsidR="00E74762" w:rsidRPr="002763E8" w:rsidRDefault="00E74762" w:rsidP="00E74762">
            <w:pPr>
              <w:jc w:val="center"/>
              <w:rPr>
                <w:color w:val="000000" w:themeColor="text1"/>
                <w:highlight w:val="yellow"/>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76924A5A"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653B560E"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30613E90" w14:textId="77777777" w:rsidR="00E74762" w:rsidRPr="002763E8" w:rsidRDefault="00E74762" w:rsidP="00E74762">
            <w:pPr>
              <w:jc w:val="center"/>
              <w:rPr>
                <w:color w:val="000000" w:themeColor="text1"/>
              </w:rPr>
            </w:pPr>
          </w:p>
        </w:tc>
      </w:tr>
      <w:tr w:rsidR="00E74762" w:rsidRPr="002763E8" w14:paraId="672F30E1"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1B25380F" w14:textId="77777777" w:rsidR="00E74762" w:rsidRPr="002763E8" w:rsidRDefault="00E74762" w:rsidP="000056F9">
            <w:pPr>
              <w:rPr>
                <w:color w:val="000000" w:themeColor="text1"/>
              </w:rPr>
            </w:pPr>
            <w:r w:rsidRPr="002763E8">
              <w:rPr>
                <w:color w:val="000000" w:themeColor="text1"/>
              </w:rPr>
              <w:t>2. Budžeta izdevumi:</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7DE45D21"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3CD5B858"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6E0DDD76" w14:textId="77777777" w:rsidR="00E74762" w:rsidRPr="002763E8" w:rsidRDefault="00E74762" w:rsidP="00E74762">
            <w:pPr>
              <w:jc w:val="center"/>
              <w:rPr>
                <w:color w:val="000000" w:themeColor="text1"/>
              </w:rPr>
            </w:pPr>
            <w:r w:rsidRPr="00954152">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24F5DB60"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06EDADBF" w14:textId="77777777" w:rsidR="00E74762" w:rsidRPr="002763E8" w:rsidRDefault="00E74762" w:rsidP="00E74762">
            <w:pPr>
              <w:jc w:val="center"/>
              <w:rPr>
                <w:color w:val="000000" w:themeColor="text1"/>
              </w:rPr>
            </w:pPr>
            <w:r w:rsidRPr="002763E8">
              <w:rPr>
                <w:color w:val="000000" w:themeColor="text1"/>
              </w:rPr>
              <w:t>0</w:t>
            </w:r>
          </w:p>
        </w:tc>
      </w:tr>
      <w:tr w:rsidR="00DF64F8" w:rsidRPr="002763E8" w14:paraId="57F23B62" w14:textId="77777777" w:rsidTr="008610D1">
        <w:tblPrEx>
          <w:tblCellMar>
            <w:left w:w="108" w:type="dxa"/>
            <w:right w:w="108" w:type="dxa"/>
          </w:tblCellMar>
        </w:tblPrEx>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1873264B" w14:textId="77777777" w:rsidR="00DF64F8" w:rsidRPr="002763E8" w:rsidRDefault="00DF64F8" w:rsidP="00DF64F8">
            <w:pPr>
              <w:rPr>
                <w:color w:val="000000" w:themeColor="text1"/>
              </w:rPr>
            </w:pPr>
            <w:r w:rsidRPr="002763E8">
              <w:rPr>
                <w:color w:val="000000" w:themeColor="text1"/>
              </w:rPr>
              <w:t>2.1. valsts pamatbudžets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1490DD12" w14:textId="77777777" w:rsidR="00DF64F8" w:rsidRPr="002763E8" w:rsidRDefault="00DF64F8" w:rsidP="00DF64F8">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147DBC81" w14:textId="77777777" w:rsidR="00DF64F8" w:rsidRPr="002763E8" w:rsidRDefault="00DF64F8" w:rsidP="00DF64F8">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36B566D9" w14:textId="44212144" w:rsidR="00DF64F8" w:rsidRPr="00954152" w:rsidRDefault="00DF64F8" w:rsidP="00DF64F8">
            <w:pPr>
              <w:jc w:val="center"/>
              <w:rPr>
                <w:color w:val="000000" w:themeColor="text1"/>
              </w:rPr>
            </w:pPr>
            <w:r w:rsidRPr="00E906D6">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68375F55" w14:textId="4606188D" w:rsidR="00DF64F8" w:rsidRPr="00954152" w:rsidRDefault="00DF64F8" w:rsidP="00DF64F8">
            <w:pPr>
              <w:jc w:val="center"/>
              <w:rPr>
                <w:color w:val="000000" w:themeColor="text1"/>
              </w:rPr>
            </w:pPr>
            <w:r w:rsidRPr="00E906D6">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2F512B2D" w14:textId="72E8B3CF" w:rsidR="00DF64F8" w:rsidRPr="00954152" w:rsidRDefault="00DF64F8" w:rsidP="00DF64F8">
            <w:pPr>
              <w:jc w:val="center"/>
              <w:rPr>
                <w:color w:val="000000" w:themeColor="text1"/>
              </w:rPr>
            </w:pPr>
            <w:r w:rsidRPr="00E906D6">
              <w:rPr>
                <w:color w:val="000000" w:themeColor="text1"/>
              </w:rPr>
              <w:t>0</w:t>
            </w:r>
          </w:p>
        </w:tc>
      </w:tr>
      <w:tr w:rsidR="00E74762" w:rsidRPr="002763E8" w14:paraId="7B14D67C"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02DCF6DF" w14:textId="77777777" w:rsidR="00E74762" w:rsidRPr="002763E8" w:rsidRDefault="00E74762" w:rsidP="000056F9">
            <w:pPr>
              <w:rPr>
                <w:color w:val="000000" w:themeColor="text1"/>
              </w:rPr>
            </w:pPr>
            <w:r w:rsidRPr="002763E8">
              <w:rPr>
                <w:color w:val="000000" w:themeColor="text1"/>
              </w:rPr>
              <w:t>2.2. valsts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71F77B70"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3E475AE5"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276E0A0" w14:textId="77777777" w:rsidR="00E74762" w:rsidRPr="002763E8" w:rsidRDefault="00E74762" w:rsidP="00E74762">
            <w:pPr>
              <w:jc w:val="center"/>
              <w:rPr>
                <w:color w:val="000000" w:themeColor="text1"/>
              </w:rPr>
            </w:pPr>
            <w:r w:rsidRPr="002763E8">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3594475F"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1482DAE9"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9F97E66"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69755BF0" w14:textId="77777777" w:rsidR="00E74762" w:rsidRPr="002763E8" w:rsidRDefault="00E74762" w:rsidP="000056F9">
            <w:pPr>
              <w:rPr>
                <w:color w:val="000000" w:themeColor="text1"/>
              </w:rPr>
            </w:pPr>
            <w:r w:rsidRPr="002763E8">
              <w:rPr>
                <w:color w:val="000000" w:themeColor="text1"/>
              </w:rPr>
              <w:t>2.3.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565500FE"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16140550"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191C9D44" w14:textId="77777777" w:rsidR="00E74762" w:rsidRPr="002763E8" w:rsidRDefault="00E74762" w:rsidP="00E74762">
            <w:pPr>
              <w:jc w:val="center"/>
              <w:rPr>
                <w:color w:val="000000" w:themeColor="text1"/>
              </w:rPr>
            </w:pPr>
            <w:r w:rsidRPr="002763E8">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79C9ECF3"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52942FC5"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29C72587"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1372BCC4" w14:textId="77777777" w:rsidR="00E74762" w:rsidRPr="002763E8" w:rsidRDefault="00E74762" w:rsidP="000056F9">
            <w:pPr>
              <w:rPr>
                <w:color w:val="000000" w:themeColor="text1"/>
              </w:rPr>
            </w:pPr>
            <w:r w:rsidRPr="002763E8">
              <w:rPr>
                <w:color w:val="000000" w:themeColor="text1"/>
              </w:rPr>
              <w:t>3. Finansiālā ietekme:</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33C0570A"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74D7D812"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178928A5" w14:textId="77777777" w:rsidR="00E74762" w:rsidRPr="002763E8" w:rsidRDefault="00E74762" w:rsidP="00E74762">
            <w:pPr>
              <w:jc w:val="center"/>
              <w:rPr>
                <w:color w:val="000000" w:themeColor="text1"/>
              </w:rPr>
            </w:pPr>
            <w:r w:rsidRPr="002763E8">
              <w:rPr>
                <w:bCs/>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03E91065"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1F26ACFD" w14:textId="77777777" w:rsidR="00E74762" w:rsidRPr="002763E8" w:rsidRDefault="00E74762" w:rsidP="00E74762">
            <w:pPr>
              <w:jc w:val="center"/>
              <w:rPr>
                <w:color w:val="000000" w:themeColor="text1"/>
              </w:rPr>
            </w:pPr>
            <w:r w:rsidRPr="002763E8">
              <w:rPr>
                <w:color w:val="000000" w:themeColor="text1"/>
              </w:rPr>
              <w:t>0</w:t>
            </w:r>
          </w:p>
        </w:tc>
      </w:tr>
      <w:tr w:rsidR="00DF64F8" w:rsidRPr="002763E8" w14:paraId="44863D25" w14:textId="77777777" w:rsidTr="007642A5">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57F767AF" w14:textId="77777777" w:rsidR="00DF64F8" w:rsidRPr="002763E8" w:rsidRDefault="00DF64F8" w:rsidP="00DF64F8">
            <w:pPr>
              <w:rPr>
                <w:color w:val="000000" w:themeColor="text1"/>
              </w:rPr>
            </w:pPr>
            <w:r w:rsidRPr="002763E8">
              <w:rPr>
                <w:color w:val="000000" w:themeColor="text1"/>
              </w:rPr>
              <w:t>3.1. valsts pamatbudžets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495194E4" w14:textId="77777777" w:rsidR="00DF64F8" w:rsidRPr="002763E8" w:rsidRDefault="00DF64F8" w:rsidP="00DF64F8">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59C9D361" w14:textId="77777777" w:rsidR="00DF64F8" w:rsidRPr="002763E8" w:rsidRDefault="00DF64F8" w:rsidP="00DF64F8">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2EBF274D" w14:textId="6446FD30" w:rsidR="00DF64F8" w:rsidRPr="00152D7F" w:rsidRDefault="00DF64F8" w:rsidP="00DF64F8">
            <w:pPr>
              <w:jc w:val="center"/>
              <w:rPr>
                <w:color w:val="000000" w:themeColor="text1"/>
              </w:rPr>
            </w:pPr>
            <w:r w:rsidRPr="003402B4">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7653807F" w14:textId="126C1759" w:rsidR="00DF64F8" w:rsidRPr="00152D7F" w:rsidRDefault="00DF64F8" w:rsidP="00DF64F8">
            <w:pPr>
              <w:jc w:val="center"/>
              <w:rPr>
                <w:color w:val="000000" w:themeColor="text1"/>
              </w:rPr>
            </w:pPr>
            <w:r w:rsidRPr="003402B4">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7C758BEF" w14:textId="57C85CF0" w:rsidR="00DF64F8" w:rsidRPr="00152D7F" w:rsidRDefault="00DF64F8" w:rsidP="00DF64F8">
            <w:pPr>
              <w:jc w:val="center"/>
              <w:rPr>
                <w:color w:val="000000" w:themeColor="text1"/>
              </w:rPr>
            </w:pPr>
            <w:r w:rsidRPr="003402B4">
              <w:rPr>
                <w:color w:val="000000" w:themeColor="text1"/>
              </w:rPr>
              <w:t>0</w:t>
            </w:r>
          </w:p>
        </w:tc>
      </w:tr>
      <w:tr w:rsidR="00E74762" w:rsidRPr="002763E8" w14:paraId="330F1D40"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6CE48EE1" w14:textId="77777777" w:rsidR="00E74762" w:rsidRPr="002763E8" w:rsidRDefault="00E74762" w:rsidP="000056F9">
            <w:pPr>
              <w:rPr>
                <w:color w:val="000000" w:themeColor="text1"/>
              </w:rPr>
            </w:pPr>
            <w:r w:rsidRPr="002763E8">
              <w:rPr>
                <w:color w:val="000000" w:themeColor="text1"/>
              </w:rPr>
              <w:t>3.2.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174A30CC"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143EBAAF"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458C845F" w14:textId="77777777" w:rsidR="00E74762" w:rsidRPr="002763E8" w:rsidRDefault="00E74762" w:rsidP="00E74762">
            <w:pPr>
              <w:jc w:val="center"/>
              <w:rPr>
                <w:color w:val="000000" w:themeColor="text1"/>
              </w:rPr>
            </w:pPr>
            <w:r w:rsidRPr="002763E8">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3ABEFE37"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4C2B4551"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59D26D9A"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65E1FE82" w14:textId="77777777" w:rsidR="00E74762" w:rsidRPr="002763E8" w:rsidRDefault="00E74762" w:rsidP="000056F9">
            <w:pPr>
              <w:rPr>
                <w:color w:val="000000" w:themeColor="text1"/>
              </w:rPr>
            </w:pPr>
            <w:r w:rsidRPr="002763E8">
              <w:rPr>
                <w:color w:val="000000" w:themeColor="text1"/>
              </w:rPr>
              <w:t>3.3.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tcPr>
          <w:p w14:paraId="29EDAE66" w14:textId="77777777" w:rsidR="00E74762" w:rsidRPr="002763E8" w:rsidRDefault="00E74762" w:rsidP="00E74762">
            <w:pPr>
              <w:jc w:val="center"/>
              <w:rPr>
                <w:color w:val="000000" w:themeColor="text1"/>
              </w:rPr>
            </w:pPr>
            <w:r w:rsidRPr="002763E8">
              <w:rPr>
                <w:color w:val="000000" w:themeColor="text1"/>
              </w:rPr>
              <w:t>0</w:t>
            </w:r>
          </w:p>
        </w:tc>
        <w:tc>
          <w:tcPr>
            <w:tcW w:w="524" w:type="pct"/>
            <w:tcBorders>
              <w:top w:val="outset" w:sz="6" w:space="0" w:color="414142"/>
              <w:left w:val="outset" w:sz="6" w:space="0" w:color="414142"/>
              <w:bottom w:val="outset" w:sz="6" w:space="0" w:color="414142"/>
              <w:right w:val="outset" w:sz="6" w:space="0" w:color="414142"/>
            </w:tcBorders>
            <w:shd w:val="clear" w:color="auto" w:fill="FFFFFF"/>
          </w:tcPr>
          <w:p w14:paraId="1E484B7C" w14:textId="77777777" w:rsidR="00E74762" w:rsidRPr="002763E8" w:rsidRDefault="00E74762" w:rsidP="00E74762">
            <w:pPr>
              <w:jc w:val="center"/>
              <w:rPr>
                <w:color w:val="000000" w:themeColor="text1"/>
              </w:rPr>
            </w:pPr>
            <w:r w:rsidRPr="002763E8">
              <w:rPr>
                <w:color w:val="000000" w:themeColor="text1"/>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6849203" w14:textId="77777777" w:rsidR="00E74762" w:rsidRPr="002763E8" w:rsidRDefault="00E74762" w:rsidP="00E74762">
            <w:pPr>
              <w:jc w:val="center"/>
              <w:rPr>
                <w:color w:val="000000" w:themeColor="text1"/>
              </w:rPr>
            </w:pPr>
            <w:r w:rsidRPr="002763E8">
              <w:rPr>
                <w:color w:val="000000" w:themeColor="text1"/>
              </w:rPr>
              <w:t>0</w:t>
            </w:r>
          </w:p>
        </w:tc>
        <w:tc>
          <w:tcPr>
            <w:tcW w:w="744" w:type="pct"/>
            <w:tcBorders>
              <w:top w:val="outset" w:sz="6" w:space="0" w:color="414142"/>
              <w:left w:val="outset" w:sz="6" w:space="0" w:color="414142"/>
              <w:bottom w:val="outset" w:sz="6" w:space="0" w:color="414142"/>
              <w:right w:val="outset" w:sz="6" w:space="0" w:color="414142"/>
            </w:tcBorders>
            <w:shd w:val="clear" w:color="auto" w:fill="FFFFFF"/>
          </w:tcPr>
          <w:p w14:paraId="36E25F3F" w14:textId="77777777" w:rsidR="00E74762" w:rsidRPr="002763E8" w:rsidRDefault="00E74762" w:rsidP="00E74762">
            <w:pPr>
              <w:jc w:val="center"/>
              <w:rPr>
                <w:color w:val="000000" w:themeColor="text1"/>
              </w:rPr>
            </w:pPr>
            <w:r w:rsidRPr="002763E8">
              <w:rPr>
                <w:color w:val="000000" w:themeColor="text1"/>
              </w:rPr>
              <w:t>0</w:t>
            </w:r>
          </w:p>
        </w:tc>
        <w:tc>
          <w:tcPr>
            <w:tcW w:w="673" w:type="pct"/>
            <w:tcBorders>
              <w:top w:val="outset" w:sz="6" w:space="0" w:color="414142"/>
              <w:left w:val="outset" w:sz="6" w:space="0" w:color="414142"/>
              <w:bottom w:val="outset" w:sz="6" w:space="0" w:color="414142"/>
              <w:right w:val="outset" w:sz="6" w:space="0" w:color="414142"/>
            </w:tcBorders>
            <w:shd w:val="clear" w:color="auto" w:fill="FFFFFF"/>
          </w:tcPr>
          <w:p w14:paraId="256CCBC8"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64896E65" w14:textId="77777777" w:rsidTr="008610D1">
        <w:trPr>
          <w:jc w:val="center"/>
        </w:trPr>
        <w:tc>
          <w:tcPr>
            <w:tcW w:w="170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8C3A4C1" w14:textId="77777777" w:rsidR="00E74762" w:rsidRPr="002763E8" w:rsidRDefault="00E74762" w:rsidP="000056F9">
            <w:pPr>
              <w:rPr>
                <w:color w:val="000000" w:themeColor="text1"/>
              </w:rPr>
            </w:pPr>
            <w:r w:rsidRPr="002763E8">
              <w:rPr>
                <w:color w:val="000000" w:themeColor="text1"/>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4946AF7" w14:textId="77777777" w:rsidR="00E74762" w:rsidRPr="002763E8" w:rsidRDefault="00E74762" w:rsidP="00E74762">
            <w:pPr>
              <w:pStyle w:val="tvhtml"/>
              <w:spacing w:before="0" w:beforeAutospacing="0" w:after="0" w:afterAutospacing="0"/>
              <w:jc w:val="center"/>
              <w:rPr>
                <w:color w:val="000000" w:themeColor="text1"/>
              </w:rPr>
            </w:pPr>
            <w:r w:rsidRPr="002763E8">
              <w:rPr>
                <w:color w:val="000000" w:themeColor="text1"/>
              </w:rPr>
              <w:t>X</w:t>
            </w: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4CD83A1B"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1E39F660"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30AD8F2D"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0D5A8412" w14:textId="77777777" w:rsidR="00E74762" w:rsidRPr="002763E8" w:rsidRDefault="00E74762" w:rsidP="00E74762">
            <w:pPr>
              <w:jc w:val="center"/>
              <w:rPr>
                <w:color w:val="000000" w:themeColor="text1"/>
              </w:rPr>
            </w:pPr>
          </w:p>
        </w:tc>
      </w:tr>
      <w:tr w:rsidR="00E74762" w:rsidRPr="002763E8" w14:paraId="50E9F0DC" w14:textId="77777777" w:rsidTr="008610D1">
        <w:trPr>
          <w:jc w:val="center"/>
        </w:trPr>
        <w:tc>
          <w:tcPr>
            <w:tcW w:w="170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CF9F4" w14:textId="77777777" w:rsidR="00E74762" w:rsidRPr="002763E8" w:rsidRDefault="00E74762" w:rsidP="000056F9">
            <w:pPr>
              <w:rPr>
                <w:color w:val="000000" w:themeColor="text1"/>
              </w:rPr>
            </w:pPr>
          </w:p>
        </w:tc>
        <w:tc>
          <w:tcPr>
            <w:tcW w:w="6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DB047" w14:textId="77777777" w:rsidR="00E74762" w:rsidRPr="002763E8" w:rsidRDefault="00E74762" w:rsidP="00E74762">
            <w:pPr>
              <w:jc w:val="center"/>
              <w:rPr>
                <w:color w:val="000000" w:themeColor="text1"/>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7D9054D4"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25133C55"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6DFE5155"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50831C85" w14:textId="77777777" w:rsidR="00E74762" w:rsidRPr="002763E8" w:rsidRDefault="00E74762" w:rsidP="00E74762">
            <w:pPr>
              <w:jc w:val="center"/>
              <w:rPr>
                <w:color w:val="000000" w:themeColor="text1"/>
              </w:rPr>
            </w:pPr>
          </w:p>
        </w:tc>
      </w:tr>
      <w:tr w:rsidR="00E74762" w:rsidRPr="002763E8" w14:paraId="44C7D412" w14:textId="77777777" w:rsidTr="008610D1">
        <w:trPr>
          <w:jc w:val="center"/>
        </w:trPr>
        <w:tc>
          <w:tcPr>
            <w:tcW w:w="170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9F9E5" w14:textId="77777777" w:rsidR="00E74762" w:rsidRPr="002763E8" w:rsidRDefault="00E74762" w:rsidP="000056F9">
            <w:pPr>
              <w:rPr>
                <w:color w:val="000000" w:themeColor="text1"/>
              </w:rPr>
            </w:pPr>
          </w:p>
        </w:tc>
        <w:tc>
          <w:tcPr>
            <w:tcW w:w="6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49518" w14:textId="77777777" w:rsidR="00E74762" w:rsidRPr="002763E8" w:rsidRDefault="00E74762" w:rsidP="00E74762">
            <w:pPr>
              <w:jc w:val="center"/>
              <w:rPr>
                <w:color w:val="000000" w:themeColor="text1"/>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3D587776"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05EBB71F"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3EDCDE27"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3A43595B" w14:textId="77777777" w:rsidR="00E74762" w:rsidRPr="002763E8" w:rsidRDefault="00E74762" w:rsidP="00E74762">
            <w:pPr>
              <w:jc w:val="center"/>
              <w:rPr>
                <w:color w:val="000000" w:themeColor="text1"/>
              </w:rPr>
            </w:pPr>
          </w:p>
        </w:tc>
      </w:tr>
      <w:tr w:rsidR="00E74762" w:rsidRPr="002763E8" w14:paraId="6373B022"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411F927A" w14:textId="77777777" w:rsidR="00E74762" w:rsidRPr="002763E8" w:rsidRDefault="00E74762" w:rsidP="000056F9">
            <w:pPr>
              <w:rPr>
                <w:color w:val="000000" w:themeColor="text1"/>
              </w:rPr>
            </w:pPr>
            <w:r w:rsidRPr="002763E8">
              <w:rPr>
                <w:color w:val="000000" w:themeColor="text1"/>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432749" w14:textId="77777777" w:rsidR="00E74762" w:rsidRPr="002763E8" w:rsidRDefault="00E74762" w:rsidP="00E74762">
            <w:pPr>
              <w:pStyle w:val="tvhtml"/>
              <w:spacing w:before="0" w:beforeAutospacing="0" w:after="0" w:afterAutospacing="0"/>
              <w:jc w:val="center"/>
              <w:rPr>
                <w:color w:val="000000" w:themeColor="text1"/>
              </w:rPr>
            </w:pPr>
            <w:r w:rsidRPr="002763E8">
              <w:rPr>
                <w:color w:val="000000" w:themeColor="text1"/>
              </w:rPr>
              <w:t>X</w:t>
            </w: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72471AF8"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2CE29B40"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0C6AA32C"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720275F2" w14:textId="77777777" w:rsidR="00E74762" w:rsidRPr="002763E8" w:rsidRDefault="00E74762" w:rsidP="00E74762">
            <w:pPr>
              <w:jc w:val="center"/>
              <w:rPr>
                <w:color w:val="000000" w:themeColor="text1"/>
              </w:rPr>
            </w:pPr>
          </w:p>
        </w:tc>
      </w:tr>
      <w:tr w:rsidR="00E74762" w:rsidRPr="002763E8" w14:paraId="6CC5F2A5"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683905DB" w14:textId="77777777" w:rsidR="00E74762" w:rsidRPr="002763E8" w:rsidRDefault="00E74762" w:rsidP="000056F9">
            <w:pPr>
              <w:rPr>
                <w:color w:val="000000" w:themeColor="text1"/>
              </w:rPr>
            </w:pPr>
            <w:r w:rsidRPr="002763E8">
              <w:rPr>
                <w:color w:val="000000" w:themeColor="text1"/>
              </w:rPr>
              <w:t>5.1. valsts pamatbudžets</w:t>
            </w:r>
          </w:p>
        </w:tc>
        <w:tc>
          <w:tcPr>
            <w:tcW w:w="6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285E9" w14:textId="77777777" w:rsidR="00E74762" w:rsidRPr="002763E8" w:rsidRDefault="00E74762" w:rsidP="00E74762">
            <w:pPr>
              <w:jc w:val="center"/>
              <w:rPr>
                <w:color w:val="000000" w:themeColor="text1"/>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6BF8364D"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2C480F27"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637A034A"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5ADD0998" w14:textId="77777777" w:rsidR="00E74762" w:rsidRPr="002763E8" w:rsidRDefault="00E74762" w:rsidP="00E74762">
            <w:pPr>
              <w:jc w:val="center"/>
              <w:rPr>
                <w:color w:val="000000" w:themeColor="text1"/>
              </w:rPr>
            </w:pPr>
          </w:p>
        </w:tc>
      </w:tr>
      <w:tr w:rsidR="00E74762" w:rsidRPr="002763E8" w14:paraId="54043597"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00FA8966" w14:textId="77777777" w:rsidR="00E74762" w:rsidRPr="002763E8" w:rsidRDefault="00E74762" w:rsidP="000056F9">
            <w:pPr>
              <w:rPr>
                <w:color w:val="000000" w:themeColor="text1"/>
              </w:rPr>
            </w:pPr>
            <w:r w:rsidRPr="002763E8">
              <w:rPr>
                <w:color w:val="000000" w:themeColor="text1"/>
              </w:rPr>
              <w:t>5.2. speciālais budžets</w:t>
            </w:r>
          </w:p>
        </w:tc>
        <w:tc>
          <w:tcPr>
            <w:tcW w:w="6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BF6F" w14:textId="77777777" w:rsidR="00E74762" w:rsidRPr="002763E8" w:rsidRDefault="00E74762" w:rsidP="00E74762">
            <w:pPr>
              <w:jc w:val="center"/>
              <w:rPr>
                <w:color w:val="000000" w:themeColor="text1"/>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0E3DD3B4"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74EF5F37"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1E24B9BB"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01F5F6A8" w14:textId="77777777" w:rsidR="00E74762" w:rsidRPr="002763E8" w:rsidRDefault="00E74762" w:rsidP="00E74762">
            <w:pPr>
              <w:jc w:val="center"/>
              <w:rPr>
                <w:color w:val="000000" w:themeColor="text1"/>
              </w:rPr>
            </w:pPr>
          </w:p>
        </w:tc>
      </w:tr>
      <w:tr w:rsidR="00E74762" w:rsidRPr="002763E8" w14:paraId="0EEC4680" w14:textId="77777777" w:rsidTr="008610D1">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4088C24A" w14:textId="77777777" w:rsidR="00E74762" w:rsidRPr="002763E8" w:rsidRDefault="00E74762" w:rsidP="000056F9">
            <w:pPr>
              <w:rPr>
                <w:color w:val="000000" w:themeColor="text1"/>
              </w:rPr>
            </w:pPr>
            <w:r w:rsidRPr="002763E8">
              <w:rPr>
                <w:color w:val="000000" w:themeColor="text1"/>
              </w:rPr>
              <w:t>5.3. pašvaldību budžets</w:t>
            </w:r>
          </w:p>
        </w:tc>
        <w:tc>
          <w:tcPr>
            <w:tcW w:w="6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278F5" w14:textId="77777777" w:rsidR="00E74762" w:rsidRPr="002763E8" w:rsidRDefault="00E74762" w:rsidP="00E74762">
            <w:pPr>
              <w:jc w:val="center"/>
              <w:rPr>
                <w:color w:val="000000" w:themeColor="text1"/>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hideMark/>
          </w:tcPr>
          <w:p w14:paraId="6337344E" w14:textId="77777777" w:rsidR="00E74762" w:rsidRPr="002763E8" w:rsidRDefault="00E74762" w:rsidP="00E74762">
            <w:pPr>
              <w:jc w:val="center"/>
              <w:rPr>
                <w:color w:val="000000" w:themeColor="text1"/>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57DE845A" w14:textId="77777777" w:rsidR="00E74762" w:rsidRPr="002763E8" w:rsidRDefault="00E74762" w:rsidP="00E74762">
            <w:pPr>
              <w:jc w:val="center"/>
              <w:rPr>
                <w:color w:val="000000" w:themeColor="text1"/>
              </w:rPr>
            </w:pPr>
          </w:p>
        </w:t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0E885FBE" w14:textId="77777777" w:rsidR="00E74762" w:rsidRPr="002763E8" w:rsidRDefault="00E74762" w:rsidP="00E74762">
            <w:pPr>
              <w:jc w:val="center"/>
              <w:rPr>
                <w:color w:val="000000" w:themeColor="text1"/>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14:paraId="20CDB6D8" w14:textId="77777777" w:rsidR="00E74762" w:rsidRPr="002763E8" w:rsidRDefault="00E74762" w:rsidP="00E74762">
            <w:pPr>
              <w:jc w:val="center"/>
              <w:rPr>
                <w:color w:val="000000" w:themeColor="text1"/>
              </w:rPr>
            </w:pPr>
          </w:p>
        </w:tc>
      </w:tr>
      <w:tr w:rsidR="00E74762" w:rsidRPr="002763E8" w14:paraId="636F885C" w14:textId="77777777" w:rsidTr="004744C5">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195961A9" w14:textId="77777777" w:rsidR="00E74762" w:rsidRPr="002763E8" w:rsidRDefault="00E74762" w:rsidP="000056F9">
            <w:pPr>
              <w:rPr>
                <w:color w:val="000000" w:themeColor="text1"/>
              </w:rPr>
            </w:pPr>
            <w:r w:rsidRPr="002763E8">
              <w:rPr>
                <w:color w:val="000000" w:themeColor="text1"/>
              </w:rPr>
              <w:t>6. Detalizēts ieņēmumu un izdevumu aprēķins (ja nepieciešams, detalizētu ieņēmumu un izdevumu aprēķinu var pievienot anotācijas pielikumā):</w:t>
            </w:r>
          </w:p>
        </w:tc>
        <w:tc>
          <w:tcPr>
            <w:tcW w:w="329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45CF9" w14:textId="10DD669E" w:rsidR="00E74762" w:rsidRPr="002763E8" w:rsidRDefault="00172793" w:rsidP="003C2975">
            <w:pPr>
              <w:jc w:val="both"/>
              <w:rPr>
                <w:color w:val="000000" w:themeColor="text1"/>
              </w:rPr>
            </w:pPr>
            <w:r>
              <w:rPr>
                <w:color w:val="000000" w:themeColor="text1"/>
              </w:rPr>
              <w:t>Skat. konceptuālo ziņojumu “Kompleksi pasākumi elektroenerģijas tirgus attīstībai”, kas apstiprināts ar 2017.gada 22.septembra Ministru kabineta rīkojumu Nr.530.</w:t>
            </w:r>
          </w:p>
        </w:tc>
      </w:tr>
      <w:tr w:rsidR="00E74762" w:rsidRPr="002763E8" w14:paraId="7FF8455E" w14:textId="77777777" w:rsidTr="004744C5">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48CF0B56" w14:textId="77777777" w:rsidR="00E74762" w:rsidRPr="002763E8" w:rsidRDefault="00E74762" w:rsidP="000056F9">
            <w:pPr>
              <w:rPr>
                <w:color w:val="000000" w:themeColor="text1"/>
              </w:rPr>
            </w:pPr>
            <w:r w:rsidRPr="002763E8">
              <w:rPr>
                <w:color w:val="000000" w:themeColor="text1"/>
              </w:rPr>
              <w:t>6.1. detalizēts ieņēmumu aprēķins</w:t>
            </w:r>
          </w:p>
        </w:tc>
        <w:tc>
          <w:tcPr>
            <w:tcW w:w="329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2BAE2" w14:textId="77777777" w:rsidR="00E74762" w:rsidRPr="002763E8" w:rsidRDefault="00E74762" w:rsidP="000056F9">
            <w:pPr>
              <w:rPr>
                <w:color w:val="000000" w:themeColor="text1"/>
              </w:rPr>
            </w:pPr>
          </w:p>
        </w:tc>
      </w:tr>
      <w:tr w:rsidR="00E74762" w:rsidRPr="002763E8" w14:paraId="4441B8E2" w14:textId="77777777" w:rsidTr="004744C5">
        <w:trPr>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728A1C1C" w14:textId="77777777" w:rsidR="00E74762" w:rsidRPr="002763E8" w:rsidRDefault="00E74762" w:rsidP="000056F9">
            <w:pPr>
              <w:rPr>
                <w:color w:val="000000" w:themeColor="text1"/>
              </w:rPr>
            </w:pPr>
            <w:r w:rsidRPr="002763E8">
              <w:rPr>
                <w:color w:val="000000" w:themeColor="text1"/>
              </w:rPr>
              <w:t>6.2. detalizēts izdevumu aprēķins</w:t>
            </w:r>
          </w:p>
        </w:tc>
        <w:tc>
          <w:tcPr>
            <w:tcW w:w="329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54CD8" w14:textId="77777777" w:rsidR="00E74762" w:rsidRPr="002763E8" w:rsidRDefault="00E74762" w:rsidP="000056F9">
            <w:pPr>
              <w:rPr>
                <w:color w:val="000000" w:themeColor="text1"/>
              </w:rPr>
            </w:pPr>
          </w:p>
        </w:tc>
      </w:tr>
      <w:tr w:rsidR="00E74762" w:rsidRPr="002763E8" w14:paraId="75EA8323" w14:textId="77777777" w:rsidTr="004744C5">
        <w:trPr>
          <w:trHeight w:val="555"/>
          <w:jc w:val="center"/>
        </w:trPr>
        <w:tc>
          <w:tcPr>
            <w:tcW w:w="1704" w:type="pct"/>
            <w:tcBorders>
              <w:top w:val="outset" w:sz="6" w:space="0" w:color="414142"/>
              <w:left w:val="outset" w:sz="6" w:space="0" w:color="414142"/>
              <w:bottom w:val="outset" w:sz="6" w:space="0" w:color="414142"/>
              <w:right w:val="outset" w:sz="6" w:space="0" w:color="414142"/>
            </w:tcBorders>
            <w:shd w:val="clear" w:color="auto" w:fill="FFFFFF"/>
            <w:hideMark/>
          </w:tcPr>
          <w:p w14:paraId="285E9BB5" w14:textId="77777777" w:rsidR="00E74762" w:rsidRPr="002763E8" w:rsidRDefault="00E74762" w:rsidP="000056F9">
            <w:pPr>
              <w:rPr>
                <w:color w:val="000000" w:themeColor="text1"/>
              </w:rPr>
            </w:pPr>
            <w:r w:rsidRPr="002763E8">
              <w:rPr>
                <w:color w:val="000000" w:themeColor="text1"/>
              </w:rPr>
              <w:lastRenderedPageBreak/>
              <w:t>7. Cita informācija</w:t>
            </w:r>
          </w:p>
        </w:tc>
        <w:tc>
          <w:tcPr>
            <w:tcW w:w="329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652A31F" w14:textId="77777777" w:rsidR="003A4F38" w:rsidRDefault="00F813B4" w:rsidP="007642A5">
            <w:pPr>
              <w:jc w:val="both"/>
              <w:rPr>
                <w:color w:val="000000" w:themeColor="text1"/>
              </w:rPr>
            </w:pPr>
            <w:r>
              <w:rPr>
                <w:color w:val="000000" w:themeColor="text1"/>
              </w:rPr>
              <w:t>N</w:t>
            </w:r>
            <w:r w:rsidR="007642A5" w:rsidRPr="007642A5">
              <w:rPr>
                <w:color w:val="000000" w:themeColor="text1"/>
              </w:rPr>
              <w:t>oteikumu projekts ir sagatavots, lai īstenotu Ministru kabineta atbalstītajā konceptuālajā ziņojumā "Kompleksi pasākumi elektroenerģijas tirgus attīstībai" iekļauto 4.</w:t>
            </w:r>
            <w:r w:rsidR="009D5281">
              <w:rPr>
                <w:color w:val="000000" w:themeColor="text1"/>
              </w:rPr>
              <w:t> </w:t>
            </w:r>
            <w:r w:rsidR="003A4F38">
              <w:rPr>
                <w:color w:val="000000" w:themeColor="text1"/>
              </w:rPr>
              <w:t>risinājuma variantu.</w:t>
            </w:r>
          </w:p>
          <w:p w14:paraId="331EC3B7" w14:textId="6E96DAFC" w:rsidR="007642A5" w:rsidRPr="007642A5" w:rsidRDefault="003A4F38" w:rsidP="007642A5">
            <w:pPr>
              <w:jc w:val="both"/>
              <w:rPr>
                <w:color w:val="000000" w:themeColor="text1"/>
              </w:rPr>
            </w:pPr>
            <w:r>
              <w:rPr>
                <w:color w:val="000000" w:themeColor="text1"/>
              </w:rPr>
              <w:t>Saskaņā ar likumprojektu</w:t>
            </w:r>
            <w:r w:rsidR="007642A5" w:rsidRPr="007642A5">
              <w:rPr>
                <w:color w:val="000000" w:themeColor="text1"/>
              </w:rPr>
              <w:t xml:space="preserve"> “Par valsts budž</w:t>
            </w:r>
            <w:r w:rsidR="00231CC1">
              <w:rPr>
                <w:color w:val="000000" w:themeColor="text1"/>
              </w:rPr>
              <w:t>etu 2018.</w:t>
            </w:r>
            <w:r w:rsidR="00695D34">
              <w:rPr>
                <w:color w:val="000000" w:themeColor="text1"/>
              </w:rPr>
              <w:t> </w:t>
            </w:r>
            <w:r w:rsidR="00231CC1">
              <w:rPr>
                <w:color w:val="000000" w:themeColor="text1"/>
              </w:rPr>
              <w:t>gadam” un likumprojektu</w:t>
            </w:r>
            <w:r w:rsidR="007642A5" w:rsidRPr="007642A5">
              <w:rPr>
                <w:color w:val="000000" w:themeColor="text1"/>
              </w:rPr>
              <w:t xml:space="preserve"> “Par vidēja termiņa budžeta ietvaru 2018., 2019. un 2020.</w:t>
            </w:r>
            <w:r w:rsidR="00695D34">
              <w:rPr>
                <w:color w:val="000000" w:themeColor="text1"/>
              </w:rPr>
              <w:t> </w:t>
            </w:r>
            <w:r w:rsidR="007642A5" w:rsidRPr="007642A5">
              <w:rPr>
                <w:color w:val="000000" w:themeColor="text1"/>
              </w:rPr>
              <w:t>gadam” Ekonomikas ministrijas budžeta apakšprogrammā 29.02.00 “Elektroenerģijas lietotāju atbalsts” ir paredzēts finansējums obligātā iepirkuma komponentes vidējā līmeņa ierobežošanai, energoietilpīgo uzņēmumu atbalsta finansēšanai, aizsargāto lietotāju atbalsta finansēšanai un administrēšanas izdevumiem 2018.</w:t>
            </w:r>
            <w:r w:rsidR="00695D34">
              <w:rPr>
                <w:color w:val="000000" w:themeColor="text1"/>
              </w:rPr>
              <w:t> </w:t>
            </w:r>
            <w:r w:rsidR="007642A5" w:rsidRPr="007642A5">
              <w:rPr>
                <w:color w:val="000000" w:themeColor="text1"/>
              </w:rPr>
              <w:t>gadā 89 314 340 euro, 2019.</w:t>
            </w:r>
            <w:r w:rsidR="00F27C21">
              <w:rPr>
                <w:color w:val="000000" w:themeColor="text1"/>
              </w:rPr>
              <w:t> </w:t>
            </w:r>
            <w:r w:rsidR="007642A5" w:rsidRPr="007642A5">
              <w:rPr>
                <w:color w:val="000000" w:themeColor="text1"/>
              </w:rPr>
              <w:t>gadā 18 237 801 euro un 2020.</w:t>
            </w:r>
            <w:r w:rsidR="00F27C21">
              <w:rPr>
                <w:color w:val="000000" w:themeColor="text1"/>
              </w:rPr>
              <w:t> </w:t>
            </w:r>
            <w:r w:rsidR="007642A5" w:rsidRPr="007642A5">
              <w:rPr>
                <w:color w:val="000000" w:themeColor="text1"/>
              </w:rPr>
              <w:t>gadā 18 835 506 euro apmērā.</w:t>
            </w:r>
          </w:p>
          <w:p w14:paraId="13566EEF" w14:textId="3CA25873" w:rsidR="00DC3064" w:rsidRPr="006E2F36" w:rsidRDefault="00DC3064" w:rsidP="007642A5">
            <w:pPr>
              <w:jc w:val="both"/>
              <w:rPr>
                <w:color w:val="000000" w:themeColor="text1"/>
              </w:rPr>
            </w:pPr>
          </w:p>
        </w:tc>
      </w:tr>
    </w:tbl>
    <w:p w14:paraId="4A493A58" w14:textId="1DA3D14C" w:rsidR="00AC7797" w:rsidRPr="00573641" w:rsidRDefault="00AC7797" w:rsidP="008667DC">
      <w:pPr>
        <w:rPr>
          <w:color w:val="000000" w:themeColor="text1"/>
        </w:rPr>
      </w:pP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00"/>
      </w:tblGrid>
      <w:tr w:rsidR="003B25B4" w:rsidRPr="00C117EF" w14:paraId="2CC90221" w14:textId="77777777" w:rsidTr="00495079">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95184" w14:textId="77777777" w:rsidR="003B25B4" w:rsidRPr="00C117EF" w:rsidRDefault="003B25B4" w:rsidP="00495079">
            <w:pPr>
              <w:pStyle w:val="tvhtml"/>
              <w:spacing w:line="293" w:lineRule="atLeast"/>
              <w:jc w:val="center"/>
              <w:rPr>
                <w:b/>
                <w:bCs/>
              </w:rPr>
            </w:pPr>
            <w:r w:rsidRPr="00C117EF">
              <w:rPr>
                <w:b/>
                <w:bCs/>
              </w:rPr>
              <w:t>IV. Tiesību akta projekta ietekme uz spēkā esošo tiesību normu sistēmu</w:t>
            </w:r>
          </w:p>
        </w:tc>
      </w:tr>
      <w:tr w:rsidR="00006184" w:rsidRPr="00C117EF" w14:paraId="7C1EE211" w14:textId="77777777" w:rsidTr="00006184">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1992B4C" w14:textId="4115D2FA" w:rsidR="00006184" w:rsidRPr="00C117EF" w:rsidRDefault="00006184" w:rsidP="00495079">
            <w:r>
              <w:t>Nav plānotas izmaiņas normatīvajos aktos.</w:t>
            </w:r>
          </w:p>
        </w:tc>
      </w:tr>
    </w:tbl>
    <w:p w14:paraId="10BDC745" w14:textId="77777777" w:rsidR="008A6DB9" w:rsidRPr="002763E8" w:rsidRDefault="008A6DB9" w:rsidP="008667DC">
      <w:pPr>
        <w:rPr>
          <w:color w:val="000000" w:themeColor="text1"/>
        </w:rPr>
      </w:pPr>
    </w:p>
    <w:tbl>
      <w:tblPr>
        <w:tblStyle w:val="TableGrid"/>
        <w:tblW w:w="9498" w:type="dxa"/>
        <w:tblInd w:w="-147" w:type="dxa"/>
        <w:tblLook w:val="04A0" w:firstRow="1" w:lastRow="0" w:firstColumn="1" w:lastColumn="0" w:noHBand="0" w:noVBand="1"/>
      </w:tblPr>
      <w:tblGrid>
        <w:gridCol w:w="402"/>
        <w:gridCol w:w="3141"/>
        <w:gridCol w:w="5955"/>
      </w:tblGrid>
      <w:tr w:rsidR="00E74762" w:rsidRPr="002763E8" w14:paraId="41F1BF08" w14:textId="77777777" w:rsidTr="000D664C">
        <w:trPr>
          <w:trHeight w:val="275"/>
        </w:trPr>
        <w:tc>
          <w:tcPr>
            <w:tcW w:w="9498" w:type="dxa"/>
            <w:gridSpan w:val="3"/>
          </w:tcPr>
          <w:p w14:paraId="1C213B6E" w14:textId="77777777" w:rsidR="00E74762" w:rsidRPr="002763E8" w:rsidRDefault="00E74762" w:rsidP="000056F9">
            <w:pPr>
              <w:jc w:val="center"/>
              <w:rPr>
                <w:b/>
                <w:color w:val="000000" w:themeColor="text1"/>
              </w:rPr>
            </w:pPr>
            <w:r w:rsidRPr="002763E8">
              <w:rPr>
                <w:b/>
                <w:color w:val="000000" w:themeColor="text1"/>
              </w:rPr>
              <w:t>V. Tiesību akta projekta atbilstība Latvijas Republikas starptautiskajām saistībām</w:t>
            </w:r>
          </w:p>
        </w:tc>
      </w:tr>
      <w:tr w:rsidR="00E74762" w:rsidRPr="002763E8" w14:paraId="76A3ADA5" w14:textId="77777777" w:rsidTr="000D664C">
        <w:trPr>
          <w:trHeight w:val="540"/>
        </w:trPr>
        <w:tc>
          <w:tcPr>
            <w:tcW w:w="402" w:type="dxa"/>
          </w:tcPr>
          <w:p w14:paraId="723A681A" w14:textId="77777777" w:rsidR="00E74762" w:rsidRPr="002763E8" w:rsidRDefault="00E74762" w:rsidP="000056F9">
            <w:pPr>
              <w:rPr>
                <w:color w:val="000000" w:themeColor="text1"/>
              </w:rPr>
            </w:pPr>
            <w:r w:rsidRPr="002763E8">
              <w:rPr>
                <w:color w:val="000000" w:themeColor="text1"/>
              </w:rPr>
              <w:t>1.</w:t>
            </w:r>
          </w:p>
        </w:tc>
        <w:tc>
          <w:tcPr>
            <w:tcW w:w="3141" w:type="dxa"/>
          </w:tcPr>
          <w:p w14:paraId="45B89140" w14:textId="77777777" w:rsidR="00E74762" w:rsidRPr="002763E8" w:rsidRDefault="00E74762" w:rsidP="000056F9">
            <w:pPr>
              <w:rPr>
                <w:color w:val="000000" w:themeColor="text1"/>
              </w:rPr>
            </w:pPr>
            <w:r w:rsidRPr="002763E8">
              <w:rPr>
                <w:color w:val="000000" w:themeColor="text1"/>
              </w:rPr>
              <w:t>Saistības pret Eiropas Savienību</w:t>
            </w:r>
          </w:p>
        </w:tc>
        <w:tc>
          <w:tcPr>
            <w:tcW w:w="5955" w:type="dxa"/>
          </w:tcPr>
          <w:p w14:paraId="54A91BFD" w14:textId="0447FDC2" w:rsidR="00E74762" w:rsidRPr="00656C16" w:rsidRDefault="00A644BE" w:rsidP="000056F9">
            <w:r w:rsidRPr="00656C16">
              <w:rPr>
                <w:shd w:val="clear" w:color="auto" w:fill="FFFFFF"/>
              </w:rPr>
              <w:t>Projekts šo jomu neskar</w:t>
            </w:r>
            <w:r w:rsidR="00E74762" w:rsidRPr="00656C16">
              <w:t>.</w:t>
            </w:r>
          </w:p>
        </w:tc>
      </w:tr>
      <w:tr w:rsidR="00E74762" w:rsidRPr="002763E8" w14:paraId="5DEBDB8A" w14:textId="77777777" w:rsidTr="000D664C">
        <w:trPr>
          <w:trHeight w:val="265"/>
        </w:trPr>
        <w:tc>
          <w:tcPr>
            <w:tcW w:w="402" w:type="dxa"/>
          </w:tcPr>
          <w:p w14:paraId="00499300" w14:textId="77777777" w:rsidR="00E74762" w:rsidRPr="002763E8" w:rsidRDefault="00E74762" w:rsidP="000056F9">
            <w:pPr>
              <w:rPr>
                <w:color w:val="000000" w:themeColor="text1"/>
              </w:rPr>
            </w:pPr>
            <w:r w:rsidRPr="002763E8">
              <w:rPr>
                <w:color w:val="000000" w:themeColor="text1"/>
              </w:rPr>
              <w:t>2.</w:t>
            </w:r>
          </w:p>
        </w:tc>
        <w:tc>
          <w:tcPr>
            <w:tcW w:w="3141" w:type="dxa"/>
          </w:tcPr>
          <w:p w14:paraId="21990473" w14:textId="77777777" w:rsidR="00E74762" w:rsidRPr="002763E8" w:rsidRDefault="00E74762" w:rsidP="000056F9">
            <w:pPr>
              <w:rPr>
                <w:color w:val="000000" w:themeColor="text1"/>
              </w:rPr>
            </w:pPr>
            <w:r w:rsidRPr="002763E8">
              <w:rPr>
                <w:color w:val="000000" w:themeColor="text1"/>
              </w:rPr>
              <w:t>Citas starptautiskās saistības</w:t>
            </w:r>
          </w:p>
        </w:tc>
        <w:tc>
          <w:tcPr>
            <w:tcW w:w="5955" w:type="dxa"/>
          </w:tcPr>
          <w:p w14:paraId="3DBEDB32" w14:textId="58DEAECD" w:rsidR="00E74762" w:rsidRPr="00656C16" w:rsidRDefault="00A644BE" w:rsidP="000056F9">
            <w:r w:rsidRPr="00656C16">
              <w:rPr>
                <w:shd w:val="clear" w:color="auto" w:fill="FFFFFF"/>
              </w:rPr>
              <w:t>Projekts šo jomu neskar</w:t>
            </w:r>
            <w:r w:rsidRPr="00656C16" w:rsidDel="00A644BE">
              <w:t xml:space="preserve"> </w:t>
            </w:r>
            <w:r w:rsidRPr="00656C16">
              <w:t>.</w:t>
            </w:r>
          </w:p>
        </w:tc>
      </w:tr>
      <w:tr w:rsidR="00E74762" w:rsidRPr="002763E8" w14:paraId="0CF59066" w14:textId="77777777" w:rsidTr="00DE02DA">
        <w:trPr>
          <w:trHeight w:val="1616"/>
        </w:trPr>
        <w:tc>
          <w:tcPr>
            <w:tcW w:w="402" w:type="dxa"/>
          </w:tcPr>
          <w:p w14:paraId="3C5216D3" w14:textId="77777777" w:rsidR="00E74762" w:rsidRPr="002763E8" w:rsidRDefault="00E74762" w:rsidP="000056F9">
            <w:pPr>
              <w:rPr>
                <w:color w:val="000000" w:themeColor="text1"/>
              </w:rPr>
            </w:pPr>
            <w:r w:rsidRPr="002763E8">
              <w:rPr>
                <w:color w:val="000000" w:themeColor="text1"/>
              </w:rPr>
              <w:t>3.</w:t>
            </w:r>
          </w:p>
        </w:tc>
        <w:tc>
          <w:tcPr>
            <w:tcW w:w="3141" w:type="dxa"/>
          </w:tcPr>
          <w:p w14:paraId="34426063" w14:textId="77777777" w:rsidR="00E74762" w:rsidRPr="002763E8" w:rsidRDefault="00E74762" w:rsidP="000056F9">
            <w:pPr>
              <w:rPr>
                <w:color w:val="000000" w:themeColor="text1"/>
              </w:rPr>
            </w:pPr>
            <w:r w:rsidRPr="002763E8">
              <w:rPr>
                <w:color w:val="000000" w:themeColor="text1"/>
              </w:rPr>
              <w:t>Cita informācija</w:t>
            </w:r>
          </w:p>
        </w:tc>
        <w:tc>
          <w:tcPr>
            <w:tcW w:w="5955" w:type="dxa"/>
          </w:tcPr>
          <w:p w14:paraId="3A5C960F" w14:textId="293D4F82" w:rsidR="00E74762" w:rsidRPr="002763E8" w:rsidRDefault="00251C2D" w:rsidP="000056F9">
            <w:pPr>
              <w:jc w:val="both"/>
              <w:rPr>
                <w:color w:val="000000" w:themeColor="text1"/>
              </w:rPr>
            </w:pPr>
            <w:r w:rsidRPr="002763E8">
              <w:rPr>
                <w:color w:val="000000" w:themeColor="text1"/>
              </w:rPr>
              <w:t>N</w:t>
            </w:r>
            <w:r w:rsidR="00E74762" w:rsidRPr="002763E8">
              <w:rPr>
                <w:color w:val="000000" w:themeColor="text1"/>
              </w:rPr>
              <w:t xml:space="preserve">oteikumu projekts ievēro </w:t>
            </w:r>
            <w:r w:rsidRPr="002763E8">
              <w:rPr>
                <w:color w:val="000000" w:themeColor="text1"/>
              </w:rPr>
              <w:t>EK</w:t>
            </w:r>
            <w:r w:rsidR="00E74762" w:rsidRPr="002763E8">
              <w:rPr>
                <w:color w:val="000000" w:themeColor="text1"/>
              </w:rPr>
              <w:t xml:space="preserve"> paziņojumā “</w:t>
            </w:r>
            <w:r w:rsidRPr="002763E8">
              <w:rPr>
                <w:color w:val="000000" w:themeColor="text1"/>
              </w:rPr>
              <w:t>Kopienas pamatnostādnes par valsts atbalstu vides aizsardzībai” (ES OV C/82</w:t>
            </w:r>
            <w:r w:rsidR="00E74762" w:rsidRPr="002763E8">
              <w:rPr>
                <w:color w:val="000000" w:themeColor="text1"/>
              </w:rPr>
              <w:t xml:space="preserve">, </w:t>
            </w:r>
            <w:r w:rsidRPr="002763E8">
              <w:rPr>
                <w:color w:val="000000" w:themeColor="text1"/>
              </w:rPr>
              <w:t>01.04.2008.</w:t>
            </w:r>
            <w:r w:rsidR="00E74762" w:rsidRPr="002763E8">
              <w:rPr>
                <w:color w:val="000000" w:themeColor="text1"/>
              </w:rPr>
              <w:t xml:space="preserve">)  izklāstītos nosacījumus, atbilstoši kuriem atbalstu </w:t>
            </w:r>
            <w:r w:rsidRPr="002763E8">
              <w:rPr>
                <w:color w:val="000000" w:themeColor="text1"/>
              </w:rPr>
              <w:t>v</w:t>
            </w:r>
            <w:r w:rsidR="00E74762" w:rsidRPr="002763E8">
              <w:rPr>
                <w:color w:val="000000" w:themeColor="text1"/>
              </w:rPr>
              <w:t xml:space="preserve">ides jomā var uzskatīt par saderīgu ar iekšējo tirgu saskaņā ar </w:t>
            </w:r>
            <w:r w:rsidRPr="002763E8">
              <w:rPr>
                <w:color w:val="000000" w:themeColor="text1"/>
              </w:rPr>
              <w:t>EK l</w:t>
            </w:r>
            <w:r w:rsidR="00E74762" w:rsidRPr="002763E8">
              <w:rPr>
                <w:color w:val="000000" w:themeColor="text1"/>
              </w:rPr>
              <w:t xml:space="preserve">īguma </w:t>
            </w:r>
            <w:r w:rsidRPr="002763E8">
              <w:rPr>
                <w:color w:val="000000" w:themeColor="text1"/>
              </w:rPr>
              <w:t xml:space="preserve">87.panta 3.punkta </w:t>
            </w:r>
            <w:r w:rsidR="00E74762" w:rsidRPr="002763E8">
              <w:rPr>
                <w:color w:val="000000" w:themeColor="text1"/>
              </w:rPr>
              <w:t xml:space="preserve">c) apakšpunktam. </w:t>
            </w:r>
          </w:p>
        </w:tc>
      </w:tr>
    </w:tbl>
    <w:p w14:paraId="43B14F74" w14:textId="77777777" w:rsidR="00E74762" w:rsidRPr="002763E8" w:rsidRDefault="00E74762"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982"/>
        <w:gridCol w:w="6088"/>
      </w:tblGrid>
      <w:tr w:rsidR="000056F9" w:rsidRPr="002763E8" w14:paraId="6FBC2D63" w14:textId="77777777" w:rsidTr="001E1CB2">
        <w:trPr>
          <w:trHeight w:val="28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1EA0A" w14:textId="77777777" w:rsidR="000056F9" w:rsidRPr="002763E8" w:rsidRDefault="000056F9" w:rsidP="000056F9">
            <w:pPr>
              <w:pStyle w:val="tvhtml"/>
              <w:spacing w:line="293" w:lineRule="atLeast"/>
              <w:jc w:val="center"/>
              <w:rPr>
                <w:b/>
                <w:bCs/>
                <w:color w:val="000000" w:themeColor="text1"/>
              </w:rPr>
            </w:pPr>
            <w:r w:rsidRPr="002763E8">
              <w:rPr>
                <w:b/>
                <w:bCs/>
                <w:color w:val="000000" w:themeColor="text1"/>
              </w:rPr>
              <w:t>VI. Sabiedrības līdzdalība un komunikācijas aktivitātes</w:t>
            </w:r>
          </w:p>
        </w:tc>
      </w:tr>
      <w:tr w:rsidR="000056F9" w:rsidRPr="002763E8" w14:paraId="2769B171" w14:textId="77777777" w:rsidTr="001E1CB2">
        <w:trPr>
          <w:trHeight w:val="97"/>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126322B" w14:textId="77777777" w:rsidR="000056F9" w:rsidRPr="002763E8" w:rsidRDefault="000056F9" w:rsidP="000056F9">
            <w:pPr>
              <w:rPr>
                <w:color w:val="000000" w:themeColor="text1"/>
              </w:rPr>
            </w:pPr>
            <w:r w:rsidRPr="002763E8">
              <w:rPr>
                <w:color w:val="000000" w:themeColor="text1"/>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15F5132" w14:textId="77777777" w:rsidR="000056F9" w:rsidRPr="002763E8" w:rsidRDefault="000056F9" w:rsidP="000056F9">
            <w:pPr>
              <w:rPr>
                <w:color w:val="000000" w:themeColor="text1"/>
              </w:rPr>
            </w:pPr>
            <w:r w:rsidRPr="002763E8">
              <w:rPr>
                <w:color w:val="000000" w:themeColor="text1"/>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0BAC022" w14:textId="1A26C079" w:rsidR="000056F9" w:rsidRPr="006E2F36" w:rsidRDefault="000056F9" w:rsidP="001C4F02">
            <w:pPr>
              <w:jc w:val="both"/>
              <w:rPr>
                <w:color w:val="000000" w:themeColor="text1"/>
              </w:rPr>
            </w:pPr>
            <w:r w:rsidRPr="002763E8">
              <w:rPr>
                <w:color w:val="000000" w:themeColor="text1"/>
              </w:rPr>
              <w:t>Sabiedrība informēta par noteikumu projekt</w:t>
            </w:r>
            <w:r w:rsidR="00167831">
              <w:rPr>
                <w:color w:val="000000" w:themeColor="text1"/>
              </w:rPr>
              <w:t xml:space="preserve">a izstrādi, ņemot vērā 2017. gadā notikušās konsultācijas par konceptuālo ziņojumu “Kompleksi pasākumi elektroenerģijas tirgus attīstībai”. </w:t>
            </w:r>
          </w:p>
        </w:tc>
      </w:tr>
      <w:tr w:rsidR="000056F9" w:rsidRPr="002763E8" w14:paraId="33614B4E" w14:textId="77777777" w:rsidTr="001E1CB2">
        <w:trPr>
          <w:trHeight w:val="33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1CC914C5" w14:textId="77777777" w:rsidR="000056F9" w:rsidRPr="002763E8" w:rsidRDefault="000056F9" w:rsidP="000056F9">
            <w:pPr>
              <w:rPr>
                <w:color w:val="000000" w:themeColor="text1"/>
              </w:rPr>
            </w:pPr>
            <w:r w:rsidRPr="002763E8">
              <w:rPr>
                <w:color w:val="000000" w:themeColor="text1"/>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692E7F70" w14:textId="77777777" w:rsidR="000056F9" w:rsidRPr="002763E8" w:rsidRDefault="000056F9" w:rsidP="000056F9">
            <w:pPr>
              <w:rPr>
                <w:color w:val="000000" w:themeColor="text1"/>
              </w:rPr>
            </w:pPr>
            <w:r w:rsidRPr="002763E8">
              <w:rPr>
                <w:color w:val="000000" w:themeColor="text1"/>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08A81604" w14:textId="505E36AE" w:rsidR="000056F9" w:rsidRPr="00BF1F46" w:rsidRDefault="007520E6" w:rsidP="00BF1F46">
            <w:pPr>
              <w:jc w:val="both"/>
            </w:pPr>
            <w:r w:rsidRPr="002763E8">
              <w:rPr>
                <w:color w:val="000000" w:themeColor="text1"/>
              </w:rPr>
              <w:t>Sabiedrība informēta par noteikumu projekt</w:t>
            </w:r>
            <w:r>
              <w:rPr>
                <w:color w:val="000000" w:themeColor="text1"/>
              </w:rPr>
              <w:t xml:space="preserve">a izstrādi, ņemot vērā 2017. gadā notikušās konsultācijas par konceptuālo ziņojumu “Kompleksi pasākumi elektroenerģijas tirgus attīstībai”. Konceptuālā ziņojuma saskaņošanas procesā piedalījās </w:t>
            </w:r>
            <w:r w:rsidR="00495079" w:rsidRPr="0007400D">
              <w:t>Latvijas Darba devēju konfederācija, Latvijas Tirdzniecības un rūpniecības kamera, Lauksaimnieku organizāciju sadarbības padome, Būvmateriālu ražotāju asociācija, Konkurences padome, Patērētāju tiesību aizsardzības centr</w:t>
            </w:r>
            <w:r w:rsidR="00BF1F46">
              <w:t>s</w:t>
            </w:r>
            <w:r w:rsidR="00495079" w:rsidRPr="0007400D">
              <w:t xml:space="preserve">, AS “Augstsprieguma tīkls”, AS “Latvenergo”, AS “Sadales tīkls”, SIA “AJ </w:t>
            </w:r>
            <w:proofErr w:type="spellStart"/>
            <w:r w:rsidR="00495079" w:rsidRPr="0007400D">
              <w:t>Power</w:t>
            </w:r>
            <w:proofErr w:type="spellEnd"/>
            <w:r w:rsidR="00495079" w:rsidRPr="0007400D">
              <w:t>”, SIA “</w:t>
            </w:r>
            <w:proofErr w:type="spellStart"/>
            <w:r w:rsidR="00495079" w:rsidRPr="0007400D">
              <w:t>Enefit</w:t>
            </w:r>
            <w:proofErr w:type="spellEnd"/>
            <w:r w:rsidR="00495079" w:rsidRPr="0007400D">
              <w:t>”, SIA “</w:t>
            </w:r>
            <w:proofErr w:type="spellStart"/>
            <w:r w:rsidR="00495079" w:rsidRPr="0007400D">
              <w:t>Imlitex</w:t>
            </w:r>
            <w:proofErr w:type="spellEnd"/>
            <w:r w:rsidR="00495079" w:rsidRPr="0007400D">
              <w:t xml:space="preserve"> Latvija”, SIA “</w:t>
            </w:r>
            <w:proofErr w:type="spellStart"/>
            <w:r w:rsidR="00495079" w:rsidRPr="0007400D">
              <w:t>Interrao</w:t>
            </w:r>
            <w:proofErr w:type="spellEnd"/>
            <w:r w:rsidR="00495079" w:rsidRPr="0007400D">
              <w:t xml:space="preserve"> Latvia”, AS “Rīgas siltums”, SIA “Fortum Latvia” un SIA “Juglas jauda”.</w:t>
            </w:r>
          </w:p>
        </w:tc>
      </w:tr>
      <w:tr w:rsidR="000056F9" w:rsidRPr="002763E8" w14:paraId="7DCC71D8" w14:textId="77777777" w:rsidTr="001E1CB2">
        <w:trPr>
          <w:trHeight w:val="233"/>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3692BD7D" w14:textId="77777777" w:rsidR="000056F9" w:rsidRPr="002763E8" w:rsidRDefault="000056F9" w:rsidP="000056F9">
            <w:pPr>
              <w:rPr>
                <w:color w:val="000000" w:themeColor="text1"/>
              </w:rPr>
            </w:pPr>
            <w:r w:rsidRPr="002763E8">
              <w:rPr>
                <w:color w:val="000000" w:themeColor="text1"/>
              </w:rPr>
              <w:lastRenderedPageBreak/>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67C2932" w14:textId="77777777" w:rsidR="000056F9" w:rsidRPr="002763E8" w:rsidRDefault="000056F9" w:rsidP="000056F9">
            <w:pPr>
              <w:rPr>
                <w:color w:val="000000" w:themeColor="text1"/>
              </w:rPr>
            </w:pPr>
            <w:r w:rsidRPr="002763E8">
              <w:rPr>
                <w:color w:val="000000" w:themeColor="text1"/>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4453343" w14:textId="1291B0B2" w:rsidR="000056F9" w:rsidRPr="002763E8" w:rsidRDefault="009B5183" w:rsidP="000056F9">
            <w:pPr>
              <w:jc w:val="both"/>
              <w:rPr>
                <w:color w:val="000000" w:themeColor="text1"/>
              </w:rPr>
            </w:pPr>
            <w:r>
              <w:rPr>
                <w:color w:val="000000" w:themeColor="text1"/>
              </w:rPr>
              <w:t xml:space="preserve">Sabiedrība kopumā atbalsta ar šo noteikumu projektu īstenojamo konceptuālā ziņojuma </w:t>
            </w:r>
            <w:r w:rsidR="00291370">
              <w:rPr>
                <w:color w:val="000000" w:themeColor="text1"/>
              </w:rPr>
              <w:t>“Kompleksi pasākumi elektroenerģijas tirgus attīstībai” 4.</w:t>
            </w:r>
            <w:r w:rsidR="00D0338A">
              <w:rPr>
                <w:color w:val="000000" w:themeColor="text1"/>
              </w:rPr>
              <w:t> </w:t>
            </w:r>
            <w:r w:rsidR="00291370">
              <w:rPr>
                <w:color w:val="000000" w:themeColor="text1"/>
              </w:rPr>
              <w:t xml:space="preserve">risinājumu. </w:t>
            </w:r>
            <w:r w:rsidR="00236AF1">
              <w:rPr>
                <w:color w:val="000000" w:themeColor="text1"/>
              </w:rPr>
              <w:t xml:space="preserve">Turklāt, atsevišķas organizācijas, piemēram, </w:t>
            </w:r>
            <w:r w:rsidR="00236AF1" w:rsidRPr="0007400D">
              <w:t>Lauksaimnieku organizāciju sadarbības padome</w:t>
            </w:r>
            <w:r w:rsidR="00236AF1">
              <w:t xml:space="preserve">, Latvijas atjaunojamo energoresursu federācija un Būvmateriālu ražotāju asociācija vēl konceptuālā ziņojuma starpinstitūciju saskaņošanas procesā ir mudinājusi </w:t>
            </w:r>
            <w:r w:rsidR="007233BB">
              <w:t>4.</w:t>
            </w:r>
            <w:r w:rsidR="00D0338A">
              <w:t> </w:t>
            </w:r>
            <w:r w:rsidR="007233BB">
              <w:t>risinājuma īstenošanu.</w:t>
            </w:r>
          </w:p>
        </w:tc>
      </w:tr>
      <w:tr w:rsidR="000056F9" w:rsidRPr="002763E8" w14:paraId="1C489AFC" w14:textId="77777777" w:rsidTr="001E1CB2">
        <w:trPr>
          <w:trHeight w:val="465"/>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73869E0" w14:textId="77777777" w:rsidR="000056F9" w:rsidRPr="002763E8" w:rsidRDefault="000056F9" w:rsidP="000056F9">
            <w:pPr>
              <w:rPr>
                <w:color w:val="000000" w:themeColor="text1"/>
              </w:rPr>
            </w:pPr>
            <w:r w:rsidRPr="002763E8">
              <w:rPr>
                <w:color w:val="000000" w:themeColor="text1"/>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A427A56" w14:textId="77777777" w:rsidR="000056F9" w:rsidRPr="002763E8" w:rsidRDefault="000056F9" w:rsidP="000056F9">
            <w:pPr>
              <w:rPr>
                <w:color w:val="000000" w:themeColor="text1"/>
              </w:rPr>
            </w:pPr>
            <w:r w:rsidRPr="002763E8">
              <w:rPr>
                <w:color w:val="000000" w:themeColor="text1"/>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235C056B" w14:textId="77777777" w:rsidR="000056F9" w:rsidRPr="002763E8" w:rsidRDefault="000056F9" w:rsidP="000056F9">
            <w:pPr>
              <w:pStyle w:val="tvhtml"/>
              <w:spacing w:line="293" w:lineRule="atLeast"/>
              <w:rPr>
                <w:color w:val="000000" w:themeColor="text1"/>
              </w:rPr>
            </w:pPr>
            <w:r w:rsidRPr="002763E8">
              <w:rPr>
                <w:color w:val="000000" w:themeColor="text1"/>
              </w:rPr>
              <w:t>Nav.</w:t>
            </w:r>
          </w:p>
        </w:tc>
      </w:tr>
    </w:tbl>
    <w:p w14:paraId="286E8978" w14:textId="77777777" w:rsidR="000056F9" w:rsidRPr="002763E8" w:rsidRDefault="000056F9" w:rsidP="008667DC">
      <w:pPr>
        <w:rPr>
          <w:color w:val="000000" w:themeColor="text1"/>
        </w:rPr>
      </w:pPr>
    </w:p>
    <w:tbl>
      <w:tblPr>
        <w:tblpPr w:leftFromText="180" w:rightFromText="180" w:vertAnchor="text" w:horzAnchor="margin" w:tblpX="-174" w:tblpY="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944"/>
      </w:tblGrid>
      <w:tr w:rsidR="001C1A2E" w:rsidRPr="002763E8" w14:paraId="16A18B3F" w14:textId="77777777" w:rsidTr="00B62320">
        <w:tc>
          <w:tcPr>
            <w:tcW w:w="9493" w:type="dxa"/>
            <w:gridSpan w:val="3"/>
            <w:vAlign w:val="center"/>
          </w:tcPr>
          <w:p w14:paraId="339C84DB" w14:textId="77777777" w:rsidR="001C1A2E" w:rsidRPr="002763E8" w:rsidRDefault="001C1A2E" w:rsidP="008667DC">
            <w:pPr>
              <w:pStyle w:val="naisnod"/>
              <w:spacing w:before="0" w:beforeAutospacing="0" w:after="0" w:afterAutospacing="0"/>
              <w:jc w:val="center"/>
              <w:rPr>
                <w:b/>
                <w:color w:val="000000" w:themeColor="text1"/>
              </w:rPr>
            </w:pPr>
            <w:r w:rsidRPr="002763E8">
              <w:rPr>
                <w:b/>
                <w:color w:val="000000" w:themeColor="text1"/>
              </w:rPr>
              <w:t>VII. Tiesību akta projekta izpildes nodrošināšana un tās ietekme uz institūcijām</w:t>
            </w:r>
          </w:p>
        </w:tc>
      </w:tr>
      <w:tr w:rsidR="001C1A2E" w:rsidRPr="002763E8" w14:paraId="5A272CC9" w14:textId="77777777" w:rsidTr="00B62320">
        <w:trPr>
          <w:trHeight w:val="128"/>
        </w:trPr>
        <w:tc>
          <w:tcPr>
            <w:tcW w:w="404" w:type="dxa"/>
          </w:tcPr>
          <w:p w14:paraId="4E67A084"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1.</w:t>
            </w:r>
          </w:p>
        </w:tc>
        <w:tc>
          <w:tcPr>
            <w:tcW w:w="3145" w:type="dxa"/>
          </w:tcPr>
          <w:p w14:paraId="7885BD5E" w14:textId="77777777" w:rsidR="001C1A2E" w:rsidRPr="002763E8" w:rsidRDefault="001C1A2E" w:rsidP="00A644BE">
            <w:pPr>
              <w:rPr>
                <w:color w:val="000000" w:themeColor="text1"/>
              </w:rPr>
            </w:pPr>
            <w:r w:rsidRPr="002763E8">
              <w:rPr>
                <w:color w:val="000000" w:themeColor="text1"/>
              </w:rPr>
              <w:t>Projekta izpildē iesaistītās institūcijas</w:t>
            </w:r>
          </w:p>
        </w:tc>
        <w:tc>
          <w:tcPr>
            <w:tcW w:w="5944" w:type="dxa"/>
          </w:tcPr>
          <w:p w14:paraId="3DBEC20C" w14:textId="77777777" w:rsidR="001C1A2E" w:rsidRPr="002763E8" w:rsidRDefault="00DB1DA9" w:rsidP="002763E8">
            <w:pPr>
              <w:jc w:val="both"/>
              <w:rPr>
                <w:color w:val="000000" w:themeColor="text1"/>
              </w:rPr>
            </w:pPr>
            <w:r w:rsidRPr="002763E8">
              <w:rPr>
                <w:color w:val="000000" w:themeColor="text1"/>
              </w:rPr>
              <w:t>Ekonomikas ministrija.</w:t>
            </w:r>
          </w:p>
        </w:tc>
      </w:tr>
      <w:tr w:rsidR="001C1A2E" w:rsidRPr="002763E8" w14:paraId="68002080" w14:textId="77777777" w:rsidTr="00B62320">
        <w:trPr>
          <w:trHeight w:val="472"/>
        </w:trPr>
        <w:tc>
          <w:tcPr>
            <w:tcW w:w="404" w:type="dxa"/>
          </w:tcPr>
          <w:p w14:paraId="2BEE0079"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2.</w:t>
            </w:r>
          </w:p>
        </w:tc>
        <w:tc>
          <w:tcPr>
            <w:tcW w:w="3145" w:type="dxa"/>
          </w:tcPr>
          <w:p w14:paraId="6494F98C" w14:textId="77777777" w:rsidR="001C1A2E" w:rsidRPr="002763E8" w:rsidRDefault="001C1A2E" w:rsidP="00A644BE">
            <w:pPr>
              <w:jc w:val="both"/>
              <w:rPr>
                <w:color w:val="000000" w:themeColor="text1"/>
              </w:rPr>
            </w:pPr>
            <w:r w:rsidRPr="002763E8">
              <w:rPr>
                <w:color w:val="000000" w:themeColor="text1"/>
              </w:rPr>
              <w:t xml:space="preserve">Projekta izpildes ietekme uz pārvaldes funkcijām un institucionālo struktūru. </w:t>
            </w:r>
          </w:p>
          <w:p w14:paraId="423656A9" w14:textId="77777777" w:rsidR="00EC14D6" w:rsidRPr="002763E8" w:rsidRDefault="001C1A2E" w:rsidP="00817907">
            <w:pPr>
              <w:jc w:val="both"/>
              <w:rPr>
                <w:color w:val="000000" w:themeColor="text1"/>
              </w:rPr>
            </w:pPr>
            <w:r w:rsidRPr="002763E8">
              <w:rPr>
                <w:color w:val="000000" w:themeColor="text1"/>
              </w:rPr>
              <w:t>Jaunu institūciju izveide, esošu institūciju likvidācija vai reorganizācija, to ietekme uz institūcijas cilvēkresursiem</w:t>
            </w:r>
          </w:p>
        </w:tc>
        <w:tc>
          <w:tcPr>
            <w:tcW w:w="5944" w:type="dxa"/>
          </w:tcPr>
          <w:p w14:paraId="39A77354" w14:textId="585F6467" w:rsidR="001C1A2E" w:rsidRPr="002763E8" w:rsidRDefault="00EB7FA3" w:rsidP="002763E8">
            <w:pPr>
              <w:pStyle w:val="naisnod"/>
              <w:spacing w:before="0" w:beforeAutospacing="0" w:after="0" w:afterAutospacing="0"/>
              <w:ind w:left="57" w:right="57"/>
              <w:jc w:val="both"/>
              <w:rPr>
                <w:b/>
                <w:color w:val="000000" w:themeColor="text1"/>
              </w:rPr>
            </w:pPr>
            <w:r w:rsidRPr="002763E8">
              <w:t>N</w:t>
            </w:r>
            <w:r w:rsidR="00BD263B" w:rsidRPr="002763E8">
              <w:t>oteikumu projekta apstiprināšanas gadījumā netiek radītas jaunas valsts institūcijas.</w:t>
            </w:r>
          </w:p>
        </w:tc>
      </w:tr>
      <w:tr w:rsidR="001C1A2E" w:rsidRPr="002763E8" w14:paraId="5A068572" w14:textId="77777777" w:rsidTr="00B62320">
        <w:trPr>
          <w:trHeight w:val="156"/>
        </w:trPr>
        <w:tc>
          <w:tcPr>
            <w:tcW w:w="404" w:type="dxa"/>
          </w:tcPr>
          <w:p w14:paraId="67EBB72C"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3.</w:t>
            </w:r>
          </w:p>
        </w:tc>
        <w:tc>
          <w:tcPr>
            <w:tcW w:w="3145" w:type="dxa"/>
          </w:tcPr>
          <w:p w14:paraId="58DF09AB" w14:textId="77777777" w:rsidR="001C1A2E" w:rsidRPr="002763E8" w:rsidRDefault="001C1A2E" w:rsidP="00A644BE">
            <w:pPr>
              <w:rPr>
                <w:color w:val="000000" w:themeColor="text1"/>
              </w:rPr>
            </w:pPr>
            <w:r w:rsidRPr="002763E8">
              <w:rPr>
                <w:color w:val="000000" w:themeColor="text1"/>
              </w:rPr>
              <w:t>Cita informācija</w:t>
            </w:r>
          </w:p>
        </w:tc>
        <w:tc>
          <w:tcPr>
            <w:tcW w:w="5944" w:type="dxa"/>
          </w:tcPr>
          <w:p w14:paraId="7F82DA88" w14:textId="77777777" w:rsidR="001C1A2E" w:rsidRPr="002763E8" w:rsidRDefault="001C1A2E" w:rsidP="002763E8">
            <w:pPr>
              <w:pStyle w:val="naisnod"/>
              <w:spacing w:before="0" w:beforeAutospacing="0" w:after="0" w:afterAutospacing="0"/>
              <w:ind w:left="57" w:right="57"/>
              <w:jc w:val="both"/>
              <w:rPr>
                <w:b/>
                <w:color w:val="000000" w:themeColor="text1"/>
              </w:rPr>
            </w:pPr>
            <w:r w:rsidRPr="002763E8">
              <w:rPr>
                <w:color w:val="000000" w:themeColor="text1"/>
              </w:rPr>
              <w:t>Normatīvā akta izpilde tiks nodrošināta esošo valsts institūciju funkciju ietvaros.</w:t>
            </w:r>
          </w:p>
        </w:tc>
      </w:tr>
    </w:tbl>
    <w:p w14:paraId="473A51F0" w14:textId="77777777" w:rsidR="00731FA4" w:rsidRPr="00187D7E" w:rsidRDefault="00731FA4" w:rsidP="00790CA8">
      <w:pPr>
        <w:rPr>
          <w:bCs/>
          <w:sz w:val="28"/>
          <w:szCs w:val="28"/>
        </w:rPr>
      </w:pPr>
    </w:p>
    <w:p w14:paraId="236630C4" w14:textId="77777777" w:rsidR="007C1F2A" w:rsidRPr="00BF4E15" w:rsidRDefault="007C1F2A" w:rsidP="00790CA8">
      <w:pPr>
        <w:rPr>
          <w:bCs/>
          <w:sz w:val="28"/>
          <w:szCs w:val="28"/>
        </w:rPr>
      </w:pPr>
    </w:p>
    <w:p w14:paraId="22699B1C" w14:textId="27B8A609" w:rsidR="00A644BE" w:rsidRPr="006E2F36" w:rsidRDefault="00A644BE" w:rsidP="00790CA8">
      <w:pPr>
        <w:rPr>
          <w:bCs/>
        </w:rPr>
      </w:pPr>
      <w:r w:rsidRPr="006E2F36">
        <w:rPr>
          <w:bCs/>
        </w:rPr>
        <w:t>Ministru prezidenta biedrs,</w:t>
      </w:r>
    </w:p>
    <w:p w14:paraId="487034B9" w14:textId="77777777" w:rsidR="005E59EE" w:rsidRPr="000C71F9" w:rsidRDefault="00A644BE" w:rsidP="00790CA8">
      <w:pPr>
        <w:rPr>
          <w:bCs/>
        </w:rPr>
      </w:pPr>
      <w:r w:rsidRPr="000C71F9">
        <w:rPr>
          <w:bCs/>
        </w:rPr>
        <w:t>e</w:t>
      </w:r>
      <w:r w:rsidR="00C73B18" w:rsidRPr="000C71F9">
        <w:rPr>
          <w:bCs/>
        </w:rPr>
        <w:t>konomikas ministr</w:t>
      </w:r>
      <w:r w:rsidR="007422D8" w:rsidRPr="000C71F9">
        <w:rPr>
          <w:bCs/>
        </w:rPr>
        <w:t>s</w:t>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proofErr w:type="spellStart"/>
      <w:r w:rsidR="0084764D" w:rsidRPr="000C71F9">
        <w:rPr>
          <w:bCs/>
        </w:rPr>
        <w:t>A.Ašera</w:t>
      </w:r>
      <w:r w:rsidR="007422D8" w:rsidRPr="000C71F9">
        <w:rPr>
          <w:bCs/>
        </w:rPr>
        <w:t>dens</w:t>
      </w:r>
      <w:proofErr w:type="spellEnd"/>
    </w:p>
    <w:p w14:paraId="13A375DA" w14:textId="77777777" w:rsidR="00AC1F53" w:rsidRPr="000C71F9" w:rsidRDefault="00AC1F53" w:rsidP="00790CA8">
      <w:pPr>
        <w:pStyle w:val="naisf"/>
        <w:spacing w:before="0" w:beforeAutospacing="0" w:after="0" w:afterAutospacing="0"/>
        <w:rPr>
          <w:bCs/>
          <w:color w:val="000000"/>
        </w:rPr>
      </w:pPr>
    </w:p>
    <w:p w14:paraId="00ECDB1B" w14:textId="77777777" w:rsidR="007C1F2A" w:rsidRPr="000B41D7" w:rsidRDefault="007C1F2A" w:rsidP="00790CA8">
      <w:pPr>
        <w:pStyle w:val="naisf"/>
        <w:spacing w:before="0" w:beforeAutospacing="0" w:after="0" w:afterAutospacing="0"/>
        <w:rPr>
          <w:bCs/>
          <w:color w:val="000000"/>
        </w:rPr>
      </w:pPr>
    </w:p>
    <w:p w14:paraId="199E430C" w14:textId="77777777" w:rsidR="0038787E" w:rsidRPr="00EE24A8" w:rsidRDefault="0038787E" w:rsidP="00790CA8">
      <w:pPr>
        <w:pStyle w:val="naisf"/>
        <w:spacing w:before="0" w:beforeAutospacing="0" w:after="0" w:afterAutospacing="0"/>
        <w:rPr>
          <w:b/>
          <w:bCs/>
          <w:color w:val="000000"/>
        </w:rPr>
      </w:pPr>
      <w:r w:rsidRPr="00EE24A8">
        <w:rPr>
          <w:bCs/>
          <w:color w:val="000000"/>
        </w:rPr>
        <w:t>Vīza:</w:t>
      </w:r>
    </w:p>
    <w:p w14:paraId="1D60F92D" w14:textId="7F19D921" w:rsidR="006B45D8" w:rsidRDefault="0084764D" w:rsidP="0025188C">
      <w:pPr>
        <w:jc w:val="both"/>
        <w:rPr>
          <w:color w:val="000000"/>
        </w:rPr>
      </w:pPr>
      <w:r w:rsidRPr="00411CE9">
        <w:rPr>
          <w:color w:val="000000"/>
        </w:rPr>
        <w:t>valsts sekretārs</w:t>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proofErr w:type="spellStart"/>
      <w:r w:rsidRPr="00411CE9">
        <w:rPr>
          <w:color w:val="000000"/>
        </w:rPr>
        <w:t>J.Stinka</w:t>
      </w:r>
      <w:proofErr w:type="spellEnd"/>
    </w:p>
    <w:p w14:paraId="1DABC253" w14:textId="1DB5DE29" w:rsidR="002B6522" w:rsidRDefault="002B6522" w:rsidP="0025188C">
      <w:pPr>
        <w:jc w:val="both"/>
        <w:rPr>
          <w:color w:val="000000"/>
        </w:rPr>
      </w:pPr>
    </w:p>
    <w:p w14:paraId="6518961F" w14:textId="242E3BE2" w:rsidR="002B6522" w:rsidRDefault="002B6522" w:rsidP="0025188C">
      <w:pPr>
        <w:jc w:val="both"/>
        <w:rPr>
          <w:color w:val="000000"/>
        </w:rPr>
      </w:pPr>
      <w:bookmarkStart w:id="4" w:name="_GoBack"/>
      <w:bookmarkEnd w:id="4"/>
    </w:p>
    <w:p w14:paraId="66E73249" w14:textId="21901723" w:rsidR="00104CD8" w:rsidRPr="000B549F" w:rsidRDefault="00104CD8" w:rsidP="00104CD8">
      <w:pPr>
        <w:tabs>
          <w:tab w:val="left" w:pos="1110"/>
        </w:tabs>
        <w:rPr>
          <w:color w:val="000000"/>
          <w:sz w:val="20"/>
          <w:szCs w:val="20"/>
        </w:rPr>
      </w:pPr>
      <w:r w:rsidRPr="000B549F">
        <w:rPr>
          <w:color w:val="000000"/>
          <w:sz w:val="20"/>
          <w:szCs w:val="20"/>
        </w:rPr>
        <w:t xml:space="preserve">02.10.2017. </w:t>
      </w:r>
      <w:r w:rsidR="00DD0501">
        <w:rPr>
          <w:color w:val="000000"/>
          <w:sz w:val="20"/>
          <w:szCs w:val="20"/>
        </w:rPr>
        <w:t>11:42</w:t>
      </w:r>
    </w:p>
    <w:p w14:paraId="4E810691" w14:textId="5D2A99D4" w:rsidR="00104CD8" w:rsidRDefault="00104CD8" w:rsidP="00104CD8">
      <w:pPr>
        <w:rPr>
          <w:color w:val="000000"/>
          <w:sz w:val="20"/>
          <w:szCs w:val="20"/>
        </w:rPr>
      </w:pPr>
      <w:r w:rsidRPr="000B549F">
        <w:rPr>
          <w:color w:val="000000"/>
          <w:sz w:val="20"/>
          <w:szCs w:val="20"/>
        </w:rPr>
        <w:t>1</w:t>
      </w:r>
      <w:r w:rsidR="00DD0501">
        <w:rPr>
          <w:color w:val="000000"/>
          <w:sz w:val="20"/>
          <w:szCs w:val="20"/>
        </w:rPr>
        <w:t>820</w:t>
      </w:r>
    </w:p>
    <w:p w14:paraId="46E5BFAB" w14:textId="77777777" w:rsidR="00104CD8" w:rsidRPr="000B549F" w:rsidRDefault="00104CD8" w:rsidP="00104CD8">
      <w:pPr>
        <w:jc w:val="both"/>
        <w:rPr>
          <w:sz w:val="20"/>
          <w:szCs w:val="20"/>
        </w:rPr>
      </w:pPr>
      <w:proofErr w:type="spellStart"/>
      <w:r w:rsidRPr="000B549F">
        <w:rPr>
          <w:sz w:val="20"/>
          <w:szCs w:val="20"/>
        </w:rPr>
        <w:t>A.Apaņuks</w:t>
      </w:r>
      <w:proofErr w:type="spellEnd"/>
      <w:r w:rsidRPr="000B549F">
        <w:rPr>
          <w:sz w:val="20"/>
          <w:szCs w:val="20"/>
        </w:rPr>
        <w:t xml:space="preserve">, 67013009, </w:t>
      </w:r>
    </w:p>
    <w:p w14:paraId="76F6D889" w14:textId="77777777" w:rsidR="00104CD8" w:rsidRPr="000B549F" w:rsidRDefault="00DD0501" w:rsidP="00104CD8">
      <w:pPr>
        <w:widowControl w:val="0"/>
        <w:jc w:val="both"/>
        <w:rPr>
          <w:szCs w:val="20"/>
        </w:rPr>
      </w:pPr>
      <w:hyperlink r:id="rId8" w:history="1">
        <w:r w:rsidR="00104CD8" w:rsidRPr="00B70FCC">
          <w:rPr>
            <w:rStyle w:val="Hyperlink"/>
            <w:sz w:val="20"/>
            <w:szCs w:val="20"/>
          </w:rPr>
          <w:t>Andrejs.Apanuks@em.gov.lv</w:t>
        </w:r>
      </w:hyperlink>
      <w:r w:rsidR="00104CD8">
        <w:rPr>
          <w:sz w:val="20"/>
          <w:szCs w:val="20"/>
        </w:rPr>
        <w:t xml:space="preserve"> </w:t>
      </w:r>
    </w:p>
    <w:p w14:paraId="76DE02AB" w14:textId="77777777" w:rsidR="00104CD8" w:rsidRDefault="00104CD8" w:rsidP="00104CD8">
      <w:pPr>
        <w:rPr>
          <w:color w:val="000000"/>
          <w:sz w:val="20"/>
          <w:szCs w:val="20"/>
        </w:rPr>
      </w:pPr>
      <w:proofErr w:type="spellStart"/>
      <w:r w:rsidRPr="000B549F">
        <w:rPr>
          <w:color w:val="000000"/>
          <w:sz w:val="20"/>
          <w:szCs w:val="20"/>
        </w:rPr>
        <w:t>R.Meijers</w:t>
      </w:r>
      <w:proofErr w:type="spellEnd"/>
      <w:r w:rsidRPr="000B549F">
        <w:rPr>
          <w:color w:val="000000"/>
          <w:sz w:val="20"/>
          <w:szCs w:val="20"/>
        </w:rPr>
        <w:t xml:space="preserve">, 67013176, </w:t>
      </w:r>
    </w:p>
    <w:p w14:paraId="3E19408C" w14:textId="77777777" w:rsidR="00104CD8" w:rsidRPr="000B549F" w:rsidRDefault="00DD0501" w:rsidP="00104CD8">
      <w:pPr>
        <w:rPr>
          <w:szCs w:val="28"/>
        </w:rPr>
      </w:pPr>
      <w:hyperlink r:id="rId9" w:history="1">
        <w:r w:rsidR="00104CD8" w:rsidRPr="000B549F">
          <w:rPr>
            <w:color w:val="0000FF"/>
            <w:sz w:val="20"/>
            <w:szCs w:val="20"/>
            <w:u w:val="single"/>
          </w:rPr>
          <w:t>Roberts.Meijers@em.gov.lv</w:t>
        </w:r>
      </w:hyperlink>
      <w:r w:rsidR="00104CD8" w:rsidRPr="000B549F">
        <w:rPr>
          <w:sz w:val="20"/>
          <w:szCs w:val="20"/>
        </w:rPr>
        <w:t xml:space="preserve"> </w:t>
      </w:r>
    </w:p>
    <w:p w14:paraId="1CBC230C" w14:textId="77777777" w:rsidR="002B6522" w:rsidRPr="0025188C" w:rsidRDefault="002B6522" w:rsidP="0025188C">
      <w:pPr>
        <w:jc w:val="both"/>
        <w:rPr>
          <w:color w:val="000000"/>
        </w:rPr>
      </w:pPr>
    </w:p>
    <w:sectPr w:rsidR="002B6522" w:rsidRPr="0025188C" w:rsidSect="00731FA4">
      <w:headerReference w:type="default" r:id="rId10"/>
      <w:footerReference w:type="default" r:id="rId11"/>
      <w:footerReference w:type="first" r:id="rId12"/>
      <w:pgSz w:w="11906" w:h="16838"/>
      <w:pgMar w:top="1418" w:right="99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45EAA" w14:textId="77777777" w:rsidR="00957BA8" w:rsidRDefault="00957BA8">
      <w:r>
        <w:separator/>
      </w:r>
    </w:p>
  </w:endnote>
  <w:endnote w:type="continuationSeparator" w:id="0">
    <w:p w14:paraId="4FF5D55C" w14:textId="77777777" w:rsidR="00957BA8" w:rsidRDefault="0095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93A9" w14:textId="1984A5FC" w:rsidR="00495079" w:rsidRPr="00AE2DDC" w:rsidRDefault="00495079" w:rsidP="00AE2DDC">
    <w:pPr>
      <w:contextualSpacing/>
      <w:jc w:val="both"/>
      <w:outlineLvl w:val="0"/>
      <w:rPr>
        <w:sz w:val="20"/>
        <w:szCs w:val="20"/>
      </w:rPr>
    </w:pPr>
    <w:r w:rsidRPr="00515F9D">
      <w:rPr>
        <w:sz w:val="20"/>
        <w:szCs w:val="20"/>
      </w:rPr>
      <w:t>E</w:t>
    </w:r>
    <w:r w:rsidR="005D3FDA">
      <w:rPr>
        <w:sz w:val="20"/>
        <w:szCs w:val="20"/>
      </w:rPr>
      <w:t>MAnot_0210</w:t>
    </w:r>
    <w:r>
      <w:rPr>
        <w:sz w:val="20"/>
        <w:szCs w:val="20"/>
      </w:rPr>
      <w:t>17</w:t>
    </w:r>
    <w:r w:rsidRPr="00515F9D">
      <w:rPr>
        <w:sz w:val="20"/>
        <w:szCs w:val="20"/>
      </w:rPr>
      <w:t>_MK221</w:t>
    </w:r>
    <w:r w:rsidR="002B6522">
      <w:rPr>
        <w:sz w:val="20"/>
        <w:szCs w:val="20"/>
      </w:rPr>
      <w:t xml:space="preserve">; </w:t>
    </w:r>
    <w:r w:rsidR="002B6522" w:rsidRPr="002B6522">
      <w:rPr>
        <w:sz w:val="20"/>
        <w:szCs w:val="20"/>
      </w:rPr>
      <w:t>Ministru kabineta noteikumu projekta “Grozījumi Ministru kabineta 2009. gada 10. marta noteikumos Nr.221 “Noteikumi par elektroenerģijas ražošanu un cenu noteikšanu, ražojot elektroenerģiju koģenerācijā””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0D9D" w14:textId="791FAC72" w:rsidR="00495079" w:rsidRPr="00A83B09" w:rsidRDefault="00495079" w:rsidP="00A83B09">
    <w:pPr>
      <w:contextualSpacing/>
      <w:jc w:val="both"/>
      <w:outlineLvl w:val="0"/>
      <w:rPr>
        <w:sz w:val="20"/>
        <w:szCs w:val="20"/>
      </w:rPr>
    </w:pPr>
    <w:r w:rsidRPr="00515F9D">
      <w:rPr>
        <w:sz w:val="20"/>
        <w:szCs w:val="20"/>
      </w:rPr>
      <w:t>E</w:t>
    </w:r>
    <w:r>
      <w:rPr>
        <w:sz w:val="20"/>
        <w:szCs w:val="20"/>
      </w:rPr>
      <w:t>MAnot_</w:t>
    </w:r>
    <w:r w:rsidR="005D3FDA">
      <w:rPr>
        <w:sz w:val="20"/>
        <w:szCs w:val="20"/>
      </w:rPr>
      <w:t>0</w:t>
    </w:r>
    <w:r>
      <w:rPr>
        <w:sz w:val="20"/>
        <w:szCs w:val="20"/>
      </w:rPr>
      <w:t>2</w:t>
    </w:r>
    <w:r w:rsidR="005D3FDA">
      <w:rPr>
        <w:sz w:val="20"/>
        <w:szCs w:val="20"/>
      </w:rPr>
      <w:t>1</w:t>
    </w:r>
    <w:r>
      <w:rPr>
        <w:sz w:val="20"/>
        <w:szCs w:val="20"/>
      </w:rPr>
      <w:t>017</w:t>
    </w:r>
    <w:r w:rsidRPr="00515F9D">
      <w:rPr>
        <w:sz w:val="20"/>
        <w:szCs w:val="20"/>
      </w:rPr>
      <w:t>_MK221</w:t>
    </w:r>
    <w:r w:rsidR="002B6522">
      <w:rPr>
        <w:sz w:val="20"/>
        <w:szCs w:val="20"/>
      </w:rPr>
      <w:t xml:space="preserve">; </w:t>
    </w:r>
    <w:r w:rsidR="002B6522" w:rsidRPr="002B6522">
      <w:rPr>
        <w:sz w:val="20"/>
        <w:szCs w:val="20"/>
      </w:rPr>
      <w:t>Ministru kabineta noteikumu projekta “Grozījumi Ministru kabineta 2009. gada 10. marta noteikumos Nr.221 “Noteikumi par elektroenerģijas ražošanu un cenu noteikšanu, ražojot elektroenerģiju koģenerācijā””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3F85" w14:textId="77777777" w:rsidR="00957BA8" w:rsidRDefault="00957BA8">
      <w:r>
        <w:separator/>
      </w:r>
    </w:p>
  </w:footnote>
  <w:footnote w:type="continuationSeparator" w:id="0">
    <w:p w14:paraId="54DD90D4" w14:textId="77777777" w:rsidR="00957BA8" w:rsidRDefault="00957BA8">
      <w:r>
        <w:continuationSeparator/>
      </w:r>
    </w:p>
  </w:footnote>
  <w:footnote w:id="1">
    <w:p w14:paraId="28983A05" w14:textId="77777777" w:rsidR="00495079" w:rsidRPr="00A01238" w:rsidRDefault="00495079" w:rsidP="00B963F8">
      <w:pPr>
        <w:pStyle w:val="FootnoteText"/>
        <w:spacing w:before="60"/>
        <w:jc w:val="both"/>
      </w:pPr>
      <w:r w:rsidRPr="00A01238">
        <w:rPr>
          <w:rStyle w:val="FootnoteReference"/>
        </w:rPr>
        <w:footnoteRef/>
      </w:r>
      <w:r w:rsidRPr="00A01238">
        <w:t xml:space="preserve"> 2013.gada 13.augusta Ministru kabineta sēdes protokola Nr.44., 156.§; 2014.gada 19.novembra Ministru kabineta sēdes protokola Nr.63., 23.§; 2015.gada 31.augusta Ministru kabineta sēdes protokola Nr.43., 2.§.</w:t>
      </w:r>
    </w:p>
  </w:footnote>
  <w:footnote w:id="2">
    <w:p w14:paraId="0575C087" w14:textId="77CCA496" w:rsidR="00BD3808" w:rsidRPr="00BD3808" w:rsidRDefault="00BD3808" w:rsidP="00BD3808">
      <w:pPr>
        <w:spacing w:before="120"/>
        <w:jc w:val="both"/>
        <w:rPr>
          <w:sz w:val="20"/>
        </w:rPr>
      </w:pPr>
      <w:r w:rsidRPr="00BD3808">
        <w:rPr>
          <w:rStyle w:val="FootnoteReference"/>
          <w:sz w:val="20"/>
        </w:rPr>
        <w:footnoteRef/>
      </w:r>
      <w:r w:rsidRPr="00BD3808">
        <w:rPr>
          <w:sz w:val="20"/>
        </w:rPr>
        <w:t xml:space="preserve"> </w:t>
      </w:r>
      <w:r w:rsidRPr="00BD3808">
        <w:rPr>
          <w:sz w:val="20"/>
        </w:rPr>
        <w:t xml:space="preserve">Noteikumu projektā izvēlētā vienreizējā maksājuma </w:t>
      </w:r>
      <w:r w:rsidR="001B5698">
        <w:rPr>
          <w:sz w:val="20"/>
        </w:rPr>
        <w:t>9% </w:t>
      </w:r>
      <w:r w:rsidRPr="00BD3808">
        <w:rPr>
          <w:sz w:val="20"/>
        </w:rPr>
        <w:t xml:space="preserve">diskonta faktora likme ir pamatota ar </w:t>
      </w:r>
      <w:r w:rsidR="00282A4A">
        <w:rPr>
          <w:sz w:val="20"/>
        </w:rPr>
        <w:t xml:space="preserve">šī lieluma saikni ar kapitālieguldījumu iekšējās peļņas normu un </w:t>
      </w:r>
      <w:r w:rsidRPr="00BD3808">
        <w:rPr>
          <w:sz w:val="20"/>
        </w:rPr>
        <w:t xml:space="preserve">to, ka </w:t>
      </w:r>
      <w:r w:rsidR="00BB6700">
        <w:rPr>
          <w:sz w:val="20"/>
        </w:rPr>
        <w:t xml:space="preserve">valsts atbalsta lietā SA.43140 (2015/NN) – </w:t>
      </w:r>
      <w:r w:rsidR="00BB6700" w:rsidRPr="00BB6700">
        <w:rPr>
          <w:i/>
          <w:sz w:val="20"/>
        </w:rPr>
        <w:t>“Atbalsts elektroenerģijas ražotājiem”</w:t>
      </w:r>
      <w:r w:rsidR="00BB6700">
        <w:rPr>
          <w:sz w:val="20"/>
        </w:rPr>
        <w:t xml:space="preserve"> </w:t>
      </w:r>
      <w:r w:rsidR="00282A4A">
        <w:rPr>
          <w:sz w:val="20"/>
        </w:rPr>
        <w:t>Eiropas Komisija ir saskaņojusi 9% iekšējās peļņas normas likmi.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391"/>
      <w:docPartObj>
        <w:docPartGallery w:val="Page Numbers (Top of Page)"/>
        <w:docPartUnique/>
      </w:docPartObj>
    </w:sdtPr>
    <w:sdtEndPr/>
    <w:sdtContent>
      <w:p w14:paraId="546F9DDD" w14:textId="29C3EDBA" w:rsidR="00495079" w:rsidRDefault="00495079">
        <w:pPr>
          <w:pStyle w:val="Header"/>
          <w:jc w:val="center"/>
        </w:pPr>
        <w:r>
          <w:fldChar w:fldCharType="begin"/>
        </w:r>
        <w:r>
          <w:instrText xml:space="preserve"> PAGE   \* MERGEFORMAT </w:instrText>
        </w:r>
        <w:r>
          <w:fldChar w:fldCharType="separate"/>
        </w:r>
        <w:r w:rsidR="00DD0501">
          <w:rPr>
            <w:noProof/>
          </w:rPr>
          <w:t>7</w:t>
        </w:r>
        <w:r>
          <w:rPr>
            <w:noProof/>
          </w:rPr>
          <w:fldChar w:fldCharType="end"/>
        </w:r>
      </w:p>
    </w:sdtContent>
  </w:sdt>
  <w:p w14:paraId="590800AC" w14:textId="77777777" w:rsidR="00495079" w:rsidRDefault="0049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64477"/>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57C00"/>
    <w:multiLevelType w:val="hybridMultilevel"/>
    <w:tmpl w:val="B40CA5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C4F38"/>
    <w:multiLevelType w:val="hybridMultilevel"/>
    <w:tmpl w:val="B702422C"/>
    <w:lvl w:ilvl="0" w:tplc="04260005">
      <w:start w:val="1"/>
      <w:numFmt w:val="bullet"/>
      <w:lvlText w:val=""/>
      <w:lvlJc w:val="left"/>
      <w:pPr>
        <w:ind w:left="776" w:hanging="360"/>
      </w:pPr>
      <w:rPr>
        <w:rFonts w:ascii="Wingdings" w:hAnsi="Wingdings"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7" w15:restartNumberingAfterBreak="0">
    <w:nsid w:val="442875B8"/>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34067"/>
    <w:multiLevelType w:val="hybridMultilevel"/>
    <w:tmpl w:val="D6D69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CA5B45"/>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D5EB9"/>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524C6C"/>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9"/>
  </w:num>
  <w:num w:numId="6">
    <w:abstractNumId w:val="2"/>
  </w:num>
  <w:num w:numId="7">
    <w:abstractNumId w:val="10"/>
  </w:num>
  <w:num w:numId="8">
    <w:abstractNumId w:val="7"/>
  </w:num>
  <w:num w:numId="9">
    <w:abstractNumId w:val="3"/>
  </w:num>
  <w:num w:numId="10">
    <w:abstractNumId w:val="6"/>
  </w:num>
  <w:num w:numId="11">
    <w:abstractNumId w:val="1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1B29"/>
    <w:rsid w:val="00002533"/>
    <w:rsid w:val="00002666"/>
    <w:rsid w:val="00002C43"/>
    <w:rsid w:val="00002CFB"/>
    <w:rsid w:val="00003034"/>
    <w:rsid w:val="00003302"/>
    <w:rsid w:val="000056F9"/>
    <w:rsid w:val="00006184"/>
    <w:rsid w:val="00006186"/>
    <w:rsid w:val="00006263"/>
    <w:rsid w:val="00015274"/>
    <w:rsid w:val="00022BAF"/>
    <w:rsid w:val="00023BE0"/>
    <w:rsid w:val="000275C4"/>
    <w:rsid w:val="000307EC"/>
    <w:rsid w:val="00030E08"/>
    <w:rsid w:val="000411A2"/>
    <w:rsid w:val="00041AAF"/>
    <w:rsid w:val="00044212"/>
    <w:rsid w:val="00045CA7"/>
    <w:rsid w:val="00055471"/>
    <w:rsid w:val="000570DE"/>
    <w:rsid w:val="00057551"/>
    <w:rsid w:val="0006057B"/>
    <w:rsid w:val="000618A5"/>
    <w:rsid w:val="00062AFB"/>
    <w:rsid w:val="00066836"/>
    <w:rsid w:val="00077C67"/>
    <w:rsid w:val="0008083E"/>
    <w:rsid w:val="00083D0E"/>
    <w:rsid w:val="00085923"/>
    <w:rsid w:val="0009208B"/>
    <w:rsid w:val="00092EC2"/>
    <w:rsid w:val="000941CA"/>
    <w:rsid w:val="000A35B8"/>
    <w:rsid w:val="000A5D48"/>
    <w:rsid w:val="000B0EA4"/>
    <w:rsid w:val="000B1299"/>
    <w:rsid w:val="000B2F14"/>
    <w:rsid w:val="000B3936"/>
    <w:rsid w:val="000B41D7"/>
    <w:rsid w:val="000B4A95"/>
    <w:rsid w:val="000B654C"/>
    <w:rsid w:val="000C346D"/>
    <w:rsid w:val="000C3A7F"/>
    <w:rsid w:val="000C4407"/>
    <w:rsid w:val="000C5C51"/>
    <w:rsid w:val="000C624C"/>
    <w:rsid w:val="000C6C66"/>
    <w:rsid w:val="000C71F9"/>
    <w:rsid w:val="000D0970"/>
    <w:rsid w:val="000D1948"/>
    <w:rsid w:val="000D4111"/>
    <w:rsid w:val="000D4C2E"/>
    <w:rsid w:val="000D5F09"/>
    <w:rsid w:val="000D664C"/>
    <w:rsid w:val="000D7D82"/>
    <w:rsid w:val="000E2245"/>
    <w:rsid w:val="000E2D96"/>
    <w:rsid w:val="000E47DB"/>
    <w:rsid w:val="000E4F33"/>
    <w:rsid w:val="000E690F"/>
    <w:rsid w:val="000F0035"/>
    <w:rsid w:val="000F23BD"/>
    <w:rsid w:val="000F3432"/>
    <w:rsid w:val="000F6095"/>
    <w:rsid w:val="001026C7"/>
    <w:rsid w:val="001035B2"/>
    <w:rsid w:val="001041EC"/>
    <w:rsid w:val="00104CD8"/>
    <w:rsid w:val="00114060"/>
    <w:rsid w:val="0011496F"/>
    <w:rsid w:val="0012248A"/>
    <w:rsid w:val="001250E9"/>
    <w:rsid w:val="00131719"/>
    <w:rsid w:val="00141922"/>
    <w:rsid w:val="00142063"/>
    <w:rsid w:val="00144309"/>
    <w:rsid w:val="00146184"/>
    <w:rsid w:val="001464E6"/>
    <w:rsid w:val="00147B5F"/>
    <w:rsid w:val="00151E90"/>
    <w:rsid w:val="0015274F"/>
    <w:rsid w:val="00152D7F"/>
    <w:rsid w:val="001549DC"/>
    <w:rsid w:val="00154E78"/>
    <w:rsid w:val="00155A90"/>
    <w:rsid w:val="00156550"/>
    <w:rsid w:val="0015761D"/>
    <w:rsid w:val="0016387A"/>
    <w:rsid w:val="00167831"/>
    <w:rsid w:val="00170B59"/>
    <w:rsid w:val="00171647"/>
    <w:rsid w:val="00171B35"/>
    <w:rsid w:val="00171C09"/>
    <w:rsid w:val="00172793"/>
    <w:rsid w:val="001749DA"/>
    <w:rsid w:val="00176439"/>
    <w:rsid w:val="00180987"/>
    <w:rsid w:val="00183897"/>
    <w:rsid w:val="00186BBC"/>
    <w:rsid w:val="00187797"/>
    <w:rsid w:val="00187D7E"/>
    <w:rsid w:val="00191A3A"/>
    <w:rsid w:val="001A03EC"/>
    <w:rsid w:val="001A0F18"/>
    <w:rsid w:val="001A1483"/>
    <w:rsid w:val="001A3BE3"/>
    <w:rsid w:val="001A6C2B"/>
    <w:rsid w:val="001A72AA"/>
    <w:rsid w:val="001A732D"/>
    <w:rsid w:val="001B10C0"/>
    <w:rsid w:val="001B4DC7"/>
    <w:rsid w:val="001B5698"/>
    <w:rsid w:val="001B638B"/>
    <w:rsid w:val="001B67D8"/>
    <w:rsid w:val="001C1A2E"/>
    <w:rsid w:val="001C1B15"/>
    <w:rsid w:val="001C4F02"/>
    <w:rsid w:val="001D1B66"/>
    <w:rsid w:val="001E1CB2"/>
    <w:rsid w:val="001E3714"/>
    <w:rsid w:val="001F1A2E"/>
    <w:rsid w:val="001F72E1"/>
    <w:rsid w:val="002000B5"/>
    <w:rsid w:val="00203EF7"/>
    <w:rsid w:val="00204997"/>
    <w:rsid w:val="00204A0F"/>
    <w:rsid w:val="002051F5"/>
    <w:rsid w:val="002056DF"/>
    <w:rsid w:val="00205ACF"/>
    <w:rsid w:val="00205F55"/>
    <w:rsid w:val="0021018D"/>
    <w:rsid w:val="00212C50"/>
    <w:rsid w:val="00213196"/>
    <w:rsid w:val="00213A4F"/>
    <w:rsid w:val="00224297"/>
    <w:rsid w:val="00225654"/>
    <w:rsid w:val="00226CE3"/>
    <w:rsid w:val="00230712"/>
    <w:rsid w:val="00231CC1"/>
    <w:rsid w:val="00232EE3"/>
    <w:rsid w:val="00235C64"/>
    <w:rsid w:val="002365F1"/>
    <w:rsid w:val="00236AF1"/>
    <w:rsid w:val="00244B0A"/>
    <w:rsid w:val="00245C93"/>
    <w:rsid w:val="00245DB5"/>
    <w:rsid w:val="00250FAE"/>
    <w:rsid w:val="0025188C"/>
    <w:rsid w:val="00251C2D"/>
    <w:rsid w:val="0025295D"/>
    <w:rsid w:val="002612CE"/>
    <w:rsid w:val="00263785"/>
    <w:rsid w:val="00263D0D"/>
    <w:rsid w:val="002762A5"/>
    <w:rsid w:val="002763E8"/>
    <w:rsid w:val="00280BF3"/>
    <w:rsid w:val="0028250F"/>
    <w:rsid w:val="00282A4A"/>
    <w:rsid w:val="00282EF7"/>
    <w:rsid w:val="002830FC"/>
    <w:rsid w:val="002843B6"/>
    <w:rsid w:val="00287A68"/>
    <w:rsid w:val="00291370"/>
    <w:rsid w:val="00292262"/>
    <w:rsid w:val="002A400E"/>
    <w:rsid w:val="002B44AF"/>
    <w:rsid w:val="002B6522"/>
    <w:rsid w:val="002B708A"/>
    <w:rsid w:val="002D552E"/>
    <w:rsid w:val="002D7C67"/>
    <w:rsid w:val="002E584A"/>
    <w:rsid w:val="002F2A2C"/>
    <w:rsid w:val="002F6FE8"/>
    <w:rsid w:val="0030164A"/>
    <w:rsid w:val="00302E87"/>
    <w:rsid w:val="003107C1"/>
    <w:rsid w:val="0031785A"/>
    <w:rsid w:val="00321F7E"/>
    <w:rsid w:val="00322ACC"/>
    <w:rsid w:val="003238CD"/>
    <w:rsid w:val="00325030"/>
    <w:rsid w:val="003255EE"/>
    <w:rsid w:val="003277A6"/>
    <w:rsid w:val="00327FE8"/>
    <w:rsid w:val="00330730"/>
    <w:rsid w:val="00341985"/>
    <w:rsid w:val="00343230"/>
    <w:rsid w:val="00355EED"/>
    <w:rsid w:val="00367663"/>
    <w:rsid w:val="00370CE5"/>
    <w:rsid w:val="003716AE"/>
    <w:rsid w:val="00374BAD"/>
    <w:rsid w:val="00374DC8"/>
    <w:rsid w:val="003754C8"/>
    <w:rsid w:val="00375B99"/>
    <w:rsid w:val="00375BB7"/>
    <w:rsid w:val="00377D1F"/>
    <w:rsid w:val="00382A29"/>
    <w:rsid w:val="0038729A"/>
    <w:rsid w:val="0038787E"/>
    <w:rsid w:val="003938D5"/>
    <w:rsid w:val="0039412E"/>
    <w:rsid w:val="00397020"/>
    <w:rsid w:val="003A389A"/>
    <w:rsid w:val="003A47DE"/>
    <w:rsid w:val="003A4F38"/>
    <w:rsid w:val="003B25B4"/>
    <w:rsid w:val="003B6256"/>
    <w:rsid w:val="003C049F"/>
    <w:rsid w:val="003C2975"/>
    <w:rsid w:val="003C5082"/>
    <w:rsid w:val="003C574F"/>
    <w:rsid w:val="003D225C"/>
    <w:rsid w:val="003D3411"/>
    <w:rsid w:val="003D426B"/>
    <w:rsid w:val="003D44D3"/>
    <w:rsid w:val="003E00E1"/>
    <w:rsid w:val="003E0379"/>
    <w:rsid w:val="003E2A09"/>
    <w:rsid w:val="003F2A36"/>
    <w:rsid w:val="003F7923"/>
    <w:rsid w:val="004024C2"/>
    <w:rsid w:val="004068A0"/>
    <w:rsid w:val="00407647"/>
    <w:rsid w:val="00411CE9"/>
    <w:rsid w:val="00415987"/>
    <w:rsid w:val="0042350B"/>
    <w:rsid w:val="004238DC"/>
    <w:rsid w:val="0043460D"/>
    <w:rsid w:val="00435C4E"/>
    <w:rsid w:val="00436FED"/>
    <w:rsid w:val="00444F36"/>
    <w:rsid w:val="00445CE6"/>
    <w:rsid w:val="004518CF"/>
    <w:rsid w:val="00454A67"/>
    <w:rsid w:val="00456AB4"/>
    <w:rsid w:val="004602E5"/>
    <w:rsid w:val="00461E10"/>
    <w:rsid w:val="004625CB"/>
    <w:rsid w:val="0046388B"/>
    <w:rsid w:val="00466E52"/>
    <w:rsid w:val="00467807"/>
    <w:rsid w:val="00467AE2"/>
    <w:rsid w:val="00470C42"/>
    <w:rsid w:val="00471D86"/>
    <w:rsid w:val="00473818"/>
    <w:rsid w:val="004744C5"/>
    <w:rsid w:val="0047451B"/>
    <w:rsid w:val="00476C69"/>
    <w:rsid w:val="004874F2"/>
    <w:rsid w:val="00491BAE"/>
    <w:rsid w:val="00494A72"/>
    <w:rsid w:val="00495079"/>
    <w:rsid w:val="004952EA"/>
    <w:rsid w:val="00496E0A"/>
    <w:rsid w:val="004A00F1"/>
    <w:rsid w:val="004A0E08"/>
    <w:rsid w:val="004A7C3C"/>
    <w:rsid w:val="004B027F"/>
    <w:rsid w:val="004B0A2B"/>
    <w:rsid w:val="004B27A8"/>
    <w:rsid w:val="004B46A3"/>
    <w:rsid w:val="004B4DAC"/>
    <w:rsid w:val="004B51EA"/>
    <w:rsid w:val="004B6002"/>
    <w:rsid w:val="004C1E1A"/>
    <w:rsid w:val="004C27A3"/>
    <w:rsid w:val="004D2D83"/>
    <w:rsid w:val="004E3DE6"/>
    <w:rsid w:val="004E4FC5"/>
    <w:rsid w:val="004F0D4A"/>
    <w:rsid w:val="004F5BC8"/>
    <w:rsid w:val="005008C6"/>
    <w:rsid w:val="00500C77"/>
    <w:rsid w:val="00504184"/>
    <w:rsid w:val="00510E71"/>
    <w:rsid w:val="00515281"/>
    <w:rsid w:val="00516161"/>
    <w:rsid w:val="00525153"/>
    <w:rsid w:val="0052711C"/>
    <w:rsid w:val="00527E2C"/>
    <w:rsid w:val="00532812"/>
    <w:rsid w:val="005361A1"/>
    <w:rsid w:val="00537FB4"/>
    <w:rsid w:val="005401D5"/>
    <w:rsid w:val="005408A8"/>
    <w:rsid w:val="005502A9"/>
    <w:rsid w:val="00551821"/>
    <w:rsid w:val="0055647C"/>
    <w:rsid w:val="00561B12"/>
    <w:rsid w:val="005674CF"/>
    <w:rsid w:val="00572685"/>
    <w:rsid w:val="00573641"/>
    <w:rsid w:val="0057556F"/>
    <w:rsid w:val="00580579"/>
    <w:rsid w:val="0058193A"/>
    <w:rsid w:val="00584BD1"/>
    <w:rsid w:val="00586632"/>
    <w:rsid w:val="005905EA"/>
    <w:rsid w:val="005953F7"/>
    <w:rsid w:val="00597319"/>
    <w:rsid w:val="00597614"/>
    <w:rsid w:val="00597B0B"/>
    <w:rsid w:val="005A3F8B"/>
    <w:rsid w:val="005B01F1"/>
    <w:rsid w:val="005B07FE"/>
    <w:rsid w:val="005B1DE9"/>
    <w:rsid w:val="005B4750"/>
    <w:rsid w:val="005B49C4"/>
    <w:rsid w:val="005C280E"/>
    <w:rsid w:val="005C4912"/>
    <w:rsid w:val="005C4CED"/>
    <w:rsid w:val="005D146C"/>
    <w:rsid w:val="005D180E"/>
    <w:rsid w:val="005D2283"/>
    <w:rsid w:val="005D3FDA"/>
    <w:rsid w:val="005D4432"/>
    <w:rsid w:val="005D51D5"/>
    <w:rsid w:val="005D52E5"/>
    <w:rsid w:val="005E1D28"/>
    <w:rsid w:val="005E4FB7"/>
    <w:rsid w:val="005E5231"/>
    <w:rsid w:val="005E59EE"/>
    <w:rsid w:val="005E64FE"/>
    <w:rsid w:val="005E70C9"/>
    <w:rsid w:val="005F1654"/>
    <w:rsid w:val="005F499B"/>
    <w:rsid w:val="0060359C"/>
    <w:rsid w:val="00605930"/>
    <w:rsid w:val="00606F0F"/>
    <w:rsid w:val="006070AD"/>
    <w:rsid w:val="00607FC1"/>
    <w:rsid w:val="00610FB2"/>
    <w:rsid w:val="00612496"/>
    <w:rsid w:val="0061285C"/>
    <w:rsid w:val="0061446D"/>
    <w:rsid w:val="006153C6"/>
    <w:rsid w:val="00621CFE"/>
    <w:rsid w:val="006233BE"/>
    <w:rsid w:val="0062563C"/>
    <w:rsid w:val="00634C4B"/>
    <w:rsid w:val="00636316"/>
    <w:rsid w:val="0063700E"/>
    <w:rsid w:val="006402A7"/>
    <w:rsid w:val="00641F7D"/>
    <w:rsid w:val="00642ED1"/>
    <w:rsid w:val="006444BD"/>
    <w:rsid w:val="006448A9"/>
    <w:rsid w:val="006450D6"/>
    <w:rsid w:val="00646084"/>
    <w:rsid w:val="00646FD5"/>
    <w:rsid w:val="006479B8"/>
    <w:rsid w:val="006513DE"/>
    <w:rsid w:val="0065682C"/>
    <w:rsid w:val="00656C16"/>
    <w:rsid w:val="00656D4E"/>
    <w:rsid w:val="0066090E"/>
    <w:rsid w:val="00666317"/>
    <w:rsid w:val="00667014"/>
    <w:rsid w:val="00667AC4"/>
    <w:rsid w:val="00677470"/>
    <w:rsid w:val="00681B8F"/>
    <w:rsid w:val="00682CE4"/>
    <w:rsid w:val="00683362"/>
    <w:rsid w:val="00684126"/>
    <w:rsid w:val="0069091D"/>
    <w:rsid w:val="00693AC9"/>
    <w:rsid w:val="006943D4"/>
    <w:rsid w:val="00695D34"/>
    <w:rsid w:val="00696206"/>
    <w:rsid w:val="006A06DE"/>
    <w:rsid w:val="006A6992"/>
    <w:rsid w:val="006A7797"/>
    <w:rsid w:val="006B07E1"/>
    <w:rsid w:val="006B38AA"/>
    <w:rsid w:val="006B3B33"/>
    <w:rsid w:val="006B45D8"/>
    <w:rsid w:val="006B5BA5"/>
    <w:rsid w:val="006B5F24"/>
    <w:rsid w:val="006B6539"/>
    <w:rsid w:val="006B7369"/>
    <w:rsid w:val="006C0A36"/>
    <w:rsid w:val="006C6203"/>
    <w:rsid w:val="006C626F"/>
    <w:rsid w:val="006D1678"/>
    <w:rsid w:val="006D1AD3"/>
    <w:rsid w:val="006D3A70"/>
    <w:rsid w:val="006D428C"/>
    <w:rsid w:val="006E04D8"/>
    <w:rsid w:val="006E2057"/>
    <w:rsid w:val="006E2F36"/>
    <w:rsid w:val="006E4BB6"/>
    <w:rsid w:val="006E56FB"/>
    <w:rsid w:val="006F0899"/>
    <w:rsid w:val="006F22B7"/>
    <w:rsid w:val="006F320B"/>
    <w:rsid w:val="006F4123"/>
    <w:rsid w:val="006F693A"/>
    <w:rsid w:val="0070288B"/>
    <w:rsid w:val="007040BF"/>
    <w:rsid w:val="0071109E"/>
    <w:rsid w:val="00712ABF"/>
    <w:rsid w:val="007135F5"/>
    <w:rsid w:val="00720C43"/>
    <w:rsid w:val="007213EE"/>
    <w:rsid w:val="00722569"/>
    <w:rsid w:val="00722D04"/>
    <w:rsid w:val="007233BB"/>
    <w:rsid w:val="00726DBD"/>
    <w:rsid w:val="00727F9E"/>
    <w:rsid w:val="00731681"/>
    <w:rsid w:val="00731F58"/>
    <w:rsid w:val="00731FA4"/>
    <w:rsid w:val="0073218E"/>
    <w:rsid w:val="007343BB"/>
    <w:rsid w:val="0074075A"/>
    <w:rsid w:val="0074115E"/>
    <w:rsid w:val="007422D8"/>
    <w:rsid w:val="007423D7"/>
    <w:rsid w:val="00747325"/>
    <w:rsid w:val="00750298"/>
    <w:rsid w:val="007508D8"/>
    <w:rsid w:val="007520E6"/>
    <w:rsid w:val="00752EA8"/>
    <w:rsid w:val="0075376F"/>
    <w:rsid w:val="007614D8"/>
    <w:rsid w:val="0076264E"/>
    <w:rsid w:val="007642A5"/>
    <w:rsid w:val="00764D5D"/>
    <w:rsid w:val="007659EF"/>
    <w:rsid w:val="007733AB"/>
    <w:rsid w:val="00774214"/>
    <w:rsid w:val="0077452C"/>
    <w:rsid w:val="00774A76"/>
    <w:rsid w:val="00777029"/>
    <w:rsid w:val="00777845"/>
    <w:rsid w:val="00780444"/>
    <w:rsid w:val="00781525"/>
    <w:rsid w:val="00785009"/>
    <w:rsid w:val="0078546C"/>
    <w:rsid w:val="00790CA8"/>
    <w:rsid w:val="00794236"/>
    <w:rsid w:val="00797AEE"/>
    <w:rsid w:val="007A14B7"/>
    <w:rsid w:val="007A2129"/>
    <w:rsid w:val="007A3D6F"/>
    <w:rsid w:val="007A4CFE"/>
    <w:rsid w:val="007A6A26"/>
    <w:rsid w:val="007A72E5"/>
    <w:rsid w:val="007A7613"/>
    <w:rsid w:val="007B3C6A"/>
    <w:rsid w:val="007B4C35"/>
    <w:rsid w:val="007B5443"/>
    <w:rsid w:val="007B5602"/>
    <w:rsid w:val="007C1F2A"/>
    <w:rsid w:val="007C596D"/>
    <w:rsid w:val="007D2420"/>
    <w:rsid w:val="007D53DF"/>
    <w:rsid w:val="007E1AE2"/>
    <w:rsid w:val="007F11D4"/>
    <w:rsid w:val="00804CFF"/>
    <w:rsid w:val="00806A26"/>
    <w:rsid w:val="0081080F"/>
    <w:rsid w:val="0081266F"/>
    <w:rsid w:val="00814312"/>
    <w:rsid w:val="00815C3A"/>
    <w:rsid w:val="00817316"/>
    <w:rsid w:val="00817907"/>
    <w:rsid w:val="008204E8"/>
    <w:rsid w:val="00822526"/>
    <w:rsid w:val="00822FE8"/>
    <w:rsid w:val="008323C5"/>
    <w:rsid w:val="00840403"/>
    <w:rsid w:val="00840817"/>
    <w:rsid w:val="00842559"/>
    <w:rsid w:val="00843DD1"/>
    <w:rsid w:val="0084764D"/>
    <w:rsid w:val="00851C84"/>
    <w:rsid w:val="00856698"/>
    <w:rsid w:val="008610D1"/>
    <w:rsid w:val="0086334C"/>
    <w:rsid w:val="00863ADD"/>
    <w:rsid w:val="0086553C"/>
    <w:rsid w:val="008667DC"/>
    <w:rsid w:val="00867DEE"/>
    <w:rsid w:val="00871475"/>
    <w:rsid w:val="008745B3"/>
    <w:rsid w:val="00882EC6"/>
    <w:rsid w:val="00893743"/>
    <w:rsid w:val="0089380C"/>
    <w:rsid w:val="00893FA5"/>
    <w:rsid w:val="008A2240"/>
    <w:rsid w:val="008A3446"/>
    <w:rsid w:val="008A64B2"/>
    <w:rsid w:val="008A6DB9"/>
    <w:rsid w:val="008B0B85"/>
    <w:rsid w:val="008C222E"/>
    <w:rsid w:val="008C3F52"/>
    <w:rsid w:val="008C5535"/>
    <w:rsid w:val="008C7745"/>
    <w:rsid w:val="008D0DDD"/>
    <w:rsid w:val="008D6852"/>
    <w:rsid w:val="008E1079"/>
    <w:rsid w:val="008E1EA2"/>
    <w:rsid w:val="008E3CA5"/>
    <w:rsid w:val="008E7ED4"/>
    <w:rsid w:val="008F7768"/>
    <w:rsid w:val="008F7F1F"/>
    <w:rsid w:val="00900F89"/>
    <w:rsid w:val="00903F26"/>
    <w:rsid w:val="00904884"/>
    <w:rsid w:val="00907769"/>
    <w:rsid w:val="00911250"/>
    <w:rsid w:val="00914FD7"/>
    <w:rsid w:val="00916830"/>
    <w:rsid w:val="00924B70"/>
    <w:rsid w:val="00925943"/>
    <w:rsid w:val="009279E6"/>
    <w:rsid w:val="009352A5"/>
    <w:rsid w:val="009426AE"/>
    <w:rsid w:val="00944E33"/>
    <w:rsid w:val="00946975"/>
    <w:rsid w:val="0094759F"/>
    <w:rsid w:val="009515C4"/>
    <w:rsid w:val="009519B3"/>
    <w:rsid w:val="00954152"/>
    <w:rsid w:val="0095727B"/>
    <w:rsid w:val="00957B65"/>
    <w:rsid w:val="00957BA8"/>
    <w:rsid w:val="00960C78"/>
    <w:rsid w:val="009622AF"/>
    <w:rsid w:val="0096767A"/>
    <w:rsid w:val="00974E48"/>
    <w:rsid w:val="00980AE9"/>
    <w:rsid w:val="00980D15"/>
    <w:rsid w:val="009820C0"/>
    <w:rsid w:val="00982F4B"/>
    <w:rsid w:val="009871E7"/>
    <w:rsid w:val="009915AD"/>
    <w:rsid w:val="0099482E"/>
    <w:rsid w:val="00996430"/>
    <w:rsid w:val="009A090E"/>
    <w:rsid w:val="009A158A"/>
    <w:rsid w:val="009A16A1"/>
    <w:rsid w:val="009A5562"/>
    <w:rsid w:val="009A775F"/>
    <w:rsid w:val="009B0D25"/>
    <w:rsid w:val="009B3275"/>
    <w:rsid w:val="009B5183"/>
    <w:rsid w:val="009C1C0D"/>
    <w:rsid w:val="009C3598"/>
    <w:rsid w:val="009C444F"/>
    <w:rsid w:val="009C72CB"/>
    <w:rsid w:val="009D051C"/>
    <w:rsid w:val="009D07A5"/>
    <w:rsid w:val="009D2285"/>
    <w:rsid w:val="009D35DA"/>
    <w:rsid w:val="009D502D"/>
    <w:rsid w:val="009D5281"/>
    <w:rsid w:val="009E0514"/>
    <w:rsid w:val="009E12DE"/>
    <w:rsid w:val="009E1CB5"/>
    <w:rsid w:val="009E385B"/>
    <w:rsid w:val="009F062C"/>
    <w:rsid w:val="009F2AEB"/>
    <w:rsid w:val="009F5B0D"/>
    <w:rsid w:val="009F7CBD"/>
    <w:rsid w:val="00A01D4D"/>
    <w:rsid w:val="00A0594A"/>
    <w:rsid w:val="00A2429D"/>
    <w:rsid w:val="00A24608"/>
    <w:rsid w:val="00A257A8"/>
    <w:rsid w:val="00A25F79"/>
    <w:rsid w:val="00A31910"/>
    <w:rsid w:val="00A3255A"/>
    <w:rsid w:val="00A33E75"/>
    <w:rsid w:val="00A34565"/>
    <w:rsid w:val="00A34A77"/>
    <w:rsid w:val="00A45F3F"/>
    <w:rsid w:val="00A45F8E"/>
    <w:rsid w:val="00A46D4A"/>
    <w:rsid w:val="00A535F5"/>
    <w:rsid w:val="00A53A71"/>
    <w:rsid w:val="00A61EA1"/>
    <w:rsid w:val="00A63D1F"/>
    <w:rsid w:val="00A644BE"/>
    <w:rsid w:val="00A75B93"/>
    <w:rsid w:val="00A8143F"/>
    <w:rsid w:val="00A83B09"/>
    <w:rsid w:val="00A84158"/>
    <w:rsid w:val="00A92C0C"/>
    <w:rsid w:val="00A96DC6"/>
    <w:rsid w:val="00AA2980"/>
    <w:rsid w:val="00AA2F10"/>
    <w:rsid w:val="00AB0C7A"/>
    <w:rsid w:val="00AB1AE9"/>
    <w:rsid w:val="00AB264F"/>
    <w:rsid w:val="00AB5087"/>
    <w:rsid w:val="00AB60B5"/>
    <w:rsid w:val="00AB6544"/>
    <w:rsid w:val="00AB7491"/>
    <w:rsid w:val="00AC0250"/>
    <w:rsid w:val="00AC0DCF"/>
    <w:rsid w:val="00AC1F53"/>
    <w:rsid w:val="00AC3AEF"/>
    <w:rsid w:val="00AC4672"/>
    <w:rsid w:val="00AC55C7"/>
    <w:rsid w:val="00AC59FA"/>
    <w:rsid w:val="00AC7797"/>
    <w:rsid w:val="00AD12E3"/>
    <w:rsid w:val="00AD5B51"/>
    <w:rsid w:val="00AD6F6C"/>
    <w:rsid w:val="00AD7DC7"/>
    <w:rsid w:val="00AE10FF"/>
    <w:rsid w:val="00AE2232"/>
    <w:rsid w:val="00AE2DDC"/>
    <w:rsid w:val="00B004E5"/>
    <w:rsid w:val="00B01B65"/>
    <w:rsid w:val="00B04733"/>
    <w:rsid w:val="00B06E68"/>
    <w:rsid w:val="00B078C3"/>
    <w:rsid w:val="00B1634A"/>
    <w:rsid w:val="00B21B97"/>
    <w:rsid w:val="00B22DDF"/>
    <w:rsid w:val="00B2471F"/>
    <w:rsid w:val="00B27AAD"/>
    <w:rsid w:val="00B302B4"/>
    <w:rsid w:val="00B318BB"/>
    <w:rsid w:val="00B34FD1"/>
    <w:rsid w:val="00B352B9"/>
    <w:rsid w:val="00B3551D"/>
    <w:rsid w:val="00B3581B"/>
    <w:rsid w:val="00B36AE9"/>
    <w:rsid w:val="00B45AEB"/>
    <w:rsid w:val="00B5235D"/>
    <w:rsid w:val="00B56B89"/>
    <w:rsid w:val="00B57932"/>
    <w:rsid w:val="00B61505"/>
    <w:rsid w:val="00B6178C"/>
    <w:rsid w:val="00B62320"/>
    <w:rsid w:val="00B64DB5"/>
    <w:rsid w:val="00B772E7"/>
    <w:rsid w:val="00B800AE"/>
    <w:rsid w:val="00B807CD"/>
    <w:rsid w:val="00B85E4C"/>
    <w:rsid w:val="00B8600D"/>
    <w:rsid w:val="00B87A66"/>
    <w:rsid w:val="00B91CA0"/>
    <w:rsid w:val="00B963F8"/>
    <w:rsid w:val="00BA077D"/>
    <w:rsid w:val="00BA71FF"/>
    <w:rsid w:val="00BB3A71"/>
    <w:rsid w:val="00BB5653"/>
    <w:rsid w:val="00BB6700"/>
    <w:rsid w:val="00BC33B7"/>
    <w:rsid w:val="00BD0455"/>
    <w:rsid w:val="00BD263B"/>
    <w:rsid w:val="00BD3808"/>
    <w:rsid w:val="00BD4304"/>
    <w:rsid w:val="00BD4772"/>
    <w:rsid w:val="00BD6148"/>
    <w:rsid w:val="00BD6474"/>
    <w:rsid w:val="00BE2C72"/>
    <w:rsid w:val="00BE44E0"/>
    <w:rsid w:val="00BE6521"/>
    <w:rsid w:val="00BF1167"/>
    <w:rsid w:val="00BF1F46"/>
    <w:rsid w:val="00BF2755"/>
    <w:rsid w:val="00BF4E15"/>
    <w:rsid w:val="00C0118A"/>
    <w:rsid w:val="00C050A4"/>
    <w:rsid w:val="00C1175D"/>
    <w:rsid w:val="00C1367F"/>
    <w:rsid w:val="00C13A50"/>
    <w:rsid w:val="00C13CB6"/>
    <w:rsid w:val="00C15E77"/>
    <w:rsid w:val="00C17079"/>
    <w:rsid w:val="00C258CE"/>
    <w:rsid w:val="00C27320"/>
    <w:rsid w:val="00C30FCC"/>
    <w:rsid w:val="00C3315D"/>
    <w:rsid w:val="00C41576"/>
    <w:rsid w:val="00C425B6"/>
    <w:rsid w:val="00C50E55"/>
    <w:rsid w:val="00C52054"/>
    <w:rsid w:val="00C5632C"/>
    <w:rsid w:val="00C63108"/>
    <w:rsid w:val="00C703B2"/>
    <w:rsid w:val="00C73B18"/>
    <w:rsid w:val="00C73BD5"/>
    <w:rsid w:val="00C770AD"/>
    <w:rsid w:val="00C8010E"/>
    <w:rsid w:val="00C830C7"/>
    <w:rsid w:val="00C841CC"/>
    <w:rsid w:val="00C870DB"/>
    <w:rsid w:val="00C87F02"/>
    <w:rsid w:val="00C91993"/>
    <w:rsid w:val="00C94432"/>
    <w:rsid w:val="00C96074"/>
    <w:rsid w:val="00CA4C33"/>
    <w:rsid w:val="00CA6A77"/>
    <w:rsid w:val="00CA6B76"/>
    <w:rsid w:val="00CB4654"/>
    <w:rsid w:val="00CB7718"/>
    <w:rsid w:val="00CC00D9"/>
    <w:rsid w:val="00CC322F"/>
    <w:rsid w:val="00CD175A"/>
    <w:rsid w:val="00CD5EAF"/>
    <w:rsid w:val="00CE6EF4"/>
    <w:rsid w:val="00CF0035"/>
    <w:rsid w:val="00CF297A"/>
    <w:rsid w:val="00D00630"/>
    <w:rsid w:val="00D00D67"/>
    <w:rsid w:val="00D02936"/>
    <w:rsid w:val="00D0338A"/>
    <w:rsid w:val="00D04B59"/>
    <w:rsid w:val="00D05A30"/>
    <w:rsid w:val="00D127EA"/>
    <w:rsid w:val="00D15AC7"/>
    <w:rsid w:val="00D17DA4"/>
    <w:rsid w:val="00D21D04"/>
    <w:rsid w:val="00D25278"/>
    <w:rsid w:val="00D31A53"/>
    <w:rsid w:val="00D34BD0"/>
    <w:rsid w:val="00D35394"/>
    <w:rsid w:val="00D357DD"/>
    <w:rsid w:val="00D41E8C"/>
    <w:rsid w:val="00D566CD"/>
    <w:rsid w:val="00D57CE7"/>
    <w:rsid w:val="00D6038E"/>
    <w:rsid w:val="00D62BE0"/>
    <w:rsid w:val="00D62F85"/>
    <w:rsid w:val="00D64945"/>
    <w:rsid w:val="00D67851"/>
    <w:rsid w:val="00D70509"/>
    <w:rsid w:val="00D725F0"/>
    <w:rsid w:val="00D72D4D"/>
    <w:rsid w:val="00D751B0"/>
    <w:rsid w:val="00D765FF"/>
    <w:rsid w:val="00D76697"/>
    <w:rsid w:val="00D800A7"/>
    <w:rsid w:val="00D80794"/>
    <w:rsid w:val="00D81689"/>
    <w:rsid w:val="00D823FB"/>
    <w:rsid w:val="00D8433F"/>
    <w:rsid w:val="00D85761"/>
    <w:rsid w:val="00D92BC1"/>
    <w:rsid w:val="00D95162"/>
    <w:rsid w:val="00D95530"/>
    <w:rsid w:val="00D976BB"/>
    <w:rsid w:val="00DA149C"/>
    <w:rsid w:val="00DA176A"/>
    <w:rsid w:val="00DA26CB"/>
    <w:rsid w:val="00DA7022"/>
    <w:rsid w:val="00DA7FFA"/>
    <w:rsid w:val="00DB08E1"/>
    <w:rsid w:val="00DB1DA9"/>
    <w:rsid w:val="00DB320D"/>
    <w:rsid w:val="00DC3064"/>
    <w:rsid w:val="00DC5C95"/>
    <w:rsid w:val="00DC7A99"/>
    <w:rsid w:val="00DC7B61"/>
    <w:rsid w:val="00DD0501"/>
    <w:rsid w:val="00DD3FB8"/>
    <w:rsid w:val="00DD514A"/>
    <w:rsid w:val="00DD528A"/>
    <w:rsid w:val="00DD6BE1"/>
    <w:rsid w:val="00DE02DA"/>
    <w:rsid w:val="00DE0352"/>
    <w:rsid w:val="00DE0E8D"/>
    <w:rsid w:val="00DE1024"/>
    <w:rsid w:val="00DE2681"/>
    <w:rsid w:val="00DE3B12"/>
    <w:rsid w:val="00DF012F"/>
    <w:rsid w:val="00DF15B8"/>
    <w:rsid w:val="00DF18D9"/>
    <w:rsid w:val="00DF64F8"/>
    <w:rsid w:val="00DF6696"/>
    <w:rsid w:val="00E006C9"/>
    <w:rsid w:val="00E01A06"/>
    <w:rsid w:val="00E04040"/>
    <w:rsid w:val="00E04F4C"/>
    <w:rsid w:val="00E10361"/>
    <w:rsid w:val="00E10FE5"/>
    <w:rsid w:val="00E12E17"/>
    <w:rsid w:val="00E23870"/>
    <w:rsid w:val="00E32C51"/>
    <w:rsid w:val="00E33C97"/>
    <w:rsid w:val="00E345CF"/>
    <w:rsid w:val="00E40368"/>
    <w:rsid w:val="00E40631"/>
    <w:rsid w:val="00E40CD5"/>
    <w:rsid w:val="00E440E8"/>
    <w:rsid w:val="00E4507B"/>
    <w:rsid w:val="00E52642"/>
    <w:rsid w:val="00E5535B"/>
    <w:rsid w:val="00E60D37"/>
    <w:rsid w:val="00E620BE"/>
    <w:rsid w:val="00E63D37"/>
    <w:rsid w:val="00E6657E"/>
    <w:rsid w:val="00E71495"/>
    <w:rsid w:val="00E714C0"/>
    <w:rsid w:val="00E74762"/>
    <w:rsid w:val="00E76CDA"/>
    <w:rsid w:val="00E84462"/>
    <w:rsid w:val="00E85460"/>
    <w:rsid w:val="00EA04BE"/>
    <w:rsid w:val="00EA1407"/>
    <w:rsid w:val="00EA18F1"/>
    <w:rsid w:val="00EA19D2"/>
    <w:rsid w:val="00EA2AA3"/>
    <w:rsid w:val="00EA2EA1"/>
    <w:rsid w:val="00EA3B17"/>
    <w:rsid w:val="00EA43AB"/>
    <w:rsid w:val="00EA7A72"/>
    <w:rsid w:val="00EB01F6"/>
    <w:rsid w:val="00EB2194"/>
    <w:rsid w:val="00EB4F6F"/>
    <w:rsid w:val="00EB7FA3"/>
    <w:rsid w:val="00EC14D6"/>
    <w:rsid w:val="00EC4F25"/>
    <w:rsid w:val="00EC52D1"/>
    <w:rsid w:val="00EC6916"/>
    <w:rsid w:val="00ED5BD7"/>
    <w:rsid w:val="00ED708F"/>
    <w:rsid w:val="00EE17E2"/>
    <w:rsid w:val="00EE1FDB"/>
    <w:rsid w:val="00EE24A8"/>
    <w:rsid w:val="00EE2530"/>
    <w:rsid w:val="00EE2F3C"/>
    <w:rsid w:val="00EE2FD6"/>
    <w:rsid w:val="00EE719C"/>
    <w:rsid w:val="00F05528"/>
    <w:rsid w:val="00F0583F"/>
    <w:rsid w:val="00F07468"/>
    <w:rsid w:val="00F17731"/>
    <w:rsid w:val="00F17D87"/>
    <w:rsid w:val="00F20DA3"/>
    <w:rsid w:val="00F2130A"/>
    <w:rsid w:val="00F25D11"/>
    <w:rsid w:val="00F25D4D"/>
    <w:rsid w:val="00F27C21"/>
    <w:rsid w:val="00F36583"/>
    <w:rsid w:val="00F3698F"/>
    <w:rsid w:val="00F40385"/>
    <w:rsid w:val="00F41EFF"/>
    <w:rsid w:val="00F421D7"/>
    <w:rsid w:val="00F503BA"/>
    <w:rsid w:val="00F50DC4"/>
    <w:rsid w:val="00F52FCC"/>
    <w:rsid w:val="00F54A75"/>
    <w:rsid w:val="00F63A1C"/>
    <w:rsid w:val="00F7241C"/>
    <w:rsid w:val="00F72B14"/>
    <w:rsid w:val="00F72E13"/>
    <w:rsid w:val="00F77128"/>
    <w:rsid w:val="00F813B4"/>
    <w:rsid w:val="00F813D1"/>
    <w:rsid w:val="00F821C4"/>
    <w:rsid w:val="00F821DE"/>
    <w:rsid w:val="00F8291D"/>
    <w:rsid w:val="00F87271"/>
    <w:rsid w:val="00F8782A"/>
    <w:rsid w:val="00F87FA1"/>
    <w:rsid w:val="00F905CC"/>
    <w:rsid w:val="00F91240"/>
    <w:rsid w:val="00F930E4"/>
    <w:rsid w:val="00F944B0"/>
    <w:rsid w:val="00F965CC"/>
    <w:rsid w:val="00F9798A"/>
    <w:rsid w:val="00FA09D1"/>
    <w:rsid w:val="00FB0404"/>
    <w:rsid w:val="00FB0A42"/>
    <w:rsid w:val="00FB11DB"/>
    <w:rsid w:val="00FB2C7D"/>
    <w:rsid w:val="00FB4700"/>
    <w:rsid w:val="00FC1CC8"/>
    <w:rsid w:val="00FC5C7D"/>
    <w:rsid w:val="00FD02B2"/>
    <w:rsid w:val="00FD0F95"/>
    <w:rsid w:val="00FD4A18"/>
    <w:rsid w:val="00FE0727"/>
    <w:rsid w:val="00FE28E4"/>
    <w:rsid w:val="00FF3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310912"/>
  <w15:docId w15:val="{3CB9759A-C4DA-436D-8A68-C38725E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CA6A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PlaceholderText">
    <w:name w:val="Placeholder Text"/>
    <w:basedOn w:val="DefaultParagraphFont"/>
    <w:uiPriority w:val="99"/>
    <w:semiHidden/>
    <w:rsid w:val="0015274F"/>
    <w:rPr>
      <w:color w:val="808080"/>
    </w:rPr>
  </w:style>
  <w:style w:type="character" w:customStyle="1" w:styleId="Heading3Char">
    <w:name w:val="Heading 3 Char"/>
    <w:basedOn w:val="DefaultParagraphFont"/>
    <w:link w:val="Heading3"/>
    <w:rsid w:val="00CA6A7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rsid w:val="009279E6"/>
    <w:pPr>
      <w:spacing w:after="200" w:line="276" w:lineRule="auto"/>
      <w:ind w:left="720"/>
      <w:contextualSpacing/>
    </w:pPr>
    <w:rPr>
      <w:rFonts w:ascii="Calibri" w:hAnsi="Calibri"/>
      <w:sz w:val="22"/>
      <w:szCs w:val="22"/>
      <w:lang w:val="en-US" w:eastAsia="en-US"/>
    </w:rPr>
  </w:style>
  <w:style w:type="paragraph" w:customStyle="1" w:styleId="tvhtml">
    <w:name w:val="tv_html"/>
    <w:basedOn w:val="Normal"/>
    <w:rsid w:val="00E74762"/>
    <w:pPr>
      <w:spacing w:before="100" w:beforeAutospacing="1" w:after="100" w:afterAutospacing="1"/>
    </w:pPr>
  </w:style>
  <w:style w:type="character" w:customStyle="1" w:styleId="ListParagraphChar">
    <w:name w:val="List Paragraph Char"/>
    <w:aliases w:val="2 Char"/>
    <w:link w:val="ListParagraph"/>
    <w:uiPriority w:val="34"/>
    <w:locked/>
    <w:rsid w:val="00E74762"/>
    <w:rPr>
      <w:sz w:val="28"/>
      <w:szCs w:val="28"/>
    </w:rPr>
  </w:style>
  <w:style w:type="character" w:customStyle="1" w:styleId="apple-converted-space">
    <w:name w:val="apple-converted-space"/>
    <w:basedOn w:val="DefaultParagraphFont"/>
    <w:rsid w:val="000056F9"/>
  </w:style>
  <w:style w:type="character" w:customStyle="1" w:styleId="st1">
    <w:name w:val="st1"/>
    <w:basedOn w:val="DefaultParagraphFont"/>
    <w:rsid w:val="000056F9"/>
  </w:style>
  <w:style w:type="paragraph" w:styleId="BodyText2">
    <w:name w:val="Body Text 2"/>
    <w:basedOn w:val="Normal"/>
    <w:link w:val="BodyText2Char"/>
    <w:semiHidden/>
    <w:unhideWhenUsed/>
    <w:rsid w:val="00A34565"/>
    <w:pPr>
      <w:spacing w:after="120" w:line="480" w:lineRule="auto"/>
    </w:pPr>
  </w:style>
  <w:style w:type="character" w:customStyle="1" w:styleId="BodyText2Char">
    <w:name w:val="Body Text 2 Char"/>
    <w:basedOn w:val="DefaultParagraphFont"/>
    <w:link w:val="BodyText2"/>
    <w:semiHidden/>
    <w:rsid w:val="00A34565"/>
    <w:rPr>
      <w:sz w:val="24"/>
      <w:szCs w:val="24"/>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4040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858">
      <w:bodyDiv w:val="1"/>
      <w:marLeft w:val="0"/>
      <w:marRight w:val="0"/>
      <w:marTop w:val="0"/>
      <w:marBottom w:val="0"/>
      <w:divBdr>
        <w:top w:val="none" w:sz="0" w:space="0" w:color="auto"/>
        <w:left w:val="none" w:sz="0" w:space="0" w:color="auto"/>
        <w:bottom w:val="none" w:sz="0" w:space="0" w:color="auto"/>
        <w:right w:val="none" w:sz="0" w:space="0" w:color="auto"/>
      </w:divBdr>
    </w:div>
    <w:div w:id="123239174">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0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5933693">
          <w:marLeft w:val="0"/>
          <w:marRight w:val="0"/>
          <w:marTop w:val="480"/>
          <w:marBottom w:val="240"/>
          <w:divBdr>
            <w:top w:val="none" w:sz="0" w:space="0" w:color="auto"/>
            <w:left w:val="none" w:sz="0" w:space="0" w:color="auto"/>
            <w:bottom w:val="none" w:sz="0" w:space="0" w:color="auto"/>
            <w:right w:val="none" w:sz="0" w:space="0" w:color="auto"/>
          </w:divBdr>
        </w:div>
        <w:div w:id="1529417256">
          <w:marLeft w:val="0"/>
          <w:marRight w:val="0"/>
          <w:marTop w:val="0"/>
          <w:marBottom w:val="567"/>
          <w:divBdr>
            <w:top w:val="none" w:sz="0" w:space="0" w:color="auto"/>
            <w:left w:val="none" w:sz="0" w:space="0" w:color="auto"/>
            <w:bottom w:val="none" w:sz="0" w:space="0" w:color="auto"/>
            <w:right w:val="none" w:sz="0" w:space="0" w:color="auto"/>
          </w:divBdr>
        </w:div>
      </w:divsChild>
    </w:div>
    <w:div w:id="249853718">
      <w:bodyDiv w:val="1"/>
      <w:marLeft w:val="0"/>
      <w:marRight w:val="0"/>
      <w:marTop w:val="0"/>
      <w:marBottom w:val="0"/>
      <w:divBdr>
        <w:top w:val="none" w:sz="0" w:space="0" w:color="auto"/>
        <w:left w:val="none" w:sz="0" w:space="0" w:color="auto"/>
        <w:bottom w:val="none" w:sz="0" w:space="0" w:color="auto"/>
        <w:right w:val="none" w:sz="0" w:space="0" w:color="auto"/>
      </w:divBdr>
    </w:div>
    <w:div w:id="442767703">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611127457">
      <w:bodyDiv w:val="1"/>
      <w:marLeft w:val="0"/>
      <w:marRight w:val="0"/>
      <w:marTop w:val="0"/>
      <w:marBottom w:val="0"/>
      <w:divBdr>
        <w:top w:val="none" w:sz="0" w:space="0" w:color="auto"/>
        <w:left w:val="none" w:sz="0" w:space="0" w:color="auto"/>
        <w:bottom w:val="none" w:sz="0" w:space="0" w:color="auto"/>
        <w:right w:val="none" w:sz="0" w:space="0" w:color="auto"/>
      </w:divBdr>
    </w:div>
    <w:div w:id="641619425">
      <w:bodyDiv w:val="1"/>
      <w:marLeft w:val="0"/>
      <w:marRight w:val="0"/>
      <w:marTop w:val="0"/>
      <w:marBottom w:val="0"/>
      <w:divBdr>
        <w:top w:val="none" w:sz="0" w:space="0" w:color="auto"/>
        <w:left w:val="none" w:sz="0" w:space="0" w:color="auto"/>
        <w:bottom w:val="none" w:sz="0" w:space="0" w:color="auto"/>
        <w:right w:val="none" w:sz="0" w:space="0" w:color="auto"/>
      </w:divBdr>
    </w:div>
    <w:div w:id="776169943">
      <w:bodyDiv w:val="1"/>
      <w:marLeft w:val="0"/>
      <w:marRight w:val="0"/>
      <w:marTop w:val="0"/>
      <w:marBottom w:val="0"/>
      <w:divBdr>
        <w:top w:val="none" w:sz="0" w:space="0" w:color="auto"/>
        <w:left w:val="none" w:sz="0" w:space="0" w:color="auto"/>
        <w:bottom w:val="none" w:sz="0" w:space="0" w:color="auto"/>
        <w:right w:val="none" w:sz="0" w:space="0" w:color="auto"/>
      </w:divBdr>
    </w:div>
    <w:div w:id="799882078">
      <w:bodyDiv w:val="1"/>
      <w:marLeft w:val="0"/>
      <w:marRight w:val="0"/>
      <w:marTop w:val="0"/>
      <w:marBottom w:val="0"/>
      <w:divBdr>
        <w:top w:val="none" w:sz="0" w:space="0" w:color="auto"/>
        <w:left w:val="none" w:sz="0" w:space="0" w:color="auto"/>
        <w:bottom w:val="none" w:sz="0" w:space="0" w:color="auto"/>
        <w:right w:val="none" w:sz="0" w:space="0" w:color="auto"/>
      </w:divBdr>
    </w:div>
    <w:div w:id="919170918">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294096745">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430197695">
      <w:bodyDiv w:val="1"/>
      <w:marLeft w:val="0"/>
      <w:marRight w:val="0"/>
      <w:marTop w:val="0"/>
      <w:marBottom w:val="0"/>
      <w:divBdr>
        <w:top w:val="none" w:sz="0" w:space="0" w:color="auto"/>
        <w:left w:val="none" w:sz="0" w:space="0" w:color="auto"/>
        <w:bottom w:val="none" w:sz="0" w:space="0" w:color="auto"/>
        <w:right w:val="none" w:sz="0" w:space="0" w:color="auto"/>
      </w:divBdr>
      <w:divsChild>
        <w:div w:id="852039248">
          <w:marLeft w:val="0"/>
          <w:marRight w:val="0"/>
          <w:marTop w:val="480"/>
          <w:marBottom w:val="240"/>
          <w:divBdr>
            <w:top w:val="none" w:sz="0" w:space="0" w:color="auto"/>
            <w:left w:val="none" w:sz="0" w:space="0" w:color="auto"/>
            <w:bottom w:val="none" w:sz="0" w:space="0" w:color="auto"/>
            <w:right w:val="none" w:sz="0" w:space="0" w:color="auto"/>
          </w:divBdr>
        </w:div>
        <w:div w:id="407119767">
          <w:marLeft w:val="0"/>
          <w:marRight w:val="0"/>
          <w:marTop w:val="0"/>
          <w:marBottom w:val="567"/>
          <w:divBdr>
            <w:top w:val="none" w:sz="0" w:space="0" w:color="auto"/>
            <w:left w:val="none" w:sz="0" w:space="0" w:color="auto"/>
            <w:bottom w:val="none" w:sz="0" w:space="0" w:color="auto"/>
            <w:right w:val="none" w:sz="0" w:space="0" w:color="auto"/>
          </w:divBdr>
        </w:div>
      </w:divsChild>
    </w:div>
    <w:div w:id="1536843006">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751384143">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Apanuk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Meijer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0B04-CEF4-4234-AFF6-A5203103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1820</Words>
  <Characters>13097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14888</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Aija Timofejeva</dc:creator>
  <cp:lastModifiedBy>Roberts Meijers</cp:lastModifiedBy>
  <cp:revision>53</cp:revision>
  <cp:lastPrinted>2017-09-22T10:57:00Z</cp:lastPrinted>
  <dcterms:created xsi:type="dcterms:W3CDTF">2017-09-26T08:05:00Z</dcterms:created>
  <dcterms:modified xsi:type="dcterms:W3CDTF">2017-10-02T08:42:00Z</dcterms:modified>
  <cp:contentStatus/>
</cp:coreProperties>
</file>