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CDA3" w14:textId="77777777" w:rsidR="006C7199" w:rsidRPr="006C7199" w:rsidRDefault="006C7199" w:rsidP="006C7199">
      <w:pPr>
        <w:jc w:val="center"/>
        <w:rPr>
          <w:b/>
          <w:iCs w:val="0"/>
          <w:szCs w:val="28"/>
          <w:lang w:val="lv-LV" w:eastAsia="lv-LV"/>
        </w:rPr>
      </w:pPr>
      <w:bookmarkStart w:id="0" w:name="OLE_LINK3"/>
      <w:bookmarkStart w:id="1" w:name="OLE_LINK4"/>
      <w:bookmarkStart w:id="2" w:name="OLE_LINK7"/>
      <w:bookmarkStart w:id="3" w:name="OLE_LINK1"/>
      <w:bookmarkStart w:id="4" w:name="OLE_LINK2"/>
      <w:bookmarkStart w:id="5" w:name="OLE_LINK5"/>
      <w:bookmarkStart w:id="6" w:name="OLE_LINK6"/>
      <w:r w:rsidRPr="006C7199">
        <w:rPr>
          <w:b/>
          <w:iCs w:val="0"/>
          <w:szCs w:val="28"/>
          <w:lang w:val="lv-LV" w:eastAsia="lv-LV"/>
        </w:rPr>
        <w:t>Ministru kabineta noteikumu</w:t>
      </w:r>
      <w:bookmarkEnd w:id="0"/>
      <w:bookmarkEnd w:id="1"/>
      <w:bookmarkEnd w:id="2"/>
      <w:r w:rsidRPr="006C7199">
        <w:rPr>
          <w:b/>
          <w:iCs w:val="0"/>
          <w:szCs w:val="28"/>
          <w:lang w:val="lv-LV" w:eastAsia="lv-LV"/>
        </w:rPr>
        <w:t xml:space="preserve"> projekta „Grozījumi Ministru kabineta 2010.gada 21.septembra noteikumos Nr.899 „Likuma „Par iedzīvotāju ienākuma nodokli” normu piemērošanas kārtība”” </w:t>
      </w:r>
    </w:p>
    <w:p w14:paraId="1CDCDBC8" w14:textId="77777777" w:rsidR="006C7199" w:rsidRPr="006C7199" w:rsidRDefault="006C7199" w:rsidP="006C7199">
      <w:pPr>
        <w:jc w:val="center"/>
        <w:rPr>
          <w:b/>
          <w:iCs w:val="0"/>
          <w:szCs w:val="28"/>
          <w:lang w:val="lv-LV" w:eastAsia="lv-LV"/>
        </w:rPr>
      </w:pPr>
      <w:r w:rsidRPr="006C7199">
        <w:rPr>
          <w:b/>
          <w:iCs w:val="0"/>
          <w:szCs w:val="28"/>
          <w:lang w:val="lv-LV" w:eastAsia="lv-LV"/>
        </w:rPr>
        <w:t xml:space="preserve">sākotnējās ietekmes novērtējuma </w:t>
      </w:r>
      <w:smartTag w:uri="schemas-tilde-lv/tildestengine" w:element="veidnes">
        <w:smartTagPr>
          <w:attr w:name="id" w:val="-1"/>
          <w:attr w:name="baseform" w:val="ziņojums"/>
          <w:attr w:name="text" w:val="ziņojums"/>
        </w:smartTagPr>
        <w:r w:rsidRPr="006C7199">
          <w:rPr>
            <w:b/>
            <w:iCs w:val="0"/>
            <w:szCs w:val="28"/>
            <w:lang w:val="lv-LV" w:eastAsia="lv-LV"/>
          </w:rPr>
          <w:t>ziņojums</w:t>
        </w:r>
      </w:smartTag>
      <w:bookmarkEnd w:id="3"/>
      <w:bookmarkEnd w:id="4"/>
      <w:r w:rsidRPr="006C7199">
        <w:rPr>
          <w:b/>
          <w:iCs w:val="0"/>
          <w:szCs w:val="28"/>
          <w:lang w:val="lv-LV" w:eastAsia="lv-LV"/>
        </w:rPr>
        <w:t xml:space="preserve"> (anotācija)</w:t>
      </w:r>
      <w:bookmarkEnd w:id="5"/>
      <w:bookmarkEnd w:id="6"/>
    </w:p>
    <w:p w14:paraId="544EB2DE" w14:textId="77777777" w:rsidR="006F307C" w:rsidRPr="006F307C" w:rsidRDefault="006F307C" w:rsidP="006F307C">
      <w:pPr>
        <w:ind w:firstLine="374"/>
        <w:jc w:val="center"/>
        <w:rPr>
          <w:iCs w:val="0"/>
          <w:sz w:val="24"/>
          <w:lang w:val="lv-LV"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2961"/>
        <w:gridCol w:w="5953"/>
      </w:tblGrid>
      <w:tr w:rsidR="006F307C" w:rsidRPr="006F307C" w14:paraId="6BCA7D9D" w14:textId="77777777" w:rsidTr="00A82DEB">
        <w:trPr>
          <w:trHeight w:val="419"/>
        </w:trPr>
        <w:tc>
          <w:tcPr>
            <w:tcW w:w="5000" w:type="pct"/>
            <w:gridSpan w:val="3"/>
            <w:vAlign w:val="center"/>
          </w:tcPr>
          <w:p w14:paraId="6A30C38A" w14:textId="77777777" w:rsidR="006F307C" w:rsidRPr="007809EE" w:rsidRDefault="006F307C" w:rsidP="000C31A2">
            <w:pPr>
              <w:ind w:left="57" w:right="57"/>
              <w:jc w:val="center"/>
              <w:rPr>
                <w:bCs/>
                <w:iCs w:val="0"/>
                <w:szCs w:val="28"/>
                <w:lang w:val="lv-LV"/>
              </w:rPr>
            </w:pPr>
            <w:r w:rsidRPr="007809EE">
              <w:rPr>
                <w:b/>
                <w:bCs/>
                <w:iCs w:val="0"/>
                <w:szCs w:val="28"/>
                <w:lang w:val="lv-LV"/>
              </w:rPr>
              <w:t>I. Tiesību akta projekta izstrādes nepieciešamība</w:t>
            </w:r>
          </w:p>
        </w:tc>
      </w:tr>
      <w:tr w:rsidR="006F307C" w:rsidRPr="006F307C" w14:paraId="3A5FF276" w14:textId="77777777" w:rsidTr="00A82DEB">
        <w:trPr>
          <w:trHeight w:val="415"/>
        </w:trPr>
        <w:tc>
          <w:tcPr>
            <w:tcW w:w="234" w:type="pct"/>
          </w:tcPr>
          <w:p w14:paraId="5241F33C"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t>1.</w:t>
            </w:r>
          </w:p>
        </w:tc>
        <w:tc>
          <w:tcPr>
            <w:tcW w:w="1583" w:type="pct"/>
          </w:tcPr>
          <w:p w14:paraId="471D20BC" w14:textId="77777777" w:rsidR="006F307C" w:rsidRPr="007809EE" w:rsidRDefault="006F307C" w:rsidP="000C31A2">
            <w:pPr>
              <w:ind w:left="57" w:right="57"/>
              <w:jc w:val="both"/>
              <w:rPr>
                <w:iCs w:val="0"/>
                <w:szCs w:val="28"/>
                <w:lang w:val="lv-LV" w:eastAsia="lv-LV"/>
              </w:rPr>
            </w:pPr>
            <w:r w:rsidRPr="007809EE">
              <w:rPr>
                <w:iCs w:val="0"/>
                <w:szCs w:val="28"/>
                <w:lang w:val="lv-LV" w:eastAsia="lv-LV"/>
              </w:rPr>
              <w:t>Pamatojums</w:t>
            </w:r>
          </w:p>
        </w:tc>
        <w:tc>
          <w:tcPr>
            <w:tcW w:w="3183" w:type="pct"/>
          </w:tcPr>
          <w:p w14:paraId="02EDE946" w14:textId="593AEB28" w:rsidR="00A93CFB" w:rsidRPr="007809EE" w:rsidRDefault="006C7199" w:rsidP="006C7199">
            <w:pPr>
              <w:jc w:val="both"/>
              <w:rPr>
                <w:iCs w:val="0"/>
                <w:szCs w:val="28"/>
                <w:lang w:val="lv-LV" w:eastAsia="lv-LV"/>
              </w:rPr>
            </w:pPr>
            <w:r w:rsidRPr="007809EE">
              <w:rPr>
                <w:iCs w:val="0"/>
                <w:szCs w:val="28"/>
                <w:lang w:val="lv-LV" w:eastAsia="lv-LV"/>
              </w:rPr>
              <w:t xml:space="preserve">Ministru kabineta noteikumu projekta </w:t>
            </w:r>
            <w:r w:rsidRPr="007809EE">
              <w:rPr>
                <w:bCs/>
                <w:iCs w:val="0"/>
                <w:szCs w:val="28"/>
                <w:lang w:val="lv-LV" w:eastAsia="lv-LV"/>
              </w:rPr>
              <w:t xml:space="preserve">„Grozījumi Ministru kabineta 2010.gada 21.septembra noteikumos Nr.899 „Likuma „Par iedzīvotāju ienākuma nodokli” normu piemērošanas kārtība”” </w:t>
            </w:r>
            <w:r w:rsidRPr="007809EE">
              <w:rPr>
                <w:iCs w:val="0"/>
                <w:szCs w:val="28"/>
                <w:lang w:val="lv-LV" w:eastAsia="lv-LV"/>
              </w:rPr>
              <w:t xml:space="preserve">(turpmāk – </w:t>
            </w:r>
            <w:r w:rsidR="008A40BB" w:rsidRPr="007809EE">
              <w:rPr>
                <w:iCs w:val="0"/>
                <w:szCs w:val="28"/>
                <w:lang w:val="lv-LV" w:eastAsia="lv-LV"/>
              </w:rPr>
              <w:t>N</w:t>
            </w:r>
            <w:r w:rsidRPr="007809EE">
              <w:rPr>
                <w:iCs w:val="0"/>
                <w:szCs w:val="28"/>
                <w:lang w:val="lv-LV" w:eastAsia="lv-LV"/>
              </w:rPr>
              <w:t>oteikumu projekts) izstrādes nepieciešamību noteica</w:t>
            </w:r>
            <w:r w:rsidR="00A93CFB" w:rsidRPr="007809EE">
              <w:rPr>
                <w:iCs w:val="0"/>
                <w:szCs w:val="28"/>
                <w:lang w:val="lv-LV" w:eastAsia="lv-LV"/>
              </w:rPr>
              <w:t>:</w:t>
            </w:r>
          </w:p>
          <w:p w14:paraId="51878231" w14:textId="19CA3295" w:rsidR="00A93CFB" w:rsidRPr="007809EE" w:rsidRDefault="00A93CFB" w:rsidP="00E02DD2">
            <w:pPr>
              <w:ind w:firstLine="224"/>
              <w:jc w:val="both"/>
              <w:rPr>
                <w:iCs w:val="0"/>
                <w:szCs w:val="28"/>
                <w:lang w:val="lv-LV" w:eastAsia="lv-LV"/>
              </w:rPr>
            </w:pPr>
            <w:r w:rsidRPr="007809EE">
              <w:rPr>
                <w:iCs w:val="0"/>
                <w:szCs w:val="28"/>
                <w:lang w:val="lv-LV" w:eastAsia="lv-LV"/>
              </w:rPr>
              <w:t>- Ministru kabineta 2017.gada 24.maija rīkojums Nr.245 “Par Valsts nodokļu politikas pamatnostādnēm 2018.-2021.gadam””;</w:t>
            </w:r>
          </w:p>
          <w:p w14:paraId="7D034562" w14:textId="795265A4" w:rsidR="00197984" w:rsidRPr="007809EE" w:rsidRDefault="00197984" w:rsidP="00E02DD2">
            <w:pPr>
              <w:ind w:firstLine="224"/>
              <w:jc w:val="both"/>
              <w:rPr>
                <w:iCs w:val="0"/>
                <w:szCs w:val="28"/>
                <w:lang w:val="lv-LV" w:eastAsia="lv-LV"/>
              </w:rPr>
            </w:pPr>
            <w:r w:rsidRPr="007809EE">
              <w:rPr>
                <w:iCs w:val="0"/>
                <w:szCs w:val="28"/>
                <w:lang w:val="lv-LV" w:eastAsia="lv-LV"/>
              </w:rPr>
              <w:t>- Ministru kabineta 2017.gada 11.jūlija sēdes protokola Nr.35 30.§ likumprojekts “Grozījumi likumā “Par iedzīvotāju ienākuma nodokli”” 7.punkts;</w:t>
            </w:r>
          </w:p>
          <w:p w14:paraId="45A086CB" w14:textId="604B2F71" w:rsidR="006F307C" w:rsidRPr="007809EE" w:rsidRDefault="00A93CFB" w:rsidP="008A40BB">
            <w:pPr>
              <w:ind w:firstLine="224"/>
              <w:jc w:val="both"/>
              <w:rPr>
                <w:iCs w:val="0"/>
                <w:szCs w:val="28"/>
                <w:lang w:val="lv-LV" w:eastAsia="lv-LV"/>
              </w:rPr>
            </w:pPr>
            <w:r w:rsidRPr="007809EE">
              <w:rPr>
                <w:iCs w:val="0"/>
                <w:szCs w:val="28"/>
                <w:lang w:val="lv-LV" w:eastAsia="lv-LV"/>
              </w:rPr>
              <w:t xml:space="preserve">- Saeimā </w:t>
            </w:r>
            <w:r w:rsidR="006C7199" w:rsidRPr="007809EE">
              <w:rPr>
                <w:iCs w:val="0"/>
                <w:szCs w:val="28"/>
                <w:lang w:val="lv-LV" w:eastAsia="lv-LV"/>
              </w:rPr>
              <w:t>2017.gada 28.jūlijā pieņemtais likums „Grozījumi likumā „Par iedzīvotāju ienākuma nodokli””, kurš stāsies spēkā 2018.gada 1.janvārī.</w:t>
            </w:r>
          </w:p>
        </w:tc>
      </w:tr>
      <w:tr w:rsidR="006F307C" w:rsidRPr="000C31A2" w14:paraId="2B6BF3D4" w14:textId="77777777" w:rsidTr="00A82DEB">
        <w:trPr>
          <w:trHeight w:val="472"/>
        </w:trPr>
        <w:tc>
          <w:tcPr>
            <w:tcW w:w="234" w:type="pct"/>
          </w:tcPr>
          <w:p w14:paraId="0DE5751B"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t>2.</w:t>
            </w:r>
          </w:p>
        </w:tc>
        <w:tc>
          <w:tcPr>
            <w:tcW w:w="1583" w:type="pct"/>
          </w:tcPr>
          <w:p w14:paraId="36CA574A" w14:textId="77777777" w:rsidR="006F307C" w:rsidRPr="007809EE" w:rsidRDefault="006F307C" w:rsidP="000C31A2">
            <w:pPr>
              <w:tabs>
                <w:tab w:val="left" w:pos="170"/>
              </w:tabs>
              <w:ind w:left="57" w:right="57"/>
              <w:rPr>
                <w:iCs w:val="0"/>
                <w:szCs w:val="28"/>
                <w:lang w:val="lv-LV" w:eastAsia="lv-LV"/>
              </w:rPr>
            </w:pPr>
            <w:r w:rsidRPr="007809EE">
              <w:rPr>
                <w:iCs w:val="0"/>
                <w:szCs w:val="28"/>
                <w:lang w:val="lv-LV" w:eastAsia="lv-LV"/>
              </w:rPr>
              <w:t>Pašreizējā situācija un problēmas, kuru risināšanai tiesību akta projekts izstrādāts, tiesiskā regulējuma mērķis un būtība</w:t>
            </w:r>
          </w:p>
        </w:tc>
        <w:tc>
          <w:tcPr>
            <w:tcW w:w="3183" w:type="pct"/>
          </w:tcPr>
          <w:p w14:paraId="34E38165" w14:textId="07CEF60C" w:rsidR="00692C65" w:rsidRPr="007809EE" w:rsidRDefault="00527ABA" w:rsidP="00EC77F1">
            <w:pPr>
              <w:tabs>
                <w:tab w:val="left" w:pos="2127"/>
                <w:tab w:val="center" w:pos="4153"/>
                <w:tab w:val="left" w:pos="6096"/>
                <w:tab w:val="right" w:pos="8306"/>
              </w:tabs>
              <w:ind w:left="79" w:right="142" w:firstLine="570"/>
              <w:jc w:val="both"/>
              <w:rPr>
                <w:iCs w:val="0"/>
                <w:szCs w:val="28"/>
                <w:lang w:val="lv-LV" w:eastAsia="lv-LV"/>
              </w:rPr>
            </w:pPr>
            <w:r w:rsidRPr="007809EE">
              <w:rPr>
                <w:iCs w:val="0"/>
                <w:szCs w:val="28"/>
                <w:lang w:val="lv-LV" w:eastAsia="lv-LV"/>
              </w:rPr>
              <w:t>Lai nodorošinātu vienveidīgus un viennozīmīgi izprotamus 2017.gada 28.jūlijā Saeimā pieņemtā likuma „Grozījumi likumā „Par iedzīvotāju ienākuma nodokli””</w:t>
            </w:r>
            <w:r w:rsidR="008A40BB" w:rsidRPr="007809EE">
              <w:rPr>
                <w:szCs w:val="28"/>
              </w:rPr>
              <w:t xml:space="preserve"> </w:t>
            </w:r>
            <w:r w:rsidR="008A40BB" w:rsidRPr="007809EE">
              <w:rPr>
                <w:iCs w:val="0"/>
                <w:szCs w:val="28"/>
                <w:lang w:val="lv-LV" w:eastAsia="lv-LV"/>
              </w:rPr>
              <w:t>(turpmāk – grozījumi IIN likumā)</w:t>
            </w:r>
            <w:r w:rsidRPr="007809EE">
              <w:rPr>
                <w:iCs w:val="0"/>
                <w:szCs w:val="28"/>
                <w:lang w:val="lv-LV" w:eastAsia="lv-LV"/>
              </w:rPr>
              <w:t xml:space="preserve"> tiesību normu piemērošanas principus, </w:t>
            </w:r>
            <w:r w:rsidR="007C6678" w:rsidRPr="007809EE">
              <w:rPr>
                <w:iCs w:val="0"/>
                <w:szCs w:val="28"/>
                <w:lang w:val="lv-LV" w:eastAsia="lv-LV"/>
              </w:rPr>
              <w:t>N</w:t>
            </w:r>
            <w:r w:rsidR="00436946" w:rsidRPr="007809EE">
              <w:rPr>
                <w:iCs w:val="0"/>
                <w:szCs w:val="28"/>
                <w:lang w:val="lv-LV" w:eastAsia="lv-LV"/>
              </w:rPr>
              <w:t xml:space="preserve">oteikumu projektā ir iekļauts regulējums, kas paskaidro </w:t>
            </w:r>
            <w:r w:rsidRPr="007809EE">
              <w:rPr>
                <w:iCs w:val="0"/>
                <w:szCs w:val="28"/>
                <w:lang w:val="lv-LV" w:eastAsia="lv-LV"/>
              </w:rPr>
              <w:t xml:space="preserve">jauno tiesību normu </w:t>
            </w:r>
            <w:r w:rsidR="00436946" w:rsidRPr="007809EE">
              <w:rPr>
                <w:iCs w:val="0"/>
                <w:szCs w:val="28"/>
                <w:lang w:val="lv-LV" w:eastAsia="lv-LV"/>
              </w:rPr>
              <w:t>piemērošanu.</w:t>
            </w:r>
          </w:p>
          <w:p w14:paraId="19473025" w14:textId="5D2F04A6" w:rsidR="00503CE7" w:rsidRPr="007809EE" w:rsidRDefault="001B482F" w:rsidP="007809EE">
            <w:pPr>
              <w:tabs>
                <w:tab w:val="left" w:pos="2127"/>
                <w:tab w:val="center" w:pos="4153"/>
                <w:tab w:val="left" w:pos="6096"/>
                <w:tab w:val="right" w:pos="8306"/>
              </w:tabs>
              <w:spacing w:before="120" w:after="120"/>
              <w:ind w:left="79" w:right="142" w:firstLine="6"/>
              <w:jc w:val="center"/>
              <w:rPr>
                <w:i/>
                <w:iCs w:val="0"/>
                <w:szCs w:val="28"/>
                <w:lang w:val="lv-LV" w:eastAsia="lv-LV"/>
              </w:rPr>
            </w:pPr>
            <w:r w:rsidRPr="007809EE">
              <w:rPr>
                <w:i/>
                <w:iCs w:val="0"/>
                <w:szCs w:val="28"/>
                <w:lang w:val="lv-LV" w:eastAsia="lv-LV"/>
              </w:rPr>
              <w:t>Saistībā ar i</w:t>
            </w:r>
            <w:r w:rsidR="00503CE7" w:rsidRPr="007809EE">
              <w:rPr>
                <w:i/>
                <w:iCs w:val="0"/>
                <w:szCs w:val="28"/>
                <w:lang w:val="lv-LV" w:eastAsia="lv-LV"/>
              </w:rPr>
              <w:t>zložu un azartspēļu laimesti</w:t>
            </w:r>
            <w:r w:rsidRPr="007809EE">
              <w:rPr>
                <w:i/>
                <w:iCs w:val="0"/>
                <w:szCs w:val="28"/>
                <w:lang w:val="lv-LV" w:eastAsia="lv-LV"/>
              </w:rPr>
              <w:t>em</w:t>
            </w:r>
          </w:p>
          <w:p w14:paraId="7CE672EC" w14:textId="1C170449" w:rsidR="00A82DEB" w:rsidRPr="00A82DEB" w:rsidRDefault="00FC5580" w:rsidP="00A82DEB">
            <w:pPr>
              <w:tabs>
                <w:tab w:val="left" w:pos="2127"/>
                <w:tab w:val="center" w:pos="4153"/>
                <w:tab w:val="left" w:pos="6096"/>
                <w:tab w:val="right" w:pos="8306"/>
              </w:tabs>
              <w:ind w:left="79" w:right="142" w:firstLine="570"/>
              <w:jc w:val="both"/>
              <w:rPr>
                <w:iCs w:val="0"/>
                <w:szCs w:val="28"/>
                <w:lang w:val="lv-LV" w:eastAsia="lv-LV"/>
              </w:rPr>
            </w:pPr>
            <w:r w:rsidRPr="007809EE">
              <w:rPr>
                <w:iCs w:val="0"/>
                <w:szCs w:val="28"/>
                <w:lang w:val="lv-LV" w:eastAsia="lv-LV"/>
              </w:rPr>
              <w:t>Šobrīd izložu un azartspēļu laimesti ar iedzīvotāju ienākumu nodokli netiek aplikti.</w:t>
            </w:r>
            <w:r w:rsidR="00692C65" w:rsidRPr="007809EE">
              <w:rPr>
                <w:iCs w:val="0"/>
                <w:szCs w:val="28"/>
                <w:lang w:val="lv-LV" w:eastAsia="lv-LV"/>
              </w:rPr>
              <w:t xml:space="preserve"> Taču ar grozījumiem </w:t>
            </w:r>
            <w:r w:rsidR="008D048C" w:rsidRPr="007809EE">
              <w:rPr>
                <w:iCs w:val="0"/>
                <w:szCs w:val="28"/>
                <w:lang w:val="lv-LV" w:eastAsia="lv-LV"/>
              </w:rPr>
              <w:t xml:space="preserve">IIN </w:t>
            </w:r>
            <w:r w:rsidR="00692C65" w:rsidRPr="007809EE">
              <w:rPr>
                <w:iCs w:val="0"/>
                <w:szCs w:val="28"/>
                <w:lang w:val="lv-LV" w:eastAsia="lv-LV"/>
              </w:rPr>
              <w:t>likumā tiek noteikts, ka sākot ar 2018.gada 1.janvāri, ar iedzīvotāju ienākumu nodokli apli</w:t>
            </w:r>
            <w:r w:rsidR="00503CE7" w:rsidRPr="007809EE">
              <w:rPr>
                <w:iCs w:val="0"/>
                <w:szCs w:val="28"/>
                <w:lang w:val="lv-LV" w:eastAsia="lv-LV"/>
              </w:rPr>
              <w:t>e</w:t>
            </w:r>
            <w:r w:rsidR="00692C65" w:rsidRPr="007809EE">
              <w:rPr>
                <w:iCs w:val="0"/>
                <w:szCs w:val="28"/>
                <w:lang w:val="lv-LV" w:eastAsia="lv-LV"/>
              </w:rPr>
              <w:t>k izložu un azartspēļu laimest</w:t>
            </w:r>
            <w:r w:rsidR="00503CE7" w:rsidRPr="007809EE">
              <w:rPr>
                <w:iCs w:val="0"/>
                <w:szCs w:val="28"/>
                <w:lang w:val="lv-LV" w:eastAsia="lv-LV"/>
              </w:rPr>
              <w:t>us</w:t>
            </w:r>
            <w:r w:rsidR="00692C65" w:rsidRPr="007809EE">
              <w:rPr>
                <w:iCs w:val="0"/>
                <w:szCs w:val="28"/>
                <w:lang w:val="lv-LV" w:eastAsia="lv-LV"/>
              </w:rPr>
              <w:t xml:space="preserve">, kuru vērtība pārsniedz 3000 </w:t>
            </w:r>
            <w:r w:rsidR="00692C65" w:rsidRPr="007809EE">
              <w:rPr>
                <w:i/>
                <w:iCs w:val="0"/>
                <w:szCs w:val="28"/>
                <w:lang w:val="lv-LV" w:eastAsia="lv-LV"/>
              </w:rPr>
              <w:t>euro</w:t>
            </w:r>
            <w:r w:rsidR="00692C65" w:rsidRPr="007809EE">
              <w:rPr>
                <w:iCs w:val="0"/>
                <w:szCs w:val="28"/>
                <w:lang w:val="lv-LV" w:eastAsia="lv-LV"/>
              </w:rPr>
              <w:t xml:space="preserve">. Līdz ar to </w:t>
            </w:r>
            <w:r w:rsidR="007C6678" w:rsidRPr="007809EE">
              <w:rPr>
                <w:iCs w:val="0"/>
                <w:szCs w:val="28"/>
                <w:lang w:val="lv-LV" w:eastAsia="lv-LV"/>
              </w:rPr>
              <w:t>N</w:t>
            </w:r>
            <w:r w:rsidR="00692C65" w:rsidRPr="007809EE">
              <w:rPr>
                <w:iCs w:val="0"/>
                <w:szCs w:val="28"/>
                <w:lang w:val="lv-LV" w:eastAsia="lv-LV"/>
              </w:rPr>
              <w:t>oteikumu projektā ar piemēriem tiek skaidrota</w:t>
            </w:r>
            <w:r w:rsidR="00503CE7" w:rsidRPr="007809EE">
              <w:rPr>
                <w:iCs w:val="0"/>
                <w:szCs w:val="28"/>
                <w:lang w:val="lv-LV" w:eastAsia="lv-LV"/>
              </w:rPr>
              <w:t>s</w:t>
            </w:r>
            <w:r w:rsidR="00692C65" w:rsidRPr="007809EE">
              <w:rPr>
                <w:iCs w:val="0"/>
                <w:szCs w:val="28"/>
                <w:lang w:val="lv-LV" w:eastAsia="lv-LV"/>
              </w:rPr>
              <w:t xml:space="preserve"> izložu un azartspēļu laimest</w:t>
            </w:r>
            <w:r w:rsidR="009936DD" w:rsidRPr="007809EE">
              <w:rPr>
                <w:iCs w:val="0"/>
                <w:szCs w:val="28"/>
                <w:lang w:val="lv-LV" w:eastAsia="lv-LV"/>
              </w:rPr>
              <w:t>iem piemērojamās likmes un</w:t>
            </w:r>
            <w:r w:rsidR="00692C65" w:rsidRPr="007809EE">
              <w:rPr>
                <w:iCs w:val="0"/>
                <w:szCs w:val="28"/>
                <w:lang w:val="lv-LV" w:eastAsia="lv-LV"/>
              </w:rPr>
              <w:t xml:space="preserve"> nodok</w:t>
            </w:r>
            <w:r w:rsidR="00503CE7" w:rsidRPr="007809EE">
              <w:rPr>
                <w:iCs w:val="0"/>
                <w:szCs w:val="28"/>
                <w:lang w:val="lv-LV" w:eastAsia="lv-LV"/>
              </w:rPr>
              <w:t>ļa</w:t>
            </w:r>
            <w:r w:rsidR="00692C65" w:rsidRPr="007809EE">
              <w:rPr>
                <w:iCs w:val="0"/>
                <w:szCs w:val="28"/>
                <w:lang w:val="lv-LV" w:eastAsia="lv-LV"/>
              </w:rPr>
              <w:t xml:space="preserve"> </w:t>
            </w:r>
            <w:r w:rsidR="00503CE7" w:rsidRPr="007809EE">
              <w:rPr>
                <w:iCs w:val="0"/>
                <w:szCs w:val="28"/>
                <w:lang w:val="lv-LV" w:eastAsia="lv-LV"/>
              </w:rPr>
              <w:t xml:space="preserve">uzlikšanas </w:t>
            </w:r>
            <w:r w:rsidR="00692C65" w:rsidRPr="007809EE">
              <w:rPr>
                <w:iCs w:val="0"/>
                <w:szCs w:val="28"/>
                <w:lang w:val="lv-LV" w:eastAsia="lv-LV"/>
              </w:rPr>
              <w:t xml:space="preserve">kārtība </w:t>
            </w:r>
            <w:r w:rsidR="00503CE7" w:rsidRPr="007809EE">
              <w:rPr>
                <w:iCs w:val="0"/>
                <w:szCs w:val="28"/>
                <w:lang w:val="lv-LV" w:eastAsia="lv-LV"/>
              </w:rPr>
              <w:t>atsevišķās</w:t>
            </w:r>
            <w:r w:rsidR="00692C65" w:rsidRPr="007809EE">
              <w:rPr>
                <w:iCs w:val="0"/>
                <w:szCs w:val="28"/>
                <w:lang w:val="lv-LV" w:eastAsia="lv-LV"/>
              </w:rPr>
              <w:t xml:space="preserve"> iespējamās situācijās</w:t>
            </w:r>
            <w:r w:rsidR="003F44C6" w:rsidRPr="007809EE">
              <w:rPr>
                <w:iCs w:val="0"/>
                <w:szCs w:val="28"/>
                <w:lang w:val="lv-LV" w:eastAsia="lv-LV"/>
              </w:rPr>
              <w:t>, piemēram, taksācijas gada laikā saņemot laimestus pie dažādiem izlo</w:t>
            </w:r>
            <w:r w:rsidR="008A40BB" w:rsidRPr="007809EE">
              <w:rPr>
                <w:iCs w:val="0"/>
                <w:szCs w:val="28"/>
                <w:lang w:val="lv-LV" w:eastAsia="lv-LV"/>
              </w:rPr>
              <w:t>ž</w:t>
            </w:r>
            <w:r w:rsidR="003F44C6" w:rsidRPr="007809EE">
              <w:rPr>
                <w:iCs w:val="0"/>
                <w:szCs w:val="28"/>
                <w:lang w:val="lv-LV" w:eastAsia="lv-LV"/>
              </w:rPr>
              <w:t xml:space="preserve">u un azartspēļu </w:t>
            </w:r>
            <w:r w:rsidR="003F44C6" w:rsidRPr="007809EE">
              <w:rPr>
                <w:iCs w:val="0"/>
                <w:szCs w:val="28"/>
                <w:lang w:val="lv-LV" w:eastAsia="lv-LV"/>
              </w:rPr>
              <w:lastRenderedPageBreak/>
              <w:t>organizētājiem, saņemot gan ar nodokli apliekamus, gan neapliekamus laimestus</w:t>
            </w:r>
            <w:r w:rsidR="00692C65" w:rsidRPr="007809EE">
              <w:rPr>
                <w:iCs w:val="0"/>
                <w:szCs w:val="28"/>
                <w:lang w:val="lv-LV" w:eastAsia="lv-LV"/>
              </w:rPr>
              <w:t>.</w:t>
            </w:r>
          </w:p>
          <w:p w14:paraId="20872E02" w14:textId="5DEA3454" w:rsidR="00166E71" w:rsidRPr="007809EE" w:rsidRDefault="00166E71" w:rsidP="00E125DE">
            <w:pPr>
              <w:tabs>
                <w:tab w:val="left" w:pos="2127"/>
                <w:tab w:val="center" w:pos="4153"/>
                <w:tab w:val="left" w:pos="6096"/>
                <w:tab w:val="right" w:pos="8306"/>
              </w:tabs>
              <w:spacing w:before="120" w:after="120"/>
              <w:ind w:left="255" w:right="142"/>
              <w:jc w:val="center"/>
              <w:rPr>
                <w:i/>
                <w:iCs w:val="0"/>
                <w:szCs w:val="28"/>
                <w:lang w:val="lv-LV" w:eastAsia="lv-LV"/>
              </w:rPr>
            </w:pPr>
            <w:r w:rsidRPr="007809EE">
              <w:rPr>
                <w:i/>
                <w:iCs w:val="0"/>
                <w:szCs w:val="28"/>
                <w:lang w:val="lv-LV" w:eastAsia="lv-LV"/>
              </w:rPr>
              <w:t>Saistībā ar Uzņēmumu ienākuma n</w:t>
            </w:r>
            <w:r w:rsidR="009929A6" w:rsidRPr="007809EE">
              <w:rPr>
                <w:i/>
                <w:iCs w:val="0"/>
                <w:szCs w:val="28"/>
                <w:lang w:val="lv-LV" w:eastAsia="lv-LV"/>
              </w:rPr>
              <w:t>odokļa likuma ieviešanu</w:t>
            </w:r>
          </w:p>
          <w:p w14:paraId="6DF56D00" w14:textId="5DF8C077" w:rsidR="00166E71" w:rsidRPr="007809EE" w:rsidRDefault="00166E71"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 xml:space="preserve">Sākot ar 2018.gada 1.janvāri likums “Par uzņēmumu ienākuma nodokli” tiek aizstāts ar jaunu – Uzņēmumu ienākuma nodokļa likumu, kurā mainās vispārējā uzņēmumu ienākuma nodokļa uzlikšanas koncepcija un uzņēmumu ienākuma nodokļa maksātāji. Ņemot vērā, ka iedzīvotāju ienākuma nodoklis un uzņēmumu ienākuma nodoklis veido vienotu sistēmu, </w:t>
            </w:r>
            <w:r w:rsidR="003E11BE" w:rsidRPr="007809EE">
              <w:rPr>
                <w:iCs w:val="0"/>
                <w:szCs w:val="28"/>
                <w:lang w:val="lv-LV" w:eastAsia="lv-LV"/>
              </w:rPr>
              <w:t>tika veikti</w:t>
            </w:r>
            <w:r w:rsidRPr="007809EE">
              <w:rPr>
                <w:iCs w:val="0"/>
                <w:szCs w:val="28"/>
                <w:lang w:val="lv-LV" w:eastAsia="lv-LV"/>
              </w:rPr>
              <w:t xml:space="preserve"> arī atbilstoši grozījumi likumā “Par iedzīvotāju ienākuma nodokli”</w:t>
            </w:r>
            <w:r w:rsidR="00125006" w:rsidRPr="007809EE">
              <w:rPr>
                <w:iCs w:val="0"/>
                <w:szCs w:val="28"/>
                <w:lang w:val="lv-LV" w:eastAsia="lv-LV"/>
              </w:rPr>
              <w:t xml:space="preserve"> (turpmāk – </w:t>
            </w:r>
            <w:r w:rsidR="008A40BB" w:rsidRPr="007809EE">
              <w:rPr>
                <w:iCs w:val="0"/>
                <w:szCs w:val="28"/>
                <w:lang w:val="lv-LV" w:eastAsia="lv-LV"/>
              </w:rPr>
              <w:t>L</w:t>
            </w:r>
            <w:r w:rsidR="00125006" w:rsidRPr="007809EE">
              <w:rPr>
                <w:iCs w:val="0"/>
                <w:szCs w:val="28"/>
                <w:lang w:val="lv-LV" w:eastAsia="lv-LV"/>
              </w:rPr>
              <w:t>ikums)</w:t>
            </w:r>
            <w:r w:rsidRPr="007809EE">
              <w:rPr>
                <w:iCs w:val="0"/>
                <w:szCs w:val="28"/>
                <w:lang w:val="lv-LV" w:eastAsia="lv-LV"/>
              </w:rPr>
              <w:t>.</w:t>
            </w:r>
          </w:p>
          <w:p w14:paraId="6EAD5E95" w14:textId="7DD18509" w:rsidR="00166E71" w:rsidRPr="007809EE" w:rsidRDefault="00503CE7"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 xml:space="preserve">Grozījumi </w:t>
            </w:r>
            <w:r w:rsidR="003E11BE" w:rsidRPr="007809EE">
              <w:rPr>
                <w:iCs w:val="0"/>
                <w:szCs w:val="28"/>
                <w:lang w:val="lv-LV" w:eastAsia="lv-LV"/>
              </w:rPr>
              <w:t xml:space="preserve">IIN </w:t>
            </w:r>
            <w:r w:rsidRPr="007809EE">
              <w:rPr>
                <w:iCs w:val="0"/>
                <w:szCs w:val="28"/>
                <w:lang w:val="lv-LV" w:eastAsia="lv-LV"/>
              </w:rPr>
              <w:t xml:space="preserve">likumā paredz, ka ar 2018.gada 1.janvāri, </w:t>
            </w:r>
            <w:r w:rsidR="00166E71" w:rsidRPr="007809EE">
              <w:rPr>
                <w:iCs w:val="0"/>
                <w:szCs w:val="28"/>
                <w:lang w:val="lv-LV" w:eastAsia="lv-LV"/>
              </w:rPr>
              <w:t>dividendes (arī nosacītās dividendes un dividendēm pielīdzināms ienākums) ar iedzīvotāju ienākuma nodokli neapliek, ja tās ir apliktas ar uzņēmumu ienākuma nodokli saskaņā ar Uzņēmumu ienāku</w:t>
            </w:r>
            <w:r w:rsidR="00B44DC6" w:rsidRPr="007809EE">
              <w:rPr>
                <w:iCs w:val="0"/>
                <w:szCs w:val="28"/>
                <w:lang w:val="lv-LV" w:eastAsia="lv-LV"/>
              </w:rPr>
              <w:t>ma nodokļa likumu.</w:t>
            </w:r>
          </w:p>
          <w:p w14:paraId="0A060EEB" w14:textId="0F883049" w:rsidR="00166E71" w:rsidRPr="007809EE" w:rsidRDefault="00B44DC6"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 xml:space="preserve">Līdz ar to, </w:t>
            </w:r>
            <w:r w:rsidR="007C6678" w:rsidRPr="007809EE">
              <w:rPr>
                <w:iCs w:val="0"/>
                <w:szCs w:val="28"/>
                <w:lang w:val="lv-LV" w:eastAsia="lv-LV"/>
              </w:rPr>
              <w:t>N</w:t>
            </w:r>
            <w:r w:rsidRPr="007809EE">
              <w:rPr>
                <w:iCs w:val="0"/>
                <w:szCs w:val="28"/>
                <w:lang w:val="lv-LV" w:eastAsia="lv-LV"/>
              </w:rPr>
              <w:t>oteikumu projekts paskaidro, ka a</w:t>
            </w:r>
            <w:r w:rsidR="00166E71" w:rsidRPr="007809EE">
              <w:rPr>
                <w:iCs w:val="0"/>
                <w:szCs w:val="28"/>
                <w:lang w:val="lv-LV" w:eastAsia="lv-LV"/>
              </w:rPr>
              <w:t xml:space="preserve">ttiecībā uz dividendēm, kuras iedzīvotāju ienākuma nodokļa maksātāji saņem no ārvalstīm, </w:t>
            </w:r>
            <w:r w:rsidR="0006245E" w:rsidRPr="007809EE">
              <w:rPr>
                <w:iCs w:val="0"/>
                <w:szCs w:val="28"/>
                <w:lang w:val="lv-LV" w:eastAsia="lv-LV"/>
              </w:rPr>
              <w:t xml:space="preserve">tiek </w:t>
            </w:r>
            <w:r w:rsidR="00166E71" w:rsidRPr="007809EE">
              <w:rPr>
                <w:iCs w:val="0"/>
                <w:szCs w:val="28"/>
                <w:lang w:val="lv-LV" w:eastAsia="lv-LV"/>
              </w:rPr>
              <w:t>piemērots pamatprincips – ja maksātājs var pierādīt, ka par dividendēs sadalāmo peļņu ārvalstī ir samaksāts uzņēmumu ienākuma nodoklis vai tam pielīdzināms nodoklis, vai no dividendēm ieturēts iedzīvotāju ienākuma nodoklis, Latvijā dividendēm iedzīvotāju ienākuma nodoklis vairs netiek uzlikts</w:t>
            </w:r>
            <w:r w:rsidR="0006245E" w:rsidRPr="007809EE">
              <w:rPr>
                <w:iCs w:val="0"/>
                <w:szCs w:val="28"/>
                <w:lang w:val="lv-LV" w:eastAsia="lv-LV"/>
              </w:rPr>
              <w:t>. M</w:t>
            </w:r>
            <w:r w:rsidR="00166E71" w:rsidRPr="007809EE">
              <w:rPr>
                <w:iCs w:val="0"/>
                <w:szCs w:val="28"/>
                <w:lang w:val="lv-LV" w:eastAsia="lv-LV"/>
              </w:rPr>
              <w:t>inētais princips netiek piemērots attiecībā uz dividendēm, kuras maksātājs saņem no zemu nodokļu un beznodokļu valstīm vai teritorijām. Šajā gadījumā dividendes apliekamas ar iedzīvotāju ien</w:t>
            </w:r>
            <w:r w:rsidR="0006245E" w:rsidRPr="007809EE">
              <w:rPr>
                <w:iCs w:val="0"/>
                <w:szCs w:val="28"/>
                <w:lang w:val="lv-LV" w:eastAsia="lv-LV"/>
              </w:rPr>
              <w:t>ākuma nodokļa likmi 20% apmērā.</w:t>
            </w:r>
          </w:p>
          <w:p w14:paraId="50339C84" w14:textId="1A24EC72" w:rsidR="0006245E" w:rsidRDefault="007C6678" w:rsidP="00EC77F1">
            <w:pPr>
              <w:tabs>
                <w:tab w:val="left" w:pos="2127"/>
                <w:tab w:val="center" w:pos="4153"/>
                <w:tab w:val="left" w:pos="6096"/>
                <w:tab w:val="right" w:pos="8306"/>
              </w:tabs>
              <w:ind w:left="82" w:right="140" w:firstLine="567"/>
              <w:jc w:val="both"/>
              <w:rPr>
                <w:iCs w:val="0"/>
                <w:szCs w:val="28"/>
                <w:lang w:val="lv-LV" w:eastAsia="lv-LV"/>
              </w:rPr>
            </w:pPr>
            <w:r w:rsidRPr="007809EE">
              <w:rPr>
                <w:iCs w:val="0"/>
                <w:szCs w:val="28"/>
                <w:lang w:val="lv-LV" w:eastAsia="lv-LV"/>
              </w:rPr>
              <w:t>Tāpat N</w:t>
            </w:r>
            <w:r w:rsidR="0006245E" w:rsidRPr="007809EE">
              <w:rPr>
                <w:iCs w:val="0"/>
                <w:szCs w:val="28"/>
                <w:lang w:val="lv-LV" w:eastAsia="lv-LV"/>
              </w:rPr>
              <w:t>oteikumu projektā tiek skaidrot</w:t>
            </w:r>
            <w:r w:rsidR="000D6CB8" w:rsidRPr="007809EE">
              <w:rPr>
                <w:iCs w:val="0"/>
                <w:szCs w:val="28"/>
                <w:lang w:val="lv-LV" w:eastAsia="lv-LV"/>
              </w:rPr>
              <w:t>i</w:t>
            </w:r>
            <w:r w:rsidR="0006245E" w:rsidRPr="007809EE">
              <w:rPr>
                <w:iCs w:val="0"/>
                <w:szCs w:val="28"/>
                <w:lang w:val="lv-LV" w:eastAsia="lv-LV"/>
              </w:rPr>
              <w:t xml:space="preserve"> atbrīvojuma no iedzīvotāju ienākuma nodokļa piemērošanas vai nepiemērošanas </w:t>
            </w:r>
            <w:r w:rsidR="000D6CB8" w:rsidRPr="007809EE">
              <w:rPr>
                <w:iCs w:val="0"/>
                <w:szCs w:val="28"/>
                <w:lang w:val="lv-LV" w:eastAsia="lv-LV"/>
              </w:rPr>
              <w:t>nosacījumi</w:t>
            </w:r>
            <w:r w:rsidR="0006245E" w:rsidRPr="007809EE">
              <w:rPr>
                <w:szCs w:val="28"/>
              </w:rPr>
              <w:t xml:space="preserve"> </w:t>
            </w:r>
            <w:r w:rsidR="0006245E" w:rsidRPr="007809EE">
              <w:rPr>
                <w:iCs w:val="0"/>
                <w:szCs w:val="28"/>
                <w:lang w:val="lv-LV" w:eastAsia="lv-LV"/>
              </w:rPr>
              <w:t xml:space="preserve">dividendēm, ko izmaksā tonnāžas nodokļa maksātājs </w:t>
            </w:r>
            <w:r w:rsidR="000D6CB8" w:rsidRPr="007809EE">
              <w:rPr>
                <w:iCs w:val="0"/>
                <w:szCs w:val="28"/>
                <w:lang w:val="lv-LV" w:eastAsia="lv-LV"/>
              </w:rPr>
              <w:t>un dividendēm, par kurām uzņēmumu ienākuma nodokļa bāze ir samazināta saskaņā ar nosacījumiem par akciju atsavināšanas ienākuma neiekļaušanu uzņēmumu ienākuma nodokļa bāzē.</w:t>
            </w:r>
          </w:p>
          <w:p w14:paraId="29D262B7" w14:textId="6FE84DEA" w:rsidR="00436946" w:rsidRPr="007809EE" w:rsidRDefault="00F401E9"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lastRenderedPageBreak/>
              <w:t>Saistībā ar a</w:t>
            </w:r>
            <w:r w:rsidR="004E2AEA" w:rsidRPr="007809EE">
              <w:rPr>
                <w:i/>
                <w:iCs w:val="0"/>
                <w:szCs w:val="28"/>
                <w:lang w:val="lv-LV" w:eastAsia="lv-LV"/>
              </w:rPr>
              <w:t>utoratlīdzīb</w:t>
            </w:r>
            <w:r w:rsidR="00EC77F1" w:rsidRPr="007809EE">
              <w:rPr>
                <w:i/>
                <w:iCs w:val="0"/>
                <w:szCs w:val="28"/>
                <w:lang w:val="lv-LV" w:eastAsia="lv-LV"/>
              </w:rPr>
              <w:t>u saņēmējiem piemērojamo attaisnoto izdevumu apmēri</w:t>
            </w:r>
            <w:r w:rsidRPr="007809EE">
              <w:rPr>
                <w:i/>
                <w:iCs w:val="0"/>
                <w:szCs w:val="28"/>
                <w:lang w:val="lv-LV" w:eastAsia="lv-LV"/>
              </w:rPr>
              <w:t>em</w:t>
            </w:r>
          </w:p>
          <w:p w14:paraId="3B78ECC8" w14:textId="39E96F48" w:rsidR="004E2AEA" w:rsidRDefault="00E85E87" w:rsidP="00EC77F1">
            <w:pPr>
              <w:tabs>
                <w:tab w:val="left" w:pos="2127"/>
                <w:tab w:val="center" w:pos="4153"/>
                <w:tab w:val="left" w:pos="6096"/>
                <w:tab w:val="right" w:pos="8306"/>
              </w:tabs>
              <w:ind w:left="79" w:right="142" w:firstLine="570"/>
              <w:jc w:val="both"/>
              <w:rPr>
                <w:iCs w:val="0"/>
                <w:szCs w:val="28"/>
                <w:lang w:val="lv-LV" w:eastAsia="lv-LV"/>
              </w:rPr>
            </w:pPr>
            <w:r>
              <w:rPr>
                <w:iCs w:val="0"/>
                <w:szCs w:val="28"/>
                <w:lang w:val="lv-LV" w:eastAsia="lv-LV"/>
              </w:rPr>
              <w:t>Atbilstoši Kultūras ministrijas sniegtajai informācijai, kā arī Nacionālās trīspusējās sadarbības padomē nolemtajam, n</w:t>
            </w:r>
            <w:r w:rsidR="00EC77F1" w:rsidRPr="007809EE">
              <w:rPr>
                <w:iCs w:val="0"/>
                <w:szCs w:val="28"/>
                <w:lang w:val="lv-LV" w:eastAsia="lv-LV"/>
              </w:rPr>
              <w:t xml:space="preserve">oteikumu projekts paredz labvēlīgākus apstākļus </w:t>
            </w:r>
            <w:r>
              <w:rPr>
                <w:iCs w:val="0"/>
                <w:szCs w:val="28"/>
                <w:lang w:val="lv-LV" w:eastAsia="lv-LV"/>
              </w:rPr>
              <w:t xml:space="preserve">atsevišķiem (noteikuma projektā minētajiem) </w:t>
            </w:r>
            <w:r w:rsidR="00EC77F1" w:rsidRPr="007809EE">
              <w:rPr>
                <w:iCs w:val="0"/>
                <w:szCs w:val="28"/>
                <w:lang w:val="lv-LV" w:eastAsia="lv-LV"/>
              </w:rPr>
              <w:t xml:space="preserve">autoratlīdzību saņēmējiem, nosakot, ka turpmāk </w:t>
            </w:r>
            <w:r w:rsidR="00962A41" w:rsidRPr="007809EE">
              <w:rPr>
                <w:iCs w:val="0"/>
                <w:szCs w:val="28"/>
                <w:lang w:val="lv-LV" w:eastAsia="lv-LV"/>
              </w:rPr>
              <w:t xml:space="preserve">no </w:t>
            </w:r>
            <w:r w:rsidR="00EC77F1" w:rsidRPr="007809EE">
              <w:rPr>
                <w:iCs w:val="0"/>
                <w:szCs w:val="28"/>
                <w:lang w:val="lv-LV" w:eastAsia="lv-LV"/>
              </w:rPr>
              <w:t>autoratlīdzības</w:t>
            </w:r>
            <w:r w:rsidR="00962A41" w:rsidRPr="007809EE">
              <w:rPr>
                <w:iCs w:val="0"/>
                <w:szCs w:val="28"/>
                <w:lang w:val="lv-LV" w:eastAsia="lv-LV"/>
              </w:rPr>
              <w:t xml:space="preserve"> (honorāra) summas </w:t>
            </w:r>
            <w:r w:rsidR="00EC77F1" w:rsidRPr="007809EE">
              <w:rPr>
                <w:iCs w:val="0"/>
                <w:szCs w:val="28"/>
                <w:lang w:val="lv-LV" w:eastAsia="lv-LV"/>
              </w:rPr>
              <w:t xml:space="preserve">būs </w:t>
            </w:r>
            <w:r w:rsidR="00962A41" w:rsidRPr="007809EE">
              <w:rPr>
                <w:iCs w:val="0"/>
                <w:szCs w:val="28"/>
                <w:lang w:val="lv-LV" w:eastAsia="lv-LV"/>
              </w:rPr>
              <w:t>atskaitāmi</w:t>
            </w:r>
            <w:r w:rsidR="00EC77F1" w:rsidRPr="007809EE">
              <w:rPr>
                <w:iCs w:val="0"/>
                <w:szCs w:val="28"/>
                <w:lang w:val="lv-LV" w:eastAsia="lv-LV"/>
              </w:rPr>
              <w:t xml:space="preserve"> attaisnotie izdevumi 50% apmērā</w:t>
            </w:r>
            <w:r>
              <w:rPr>
                <w:iCs w:val="0"/>
                <w:szCs w:val="28"/>
                <w:lang w:val="lv-LV" w:eastAsia="lv-LV"/>
              </w:rPr>
              <w:t>. Izņēmums - n</w:t>
            </w:r>
            <w:r w:rsidR="00962A41" w:rsidRPr="007809EE">
              <w:rPr>
                <w:iCs w:val="0"/>
                <w:szCs w:val="28"/>
                <w:lang w:val="lv-LV" w:eastAsia="lv-LV"/>
              </w:rPr>
              <w:t>o autoratlīdzības (honorāra) summas par literāriem darbiem (tai skaitā darbiem, kas radīti, izdoti, izpildīti vai citādi izmantoti presē un citos masu informācijas līdzekļos)</w:t>
            </w:r>
            <w:r>
              <w:rPr>
                <w:iCs w:val="0"/>
                <w:szCs w:val="28"/>
                <w:lang w:val="lv-LV" w:eastAsia="lv-LV"/>
              </w:rPr>
              <w:t xml:space="preserve"> </w:t>
            </w:r>
            <w:r w:rsidR="00962A41" w:rsidRPr="007809EE">
              <w:rPr>
                <w:iCs w:val="0"/>
                <w:szCs w:val="28"/>
                <w:lang w:val="lv-LV" w:eastAsia="lv-LV"/>
              </w:rPr>
              <w:t>būs atskaitāmi attaisnotie izdevumi 25% apmērā.</w:t>
            </w:r>
            <w:r>
              <w:rPr>
                <w:iCs w:val="0"/>
                <w:szCs w:val="28"/>
                <w:lang w:val="lv-LV" w:eastAsia="lv-LV"/>
              </w:rPr>
              <w:t xml:space="preserve"> </w:t>
            </w:r>
          </w:p>
          <w:p w14:paraId="4B5EFE90" w14:textId="177BF3E5" w:rsidR="00E85E87" w:rsidRPr="007809EE" w:rsidRDefault="00E85E87" w:rsidP="00EC77F1">
            <w:pPr>
              <w:tabs>
                <w:tab w:val="left" w:pos="2127"/>
                <w:tab w:val="center" w:pos="4153"/>
                <w:tab w:val="left" w:pos="6096"/>
                <w:tab w:val="right" w:pos="8306"/>
              </w:tabs>
              <w:ind w:left="79" w:right="142" w:firstLine="570"/>
              <w:jc w:val="both"/>
              <w:rPr>
                <w:iCs w:val="0"/>
                <w:szCs w:val="28"/>
                <w:lang w:val="lv-LV" w:eastAsia="lv-LV"/>
              </w:rPr>
            </w:pPr>
            <w:r>
              <w:rPr>
                <w:iCs w:val="0"/>
                <w:szCs w:val="28"/>
                <w:lang w:val="lv-LV" w:eastAsia="lv-LV"/>
              </w:rPr>
              <w:t xml:space="preserve">Citiem, noteikumu projektā </w:t>
            </w:r>
            <w:r w:rsidR="002C0A8B">
              <w:rPr>
                <w:iCs w:val="0"/>
                <w:szCs w:val="28"/>
                <w:lang w:val="lv-LV" w:eastAsia="lv-LV"/>
              </w:rPr>
              <w:t xml:space="preserve">neminētajiem, </w:t>
            </w:r>
            <w:r w:rsidR="002C0A8B" w:rsidRPr="002C0A8B">
              <w:rPr>
                <w:iCs w:val="0"/>
                <w:szCs w:val="28"/>
                <w:lang w:val="lv-LV" w:eastAsia="lv-LV"/>
              </w:rPr>
              <w:t xml:space="preserve">autoratlīdzību saņēmējiem, turpmāk no autoratlīdzības (honorāra) summas attaisnotie izdevumi </w:t>
            </w:r>
            <w:r w:rsidR="002C0A8B">
              <w:rPr>
                <w:iCs w:val="0"/>
                <w:szCs w:val="28"/>
                <w:lang w:val="lv-LV" w:eastAsia="lv-LV"/>
              </w:rPr>
              <w:t>netiks atskaitīti.</w:t>
            </w:r>
          </w:p>
          <w:p w14:paraId="3680BDB9" w14:textId="13C4D98C" w:rsidR="00EC77F1" w:rsidRPr="007809EE" w:rsidRDefault="00F46791"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t xml:space="preserve">Saistībā ar apdrošināšanas prēmiju </w:t>
            </w:r>
            <w:r w:rsidR="00FE235B" w:rsidRPr="007809EE">
              <w:rPr>
                <w:i/>
                <w:iCs w:val="0"/>
                <w:szCs w:val="28"/>
                <w:lang w:val="lv-LV" w:eastAsia="lv-LV"/>
              </w:rPr>
              <w:t xml:space="preserve">maksājumiem </w:t>
            </w:r>
            <w:r w:rsidRPr="007809EE">
              <w:rPr>
                <w:i/>
                <w:iCs w:val="0"/>
                <w:szCs w:val="28"/>
                <w:lang w:val="lv-LV" w:eastAsia="lv-LV"/>
              </w:rPr>
              <w:t>un iemaks</w:t>
            </w:r>
            <w:r w:rsidR="00FE235B" w:rsidRPr="007809EE">
              <w:rPr>
                <w:i/>
                <w:iCs w:val="0"/>
                <w:szCs w:val="28"/>
                <w:lang w:val="lv-LV" w:eastAsia="lv-LV"/>
              </w:rPr>
              <w:t>ām</w:t>
            </w:r>
            <w:r w:rsidRPr="007809EE">
              <w:rPr>
                <w:i/>
                <w:iCs w:val="0"/>
                <w:szCs w:val="28"/>
                <w:lang w:val="lv-LV" w:eastAsia="lv-LV"/>
              </w:rPr>
              <w:t xml:space="preserve"> </w:t>
            </w:r>
            <w:r w:rsidR="00FE235B" w:rsidRPr="007809EE">
              <w:rPr>
                <w:i/>
                <w:iCs w:val="0"/>
                <w:szCs w:val="28"/>
                <w:lang w:val="lv-LV" w:eastAsia="lv-LV"/>
              </w:rPr>
              <w:t xml:space="preserve">privātajos pensiju fondos </w:t>
            </w:r>
          </w:p>
          <w:p w14:paraId="743ACBFF" w14:textId="273998E7" w:rsidR="008B66DC" w:rsidRPr="007809EE" w:rsidRDefault="00DE0194" w:rsidP="008B66DC">
            <w:pPr>
              <w:widowControl w:val="0"/>
              <w:ind w:left="82" w:right="140" w:firstLine="567"/>
              <w:jc w:val="both"/>
              <w:rPr>
                <w:iCs w:val="0"/>
                <w:color w:val="000000"/>
                <w:szCs w:val="28"/>
                <w:lang w:val="lv-LV" w:eastAsia="lv-LV" w:bidi="lv-LV"/>
              </w:rPr>
            </w:pPr>
            <w:r w:rsidRPr="007809EE">
              <w:rPr>
                <w:iCs w:val="0"/>
                <w:color w:val="000000"/>
                <w:szCs w:val="28"/>
                <w:lang w:val="lv-LV" w:eastAsia="lv-LV" w:bidi="lv-LV"/>
              </w:rPr>
              <w:t>Ņemot vērā, ka, lai saņemtu L</w:t>
            </w:r>
            <w:r w:rsidR="008B66DC" w:rsidRPr="007809EE">
              <w:rPr>
                <w:iCs w:val="0"/>
                <w:color w:val="000000"/>
                <w:szCs w:val="28"/>
                <w:lang w:val="lv-LV" w:eastAsia="lv-LV" w:bidi="lv-LV"/>
              </w:rPr>
              <w:t>ikumā noteiktos iedzīvotāju ienākuma nodokļa atvieglojumus attiecībā uz apdrošināšanas prēmiju maksājumiem, ar 2018.gada 1.janvāri tiek pagarināts dzīvības apdrošināšanas līguma (ar līdzekļu uzkrāšanu) darbības minimālā termiņa peri</w:t>
            </w:r>
            <w:r w:rsidR="00917905" w:rsidRPr="007809EE">
              <w:rPr>
                <w:iCs w:val="0"/>
                <w:color w:val="000000"/>
                <w:szCs w:val="28"/>
                <w:lang w:val="lv-LV" w:eastAsia="lv-LV" w:bidi="lv-LV"/>
              </w:rPr>
              <w:t>ods no pieciem uz desmit gadiem</w:t>
            </w:r>
            <w:r w:rsidR="00631030" w:rsidRPr="007809EE">
              <w:rPr>
                <w:iCs w:val="0"/>
                <w:color w:val="000000"/>
                <w:szCs w:val="28"/>
                <w:lang w:val="lv-LV" w:eastAsia="lv-LV" w:bidi="lv-LV"/>
              </w:rPr>
              <w:t>. A</w:t>
            </w:r>
            <w:r w:rsidR="007C6678" w:rsidRPr="007809EE">
              <w:rPr>
                <w:iCs w:val="0"/>
                <w:color w:val="000000"/>
                <w:szCs w:val="28"/>
                <w:lang w:val="lv-LV" w:eastAsia="lv-LV" w:bidi="lv-LV"/>
              </w:rPr>
              <w:t>r N</w:t>
            </w:r>
            <w:r w:rsidR="00917905" w:rsidRPr="007809EE">
              <w:rPr>
                <w:iCs w:val="0"/>
                <w:color w:val="000000"/>
                <w:szCs w:val="28"/>
                <w:lang w:val="lv-LV" w:eastAsia="lv-LV" w:bidi="lv-LV"/>
              </w:rPr>
              <w:t xml:space="preserve">oteikumu projektu tiek precizēts attiecīgais </w:t>
            </w:r>
            <w:r w:rsidR="00631030" w:rsidRPr="007809EE">
              <w:rPr>
                <w:iCs w:val="0"/>
                <w:color w:val="000000"/>
                <w:szCs w:val="28"/>
                <w:lang w:val="lv-LV" w:eastAsia="lv-LV" w:bidi="lv-LV"/>
              </w:rPr>
              <w:t>Ministru kabineta 2010.gada 21.septembra noteikumos Nr.899 „Likuma „Par iedzīvotāju ienākuma nodokli” normu piemērošanas kārtība” (tu</w:t>
            </w:r>
            <w:r w:rsidR="007C6678" w:rsidRPr="007809EE">
              <w:rPr>
                <w:iCs w:val="0"/>
                <w:color w:val="000000"/>
                <w:szCs w:val="28"/>
                <w:lang w:val="lv-LV" w:eastAsia="lv-LV" w:bidi="lv-LV"/>
              </w:rPr>
              <w:t>rpmāk – N</w:t>
            </w:r>
            <w:r w:rsidR="00631030" w:rsidRPr="007809EE">
              <w:rPr>
                <w:iCs w:val="0"/>
                <w:color w:val="000000"/>
                <w:szCs w:val="28"/>
                <w:lang w:val="lv-LV" w:eastAsia="lv-LV" w:bidi="lv-LV"/>
              </w:rPr>
              <w:t xml:space="preserve">oteikumi) </w:t>
            </w:r>
            <w:r w:rsidR="00917905" w:rsidRPr="007809EE">
              <w:rPr>
                <w:iCs w:val="0"/>
                <w:color w:val="000000"/>
                <w:szCs w:val="28"/>
                <w:lang w:val="lv-LV" w:eastAsia="lv-LV" w:bidi="lv-LV"/>
              </w:rPr>
              <w:t>esošais regulējums.</w:t>
            </w:r>
          </w:p>
          <w:p w14:paraId="55D958B0" w14:textId="40875619" w:rsidR="00E65875" w:rsidRPr="007809EE" w:rsidRDefault="00E65875" w:rsidP="00E125DE">
            <w:pPr>
              <w:widowControl w:val="0"/>
              <w:spacing w:before="120" w:after="120"/>
              <w:ind w:left="79" w:right="142" w:firstLine="567"/>
              <w:jc w:val="center"/>
              <w:rPr>
                <w:i/>
                <w:iCs w:val="0"/>
                <w:color w:val="000000"/>
                <w:spacing w:val="4"/>
                <w:szCs w:val="28"/>
                <w:lang w:val="lv-LV" w:eastAsia="lv-LV" w:bidi="lv-LV"/>
              </w:rPr>
            </w:pPr>
            <w:r w:rsidRPr="007809EE">
              <w:rPr>
                <w:i/>
                <w:iCs w:val="0"/>
                <w:color w:val="000000"/>
                <w:spacing w:val="4"/>
                <w:szCs w:val="28"/>
                <w:lang w:val="lv-LV" w:eastAsia="lv-LV" w:bidi="lv-LV"/>
              </w:rPr>
              <w:t>Saistībā ar saimnieciskās darbības veicēju saimnieciskās darbības izdevumu ierobežošanu</w:t>
            </w:r>
          </w:p>
          <w:p w14:paraId="2B691E86" w14:textId="05FBD48C" w:rsidR="00E65875" w:rsidRPr="007809EE" w:rsidRDefault="00E65875" w:rsidP="000B453D">
            <w:pPr>
              <w:ind w:left="82" w:right="140" w:firstLine="567"/>
              <w:jc w:val="both"/>
              <w:rPr>
                <w:rFonts w:eastAsia="Calibri"/>
                <w:iCs w:val="0"/>
                <w:spacing w:val="4"/>
                <w:szCs w:val="28"/>
                <w:lang w:val="lv-LV"/>
              </w:rPr>
            </w:pPr>
            <w:r w:rsidRPr="007809EE">
              <w:rPr>
                <w:rFonts w:eastAsia="Calibri"/>
                <w:iCs w:val="0"/>
                <w:spacing w:val="4"/>
                <w:szCs w:val="28"/>
                <w:lang w:val="lv-LV"/>
              </w:rPr>
              <w:t xml:space="preserve">Likums paredz, ka </w:t>
            </w:r>
            <w:r w:rsidR="000B453D" w:rsidRPr="007809EE">
              <w:rPr>
                <w:rFonts w:eastAsia="Calibri"/>
                <w:iCs w:val="0"/>
                <w:spacing w:val="4"/>
                <w:szCs w:val="28"/>
                <w:lang w:val="lv-LV"/>
              </w:rPr>
              <w:t>sākot ar 2018.gada 1.janvāri,</w:t>
            </w:r>
            <w:r w:rsidRPr="007809EE">
              <w:rPr>
                <w:rFonts w:eastAsia="Calibri"/>
                <w:iCs w:val="0"/>
                <w:spacing w:val="4"/>
                <w:szCs w:val="28"/>
                <w:lang w:val="lv-LV"/>
              </w:rPr>
              <w:t xml:space="preserve"> maksātājs, aprēķinot ar nodokli apliekamo ienākumu no saimnieciskās darbības, saimnieciskās darbības izdevumos būs tiesīgs iekļaut ar saimniecisko darbību saistītos izdevumus tādā apmērā, kas nepārsniedz 80% no fiziskās personas kopējiem saimnieciskās </w:t>
            </w:r>
            <w:r w:rsidRPr="007809EE">
              <w:rPr>
                <w:rFonts w:eastAsia="Calibri"/>
                <w:iCs w:val="0"/>
                <w:spacing w:val="4"/>
                <w:szCs w:val="28"/>
                <w:lang w:val="lv-LV"/>
              </w:rPr>
              <w:lastRenderedPageBreak/>
              <w:t xml:space="preserve">darbības ieņēmumiem, kā arī tiek noteikti atsevišķi saimnieciskās darbības izdevumu veidi, kuri ar saimniecisko darbību saistītajos izdevumos ir iekļaujami pilnā apmērā. </w:t>
            </w:r>
          </w:p>
          <w:p w14:paraId="146347B9" w14:textId="777D9476" w:rsidR="00554027" w:rsidRPr="007809EE" w:rsidRDefault="000B453D" w:rsidP="00554027">
            <w:pPr>
              <w:ind w:left="82" w:right="140" w:firstLine="425"/>
              <w:jc w:val="both"/>
              <w:rPr>
                <w:rFonts w:eastAsia="Calibri"/>
                <w:iCs w:val="0"/>
                <w:spacing w:val="4"/>
                <w:szCs w:val="28"/>
                <w:lang w:val="lv-LV"/>
              </w:rPr>
            </w:pPr>
            <w:r w:rsidRPr="007809EE">
              <w:rPr>
                <w:rFonts w:eastAsia="Calibri"/>
                <w:iCs w:val="0"/>
                <w:spacing w:val="4"/>
                <w:szCs w:val="28"/>
                <w:lang w:val="lv-LV"/>
              </w:rPr>
              <w:t>Noteikumu projektā ir iekļauts regulējums</w:t>
            </w:r>
            <w:r w:rsidR="00554027" w:rsidRPr="007809EE">
              <w:rPr>
                <w:rFonts w:eastAsia="Calibri"/>
                <w:iCs w:val="0"/>
                <w:spacing w:val="4"/>
                <w:szCs w:val="28"/>
                <w:lang w:val="lv-LV"/>
              </w:rPr>
              <w:t xml:space="preserve"> un piemēri</w:t>
            </w:r>
            <w:r w:rsidRPr="007809EE">
              <w:rPr>
                <w:rFonts w:eastAsia="Calibri"/>
                <w:iCs w:val="0"/>
                <w:spacing w:val="4"/>
                <w:szCs w:val="28"/>
                <w:lang w:val="lv-LV"/>
              </w:rPr>
              <w:t xml:space="preserve">, kas </w:t>
            </w:r>
            <w:r w:rsidR="00554027" w:rsidRPr="007809EE">
              <w:rPr>
                <w:rFonts w:eastAsia="Calibri"/>
                <w:iCs w:val="0"/>
                <w:spacing w:val="4"/>
                <w:szCs w:val="28"/>
                <w:lang w:val="lv-LV"/>
              </w:rPr>
              <w:t>skaidro, ka k</w:t>
            </w:r>
            <w:r w:rsidR="00E65875" w:rsidRPr="007809EE">
              <w:rPr>
                <w:rFonts w:eastAsia="Calibri"/>
                <w:iCs w:val="0"/>
                <w:spacing w:val="4"/>
                <w:szCs w:val="28"/>
                <w:lang w:val="lv-LV"/>
              </w:rPr>
              <w:t>ārtojot grāmatvedību vienkāršā ieraksta sistēmā, saimnieciskās darbības izdevumos pilnā apmērā ir iekļaujami noteiktie atsevišķie (izņēmuma) izdevumu veidi, savukārt pārējie saimnieciskās darbības izdevumi ir iekļaujami izdevumos tādā apmērā, kas kopā ar noteiktajiem atsevišķajiem (izņēmuma) izdevumu veidiem nepārsniedz 80% apmēru no fiziskās personas kopējiem saimnieciskās darbības ieņēmumiem. Tai pat laikā, maksātāja saimnieciskās darbības zaudējumi ir sedzami hronoloģiskā secībā no nākamo triju taksācijas gadu saimnieciskās darbības apl</w:t>
            </w:r>
            <w:r w:rsidR="00DE0194" w:rsidRPr="007809EE">
              <w:rPr>
                <w:rFonts w:eastAsia="Calibri"/>
                <w:iCs w:val="0"/>
                <w:spacing w:val="4"/>
                <w:szCs w:val="28"/>
                <w:lang w:val="lv-LV"/>
              </w:rPr>
              <w:t>iekamā ienākuma, nepārsniedzot L</w:t>
            </w:r>
            <w:r w:rsidR="00E65875" w:rsidRPr="007809EE">
              <w:rPr>
                <w:rFonts w:eastAsia="Calibri"/>
                <w:iCs w:val="0"/>
                <w:spacing w:val="4"/>
                <w:szCs w:val="28"/>
                <w:lang w:val="lv-LV"/>
              </w:rPr>
              <w:t>ikumā noteikto saimnieciskās darbības izdevumu 80% ierobežojuma apmēru.</w:t>
            </w:r>
            <w:r w:rsidR="00554027" w:rsidRPr="007809EE">
              <w:rPr>
                <w:rFonts w:eastAsia="Calibri"/>
                <w:iCs w:val="0"/>
                <w:spacing w:val="4"/>
                <w:szCs w:val="28"/>
                <w:lang w:val="lv-LV"/>
              </w:rPr>
              <w:t xml:space="preserve"> </w:t>
            </w:r>
          </w:p>
          <w:p w14:paraId="1ABB40C1" w14:textId="1F43A014" w:rsidR="00E65875" w:rsidRPr="007809EE" w:rsidRDefault="00E65875" w:rsidP="00554027">
            <w:pPr>
              <w:ind w:left="82" w:right="140" w:firstLine="425"/>
              <w:jc w:val="both"/>
              <w:rPr>
                <w:rFonts w:eastAsia="Calibri"/>
                <w:iCs w:val="0"/>
                <w:szCs w:val="28"/>
                <w:lang w:val="lv-LV"/>
              </w:rPr>
            </w:pPr>
            <w:r w:rsidRPr="007809EE">
              <w:rPr>
                <w:rFonts w:eastAsia="Calibri"/>
                <w:iCs w:val="0"/>
                <w:szCs w:val="28"/>
                <w:lang w:val="lv-LV"/>
              </w:rPr>
              <w:t>Savukārt maksātājs, kurš kārto grāmatvedību d</w:t>
            </w:r>
            <w:r w:rsidR="00E125DE" w:rsidRPr="007809EE">
              <w:rPr>
                <w:rFonts w:eastAsia="Calibri"/>
                <w:iCs w:val="0"/>
                <w:szCs w:val="28"/>
                <w:lang w:val="lv-LV"/>
              </w:rPr>
              <w:t>ivkāršā ieraksta</w:t>
            </w:r>
            <w:r w:rsidR="00DE0194" w:rsidRPr="007809EE">
              <w:rPr>
                <w:rFonts w:eastAsia="Calibri"/>
                <w:iCs w:val="0"/>
                <w:szCs w:val="28"/>
                <w:lang w:val="lv-LV"/>
              </w:rPr>
              <w:t xml:space="preserve"> sistēmā, pēc L</w:t>
            </w:r>
            <w:r w:rsidRPr="007809EE">
              <w:rPr>
                <w:rFonts w:eastAsia="Calibri"/>
                <w:iCs w:val="0"/>
                <w:szCs w:val="28"/>
                <w:lang w:val="lv-LV"/>
              </w:rPr>
              <w:t>ikuma 11.</w:t>
            </w:r>
            <w:r w:rsidRPr="007809EE">
              <w:rPr>
                <w:rFonts w:eastAsia="Calibri"/>
                <w:iCs w:val="0"/>
                <w:szCs w:val="28"/>
                <w:vertAlign w:val="superscript"/>
                <w:lang w:val="lv-LV"/>
              </w:rPr>
              <w:t>1</w:t>
            </w:r>
            <w:r w:rsidRPr="007809EE">
              <w:rPr>
                <w:rFonts w:eastAsia="Calibri"/>
                <w:iCs w:val="0"/>
                <w:szCs w:val="28"/>
                <w:lang w:val="lv-LV"/>
              </w:rPr>
              <w:t xml:space="preserve"> pantā noteikto korekciju veikšanas, nodokli aprēķina no summas, kas nav mazāka par 20% no saimnieciskās darbības ieņēmumiem. Maksātājs taksācijas gada saimnieciskās darbības zaudējumus sedz hronoloģiskā secībā no nākamo triju taksācijas gadu saimnieciskās darbības apliekamā ienākuma, kas tiek noteikts, ievērojot saimnieciskās darbības izdevumu ierobežojuma apmēru.</w:t>
            </w:r>
          </w:p>
          <w:p w14:paraId="157A3C3E" w14:textId="16E45013" w:rsidR="008B66DC" w:rsidRPr="007809EE" w:rsidRDefault="006E24FA"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t>Saistībā ar tiesību normu attiecībā uz p</w:t>
            </w:r>
            <w:r w:rsidR="00E65875" w:rsidRPr="007809EE">
              <w:rPr>
                <w:i/>
                <w:iCs w:val="0"/>
                <w:szCs w:val="28"/>
                <w:lang w:val="lv-LV" w:eastAsia="lv-LV"/>
              </w:rPr>
              <w:t>amatlīdzekļ</w:t>
            </w:r>
            <w:r w:rsidRPr="007809EE">
              <w:rPr>
                <w:i/>
                <w:iCs w:val="0"/>
                <w:szCs w:val="28"/>
                <w:lang w:val="lv-LV" w:eastAsia="lv-LV"/>
              </w:rPr>
              <w:t>u nolie</w:t>
            </w:r>
            <w:r w:rsidR="00DE0194" w:rsidRPr="007809EE">
              <w:rPr>
                <w:i/>
                <w:iCs w:val="0"/>
                <w:szCs w:val="28"/>
                <w:lang w:val="lv-LV" w:eastAsia="lv-LV"/>
              </w:rPr>
              <w:t>tojuma aprēķināšanu iekļaušanu L</w:t>
            </w:r>
            <w:r w:rsidRPr="007809EE">
              <w:rPr>
                <w:i/>
                <w:iCs w:val="0"/>
                <w:szCs w:val="28"/>
                <w:lang w:val="lv-LV" w:eastAsia="lv-LV"/>
              </w:rPr>
              <w:t>ikumā</w:t>
            </w:r>
          </w:p>
          <w:p w14:paraId="7397DAEC" w14:textId="68D69BEC" w:rsidR="00E65875" w:rsidRPr="007809EE" w:rsidRDefault="0069666C" w:rsidP="00922184">
            <w:pPr>
              <w:ind w:left="79" w:right="142" w:firstLine="425"/>
              <w:jc w:val="both"/>
              <w:rPr>
                <w:rFonts w:eastAsia="Calibri"/>
                <w:iCs w:val="0"/>
                <w:szCs w:val="28"/>
                <w:lang w:val="lv-LV"/>
              </w:rPr>
            </w:pPr>
            <w:r w:rsidRPr="007809EE">
              <w:rPr>
                <w:rFonts w:eastAsia="Calibri"/>
                <w:iCs w:val="0"/>
                <w:szCs w:val="28"/>
                <w:lang w:val="lv-LV"/>
              </w:rPr>
              <w:t>Sākot ar 2018.gada 1.janvāri L</w:t>
            </w:r>
            <w:r w:rsidR="006032DE" w:rsidRPr="007809EE">
              <w:rPr>
                <w:rFonts w:eastAsia="Calibri"/>
                <w:iCs w:val="0"/>
                <w:szCs w:val="28"/>
                <w:lang w:val="lv-LV"/>
              </w:rPr>
              <w:t xml:space="preserve">ikumā tiek </w:t>
            </w:r>
            <w:r w:rsidR="00E65875" w:rsidRPr="007809EE">
              <w:rPr>
                <w:rFonts w:eastAsia="Calibri"/>
                <w:iCs w:val="0"/>
                <w:szCs w:val="28"/>
                <w:lang w:val="lv-LV"/>
              </w:rPr>
              <w:t>integrēt</w:t>
            </w:r>
            <w:r w:rsidR="006032DE" w:rsidRPr="007809EE">
              <w:rPr>
                <w:rFonts w:eastAsia="Calibri"/>
                <w:iCs w:val="0"/>
                <w:szCs w:val="28"/>
                <w:lang w:val="lv-LV"/>
              </w:rPr>
              <w:t>s</w:t>
            </w:r>
            <w:r w:rsidR="00E65875" w:rsidRPr="007809EE">
              <w:rPr>
                <w:rFonts w:eastAsia="Calibri"/>
                <w:iCs w:val="0"/>
                <w:szCs w:val="28"/>
                <w:lang w:val="lv-LV"/>
              </w:rPr>
              <w:t xml:space="preserve"> </w:t>
            </w:r>
            <w:r w:rsidR="006032DE" w:rsidRPr="007809EE">
              <w:rPr>
                <w:rFonts w:eastAsia="Calibri"/>
                <w:iCs w:val="0"/>
                <w:szCs w:val="28"/>
                <w:lang w:val="lv-LV"/>
              </w:rPr>
              <w:t>(no likuma “Par uzņēmumu ienākuma nodokli” 13.panta</w:t>
            </w:r>
            <w:r w:rsidR="004851DD" w:rsidRPr="007809EE">
              <w:rPr>
                <w:rFonts w:eastAsia="Calibri"/>
                <w:iCs w:val="0"/>
                <w:szCs w:val="28"/>
                <w:lang w:val="lv-LV"/>
              </w:rPr>
              <w:t>,</w:t>
            </w:r>
            <w:r w:rsidR="004851DD" w:rsidRPr="007809EE">
              <w:rPr>
                <w:szCs w:val="28"/>
              </w:rPr>
              <w:t xml:space="preserve"> </w:t>
            </w:r>
            <w:r w:rsidR="004851DD" w:rsidRPr="007809EE">
              <w:rPr>
                <w:rFonts w:eastAsia="Calibri"/>
                <w:iCs w:val="0"/>
                <w:szCs w:val="28"/>
                <w:lang w:val="lv-LV"/>
              </w:rPr>
              <w:t>redakcijā, kas bija spēkā līdz 2017.gada 31.decembrim</w:t>
            </w:r>
            <w:r w:rsidR="006032DE" w:rsidRPr="007809EE">
              <w:rPr>
                <w:rFonts w:eastAsia="Calibri"/>
                <w:iCs w:val="0"/>
                <w:szCs w:val="28"/>
                <w:lang w:val="lv-LV"/>
              </w:rPr>
              <w:t xml:space="preserve">) </w:t>
            </w:r>
            <w:r w:rsidR="007B0072" w:rsidRPr="007809EE">
              <w:rPr>
                <w:rFonts w:eastAsia="Calibri"/>
                <w:iCs w:val="0"/>
                <w:szCs w:val="28"/>
                <w:lang w:val="lv-LV"/>
              </w:rPr>
              <w:t xml:space="preserve">atsevišķs </w:t>
            </w:r>
            <w:r w:rsidR="00E65875" w:rsidRPr="007809EE">
              <w:rPr>
                <w:rFonts w:eastAsia="Calibri"/>
                <w:iCs w:val="0"/>
                <w:szCs w:val="28"/>
                <w:lang w:val="lv-LV"/>
              </w:rPr>
              <w:t>normatīv</w:t>
            </w:r>
            <w:r w:rsidR="006032DE" w:rsidRPr="007809EE">
              <w:rPr>
                <w:rFonts w:eastAsia="Calibri"/>
                <w:iCs w:val="0"/>
                <w:szCs w:val="28"/>
                <w:lang w:val="lv-LV"/>
              </w:rPr>
              <w:t>ais</w:t>
            </w:r>
            <w:r w:rsidR="00E65875" w:rsidRPr="007809EE">
              <w:rPr>
                <w:rFonts w:eastAsia="Calibri"/>
                <w:iCs w:val="0"/>
                <w:szCs w:val="28"/>
                <w:lang w:val="lv-LV"/>
              </w:rPr>
              <w:t xml:space="preserve"> regulējum</w:t>
            </w:r>
            <w:r w:rsidR="001D4BDF">
              <w:rPr>
                <w:rFonts w:eastAsia="Calibri"/>
                <w:iCs w:val="0"/>
                <w:szCs w:val="28"/>
                <w:lang w:val="lv-LV"/>
              </w:rPr>
              <w:t>s</w:t>
            </w:r>
            <w:r w:rsidR="00E65875" w:rsidRPr="007809EE">
              <w:rPr>
                <w:rFonts w:eastAsia="Calibri"/>
                <w:iCs w:val="0"/>
                <w:szCs w:val="28"/>
                <w:lang w:val="lv-LV"/>
              </w:rPr>
              <w:t xml:space="preserve"> attiecībā uz pamatlīdzekļu nolietojuma noteikšanu, kā arī </w:t>
            </w:r>
            <w:r w:rsidR="001F4450" w:rsidRPr="007809EE">
              <w:rPr>
                <w:rFonts w:eastAsia="Calibri"/>
                <w:iCs w:val="0"/>
                <w:szCs w:val="28"/>
                <w:lang w:val="lv-LV"/>
              </w:rPr>
              <w:t xml:space="preserve">tiek </w:t>
            </w:r>
            <w:r w:rsidR="00E65875" w:rsidRPr="007809EE">
              <w:rPr>
                <w:rFonts w:eastAsia="Calibri"/>
                <w:iCs w:val="0"/>
                <w:szCs w:val="28"/>
                <w:lang w:val="lv-LV"/>
              </w:rPr>
              <w:t>saskaņot</w:t>
            </w:r>
            <w:r w:rsidR="001F4450" w:rsidRPr="007809EE">
              <w:rPr>
                <w:rFonts w:eastAsia="Calibri"/>
                <w:iCs w:val="0"/>
                <w:szCs w:val="28"/>
                <w:lang w:val="lv-LV"/>
              </w:rPr>
              <w:t>a</w:t>
            </w:r>
            <w:r w:rsidR="006032DE" w:rsidRPr="007809EE">
              <w:rPr>
                <w:rFonts w:eastAsia="Calibri"/>
                <w:iCs w:val="0"/>
                <w:szCs w:val="28"/>
                <w:lang w:val="lv-LV"/>
              </w:rPr>
              <w:t>s</w:t>
            </w:r>
            <w:r w:rsidRPr="007809EE">
              <w:rPr>
                <w:rFonts w:eastAsia="Calibri"/>
                <w:iCs w:val="0"/>
                <w:szCs w:val="28"/>
                <w:lang w:val="lv-LV"/>
              </w:rPr>
              <w:t xml:space="preserve"> jau L</w:t>
            </w:r>
            <w:r w:rsidR="00E65875" w:rsidRPr="007809EE">
              <w:rPr>
                <w:rFonts w:eastAsia="Calibri"/>
                <w:iCs w:val="0"/>
                <w:szCs w:val="28"/>
                <w:lang w:val="lv-LV"/>
              </w:rPr>
              <w:t>ikumā iekļautās atsevišķās tiesību normas ar Uzņēmumu ienākuma nodokļa likumā iekļautajām tiesību normām.</w:t>
            </w:r>
          </w:p>
          <w:p w14:paraId="663049BA" w14:textId="27F74054" w:rsidR="00922184" w:rsidRPr="007809EE" w:rsidRDefault="00922184" w:rsidP="00A57A88">
            <w:pPr>
              <w:ind w:left="79" w:right="142" w:firstLine="425"/>
              <w:jc w:val="both"/>
              <w:rPr>
                <w:rFonts w:eastAsia="Calibri"/>
                <w:iCs w:val="0"/>
                <w:szCs w:val="28"/>
                <w:lang w:val="lv-LV"/>
              </w:rPr>
            </w:pPr>
            <w:r w:rsidRPr="007809EE">
              <w:rPr>
                <w:rFonts w:eastAsia="Calibri"/>
                <w:iCs w:val="0"/>
                <w:szCs w:val="28"/>
                <w:lang w:val="lv-LV"/>
              </w:rPr>
              <w:lastRenderedPageBreak/>
              <w:t xml:space="preserve">Tā kā ne viss regulējums attiecībā uz pamatlīdzekļu nolietojuma noteikšanu ir iekļaujams </w:t>
            </w:r>
            <w:r w:rsidR="0069666C" w:rsidRPr="007809EE">
              <w:rPr>
                <w:rFonts w:eastAsia="Calibri"/>
                <w:iCs w:val="0"/>
                <w:szCs w:val="28"/>
                <w:lang w:val="lv-LV"/>
              </w:rPr>
              <w:t>L</w:t>
            </w:r>
            <w:r w:rsidRPr="007809EE">
              <w:rPr>
                <w:rFonts w:eastAsia="Calibri"/>
                <w:iCs w:val="0"/>
                <w:szCs w:val="28"/>
                <w:lang w:val="lv-LV"/>
              </w:rPr>
              <w:t>ikumā, tad paskaidrojošās normas a</w:t>
            </w:r>
            <w:r w:rsidR="00CA5296" w:rsidRPr="007809EE">
              <w:rPr>
                <w:rFonts w:eastAsia="Calibri"/>
                <w:iCs w:val="0"/>
                <w:szCs w:val="28"/>
                <w:lang w:val="lv-LV"/>
              </w:rPr>
              <w:t>r N</w:t>
            </w:r>
            <w:r w:rsidRPr="007809EE">
              <w:rPr>
                <w:rFonts w:eastAsia="Calibri"/>
                <w:iCs w:val="0"/>
                <w:szCs w:val="28"/>
                <w:lang w:val="lv-LV"/>
              </w:rPr>
              <w:t>ot</w:t>
            </w:r>
            <w:r w:rsidR="00CA5296" w:rsidRPr="007809EE">
              <w:rPr>
                <w:rFonts w:eastAsia="Calibri"/>
                <w:iCs w:val="0"/>
                <w:szCs w:val="28"/>
                <w:lang w:val="lv-LV"/>
              </w:rPr>
              <w:t>eikumu projektu tiek iekļautas N</w:t>
            </w:r>
            <w:r w:rsidRPr="007809EE">
              <w:rPr>
                <w:rFonts w:eastAsia="Calibri"/>
                <w:iCs w:val="0"/>
                <w:szCs w:val="28"/>
                <w:lang w:val="lv-LV"/>
              </w:rPr>
              <w:t>oteikumos. Noteikumu projekts nosaka arī pēc 2018.gada 1. janvāra iegādātu pamatlīdzekļu uzskaites un nolietojuma aprēķināšanai izmantojamo veidlapu paraugus un to aizpildīšanuas kārtību, kā arī skaidro līdz 2017.gada 31. decembrim iegādātu pamatlīdzekļu uzskaites un nolietojuma aprēķināšanas kārtību un izmantojamo veidlapu paraugus.</w:t>
            </w:r>
          </w:p>
          <w:p w14:paraId="4DFEE7A0" w14:textId="2E7BD740" w:rsidR="006F307C" w:rsidRPr="007809EE" w:rsidRDefault="006F307C" w:rsidP="00E125DE">
            <w:pPr>
              <w:tabs>
                <w:tab w:val="left" w:pos="2127"/>
                <w:tab w:val="center" w:pos="4153"/>
                <w:tab w:val="left" w:pos="6096"/>
                <w:tab w:val="right" w:pos="8306"/>
              </w:tabs>
              <w:spacing w:before="120" w:after="120"/>
              <w:ind w:left="79" w:right="142"/>
              <w:jc w:val="center"/>
              <w:rPr>
                <w:i/>
                <w:iCs w:val="0"/>
                <w:szCs w:val="28"/>
                <w:lang w:val="lv-LV" w:eastAsia="lv-LV"/>
              </w:rPr>
            </w:pPr>
            <w:r w:rsidRPr="007809EE">
              <w:rPr>
                <w:i/>
                <w:iCs w:val="0"/>
                <w:szCs w:val="28"/>
                <w:lang w:val="lv-LV" w:eastAsia="lv-LV"/>
              </w:rPr>
              <w:t xml:space="preserve">Saistībā ar iedzīvotāju ienākuma nodokļa likmju izmaiņām </w:t>
            </w:r>
          </w:p>
          <w:p w14:paraId="1BAA59CA" w14:textId="78524DE4" w:rsidR="006F307C" w:rsidRPr="007809EE" w:rsidRDefault="00A57A88" w:rsidP="00A57A88">
            <w:pPr>
              <w:tabs>
                <w:tab w:val="left" w:pos="2127"/>
                <w:tab w:val="center" w:pos="4153"/>
                <w:tab w:val="left" w:pos="6096"/>
                <w:tab w:val="right" w:pos="8306"/>
              </w:tabs>
              <w:ind w:left="82" w:right="140" w:firstLine="425"/>
              <w:jc w:val="both"/>
              <w:rPr>
                <w:iCs w:val="0"/>
                <w:szCs w:val="28"/>
                <w:lang w:val="lv-LV" w:eastAsia="lv-LV"/>
              </w:rPr>
            </w:pPr>
            <w:r w:rsidRPr="007809EE">
              <w:rPr>
                <w:iCs w:val="0"/>
                <w:szCs w:val="28"/>
                <w:lang w:val="lv-LV" w:eastAsia="lv-LV"/>
              </w:rPr>
              <w:t>Sakarā ar to, ka sākot ar 2018.gada 1.janvāri tiek</w:t>
            </w:r>
            <w:r w:rsidR="006F307C" w:rsidRPr="007809EE">
              <w:rPr>
                <w:iCs w:val="0"/>
                <w:szCs w:val="28"/>
                <w:lang w:val="lv-LV" w:eastAsia="lv-LV"/>
              </w:rPr>
              <w:t xml:space="preserve"> ieviest</w:t>
            </w:r>
            <w:r w:rsidRPr="007809EE">
              <w:rPr>
                <w:iCs w:val="0"/>
                <w:szCs w:val="28"/>
                <w:lang w:val="lv-LV" w:eastAsia="lv-LV"/>
              </w:rPr>
              <w:t>a</w:t>
            </w:r>
            <w:r w:rsidR="006F307C" w:rsidRPr="007809EE">
              <w:rPr>
                <w:iCs w:val="0"/>
                <w:szCs w:val="28"/>
                <w:lang w:val="lv-LV" w:eastAsia="lv-LV"/>
              </w:rPr>
              <w:t xml:space="preserve"> iedzīvotāju ienākuma nodokļa progresīv</w:t>
            </w:r>
            <w:r w:rsidRPr="007809EE">
              <w:rPr>
                <w:iCs w:val="0"/>
                <w:szCs w:val="28"/>
                <w:lang w:val="lv-LV" w:eastAsia="lv-LV"/>
              </w:rPr>
              <w:t>ā</w:t>
            </w:r>
            <w:r w:rsidR="006F307C" w:rsidRPr="007809EE">
              <w:rPr>
                <w:iCs w:val="0"/>
                <w:szCs w:val="28"/>
                <w:lang w:val="lv-LV" w:eastAsia="lv-LV"/>
              </w:rPr>
              <w:t xml:space="preserve"> likm</w:t>
            </w:r>
            <w:r w:rsidR="00CA5296" w:rsidRPr="007809EE">
              <w:rPr>
                <w:iCs w:val="0"/>
                <w:szCs w:val="28"/>
                <w:lang w:val="lv-LV" w:eastAsia="lv-LV"/>
              </w:rPr>
              <w:t>e, N</w:t>
            </w:r>
            <w:r w:rsidRPr="007809EE">
              <w:rPr>
                <w:iCs w:val="0"/>
                <w:szCs w:val="28"/>
                <w:lang w:val="lv-LV" w:eastAsia="lv-LV"/>
              </w:rPr>
              <w:t>oteikumu projektā, vienveidīgas situācijas izpratnei, tiek iekļauts skaidrojums un piemēri par nodokļa piemērošanas un aprēķināšanas kārtību atsevišķās iespējamās situācijās.</w:t>
            </w:r>
            <w:r w:rsidR="00B65D23" w:rsidRPr="007809EE">
              <w:rPr>
                <w:iCs w:val="0"/>
                <w:szCs w:val="28"/>
                <w:lang w:val="lv-LV" w:eastAsia="lv-LV"/>
              </w:rPr>
              <w:t xml:space="preserve"> Noteikumu projektā ir skaidrotas situācijas (arī iekļauti piemēri), kurās maksātājs taksācijas gada laikā saņem tikai ienākumu, kas nav algota darba ienākums un, kurā maksātājs vienlaicīgi saņem gan algota darba ienākumu, gan arī pensiju. Tāpat ir arī skaidrota progresīvās likmes piemērošana algota darba ienākumam gan mēneša, gan gada griezumā.</w:t>
            </w:r>
          </w:p>
          <w:p w14:paraId="2939D2D8" w14:textId="284CEE9B" w:rsidR="00B65D23" w:rsidRDefault="00B65D23" w:rsidP="00A57A88">
            <w:pPr>
              <w:tabs>
                <w:tab w:val="left" w:pos="2127"/>
                <w:tab w:val="center" w:pos="4153"/>
                <w:tab w:val="left" w:pos="6096"/>
                <w:tab w:val="right" w:pos="8306"/>
              </w:tabs>
              <w:ind w:left="82" w:right="140" w:firstLine="425"/>
              <w:jc w:val="both"/>
              <w:rPr>
                <w:iCs w:val="0"/>
                <w:szCs w:val="28"/>
                <w:lang w:val="lv-LV" w:eastAsia="lv-LV"/>
              </w:rPr>
            </w:pPr>
            <w:r w:rsidRPr="007809EE">
              <w:rPr>
                <w:iCs w:val="0"/>
                <w:szCs w:val="28"/>
                <w:lang w:val="lv-LV" w:eastAsia="lv-LV"/>
              </w:rPr>
              <w:t xml:space="preserve">Vienlaicīgi sakarā ar nodokļa likmes izmaiņām, </w:t>
            </w:r>
            <w:r w:rsidR="00CA5296" w:rsidRPr="007809EE">
              <w:rPr>
                <w:iCs w:val="0"/>
                <w:szCs w:val="28"/>
                <w:lang w:val="lv-LV" w:eastAsia="lv-LV"/>
              </w:rPr>
              <w:t>ar N</w:t>
            </w:r>
            <w:r w:rsidR="00D912C8" w:rsidRPr="007809EE">
              <w:rPr>
                <w:iCs w:val="0"/>
                <w:szCs w:val="28"/>
                <w:lang w:val="lv-LV" w:eastAsia="lv-LV"/>
              </w:rPr>
              <w:t xml:space="preserve">oteikumu projektu tehniski un redakcionāli atbilstoši aktuālajai situācijai </w:t>
            </w:r>
            <w:r w:rsidR="00CA5296" w:rsidRPr="007809EE">
              <w:rPr>
                <w:iCs w:val="0"/>
                <w:szCs w:val="28"/>
                <w:lang w:val="lv-LV" w:eastAsia="lv-LV"/>
              </w:rPr>
              <w:t>tiek precizētas N</w:t>
            </w:r>
            <w:r w:rsidRPr="007809EE">
              <w:rPr>
                <w:iCs w:val="0"/>
                <w:szCs w:val="28"/>
                <w:lang w:val="lv-LV" w:eastAsia="lv-LV"/>
              </w:rPr>
              <w:t xml:space="preserve">oteikumos esošās normas un </w:t>
            </w:r>
            <w:r w:rsidR="00D912C8" w:rsidRPr="007809EE">
              <w:rPr>
                <w:iCs w:val="0"/>
                <w:szCs w:val="28"/>
                <w:lang w:val="lv-LV" w:eastAsia="lv-LV"/>
              </w:rPr>
              <w:t>piemēri gan attiecībā uz rezidentiem, gan arī uz nerezidentiem.</w:t>
            </w:r>
          </w:p>
          <w:p w14:paraId="6845716E" w14:textId="266F8838" w:rsidR="00D912C8" w:rsidRPr="007809EE" w:rsidRDefault="00D912C8" w:rsidP="00E125DE">
            <w:pPr>
              <w:tabs>
                <w:tab w:val="left" w:pos="2127"/>
                <w:tab w:val="center" w:pos="4153"/>
                <w:tab w:val="left" w:pos="6096"/>
                <w:tab w:val="right" w:pos="8306"/>
              </w:tabs>
              <w:spacing w:before="120" w:after="120"/>
              <w:ind w:left="79" w:right="142" w:firstLine="425"/>
              <w:jc w:val="center"/>
              <w:rPr>
                <w:i/>
                <w:iCs w:val="0"/>
                <w:szCs w:val="28"/>
                <w:lang w:val="lv-LV" w:eastAsia="lv-LV"/>
              </w:rPr>
            </w:pPr>
            <w:r w:rsidRPr="007809EE">
              <w:rPr>
                <w:i/>
                <w:iCs w:val="0"/>
                <w:szCs w:val="28"/>
                <w:lang w:val="lv-LV" w:eastAsia="lv-LV"/>
              </w:rPr>
              <w:t>Pārējie tehniskie un redakcionālie precizējumi</w:t>
            </w:r>
          </w:p>
          <w:p w14:paraId="12002A85" w14:textId="25FAF9A4" w:rsidR="00D763E9" w:rsidRPr="007809EE" w:rsidRDefault="00CA5296" w:rsidP="00E125DE">
            <w:pPr>
              <w:ind w:left="82" w:right="140" w:firstLine="425"/>
              <w:jc w:val="both"/>
              <w:rPr>
                <w:iCs w:val="0"/>
                <w:szCs w:val="28"/>
                <w:lang w:val="lv-LV" w:eastAsia="lv-LV"/>
              </w:rPr>
            </w:pPr>
            <w:r w:rsidRPr="007809EE">
              <w:rPr>
                <w:iCs w:val="0"/>
                <w:szCs w:val="28"/>
                <w:lang w:val="lv-LV" w:eastAsia="lv-LV"/>
              </w:rPr>
              <w:t>Ar N</w:t>
            </w:r>
            <w:r w:rsidR="00D912C8" w:rsidRPr="007809EE">
              <w:rPr>
                <w:iCs w:val="0"/>
                <w:szCs w:val="28"/>
                <w:lang w:val="lv-LV" w:eastAsia="lv-LV"/>
              </w:rPr>
              <w:t xml:space="preserve">oteikumu projektu </w:t>
            </w:r>
            <w:r w:rsidRPr="007809EE">
              <w:rPr>
                <w:iCs w:val="0"/>
                <w:szCs w:val="28"/>
                <w:lang w:val="lv-LV" w:eastAsia="lv-LV"/>
              </w:rPr>
              <w:t>N</w:t>
            </w:r>
            <w:r w:rsidR="00D763E9" w:rsidRPr="007809EE">
              <w:rPr>
                <w:iCs w:val="0"/>
                <w:szCs w:val="28"/>
                <w:lang w:val="lv-LV" w:eastAsia="lv-LV"/>
              </w:rPr>
              <w:t xml:space="preserve">oteikumos un tā pielikumos tiek </w:t>
            </w:r>
            <w:r w:rsidR="00D912C8" w:rsidRPr="007809EE">
              <w:rPr>
                <w:iCs w:val="0"/>
                <w:szCs w:val="28"/>
                <w:lang w:val="lv-LV" w:eastAsia="lv-LV"/>
              </w:rPr>
              <w:t>veikti arī redakcionāla</w:t>
            </w:r>
            <w:r w:rsidR="00D763E9" w:rsidRPr="007809EE">
              <w:rPr>
                <w:iCs w:val="0"/>
                <w:szCs w:val="28"/>
                <w:lang w:val="lv-LV" w:eastAsia="lv-LV"/>
              </w:rPr>
              <w:t xml:space="preserve"> un tehniska rakstura grozījumi.</w:t>
            </w:r>
          </w:p>
        </w:tc>
      </w:tr>
      <w:tr w:rsidR="006F307C" w:rsidRPr="006F307C" w14:paraId="2FFCD9FE" w14:textId="77777777" w:rsidTr="00A82DEB">
        <w:trPr>
          <w:trHeight w:val="476"/>
        </w:trPr>
        <w:tc>
          <w:tcPr>
            <w:tcW w:w="234" w:type="pct"/>
          </w:tcPr>
          <w:p w14:paraId="6775D8BD" w14:textId="77777777" w:rsidR="006F307C" w:rsidRPr="007809EE" w:rsidRDefault="006F307C" w:rsidP="000C31A2">
            <w:pPr>
              <w:ind w:left="57" w:right="57"/>
              <w:jc w:val="center"/>
              <w:rPr>
                <w:iCs w:val="0"/>
                <w:szCs w:val="28"/>
                <w:lang w:val="lv-LV" w:eastAsia="lv-LV"/>
              </w:rPr>
            </w:pPr>
            <w:r w:rsidRPr="007809EE">
              <w:rPr>
                <w:iCs w:val="0"/>
                <w:szCs w:val="28"/>
                <w:lang w:val="lv-LV" w:eastAsia="lv-LV"/>
              </w:rPr>
              <w:lastRenderedPageBreak/>
              <w:t>3.</w:t>
            </w:r>
          </w:p>
        </w:tc>
        <w:tc>
          <w:tcPr>
            <w:tcW w:w="1583" w:type="pct"/>
          </w:tcPr>
          <w:p w14:paraId="2F08CADD" w14:textId="77777777" w:rsidR="006F307C" w:rsidRPr="007809EE" w:rsidRDefault="006F307C" w:rsidP="000C31A2">
            <w:pPr>
              <w:ind w:left="57" w:right="57"/>
              <w:rPr>
                <w:iCs w:val="0"/>
                <w:szCs w:val="28"/>
                <w:lang w:val="lv-LV" w:eastAsia="lv-LV"/>
              </w:rPr>
            </w:pPr>
            <w:r w:rsidRPr="007809EE">
              <w:rPr>
                <w:iCs w:val="0"/>
                <w:szCs w:val="28"/>
                <w:lang w:val="lv-LV" w:eastAsia="lv-LV"/>
              </w:rPr>
              <w:t>Projekta izstrādē iesaistītās institūcijas</w:t>
            </w:r>
          </w:p>
        </w:tc>
        <w:tc>
          <w:tcPr>
            <w:tcW w:w="3183" w:type="pct"/>
          </w:tcPr>
          <w:p w14:paraId="6D63FD64" w14:textId="76E7240A" w:rsidR="006F307C" w:rsidRPr="00B35892" w:rsidRDefault="00605D4C" w:rsidP="00B35892">
            <w:pPr>
              <w:ind w:right="140"/>
              <w:jc w:val="both"/>
              <w:rPr>
                <w:szCs w:val="28"/>
                <w:lang w:val="lv-LV" w:eastAsia="lv-LV"/>
              </w:rPr>
            </w:pPr>
            <w:r>
              <w:rPr>
                <w:szCs w:val="28"/>
                <w:lang w:val="lv-LV" w:eastAsia="lv-LV"/>
              </w:rPr>
              <w:t xml:space="preserve">Finanšu ministrija, </w:t>
            </w:r>
            <w:r w:rsidR="007344A6" w:rsidRPr="007809EE">
              <w:rPr>
                <w:szCs w:val="28"/>
                <w:lang w:val="lv-LV" w:eastAsia="lv-LV"/>
              </w:rPr>
              <w:t>Valsts ieņēmumu dienests</w:t>
            </w:r>
            <w:r w:rsidR="00061298">
              <w:rPr>
                <w:szCs w:val="28"/>
                <w:lang w:val="lv-LV" w:eastAsia="lv-LV"/>
              </w:rPr>
              <w:t xml:space="preserve">, </w:t>
            </w:r>
            <w:r w:rsidR="00F343CA">
              <w:rPr>
                <w:szCs w:val="28"/>
                <w:lang w:val="lv-LV" w:eastAsia="lv-LV"/>
              </w:rPr>
              <w:t>Kultūras ministrija</w:t>
            </w:r>
            <w:r w:rsidR="00061298">
              <w:rPr>
                <w:szCs w:val="28"/>
                <w:lang w:val="lv-LV" w:eastAsia="lv-LV"/>
              </w:rPr>
              <w:t>.</w:t>
            </w:r>
          </w:p>
        </w:tc>
      </w:tr>
      <w:tr w:rsidR="006F307C" w:rsidRPr="006F307C" w14:paraId="49B02C1B" w14:textId="77777777" w:rsidTr="00A82DEB">
        <w:tc>
          <w:tcPr>
            <w:tcW w:w="234" w:type="pct"/>
          </w:tcPr>
          <w:p w14:paraId="1243B813" w14:textId="1A0C02F8" w:rsidR="006F307C" w:rsidRPr="007809EE" w:rsidRDefault="006F307C" w:rsidP="000C31A2">
            <w:pPr>
              <w:ind w:left="57" w:right="57"/>
              <w:jc w:val="center"/>
              <w:rPr>
                <w:iCs w:val="0"/>
                <w:szCs w:val="28"/>
                <w:lang w:val="lv-LV" w:eastAsia="lv-LV"/>
              </w:rPr>
            </w:pPr>
            <w:r w:rsidRPr="007809EE">
              <w:rPr>
                <w:iCs w:val="0"/>
                <w:szCs w:val="28"/>
                <w:lang w:val="lv-LV" w:eastAsia="lv-LV"/>
              </w:rPr>
              <w:t>4.</w:t>
            </w:r>
          </w:p>
        </w:tc>
        <w:tc>
          <w:tcPr>
            <w:tcW w:w="1583" w:type="pct"/>
          </w:tcPr>
          <w:p w14:paraId="4AF9595D" w14:textId="77777777" w:rsidR="006F307C" w:rsidRPr="007809EE" w:rsidRDefault="006F307C" w:rsidP="000C31A2">
            <w:pPr>
              <w:ind w:left="57" w:right="57"/>
              <w:rPr>
                <w:iCs w:val="0"/>
                <w:szCs w:val="28"/>
                <w:lang w:val="lv-LV" w:eastAsia="lv-LV"/>
              </w:rPr>
            </w:pPr>
            <w:r w:rsidRPr="007809EE">
              <w:rPr>
                <w:iCs w:val="0"/>
                <w:szCs w:val="28"/>
                <w:lang w:val="lv-LV" w:eastAsia="lv-LV"/>
              </w:rPr>
              <w:t>Cita informācija</w:t>
            </w:r>
          </w:p>
        </w:tc>
        <w:tc>
          <w:tcPr>
            <w:tcW w:w="3183" w:type="pct"/>
          </w:tcPr>
          <w:p w14:paraId="5AE621EB" w14:textId="77777777" w:rsidR="006F307C" w:rsidRPr="007809EE" w:rsidRDefault="006F307C" w:rsidP="000C31A2">
            <w:pPr>
              <w:ind w:right="57"/>
              <w:rPr>
                <w:iCs w:val="0"/>
                <w:szCs w:val="28"/>
                <w:lang w:val="lv-LV" w:eastAsia="lv-LV"/>
              </w:rPr>
            </w:pPr>
            <w:r w:rsidRPr="007809EE">
              <w:rPr>
                <w:iCs w:val="0"/>
                <w:szCs w:val="28"/>
                <w:lang w:val="lv-LV" w:eastAsia="lv-LV"/>
              </w:rPr>
              <w:t>Nav.</w:t>
            </w:r>
          </w:p>
        </w:tc>
      </w:tr>
    </w:tbl>
    <w:p w14:paraId="0698EBB1" w14:textId="77777777" w:rsidR="006F307C" w:rsidRPr="007809EE"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3113"/>
        <w:gridCol w:w="6094"/>
      </w:tblGrid>
      <w:tr w:rsidR="006F307C" w:rsidRPr="000C31A2" w14:paraId="342AB38F" w14:textId="77777777" w:rsidTr="000C31A2">
        <w:trPr>
          <w:trHeight w:val="419"/>
        </w:trPr>
        <w:tc>
          <w:tcPr>
            <w:tcW w:w="5000" w:type="pct"/>
            <w:gridSpan w:val="3"/>
            <w:vAlign w:val="center"/>
          </w:tcPr>
          <w:p w14:paraId="33969DA6" w14:textId="77777777" w:rsidR="006F307C" w:rsidRPr="007809EE" w:rsidRDefault="006F307C" w:rsidP="000C31A2">
            <w:pPr>
              <w:jc w:val="center"/>
              <w:rPr>
                <w:b/>
                <w:iCs w:val="0"/>
                <w:szCs w:val="28"/>
                <w:lang w:val="lv-LV" w:eastAsia="lv-LV"/>
              </w:rPr>
            </w:pPr>
            <w:r w:rsidRPr="007809EE">
              <w:rPr>
                <w:b/>
                <w:bCs/>
                <w:iCs w:val="0"/>
                <w:szCs w:val="28"/>
                <w:lang w:val="lv-LV" w:eastAsia="lv-LV"/>
              </w:rPr>
              <w:t>II. Tiesību akta projekta ietekme uz sabiedrību, tautsaimniecības attīstību un administratīvo slogu</w:t>
            </w:r>
          </w:p>
        </w:tc>
      </w:tr>
      <w:tr w:rsidR="006F307C" w:rsidRPr="006F307C" w14:paraId="45C1CABB" w14:textId="77777777" w:rsidTr="000C31A2">
        <w:trPr>
          <w:trHeight w:val="415"/>
        </w:trPr>
        <w:tc>
          <w:tcPr>
            <w:tcW w:w="224" w:type="pct"/>
          </w:tcPr>
          <w:p w14:paraId="65374F03" w14:textId="77777777" w:rsidR="006F307C" w:rsidRPr="007809EE" w:rsidRDefault="006F307C" w:rsidP="000C31A2">
            <w:pPr>
              <w:rPr>
                <w:iCs w:val="0"/>
                <w:szCs w:val="28"/>
                <w:lang w:val="lv-LV" w:eastAsia="lv-LV"/>
              </w:rPr>
            </w:pPr>
            <w:r w:rsidRPr="007809EE">
              <w:rPr>
                <w:iCs w:val="0"/>
                <w:szCs w:val="28"/>
                <w:lang w:val="lv-LV" w:eastAsia="lv-LV"/>
              </w:rPr>
              <w:lastRenderedPageBreak/>
              <w:t>1.</w:t>
            </w:r>
          </w:p>
        </w:tc>
        <w:tc>
          <w:tcPr>
            <w:tcW w:w="1615" w:type="pct"/>
          </w:tcPr>
          <w:p w14:paraId="15DF0CAB" w14:textId="77777777" w:rsidR="006F307C" w:rsidRPr="007809EE" w:rsidRDefault="006F307C" w:rsidP="000C31A2">
            <w:pPr>
              <w:rPr>
                <w:iCs w:val="0"/>
                <w:szCs w:val="28"/>
                <w:lang w:val="lv-LV" w:eastAsia="lv-LV"/>
              </w:rPr>
            </w:pPr>
            <w:r w:rsidRPr="007809EE">
              <w:rPr>
                <w:iCs w:val="0"/>
                <w:szCs w:val="28"/>
                <w:lang w:val="lv-LV" w:eastAsia="lv-LV"/>
              </w:rPr>
              <w:t>Sabiedrības mērķgrupas, kuras tiesiskais regulējums ietekmē vai varētu ietekmēt</w:t>
            </w:r>
          </w:p>
        </w:tc>
        <w:tc>
          <w:tcPr>
            <w:tcW w:w="3161" w:type="pct"/>
          </w:tcPr>
          <w:p w14:paraId="78328627" w14:textId="3B7F57FA" w:rsidR="006F307C" w:rsidRPr="007809EE" w:rsidRDefault="007809EE" w:rsidP="00653653">
            <w:pPr>
              <w:numPr>
                <w:ilvl w:val="0"/>
                <w:numId w:val="20"/>
              </w:numPr>
              <w:ind w:left="426" w:right="125" w:hanging="284"/>
              <w:jc w:val="both"/>
              <w:rPr>
                <w:iCs w:val="0"/>
                <w:szCs w:val="28"/>
                <w:lang w:val="lv-LV" w:eastAsia="lv-LV"/>
              </w:rPr>
            </w:pPr>
            <w:r w:rsidRPr="007809EE">
              <w:rPr>
                <w:iCs w:val="0"/>
                <w:szCs w:val="28"/>
                <w:lang w:val="lv-LV" w:eastAsia="lv-LV"/>
              </w:rPr>
              <w:t xml:space="preserve">fiziskās personas – </w:t>
            </w:r>
            <w:r w:rsidR="006F307C" w:rsidRPr="007809EE">
              <w:rPr>
                <w:iCs w:val="0"/>
                <w:szCs w:val="28"/>
                <w:lang w:val="lv-LV" w:eastAsia="lv-LV"/>
              </w:rPr>
              <w:t>visi iedzīvotāju ienākuma nodokļa</w:t>
            </w:r>
            <w:r w:rsidRPr="007809EE">
              <w:rPr>
                <w:iCs w:val="0"/>
                <w:szCs w:val="28"/>
                <w:lang w:val="lv-LV" w:eastAsia="lv-LV"/>
              </w:rPr>
              <w:t xml:space="preserve"> </w:t>
            </w:r>
            <w:r w:rsidR="006F307C" w:rsidRPr="007809EE">
              <w:rPr>
                <w:iCs w:val="0"/>
                <w:szCs w:val="28"/>
                <w:lang w:val="lv-LV" w:eastAsia="lv-LV"/>
              </w:rPr>
              <w:t>maksātāji;</w:t>
            </w:r>
          </w:p>
          <w:p w14:paraId="45516DB8" w14:textId="175B6CD6" w:rsidR="006F307C" w:rsidRPr="007809EE" w:rsidRDefault="006F307C" w:rsidP="000C31A2">
            <w:pPr>
              <w:numPr>
                <w:ilvl w:val="0"/>
                <w:numId w:val="20"/>
              </w:numPr>
              <w:ind w:left="426" w:right="125" w:hanging="284"/>
              <w:jc w:val="both"/>
              <w:rPr>
                <w:iCs w:val="0"/>
                <w:szCs w:val="28"/>
                <w:lang w:val="lv-LV" w:eastAsia="lv-LV"/>
              </w:rPr>
            </w:pPr>
            <w:r w:rsidRPr="007809EE">
              <w:rPr>
                <w:iCs w:val="0"/>
                <w:szCs w:val="28"/>
                <w:lang w:val="lv-LV" w:eastAsia="lv-LV"/>
              </w:rPr>
              <w:t>saimnieciskās darbības veicēji;</w:t>
            </w:r>
          </w:p>
          <w:p w14:paraId="296B1BF8" w14:textId="233B8281" w:rsidR="003259AD" w:rsidRPr="007809EE" w:rsidRDefault="003259AD" w:rsidP="000C31A2">
            <w:pPr>
              <w:numPr>
                <w:ilvl w:val="0"/>
                <w:numId w:val="20"/>
              </w:numPr>
              <w:ind w:left="426" w:right="125" w:hanging="284"/>
              <w:jc w:val="both"/>
              <w:rPr>
                <w:iCs w:val="0"/>
                <w:szCs w:val="28"/>
                <w:lang w:val="lv-LV" w:eastAsia="lv-LV"/>
              </w:rPr>
            </w:pPr>
            <w:r w:rsidRPr="007809EE">
              <w:rPr>
                <w:iCs w:val="0"/>
                <w:szCs w:val="28"/>
                <w:lang w:val="lv-LV" w:eastAsia="lv-LV"/>
              </w:rPr>
              <w:t>autoratlīdzību (honorāru) saņēmēji;</w:t>
            </w:r>
          </w:p>
          <w:p w14:paraId="3CAFCD74" w14:textId="64CBD546" w:rsidR="003C35F6" w:rsidRDefault="006F307C" w:rsidP="00CC036C">
            <w:pPr>
              <w:numPr>
                <w:ilvl w:val="0"/>
                <w:numId w:val="20"/>
              </w:numPr>
              <w:ind w:left="426" w:right="125" w:hanging="284"/>
              <w:jc w:val="both"/>
              <w:rPr>
                <w:iCs w:val="0"/>
                <w:szCs w:val="28"/>
                <w:lang w:val="lv-LV" w:eastAsia="lv-LV"/>
              </w:rPr>
            </w:pPr>
            <w:r w:rsidRPr="007809EE">
              <w:rPr>
                <w:iCs w:val="0"/>
                <w:szCs w:val="28"/>
                <w:lang w:val="lv-LV" w:eastAsia="lv-LV"/>
              </w:rPr>
              <w:t xml:space="preserve">fiziskās personas, kuras piemēros </w:t>
            </w:r>
            <w:r w:rsidRPr="007809EE">
              <w:rPr>
                <w:iCs w:val="0"/>
                <w:color w:val="000000"/>
                <w:szCs w:val="28"/>
                <w:lang w:val="lv-LV" w:eastAsia="lv-LV"/>
              </w:rPr>
              <w:t xml:space="preserve">likuma </w:t>
            </w:r>
            <w:r w:rsidRPr="007809EE">
              <w:rPr>
                <w:iCs w:val="0"/>
                <w:szCs w:val="28"/>
                <w:lang w:val="lv-LV" w:eastAsia="lv-LV"/>
              </w:rPr>
              <w:t>“Par iedzīvotāju</w:t>
            </w:r>
            <w:r w:rsidR="007809EE" w:rsidRPr="007809EE">
              <w:rPr>
                <w:iCs w:val="0"/>
                <w:szCs w:val="28"/>
                <w:lang w:val="lv-LV" w:eastAsia="lv-LV"/>
              </w:rPr>
              <w:t xml:space="preserve"> </w:t>
            </w:r>
            <w:r w:rsidRPr="007809EE">
              <w:rPr>
                <w:iCs w:val="0"/>
                <w:szCs w:val="28"/>
                <w:lang w:val="lv-LV" w:eastAsia="lv-LV"/>
              </w:rPr>
              <w:t xml:space="preserve">ienākuma nodokli” </w:t>
            </w:r>
            <w:r w:rsidRPr="007809EE">
              <w:rPr>
                <w:iCs w:val="0"/>
                <w:color w:val="000000"/>
                <w:szCs w:val="28"/>
                <w:lang w:val="lv-LV" w:eastAsia="lv-LV"/>
              </w:rPr>
              <w:t>10.panta pirmajā daļā minētos attaisnotos</w:t>
            </w:r>
            <w:r w:rsidR="007809EE" w:rsidRPr="007809EE">
              <w:rPr>
                <w:iCs w:val="0"/>
                <w:color w:val="000000"/>
                <w:szCs w:val="28"/>
                <w:lang w:val="lv-LV" w:eastAsia="lv-LV"/>
              </w:rPr>
              <w:t xml:space="preserve"> </w:t>
            </w:r>
            <w:r w:rsidRPr="007809EE">
              <w:rPr>
                <w:iCs w:val="0"/>
                <w:color w:val="000000"/>
                <w:szCs w:val="28"/>
                <w:lang w:val="lv-LV" w:eastAsia="lv-LV"/>
              </w:rPr>
              <w:t>izdevumus</w:t>
            </w:r>
            <w:r w:rsidRPr="007809EE">
              <w:rPr>
                <w:iCs w:val="0"/>
                <w:szCs w:val="28"/>
                <w:lang w:val="lv-LV" w:eastAsia="lv-LV"/>
              </w:rPr>
              <w:t>;</w:t>
            </w:r>
          </w:p>
          <w:p w14:paraId="266D3395" w14:textId="4A781F2E" w:rsidR="007809EE" w:rsidRPr="007809EE" w:rsidRDefault="007809EE" w:rsidP="00CC036C">
            <w:pPr>
              <w:numPr>
                <w:ilvl w:val="0"/>
                <w:numId w:val="20"/>
              </w:numPr>
              <w:ind w:left="426" w:right="125" w:hanging="284"/>
              <w:jc w:val="both"/>
              <w:rPr>
                <w:iCs w:val="0"/>
                <w:szCs w:val="28"/>
                <w:lang w:val="lv-LV" w:eastAsia="lv-LV"/>
              </w:rPr>
            </w:pPr>
            <w:r w:rsidRPr="007809EE">
              <w:rPr>
                <w:szCs w:val="28"/>
                <w:lang w:eastAsia="lv-LV"/>
              </w:rPr>
              <w:t>fiziskās personas, kuras saņem pensiju;</w:t>
            </w:r>
          </w:p>
          <w:p w14:paraId="3E4A5C40" w14:textId="5E8E392D" w:rsidR="006F307C" w:rsidRPr="007809EE" w:rsidRDefault="006F307C" w:rsidP="007809EE">
            <w:pPr>
              <w:numPr>
                <w:ilvl w:val="0"/>
                <w:numId w:val="20"/>
              </w:numPr>
              <w:ind w:left="426" w:right="125" w:hanging="284"/>
              <w:jc w:val="both"/>
              <w:rPr>
                <w:iCs w:val="0"/>
                <w:szCs w:val="28"/>
                <w:lang w:val="lv-LV" w:eastAsia="lv-LV"/>
              </w:rPr>
            </w:pPr>
            <w:r w:rsidRPr="007809EE">
              <w:rPr>
                <w:iCs w:val="0"/>
                <w:szCs w:val="28"/>
                <w:lang w:val="lv-LV" w:eastAsia="lv-LV"/>
              </w:rPr>
              <w:t>fiziskās personas, kuras gūst ienākumu no izložu un</w:t>
            </w:r>
            <w:r w:rsidR="007809EE">
              <w:rPr>
                <w:iCs w:val="0"/>
                <w:szCs w:val="28"/>
                <w:lang w:val="lv-LV" w:eastAsia="lv-LV"/>
              </w:rPr>
              <w:t xml:space="preserve"> </w:t>
            </w:r>
            <w:r w:rsidRPr="007809EE">
              <w:rPr>
                <w:iCs w:val="0"/>
                <w:szCs w:val="28"/>
                <w:lang w:val="lv-LV" w:eastAsia="lv-LV"/>
              </w:rPr>
              <w:t>azartspēļu laimestiem.</w:t>
            </w:r>
          </w:p>
        </w:tc>
      </w:tr>
      <w:tr w:rsidR="006F307C" w:rsidRPr="000C31A2" w14:paraId="4A90EB22" w14:textId="77777777" w:rsidTr="000C31A2">
        <w:trPr>
          <w:trHeight w:val="274"/>
        </w:trPr>
        <w:tc>
          <w:tcPr>
            <w:tcW w:w="224" w:type="pct"/>
          </w:tcPr>
          <w:p w14:paraId="368B4CB7" w14:textId="77777777" w:rsidR="006F307C" w:rsidRPr="007809EE" w:rsidRDefault="006F307C" w:rsidP="000C31A2">
            <w:pPr>
              <w:rPr>
                <w:iCs w:val="0"/>
                <w:szCs w:val="28"/>
                <w:lang w:val="lv-LV" w:eastAsia="lv-LV"/>
              </w:rPr>
            </w:pPr>
            <w:r w:rsidRPr="007809EE">
              <w:rPr>
                <w:iCs w:val="0"/>
                <w:szCs w:val="28"/>
                <w:lang w:val="lv-LV" w:eastAsia="lv-LV"/>
              </w:rPr>
              <w:t>2.</w:t>
            </w:r>
          </w:p>
        </w:tc>
        <w:tc>
          <w:tcPr>
            <w:tcW w:w="1615" w:type="pct"/>
          </w:tcPr>
          <w:p w14:paraId="190AC7B9" w14:textId="77777777" w:rsidR="006F307C" w:rsidRPr="007809EE" w:rsidRDefault="006F307C" w:rsidP="000C31A2">
            <w:pPr>
              <w:rPr>
                <w:iCs w:val="0"/>
                <w:szCs w:val="28"/>
                <w:lang w:val="lv-LV" w:eastAsia="lv-LV"/>
              </w:rPr>
            </w:pPr>
            <w:r w:rsidRPr="007809EE">
              <w:rPr>
                <w:iCs w:val="0"/>
                <w:szCs w:val="28"/>
                <w:lang w:val="lv-LV" w:eastAsia="lv-LV"/>
              </w:rPr>
              <w:t>Tiesiskā regulējuma ietekme uz tautsaimniecību un administratīvo slogu</w:t>
            </w:r>
          </w:p>
        </w:tc>
        <w:tc>
          <w:tcPr>
            <w:tcW w:w="3161" w:type="pct"/>
          </w:tcPr>
          <w:p w14:paraId="657B69A6" w14:textId="6880A1D2" w:rsidR="00925D34" w:rsidRPr="007809EE" w:rsidRDefault="007809EE" w:rsidP="007809EE">
            <w:pPr>
              <w:tabs>
                <w:tab w:val="left" w:pos="2127"/>
                <w:tab w:val="center" w:pos="4153"/>
                <w:tab w:val="left" w:pos="5809"/>
                <w:tab w:val="right" w:pos="8306"/>
              </w:tabs>
              <w:ind w:right="125"/>
              <w:rPr>
                <w:color w:val="000000"/>
                <w:szCs w:val="28"/>
                <w:lang w:eastAsia="lv-LV"/>
              </w:rPr>
            </w:pPr>
            <w:r w:rsidRPr="007809EE">
              <w:rPr>
                <w:color w:val="000000"/>
                <w:szCs w:val="28"/>
                <w:lang w:eastAsia="lv-LV"/>
              </w:rPr>
              <w:t>Noteikumu projekts šo jomu neskar</w:t>
            </w:r>
          </w:p>
        </w:tc>
      </w:tr>
      <w:tr w:rsidR="006F307C" w:rsidRPr="006F307C" w14:paraId="5E08F9F1" w14:textId="77777777" w:rsidTr="000C31A2">
        <w:trPr>
          <w:trHeight w:val="309"/>
        </w:trPr>
        <w:tc>
          <w:tcPr>
            <w:tcW w:w="224" w:type="pct"/>
          </w:tcPr>
          <w:p w14:paraId="34994B6C" w14:textId="77777777" w:rsidR="006F307C" w:rsidRPr="007809EE" w:rsidRDefault="006F307C" w:rsidP="000C31A2">
            <w:pPr>
              <w:rPr>
                <w:iCs w:val="0"/>
                <w:szCs w:val="28"/>
                <w:lang w:val="lv-LV" w:eastAsia="lv-LV"/>
              </w:rPr>
            </w:pPr>
            <w:r w:rsidRPr="007809EE">
              <w:rPr>
                <w:iCs w:val="0"/>
                <w:szCs w:val="28"/>
                <w:lang w:val="lv-LV" w:eastAsia="lv-LV"/>
              </w:rPr>
              <w:t>3.</w:t>
            </w:r>
          </w:p>
        </w:tc>
        <w:tc>
          <w:tcPr>
            <w:tcW w:w="1615" w:type="pct"/>
          </w:tcPr>
          <w:p w14:paraId="77EF406D" w14:textId="77777777" w:rsidR="006F307C" w:rsidRPr="007809EE" w:rsidRDefault="006F307C" w:rsidP="000C31A2">
            <w:pPr>
              <w:rPr>
                <w:iCs w:val="0"/>
                <w:szCs w:val="28"/>
                <w:lang w:val="lv-LV" w:eastAsia="lv-LV"/>
              </w:rPr>
            </w:pPr>
            <w:r w:rsidRPr="007809EE">
              <w:rPr>
                <w:iCs w:val="0"/>
                <w:szCs w:val="28"/>
                <w:lang w:val="lv-LV" w:eastAsia="lv-LV"/>
              </w:rPr>
              <w:t>Administratīvo izmaksu monetārs novērtējums</w:t>
            </w:r>
          </w:p>
        </w:tc>
        <w:tc>
          <w:tcPr>
            <w:tcW w:w="3161" w:type="pct"/>
          </w:tcPr>
          <w:p w14:paraId="30879FC4" w14:textId="78B94608" w:rsidR="006F307C" w:rsidRPr="007809EE" w:rsidRDefault="007809EE" w:rsidP="007809EE">
            <w:pPr>
              <w:tabs>
                <w:tab w:val="left" w:pos="5809"/>
              </w:tabs>
              <w:ind w:right="125"/>
              <w:rPr>
                <w:iCs w:val="0"/>
                <w:szCs w:val="28"/>
                <w:lang w:val="lv-LV" w:eastAsia="lv-LV"/>
              </w:rPr>
            </w:pPr>
            <w:r w:rsidRPr="007809EE">
              <w:rPr>
                <w:iCs w:val="0"/>
                <w:szCs w:val="28"/>
                <w:lang w:val="lv-LV" w:eastAsia="lv-LV"/>
              </w:rPr>
              <w:t>Noteikumu p</w:t>
            </w:r>
            <w:r w:rsidR="006F307C" w:rsidRPr="007809EE">
              <w:rPr>
                <w:iCs w:val="0"/>
                <w:szCs w:val="28"/>
                <w:lang w:val="lv-LV" w:eastAsia="lv-LV"/>
              </w:rPr>
              <w:t>rojekts šo jomu neskar.</w:t>
            </w:r>
          </w:p>
        </w:tc>
      </w:tr>
      <w:tr w:rsidR="006F307C" w:rsidRPr="006F307C" w14:paraId="585AF259" w14:textId="77777777" w:rsidTr="000C31A2">
        <w:trPr>
          <w:trHeight w:val="242"/>
        </w:trPr>
        <w:tc>
          <w:tcPr>
            <w:tcW w:w="224" w:type="pct"/>
          </w:tcPr>
          <w:p w14:paraId="1969874B" w14:textId="77777777" w:rsidR="006F307C" w:rsidRPr="007809EE" w:rsidRDefault="006F307C" w:rsidP="000C31A2">
            <w:pPr>
              <w:rPr>
                <w:iCs w:val="0"/>
                <w:szCs w:val="28"/>
                <w:lang w:val="lv-LV" w:eastAsia="lv-LV"/>
              </w:rPr>
            </w:pPr>
            <w:r w:rsidRPr="007809EE">
              <w:rPr>
                <w:iCs w:val="0"/>
                <w:szCs w:val="28"/>
                <w:lang w:val="lv-LV" w:eastAsia="lv-LV"/>
              </w:rPr>
              <w:t>4.</w:t>
            </w:r>
          </w:p>
        </w:tc>
        <w:tc>
          <w:tcPr>
            <w:tcW w:w="1615" w:type="pct"/>
          </w:tcPr>
          <w:p w14:paraId="0077FB94" w14:textId="77777777" w:rsidR="006F307C" w:rsidRPr="007809EE" w:rsidRDefault="006F307C" w:rsidP="000C31A2">
            <w:pPr>
              <w:rPr>
                <w:iCs w:val="0"/>
                <w:szCs w:val="28"/>
                <w:lang w:val="lv-LV" w:eastAsia="lv-LV"/>
              </w:rPr>
            </w:pPr>
            <w:r w:rsidRPr="007809EE">
              <w:rPr>
                <w:iCs w:val="0"/>
                <w:szCs w:val="28"/>
                <w:lang w:val="lv-LV" w:eastAsia="lv-LV"/>
              </w:rPr>
              <w:t>Cita informācija</w:t>
            </w:r>
          </w:p>
        </w:tc>
        <w:tc>
          <w:tcPr>
            <w:tcW w:w="3161" w:type="pct"/>
          </w:tcPr>
          <w:p w14:paraId="15FAFA24" w14:textId="77777777" w:rsidR="006F307C" w:rsidRPr="007809EE" w:rsidRDefault="006F307C" w:rsidP="000C31A2">
            <w:pPr>
              <w:rPr>
                <w:iCs w:val="0"/>
                <w:szCs w:val="28"/>
                <w:lang w:val="lv-LV" w:eastAsia="lv-LV"/>
              </w:rPr>
            </w:pPr>
            <w:r w:rsidRPr="007809EE">
              <w:rPr>
                <w:iCs w:val="0"/>
                <w:szCs w:val="28"/>
                <w:lang w:val="lv-LV" w:eastAsia="lv-LV"/>
              </w:rPr>
              <w:t>Nav.</w:t>
            </w:r>
          </w:p>
        </w:tc>
      </w:tr>
    </w:tbl>
    <w:p w14:paraId="3410194F" w14:textId="77777777" w:rsidR="006F307C" w:rsidRPr="007809EE" w:rsidRDefault="006F307C" w:rsidP="006F307C">
      <w:pPr>
        <w:rPr>
          <w:iCs w:val="0"/>
          <w:szCs w:val="28"/>
          <w:lang w:val="lv-LV" w:eastAsia="lv-LV"/>
        </w:rPr>
      </w:pPr>
    </w:p>
    <w:tbl>
      <w:tblPr>
        <w:tblW w:w="96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39"/>
      </w:tblGrid>
      <w:tr w:rsidR="006F307C" w:rsidRPr="000C31A2" w14:paraId="087463BF" w14:textId="77777777" w:rsidTr="000C31A2">
        <w:tc>
          <w:tcPr>
            <w:tcW w:w="5000" w:type="pct"/>
            <w:tcBorders>
              <w:top w:val="single" w:sz="4" w:space="0" w:color="auto"/>
              <w:left w:val="single" w:sz="4" w:space="0" w:color="auto"/>
              <w:bottom w:val="single" w:sz="4" w:space="0" w:color="auto"/>
              <w:right w:val="single" w:sz="4" w:space="0" w:color="auto"/>
            </w:tcBorders>
            <w:hideMark/>
          </w:tcPr>
          <w:p w14:paraId="68A7CD1B" w14:textId="77777777" w:rsidR="006F307C" w:rsidRPr="007809EE" w:rsidRDefault="006F307C" w:rsidP="006F307C">
            <w:pPr>
              <w:jc w:val="center"/>
              <w:rPr>
                <w:b/>
                <w:bCs/>
                <w:iCs w:val="0"/>
                <w:color w:val="000000"/>
                <w:szCs w:val="28"/>
                <w:lang w:val="lv-LV" w:eastAsia="lv-LV"/>
              </w:rPr>
            </w:pPr>
            <w:r w:rsidRPr="007809EE">
              <w:rPr>
                <w:b/>
                <w:bCs/>
                <w:iCs w:val="0"/>
                <w:color w:val="000000"/>
                <w:szCs w:val="28"/>
                <w:lang w:val="lv-LV" w:eastAsia="lv-LV"/>
              </w:rPr>
              <w:t>III. Tiesību akta projekta ietekme uz valsts budžetu un pašvaldību budžetiem</w:t>
            </w:r>
          </w:p>
        </w:tc>
      </w:tr>
      <w:tr w:rsidR="00016E63" w:rsidRPr="000C31A2" w14:paraId="6D9208C3" w14:textId="77777777" w:rsidTr="000C31A2">
        <w:tc>
          <w:tcPr>
            <w:tcW w:w="5000" w:type="pct"/>
            <w:tcBorders>
              <w:top w:val="single" w:sz="4" w:space="0" w:color="auto"/>
              <w:left w:val="single" w:sz="4" w:space="0" w:color="auto"/>
              <w:bottom w:val="single" w:sz="4" w:space="0" w:color="auto"/>
              <w:right w:val="single" w:sz="4" w:space="0" w:color="auto"/>
            </w:tcBorders>
          </w:tcPr>
          <w:p w14:paraId="0701DD43" w14:textId="1B51B63F" w:rsidR="00016E63" w:rsidRPr="007809EE" w:rsidRDefault="00016E63" w:rsidP="006F307C">
            <w:pPr>
              <w:jc w:val="center"/>
              <w:rPr>
                <w:b/>
                <w:bCs/>
                <w:iCs w:val="0"/>
                <w:color w:val="000000"/>
                <w:szCs w:val="28"/>
                <w:lang w:val="lv-LV" w:eastAsia="lv-LV"/>
              </w:rPr>
            </w:pPr>
            <w:r>
              <w:rPr>
                <w:iCs w:val="0"/>
                <w:szCs w:val="28"/>
                <w:lang w:val="lv-LV" w:eastAsia="lv-LV"/>
              </w:rPr>
              <w:t>Noteikumu p</w:t>
            </w:r>
            <w:r w:rsidRPr="007809EE">
              <w:rPr>
                <w:iCs w:val="0"/>
                <w:szCs w:val="28"/>
                <w:lang w:val="lv-LV" w:eastAsia="lv-LV"/>
              </w:rPr>
              <w:t>rojekts šo jomu neskar.</w:t>
            </w:r>
          </w:p>
        </w:tc>
      </w:tr>
    </w:tbl>
    <w:p w14:paraId="601C654F" w14:textId="77777777" w:rsidR="006F307C" w:rsidRPr="007809EE"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9"/>
      </w:tblGrid>
      <w:tr w:rsidR="006F307C" w:rsidRPr="000C31A2" w14:paraId="67ADBEEE" w14:textId="77777777" w:rsidTr="000C31A2">
        <w:trPr>
          <w:trHeight w:val="419"/>
        </w:trPr>
        <w:tc>
          <w:tcPr>
            <w:tcW w:w="5000" w:type="pct"/>
            <w:vAlign w:val="center"/>
          </w:tcPr>
          <w:p w14:paraId="3C6772D9" w14:textId="77777777" w:rsidR="006F307C" w:rsidRPr="007809EE" w:rsidRDefault="006F307C" w:rsidP="000C31A2">
            <w:pPr>
              <w:jc w:val="center"/>
              <w:rPr>
                <w:b/>
                <w:iCs w:val="0"/>
                <w:szCs w:val="28"/>
                <w:lang w:val="lv-LV" w:eastAsia="lv-LV"/>
              </w:rPr>
            </w:pPr>
            <w:r w:rsidRPr="007809EE">
              <w:rPr>
                <w:b/>
                <w:bCs/>
                <w:iCs w:val="0"/>
                <w:szCs w:val="28"/>
                <w:lang w:val="lv-LV" w:eastAsia="lv-LV"/>
              </w:rPr>
              <w:t>IV. Tiesību akta projekta ietekme uz spēkā esošo tiesību normu sistēmu</w:t>
            </w:r>
          </w:p>
        </w:tc>
      </w:tr>
      <w:tr w:rsidR="00B25896" w:rsidRPr="000C31A2" w14:paraId="6DF1446C" w14:textId="77777777" w:rsidTr="000C31A2">
        <w:trPr>
          <w:trHeight w:val="419"/>
        </w:trPr>
        <w:tc>
          <w:tcPr>
            <w:tcW w:w="5000" w:type="pct"/>
            <w:vAlign w:val="center"/>
          </w:tcPr>
          <w:p w14:paraId="628D9DF2" w14:textId="1BD9E1BC" w:rsidR="00B25896" w:rsidRPr="007809EE" w:rsidRDefault="007809EE" w:rsidP="007809EE">
            <w:pPr>
              <w:jc w:val="center"/>
              <w:rPr>
                <w:b/>
                <w:bCs/>
                <w:iCs w:val="0"/>
                <w:szCs w:val="28"/>
                <w:lang w:val="lv-LV" w:eastAsia="lv-LV"/>
              </w:rPr>
            </w:pPr>
            <w:r>
              <w:rPr>
                <w:iCs w:val="0"/>
                <w:szCs w:val="28"/>
                <w:lang w:val="lv-LV" w:eastAsia="lv-LV"/>
              </w:rPr>
              <w:t>Noteikumu p</w:t>
            </w:r>
            <w:r w:rsidR="00B25896" w:rsidRPr="007809EE">
              <w:rPr>
                <w:iCs w:val="0"/>
                <w:szCs w:val="28"/>
                <w:lang w:val="lv-LV" w:eastAsia="lv-LV"/>
              </w:rPr>
              <w:t>rojekts šo jomu neskar.</w:t>
            </w:r>
          </w:p>
        </w:tc>
      </w:tr>
    </w:tbl>
    <w:p w14:paraId="28EAA3B2" w14:textId="77777777" w:rsidR="006F307C" w:rsidRPr="006F307C" w:rsidRDefault="006F307C" w:rsidP="006F307C">
      <w:pPr>
        <w:rPr>
          <w:iCs w:val="0"/>
          <w:szCs w:val="28"/>
          <w:lang w:val="lv-LV" w:eastAsia="lv-LV"/>
        </w:rPr>
      </w:pPr>
    </w:p>
    <w:tbl>
      <w:tblPr>
        <w:tblW w:w="963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9"/>
      </w:tblGrid>
      <w:tr w:rsidR="006F307C" w:rsidRPr="006F307C" w14:paraId="4DC89158" w14:textId="77777777" w:rsidTr="000C31A2">
        <w:tc>
          <w:tcPr>
            <w:tcW w:w="97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6BC74" w14:textId="77777777" w:rsidR="006F307C" w:rsidRPr="007809EE" w:rsidRDefault="006F307C" w:rsidP="006F307C">
            <w:pPr>
              <w:spacing w:before="100" w:beforeAutospacing="1" w:after="100" w:afterAutospacing="1" w:line="293" w:lineRule="atLeast"/>
              <w:jc w:val="center"/>
              <w:rPr>
                <w:b/>
                <w:bCs/>
                <w:iCs w:val="0"/>
                <w:szCs w:val="28"/>
                <w:lang w:val="lv-LV" w:eastAsia="lv-LV"/>
              </w:rPr>
            </w:pPr>
            <w:r w:rsidRPr="007809EE">
              <w:rPr>
                <w:b/>
                <w:bCs/>
                <w:iCs w:val="0"/>
                <w:szCs w:val="28"/>
                <w:lang w:val="lv-LV" w:eastAsia="lv-LV"/>
              </w:rPr>
              <w:t>V. Tiesību akta projekta atbilstība Latvijas Republikas starptautiskajām saistībām</w:t>
            </w:r>
          </w:p>
        </w:tc>
      </w:tr>
      <w:tr w:rsidR="006F307C" w:rsidRPr="006F307C" w14:paraId="28525448" w14:textId="77777777" w:rsidTr="000C31A2">
        <w:tc>
          <w:tcPr>
            <w:tcW w:w="9776" w:type="dxa"/>
            <w:tcBorders>
              <w:top w:val="outset" w:sz="6" w:space="0" w:color="414142"/>
              <w:left w:val="outset" w:sz="6" w:space="0" w:color="414142"/>
              <w:bottom w:val="outset" w:sz="6" w:space="0" w:color="414142"/>
              <w:right w:val="outset" w:sz="6" w:space="0" w:color="414142"/>
            </w:tcBorders>
            <w:shd w:val="clear" w:color="auto" w:fill="FFFFFF"/>
            <w:hideMark/>
          </w:tcPr>
          <w:p w14:paraId="227CC9B1" w14:textId="5840D76B" w:rsidR="006F307C" w:rsidRPr="007809EE" w:rsidRDefault="007809EE" w:rsidP="007809EE">
            <w:pPr>
              <w:jc w:val="center"/>
              <w:rPr>
                <w:iCs w:val="0"/>
                <w:szCs w:val="28"/>
                <w:lang w:val="lv-LV" w:eastAsia="lv-LV"/>
              </w:rPr>
            </w:pPr>
            <w:r>
              <w:rPr>
                <w:iCs w:val="0"/>
                <w:szCs w:val="28"/>
                <w:lang w:val="lv-LV" w:eastAsia="lv-LV"/>
              </w:rPr>
              <w:t>Noteikumu p</w:t>
            </w:r>
            <w:r w:rsidR="006F307C" w:rsidRPr="007809EE">
              <w:rPr>
                <w:iCs w:val="0"/>
                <w:szCs w:val="28"/>
                <w:lang w:val="lv-LV" w:eastAsia="lv-LV"/>
              </w:rPr>
              <w:t>rojekts šo jomu neskar.</w:t>
            </w:r>
          </w:p>
        </w:tc>
      </w:tr>
    </w:tbl>
    <w:p w14:paraId="797824D8" w14:textId="77777777" w:rsidR="006F307C" w:rsidRPr="006F307C"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3"/>
        <w:gridCol w:w="3126"/>
        <w:gridCol w:w="6090"/>
      </w:tblGrid>
      <w:tr w:rsidR="006F307C" w:rsidRPr="000C31A2" w14:paraId="2566D7AF" w14:textId="77777777" w:rsidTr="00E02222">
        <w:trPr>
          <w:trHeight w:val="381"/>
        </w:trPr>
        <w:tc>
          <w:tcPr>
            <w:tcW w:w="9639" w:type="dxa"/>
            <w:gridSpan w:val="3"/>
            <w:vAlign w:val="center"/>
          </w:tcPr>
          <w:p w14:paraId="112A78BE" w14:textId="2E8AB6B8" w:rsidR="006F307C" w:rsidRPr="00F95590" w:rsidRDefault="006F307C" w:rsidP="001D67F7">
            <w:pPr>
              <w:jc w:val="center"/>
              <w:rPr>
                <w:iCs w:val="0"/>
                <w:szCs w:val="28"/>
                <w:lang w:val="lv-LV" w:eastAsia="lv-LV"/>
              </w:rPr>
            </w:pPr>
            <w:r w:rsidRPr="00F95590">
              <w:rPr>
                <w:b/>
                <w:iCs w:val="0"/>
                <w:szCs w:val="28"/>
                <w:lang w:val="lv-LV" w:eastAsia="lv-LV"/>
              </w:rPr>
              <w:t xml:space="preserve">VI. </w:t>
            </w:r>
            <w:r w:rsidR="001D67F7" w:rsidRPr="00F95590">
              <w:rPr>
                <w:b/>
                <w:iCs w:val="0"/>
                <w:szCs w:val="28"/>
                <w:lang w:val="lv-LV" w:eastAsia="lv-LV"/>
              </w:rPr>
              <w:t>Sabiedrības līdzdalība un komunikācijas aktivitātes</w:t>
            </w:r>
          </w:p>
        </w:tc>
      </w:tr>
      <w:tr w:rsidR="006F307C" w:rsidRPr="000C31A2" w14:paraId="7324799A" w14:textId="77777777" w:rsidTr="00E02222">
        <w:trPr>
          <w:trHeight w:val="427"/>
        </w:trPr>
        <w:tc>
          <w:tcPr>
            <w:tcW w:w="423" w:type="dxa"/>
          </w:tcPr>
          <w:p w14:paraId="756D1310" w14:textId="77777777" w:rsidR="006F307C" w:rsidRPr="00F95590" w:rsidRDefault="006F307C" w:rsidP="006F307C">
            <w:pPr>
              <w:rPr>
                <w:iCs w:val="0"/>
                <w:szCs w:val="28"/>
                <w:lang w:val="lv-LV" w:eastAsia="lv-LV"/>
              </w:rPr>
            </w:pPr>
            <w:r w:rsidRPr="00F95590">
              <w:rPr>
                <w:iCs w:val="0"/>
                <w:szCs w:val="28"/>
                <w:lang w:val="lv-LV" w:eastAsia="lv-LV"/>
              </w:rPr>
              <w:t>1.</w:t>
            </w:r>
          </w:p>
        </w:tc>
        <w:tc>
          <w:tcPr>
            <w:tcW w:w="3126" w:type="dxa"/>
          </w:tcPr>
          <w:p w14:paraId="74813961" w14:textId="77777777" w:rsidR="006F307C" w:rsidRPr="00F95590" w:rsidRDefault="006F307C" w:rsidP="006F307C">
            <w:pPr>
              <w:rPr>
                <w:iCs w:val="0"/>
                <w:szCs w:val="28"/>
                <w:lang w:val="lv-LV" w:eastAsia="lv-LV"/>
              </w:rPr>
            </w:pPr>
            <w:r w:rsidRPr="00F95590">
              <w:rPr>
                <w:iCs w:val="0"/>
                <w:szCs w:val="28"/>
                <w:lang w:val="lv-LV" w:eastAsia="lv-LV"/>
              </w:rPr>
              <w:t>Plānotās sabiedrības līdzdalības un komunikācijas aktivitātes saistībā ar projektu</w:t>
            </w:r>
          </w:p>
        </w:tc>
        <w:tc>
          <w:tcPr>
            <w:tcW w:w="6090" w:type="dxa"/>
          </w:tcPr>
          <w:p w14:paraId="10DA421A" w14:textId="77777777" w:rsidR="002B60F9" w:rsidRDefault="002B60F9" w:rsidP="002B60F9">
            <w:pPr>
              <w:ind w:left="82" w:right="82"/>
              <w:jc w:val="both"/>
              <w:rPr>
                <w:iCs w:val="0"/>
                <w:szCs w:val="28"/>
                <w:lang w:val="lv-LV" w:eastAsia="lv-LV"/>
              </w:rPr>
            </w:pPr>
            <w:r>
              <w:rPr>
                <w:iCs w:val="0"/>
                <w:szCs w:val="28"/>
                <w:lang w:val="lv-LV" w:eastAsia="lv-LV"/>
              </w:rPr>
              <w:t>S</w:t>
            </w:r>
            <w:r w:rsidRPr="002B60F9">
              <w:rPr>
                <w:iCs w:val="0"/>
                <w:szCs w:val="28"/>
                <w:lang w:val="lv-LV" w:eastAsia="lv-LV"/>
              </w:rPr>
              <w:t>abiedrības līdzdalība tika nodrošināta jau likumprojekta “Grozījumi likumā “Par iedzīvotāju ienākuma nodokli”” izstrādes procesā</w:t>
            </w:r>
            <w:r>
              <w:rPr>
                <w:iCs w:val="0"/>
                <w:szCs w:val="28"/>
                <w:lang w:val="lv-LV" w:eastAsia="lv-LV"/>
              </w:rPr>
              <w:t xml:space="preserve">. </w:t>
            </w:r>
          </w:p>
          <w:p w14:paraId="1C834616" w14:textId="70FEADF4" w:rsidR="006F307C" w:rsidRPr="00F95590" w:rsidRDefault="002B60F9" w:rsidP="002B60F9">
            <w:pPr>
              <w:ind w:left="82" w:right="82"/>
              <w:jc w:val="both"/>
              <w:rPr>
                <w:iCs w:val="0"/>
                <w:szCs w:val="28"/>
                <w:lang w:val="lv-LV" w:eastAsia="lv-LV"/>
              </w:rPr>
            </w:pPr>
            <w:r w:rsidRPr="002B60F9">
              <w:rPr>
                <w:iCs w:val="0"/>
                <w:szCs w:val="28"/>
                <w:lang w:val="lv-LV" w:eastAsia="lv-LV"/>
              </w:rPr>
              <w:t>Pēc noteikumu projekta izsludināšanas Valsts sekretāru sanāksmē tas būs pieejams MK tīmekļa vietnē.</w:t>
            </w:r>
          </w:p>
        </w:tc>
      </w:tr>
      <w:tr w:rsidR="006F307C" w:rsidRPr="000C31A2" w14:paraId="66C583C2" w14:textId="77777777" w:rsidTr="00E02222">
        <w:trPr>
          <w:trHeight w:val="463"/>
        </w:trPr>
        <w:tc>
          <w:tcPr>
            <w:tcW w:w="423" w:type="dxa"/>
          </w:tcPr>
          <w:p w14:paraId="595A1150" w14:textId="77777777" w:rsidR="006F307C" w:rsidRPr="00F95590" w:rsidRDefault="006F307C" w:rsidP="006F307C">
            <w:pPr>
              <w:rPr>
                <w:iCs w:val="0"/>
                <w:szCs w:val="28"/>
                <w:lang w:val="lv-LV" w:eastAsia="lv-LV"/>
              </w:rPr>
            </w:pPr>
            <w:r w:rsidRPr="00F95590">
              <w:rPr>
                <w:iCs w:val="0"/>
                <w:szCs w:val="28"/>
                <w:lang w:val="lv-LV" w:eastAsia="lv-LV"/>
              </w:rPr>
              <w:t>2.</w:t>
            </w:r>
          </w:p>
        </w:tc>
        <w:tc>
          <w:tcPr>
            <w:tcW w:w="3126" w:type="dxa"/>
          </w:tcPr>
          <w:p w14:paraId="6F571A61" w14:textId="77777777" w:rsidR="006F307C" w:rsidRPr="00F95590" w:rsidRDefault="006F307C" w:rsidP="006F307C">
            <w:pPr>
              <w:rPr>
                <w:iCs w:val="0"/>
                <w:szCs w:val="28"/>
                <w:lang w:val="lv-LV" w:eastAsia="lv-LV"/>
              </w:rPr>
            </w:pPr>
            <w:r w:rsidRPr="00F95590">
              <w:rPr>
                <w:iCs w:val="0"/>
                <w:szCs w:val="28"/>
                <w:lang w:val="lv-LV" w:eastAsia="lv-LV"/>
              </w:rPr>
              <w:t>Sabiedrības līdzdalība projekta izstrādē</w:t>
            </w:r>
          </w:p>
        </w:tc>
        <w:tc>
          <w:tcPr>
            <w:tcW w:w="6090" w:type="dxa"/>
          </w:tcPr>
          <w:p w14:paraId="25E53F98" w14:textId="5B5114D8" w:rsidR="00D01E17" w:rsidRPr="00F95590" w:rsidRDefault="00E02222" w:rsidP="00680AA7">
            <w:pPr>
              <w:ind w:left="82" w:right="82"/>
              <w:jc w:val="both"/>
              <w:rPr>
                <w:iCs w:val="0"/>
                <w:szCs w:val="28"/>
                <w:lang w:val="lv-LV" w:eastAsia="lv-LV"/>
              </w:rPr>
            </w:pPr>
            <w:r w:rsidRPr="00F95590">
              <w:rPr>
                <w:iCs w:val="0"/>
                <w:szCs w:val="28"/>
                <w:lang w:val="lv-LV" w:eastAsia="lv-LV"/>
              </w:rPr>
              <w:t xml:space="preserve">Noteikumu projekta izstrādes laikā ir notikusi aktīva komunikācija ar dažādām nevalstiskajām </w:t>
            </w:r>
            <w:r w:rsidR="00D01E17">
              <w:rPr>
                <w:iCs w:val="0"/>
                <w:szCs w:val="28"/>
                <w:lang w:val="lv-LV" w:eastAsia="lv-LV"/>
              </w:rPr>
              <w:t xml:space="preserve">organizācijām - </w:t>
            </w:r>
            <w:r w:rsidR="00D01E17" w:rsidRPr="00D01E17">
              <w:rPr>
                <w:iCs w:val="0"/>
                <w:szCs w:val="28"/>
                <w:lang w:val="lv-LV" w:eastAsia="lv-LV"/>
              </w:rPr>
              <w:t>Latvijas Tirdzniecības un rūpniecības kamer</w:t>
            </w:r>
            <w:r w:rsidR="00625946">
              <w:rPr>
                <w:iCs w:val="0"/>
                <w:szCs w:val="28"/>
                <w:lang w:val="lv-LV" w:eastAsia="lv-LV"/>
              </w:rPr>
              <w:t>u</w:t>
            </w:r>
            <w:r w:rsidR="00D01E17">
              <w:rPr>
                <w:iCs w:val="0"/>
                <w:szCs w:val="28"/>
                <w:lang w:val="lv-LV" w:eastAsia="lv-LV"/>
              </w:rPr>
              <w:t xml:space="preserve">, </w:t>
            </w:r>
            <w:r w:rsidRPr="00F95590">
              <w:rPr>
                <w:iCs w:val="0"/>
                <w:szCs w:val="28"/>
                <w:lang w:val="lv-LV" w:eastAsia="lv-LV"/>
              </w:rPr>
              <w:t>ar grāmatvedības programmatūras izstrādātājiem</w:t>
            </w:r>
            <w:r w:rsidR="00625946">
              <w:rPr>
                <w:iCs w:val="0"/>
                <w:szCs w:val="28"/>
                <w:lang w:val="lv-LV" w:eastAsia="lv-LV"/>
              </w:rPr>
              <w:t xml:space="preserve"> - </w:t>
            </w:r>
            <w:r w:rsidR="00625946" w:rsidRPr="00625946">
              <w:rPr>
                <w:iCs w:val="0"/>
                <w:szCs w:val="28"/>
                <w:lang w:val="lv-LV" w:eastAsia="lv-LV"/>
              </w:rPr>
              <w:t xml:space="preserve">ISO </w:t>
            </w:r>
            <w:r w:rsidR="00625946">
              <w:rPr>
                <w:iCs w:val="0"/>
                <w:szCs w:val="28"/>
                <w:lang w:val="lv-LV" w:eastAsia="lv-LV"/>
              </w:rPr>
              <w:t xml:space="preserve">sertificēto grāmatvežu asociācijas un SIA “Visma Enterpise” pārstāvjiem, kā arī </w:t>
            </w:r>
            <w:r w:rsidR="00625946" w:rsidRPr="00F95590">
              <w:rPr>
                <w:iCs w:val="0"/>
                <w:szCs w:val="28"/>
                <w:lang w:val="lv-LV" w:eastAsia="lv-LV"/>
              </w:rPr>
              <w:t xml:space="preserve">ar </w:t>
            </w:r>
            <w:r w:rsidR="00625946">
              <w:rPr>
                <w:iCs w:val="0"/>
                <w:szCs w:val="28"/>
                <w:lang w:val="lv-LV" w:eastAsia="lv-LV"/>
              </w:rPr>
              <w:t xml:space="preserve">dažādiem </w:t>
            </w:r>
            <w:r w:rsidR="00625946" w:rsidRPr="00F95590">
              <w:rPr>
                <w:iCs w:val="0"/>
                <w:szCs w:val="28"/>
                <w:lang w:val="lv-LV" w:eastAsia="lv-LV"/>
              </w:rPr>
              <w:t xml:space="preserve">preses </w:t>
            </w:r>
            <w:r w:rsidR="00625946">
              <w:rPr>
                <w:iCs w:val="0"/>
                <w:szCs w:val="28"/>
                <w:lang w:val="lv-LV" w:eastAsia="lv-LV"/>
              </w:rPr>
              <w:t xml:space="preserve">un interneta vietņu žurnālistiem un </w:t>
            </w:r>
            <w:r w:rsidR="00625946" w:rsidRPr="00F95590">
              <w:rPr>
                <w:iCs w:val="0"/>
                <w:szCs w:val="28"/>
                <w:lang w:val="lv-LV" w:eastAsia="lv-LV"/>
              </w:rPr>
              <w:t>pārstāvjiem</w:t>
            </w:r>
            <w:r w:rsidR="00625946">
              <w:rPr>
                <w:iCs w:val="0"/>
                <w:szCs w:val="28"/>
                <w:lang w:val="lv-LV" w:eastAsia="lv-LV"/>
              </w:rPr>
              <w:t>.</w:t>
            </w:r>
          </w:p>
        </w:tc>
      </w:tr>
      <w:tr w:rsidR="006F307C" w:rsidRPr="000C31A2" w14:paraId="5693CA78" w14:textId="77777777" w:rsidTr="00E02222">
        <w:trPr>
          <w:trHeight w:val="283"/>
        </w:trPr>
        <w:tc>
          <w:tcPr>
            <w:tcW w:w="423" w:type="dxa"/>
            <w:tcBorders>
              <w:top w:val="single" w:sz="4" w:space="0" w:color="auto"/>
              <w:left w:val="single" w:sz="4" w:space="0" w:color="auto"/>
              <w:bottom w:val="single" w:sz="4" w:space="0" w:color="auto"/>
              <w:right w:val="single" w:sz="4" w:space="0" w:color="auto"/>
            </w:tcBorders>
          </w:tcPr>
          <w:p w14:paraId="425C85A3" w14:textId="77777777" w:rsidR="006F307C" w:rsidRPr="00F95590" w:rsidRDefault="006F307C" w:rsidP="006F307C">
            <w:pPr>
              <w:rPr>
                <w:iCs w:val="0"/>
                <w:szCs w:val="28"/>
                <w:lang w:val="lv-LV" w:eastAsia="lv-LV"/>
              </w:rPr>
            </w:pPr>
            <w:r w:rsidRPr="00F95590">
              <w:rPr>
                <w:iCs w:val="0"/>
                <w:szCs w:val="28"/>
                <w:lang w:val="lv-LV" w:eastAsia="lv-LV"/>
              </w:rPr>
              <w:lastRenderedPageBreak/>
              <w:t>3.</w:t>
            </w:r>
          </w:p>
        </w:tc>
        <w:tc>
          <w:tcPr>
            <w:tcW w:w="3126" w:type="dxa"/>
            <w:tcBorders>
              <w:top w:val="single" w:sz="4" w:space="0" w:color="auto"/>
              <w:left w:val="single" w:sz="4" w:space="0" w:color="auto"/>
              <w:bottom w:val="single" w:sz="4" w:space="0" w:color="auto"/>
              <w:right w:val="single" w:sz="4" w:space="0" w:color="auto"/>
            </w:tcBorders>
          </w:tcPr>
          <w:p w14:paraId="727FA816" w14:textId="77777777" w:rsidR="006F307C" w:rsidRPr="00F95590" w:rsidRDefault="006F307C" w:rsidP="006F307C">
            <w:pPr>
              <w:rPr>
                <w:iCs w:val="0"/>
                <w:szCs w:val="28"/>
                <w:lang w:val="lv-LV" w:eastAsia="lv-LV"/>
              </w:rPr>
            </w:pPr>
            <w:r w:rsidRPr="00F95590">
              <w:rPr>
                <w:iCs w:val="0"/>
                <w:szCs w:val="28"/>
                <w:lang w:val="lv-LV" w:eastAsia="lv-LV"/>
              </w:rPr>
              <w:t>Sabiedrības līdzdalības rezultāti</w:t>
            </w:r>
          </w:p>
        </w:tc>
        <w:tc>
          <w:tcPr>
            <w:tcW w:w="6090" w:type="dxa"/>
            <w:tcBorders>
              <w:top w:val="single" w:sz="4" w:space="0" w:color="auto"/>
              <w:left w:val="single" w:sz="4" w:space="0" w:color="auto"/>
              <w:bottom w:val="single" w:sz="4" w:space="0" w:color="auto"/>
              <w:right w:val="single" w:sz="4" w:space="0" w:color="auto"/>
            </w:tcBorders>
          </w:tcPr>
          <w:p w14:paraId="26604715" w14:textId="3099F750" w:rsidR="006F307C" w:rsidRPr="00F95590" w:rsidRDefault="00D01E17" w:rsidP="007076AE">
            <w:pPr>
              <w:ind w:left="82" w:right="82"/>
              <w:jc w:val="both"/>
              <w:rPr>
                <w:iCs w:val="0"/>
                <w:szCs w:val="28"/>
                <w:lang w:val="lv-LV" w:eastAsia="lv-LV"/>
              </w:rPr>
            </w:pPr>
            <w:r>
              <w:rPr>
                <w:iCs w:val="0"/>
                <w:szCs w:val="28"/>
                <w:lang w:val="lv-LV" w:eastAsia="lv-LV"/>
              </w:rPr>
              <w:t>Ir apkopoti minēto organizāciju lūgumi</w:t>
            </w:r>
            <w:r w:rsidR="007076AE">
              <w:rPr>
                <w:iCs w:val="0"/>
                <w:szCs w:val="28"/>
                <w:lang w:val="lv-LV" w:eastAsia="lv-LV"/>
              </w:rPr>
              <w:t xml:space="preserve"> un ierosinājumi</w:t>
            </w:r>
            <w:r>
              <w:rPr>
                <w:iCs w:val="0"/>
                <w:szCs w:val="28"/>
                <w:lang w:val="lv-LV" w:eastAsia="lv-LV"/>
              </w:rPr>
              <w:t xml:space="preserve"> un Noteikumu projektā ir iekļautas tiesību normas ar atsevišķu Likumā iekļauto normu skaidrojumiem. </w:t>
            </w:r>
          </w:p>
        </w:tc>
      </w:tr>
      <w:tr w:rsidR="006F307C" w:rsidRPr="006F307C" w14:paraId="1075C28A" w14:textId="77777777" w:rsidTr="00E02222">
        <w:trPr>
          <w:trHeight w:val="279"/>
        </w:trPr>
        <w:tc>
          <w:tcPr>
            <w:tcW w:w="423" w:type="dxa"/>
          </w:tcPr>
          <w:p w14:paraId="7ECB2F43" w14:textId="77777777" w:rsidR="006F307C" w:rsidRPr="00F95590" w:rsidRDefault="006F307C" w:rsidP="006F307C">
            <w:pPr>
              <w:rPr>
                <w:iCs w:val="0"/>
                <w:szCs w:val="28"/>
                <w:lang w:val="lv-LV" w:eastAsia="lv-LV"/>
              </w:rPr>
            </w:pPr>
            <w:r w:rsidRPr="00F95590">
              <w:rPr>
                <w:iCs w:val="0"/>
                <w:szCs w:val="28"/>
                <w:lang w:val="lv-LV" w:eastAsia="lv-LV"/>
              </w:rPr>
              <w:t>4.</w:t>
            </w:r>
          </w:p>
        </w:tc>
        <w:tc>
          <w:tcPr>
            <w:tcW w:w="3126" w:type="dxa"/>
          </w:tcPr>
          <w:p w14:paraId="53E11D17" w14:textId="77777777" w:rsidR="006F307C" w:rsidRPr="00F95590" w:rsidRDefault="006F307C" w:rsidP="006F307C">
            <w:pPr>
              <w:rPr>
                <w:iCs w:val="0"/>
                <w:szCs w:val="28"/>
                <w:lang w:val="lv-LV" w:eastAsia="lv-LV"/>
              </w:rPr>
            </w:pPr>
            <w:r w:rsidRPr="00F95590">
              <w:rPr>
                <w:iCs w:val="0"/>
                <w:szCs w:val="28"/>
                <w:lang w:val="lv-LV" w:eastAsia="lv-LV"/>
              </w:rPr>
              <w:t>Cita informācija</w:t>
            </w:r>
          </w:p>
        </w:tc>
        <w:tc>
          <w:tcPr>
            <w:tcW w:w="6090" w:type="dxa"/>
          </w:tcPr>
          <w:p w14:paraId="7E25F004" w14:textId="77777777" w:rsidR="006F307C" w:rsidRPr="00F95590" w:rsidRDefault="006F307C" w:rsidP="007809EE">
            <w:pPr>
              <w:ind w:firstLine="104"/>
              <w:rPr>
                <w:iCs w:val="0"/>
                <w:szCs w:val="28"/>
                <w:lang w:val="lv-LV" w:eastAsia="lv-LV"/>
              </w:rPr>
            </w:pPr>
            <w:r w:rsidRPr="00F95590">
              <w:rPr>
                <w:iCs w:val="0"/>
                <w:szCs w:val="28"/>
                <w:lang w:val="lv-LV" w:eastAsia="lv-LV"/>
              </w:rPr>
              <w:t>Nav.</w:t>
            </w:r>
          </w:p>
        </w:tc>
      </w:tr>
    </w:tbl>
    <w:p w14:paraId="10B4EFFE" w14:textId="77777777" w:rsidR="006F307C" w:rsidRPr="006F307C" w:rsidRDefault="006F307C" w:rsidP="006F307C">
      <w:pPr>
        <w:rPr>
          <w:iCs w:val="0"/>
          <w:szCs w:val="28"/>
          <w:lang w:val="lv-LV" w:eastAsia="lv-LV"/>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5"/>
        <w:gridCol w:w="3074"/>
        <w:gridCol w:w="6100"/>
      </w:tblGrid>
      <w:tr w:rsidR="006F307C" w:rsidRPr="000C31A2" w14:paraId="0A2BA89F" w14:textId="77777777" w:rsidTr="00F95590">
        <w:trPr>
          <w:trHeight w:val="381"/>
        </w:trPr>
        <w:tc>
          <w:tcPr>
            <w:tcW w:w="9639" w:type="dxa"/>
            <w:gridSpan w:val="3"/>
            <w:vAlign w:val="center"/>
          </w:tcPr>
          <w:p w14:paraId="08679E2C" w14:textId="77777777" w:rsidR="006F307C" w:rsidRPr="00F95590" w:rsidRDefault="006F307C" w:rsidP="006F307C">
            <w:pPr>
              <w:ind w:left="57" w:right="57"/>
              <w:jc w:val="center"/>
              <w:rPr>
                <w:b/>
                <w:bCs/>
                <w:iCs w:val="0"/>
                <w:szCs w:val="28"/>
                <w:lang w:val="lv-LV"/>
              </w:rPr>
            </w:pPr>
            <w:r w:rsidRPr="00F95590">
              <w:rPr>
                <w:b/>
                <w:bCs/>
                <w:iCs w:val="0"/>
                <w:szCs w:val="28"/>
                <w:lang w:val="lv-LV"/>
              </w:rPr>
              <w:t>VII. Tiesību akta projekta izpildes nodrošināšana un tās ietekme uz institūcijām</w:t>
            </w:r>
          </w:p>
        </w:tc>
      </w:tr>
      <w:tr w:rsidR="006F307C" w:rsidRPr="006F307C" w14:paraId="6E0364A4" w14:textId="77777777" w:rsidTr="00F95590">
        <w:trPr>
          <w:trHeight w:val="427"/>
        </w:trPr>
        <w:tc>
          <w:tcPr>
            <w:tcW w:w="465" w:type="dxa"/>
          </w:tcPr>
          <w:p w14:paraId="47F09CCD" w14:textId="77777777" w:rsidR="006F307C" w:rsidRPr="00F95590" w:rsidRDefault="006F307C" w:rsidP="006F307C">
            <w:pPr>
              <w:ind w:left="57" w:right="57"/>
              <w:jc w:val="both"/>
              <w:rPr>
                <w:bCs/>
                <w:iCs w:val="0"/>
                <w:szCs w:val="28"/>
                <w:lang w:val="lv-LV"/>
              </w:rPr>
            </w:pPr>
            <w:r w:rsidRPr="00F95590">
              <w:rPr>
                <w:bCs/>
                <w:iCs w:val="0"/>
                <w:szCs w:val="28"/>
                <w:lang w:val="lv-LV"/>
              </w:rPr>
              <w:t>1.</w:t>
            </w:r>
          </w:p>
        </w:tc>
        <w:tc>
          <w:tcPr>
            <w:tcW w:w="3074" w:type="dxa"/>
          </w:tcPr>
          <w:p w14:paraId="74BC316C"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Projekta izpildē iesaistītās institūcijas</w:t>
            </w:r>
          </w:p>
        </w:tc>
        <w:tc>
          <w:tcPr>
            <w:tcW w:w="6100" w:type="dxa"/>
          </w:tcPr>
          <w:p w14:paraId="72C0EAFA" w14:textId="77777777" w:rsidR="006F307C" w:rsidRPr="00F95590" w:rsidRDefault="006F307C" w:rsidP="006F307C">
            <w:pPr>
              <w:shd w:val="clear" w:color="auto" w:fill="FFFFFF"/>
              <w:jc w:val="both"/>
              <w:rPr>
                <w:iCs w:val="0"/>
                <w:szCs w:val="28"/>
                <w:lang w:val="lv-LV" w:eastAsia="lv-LV"/>
              </w:rPr>
            </w:pPr>
            <w:r w:rsidRPr="00F95590">
              <w:rPr>
                <w:szCs w:val="28"/>
                <w:lang w:val="lv-LV" w:eastAsia="lv-LV"/>
              </w:rPr>
              <w:t>Valsts ieņēmumu dienests.</w:t>
            </w:r>
          </w:p>
        </w:tc>
      </w:tr>
      <w:tr w:rsidR="006F307C" w:rsidRPr="000C31A2" w14:paraId="0D570DD6" w14:textId="77777777" w:rsidTr="00F95590">
        <w:trPr>
          <w:trHeight w:val="463"/>
        </w:trPr>
        <w:tc>
          <w:tcPr>
            <w:tcW w:w="465" w:type="dxa"/>
          </w:tcPr>
          <w:p w14:paraId="1338D01B" w14:textId="77777777" w:rsidR="006F307C" w:rsidRPr="00F95590" w:rsidRDefault="006F307C" w:rsidP="006F307C">
            <w:pPr>
              <w:ind w:left="57" w:right="57"/>
              <w:jc w:val="both"/>
              <w:rPr>
                <w:bCs/>
                <w:iCs w:val="0"/>
                <w:szCs w:val="28"/>
                <w:lang w:val="lv-LV"/>
              </w:rPr>
            </w:pPr>
            <w:r w:rsidRPr="00F95590">
              <w:rPr>
                <w:bCs/>
                <w:iCs w:val="0"/>
                <w:szCs w:val="28"/>
                <w:lang w:val="lv-LV"/>
              </w:rPr>
              <w:t>2.</w:t>
            </w:r>
          </w:p>
        </w:tc>
        <w:tc>
          <w:tcPr>
            <w:tcW w:w="3074" w:type="dxa"/>
          </w:tcPr>
          <w:p w14:paraId="05945E46"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Projekta izpildes ietekme uz pār</w:t>
            </w:r>
            <w:r w:rsidRPr="00F95590">
              <w:rPr>
                <w:iCs w:val="0"/>
                <w:szCs w:val="28"/>
                <w:lang w:val="lv-LV" w:eastAsia="lv-LV"/>
              </w:rPr>
              <w:softHyphen/>
              <w:t>valdes funkcijām un institucionālo struktūru.</w:t>
            </w:r>
          </w:p>
          <w:p w14:paraId="27F15B54" w14:textId="77777777" w:rsidR="006F307C" w:rsidRPr="00F95590" w:rsidRDefault="006F307C" w:rsidP="006F307C">
            <w:pPr>
              <w:ind w:left="57" w:right="57"/>
              <w:jc w:val="both"/>
              <w:rPr>
                <w:iCs w:val="0"/>
                <w:szCs w:val="28"/>
                <w:lang w:val="lv-LV" w:eastAsia="lv-LV"/>
              </w:rPr>
            </w:pPr>
            <w:r w:rsidRPr="00F95590">
              <w:rPr>
                <w:iCs w:val="0"/>
                <w:szCs w:val="28"/>
                <w:lang w:val="lv-LV" w:eastAsia="lv-LV"/>
              </w:rPr>
              <w:t>Jaunu institūciju izveide, esošu institūciju likvidācija vai reorga</w:t>
            </w:r>
            <w:r w:rsidRPr="00F95590">
              <w:rPr>
                <w:iCs w:val="0"/>
                <w:szCs w:val="28"/>
                <w:lang w:val="lv-LV" w:eastAsia="lv-LV"/>
              </w:rPr>
              <w:softHyphen/>
              <w:t>nizācija, to ietekme uz institūcijas cilvēkresursiem</w:t>
            </w:r>
          </w:p>
        </w:tc>
        <w:tc>
          <w:tcPr>
            <w:tcW w:w="6100" w:type="dxa"/>
          </w:tcPr>
          <w:p w14:paraId="71496C52" w14:textId="77777777" w:rsidR="006F307C" w:rsidRPr="00F95590" w:rsidRDefault="006F307C" w:rsidP="006F307C">
            <w:pPr>
              <w:shd w:val="clear" w:color="auto" w:fill="FFFFFF"/>
              <w:jc w:val="both"/>
              <w:rPr>
                <w:iCs w:val="0"/>
                <w:szCs w:val="28"/>
                <w:lang w:val="lv-LV" w:eastAsia="lv-LV"/>
              </w:rPr>
            </w:pPr>
            <w:r w:rsidRPr="00F95590">
              <w:rPr>
                <w:iCs w:val="0"/>
                <w:szCs w:val="28"/>
                <w:lang w:val="lv-LV" w:eastAsia="lv-LV"/>
              </w:rPr>
              <w:t>Funkcijas un uzdevumi netiek grozīti.</w:t>
            </w:r>
          </w:p>
          <w:p w14:paraId="28CD7895" w14:textId="77777777" w:rsidR="006F307C" w:rsidRPr="00F95590" w:rsidRDefault="006F307C" w:rsidP="006F307C">
            <w:pPr>
              <w:shd w:val="clear" w:color="auto" w:fill="FFFFFF"/>
              <w:jc w:val="both"/>
              <w:rPr>
                <w:iCs w:val="0"/>
                <w:szCs w:val="28"/>
                <w:lang w:val="lv-LV" w:eastAsia="lv-LV"/>
              </w:rPr>
            </w:pPr>
            <w:r w:rsidRPr="00F95590">
              <w:rPr>
                <w:rFonts w:eastAsia="Calibri"/>
                <w:iCs w:val="0"/>
                <w:szCs w:val="28"/>
                <w:lang w:val="lv-LV"/>
              </w:rPr>
              <w:t>Jaunas institūcijas nav nepieciešams izveidot.</w:t>
            </w:r>
          </w:p>
          <w:p w14:paraId="6D97AA18" w14:textId="77777777" w:rsidR="006F307C" w:rsidRPr="00F95590" w:rsidRDefault="006F307C" w:rsidP="006F307C">
            <w:pPr>
              <w:shd w:val="clear" w:color="auto" w:fill="FFFFFF"/>
              <w:jc w:val="both"/>
              <w:rPr>
                <w:iCs w:val="0"/>
                <w:szCs w:val="28"/>
                <w:lang w:val="lv-LV" w:eastAsia="lv-LV"/>
              </w:rPr>
            </w:pPr>
            <w:r w:rsidRPr="00F95590">
              <w:rPr>
                <w:rFonts w:eastAsia="Calibri"/>
                <w:iCs w:val="0"/>
                <w:szCs w:val="28"/>
                <w:lang w:val="lv-LV"/>
              </w:rPr>
              <w:t>Nav plānota esošu institūciju likvidācija vai reorganizācija.</w:t>
            </w:r>
          </w:p>
          <w:p w14:paraId="6E653CDF" w14:textId="160C0F31" w:rsidR="006F307C" w:rsidRPr="00F95590" w:rsidRDefault="00061298" w:rsidP="006F307C">
            <w:pPr>
              <w:shd w:val="clear" w:color="auto" w:fill="FFFFFF"/>
              <w:jc w:val="both"/>
              <w:rPr>
                <w:iCs w:val="0"/>
                <w:szCs w:val="28"/>
                <w:lang w:val="lv-LV" w:eastAsia="lv-LV"/>
              </w:rPr>
            </w:pPr>
            <w:r>
              <w:rPr>
                <w:iCs w:val="0"/>
                <w:szCs w:val="28"/>
                <w:lang w:val="lv-LV" w:eastAsia="lv-LV"/>
              </w:rPr>
              <w:t>Noteikumu projekts tiks realizēts esošo cilvēkresursu ietvaros.</w:t>
            </w:r>
          </w:p>
          <w:p w14:paraId="3CDD356B" w14:textId="77777777" w:rsidR="006F307C" w:rsidRPr="00F95590" w:rsidRDefault="006F307C" w:rsidP="006F307C">
            <w:pPr>
              <w:shd w:val="clear" w:color="auto" w:fill="FFFFFF"/>
              <w:jc w:val="both"/>
              <w:rPr>
                <w:iCs w:val="0"/>
                <w:szCs w:val="28"/>
                <w:lang w:val="lv-LV" w:eastAsia="lv-LV"/>
              </w:rPr>
            </w:pPr>
          </w:p>
        </w:tc>
      </w:tr>
      <w:tr w:rsidR="006F307C" w:rsidRPr="006F307C" w14:paraId="66210889" w14:textId="77777777" w:rsidTr="00F95590">
        <w:trPr>
          <w:trHeight w:val="283"/>
        </w:trPr>
        <w:tc>
          <w:tcPr>
            <w:tcW w:w="465" w:type="dxa"/>
            <w:tcBorders>
              <w:top w:val="single" w:sz="4" w:space="0" w:color="auto"/>
              <w:left w:val="single" w:sz="4" w:space="0" w:color="auto"/>
              <w:bottom w:val="single" w:sz="4" w:space="0" w:color="auto"/>
              <w:right w:val="single" w:sz="4" w:space="0" w:color="auto"/>
            </w:tcBorders>
          </w:tcPr>
          <w:p w14:paraId="5FBA748D" w14:textId="77777777" w:rsidR="006F307C" w:rsidRPr="00F95590" w:rsidRDefault="006F307C" w:rsidP="006F307C">
            <w:pPr>
              <w:ind w:left="57" w:right="57"/>
              <w:jc w:val="both"/>
              <w:rPr>
                <w:bCs/>
                <w:iCs w:val="0"/>
                <w:szCs w:val="28"/>
                <w:lang w:val="lv-LV"/>
              </w:rPr>
            </w:pPr>
            <w:r w:rsidRPr="00F95590">
              <w:rPr>
                <w:bCs/>
                <w:iCs w:val="0"/>
                <w:szCs w:val="28"/>
                <w:lang w:val="lv-LV"/>
              </w:rPr>
              <w:t>3.</w:t>
            </w:r>
          </w:p>
        </w:tc>
        <w:tc>
          <w:tcPr>
            <w:tcW w:w="3074" w:type="dxa"/>
            <w:tcBorders>
              <w:top w:val="single" w:sz="4" w:space="0" w:color="auto"/>
              <w:left w:val="single" w:sz="4" w:space="0" w:color="auto"/>
              <w:bottom w:val="single" w:sz="4" w:space="0" w:color="auto"/>
              <w:right w:val="single" w:sz="4" w:space="0" w:color="auto"/>
            </w:tcBorders>
          </w:tcPr>
          <w:p w14:paraId="0F162CB4" w14:textId="77777777" w:rsidR="006F307C" w:rsidRPr="00F95590" w:rsidRDefault="006F307C" w:rsidP="006F307C">
            <w:pPr>
              <w:ind w:right="57"/>
              <w:jc w:val="both"/>
              <w:rPr>
                <w:iCs w:val="0"/>
                <w:szCs w:val="28"/>
                <w:lang w:val="lv-LV" w:eastAsia="lv-LV"/>
              </w:rPr>
            </w:pPr>
            <w:r w:rsidRPr="00F95590">
              <w:rPr>
                <w:iCs w:val="0"/>
                <w:szCs w:val="28"/>
                <w:lang w:val="lv-LV" w:eastAsia="lv-LV"/>
              </w:rPr>
              <w:t>Cita informācija</w:t>
            </w:r>
          </w:p>
        </w:tc>
        <w:tc>
          <w:tcPr>
            <w:tcW w:w="6100" w:type="dxa"/>
            <w:tcBorders>
              <w:top w:val="single" w:sz="4" w:space="0" w:color="auto"/>
              <w:left w:val="single" w:sz="4" w:space="0" w:color="auto"/>
              <w:bottom w:val="single" w:sz="4" w:space="0" w:color="auto"/>
              <w:right w:val="single" w:sz="4" w:space="0" w:color="auto"/>
            </w:tcBorders>
          </w:tcPr>
          <w:p w14:paraId="60BDA2F2" w14:textId="77777777" w:rsidR="006F307C" w:rsidRPr="00F95590" w:rsidRDefault="006F307C" w:rsidP="006F307C">
            <w:pPr>
              <w:ind w:right="57"/>
              <w:jc w:val="both"/>
              <w:rPr>
                <w:iCs w:val="0"/>
                <w:szCs w:val="28"/>
                <w:lang w:val="lv-LV" w:eastAsia="lv-LV"/>
              </w:rPr>
            </w:pPr>
            <w:r w:rsidRPr="00F95590">
              <w:rPr>
                <w:iCs w:val="0"/>
                <w:szCs w:val="28"/>
                <w:lang w:val="lv-LV" w:eastAsia="lv-LV"/>
              </w:rPr>
              <w:t>Nav.</w:t>
            </w:r>
          </w:p>
        </w:tc>
      </w:tr>
    </w:tbl>
    <w:p w14:paraId="1C515BD2" w14:textId="77777777" w:rsidR="006F307C" w:rsidRPr="006F307C" w:rsidRDefault="006F307C" w:rsidP="006F307C">
      <w:pPr>
        <w:tabs>
          <w:tab w:val="right" w:pos="9000"/>
        </w:tabs>
        <w:ind w:firstLine="709"/>
        <w:jc w:val="both"/>
        <w:rPr>
          <w:iCs w:val="0"/>
          <w:szCs w:val="28"/>
          <w:lang w:val="lv-LV" w:eastAsia="lv-LV"/>
        </w:rPr>
      </w:pPr>
    </w:p>
    <w:p w14:paraId="393A07CA" w14:textId="77777777" w:rsidR="006F307C" w:rsidRPr="006F307C" w:rsidRDefault="006F307C" w:rsidP="006F307C">
      <w:pPr>
        <w:tabs>
          <w:tab w:val="left" w:pos="4678"/>
        </w:tabs>
        <w:rPr>
          <w:iCs w:val="0"/>
          <w:lang w:val="lv-LV" w:eastAsia="lv-LV"/>
        </w:rPr>
      </w:pPr>
    </w:p>
    <w:p w14:paraId="0249ACEC" w14:textId="46A21DDD" w:rsidR="006F307C" w:rsidRPr="006F307C" w:rsidRDefault="006F307C" w:rsidP="00CD18FF">
      <w:pPr>
        <w:tabs>
          <w:tab w:val="left" w:pos="6521"/>
          <w:tab w:val="right" w:pos="8820"/>
        </w:tabs>
        <w:rPr>
          <w:iCs w:val="0"/>
          <w:sz w:val="24"/>
          <w:lang w:val="lv-LV" w:eastAsia="lv-LV"/>
        </w:rPr>
      </w:pPr>
      <w:r w:rsidRPr="006F307C">
        <w:rPr>
          <w:iCs w:val="0"/>
          <w:lang w:val="lv-LV" w:eastAsia="lv-LV"/>
        </w:rPr>
        <w:t xml:space="preserve">Finanšu ministre </w:t>
      </w:r>
      <w:r w:rsidRPr="006F307C">
        <w:rPr>
          <w:iCs w:val="0"/>
          <w:lang w:val="lv-LV" w:eastAsia="lv-LV"/>
        </w:rPr>
        <w:tab/>
        <w:t>D</w:t>
      </w:r>
      <w:r w:rsidR="0037389A">
        <w:rPr>
          <w:iCs w:val="0"/>
          <w:lang w:val="lv-LV" w:eastAsia="lv-LV"/>
        </w:rPr>
        <w:t>.</w:t>
      </w:r>
      <w:r w:rsidRPr="006F307C">
        <w:rPr>
          <w:iCs w:val="0"/>
          <w:lang w:val="lv-LV" w:eastAsia="lv-LV"/>
        </w:rPr>
        <w:t>Reizniece-Ozola</w:t>
      </w:r>
    </w:p>
    <w:p w14:paraId="5F7B99B9" w14:textId="5A5B885B" w:rsidR="006F307C" w:rsidRDefault="006F307C" w:rsidP="006F307C">
      <w:pPr>
        <w:rPr>
          <w:sz w:val="20"/>
          <w:szCs w:val="20"/>
          <w:lang w:val="lv-LV" w:eastAsia="lv-LV"/>
        </w:rPr>
      </w:pPr>
    </w:p>
    <w:p w14:paraId="048AF6BC" w14:textId="0F83E2B5" w:rsidR="0037389A" w:rsidRDefault="0037389A" w:rsidP="006F307C">
      <w:pPr>
        <w:rPr>
          <w:sz w:val="20"/>
          <w:szCs w:val="20"/>
          <w:lang w:val="lv-LV" w:eastAsia="lv-LV"/>
        </w:rPr>
      </w:pPr>
    </w:p>
    <w:p w14:paraId="7EC8A506" w14:textId="684F838D" w:rsidR="00D8591F" w:rsidRDefault="00D8591F" w:rsidP="0037389A">
      <w:pPr>
        <w:rPr>
          <w:iCs w:val="0"/>
          <w:sz w:val="20"/>
          <w:lang w:val="lv-LV" w:eastAsia="lv-LV"/>
        </w:rPr>
      </w:pPr>
    </w:p>
    <w:p w14:paraId="4D76AA0A" w14:textId="200A9C8F" w:rsidR="00A07565" w:rsidRDefault="00A07565" w:rsidP="0037389A">
      <w:pPr>
        <w:rPr>
          <w:iCs w:val="0"/>
          <w:sz w:val="20"/>
          <w:lang w:val="lv-LV" w:eastAsia="lv-LV"/>
        </w:rPr>
      </w:pPr>
    </w:p>
    <w:p w14:paraId="5224EE78" w14:textId="17F4BF66" w:rsidR="00A07565" w:rsidRDefault="00A07565" w:rsidP="0037389A">
      <w:pPr>
        <w:rPr>
          <w:iCs w:val="0"/>
          <w:sz w:val="20"/>
          <w:lang w:val="lv-LV" w:eastAsia="lv-LV"/>
        </w:rPr>
      </w:pPr>
    </w:p>
    <w:p w14:paraId="235F770F" w14:textId="6D7A115D" w:rsidR="00A07565" w:rsidRDefault="00A07565" w:rsidP="0037389A">
      <w:pPr>
        <w:rPr>
          <w:iCs w:val="0"/>
          <w:sz w:val="20"/>
          <w:lang w:val="lv-LV" w:eastAsia="lv-LV"/>
        </w:rPr>
      </w:pPr>
    </w:p>
    <w:p w14:paraId="7EF91A70" w14:textId="1FEE8420" w:rsidR="00A07565" w:rsidRDefault="00A07565" w:rsidP="0037389A">
      <w:pPr>
        <w:rPr>
          <w:iCs w:val="0"/>
          <w:sz w:val="20"/>
          <w:lang w:val="lv-LV" w:eastAsia="lv-LV"/>
        </w:rPr>
      </w:pPr>
    </w:p>
    <w:p w14:paraId="1C4F8C47" w14:textId="4D5B582F" w:rsidR="00A07565" w:rsidRDefault="00A07565" w:rsidP="0037389A">
      <w:pPr>
        <w:rPr>
          <w:iCs w:val="0"/>
          <w:sz w:val="20"/>
          <w:lang w:val="lv-LV" w:eastAsia="lv-LV"/>
        </w:rPr>
      </w:pPr>
    </w:p>
    <w:p w14:paraId="4452E06F" w14:textId="54209A3D" w:rsidR="00A07565" w:rsidRDefault="00A07565" w:rsidP="0037389A">
      <w:pPr>
        <w:rPr>
          <w:iCs w:val="0"/>
          <w:sz w:val="20"/>
          <w:lang w:val="lv-LV" w:eastAsia="lv-LV"/>
        </w:rPr>
      </w:pPr>
    </w:p>
    <w:p w14:paraId="01CA0270" w14:textId="42446C6C" w:rsidR="00A07565" w:rsidRDefault="00A07565" w:rsidP="0037389A">
      <w:pPr>
        <w:rPr>
          <w:iCs w:val="0"/>
          <w:sz w:val="20"/>
          <w:lang w:val="lv-LV" w:eastAsia="lv-LV"/>
        </w:rPr>
      </w:pPr>
    </w:p>
    <w:p w14:paraId="56004C7E" w14:textId="73CBBB54" w:rsidR="00A07565" w:rsidRDefault="00A07565" w:rsidP="0037389A">
      <w:pPr>
        <w:rPr>
          <w:iCs w:val="0"/>
          <w:sz w:val="20"/>
          <w:lang w:val="lv-LV" w:eastAsia="lv-LV"/>
        </w:rPr>
      </w:pPr>
    </w:p>
    <w:p w14:paraId="69DE8677" w14:textId="404054C8" w:rsidR="00A07565" w:rsidRDefault="00A07565" w:rsidP="0037389A">
      <w:pPr>
        <w:rPr>
          <w:iCs w:val="0"/>
          <w:sz w:val="20"/>
          <w:lang w:val="lv-LV" w:eastAsia="lv-LV"/>
        </w:rPr>
      </w:pPr>
    </w:p>
    <w:p w14:paraId="7F015BA9" w14:textId="6B930F5D" w:rsidR="00A07565" w:rsidRDefault="00A07565" w:rsidP="0037389A">
      <w:pPr>
        <w:rPr>
          <w:iCs w:val="0"/>
          <w:sz w:val="20"/>
          <w:lang w:val="lv-LV" w:eastAsia="lv-LV"/>
        </w:rPr>
      </w:pPr>
    </w:p>
    <w:p w14:paraId="03C15C9F" w14:textId="6459DCEA" w:rsidR="00A07565" w:rsidRDefault="00A07565" w:rsidP="0037389A">
      <w:pPr>
        <w:rPr>
          <w:iCs w:val="0"/>
          <w:sz w:val="20"/>
          <w:lang w:val="lv-LV" w:eastAsia="lv-LV"/>
        </w:rPr>
      </w:pPr>
    </w:p>
    <w:p w14:paraId="667CFBA2" w14:textId="77777777" w:rsidR="00A07565" w:rsidRDefault="00A07565" w:rsidP="0037389A">
      <w:pPr>
        <w:rPr>
          <w:iCs w:val="0"/>
          <w:sz w:val="20"/>
          <w:lang w:val="lv-LV" w:eastAsia="lv-LV"/>
        </w:rPr>
      </w:pPr>
      <w:bookmarkStart w:id="7" w:name="_GoBack"/>
      <w:bookmarkEnd w:id="7"/>
    </w:p>
    <w:p w14:paraId="794DBB7A" w14:textId="0A912F1A" w:rsidR="0037389A" w:rsidRPr="0037389A" w:rsidRDefault="0037389A" w:rsidP="0037389A">
      <w:pPr>
        <w:rPr>
          <w:iCs w:val="0"/>
          <w:sz w:val="20"/>
          <w:szCs w:val="16"/>
          <w:lang w:val="lv-LV"/>
        </w:rPr>
      </w:pPr>
      <w:r>
        <w:rPr>
          <w:iCs w:val="0"/>
          <w:sz w:val="20"/>
          <w:lang w:val="lv-LV" w:eastAsia="lv-LV"/>
        </w:rPr>
        <w:t>Ozoliņa</w:t>
      </w:r>
      <w:r w:rsidRPr="0037389A">
        <w:rPr>
          <w:iCs w:val="0"/>
          <w:sz w:val="20"/>
          <w:lang w:val="lv-LV" w:eastAsia="lv-LV"/>
        </w:rPr>
        <w:t xml:space="preserve"> </w:t>
      </w:r>
      <w:r>
        <w:rPr>
          <w:iCs w:val="0"/>
          <w:sz w:val="20"/>
          <w:lang w:val="lv-LV" w:eastAsia="lv-LV"/>
        </w:rPr>
        <w:t>67095493</w:t>
      </w:r>
    </w:p>
    <w:p w14:paraId="5E507504" w14:textId="16B4328A" w:rsidR="006F307C" w:rsidRPr="006F307C" w:rsidRDefault="00EE3EE1" w:rsidP="00D8591F">
      <w:pPr>
        <w:jc w:val="both"/>
        <w:rPr>
          <w:sz w:val="20"/>
          <w:szCs w:val="20"/>
          <w:lang w:val="lv-LV" w:eastAsia="lv-LV"/>
        </w:rPr>
      </w:pPr>
      <w:hyperlink r:id="rId11" w:history="1">
        <w:r w:rsidR="0037389A">
          <w:rPr>
            <w:iCs w:val="0"/>
            <w:color w:val="0000FF"/>
            <w:sz w:val="20"/>
            <w:u w:val="single"/>
            <w:lang w:val="lv-LV" w:eastAsia="lv-LV"/>
          </w:rPr>
          <w:t>Agrita.Ozolina@fm.gov.lv</w:t>
        </w:r>
      </w:hyperlink>
    </w:p>
    <w:sectPr w:rsidR="006F307C" w:rsidRPr="006F307C" w:rsidSect="00D8591F">
      <w:headerReference w:type="even" r:id="rId12"/>
      <w:headerReference w:type="default" r:id="rId13"/>
      <w:footerReference w:type="default" r:id="rId14"/>
      <w:headerReference w:type="first" r:id="rId15"/>
      <w:footerReference w:type="first" r:id="rId16"/>
      <w:pgSz w:w="11906" w:h="16838" w:code="9"/>
      <w:pgMar w:top="1418" w:right="1134" w:bottom="993" w:left="1701" w:header="709" w:footer="44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1050" w14:textId="77777777" w:rsidR="00B44DC6" w:rsidRDefault="00B44DC6">
      <w:r>
        <w:separator/>
      </w:r>
    </w:p>
  </w:endnote>
  <w:endnote w:type="continuationSeparator" w:id="0">
    <w:p w14:paraId="71A0859B" w14:textId="77777777" w:rsidR="00B44DC6" w:rsidRDefault="00B4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8859" w14:textId="4991A179"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E125DE">
      <w:rPr>
        <w:noProof/>
        <w:sz w:val="20"/>
        <w:szCs w:val="20"/>
      </w:rPr>
      <w:t>FMAnot_0</w:t>
    </w:r>
    <w:r w:rsidR="00A45FC9">
      <w:rPr>
        <w:noProof/>
        <w:sz w:val="20"/>
        <w:szCs w:val="20"/>
      </w:rPr>
      <w:t>9</w:t>
    </w:r>
    <w:r w:rsidR="00E125DE">
      <w:rPr>
        <w:noProof/>
        <w:sz w:val="20"/>
        <w:szCs w:val="20"/>
      </w:rPr>
      <w:t>1017_MK899.docx</w:t>
    </w:r>
    <w:r w:rsidRPr="00EE73BB">
      <w:rPr>
        <w:sz w:val="20"/>
        <w:szCs w:val="20"/>
        <w:lang w:val="lv-LV"/>
      </w:rPr>
      <w:fldChar w:fldCharType="end"/>
    </w:r>
    <w:r w:rsidRPr="00EE73BB">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930F" w14:textId="580C0C05" w:rsidR="00B44DC6" w:rsidRPr="00EE73BB" w:rsidRDefault="00B44DC6" w:rsidP="00EC52B4">
    <w:pPr>
      <w:pStyle w:val="Footer"/>
      <w:rPr>
        <w:sz w:val="20"/>
        <w:szCs w:val="20"/>
      </w:rPr>
    </w:pPr>
    <w:r w:rsidRPr="00EE73BB">
      <w:rPr>
        <w:sz w:val="20"/>
        <w:szCs w:val="20"/>
      </w:rPr>
      <w:fldChar w:fldCharType="begin"/>
    </w:r>
    <w:r w:rsidRPr="00EE73BB">
      <w:rPr>
        <w:sz w:val="20"/>
        <w:szCs w:val="20"/>
      </w:rPr>
      <w:instrText xml:space="preserve"> FILENAME   \* MERGEFORMAT </w:instrText>
    </w:r>
    <w:r w:rsidRPr="00EE73BB">
      <w:rPr>
        <w:sz w:val="20"/>
        <w:szCs w:val="20"/>
      </w:rPr>
      <w:fldChar w:fldCharType="separate"/>
    </w:r>
    <w:r w:rsidR="00EE73BB" w:rsidRPr="00EE73BB">
      <w:rPr>
        <w:noProof/>
        <w:sz w:val="20"/>
        <w:szCs w:val="20"/>
      </w:rPr>
      <w:t>FMAnot_0</w:t>
    </w:r>
    <w:r w:rsidR="00A45FC9">
      <w:rPr>
        <w:noProof/>
        <w:sz w:val="20"/>
        <w:szCs w:val="20"/>
      </w:rPr>
      <w:t>9</w:t>
    </w:r>
    <w:r w:rsidR="00EE73BB" w:rsidRPr="00EE73BB">
      <w:rPr>
        <w:noProof/>
        <w:sz w:val="20"/>
        <w:szCs w:val="20"/>
      </w:rPr>
      <w:t>1017_MK899.docx</w:t>
    </w:r>
    <w:r w:rsidRPr="00EE73BB">
      <w:rPr>
        <w:sz w:val="20"/>
        <w:szCs w:val="20"/>
        <w:lang w:val="lv-LV"/>
      </w:rPr>
      <w:fldChar w:fldCharType="end"/>
    </w:r>
    <w:r w:rsidRPr="00EE73BB">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080E" w14:textId="77777777" w:rsidR="00B44DC6" w:rsidRDefault="00B44DC6">
      <w:r>
        <w:separator/>
      </w:r>
    </w:p>
  </w:footnote>
  <w:footnote w:type="continuationSeparator" w:id="0">
    <w:p w14:paraId="5933C3E3" w14:textId="77777777" w:rsidR="00B44DC6" w:rsidRDefault="00B4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F9BB" w14:textId="77777777" w:rsidR="00B44DC6" w:rsidRDefault="00B44D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63646" w14:textId="77777777" w:rsidR="00B44DC6" w:rsidRDefault="00B4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F0E9" w14:textId="3186FE96" w:rsidR="00B44DC6" w:rsidRPr="00AD334D" w:rsidRDefault="00B44DC6">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EE3EE1">
      <w:rPr>
        <w:rStyle w:val="PageNumber"/>
        <w:noProof/>
        <w:sz w:val="24"/>
        <w:szCs w:val="24"/>
      </w:rPr>
      <w:t>7</w:t>
    </w:r>
    <w:r w:rsidRPr="00AD334D">
      <w:rPr>
        <w:rStyle w:val="PageNumber"/>
        <w:sz w:val="24"/>
        <w:szCs w:val="24"/>
      </w:rPr>
      <w:fldChar w:fldCharType="end"/>
    </w:r>
  </w:p>
  <w:p w14:paraId="09FB310F" w14:textId="77777777" w:rsidR="00B44DC6" w:rsidRDefault="00B44DC6" w:rsidP="00F90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8D63" w14:textId="77777777" w:rsidR="00B44DC6" w:rsidRDefault="00B44DC6">
    <w:pPr>
      <w:pStyle w:val="Header"/>
      <w:rPr>
        <w:lang w:val="lv-LV"/>
      </w:rPr>
    </w:pPr>
    <w:r>
      <w:rPr>
        <w:lang w:val="lv-LV"/>
      </w:rPr>
      <w:tab/>
    </w:r>
  </w:p>
  <w:p w14:paraId="21FAEC41" w14:textId="77777777" w:rsidR="00B44DC6" w:rsidRDefault="00B44DC6">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D5E"/>
    <w:multiLevelType w:val="hybridMultilevel"/>
    <w:tmpl w:val="028E4066"/>
    <w:lvl w:ilvl="0" w:tplc="4A667EAC">
      <w:start w:val="1"/>
      <w:numFmt w:val="decimal"/>
      <w:lvlText w:val="%1)"/>
      <w:lvlJc w:val="left"/>
      <w:pPr>
        <w:ind w:left="521" w:hanging="375"/>
      </w:pPr>
      <w:rPr>
        <w:rFonts w:hint="default"/>
        <w:color w:val="auto"/>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13"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6"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5E10AEA"/>
    <w:multiLevelType w:val="hybridMultilevel"/>
    <w:tmpl w:val="50009D64"/>
    <w:lvl w:ilvl="0" w:tplc="E61436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946003"/>
    <w:multiLevelType w:val="hybridMultilevel"/>
    <w:tmpl w:val="4E2441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23"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0"/>
  </w:num>
  <w:num w:numId="2">
    <w:abstractNumId w:val="15"/>
  </w:num>
  <w:num w:numId="3">
    <w:abstractNumId w:val="26"/>
  </w:num>
  <w:num w:numId="4">
    <w:abstractNumId w:val="16"/>
  </w:num>
  <w:num w:numId="5">
    <w:abstractNumId w:val="12"/>
  </w:num>
  <w:num w:numId="6">
    <w:abstractNumId w:val="2"/>
  </w:num>
  <w:num w:numId="7">
    <w:abstractNumId w:val="30"/>
  </w:num>
  <w:num w:numId="8">
    <w:abstractNumId w:val="31"/>
  </w:num>
  <w:num w:numId="9">
    <w:abstractNumId w:val="17"/>
  </w:num>
  <w:num w:numId="10">
    <w:abstractNumId w:val="25"/>
  </w:num>
  <w:num w:numId="11">
    <w:abstractNumId w:val="4"/>
  </w:num>
  <w:num w:numId="12">
    <w:abstractNumId w:val="23"/>
  </w:num>
  <w:num w:numId="13">
    <w:abstractNumId w:val="32"/>
  </w:num>
  <w:num w:numId="14">
    <w:abstractNumId w:val="24"/>
  </w:num>
  <w:num w:numId="15">
    <w:abstractNumId w:val="7"/>
  </w:num>
  <w:num w:numId="16">
    <w:abstractNumId w:val="14"/>
  </w:num>
  <w:num w:numId="17">
    <w:abstractNumId w:val="13"/>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8"/>
  </w:num>
  <w:num w:numId="23">
    <w:abstractNumId w:val="27"/>
  </w:num>
  <w:num w:numId="24">
    <w:abstractNumId w:val="9"/>
  </w:num>
  <w:num w:numId="25">
    <w:abstractNumId w:val="6"/>
  </w:num>
  <w:num w:numId="26">
    <w:abstractNumId w:val="19"/>
  </w:num>
  <w:num w:numId="27">
    <w:abstractNumId w:val="28"/>
  </w:num>
  <w:num w:numId="28">
    <w:abstractNumId w:val="29"/>
  </w:num>
  <w:num w:numId="29">
    <w:abstractNumId w:val="11"/>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8"/>
  </w:num>
  <w:num w:numId="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6E"/>
    <w:rsid w:val="0000077C"/>
    <w:rsid w:val="00000FE0"/>
    <w:rsid w:val="0000179E"/>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6E63"/>
    <w:rsid w:val="000173E8"/>
    <w:rsid w:val="00017F84"/>
    <w:rsid w:val="00020CBD"/>
    <w:rsid w:val="0002151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371A7"/>
    <w:rsid w:val="000401F7"/>
    <w:rsid w:val="00040631"/>
    <w:rsid w:val="000410D3"/>
    <w:rsid w:val="000413E1"/>
    <w:rsid w:val="000436CD"/>
    <w:rsid w:val="00043789"/>
    <w:rsid w:val="00043D88"/>
    <w:rsid w:val="00046B6C"/>
    <w:rsid w:val="00046E5C"/>
    <w:rsid w:val="00050484"/>
    <w:rsid w:val="00051400"/>
    <w:rsid w:val="00051578"/>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298"/>
    <w:rsid w:val="000617CD"/>
    <w:rsid w:val="00062086"/>
    <w:rsid w:val="0006245E"/>
    <w:rsid w:val="000624E0"/>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376E"/>
    <w:rsid w:val="00083ED7"/>
    <w:rsid w:val="00084CB0"/>
    <w:rsid w:val="00084CCD"/>
    <w:rsid w:val="00084DE4"/>
    <w:rsid w:val="00085271"/>
    <w:rsid w:val="00085FE8"/>
    <w:rsid w:val="000870C3"/>
    <w:rsid w:val="00087F21"/>
    <w:rsid w:val="000910C1"/>
    <w:rsid w:val="00092359"/>
    <w:rsid w:val="000933F7"/>
    <w:rsid w:val="000934F6"/>
    <w:rsid w:val="00094379"/>
    <w:rsid w:val="00094506"/>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3D6D"/>
    <w:rsid w:val="000B453D"/>
    <w:rsid w:val="000B5A4D"/>
    <w:rsid w:val="000B5DFA"/>
    <w:rsid w:val="000B5F63"/>
    <w:rsid w:val="000B7137"/>
    <w:rsid w:val="000B75C5"/>
    <w:rsid w:val="000C0217"/>
    <w:rsid w:val="000C03A7"/>
    <w:rsid w:val="000C080B"/>
    <w:rsid w:val="000C1236"/>
    <w:rsid w:val="000C18B4"/>
    <w:rsid w:val="000C2CE2"/>
    <w:rsid w:val="000C3171"/>
    <w:rsid w:val="000C31A2"/>
    <w:rsid w:val="000C3B99"/>
    <w:rsid w:val="000C3E61"/>
    <w:rsid w:val="000C49CD"/>
    <w:rsid w:val="000C4EE4"/>
    <w:rsid w:val="000C520E"/>
    <w:rsid w:val="000C565F"/>
    <w:rsid w:val="000C62F9"/>
    <w:rsid w:val="000C664C"/>
    <w:rsid w:val="000C66AC"/>
    <w:rsid w:val="000C6962"/>
    <w:rsid w:val="000C6C2E"/>
    <w:rsid w:val="000C6DDC"/>
    <w:rsid w:val="000C6FA4"/>
    <w:rsid w:val="000C7C79"/>
    <w:rsid w:val="000D129E"/>
    <w:rsid w:val="000D1848"/>
    <w:rsid w:val="000D1F5D"/>
    <w:rsid w:val="000D3E2F"/>
    <w:rsid w:val="000D475B"/>
    <w:rsid w:val="000D476A"/>
    <w:rsid w:val="000D4E9C"/>
    <w:rsid w:val="000D5ACF"/>
    <w:rsid w:val="000D608E"/>
    <w:rsid w:val="000D6426"/>
    <w:rsid w:val="000D6944"/>
    <w:rsid w:val="000D6CB8"/>
    <w:rsid w:val="000D7DAC"/>
    <w:rsid w:val="000E01C0"/>
    <w:rsid w:val="000E148F"/>
    <w:rsid w:val="000E1961"/>
    <w:rsid w:val="000E1A52"/>
    <w:rsid w:val="000E2A4E"/>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19E2"/>
    <w:rsid w:val="00103A18"/>
    <w:rsid w:val="00103F2A"/>
    <w:rsid w:val="00103FBC"/>
    <w:rsid w:val="00105800"/>
    <w:rsid w:val="00105BDE"/>
    <w:rsid w:val="00107517"/>
    <w:rsid w:val="00107ED5"/>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A9"/>
    <w:rsid w:val="001228E2"/>
    <w:rsid w:val="001228F5"/>
    <w:rsid w:val="00124A24"/>
    <w:rsid w:val="00125006"/>
    <w:rsid w:val="00125125"/>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46F"/>
    <w:rsid w:val="00134796"/>
    <w:rsid w:val="00135409"/>
    <w:rsid w:val="00135704"/>
    <w:rsid w:val="0013680B"/>
    <w:rsid w:val="00137C1C"/>
    <w:rsid w:val="0014003A"/>
    <w:rsid w:val="001410C1"/>
    <w:rsid w:val="001418AB"/>
    <w:rsid w:val="00142343"/>
    <w:rsid w:val="00144597"/>
    <w:rsid w:val="001449AC"/>
    <w:rsid w:val="00144E18"/>
    <w:rsid w:val="001455B2"/>
    <w:rsid w:val="00145B26"/>
    <w:rsid w:val="00145E1D"/>
    <w:rsid w:val="001461F6"/>
    <w:rsid w:val="00147002"/>
    <w:rsid w:val="00147003"/>
    <w:rsid w:val="0014735E"/>
    <w:rsid w:val="00147BEC"/>
    <w:rsid w:val="00150004"/>
    <w:rsid w:val="00150AAC"/>
    <w:rsid w:val="00151D81"/>
    <w:rsid w:val="00153A89"/>
    <w:rsid w:val="001555B9"/>
    <w:rsid w:val="00155752"/>
    <w:rsid w:val="00156836"/>
    <w:rsid w:val="001570C4"/>
    <w:rsid w:val="001579B5"/>
    <w:rsid w:val="00160317"/>
    <w:rsid w:val="00160F60"/>
    <w:rsid w:val="00161274"/>
    <w:rsid w:val="00161628"/>
    <w:rsid w:val="00161A6A"/>
    <w:rsid w:val="00162CA0"/>
    <w:rsid w:val="00163B0B"/>
    <w:rsid w:val="0016481B"/>
    <w:rsid w:val="00164AFB"/>
    <w:rsid w:val="00164C8D"/>
    <w:rsid w:val="00166B0E"/>
    <w:rsid w:val="00166E71"/>
    <w:rsid w:val="00166F2B"/>
    <w:rsid w:val="00166F52"/>
    <w:rsid w:val="00166FA6"/>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804E7"/>
    <w:rsid w:val="00180664"/>
    <w:rsid w:val="00180E19"/>
    <w:rsid w:val="00181117"/>
    <w:rsid w:val="00181A40"/>
    <w:rsid w:val="00181B3E"/>
    <w:rsid w:val="00182293"/>
    <w:rsid w:val="00182F96"/>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984"/>
    <w:rsid w:val="00197CB2"/>
    <w:rsid w:val="00197D37"/>
    <w:rsid w:val="001A0A9E"/>
    <w:rsid w:val="001A0B10"/>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9CD"/>
    <w:rsid w:val="001B0A10"/>
    <w:rsid w:val="001B0ADE"/>
    <w:rsid w:val="001B19FE"/>
    <w:rsid w:val="001B22FA"/>
    <w:rsid w:val="001B27C9"/>
    <w:rsid w:val="001B2886"/>
    <w:rsid w:val="001B39D9"/>
    <w:rsid w:val="001B3CE4"/>
    <w:rsid w:val="001B3E33"/>
    <w:rsid w:val="001B482F"/>
    <w:rsid w:val="001B5B83"/>
    <w:rsid w:val="001B5E8E"/>
    <w:rsid w:val="001B6DEC"/>
    <w:rsid w:val="001B70FB"/>
    <w:rsid w:val="001B73F0"/>
    <w:rsid w:val="001B777B"/>
    <w:rsid w:val="001B77F6"/>
    <w:rsid w:val="001B79C1"/>
    <w:rsid w:val="001C0043"/>
    <w:rsid w:val="001C0F57"/>
    <w:rsid w:val="001C1B60"/>
    <w:rsid w:val="001C1FE6"/>
    <w:rsid w:val="001C2912"/>
    <w:rsid w:val="001C41A8"/>
    <w:rsid w:val="001C43CC"/>
    <w:rsid w:val="001C4735"/>
    <w:rsid w:val="001C47FD"/>
    <w:rsid w:val="001C4D00"/>
    <w:rsid w:val="001C4FBF"/>
    <w:rsid w:val="001C6CEB"/>
    <w:rsid w:val="001C6F20"/>
    <w:rsid w:val="001C73F5"/>
    <w:rsid w:val="001C7891"/>
    <w:rsid w:val="001C7A0D"/>
    <w:rsid w:val="001C7EFF"/>
    <w:rsid w:val="001D03C3"/>
    <w:rsid w:val="001D0BB2"/>
    <w:rsid w:val="001D1D6E"/>
    <w:rsid w:val="001D2042"/>
    <w:rsid w:val="001D221C"/>
    <w:rsid w:val="001D4BDF"/>
    <w:rsid w:val="001D4F71"/>
    <w:rsid w:val="001D587A"/>
    <w:rsid w:val="001D67F7"/>
    <w:rsid w:val="001D69AE"/>
    <w:rsid w:val="001D69B4"/>
    <w:rsid w:val="001D7288"/>
    <w:rsid w:val="001D738D"/>
    <w:rsid w:val="001D7F93"/>
    <w:rsid w:val="001E0442"/>
    <w:rsid w:val="001E0B59"/>
    <w:rsid w:val="001E2909"/>
    <w:rsid w:val="001E2E2A"/>
    <w:rsid w:val="001E33BB"/>
    <w:rsid w:val="001E342A"/>
    <w:rsid w:val="001E3B5D"/>
    <w:rsid w:val="001E3D5D"/>
    <w:rsid w:val="001E5215"/>
    <w:rsid w:val="001E5EF7"/>
    <w:rsid w:val="001E63C3"/>
    <w:rsid w:val="001E67E4"/>
    <w:rsid w:val="001E6A30"/>
    <w:rsid w:val="001E6AC7"/>
    <w:rsid w:val="001E75D8"/>
    <w:rsid w:val="001F03F0"/>
    <w:rsid w:val="001F0F68"/>
    <w:rsid w:val="001F1186"/>
    <w:rsid w:val="001F20C5"/>
    <w:rsid w:val="001F233B"/>
    <w:rsid w:val="001F2C2E"/>
    <w:rsid w:val="001F2E19"/>
    <w:rsid w:val="001F4450"/>
    <w:rsid w:val="001F5CAE"/>
    <w:rsid w:val="001F5F1E"/>
    <w:rsid w:val="001F6134"/>
    <w:rsid w:val="001F624D"/>
    <w:rsid w:val="001F63A3"/>
    <w:rsid w:val="001F63FE"/>
    <w:rsid w:val="001F6A72"/>
    <w:rsid w:val="001F7839"/>
    <w:rsid w:val="002001B4"/>
    <w:rsid w:val="00201717"/>
    <w:rsid w:val="0020204A"/>
    <w:rsid w:val="002045D3"/>
    <w:rsid w:val="00204636"/>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223"/>
    <w:rsid w:val="0021664A"/>
    <w:rsid w:val="00216B21"/>
    <w:rsid w:val="00220092"/>
    <w:rsid w:val="00220883"/>
    <w:rsid w:val="00221A90"/>
    <w:rsid w:val="00221B0E"/>
    <w:rsid w:val="00222BE5"/>
    <w:rsid w:val="002231D0"/>
    <w:rsid w:val="002235A8"/>
    <w:rsid w:val="00223888"/>
    <w:rsid w:val="00224CA0"/>
    <w:rsid w:val="00224EDD"/>
    <w:rsid w:val="002250D1"/>
    <w:rsid w:val="0022567E"/>
    <w:rsid w:val="0022581C"/>
    <w:rsid w:val="002278CB"/>
    <w:rsid w:val="0022798A"/>
    <w:rsid w:val="002315D2"/>
    <w:rsid w:val="00233771"/>
    <w:rsid w:val="00234DCC"/>
    <w:rsid w:val="00234E5E"/>
    <w:rsid w:val="00235B24"/>
    <w:rsid w:val="0023707B"/>
    <w:rsid w:val="0023713F"/>
    <w:rsid w:val="00237FFD"/>
    <w:rsid w:val="00240BF7"/>
    <w:rsid w:val="00241160"/>
    <w:rsid w:val="0024132E"/>
    <w:rsid w:val="00241F5E"/>
    <w:rsid w:val="00242ED8"/>
    <w:rsid w:val="00243B8E"/>
    <w:rsid w:val="00243FDA"/>
    <w:rsid w:val="0024631A"/>
    <w:rsid w:val="00246BA7"/>
    <w:rsid w:val="0025064C"/>
    <w:rsid w:val="00251291"/>
    <w:rsid w:val="002517E4"/>
    <w:rsid w:val="0025181E"/>
    <w:rsid w:val="00251C19"/>
    <w:rsid w:val="00251E02"/>
    <w:rsid w:val="00252BDA"/>
    <w:rsid w:val="00253318"/>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70097"/>
    <w:rsid w:val="0027038B"/>
    <w:rsid w:val="002706A6"/>
    <w:rsid w:val="0027081A"/>
    <w:rsid w:val="0027261A"/>
    <w:rsid w:val="00272E91"/>
    <w:rsid w:val="00273926"/>
    <w:rsid w:val="002758C4"/>
    <w:rsid w:val="0027667F"/>
    <w:rsid w:val="0027712F"/>
    <w:rsid w:val="002774FF"/>
    <w:rsid w:val="00277932"/>
    <w:rsid w:val="00277F06"/>
    <w:rsid w:val="002800BA"/>
    <w:rsid w:val="00280D1F"/>
    <w:rsid w:val="00281278"/>
    <w:rsid w:val="00281D22"/>
    <w:rsid w:val="002821B7"/>
    <w:rsid w:val="0028235F"/>
    <w:rsid w:val="0028395F"/>
    <w:rsid w:val="002854BD"/>
    <w:rsid w:val="002862AA"/>
    <w:rsid w:val="0028688B"/>
    <w:rsid w:val="00286FD9"/>
    <w:rsid w:val="002874A4"/>
    <w:rsid w:val="00290205"/>
    <w:rsid w:val="002906BF"/>
    <w:rsid w:val="00291132"/>
    <w:rsid w:val="0029246C"/>
    <w:rsid w:val="00293796"/>
    <w:rsid w:val="0029387A"/>
    <w:rsid w:val="00294103"/>
    <w:rsid w:val="002949F1"/>
    <w:rsid w:val="00295764"/>
    <w:rsid w:val="00295826"/>
    <w:rsid w:val="00295B36"/>
    <w:rsid w:val="002967F2"/>
    <w:rsid w:val="00296823"/>
    <w:rsid w:val="002968EC"/>
    <w:rsid w:val="00296A80"/>
    <w:rsid w:val="00297299"/>
    <w:rsid w:val="002A048D"/>
    <w:rsid w:val="002A0A5D"/>
    <w:rsid w:val="002A1188"/>
    <w:rsid w:val="002A135C"/>
    <w:rsid w:val="002A1BC8"/>
    <w:rsid w:val="002A3F9E"/>
    <w:rsid w:val="002A4E4A"/>
    <w:rsid w:val="002A6470"/>
    <w:rsid w:val="002A696F"/>
    <w:rsid w:val="002A7744"/>
    <w:rsid w:val="002B04D2"/>
    <w:rsid w:val="002B083E"/>
    <w:rsid w:val="002B0D8B"/>
    <w:rsid w:val="002B174B"/>
    <w:rsid w:val="002B1D7C"/>
    <w:rsid w:val="002B233A"/>
    <w:rsid w:val="002B259C"/>
    <w:rsid w:val="002B2FC5"/>
    <w:rsid w:val="002B58A6"/>
    <w:rsid w:val="002B60F9"/>
    <w:rsid w:val="002B6251"/>
    <w:rsid w:val="002B657E"/>
    <w:rsid w:val="002B6619"/>
    <w:rsid w:val="002B7B63"/>
    <w:rsid w:val="002B7BC2"/>
    <w:rsid w:val="002C06FE"/>
    <w:rsid w:val="002C0A8B"/>
    <w:rsid w:val="002C156D"/>
    <w:rsid w:val="002C1902"/>
    <w:rsid w:val="002C1993"/>
    <w:rsid w:val="002C19B5"/>
    <w:rsid w:val="002C292B"/>
    <w:rsid w:val="002C29E9"/>
    <w:rsid w:val="002C493F"/>
    <w:rsid w:val="002C495F"/>
    <w:rsid w:val="002C4A67"/>
    <w:rsid w:val="002C4C73"/>
    <w:rsid w:val="002C771E"/>
    <w:rsid w:val="002D0507"/>
    <w:rsid w:val="002D05E8"/>
    <w:rsid w:val="002D0C16"/>
    <w:rsid w:val="002D2126"/>
    <w:rsid w:val="002D3949"/>
    <w:rsid w:val="002D3B5B"/>
    <w:rsid w:val="002D439D"/>
    <w:rsid w:val="002D45E4"/>
    <w:rsid w:val="002D5640"/>
    <w:rsid w:val="002D5B63"/>
    <w:rsid w:val="002D67D1"/>
    <w:rsid w:val="002D747B"/>
    <w:rsid w:val="002D7606"/>
    <w:rsid w:val="002E07A8"/>
    <w:rsid w:val="002E0F5E"/>
    <w:rsid w:val="002E0FF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A9C"/>
    <w:rsid w:val="002F1FA1"/>
    <w:rsid w:val="002F2460"/>
    <w:rsid w:val="002F347C"/>
    <w:rsid w:val="002F384D"/>
    <w:rsid w:val="002F3D5B"/>
    <w:rsid w:val="002F3F62"/>
    <w:rsid w:val="002F4B44"/>
    <w:rsid w:val="002F4C4D"/>
    <w:rsid w:val="002F4D62"/>
    <w:rsid w:val="002F543D"/>
    <w:rsid w:val="002F65F3"/>
    <w:rsid w:val="002F6740"/>
    <w:rsid w:val="002F679E"/>
    <w:rsid w:val="0030012A"/>
    <w:rsid w:val="00300FFA"/>
    <w:rsid w:val="00302E81"/>
    <w:rsid w:val="00305423"/>
    <w:rsid w:val="003055B6"/>
    <w:rsid w:val="0030617A"/>
    <w:rsid w:val="0030744B"/>
    <w:rsid w:val="00307478"/>
    <w:rsid w:val="00310AFA"/>
    <w:rsid w:val="00311183"/>
    <w:rsid w:val="00311B72"/>
    <w:rsid w:val="0031212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9AD"/>
    <w:rsid w:val="00325EF8"/>
    <w:rsid w:val="00326CA3"/>
    <w:rsid w:val="00326DE4"/>
    <w:rsid w:val="00333BC8"/>
    <w:rsid w:val="00335774"/>
    <w:rsid w:val="00335DF9"/>
    <w:rsid w:val="0033600E"/>
    <w:rsid w:val="003364C7"/>
    <w:rsid w:val="003367B4"/>
    <w:rsid w:val="003368EF"/>
    <w:rsid w:val="00337004"/>
    <w:rsid w:val="00340103"/>
    <w:rsid w:val="00340307"/>
    <w:rsid w:val="0034139A"/>
    <w:rsid w:val="00341A68"/>
    <w:rsid w:val="00341ACF"/>
    <w:rsid w:val="00341DD9"/>
    <w:rsid w:val="00343F01"/>
    <w:rsid w:val="003443B4"/>
    <w:rsid w:val="003447E2"/>
    <w:rsid w:val="00345CCB"/>
    <w:rsid w:val="003460CB"/>
    <w:rsid w:val="00346A61"/>
    <w:rsid w:val="00347282"/>
    <w:rsid w:val="00347526"/>
    <w:rsid w:val="00347E72"/>
    <w:rsid w:val="00350829"/>
    <w:rsid w:val="00351065"/>
    <w:rsid w:val="00351416"/>
    <w:rsid w:val="00352BF2"/>
    <w:rsid w:val="00352EA8"/>
    <w:rsid w:val="00356E49"/>
    <w:rsid w:val="00357C6D"/>
    <w:rsid w:val="003600AD"/>
    <w:rsid w:val="003603BC"/>
    <w:rsid w:val="0036044E"/>
    <w:rsid w:val="0036133C"/>
    <w:rsid w:val="00362985"/>
    <w:rsid w:val="00362F74"/>
    <w:rsid w:val="003644E2"/>
    <w:rsid w:val="003647D6"/>
    <w:rsid w:val="0036532F"/>
    <w:rsid w:val="003661CC"/>
    <w:rsid w:val="0036653F"/>
    <w:rsid w:val="00366EEE"/>
    <w:rsid w:val="003679C6"/>
    <w:rsid w:val="00370A6E"/>
    <w:rsid w:val="00370DD7"/>
    <w:rsid w:val="00371A82"/>
    <w:rsid w:val="00372601"/>
    <w:rsid w:val="00372F2B"/>
    <w:rsid w:val="0037315E"/>
    <w:rsid w:val="00373639"/>
    <w:rsid w:val="0037389A"/>
    <w:rsid w:val="00374AF5"/>
    <w:rsid w:val="003754FB"/>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5531"/>
    <w:rsid w:val="003958DB"/>
    <w:rsid w:val="00396A72"/>
    <w:rsid w:val="00396E1D"/>
    <w:rsid w:val="00396FD2"/>
    <w:rsid w:val="003979B5"/>
    <w:rsid w:val="00397ACC"/>
    <w:rsid w:val="003A18C4"/>
    <w:rsid w:val="003A1E90"/>
    <w:rsid w:val="003A2B05"/>
    <w:rsid w:val="003A2B3C"/>
    <w:rsid w:val="003A33EE"/>
    <w:rsid w:val="003A426C"/>
    <w:rsid w:val="003A4647"/>
    <w:rsid w:val="003A4C25"/>
    <w:rsid w:val="003A593E"/>
    <w:rsid w:val="003A647A"/>
    <w:rsid w:val="003A6E30"/>
    <w:rsid w:val="003A73CB"/>
    <w:rsid w:val="003A75A8"/>
    <w:rsid w:val="003A7877"/>
    <w:rsid w:val="003B057D"/>
    <w:rsid w:val="003B0697"/>
    <w:rsid w:val="003B0E4E"/>
    <w:rsid w:val="003B14D6"/>
    <w:rsid w:val="003B1D75"/>
    <w:rsid w:val="003B2081"/>
    <w:rsid w:val="003B2176"/>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1EC9"/>
    <w:rsid w:val="003C20BE"/>
    <w:rsid w:val="003C27B4"/>
    <w:rsid w:val="003C35F6"/>
    <w:rsid w:val="003C3BAE"/>
    <w:rsid w:val="003C4A5E"/>
    <w:rsid w:val="003C4E34"/>
    <w:rsid w:val="003C55B9"/>
    <w:rsid w:val="003C6070"/>
    <w:rsid w:val="003C6339"/>
    <w:rsid w:val="003C6BFF"/>
    <w:rsid w:val="003D0787"/>
    <w:rsid w:val="003D0D3D"/>
    <w:rsid w:val="003D108D"/>
    <w:rsid w:val="003D296B"/>
    <w:rsid w:val="003D2A80"/>
    <w:rsid w:val="003D2EA4"/>
    <w:rsid w:val="003D4551"/>
    <w:rsid w:val="003D4EEF"/>
    <w:rsid w:val="003D4FE2"/>
    <w:rsid w:val="003D56FD"/>
    <w:rsid w:val="003D598A"/>
    <w:rsid w:val="003D5F15"/>
    <w:rsid w:val="003D6D05"/>
    <w:rsid w:val="003D6DBE"/>
    <w:rsid w:val="003D7737"/>
    <w:rsid w:val="003D78E9"/>
    <w:rsid w:val="003D7BA3"/>
    <w:rsid w:val="003E001A"/>
    <w:rsid w:val="003E0675"/>
    <w:rsid w:val="003E11BE"/>
    <w:rsid w:val="003E18CA"/>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44C6"/>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139B"/>
    <w:rsid w:val="0041267C"/>
    <w:rsid w:val="0041292A"/>
    <w:rsid w:val="00412D38"/>
    <w:rsid w:val="00413B2F"/>
    <w:rsid w:val="0041472A"/>
    <w:rsid w:val="00414BF1"/>
    <w:rsid w:val="00414C84"/>
    <w:rsid w:val="00414E23"/>
    <w:rsid w:val="0041546B"/>
    <w:rsid w:val="00416699"/>
    <w:rsid w:val="0041687C"/>
    <w:rsid w:val="00417184"/>
    <w:rsid w:val="0042007D"/>
    <w:rsid w:val="0042011A"/>
    <w:rsid w:val="0042080B"/>
    <w:rsid w:val="00420FD6"/>
    <w:rsid w:val="004214B0"/>
    <w:rsid w:val="0042189F"/>
    <w:rsid w:val="00421931"/>
    <w:rsid w:val="004230E2"/>
    <w:rsid w:val="00423216"/>
    <w:rsid w:val="00424B2C"/>
    <w:rsid w:val="00425079"/>
    <w:rsid w:val="00425DC8"/>
    <w:rsid w:val="004263A9"/>
    <w:rsid w:val="00426C06"/>
    <w:rsid w:val="0042719E"/>
    <w:rsid w:val="004272D3"/>
    <w:rsid w:val="00427B6D"/>
    <w:rsid w:val="00427CE6"/>
    <w:rsid w:val="00431B1A"/>
    <w:rsid w:val="004325BB"/>
    <w:rsid w:val="00432AF2"/>
    <w:rsid w:val="00432FE0"/>
    <w:rsid w:val="00433C2E"/>
    <w:rsid w:val="00434043"/>
    <w:rsid w:val="0043610E"/>
    <w:rsid w:val="00436637"/>
    <w:rsid w:val="00436946"/>
    <w:rsid w:val="004378AB"/>
    <w:rsid w:val="004403FE"/>
    <w:rsid w:val="00440497"/>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CEE"/>
    <w:rsid w:val="00470FA6"/>
    <w:rsid w:val="00471183"/>
    <w:rsid w:val="0047267A"/>
    <w:rsid w:val="00472AEF"/>
    <w:rsid w:val="00472BB5"/>
    <w:rsid w:val="0047350A"/>
    <w:rsid w:val="00473B90"/>
    <w:rsid w:val="00473E60"/>
    <w:rsid w:val="00474834"/>
    <w:rsid w:val="00474960"/>
    <w:rsid w:val="004749B2"/>
    <w:rsid w:val="004759EA"/>
    <w:rsid w:val="004759FE"/>
    <w:rsid w:val="00475FFD"/>
    <w:rsid w:val="00476D9C"/>
    <w:rsid w:val="00477AEB"/>
    <w:rsid w:val="00480FDC"/>
    <w:rsid w:val="00481C73"/>
    <w:rsid w:val="00482F9E"/>
    <w:rsid w:val="00483197"/>
    <w:rsid w:val="00483339"/>
    <w:rsid w:val="00484091"/>
    <w:rsid w:val="00484F05"/>
    <w:rsid w:val="004851DD"/>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44B8"/>
    <w:rsid w:val="004A47B9"/>
    <w:rsid w:val="004A4DD9"/>
    <w:rsid w:val="004A4E73"/>
    <w:rsid w:val="004A4EDB"/>
    <w:rsid w:val="004A504D"/>
    <w:rsid w:val="004A55FE"/>
    <w:rsid w:val="004A5BCC"/>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638C"/>
    <w:rsid w:val="004D66E1"/>
    <w:rsid w:val="004D6C85"/>
    <w:rsid w:val="004D6E18"/>
    <w:rsid w:val="004D7FC6"/>
    <w:rsid w:val="004E03AA"/>
    <w:rsid w:val="004E1060"/>
    <w:rsid w:val="004E10C3"/>
    <w:rsid w:val="004E206A"/>
    <w:rsid w:val="004E2257"/>
    <w:rsid w:val="004E2536"/>
    <w:rsid w:val="004E25CA"/>
    <w:rsid w:val="004E2AEA"/>
    <w:rsid w:val="004E378B"/>
    <w:rsid w:val="004E3824"/>
    <w:rsid w:val="004E3F64"/>
    <w:rsid w:val="004E4225"/>
    <w:rsid w:val="004E42D4"/>
    <w:rsid w:val="004E4D5E"/>
    <w:rsid w:val="004E4EFE"/>
    <w:rsid w:val="004E5938"/>
    <w:rsid w:val="004E6363"/>
    <w:rsid w:val="004E646A"/>
    <w:rsid w:val="004E65FB"/>
    <w:rsid w:val="004E673F"/>
    <w:rsid w:val="004E75D5"/>
    <w:rsid w:val="004E7D2C"/>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312E"/>
    <w:rsid w:val="00503CE7"/>
    <w:rsid w:val="005041EF"/>
    <w:rsid w:val="00505B7C"/>
    <w:rsid w:val="00505C1B"/>
    <w:rsid w:val="00505C6C"/>
    <w:rsid w:val="00505EF5"/>
    <w:rsid w:val="00506E45"/>
    <w:rsid w:val="0050702C"/>
    <w:rsid w:val="00511532"/>
    <w:rsid w:val="00511763"/>
    <w:rsid w:val="0051235B"/>
    <w:rsid w:val="005129AD"/>
    <w:rsid w:val="00513EA7"/>
    <w:rsid w:val="00514809"/>
    <w:rsid w:val="005154F3"/>
    <w:rsid w:val="0051553C"/>
    <w:rsid w:val="00515CA2"/>
    <w:rsid w:val="005172EA"/>
    <w:rsid w:val="00520ACA"/>
    <w:rsid w:val="00520B71"/>
    <w:rsid w:val="00520C91"/>
    <w:rsid w:val="00520FBD"/>
    <w:rsid w:val="00521144"/>
    <w:rsid w:val="00521BAD"/>
    <w:rsid w:val="00522EF2"/>
    <w:rsid w:val="00523D49"/>
    <w:rsid w:val="0052565B"/>
    <w:rsid w:val="005257A3"/>
    <w:rsid w:val="00525946"/>
    <w:rsid w:val="00525B6D"/>
    <w:rsid w:val="00526309"/>
    <w:rsid w:val="00526DF1"/>
    <w:rsid w:val="00527ABA"/>
    <w:rsid w:val="00527CD1"/>
    <w:rsid w:val="00527ECF"/>
    <w:rsid w:val="00530EAD"/>
    <w:rsid w:val="0053144B"/>
    <w:rsid w:val="005326BB"/>
    <w:rsid w:val="00532D10"/>
    <w:rsid w:val="005331D3"/>
    <w:rsid w:val="0053339B"/>
    <w:rsid w:val="00533605"/>
    <w:rsid w:val="00533F5A"/>
    <w:rsid w:val="00534905"/>
    <w:rsid w:val="00534D68"/>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DA9"/>
    <w:rsid w:val="00551560"/>
    <w:rsid w:val="005519FC"/>
    <w:rsid w:val="00552630"/>
    <w:rsid w:val="00552D6F"/>
    <w:rsid w:val="0055378B"/>
    <w:rsid w:val="00553D56"/>
    <w:rsid w:val="00554027"/>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4DD"/>
    <w:rsid w:val="00572CE0"/>
    <w:rsid w:val="0057414D"/>
    <w:rsid w:val="005743EA"/>
    <w:rsid w:val="00574DFA"/>
    <w:rsid w:val="00574F93"/>
    <w:rsid w:val="005751A4"/>
    <w:rsid w:val="00576B6C"/>
    <w:rsid w:val="00576DAE"/>
    <w:rsid w:val="005773C5"/>
    <w:rsid w:val="005773C7"/>
    <w:rsid w:val="00577EE2"/>
    <w:rsid w:val="00580081"/>
    <w:rsid w:val="005807EB"/>
    <w:rsid w:val="00581D93"/>
    <w:rsid w:val="00582050"/>
    <w:rsid w:val="005827C5"/>
    <w:rsid w:val="00582939"/>
    <w:rsid w:val="005838B1"/>
    <w:rsid w:val="00583EC5"/>
    <w:rsid w:val="0058472F"/>
    <w:rsid w:val="00584A25"/>
    <w:rsid w:val="00584B55"/>
    <w:rsid w:val="00584C5F"/>
    <w:rsid w:val="00585F4A"/>
    <w:rsid w:val="00586039"/>
    <w:rsid w:val="00586327"/>
    <w:rsid w:val="00587BA2"/>
    <w:rsid w:val="0059003A"/>
    <w:rsid w:val="0059073D"/>
    <w:rsid w:val="0059140F"/>
    <w:rsid w:val="005935C4"/>
    <w:rsid w:val="005943BA"/>
    <w:rsid w:val="005944C0"/>
    <w:rsid w:val="0059468D"/>
    <w:rsid w:val="00595210"/>
    <w:rsid w:val="0059582C"/>
    <w:rsid w:val="005958CA"/>
    <w:rsid w:val="005969FF"/>
    <w:rsid w:val="005A1517"/>
    <w:rsid w:val="005A16F5"/>
    <w:rsid w:val="005A178F"/>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E3D"/>
    <w:rsid w:val="005C123B"/>
    <w:rsid w:val="005C1596"/>
    <w:rsid w:val="005C1C15"/>
    <w:rsid w:val="005C21AD"/>
    <w:rsid w:val="005C22BC"/>
    <w:rsid w:val="005C248C"/>
    <w:rsid w:val="005C3443"/>
    <w:rsid w:val="005C35DD"/>
    <w:rsid w:val="005C38EF"/>
    <w:rsid w:val="005C3D68"/>
    <w:rsid w:val="005C3E4D"/>
    <w:rsid w:val="005C4323"/>
    <w:rsid w:val="005C43FD"/>
    <w:rsid w:val="005C4BA1"/>
    <w:rsid w:val="005C4C01"/>
    <w:rsid w:val="005C790B"/>
    <w:rsid w:val="005C79A5"/>
    <w:rsid w:val="005D0122"/>
    <w:rsid w:val="005D034F"/>
    <w:rsid w:val="005D101B"/>
    <w:rsid w:val="005D133D"/>
    <w:rsid w:val="005D1993"/>
    <w:rsid w:val="005D1F72"/>
    <w:rsid w:val="005D21D3"/>
    <w:rsid w:val="005D27E9"/>
    <w:rsid w:val="005D432B"/>
    <w:rsid w:val="005D439F"/>
    <w:rsid w:val="005D5C06"/>
    <w:rsid w:val="005D5FA2"/>
    <w:rsid w:val="005D7004"/>
    <w:rsid w:val="005D762E"/>
    <w:rsid w:val="005D7D24"/>
    <w:rsid w:val="005D7F70"/>
    <w:rsid w:val="005E0D53"/>
    <w:rsid w:val="005E1DD8"/>
    <w:rsid w:val="005E2B0C"/>
    <w:rsid w:val="005E3066"/>
    <w:rsid w:val="005E39F8"/>
    <w:rsid w:val="005E483C"/>
    <w:rsid w:val="005E4AB1"/>
    <w:rsid w:val="005E6060"/>
    <w:rsid w:val="005F0490"/>
    <w:rsid w:val="005F079B"/>
    <w:rsid w:val="005F214F"/>
    <w:rsid w:val="005F218A"/>
    <w:rsid w:val="005F222E"/>
    <w:rsid w:val="005F2349"/>
    <w:rsid w:val="005F2D57"/>
    <w:rsid w:val="005F34BC"/>
    <w:rsid w:val="005F4EDC"/>
    <w:rsid w:val="005F5759"/>
    <w:rsid w:val="005F6939"/>
    <w:rsid w:val="005F7A40"/>
    <w:rsid w:val="00600A89"/>
    <w:rsid w:val="006012FA"/>
    <w:rsid w:val="006014DC"/>
    <w:rsid w:val="006019A0"/>
    <w:rsid w:val="00601CCB"/>
    <w:rsid w:val="0060247C"/>
    <w:rsid w:val="006032DE"/>
    <w:rsid w:val="006037F3"/>
    <w:rsid w:val="00603F63"/>
    <w:rsid w:val="00604D4C"/>
    <w:rsid w:val="0060505C"/>
    <w:rsid w:val="0060518B"/>
    <w:rsid w:val="00605D4C"/>
    <w:rsid w:val="006060F6"/>
    <w:rsid w:val="0060741E"/>
    <w:rsid w:val="006104DB"/>
    <w:rsid w:val="00612510"/>
    <w:rsid w:val="00612862"/>
    <w:rsid w:val="00612F08"/>
    <w:rsid w:val="0061426B"/>
    <w:rsid w:val="0061585A"/>
    <w:rsid w:val="00615FC0"/>
    <w:rsid w:val="00616059"/>
    <w:rsid w:val="006167A0"/>
    <w:rsid w:val="00616D3C"/>
    <w:rsid w:val="006178D6"/>
    <w:rsid w:val="00621001"/>
    <w:rsid w:val="0062264C"/>
    <w:rsid w:val="00624308"/>
    <w:rsid w:val="00624F77"/>
    <w:rsid w:val="006251FD"/>
    <w:rsid w:val="00625946"/>
    <w:rsid w:val="00625A09"/>
    <w:rsid w:val="00627E4D"/>
    <w:rsid w:val="00630256"/>
    <w:rsid w:val="00630BF7"/>
    <w:rsid w:val="00630E88"/>
    <w:rsid w:val="00630EFB"/>
    <w:rsid w:val="00631030"/>
    <w:rsid w:val="006315CB"/>
    <w:rsid w:val="00631EBC"/>
    <w:rsid w:val="00633872"/>
    <w:rsid w:val="00634123"/>
    <w:rsid w:val="00635E99"/>
    <w:rsid w:val="0063626A"/>
    <w:rsid w:val="0063658A"/>
    <w:rsid w:val="0063736C"/>
    <w:rsid w:val="0064041E"/>
    <w:rsid w:val="00640A13"/>
    <w:rsid w:val="00640CC0"/>
    <w:rsid w:val="006412C0"/>
    <w:rsid w:val="00641ED5"/>
    <w:rsid w:val="00643FB4"/>
    <w:rsid w:val="006440DC"/>
    <w:rsid w:val="006454C9"/>
    <w:rsid w:val="00645AA0"/>
    <w:rsid w:val="00646613"/>
    <w:rsid w:val="00646718"/>
    <w:rsid w:val="00647162"/>
    <w:rsid w:val="006474FF"/>
    <w:rsid w:val="0064779A"/>
    <w:rsid w:val="00647869"/>
    <w:rsid w:val="00647C6B"/>
    <w:rsid w:val="00650CA5"/>
    <w:rsid w:val="0065153B"/>
    <w:rsid w:val="00652196"/>
    <w:rsid w:val="006524B7"/>
    <w:rsid w:val="00653010"/>
    <w:rsid w:val="0065363F"/>
    <w:rsid w:val="00655243"/>
    <w:rsid w:val="00656110"/>
    <w:rsid w:val="006574E2"/>
    <w:rsid w:val="00660362"/>
    <w:rsid w:val="00662749"/>
    <w:rsid w:val="00662F93"/>
    <w:rsid w:val="006632C2"/>
    <w:rsid w:val="0066339D"/>
    <w:rsid w:val="00664726"/>
    <w:rsid w:val="00665340"/>
    <w:rsid w:val="00665DEB"/>
    <w:rsid w:val="006672F4"/>
    <w:rsid w:val="00667834"/>
    <w:rsid w:val="00670A28"/>
    <w:rsid w:val="00671365"/>
    <w:rsid w:val="006718AB"/>
    <w:rsid w:val="00671D92"/>
    <w:rsid w:val="006721CD"/>
    <w:rsid w:val="00673E94"/>
    <w:rsid w:val="0067419C"/>
    <w:rsid w:val="00674AE1"/>
    <w:rsid w:val="00676184"/>
    <w:rsid w:val="0067680B"/>
    <w:rsid w:val="00676A5F"/>
    <w:rsid w:val="00676AF2"/>
    <w:rsid w:val="0067763D"/>
    <w:rsid w:val="0067796B"/>
    <w:rsid w:val="00677FCE"/>
    <w:rsid w:val="006808A8"/>
    <w:rsid w:val="00680AA7"/>
    <w:rsid w:val="00680C32"/>
    <w:rsid w:val="00680ED9"/>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16C9"/>
    <w:rsid w:val="00692C17"/>
    <w:rsid w:val="00692C65"/>
    <w:rsid w:val="006937B4"/>
    <w:rsid w:val="00693B35"/>
    <w:rsid w:val="006944F7"/>
    <w:rsid w:val="00694782"/>
    <w:rsid w:val="00694ABF"/>
    <w:rsid w:val="00694D86"/>
    <w:rsid w:val="006953ED"/>
    <w:rsid w:val="00695635"/>
    <w:rsid w:val="0069666C"/>
    <w:rsid w:val="00696A1B"/>
    <w:rsid w:val="006970B8"/>
    <w:rsid w:val="006970E0"/>
    <w:rsid w:val="006A1B8A"/>
    <w:rsid w:val="006A2E01"/>
    <w:rsid w:val="006A304B"/>
    <w:rsid w:val="006A309F"/>
    <w:rsid w:val="006A322B"/>
    <w:rsid w:val="006A331F"/>
    <w:rsid w:val="006A36E2"/>
    <w:rsid w:val="006A3C06"/>
    <w:rsid w:val="006A4268"/>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5D94"/>
    <w:rsid w:val="006C67AE"/>
    <w:rsid w:val="006C7199"/>
    <w:rsid w:val="006C74B3"/>
    <w:rsid w:val="006C7A58"/>
    <w:rsid w:val="006C7CD7"/>
    <w:rsid w:val="006C7E43"/>
    <w:rsid w:val="006D0238"/>
    <w:rsid w:val="006D1916"/>
    <w:rsid w:val="006D2442"/>
    <w:rsid w:val="006D2723"/>
    <w:rsid w:val="006D2813"/>
    <w:rsid w:val="006D2D46"/>
    <w:rsid w:val="006D31A9"/>
    <w:rsid w:val="006D4416"/>
    <w:rsid w:val="006D48AC"/>
    <w:rsid w:val="006D4D0D"/>
    <w:rsid w:val="006D4DCC"/>
    <w:rsid w:val="006D4FFA"/>
    <w:rsid w:val="006D78C3"/>
    <w:rsid w:val="006E1663"/>
    <w:rsid w:val="006E24FA"/>
    <w:rsid w:val="006E2765"/>
    <w:rsid w:val="006E2903"/>
    <w:rsid w:val="006E2E82"/>
    <w:rsid w:val="006E3118"/>
    <w:rsid w:val="006E334F"/>
    <w:rsid w:val="006E373F"/>
    <w:rsid w:val="006E3CBE"/>
    <w:rsid w:val="006E3FED"/>
    <w:rsid w:val="006E45E0"/>
    <w:rsid w:val="006E486F"/>
    <w:rsid w:val="006E5145"/>
    <w:rsid w:val="006E5F23"/>
    <w:rsid w:val="006F06D4"/>
    <w:rsid w:val="006F07D1"/>
    <w:rsid w:val="006F2DF6"/>
    <w:rsid w:val="006F307C"/>
    <w:rsid w:val="006F42EE"/>
    <w:rsid w:val="006F52B4"/>
    <w:rsid w:val="0070003A"/>
    <w:rsid w:val="00700150"/>
    <w:rsid w:val="007001D7"/>
    <w:rsid w:val="007009A7"/>
    <w:rsid w:val="0070232D"/>
    <w:rsid w:val="00703163"/>
    <w:rsid w:val="0070330E"/>
    <w:rsid w:val="0070357E"/>
    <w:rsid w:val="00703D24"/>
    <w:rsid w:val="0070440E"/>
    <w:rsid w:val="00705E0F"/>
    <w:rsid w:val="00706BC1"/>
    <w:rsid w:val="007076AE"/>
    <w:rsid w:val="00710E88"/>
    <w:rsid w:val="00711107"/>
    <w:rsid w:val="00712F4C"/>
    <w:rsid w:val="007136C9"/>
    <w:rsid w:val="00714951"/>
    <w:rsid w:val="007169BE"/>
    <w:rsid w:val="00717236"/>
    <w:rsid w:val="007172C4"/>
    <w:rsid w:val="007204CE"/>
    <w:rsid w:val="00720B08"/>
    <w:rsid w:val="00721903"/>
    <w:rsid w:val="00721B6F"/>
    <w:rsid w:val="00721EE0"/>
    <w:rsid w:val="00721FD3"/>
    <w:rsid w:val="00722168"/>
    <w:rsid w:val="00722F0E"/>
    <w:rsid w:val="00723802"/>
    <w:rsid w:val="00723C2A"/>
    <w:rsid w:val="007249FE"/>
    <w:rsid w:val="007257AA"/>
    <w:rsid w:val="00725D78"/>
    <w:rsid w:val="00726B48"/>
    <w:rsid w:val="0072738D"/>
    <w:rsid w:val="00727CB2"/>
    <w:rsid w:val="00730071"/>
    <w:rsid w:val="007300AA"/>
    <w:rsid w:val="00731487"/>
    <w:rsid w:val="00731E55"/>
    <w:rsid w:val="00732B9E"/>
    <w:rsid w:val="00732ECF"/>
    <w:rsid w:val="00732FBA"/>
    <w:rsid w:val="007340D9"/>
    <w:rsid w:val="007344A6"/>
    <w:rsid w:val="00734C6A"/>
    <w:rsid w:val="00735895"/>
    <w:rsid w:val="007359CB"/>
    <w:rsid w:val="00736D9C"/>
    <w:rsid w:val="00736F76"/>
    <w:rsid w:val="007407C9"/>
    <w:rsid w:val="00740B02"/>
    <w:rsid w:val="00741623"/>
    <w:rsid w:val="00741ED6"/>
    <w:rsid w:val="00742D19"/>
    <w:rsid w:val="0074311B"/>
    <w:rsid w:val="00743197"/>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625D"/>
    <w:rsid w:val="00770683"/>
    <w:rsid w:val="007715A4"/>
    <w:rsid w:val="00771C78"/>
    <w:rsid w:val="007723B9"/>
    <w:rsid w:val="007729C3"/>
    <w:rsid w:val="0077320F"/>
    <w:rsid w:val="0077355C"/>
    <w:rsid w:val="00773622"/>
    <w:rsid w:val="00774097"/>
    <w:rsid w:val="00774152"/>
    <w:rsid w:val="0077459A"/>
    <w:rsid w:val="00774D6B"/>
    <w:rsid w:val="00774FAA"/>
    <w:rsid w:val="00775857"/>
    <w:rsid w:val="00775921"/>
    <w:rsid w:val="00776918"/>
    <w:rsid w:val="00777F95"/>
    <w:rsid w:val="00780735"/>
    <w:rsid w:val="007809EE"/>
    <w:rsid w:val="00780FA4"/>
    <w:rsid w:val="007813BF"/>
    <w:rsid w:val="007826A7"/>
    <w:rsid w:val="0078323E"/>
    <w:rsid w:val="00783F1C"/>
    <w:rsid w:val="007848C7"/>
    <w:rsid w:val="00784BE1"/>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ADE"/>
    <w:rsid w:val="00794FED"/>
    <w:rsid w:val="0079530A"/>
    <w:rsid w:val="00795A56"/>
    <w:rsid w:val="00795E09"/>
    <w:rsid w:val="00796113"/>
    <w:rsid w:val="007966B2"/>
    <w:rsid w:val="00796E24"/>
    <w:rsid w:val="00797AC9"/>
    <w:rsid w:val="007A0985"/>
    <w:rsid w:val="007A102A"/>
    <w:rsid w:val="007A1C1E"/>
    <w:rsid w:val="007A2668"/>
    <w:rsid w:val="007A2C45"/>
    <w:rsid w:val="007A3054"/>
    <w:rsid w:val="007A3382"/>
    <w:rsid w:val="007A38FB"/>
    <w:rsid w:val="007A3E93"/>
    <w:rsid w:val="007A52D7"/>
    <w:rsid w:val="007A5C20"/>
    <w:rsid w:val="007A62A0"/>
    <w:rsid w:val="007A6911"/>
    <w:rsid w:val="007A71BC"/>
    <w:rsid w:val="007A745F"/>
    <w:rsid w:val="007A76AD"/>
    <w:rsid w:val="007A76BE"/>
    <w:rsid w:val="007A79A4"/>
    <w:rsid w:val="007A7B48"/>
    <w:rsid w:val="007B0072"/>
    <w:rsid w:val="007B04AB"/>
    <w:rsid w:val="007B04F3"/>
    <w:rsid w:val="007B0848"/>
    <w:rsid w:val="007B1092"/>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6678"/>
    <w:rsid w:val="007C7737"/>
    <w:rsid w:val="007C792D"/>
    <w:rsid w:val="007D1492"/>
    <w:rsid w:val="007D24B0"/>
    <w:rsid w:val="007D24DB"/>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66FB"/>
    <w:rsid w:val="007F0130"/>
    <w:rsid w:val="007F031F"/>
    <w:rsid w:val="007F0E39"/>
    <w:rsid w:val="007F0EFD"/>
    <w:rsid w:val="007F17AA"/>
    <w:rsid w:val="007F31B7"/>
    <w:rsid w:val="007F3510"/>
    <w:rsid w:val="007F3AA5"/>
    <w:rsid w:val="007F3F76"/>
    <w:rsid w:val="007F47AC"/>
    <w:rsid w:val="007F4B60"/>
    <w:rsid w:val="007F5523"/>
    <w:rsid w:val="007F567B"/>
    <w:rsid w:val="007F69F2"/>
    <w:rsid w:val="007F6C18"/>
    <w:rsid w:val="0080018A"/>
    <w:rsid w:val="008006E2"/>
    <w:rsid w:val="0080091E"/>
    <w:rsid w:val="00800C3B"/>
    <w:rsid w:val="00802502"/>
    <w:rsid w:val="0080304A"/>
    <w:rsid w:val="00804117"/>
    <w:rsid w:val="008048FD"/>
    <w:rsid w:val="00805128"/>
    <w:rsid w:val="00807777"/>
    <w:rsid w:val="00807C2E"/>
    <w:rsid w:val="008104BB"/>
    <w:rsid w:val="00811344"/>
    <w:rsid w:val="00811CA0"/>
    <w:rsid w:val="0081498A"/>
    <w:rsid w:val="00814999"/>
    <w:rsid w:val="008169A7"/>
    <w:rsid w:val="00816E27"/>
    <w:rsid w:val="00817192"/>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6F77"/>
    <w:rsid w:val="0082709C"/>
    <w:rsid w:val="00830516"/>
    <w:rsid w:val="00831E64"/>
    <w:rsid w:val="00832D94"/>
    <w:rsid w:val="00833469"/>
    <w:rsid w:val="00833539"/>
    <w:rsid w:val="0083371D"/>
    <w:rsid w:val="00833BCA"/>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567C"/>
    <w:rsid w:val="00846E6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0DB5"/>
    <w:rsid w:val="0087286F"/>
    <w:rsid w:val="00872D43"/>
    <w:rsid w:val="0087316A"/>
    <w:rsid w:val="0087339A"/>
    <w:rsid w:val="00873467"/>
    <w:rsid w:val="00873DF1"/>
    <w:rsid w:val="00874702"/>
    <w:rsid w:val="00874C81"/>
    <w:rsid w:val="008764D9"/>
    <w:rsid w:val="00877930"/>
    <w:rsid w:val="00881E26"/>
    <w:rsid w:val="0088203F"/>
    <w:rsid w:val="00883341"/>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A4D"/>
    <w:rsid w:val="00895B4A"/>
    <w:rsid w:val="00896B06"/>
    <w:rsid w:val="00897622"/>
    <w:rsid w:val="008978F1"/>
    <w:rsid w:val="00897BC5"/>
    <w:rsid w:val="008A08A4"/>
    <w:rsid w:val="008A0CE1"/>
    <w:rsid w:val="008A12A2"/>
    <w:rsid w:val="008A18A6"/>
    <w:rsid w:val="008A1B9E"/>
    <w:rsid w:val="008A40BB"/>
    <w:rsid w:val="008A56E4"/>
    <w:rsid w:val="008A5A8E"/>
    <w:rsid w:val="008A75BD"/>
    <w:rsid w:val="008A7603"/>
    <w:rsid w:val="008B04E3"/>
    <w:rsid w:val="008B14C0"/>
    <w:rsid w:val="008B1D23"/>
    <w:rsid w:val="008B1E5C"/>
    <w:rsid w:val="008B2A42"/>
    <w:rsid w:val="008B2F8F"/>
    <w:rsid w:val="008B300A"/>
    <w:rsid w:val="008B4239"/>
    <w:rsid w:val="008B52CA"/>
    <w:rsid w:val="008B5BE6"/>
    <w:rsid w:val="008B6215"/>
    <w:rsid w:val="008B66DC"/>
    <w:rsid w:val="008B693D"/>
    <w:rsid w:val="008B6DEE"/>
    <w:rsid w:val="008B73CE"/>
    <w:rsid w:val="008B7487"/>
    <w:rsid w:val="008B775D"/>
    <w:rsid w:val="008B7779"/>
    <w:rsid w:val="008C03C6"/>
    <w:rsid w:val="008C06EB"/>
    <w:rsid w:val="008C0DCF"/>
    <w:rsid w:val="008C0EB7"/>
    <w:rsid w:val="008C203A"/>
    <w:rsid w:val="008C271F"/>
    <w:rsid w:val="008C4B19"/>
    <w:rsid w:val="008C5847"/>
    <w:rsid w:val="008C69C4"/>
    <w:rsid w:val="008C6DE1"/>
    <w:rsid w:val="008C7618"/>
    <w:rsid w:val="008C79AC"/>
    <w:rsid w:val="008C7BED"/>
    <w:rsid w:val="008D00F0"/>
    <w:rsid w:val="008D0128"/>
    <w:rsid w:val="008D048C"/>
    <w:rsid w:val="008D05AA"/>
    <w:rsid w:val="008D077A"/>
    <w:rsid w:val="008D1D3D"/>
    <w:rsid w:val="008D2939"/>
    <w:rsid w:val="008D2DC5"/>
    <w:rsid w:val="008D4FF0"/>
    <w:rsid w:val="008D7446"/>
    <w:rsid w:val="008E0030"/>
    <w:rsid w:val="008E0568"/>
    <w:rsid w:val="008E094A"/>
    <w:rsid w:val="008E1D56"/>
    <w:rsid w:val="008E249F"/>
    <w:rsid w:val="008E3E42"/>
    <w:rsid w:val="008E3E47"/>
    <w:rsid w:val="008E3EB7"/>
    <w:rsid w:val="008E46D0"/>
    <w:rsid w:val="008E5297"/>
    <w:rsid w:val="008E609A"/>
    <w:rsid w:val="008E6F74"/>
    <w:rsid w:val="008F1EDC"/>
    <w:rsid w:val="008F2166"/>
    <w:rsid w:val="008F4091"/>
    <w:rsid w:val="008F490C"/>
    <w:rsid w:val="008F6566"/>
    <w:rsid w:val="008F6B82"/>
    <w:rsid w:val="008F6BBC"/>
    <w:rsid w:val="008F6C18"/>
    <w:rsid w:val="00900977"/>
    <w:rsid w:val="00901A0F"/>
    <w:rsid w:val="00903CE7"/>
    <w:rsid w:val="0090490A"/>
    <w:rsid w:val="00904BB2"/>
    <w:rsid w:val="00905693"/>
    <w:rsid w:val="009057C5"/>
    <w:rsid w:val="00905AF7"/>
    <w:rsid w:val="00905EC4"/>
    <w:rsid w:val="009064DE"/>
    <w:rsid w:val="009066E6"/>
    <w:rsid w:val="00906A48"/>
    <w:rsid w:val="00907570"/>
    <w:rsid w:val="009077CF"/>
    <w:rsid w:val="00907D8E"/>
    <w:rsid w:val="00910CDE"/>
    <w:rsid w:val="0091115B"/>
    <w:rsid w:val="00911246"/>
    <w:rsid w:val="00911FED"/>
    <w:rsid w:val="009125C8"/>
    <w:rsid w:val="00912726"/>
    <w:rsid w:val="0091306A"/>
    <w:rsid w:val="00913187"/>
    <w:rsid w:val="0091379B"/>
    <w:rsid w:val="009151F2"/>
    <w:rsid w:val="00915604"/>
    <w:rsid w:val="00916BF3"/>
    <w:rsid w:val="009175EB"/>
    <w:rsid w:val="00917905"/>
    <w:rsid w:val="00920015"/>
    <w:rsid w:val="0092105D"/>
    <w:rsid w:val="00921A21"/>
    <w:rsid w:val="00921F3F"/>
    <w:rsid w:val="00922184"/>
    <w:rsid w:val="00922695"/>
    <w:rsid w:val="00924422"/>
    <w:rsid w:val="00924E84"/>
    <w:rsid w:val="00925D34"/>
    <w:rsid w:val="009260A6"/>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3EAD"/>
    <w:rsid w:val="009444D1"/>
    <w:rsid w:val="00945289"/>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A41"/>
    <w:rsid w:val="00962F58"/>
    <w:rsid w:val="00963F76"/>
    <w:rsid w:val="009644C2"/>
    <w:rsid w:val="00964F7E"/>
    <w:rsid w:val="00965C3A"/>
    <w:rsid w:val="00967053"/>
    <w:rsid w:val="009677F0"/>
    <w:rsid w:val="00967CE4"/>
    <w:rsid w:val="009705EA"/>
    <w:rsid w:val="00970D1B"/>
    <w:rsid w:val="00970DF1"/>
    <w:rsid w:val="00971804"/>
    <w:rsid w:val="009719E1"/>
    <w:rsid w:val="00972632"/>
    <w:rsid w:val="00972CE0"/>
    <w:rsid w:val="00972F13"/>
    <w:rsid w:val="009738EB"/>
    <w:rsid w:val="00973E11"/>
    <w:rsid w:val="00974A1C"/>
    <w:rsid w:val="009754B3"/>
    <w:rsid w:val="009759D6"/>
    <w:rsid w:val="00975AF6"/>
    <w:rsid w:val="00975C04"/>
    <w:rsid w:val="00977157"/>
    <w:rsid w:val="00977703"/>
    <w:rsid w:val="00977BE8"/>
    <w:rsid w:val="00977C76"/>
    <w:rsid w:val="00980616"/>
    <w:rsid w:val="009808E3"/>
    <w:rsid w:val="0098311A"/>
    <w:rsid w:val="009834D6"/>
    <w:rsid w:val="00983564"/>
    <w:rsid w:val="00985FCF"/>
    <w:rsid w:val="00987E8F"/>
    <w:rsid w:val="00990089"/>
    <w:rsid w:val="00990C74"/>
    <w:rsid w:val="00991100"/>
    <w:rsid w:val="009929A6"/>
    <w:rsid w:val="00992E5C"/>
    <w:rsid w:val="00992E9D"/>
    <w:rsid w:val="009936DD"/>
    <w:rsid w:val="00993AA9"/>
    <w:rsid w:val="00994009"/>
    <w:rsid w:val="009943BB"/>
    <w:rsid w:val="00994B12"/>
    <w:rsid w:val="009958DD"/>
    <w:rsid w:val="00997D84"/>
    <w:rsid w:val="00997DFB"/>
    <w:rsid w:val="009A082F"/>
    <w:rsid w:val="009A0C6C"/>
    <w:rsid w:val="009A1169"/>
    <w:rsid w:val="009A12A9"/>
    <w:rsid w:val="009A1CAB"/>
    <w:rsid w:val="009A2079"/>
    <w:rsid w:val="009A2125"/>
    <w:rsid w:val="009A2240"/>
    <w:rsid w:val="009A2AC3"/>
    <w:rsid w:val="009A3257"/>
    <w:rsid w:val="009A35C3"/>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E7A"/>
    <w:rsid w:val="009C011B"/>
    <w:rsid w:val="009C0DB6"/>
    <w:rsid w:val="009C25D6"/>
    <w:rsid w:val="009C29CC"/>
    <w:rsid w:val="009C2F17"/>
    <w:rsid w:val="009C3DD1"/>
    <w:rsid w:val="009C4CE5"/>
    <w:rsid w:val="009C4DA6"/>
    <w:rsid w:val="009C4FA8"/>
    <w:rsid w:val="009C53E4"/>
    <w:rsid w:val="009C552F"/>
    <w:rsid w:val="009C651C"/>
    <w:rsid w:val="009C66EA"/>
    <w:rsid w:val="009C6A4B"/>
    <w:rsid w:val="009C7151"/>
    <w:rsid w:val="009C71D9"/>
    <w:rsid w:val="009D11E6"/>
    <w:rsid w:val="009D2547"/>
    <w:rsid w:val="009D3598"/>
    <w:rsid w:val="009D38B2"/>
    <w:rsid w:val="009D4200"/>
    <w:rsid w:val="009D4ABB"/>
    <w:rsid w:val="009D624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1BE7"/>
    <w:rsid w:val="009F29EC"/>
    <w:rsid w:val="009F2C2A"/>
    <w:rsid w:val="009F2E1A"/>
    <w:rsid w:val="009F3092"/>
    <w:rsid w:val="009F45F4"/>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565"/>
    <w:rsid w:val="00A07726"/>
    <w:rsid w:val="00A101A2"/>
    <w:rsid w:val="00A112EF"/>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8CA"/>
    <w:rsid w:val="00A25BC5"/>
    <w:rsid w:val="00A260A6"/>
    <w:rsid w:val="00A277D4"/>
    <w:rsid w:val="00A27EBE"/>
    <w:rsid w:val="00A332A1"/>
    <w:rsid w:val="00A34DA9"/>
    <w:rsid w:val="00A34E86"/>
    <w:rsid w:val="00A3522D"/>
    <w:rsid w:val="00A35F0A"/>
    <w:rsid w:val="00A36165"/>
    <w:rsid w:val="00A37470"/>
    <w:rsid w:val="00A41525"/>
    <w:rsid w:val="00A41F98"/>
    <w:rsid w:val="00A428FE"/>
    <w:rsid w:val="00A42E08"/>
    <w:rsid w:val="00A43397"/>
    <w:rsid w:val="00A45FC9"/>
    <w:rsid w:val="00A46991"/>
    <w:rsid w:val="00A46E14"/>
    <w:rsid w:val="00A46F22"/>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A88"/>
    <w:rsid w:val="00A57FDE"/>
    <w:rsid w:val="00A61812"/>
    <w:rsid w:val="00A61ACF"/>
    <w:rsid w:val="00A62006"/>
    <w:rsid w:val="00A62FDC"/>
    <w:rsid w:val="00A648AE"/>
    <w:rsid w:val="00A64D19"/>
    <w:rsid w:val="00A659E6"/>
    <w:rsid w:val="00A65D21"/>
    <w:rsid w:val="00A67471"/>
    <w:rsid w:val="00A67C8D"/>
    <w:rsid w:val="00A7005D"/>
    <w:rsid w:val="00A70F33"/>
    <w:rsid w:val="00A70FEA"/>
    <w:rsid w:val="00A7390F"/>
    <w:rsid w:val="00A73D76"/>
    <w:rsid w:val="00A73DB5"/>
    <w:rsid w:val="00A73FE0"/>
    <w:rsid w:val="00A7415E"/>
    <w:rsid w:val="00A744B1"/>
    <w:rsid w:val="00A74B75"/>
    <w:rsid w:val="00A75035"/>
    <w:rsid w:val="00A7512D"/>
    <w:rsid w:val="00A751F6"/>
    <w:rsid w:val="00A779E9"/>
    <w:rsid w:val="00A8026A"/>
    <w:rsid w:val="00A80DEB"/>
    <w:rsid w:val="00A820E0"/>
    <w:rsid w:val="00A8294D"/>
    <w:rsid w:val="00A82A48"/>
    <w:rsid w:val="00A82DEB"/>
    <w:rsid w:val="00A838CD"/>
    <w:rsid w:val="00A841EC"/>
    <w:rsid w:val="00A845BF"/>
    <w:rsid w:val="00A861B5"/>
    <w:rsid w:val="00A87115"/>
    <w:rsid w:val="00A87FB4"/>
    <w:rsid w:val="00A904E8"/>
    <w:rsid w:val="00A9124F"/>
    <w:rsid w:val="00A92D9A"/>
    <w:rsid w:val="00A93CFB"/>
    <w:rsid w:val="00A93E96"/>
    <w:rsid w:val="00A9410E"/>
    <w:rsid w:val="00A941F5"/>
    <w:rsid w:val="00A947C4"/>
    <w:rsid w:val="00A94A3A"/>
    <w:rsid w:val="00A94A7F"/>
    <w:rsid w:val="00A94AB3"/>
    <w:rsid w:val="00A9514A"/>
    <w:rsid w:val="00A956DF"/>
    <w:rsid w:val="00A957AA"/>
    <w:rsid w:val="00A959B9"/>
    <w:rsid w:val="00A95C2F"/>
    <w:rsid w:val="00A974FC"/>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C3B"/>
    <w:rsid w:val="00AB508E"/>
    <w:rsid w:val="00AB597B"/>
    <w:rsid w:val="00AB60D9"/>
    <w:rsid w:val="00AB7BCB"/>
    <w:rsid w:val="00AB7FBC"/>
    <w:rsid w:val="00AC0175"/>
    <w:rsid w:val="00AC0676"/>
    <w:rsid w:val="00AC0D7E"/>
    <w:rsid w:val="00AC11EE"/>
    <w:rsid w:val="00AC1DDB"/>
    <w:rsid w:val="00AC26D8"/>
    <w:rsid w:val="00AC27A9"/>
    <w:rsid w:val="00AC2F8B"/>
    <w:rsid w:val="00AC3949"/>
    <w:rsid w:val="00AC4638"/>
    <w:rsid w:val="00AC4672"/>
    <w:rsid w:val="00AC4810"/>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061"/>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5013"/>
    <w:rsid w:val="00AF5428"/>
    <w:rsid w:val="00AF5E43"/>
    <w:rsid w:val="00AF5F17"/>
    <w:rsid w:val="00AF69E7"/>
    <w:rsid w:val="00AF72B3"/>
    <w:rsid w:val="00B001A4"/>
    <w:rsid w:val="00B00243"/>
    <w:rsid w:val="00B017DE"/>
    <w:rsid w:val="00B027FD"/>
    <w:rsid w:val="00B02ECD"/>
    <w:rsid w:val="00B03481"/>
    <w:rsid w:val="00B04263"/>
    <w:rsid w:val="00B04644"/>
    <w:rsid w:val="00B04E35"/>
    <w:rsid w:val="00B04FB8"/>
    <w:rsid w:val="00B05033"/>
    <w:rsid w:val="00B06D04"/>
    <w:rsid w:val="00B07520"/>
    <w:rsid w:val="00B079DF"/>
    <w:rsid w:val="00B1004D"/>
    <w:rsid w:val="00B1055F"/>
    <w:rsid w:val="00B10623"/>
    <w:rsid w:val="00B11125"/>
    <w:rsid w:val="00B1243B"/>
    <w:rsid w:val="00B12D83"/>
    <w:rsid w:val="00B12EA5"/>
    <w:rsid w:val="00B12FEF"/>
    <w:rsid w:val="00B136C3"/>
    <w:rsid w:val="00B14272"/>
    <w:rsid w:val="00B15914"/>
    <w:rsid w:val="00B15F40"/>
    <w:rsid w:val="00B1601E"/>
    <w:rsid w:val="00B160C8"/>
    <w:rsid w:val="00B17084"/>
    <w:rsid w:val="00B171B1"/>
    <w:rsid w:val="00B17B85"/>
    <w:rsid w:val="00B17D47"/>
    <w:rsid w:val="00B218BE"/>
    <w:rsid w:val="00B21C4D"/>
    <w:rsid w:val="00B22555"/>
    <w:rsid w:val="00B23BDE"/>
    <w:rsid w:val="00B23CC6"/>
    <w:rsid w:val="00B252CD"/>
    <w:rsid w:val="00B25896"/>
    <w:rsid w:val="00B26E63"/>
    <w:rsid w:val="00B27362"/>
    <w:rsid w:val="00B30203"/>
    <w:rsid w:val="00B30C02"/>
    <w:rsid w:val="00B30E5F"/>
    <w:rsid w:val="00B30F7A"/>
    <w:rsid w:val="00B31DE9"/>
    <w:rsid w:val="00B326BD"/>
    <w:rsid w:val="00B32724"/>
    <w:rsid w:val="00B336B5"/>
    <w:rsid w:val="00B3402B"/>
    <w:rsid w:val="00B3428A"/>
    <w:rsid w:val="00B3489E"/>
    <w:rsid w:val="00B35892"/>
    <w:rsid w:val="00B37899"/>
    <w:rsid w:val="00B406F3"/>
    <w:rsid w:val="00B40AC0"/>
    <w:rsid w:val="00B40C8B"/>
    <w:rsid w:val="00B41184"/>
    <w:rsid w:val="00B41C9C"/>
    <w:rsid w:val="00B42D30"/>
    <w:rsid w:val="00B4310F"/>
    <w:rsid w:val="00B44064"/>
    <w:rsid w:val="00B44DC6"/>
    <w:rsid w:val="00B44E59"/>
    <w:rsid w:val="00B44F12"/>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CEF"/>
    <w:rsid w:val="00B62D8A"/>
    <w:rsid w:val="00B63545"/>
    <w:rsid w:val="00B635EB"/>
    <w:rsid w:val="00B636A5"/>
    <w:rsid w:val="00B637C5"/>
    <w:rsid w:val="00B63BDC"/>
    <w:rsid w:val="00B64CDA"/>
    <w:rsid w:val="00B6504F"/>
    <w:rsid w:val="00B6527B"/>
    <w:rsid w:val="00B6596B"/>
    <w:rsid w:val="00B65D23"/>
    <w:rsid w:val="00B65E73"/>
    <w:rsid w:val="00B661BE"/>
    <w:rsid w:val="00B662F0"/>
    <w:rsid w:val="00B6635D"/>
    <w:rsid w:val="00B67366"/>
    <w:rsid w:val="00B6790B"/>
    <w:rsid w:val="00B70ABA"/>
    <w:rsid w:val="00B70C97"/>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8E5"/>
    <w:rsid w:val="00B82E86"/>
    <w:rsid w:val="00B83312"/>
    <w:rsid w:val="00B841C1"/>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6E84"/>
    <w:rsid w:val="00B973CB"/>
    <w:rsid w:val="00B97701"/>
    <w:rsid w:val="00B97738"/>
    <w:rsid w:val="00B97B19"/>
    <w:rsid w:val="00BA0930"/>
    <w:rsid w:val="00BA0A2C"/>
    <w:rsid w:val="00BA0ED5"/>
    <w:rsid w:val="00BA2259"/>
    <w:rsid w:val="00BA2601"/>
    <w:rsid w:val="00BA31BB"/>
    <w:rsid w:val="00BA31F6"/>
    <w:rsid w:val="00BA336E"/>
    <w:rsid w:val="00BA3B8B"/>
    <w:rsid w:val="00BA3ECF"/>
    <w:rsid w:val="00BA3FE2"/>
    <w:rsid w:val="00BA5D89"/>
    <w:rsid w:val="00BA6769"/>
    <w:rsid w:val="00BA6CE4"/>
    <w:rsid w:val="00BA6EB8"/>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23A"/>
    <w:rsid w:val="00BB53D3"/>
    <w:rsid w:val="00BB5656"/>
    <w:rsid w:val="00BB5954"/>
    <w:rsid w:val="00BB5C5A"/>
    <w:rsid w:val="00BB633D"/>
    <w:rsid w:val="00BB6613"/>
    <w:rsid w:val="00BB6988"/>
    <w:rsid w:val="00BB6EFA"/>
    <w:rsid w:val="00BB77C0"/>
    <w:rsid w:val="00BC0E45"/>
    <w:rsid w:val="00BC0F3C"/>
    <w:rsid w:val="00BC1C59"/>
    <w:rsid w:val="00BC25D9"/>
    <w:rsid w:val="00BC2682"/>
    <w:rsid w:val="00BC3EB8"/>
    <w:rsid w:val="00BC4AE7"/>
    <w:rsid w:val="00BC4B78"/>
    <w:rsid w:val="00BC4F84"/>
    <w:rsid w:val="00BC52DC"/>
    <w:rsid w:val="00BC54B5"/>
    <w:rsid w:val="00BC5AA5"/>
    <w:rsid w:val="00BC5BF9"/>
    <w:rsid w:val="00BC5EBA"/>
    <w:rsid w:val="00BC7576"/>
    <w:rsid w:val="00BD00E4"/>
    <w:rsid w:val="00BD0FD9"/>
    <w:rsid w:val="00BD2082"/>
    <w:rsid w:val="00BD26B9"/>
    <w:rsid w:val="00BD3485"/>
    <w:rsid w:val="00BD42F7"/>
    <w:rsid w:val="00BD4356"/>
    <w:rsid w:val="00BD566E"/>
    <w:rsid w:val="00BD57AE"/>
    <w:rsid w:val="00BD5AE0"/>
    <w:rsid w:val="00BD650B"/>
    <w:rsid w:val="00BD662C"/>
    <w:rsid w:val="00BD6C17"/>
    <w:rsid w:val="00BE17E2"/>
    <w:rsid w:val="00BE2217"/>
    <w:rsid w:val="00BE245E"/>
    <w:rsid w:val="00BE2A81"/>
    <w:rsid w:val="00BE31E5"/>
    <w:rsid w:val="00BE340B"/>
    <w:rsid w:val="00BE345E"/>
    <w:rsid w:val="00BE3C98"/>
    <w:rsid w:val="00BE3FB0"/>
    <w:rsid w:val="00BE49EF"/>
    <w:rsid w:val="00BE5A9B"/>
    <w:rsid w:val="00BE635B"/>
    <w:rsid w:val="00BE63C1"/>
    <w:rsid w:val="00BE6716"/>
    <w:rsid w:val="00BF1FB4"/>
    <w:rsid w:val="00BF232F"/>
    <w:rsid w:val="00BF25B5"/>
    <w:rsid w:val="00BF27A8"/>
    <w:rsid w:val="00BF507B"/>
    <w:rsid w:val="00BF53CA"/>
    <w:rsid w:val="00BF6E05"/>
    <w:rsid w:val="00BF6E34"/>
    <w:rsid w:val="00C0103C"/>
    <w:rsid w:val="00C0175F"/>
    <w:rsid w:val="00C03236"/>
    <w:rsid w:val="00C0336C"/>
    <w:rsid w:val="00C03C36"/>
    <w:rsid w:val="00C03FB3"/>
    <w:rsid w:val="00C052D9"/>
    <w:rsid w:val="00C05782"/>
    <w:rsid w:val="00C0777A"/>
    <w:rsid w:val="00C0789D"/>
    <w:rsid w:val="00C10980"/>
    <w:rsid w:val="00C12078"/>
    <w:rsid w:val="00C12193"/>
    <w:rsid w:val="00C13090"/>
    <w:rsid w:val="00C1373A"/>
    <w:rsid w:val="00C1497A"/>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5290"/>
    <w:rsid w:val="00C258F0"/>
    <w:rsid w:val="00C25DAD"/>
    <w:rsid w:val="00C264D5"/>
    <w:rsid w:val="00C2681C"/>
    <w:rsid w:val="00C26959"/>
    <w:rsid w:val="00C27560"/>
    <w:rsid w:val="00C275C9"/>
    <w:rsid w:val="00C2790B"/>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2089"/>
    <w:rsid w:val="00C522E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55B"/>
    <w:rsid w:val="00C6375F"/>
    <w:rsid w:val="00C648CE"/>
    <w:rsid w:val="00C65768"/>
    <w:rsid w:val="00C667A8"/>
    <w:rsid w:val="00C66FDF"/>
    <w:rsid w:val="00C705D8"/>
    <w:rsid w:val="00C70AE8"/>
    <w:rsid w:val="00C70B00"/>
    <w:rsid w:val="00C71FF5"/>
    <w:rsid w:val="00C738D5"/>
    <w:rsid w:val="00C740D1"/>
    <w:rsid w:val="00C74211"/>
    <w:rsid w:val="00C7540A"/>
    <w:rsid w:val="00C75551"/>
    <w:rsid w:val="00C757E3"/>
    <w:rsid w:val="00C7657B"/>
    <w:rsid w:val="00C7690B"/>
    <w:rsid w:val="00C76BDD"/>
    <w:rsid w:val="00C77481"/>
    <w:rsid w:val="00C77519"/>
    <w:rsid w:val="00C77805"/>
    <w:rsid w:val="00C77CBD"/>
    <w:rsid w:val="00C817FA"/>
    <w:rsid w:val="00C81A14"/>
    <w:rsid w:val="00C828DE"/>
    <w:rsid w:val="00C82E22"/>
    <w:rsid w:val="00C831AD"/>
    <w:rsid w:val="00C8321B"/>
    <w:rsid w:val="00C840E3"/>
    <w:rsid w:val="00C8432C"/>
    <w:rsid w:val="00C84584"/>
    <w:rsid w:val="00C84D33"/>
    <w:rsid w:val="00C85677"/>
    <w:rsid w:val="00C857F1"/>
    <w:rsid w:val="00C85E86"/>
    <w:rsid w:val="00C87464"/>
    <w:rsid w:val="00C905E4"/>
    <w:rsid w:val="00C92261"/>
    <w:rsid w:val="00C92B86"/>
    <w:rsid w:val="00C943B3"/>
    <w:rsid w:val="00C94E99"/>
    <w:rsid w:val="00C950EE"/>
    <w:rsid w:val="00CA0071"/>
    <w:rsid w:val="00CA0826"/>
    <w:rsid w:val="00CA0A37"/>
    <w:rsid w:val="00CA0B55"/>
    <w:rsid w:val="00CA1222"/>
    <w:rsid w:val="00CA1654"/>
    <w:rsid w:val="00CA182E"/>
    <w:rsid w:val="00CA1849"/>
    <w:rsid w:val="00CA2303"/>
    <w:rsid w:val="00CA2B2C"/>
    <w:rsid w:val="00CA387D"/>
    <w:rsid w:val="00CA3D05"/>
    <w:rsid w:val="00CA5251"/>
    <w:rsid w:val="00CA5296"/>
    <w:rsid w:val="00CA6219"/>
    <w:rsid w:val="00CA701E"/>
    <w:rsid w:val="00CB0515"/>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3CF"/>
    <w:rsid w:val="00CC0A59"/>
    <w:rsid w:val="00CC1EB0"/>
    <w:rsid w:val="00CC2084"/>
    <w:rsid w:val="00CC2542"/>
    <w:rsid w:val="00CC3C10"/>
    <w:rsid w:val="00CC3E8D"/>
    <w:rsid w:val="00CC4864"/>
    <w:rsid w:val="00CC4BFB"/>
    <w:rsid w:val="00CC4CC4"/>
    <w:rsid w:val="00CC63DE"/>
    <w:rsid w:val="00CC6433"/>
    <w:rsid w:val="00CC6468"/>
    <w:rsid w:val="00CC70AC"/>
    <w:rsid w:val="00CC7335"/>
    <w:rsid w:val="00CD0172"/>
    <w:rsid w:val="00CD0675"/>
    <w:rsid w:val="00CD07AE"/>
    <w:rsid w:val="00CD0AAA"/>
    <w:rsid w:val="00CD18FF"/>
    <w:rsid w:val="00CD1B33"/>
    <w:rsid w:val="00CD1BE9"/>
    <w:rsid w:val="00CD208A"/>
    <w:rsid w:val="00CD4378"/>
    <w:rsid w:val="00CD53C3"/>
    <w:rsid w:val="00CD634D"/>
    <w:rsid w:val="00CD650A"/>
    <w:rsid w:val="00CD7974"/>
    <w:rsid w:val="00CD7AA3"/>
    <w:rsid w:val="00CE1030"/>
    <w:rsid w:val="00CE182F"/>
    <w:rsid w:val="00CE192E"/>
    <w:rsid w:val="00CE1A15"/>
    <w:rsid w:val="00CE2368"/>
    <w:rsid w:val="00CE26BC"/>
    <w:rsid w:val="00CE2813"/>
    <w:rsid w:val="00CE2F1F"/>
    <w:rsid w:val="00CE356E"/>
    <w:rsid w:val="00CE40B6"/>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1E17"/>
    <w:rsid w:val="00D027D4"/>
    <w:rsid w:val="00D027E0"/>
    <w:rsid w:val="00D03FB5"/>
    <w:rsid w:val="00D0583B"/>
    <w:rsid w:val="00D05FD8"/>
    <w:rsid w:val="00D070B7"/>
    <w:rsid w:val="00D10F64"/>
    <w:rsid w:val="00D111EC"/>
    <w:rsid w:val="00D11E85"/>
    <w:rsid w:val="00D12DAA"/>
    <w:rsid w:val="00D12E71"/>
    <w:rsid w:val="00D14A9C"/>
    <w:rsid w:val="00D16C60"/>
    <w:rsid w:val="00D16DE0"/>
    <w:rsid w:val="00D1718C"/>
    <w:rsid w:val="00D205D3"/>
    <w:rsid w:val="00D20733"/>
    <w:rsid w:val="00D20C2D"/>
    <w:rsid w:val="00D20D80"/>
    <w:rsid w:val="00D2172C"/>
    <w:rsid w:val="00D21DD9"/>
    <w:rsid w:val="00D21E18"/>
    <w:rsid w:val="00D21F40"/>
    <w:rsid w:val="00D223C6"/>
    <w:rsid w:val="00D2245E"/>
    <w:rsid w:val="00D22DA1"/>
    <w:rsid w:val="00D23547"/>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328B"/>
    <w:rsid w:val="00D43C9C"/>
    <w:rsid w:val="00D443CB"/>
    <w:rsid w:val="00D44972"/>
    <w:rsid w:val="00D44DD9"/>
    <w:rsid w:val="00D46254"/>
    <w:rsid w:val="00D46C38"/>
    <w:rsid w:val="00D46D70"/>
    <w:rsid w:val="00D47E02"/>
    <w:rsid w:val="00D47FDD"/>
    <w:rsid w:val="00D52AD7"/>
    <w:rsid w:val="00D52F1B"/>
    <w:rsid w:val="00D54943"/>
    <w:rsid w:val="00D5543C"/>
    <w:rsid w:val="00D55A4F"/>
    <w:rsid w:val="00D55C22"/>
    <w:rsid w:val="00D562C7"/>
    <w:rsid w:val="00D60B0F"/>
    <w:rsid w:val="00D612BD"/>
    <w:rsid w:val="00D6183D"/>
    <w:rsid w:val="00D61D33"/>
    <w:rsid w:val="00D6270E"/>
    <w:rsid w:val="00D62855"/>
    <w:rsid w:val="00D649E3"/>
    <w:rsid w:val="00D6505E"/>
    <w:rsid w:val="00D65E52"/>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5049"/>
    <w:rsid w:val="00D763E9"/>
    <w:rsid w:val="00D76E64"/>
    <w:rsid w:val="00D772EB"/>
    <w:rsid w:val="00D8161E"/>
    <w:rsid w:val="00D82177"/>
    <w:rsid w:val="00D82372"/>
    <w:rsid w:val="00D8249A"/>
    <w:rsid w:val="00D825D8"/>
    <w:rsid w:val="00D82EDA"/>
    <w:rsid w:val="00D844D2"/>
    <w:rsid w:val="00D84815"/>
    <w:rsid w:val="00D84B24"/>
    <w:rsid w:val="00D85559"/>
    <w:rsid w:val="00D8591F"/>
    <w:rsid w:val="00D865C0"/>
    <w:rsid w:val="00D86C62"/>
    <w:rsid w:val="00D872A1"/>
    <w:rsid w:val="00D872D1"/>
    <w:rsid w:val="00D87C16"/>
    <w:rsid w:val="00D90530"/>
    <w:rsid w:val="00D907CE"/>
    <w:rsid w:val="00D912C8"/>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B2C"/>
    <w:rsid w:val="00DA7FA1"/>
    <w:rsid w:val="00DB0099"/>
    <w:rsid w:val="00DB0C20"/>
    <w:rsid w:val="00DB12B3"/>
    <w:rsid w:val="00DB14F5"/>
    <w:rsid w:val="00DB1893"/>
    <w:rsid w:val="00DB1C9F"/>
    <w:rsid w:val="00DB2397"/>
    <w:rsid w:val="00DB245A"/>
    <w:rsid w:val="00DB40A5"/>
    <w:rsid w:val="00DB467A"/>
    <w:rsid w:val="00DB4C07"/>
    <w:rsid w:val="00DB5057"/>
    <w:rsid w:val="00DB5194"/>
    <w:rsid w:val="00DB590C"/>
    <w:rsid w:val="00DB649A"/>
    <w:rsid w:val="00DB706F"/>
    <w:rsid w:val="00DB71F9"/>
    <w:rsid w:val="00DB7EF3"/>
    <w:rsid w:val="00DB7F77"/>
    <w:rsid w:val="00DC09EF"/>
    <w:rsid w:val="00DC1989"/>
    <w:rsid w:val="00DC1E8B"/>
    <w:rsid w:val="00DC1F3D"/>
    <w:rsid w:val="00DC22A7"/>
    <w:rsid w:val="00DC2857"/>
    <w:rsid w:val="00DC34AC"/>
    <w:rsid w:val="00DC38FA"/>
    <w:rsid w:val="00DC534C"/>
    <w:rsid w:val="00DC5970"/>
    <w:rsid w:val="00DC66D1"/>
    <w:rsid w:val="00DC7409"/>
    <w:rsid w:val="00DC7594"/>
    <w:rsid w:val="00DC760D"/>
    <w:rsid w:val="00DC786F"/>
    <w:rsid w:val="00DC7E42"/>
    <w:rsid w:val="00DD032A"/>
    <w:rsid w:val="00DD0FA8"/>
    <w:rsid w:val="00DD1DE7"/>
    <w:rsid w:val="00DD202B"/>
    <w:rsid w:val="00DD34A7"/>
    <w:rsid w:val="00DD3A95"/>
    <w:rsid w:val="00DD41A9"/>
    <w:rsid w:val="00DD41C4"/>
    <w:rsid w:val="00DD4473"/>
    <w:rsid w:val="00DD44ED"/>
    <w:rsid w:val="00DD4C76"/>
    <w:rsid w:val="00DD4F57"/>
    <w:rsid w:val="00DD7594"/>
    <w:rsid w:val="00DD7CDD"/>
    <w:rsid w:val="00DE0194"/>
    <w:rsid w:val="00DE311B"/>
    <w:rsid w:val="00DE3C25"/>
    <w:rsid w:val="00DE3D4A"/>
    <w:rsid w:val="00DE4657"/>
    <w:rsid w:val="00DE47D8"/>
    <w:rsid w:val="00DE59D3"/>
    <w:rsid w:val="00DE7206"/>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6B2"/>
    <w:rsid w:val="00DF6B36"/>
    <w:rsid w:val="00DF6FBF"/>
    <w:rsid w:val="00DF7A83"/>
    <w:rsid w:val="00DF7E09"/>
    <w:rsid w:val="00DF7F3E"/>
    <w:rsid w:val="00E018F8"/>
    <w:rsid w:val="00E02222"/>
    <w:rsid w:val="00E026A1"/>
    <w:rsid w:val="00E02DD2"/>
    <w:rsid w:val="00E03297"/>
    <w:rsid w:val="00E0426B"/>
    <w:rsid w:val="00E047F5"/>
    <w:rsid w:val="00E05154"/>
    <w:rsid w:val="00E05B92"/>
    <w:rsid w:val="00E100A9"/>
    <w:rsid w:val="00E109D4"/>
    <w:rsid w:val="00E113AE"/>
    <w:rsid w:val="00E1168B"/>
    <w:rsid w:val="00E11AFD"/>
    <w:rsid w:val="00E125DE"/>
    <w:rsid w:val="00E12A28"/>
    <w:rsid w:val="00E13BF8"/>
    <w:rsid w:val="00E14432"/>
    <w:rsid w:val="00E1447B"/>
    <w:rsid w:val="00E14679"/>
    <w:rsid w:val="00E14D25"/>
    <w:rsid w:val="00E14D71"/>
    <w:rsid w:val="00E155DA"/>
    <w:rsid w:val="00E1644B"/>
    <w:rsid w:val="00E173E7"/>
    <w:rsid w:val="00E2025E"/>
    <w:rsid w:val="00E20421"/>
    <w:rsid w:val="00E204B6"/>
    <w:rsid w:val="00E210F7"/>
    <w:rsid w:val="00E21D45"/>
    <w:rsid w:val="00E22808"/>
    <w:rsid w:val="00E24112"/>
    <w:rsid w:val="00E2483A"/>
    <w:rsid w:val="00E25122"/>
    <w:rsid w:val="00E25F5B"/>
    <w:rsid w:val="00E273A2"/>
    <w:rsid w:val="00E278C4"/>
    <w:rsid w:val="00E30598"/>
    <w:rsid w:val="00E30EAB"/>
    <w:rsid w:val="00E30F44"/>
    <w:rsid w:val="00E31031"/>
    <w:rsid w:val="00E31328"/>
    <w:rsid w:val="00E317C9"/>
    <w:rsid w:val="00E32402"/>
    <w:rsid w:val="00E32B2B"/>
    <w:rsid w:val="00E32D10"/>
    <w:rsid w:val="00E3403B"/>
    <w:rsid w:val="00E34C22"/>
    <w:rsid w:val="00E34E99"/>
    <w:rsid w:val="00E353F7"/>
    <w:rsid w:val="00E35D35"/>
    <w:rsid w:val="00E37150"/>
    <w:rsid w:val="00E3751D"/>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1D0"/>
    <w:rsid w:val="00E54232"/>
    <w:rsid w:val="00E547FB"/>
    <w:rsid w:val="00E5588E"/>
    <w:rsid w:val="00E56761"/>
    <w:rsid w:val="00E56959"/>
    <w:rsid w:val="00E57A79"/>
    <w:rsid w:val="00E60031"/>
    <w:rsid w:val="00E6025E"/>
    <w:rsid w:val="00E608EB"/>
    <w:rsid w:val="00E61656"/>
    <w:rsid w:val="00E62341"/>
    <w:rsid w:val="00E62A5D"/>
    <w:rsid w:val="00E63813"/>
    <w:rsid w:val="00E63EB8"/>
    <w:rsid w:val="00E64825"/>
    <w:rsid w:val="00E64A56"/>
    <w:rsid w:val="00E6577A"/>
    <w:rsid w:val="00E65875"/>
    <w:rsid w:val="00E65AC2"/>
    <w:rsid w:val="00E67683"/>
    <w:rsid w:val="00E71B67"/>
    <w:rsid w:val="00E7245F"/>
    <w:rsid w:val="00E724DF"/>
    <w:rsid w:val="00E73CC9"/>
    <w:rsid w:val="00E7419A"/>
    <w:rsid w:val="00E74F47"/>
    <w:rsid w:val="00E75F53"/>
    <w:rsid w:val="00E76488"/>
    <w:rsid w:val="00E777F1"/>
    <w:rsid w:val="00E77CFB"/>
    <w:rsid w:val="00E806A1"/>
    <w:rsid w:val="00E8070D"/>
    <w:rsid w:val="00E8111D"/>
    <w:rsid w:val="00E8156C"/>
    <w:rsid w:val="00E81E66"/>
    <w:rsid w:val="00E82053"/>
    <w:rsid w:val="00E83180"/>
    <w:rsid w:val="00E844CC"/>
    <w:rsid w:val="00E84686"/>
    <w:rsid w:val="00E84E51"/>
    <w:rsid w:val="00E84FAF"/>
    <w:rsid w:val="00E85192"/>
    <w:rsid w:val="00E853D2"/>
    <w:rsid w:val="00E85E87"/>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38F"/>
    <w:rsid w:val="00EB0FE6"/>
    <w:rsid w:val="00EB3B5E"/>
    <w:rsid w:val="00EB3F2E"/>
    <w:rsid w:val="00EB593B"/>
    <w:rsid w:val="00EB5D7B"/>
    <w:rsid w:val="00EB680A"/>
    <w:rsid w:val="00EB6FF1"/>
    <w:rsid w:val="00EC01F3"/>
    <w:rsid w:val="00EC0385"/>
    <w:rsid w:val="00EC06B8"/>
    <w:rsid w:val="00EC0CD3"/>
    <w:rsid w:val="00EC1967"/>
    <w:rsid w:val="00EC1CF3"/>
    <w:rsid w:val="00EC2287"/>
    <w:rsid w:val="00EC29FF"/>
    <w:rsid w:val="00EC2C49"/>
    <w:rsid w:val="00EC396E"/>
    <w:rsid w:val="00EC3D5D"/>
    <w:rsid w:val="00EC487D"/>
    <w:rsid w:val="00EC4971"/>
    <w:rsid w:val="00EC4CD3"/>
    <w:rsid w:val="00EC52B4"/>
    <w:rsid w:val="00EC5711"/>
    <w:rsid w:val="00EC59F1"/>
    <w:rsid w:val="00EC63DF"/>
    <w:rsid w:val="00EC6E76"/>
    <w:rsid w:val="00EC717F"/>
    <w:rsid w:val="00EC73B5"/>
    <w:rsid w:val="00EC7607"/>
    <w:rsid w:val="00EC77F1"/>
    <w:rsid w:val="00EC796F"/>
    <w:rsid w:val="00ED00C1"/>
    <w:rsid w:val="00ED14AE"/>
    <w:rsid w:val="00ED742A"/>
    <w:rsid w:val="00ED7F76"/>
    <w:rsid w:val="00EE0C30"/>
    <w:rsid w:val="00EE0EA3"/>
    <w:rsid w:val="00EE14DA"/>
    <w:rsid w:val="00EE1CAB"/>
    <w:rsid w:val="00EE22ED"/>
    <w:rsid w:val="00EE2663"/>
    <w:rsid w:val="00EE2A24"/>
    <w:rsid w:val="00EE3286"/>
    <w:rsid w:val="00EE33FC"/>
    <w:rsid w:val="00EE3709"/>
    <w:rsid w:val="00EE3EE1"/>
    <w:rsid w:val="00EE448A"/>
    <w:rsid w:val="00EE4C39"/>
    <w:rsid w:val="00EE542E"/>
    <w:rsid w:val="00EE5C2D"/>
    <w:rsid w:val="00EE6405"/>
    <w:rsid w:val="00EE659A"/>
    <w:rsid w:val="00EE6787"/>
    <w:rsid w:val="00EE73BB"/>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5B7"/>
    <w:rsid w:val="00F006AB"/>
    <w:rsid w:val="00F00832"/>
    <w:rsid w:val="00F00D70"/>
    <w:rsid w:val="00F02164"/>
    <w:rsid w:val="00F0370B"/>
    <w:rsid w:val="00F041D7"/>
    <w:rsid w:val="00F046B0"/>
    <w:rsid w:val="00F04939"/>
    <w:rsid w:val="00F056CC"/>
    <w:rsid w:val="00F05823"/>
    <w:rsid w:val="00F06D90"/>
    <w:rsid w:val="00F06E94"/>
    <w:rsid w:val="00F0716D"/>
    <w:rsid w:val="00F072DF"/>
    <w:rsid w:val="00F10487"/>
    <w:rsid w:val="00F118F5"/>
    <w:rsid w:val="00F11C51"/>
    <w:rsid w:val="00F13E48"/>
    <w:rsid w:val="00F144B1"/>
    <w:rsid w:val="00F144FE"/>
    <w:rsid w:val="00F164D4"/>
    <w:rsid w:val="00F171E8"/>
    <w:rsid w:val="00F17200"/>
    <w:rsid w:val="00F17380"/>
    <w:rsid w:val="00F17630"/>
    <w:rsid w:val="00F17BED"/>
    <w:rsid w:val="00F17E8A"/>
    <w:rsid w:val="00F200A3"/>
    <w:rsid w:val="00F2035F"/>
    <w:rsid w:val="00F20C0B"/>
    <w:rsid w:val="00F21392"/>
    <w:rsid w:val="00F21511"/>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1F46"/>
    <w:rsid w:val="00F3248A"/>
    <w:rsid w:val="00F337AC"/>
    <w:rsid w:val="00F343CA"/>
    <w:rsid w:val="00F35145"/>
    <w:rsid w:val="00F35CD3"/>
    <w:rsid w:val="00F35E09"/>
    <w:rsid w:val="00F362B8"/>
    <w:rsid w:val="00F36CE0"/>
    <w:rsid w:val="00F37D32"/>
    <w:rsid w:val="00F401E9"/>
    <w:rsid w:val="00F404A1"/>
    <w:rsid w:val="00F40A25"/>
    <w:rsid w:val="00F40E36"/>
    <w:rsid w:val="00F41C7D"/>
    <w:rsid w:val="00F42286"/>
    <w:rsid w:val="00F422F3"/>
    <w:rsid w:val="00F42A4E"/>
    <w:rsid w:val="00F433CB"/>
    <w:rsid w:val="00F434CC"/>
    <w:rsid w:val="00F4473D"/>
    <w:rsid w:val="00F44983"/>
    <w:rsid w:val="00F44D52"/>
    <w:rsid w:val="00F463D1"/>
    <w:rsid w:val="00F46791"/>
    <w:rsid w:val="00F46941"/>
    <w:rsid w:val="00F47F1B"/>
    <w:rsid w:val="00F50386"/>
    <w:rsid w:val="00F52732"/>
    <w:rsid w:val="00F5275C"/>
    <w:rsid w:val="00F543B6"/>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29B3"/>
    <w:rsid w:val="00F636FC"/>
    <w:rsid w:val="00F63C8A"/>
    <w:rsid w:val="00F64B3B"/>
    <w:rsid w:val="00F6554E"/>
    <w:rsid w:val="00F673E1"/>
    <w:rsid w:val="00F70AFA"/>
    <w:rsid w:val="00F71145"/>
    <w:rsid w:val="00F71645"/>
    <w:rsid w:val="00F72890"/>
    <w:rsid w:val="00F731CD"/>
    <w:rsid w:val="00F7431E"/>
    <w:rsid w:val="00F74DD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5B9"/>
    <w:rsid w:val="00F87C95"/>
    <w:rsid w:val="00F902A3"/>
    <w:rsid w:val="00F904C2"/>
    <w:rsid w:val="00F90543"/>
    <w:rsid w:val="00F91425"/>
    <w:rsid w:val="00F9194D"/>
    <w:rsid w:val="00F93548"/>
    <w:rsid w:val="00F94AB5"/>
    <w:rsid w:val="00F94EBA"/>
    <w:rsid w:val="00F950EB"/>
    <w:rsid w:val="00F95590"/>
    <w:rsid w:val="00F96970"/>
    <w:rsid w:val="00F96BB3"/>
    <w:rsid w:val="00F97350"/>
    <w:rsid w:val="00FA13BD"/>
    <w:rsid w:val="00FA13E7"/>
    <w:rsid w:val="00FA1D1E"/>
    <w:rsid w:val="00FA40FF"/>
    <w:rsid w:val="00FA4384"/>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3CDA"/>
    <w:rsid w:val="00FC43BC"/>
    <w:rsid w:val="00FC4DA5"/>
    <w:rsid w:val="00FC510F"/>
    <w:rsid w:val="00FC5580"/>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392"/>
    <w:rsid w:val="00FE1690"/>
    <w:rsid w:val="00FE1C8C"/>
    <w:rsid w:val="00FE235B"/>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133BAB79"/>
  <w15:docId w15:val="{C12BEE65-0BA2-49A2-9A6F-95A32D1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E"/>
    <w:rPr>
      <w:iCs/>
      <w:sz w:val="28"/>
      <w:szCs w:val="24"/>
      <w:lang w:val="en-GB" w:eastAsia="en-US"/>
    </w:rPr>
  </w:style>
  <w:style w:type="paragraph" w:styleId="Heading1">
    <w:name w:val="heading 1"/>
    <w:basedOn w:val="Normal"/>
    <w:next w:val="Normal"/>
    <w:link w:val="Heading1Char"/>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link w:val="Heading3Char"/>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rsid w:val="009512C2"/>
    <w:rPr>
      <w:color w:val="0000FF"/>
      <w:u w:val="single"/>
    </w:rPr>
  </w:style>
  <w:style w:type="paragraph" w:styleId="BodyText">
    <w:name w:val="Body Text"/>
    <w:basedOn w:val="Normal"/>
    <w:link w:val="BodyTextChar"/>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link w:val="BalloonTextChar"/>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
    <w:basedOn w:val="Normal"/>
    <w:link w:val="ListParagraphChar"/>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semiHidden/>
    <w:unhideWhenUsed/>
    <w:rsid w:val="00CB074F"/>
    <w:rPr>
      <w:sz w:val="20"/>
      <w:szCs w:val="20"/>
    </w:rPr>
  </w:style>
  <w:style w:type="character" w:customStyle="1" w:styleId="FootnoteTextChar">
    <w:name w:val="Footnote Text Char"/>
    <w:basedOn w:val="DefaultParagraphFont"/>
    <w:link w:val="FootnoteText"/>
    <w:semiHidden/>
    <w:rsid w:val="00CB074F"/>
    <w:rPr>
      <w:iCs/>
      <w:lang w:val="en-GB" w:eastAsia="en-US"/>
    </w:rPr>
  </w:style>
  <w:style w:type="character" w:styleId="FootnoteReference">
    <w:name w:val="footnote reference"/>
    <w:basedOn w:val="DefaultParagraphFont"/>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 w:type="numbering" w:customStyle="1" w:styleId="NoList1">
    <w:name w:val="No List1"/>
    <w:next w:val="NoList"/>
    <w:uiPriority w:val="99"/>
    <w:semiHidden/>
    <w:unhideWhenUsed/>
    <w:rsid w:val="006F307C"/>
  </w:style>
  <w:style w:type="character" w:customStyle="1" w:styleId="Heading1Char">
    <w:name w:val="Heading 1 Char"/>
    <w:basedOn w:val="DefaultParagraphFont"/>
    <w:link w:val="Heading1"/>
    <w:rsid w:val="006F307C"/>
    <w:rPr>
      <w:rFonts w:ascii="Arial" w:hAnsi="Arial" w:cs="Arial"/>
      <w:b/>
      <w:bCs/>
      <w:iCs/>
      <w:kern w:val="32"/>
      <w:sz w:val="32"/>
      <w:szCs w:val="32"/>
      <w:lang w:val="en-GB" w:eastAsia="en-US"/>
    </w:rPr>
  </w:style>
  <w:style w:type="character" w:customStyle="1" w:styleId="Heading3Char">
    <w:name w:val="Heading 3 Char"/>
    <w:basedOn w:val="DefaultParagraphFont"/>
    <w:link w:val="Heading3"/>
    <w:rsid w:val="006F307C"/>
    <w:rPr>
      <w:b/>
      <w:bCs/>
      <w:sz w:val="28"/>
      <w:szCs w:val="24"/>
      <w:lang w:eastAsia="en-US"/>
    </w:rPr>
  </w:style>
  <w:style w:type="paragraph" w:customStyle="1" w:styleId="naislab">
    <w:name w:val="naislab"/>
    <w:basedOn w:val="Normal"/>
    <w:rsid w:val="006F307C"/>
    <w:pPr>
      <w:spacing w:before="75" w:after="75"/>
      <w:jc w:val="right"/>
    </w:pPr>
    <w:rPr>
      <w:iCs w:val="0"/>
      <w:sz w:val="24"/>
      <w:lang w:val="lv-LV" w:eastAsia="lv-LV"/>
    </w:rPr>
  </w:style>
  <w:style w:type="paragraph" w:customStyle="1" w:styleId="naisc">
    <w:name w:val="naisc"/>
    <w:basedOn w:val="Normal"/>
    <w:rsid w:val="006F307C"/>
    <w:pPr>
      <w:spacing w:before="450" w:after="300"/>
      <w:jc w:val="center"/>
    </w:pPr>
    <w:rPr>
      <w:iCs w:val="0"/>
      <w:sz w:val="26"/>
      <w:szCs w:val="26"/>
      <w:lang w:val="lv-LV" w:eastAsia="lv-LV"/>
    </w:rPr>
  </w:style>
  <w:style w:type="paragraph" w:customStyle="1" w:styleId="Char">
    <w:name w:val="Char"/>
    <w:basedOn w:val="Normal"/>
    <w:rsid w:val="006F307C"/>
    <w:pPr>
      <w:spacing w:after="160" w:line="240" w:lineRule="exact"/>
    </w:pPr>
    <w:rPr>
      <w:rFonts w:ascii="Tahoma" w:hAnsi="Tahoma"/>
      <w:iCs w:val="0"/>
      <w:sz w:val="20"/>
      <w:szCs w:val="20"/>
      <w:lang w:val="en-US"/>
    </w:rPr>
  </w:style>
  <w:style w:type="character" w:customStyle="1" w:styleId="BalloonTextChar">
    <w:name w:val="Balloon Text Char"/>
    <w:basedOn w:val="DefaultParagraphFont"/>
    <w:link w:val="BalloonText"/>
    <w:semiHidden/>
    <w:rsid w:val="006F307C"/>
    <w:rPr>
      <w:rFonts w:ascii="Tahoma" w:hAnsi="Tahoma" w:cs="Tahoma"/>
      <w:iCs/>
      <w:sz w:val="16"/>
      <w:szCs w:val="16"/>
      <w:lang w:val="en-GB" w:eastAsia="en-US"/>
    </w:rPr>
  </w:style>
  <w:style w:type="paragraph" w:customStyle="1" w:styleId="tabcentr">
    <w:name w:val="tab_centr"/>
    <w:basedOn w:val="Normal"/>
    <w:rsid w:val="006F307C"/>
    <w:pPr>
      <w:jc w:val="center"/>
    </w:pPr>
    <w:rPr>
      <w:iCs w:val="0"/>
      <w:sz w:val="24"/>
      <w:lang w:val="lv-LV"/>
    </w:rPr>
  </w:style>
  <w:style w:type="paragraph" w:customStyle="1" w:styleId="RakstzChar">
    <w:name w:val="Rakstz. Char"/>
    <w:basedOn w:val="Normal"/>
    <w:rsid w:val="006F307C"/>
    <w:rPr>
      <w:iCs w:val="0"/>
      <w:sz w:val="24"/>
      <w:lang w:val="pl-PL" w:eastAsia="pl-PL"/>
    </w:rPr>
  </w:style>
  <w:style w:type="paragraph" w:customStyle="1" w:styleId="naisnod">
    <w:name w:val="naisnod"/>
    <w:basedOn w:val="Normal"/>
    <w:rsid w:val="006F307C"/>
    <w:pPr>
      <w:spacing w:before="150" w:after="150"/>
      <w:jc w:val="center"/>
    </w:pPr>
    <w:rPr>
      <w:b/>
      <w:bCs/>
      <w:iCs w:val="0"/>
      <w:sz w:val="24"/>
    </w:rPr>
  </w:style>
  <w:style w:type="paragraph" w:customStyle="1" w:styleId="CharCharCharRakstz">
    <w:name w:val="Char Char Char Rakstz."/>
    <w:basedOn w:val="Normal"/>
    <w:rsid w:val="006F307C"/>
    <w:pPr>
      <w:spacing w:before="40"/>
    </w:pPr>
    <w:rPr>
      <w:iCs w:val="0"/>
      <w:sz w:val="24"/>
      <w:lang w:val="pl-PL" w:eastAsia="pl-PL"/>
    </w:rPr>
  </w:style>
  <w:style w:type="paragraph" w:styleId="BodyText3">
    <w:name w:val="Body Text 3"/>
    <w:basedOn w:val="Normal"/>
    <w:link w:val="BodyText3Char"/>
    <w:rsid w:val="006F307C"/>
    <w:rPr>
      <w:iCs w:val="0"/>
      <w:sz w:val="24"/>
      <w:szCs w:val="20"/>
      <w:lang w:val="lv-LV"/>
    </w:rPr>
  </w:style>
  <w:style w:type="character" w:customStyle="1" w:styleId="BodyText3Char">
    <w:name w:val="Body Text 3 Char"/>
    <w:basedOn w:val="DefaultParagraphFont"/>
    <w:link w:val="BodyText3"/>
    <w:rsid w:val="006F307C"/>
    <w:rPr>
      <w:sz w:val="24"/>
      <w:lang w:eastAsia="en-US"/>
    </w:rPr>
  </w:style>
  <w:style w:type="paragraph" w:styleId="BodyText20">
    <w:name w:val="Body Text 2"/>
    <w:basedOn w:val="Normal"/>
    <w:link w:val="BodyText2Char"/>
    <w:rsid w:val="006F307C"/>
    <w:pPr>
      <w:spacing w:after="120" w:line="480" w:lineRule="auto"/>
    </w:pPr>
    <w:rPr>
      <w:iCs w:val="0"/>
      <w:sz w:val="24"/>
      <w:lang w:val="lv-LV" w:eastAsia="lv-LV"/>
    </w:rPr>
  </w:style>
  <w:style w:type="character" w:customStyle="1" w:styleId="BodyText2Char">
    <w:name w:val="Body Text 2 Char"/>
    <w:basedOn w:val="DefaultParagraphFont"/>
    <w:link w:val="BodyText20"/>
    <w:rsid w:val="006F307C"/>
    <w:rPr>
      <w:sz w:val="24"/>
      <w:szCs w:val="24"/>
    </w:rPr>
  </w:style>
  <w:style w:type="character" w:customStyle="1" w:styleId="BodyTextChar">
    <w:name w:val="Body Text Char"/>
    <w:basedOn w:val="DefaultParagraphFont"/>
    <w:link w:val="BodyText"/>
    <w:rsid w:val="006F307C"/>
    <w:rPr>
      <w:iCs/>
      <w:sz w:val="28"/>
      <w:szCs w:val="24"/>
      <w:lang w:val="en-GB" w:eastAsia="en-US"/>
    </w:rPr>
  </w:style>
  <w:style w:type="paragraph" w:customStyle="1" w:styleId="Parasts1">
    <w:name w:val="Parasts1"/>
    <w:uiPriority w:val="99"/>
    <w:rsid w:val="006F307C"/>
    <w:rPr>
      <w:sz w:val="24"/>
      <w:szCs w:val="24"/>
    </w:rPr>
  </w:style>
  <w:style w:type="paragraph" w:customStyle="1" w:styleId="naiskr">
    <w:name w:val="naiskr"/>
    <w:basedOn w:val="Parasts1"/>
    <w:rsid w:val="006F307C"/>
    <w:pPr>
      <w:spacing w:before="75" w:after="75"/>
    </w:pPr>
  </w:style>
  <w:style w:type="table" w:customStyle="1" w:styleId="TableGrid1">
    <w:name w:val="Table Grid1"/>
    <w:basedOn w:val="TableNormal"/>
    <w:next w:val="TableGrid"/>
    <w:uiPriority w:val="39"/>
    <w:rsid w:val="006F30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07C"/>
    <w:pPr>
      <w:autoSpaceDE w:val="0"/>
      <w:autoSpaceDN w:val="0"/>
      <w:adjustRightInd w:val="0"/>
    </w:pPr>
    <w:rPr>
      <w:color w:val="000000"/>
      <w:sz w:val="24"/>
      <w:szCs w:val="24"/>
    </w:rPr>
  </w:style>
  <w:style w:type="character" w:customStyle="1" w:styleId="BodyText1">
    <w:name w:val="Body Text1"/>
    <w:basedOn w:val="Bodytext0"/>
    <w:rsid w:val="006F307C"/>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6F307C"/>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6F307C"/>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6F307C"/>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F307C"/>
    <w:pPr>
      <w:spacing w:before="100" w:beforeAutospacing="1" w:after="100" w:afterAutospacing="1"/>
    </w:pPr>
    <w:rPr>
      <w:iCs w:val="0"/>
      <w:sz w:val="24"/>
      <w:lang w:val="lv-LV" w:eastAsia="lv-LV"/>
    </w:rPr>
  </w:style>
  <w:style w:type="paragraph" w:customStyle="1" w:styleId="BodyText30">
    <w:name w:val="Body Text3"/>
    <w:basedOn w:val="Normal"/>
    <w:rsid w:val="006F307C"/>
    <w:pPr>
      <w:widowControl w:val="0"/>
      <w:shd w:val="clear" w:color="auto" w:fill="FFFFFF"/>
      <w:spacing w:before="660" w:after="240" w:line="274" w:lineRule="exact"/>
      <w:jc w:val="right"/>
    </w:pPr>
    <w:rPr>
      <w:iCs w:val="0"/>
      <w:color w:val="000000"/>
      <w:sz w:val="22"/>
      <w:szCs w:val="22"/>
      <w:lang w:val="lv-LV" w:eastAsia="lv-LV" w:bidi="lv-LV"/>
    </w:rPr>
  </w:style>
  <w:style w:type="character" w:customStyle="1" w:styleId="Mention1">
    <w:name w:val="Mention1"/>
    <w:basedOn w:val="DefaultParagraphFont"/>
    <w:uiPriority w:val="99"/>
    <w:semiHidden/>
    <w:unhideWhenUsed/>
    <w:rsid w:val="006F307C"/>
    <w:rPr>
      <w:color w:val="2B579A"/>
      <w:shd w:val="clear" w:color="auto" w:fill="E6E6E6"/>
    </w:rPr>
  </w:style>
  <w:style w:type="character" w:customStyle="1" w:styleId="ListParagraphChar">
    <w:name w:val="List Paragraph Char"/>
    <w:aliases w:val="2 Char"/>
    <w:link w:val="ListParagraph"/>
    <w:uiPriority w:val="34"/>
    <w:locked/>
    <w:rsid w:val="006F30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se.Veinberga@fm.gov.l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Anotācija</Kategorija>
    <DKP xmlns="2e5bb04e-596e-45bd-9003-43ca78b1ba16">198</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ED05D89-5824-4C0D-B8EA-B90D0E828FB9}"/>
</file>

<file path=customXml/itemProps2.xml><?xml version="1.0" encoding="utf-8"?>
<ds:datastoreItem xmlns:ds="http://schemas.openxmlformats.org/officeDocument/2006/customXml" ds:itemID="{B6BA2134-1C80-4055-91B1-1466C963433D}"/>
</file>

<file path=customXml/itemProps3.xml><?xml version="1.0" encoding="utf-8"?>
<ds:datastoreItem xmlns:ds="http://schemas.openxmlformats.org/officeDocument/2006/customXml" ds:itemID="{71E90B4E-CB45-4E84-A20D-B21A330C0718}"/>
</file>

<file path=customXml/itemProps4.xml><?xml version="1.0" encoding="utf-8"?>
<ds:datastoreItem xmlns:ds="http://schemas.openxmlformats.org/officeDocument/2006/customXml" ds:itemID="{1BC0E3A8-8E4D-4BC9-A916-4CFA466F614B}"/>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10563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21.septembra noteikumos Nr.899 „Likuma „Par iedzīvotāju ienākuma nodokli” normu piemērošanas kārtība”” sākotnējās ietekmes novērtējuma ziņojums (anotācija)</vt:lpstr>
    </vt:vector>
  </TitlesOfParts>
  <Company>FM</Company>
  <LinksUpToDate>false</LinksUpToDate>
  <CharactersWithSpaces>11984</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2010.gada 21.septembra noteikumos Nr.899 „Likuma „Par iedzīvotāju ienākuma nodokli” normu piemērošanas kārtība”” sākotnējās ietekmes novērtējuma ziņojums (anotācija)</dc:title>
  <dc:subject>anotācija</dc:subject>
  <dc:creator>A.Ozoliņa</dc:creator>
  <dc:description>Agrita.Ozolina@fm.gov.lv_x000d_
t. 67095493</dc:description>
  <cp:lastModifiedBy>Agrita Ozoliņa</cp:lastModifiedBy>
  <cp:revision>2</cp:revision>
  <cp:lastPrinted>2017-07-11T06:16:00Z</cp:lastPrinted>
  <dcterms:created xsi:type="dcterms:W3CDTF">2017-10-10T06:01:00Z</dcterms:created>
  <dcterms:modified xsi:type="dcterms:W3CDTF">2017-10-10T06:01:00Z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