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B28" w:rsidRPr="003F10D1" w:rsidRDefault="00F32B28" w:rsidP="00B61A29">
      <w:pPr>
        <w:jc w:val="center"/>
        <w:rPr>
          <w:i/>
          <w:iCs/>
          <w:sz w:val="28"/>
          <w:szCs w:val="28"/>
        </w:rPr>
      </w:pPr>
      <w:r w:rsidRPr="003F10D1">
        <w:rPr>
          <w:b/>
          <w:sz w:val="28"/>
          <w:szCs w:val="28"/>
        </w:rPr>
        <w:t xml:space="preserve">Ministru kabineta rīkojuma projekta „Par apropriācijas pārdali” sākotnējās ietekmes novērtējuma </w:t>
      </w:r>
      <w:smartTag w:uri="schemas-tilde-lv/tildestengine" w:element="veidnes">
        <w:smartTagPr>
          <w:attr w:name="text" w:val="ziņojums"/>
          <w:attr w:name="baseform" w:val="ziņojums"/>
          <w:attr w:name="id" w:val="-1"/>
        </w:smartTagPr>
        <w:r w:rsidRPr="003F10D1">
          <w:rPr>
            <w:b/>
            <w:sz w:val="28"/>
            <w:szCs w:val="28"/>
          </w:rPr>
          <w:t>ziņojums</w:t>
        </w:r>
      </w:smartTag>
      <w:r w:rsidRPr="003F10D1">
        <w:rPr>
          <w:b/>
          <w:sz w:val="28"/>
          <w:szCs w:val="28"/>
        </w:rPr>
        <w:t xml:space="preserve"> (anotācija)</w:t>
      </w: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8"/>
        <w:gridCol w:w="2878"/>
        <w:gridCol w:w="5900"/>
      </w:tblGrid>
      <w:tr w:rsidR="009A7EE9" w:rsidRPr="003F10D1" w:rsidTr="002C3DC9">
        <w:trPr>
          <w:trHeight w:val="419"/>
        </w:trPr>
        <w:tc>
          <w:tcPr>
            <w:tcW w:w="5000" w:type="pct"/>
            <w:gridSpan w:val="3"/>
            <w:vAlign w:val="center"/>
          </w:tcPr>
          <w:p w:rsidR="009A7EE9" w:rsidRPr="003F10D1" w:rsidRDefault="009A7EE9" w:rsidP="009A7EE9">
            <w:pPr>
              <w:pStyle w:val="naisnod"/>
              <w:spacing w:before="0" w:beforeAutospacing="0" w:after="0" w:afterAutospacing="0"/>
              <w:ind w:left="57" w:right="57"/>
              <w:jc w:val="center"/>
              <w:rPr>
                <w:b/>
              </w:rPr>
            </w:pPr>
            <w:r w:rsidRPr="003F10D1">
              <w:rPr>
                <w:b/>
              </w:rPr>
              <w:t>I. Tiesību akta projekta izstrādes nepieciešamība</w:t>
            </w:r>
          </w:p>
        </w:tc>
      </w:tr>
      <w:tr w:rsidR="009A7EE9" w:rsidRPr="003F10D1" w:rsidTr="002C3DC9">
        <w:trPr>
          <w:trHeight w:val="400"/>
        </w:trPr>
        <w:tc>
          <w:tcPr>
            <w:tcW w:w="227" w:type="pct"/>
          </w:tcPr>
          <w:p w:rsidR="009A7EE9" w:rsidRPr="003F10D1" w:rsidRDefault="009A7EE9" w:rsidP="009A7EE9">
            <w:pPr>
              <w:pStyle w:val="naiskr"/>
              <w:spacing w:before="0" w:beforeAutospacing="0" w:after="0" w:afterAutospacing="0"/>
              <w:ind w:left="57" w:right="57"/>
              <w:jc w:val="center"/>
            </w:pPr>
            <w:r w:rsidRPr="003F10D1">
              <w:t>1.</w:t>
            </w:r>
          </w:p>
        </w:tc>
        <w:tc>
          <w:tcPr>
            <w:tcW w:w="1565" w:type="pct"/>
          </w:tcPr>
          <w:p w:rsidR="009A7EE9" w:rsidRPr="003F10D1" w:rsidRDefault="009A7EE9" w:rsidP="009A7EE9">
            <w:pPr>
              <w:pStyle w:val="naiskr"/>
              <w:spacing w:before="0" w:beforeAutospacing="0" w:after="0" w:afterAutospacing="0"/>
              <w:ind w:left="57" w:right="57"/>
            </w:pPr>
            <w:r w:rsidRPr="003F10D1">
              <w:t>Pamatojums</w:t>
            </w:r>
          </w:p>
        </w:tc>
        <w:tc>
          <w:tcPr>
            <w:tcW w:w="3208" w:type="pct"/>
          </w:tcPr>
          <w:p w:rsidR="00CC1E07" w:rsidRPr="003F10D1" w:rsidRDefault="00FE6AF4" w:rsidP="00261740">
            <w:pPr>
              <w:pStyle w:val="Heading3"/>
              <w:shd w:val="clear" w:color="auto" w:fill="FFFFFF"/>
              <w:spacing w:before="120" w:beforeAutospacing="0" w:after="120" w:afterAutospacing="0"/>
              <w:ind w:left="102" w:right="130"/>
              <w:jc w:val="both"/>
              <w:rPr>
                <w:b w:val="0"/>
                <w:sz w:val="24"/>
                <w:szCs w:val="24"/>
              </w:rPr>
            </w:pPr>
            <w:r w:rsidRPr="003F10D1">
              <w:rPr>
                <w:b w:val="0"/>
                <w:sz w:val="24"/>
                <w:szCs w:val="24"/>
              </w:rPr>
              <w:t xml:space="preserve">     </w:t>
            </w:r>
            <w:r w:rsidR="00156E18" w:rsidRPr="003F10D1">
              <w:rPr>
                <w:b w:val="0"/>
                <w:sz w:val="24"/>
                <w:szCs w:val="24"/>
              </w:rPr>
              <w:t>L</w:t>
            </w:r>
            <w:r w:rsidR="002C3DC9" w:rsidRPr="003F10D1">
              <w:rPr>
                <w:b w:val="0"/>
                <w:sz w:val="24"/>
                <w:szCs w:val="24"/>
              </w:rPr>
              <w:t>ikuma p</w:t>
            </w:r>
            <w:r w:rsidR="009A7EE9" w:rsidRPr="003F10D1">
              <w:rPr>
                <w:b w:val="0"/>
                <w:sz w:val="24"/>
                <w:szCs w:val="24"/>
              </w:rPr>
              <w:t xml:space="preserve">ar budžetu </w:t>
            </w:r>
            <w:r w:rsidR="002C3DC9" w:rsidRPr="003F10D1">
              <w:rPr>
                <w:b w:val="0"/>
                <w:sz w:val="24"/>
                <w:szCs w:val="24"/>
              </w:rPr>
              <w:t>un finanšu vadību</w:t>
            </w:r>
            <w:r w:rsidR="00CC1E07" w:rsidRPr="003F10D1">
              <w:rPr>
                <w:b w:val="0"/>
                <w:sz w:val="24"/>
                <w:szCs w:val="24"/>
              </w:rPr>
              <w:t xml:space="preserve"> 9</w:t>
            </w:r>
            <w:r w:rsidR="002C3DC9" w:rsidRPr="003F10D1">
              <w:rPr>
                <w:b w:val="0"/>
                <w:sz w:val="24"/>
                <w:szCs w:val="24"/>
              </w:rPr>
              <w:t>.</w:t>
            </w:r>
            <w:r w:rsidR="009A7EE9" w:rsidRPr="003F10D1">
              <w:rPr>
                <w:b w:val="0"/>
                <w:sz w:val="24"/>
                <w:szCs w:val="24"/>
              </w:rPr>
              <w:t>pant</w:t>
            </w:r>
            <w:r w:rsidR="00CC1E07" w:rsidRPr="003F10D1">
              <w:rPr>
                <w:b w:val="0"/>
                <w:sz w:val="24"/>
                <w:szCs w:val="24"/>
              </w:rPr>
              <w:t xml:space="preserve">a </w:t>
            </w:r>
            <w:r w:rsidR="00B7663C" w:rsidRPr="003F10D1">
              <w:rPr>
                <w:b w:val="0"/>
                <w:sz w:val="24"/>
                <w:szCs w:val="24"/>
              </w:rPr>
              <w:t xml:space="preserve">piecpadsmitā </w:t>
            </w:r>
            <w:r w:rsidR="00CC1E07" w:rsidRPr="003F10D1">
              <w:rPr>
                <w:b w:val="0"/>
                <w:sz w:val="24"/>
                <w:szCs w:val="24"/>
              </w:rPr>
              <w:t>daļa</w:t>
            </w:r>
            <w:r w:rsidR="00B7663C" w:rsidRPr="003F10D1">
              <w:rPr>
                <w:b w:val="0"/>
                <w:sz w:val="24"/>
                <w:szCs w:val="24"/>
              </w:rPr>
              <w:t xml:space="preserve">, </w:t>
            </w:r>
            <w:r w:rsidR="00B03683" w:rsidRPr="003F10D1">
              <w:rPr>
                <w:b w:val="0"/>
                <w:sz w:val="24"/>
                <w:szCs w:val="24"/>
              </w:rPr>
              <w:t>kas paredz f</w:t>
            </w:r>
            <w:r w:rsidR="00156E18" w:rsidRPr="003F10D1">
              <w:rPr>
                <w:b w:val="0"/>
                <w:sz w:val="24"/>
                <w:szCs w:val="24"/>
              </w:rPr>
              <w:t xml:space="preserve">inanšu ministram tiesības </w:t>
            </w:r>
            <w:r w:rsidR="00CC1E07" w:rsidRPr="003F10D1">
              <w:rPr>
                <w:b w:val="0"/>
                <w:sz w:val="24"/>
                <w:szCs w:val="24"/>
              </w:rPr>
              <w:t>veikt apropriācijas pārdali starp ministrijām un citām centrālajām valsts iestādēm, tai skaitā funkciju pārdales vai strukturālo reformu gadījumos, ja ir pieņemts Ministru kabineta lēmums un Saeima ar atsevišķu lēmumu piekritusi šādai</w:t>
            </w:r>
            <w:r w:rsidR="00BD7B24" w:rsidRPr="003F10D1">
              <w:rPr>
                <w:b w:val="0"/>
                <w:sz w:val="24"/>
                <w:szCs w:val="24"/>
              </w:rPr>
              <w:t xml:space="preserve"> pārdalei</w:t>
            </w:r>
            <w:r w:rsidR="00CC1E07" w:rsidRPr="003F10D1">
              <w:rPr>
                <w:b w:val="0"/>
                <w:sz w:val="24"/>
                <w:szCs w:val="24"/>
              </w:rPr>
              <w:t>.</w:t>
            </w:r>
          </w:p>
        </w:tc>
      </w:tr>
      <w:tr w:rsidR="009A7EE9" w:rsidRPr="003F10D1" w:rsidTr="002C3DC9">
        <w:trPr>
          <w:trHeight w:val="472"/>
        </w:trPr>
        <w:tc>
          <w:tcPr>
            <w:tcW w:w="227" w:type="pct"/>
          </w:tcPr>
          <w:p w:rsidR="009A7EE9" w:rsidRPr="003F10D1" w:rsidRDefault="009A7EE9" w:rsidP="009A7EE9">
            <w:pPr>
              <w:pStyle w:val="naiskr"/>
              <w:spacing w:before="0" w:beforeAutospacing="0" w:after="0" w:afterAutospacing="0"/>
              <w:ind w:left="57" w:right="57"/>
              <w:jc w:val="center"/>
            </w:pPr>
            <w:r w:rsidRPr="003F10D1">
              <w:t>2.</w:t>
            </w:r>
          </w:p>
          <w:p w:rsidR="009A7EE9" w:rsidRPr="003F10D1" w:rsidRDefault="009A7EE9" w:rsidP="009A7EE9"/>
          <w:p w:rsidR="009A7EE9" w:rsidRPr="003F10D1" w:rsidRDefault="009A7EE9" w:rsidP="009A7EE9"/>
          <w:p w:rsidR="009A7EE9" w:rsidRPr="003F10D1" w:rsidRDefault="009A7EE9" w:rsidP="009A7EE9"/>
          <w:p w:rsidR="009A7EE9" w:rsidRPr="003F10D1" w:rsidRDefault="009A7EE9" w:rsidP="009A7EE9"/>
          <w:p w:rsidR="009A7EE9" w:rsidRPr="003F10D1" w:rsidRDefault="009A7EE9" w:rsidP="009A7EE9"/>
          <w:p w:rsidR="009A7EE9" w:rsidRPr="003F10D1" w:rsidRDefault="009A7EE9" w:rsidP="009A7EE9"/>
          <w:p w:rsidR="009A7EE9" w:rsidRPr="003F10D1" w:rsidRDefault="009A7EE9" w:rsidP="009A7EE9"/>
        </w:tc>
        <w:tc>
          <w:tcPr>
            <w:tcW w:w="1565" w:type="pct"/>
          </w:tcPr>
          <w:p w:rsidR="009A7EE9" w:rsidRPr="003F10D1" w:rsidRDefault="009A7EE9" w:rsidP="009A7EE9">
            <w:pPr>
              <w:pStyle w:val="naiskr"/>
              <w:tabs>
                <w:tab w:val="left" w:pos="170"/>
              </w:tabs>
              <w:spacing w:before="0" w:beforeAutospacing="0" w:after="0" w:afterAutospacing="0"/>
              <w:ind w:left="57" w:right="57"/>
            </w:pPr>
            <w:r w:rsidRPr="003F10D1">
              <w:t>Pašreizējā situācija un problēmas, kuru risināšanai tiesību akta projekts izstrādāts, tiesiskā regulējuma mērķis un būtība</w:t>
            </w:r>
          </w:p>
          <w:p w:rsidR="009A7EE9" w:rsidRPr="003F10D1" w:rsidRDefault="009A7EE9" w:rsidP="009A7EE9">
            <w:pPr>
              <w:jc w:val="center"/>
            </w:pPr>
          </w:p>
          <w:p w:rsidR="009A7EE9" w:rsidRPr="003F10D1" w:rsidRDefault="009A7EE9" w:rsidP="009A7EE9"/>
          <w:p w:rsidR="009A7EE9" w:rsidRPr="003F10D1" w:rsidRDefault="009A7EE9" w:rsidP="009A7EE9"/>
        </w:tc>
        <w:tc>
          <w:tcPr>
            <w:tcW w:w="3208" w:type="pct"/>
          </w:tcPr>
          <w:p w:rsidR="00183027" w:rsidRPr="003F10D1" w:rsidRDefault="00FE6AF4" w:rsidP="00261740">
            <w:pPr>
              <w:autoSpaceDE w:val="0"/>
              <w:autoSpaceDN w:val="0"/>
              <w:adjustRightInd w:val="0"/>
              <w:spacing w:before="120" w:after="120"/>
              <w:ind w:left="102" w:right="130"/>
              <w:jc w:val="both"/>
              <w:rPr>
                <w:rFonts w:eastAsiaTheme="minorHAnsi"/>
                <w:lang w:eastAsia="en-US"/>
              </w:rPr>
            </w:pPr>
            <w:r w:rsidRPr="003F10D1">
              <w:rPr>
                <w:rFonts w:eastAsiaTheme="minorHAnsi"/>
                <w:lang w:eastAsia="en-US"/>
              </w:rPr>
              <w:t xml:space="preserve">     Saskaņā ar</w:t>
            </w:r>
            <w:r w:rsidR="00C621A0" w:rsidRPr="003F10D1">
              <w:rPr>
                <w:rFonts w:eastAsiaTheme="minorHAnsi"/>
                <w:lang w:eastAsia="en-US"/>
              </w:rPr>
              <w:t xml:space="preserve"> </w:t>
            </w:r>
            <w:r w:rsidR="00632159" w:rsidRPr="003F10D1">
              <w:rPr>
                <w:rFonts w:eastAsiaTheme="minorHAnsi"/>
                <w:lang w:eastAsia="en-US"/>
              </w:rPr>
              <w:t>Finanšu ministrijas</w:t>
            </w:r>
            <w:r w:rsidR="00C621A0" w:rsidRPr="003F10D1">
              <w:rPr>
                <w:rFonts w:eastAsiaTheme="minorHAnsi"/>
                <w:lang w:eastAsia="en-US"/>
              </w:rPr>
              <w:t xml:space="preserve"> e</w:t>
            </w:r>
            <w:r w:rsidR="00183027" w:rsidRPr="003F10D1">
              <w:rPr>
                <w:rFonts w:eastAsiaTheme="minorHAnsi"/>
                <w:lang w:eastAsia="en-US"/>
              </w:rPr>
              <w:t xml:space="preserve">lektroniski sniegto informāciju, ka </w:t>
            </w:r>
            <w:r w:rsidR="00183027" w:rsidRPr="003F10D1">
              <w:t>apakšprogrammā 41.13.00 „Finansējums VAS „Valsts nekustamie īpašumi” īstenojamiem projektiem un pasākumiem”  ir izveidojusies valsts budžeta līdzekļu ekonomija, kas saistīts ar izmaiņām vairāku VAS „Valsts nekustamie īpašumi” īstenojamo valsts nozīmes infrastruktūras projektu attīstības plānu kalendārajā grafikā,  līdz ar to no ilgtermiņa saistību pasākuma „Dotācija VAS „Valsts nekustamie īpašumi” muzeju krātuvju kompleksa būvniecībai Rīgā, Pulka ielā 8 (attīstības I posma - būvniecības I kārtas muzeju krātuvju korpusa un komunikāciju izbūvei)” ir iespējams veikt apropriācijas pārdali</w:t>
            </w:r>
            <w:r w:rsidR="00764807" w:rsidRPr="003F10D1">
              <w:t xml:space="preserve"> 574 259 </w:t>
            </w:r>
            <w:proofErr w:type="spellStart"/>
            <w:r w:rsidR="00764807" w:rsidRPr="003F10D1">
              <w:rPr>
                <w:i/>
              </w:rPr>
              <w:t>euro</w:t>
            </w:r>
            <w:proofErr w:type="spellEnd"/>
            <w:r w:rsidR="00764807" w:rsidRPr="003F10D1">
              <w:t xml:space="preserve"> apmērā</w:t>
            </w:r>
            <w:r w:rsidR="00542B98" w:rsidRPr="003F10D1">
              <w:t>.</w:t>
            </w:r>
          </w:p>
          <w:p w:rsidR="003735E2" w:rsidRPr="003F10D1" w:rsidRDefault="00FE6AF4" w:rsidP="00261740">
            <w:pPr>
              <w:autoSpaceDE w:val="0"/>
              <w:autoSpaceDN w:val="0"/>
              <w:adjustRightInd w:val="0"/>
              <w:spacing w:before="120" w:after="120"/>
              <w:ind w:left="102" w:right="130"/>
              <w:jc w:val="both"/>
              <w:rPr>
                <w:bCs/>
              </w:rPr>
            </w:pPr>
            <w:r w:rsidRPr="003F10D1">
              <w:rPr>
                <w:rFonts w:eastAsiaTheme="minorHAnsi"/>
                <w:lang w:eastAsia="en-US"/>
              </w:rPr>
              <w:t xml:space="preserve">     </w:t>
            </w:r>
            <w:r w:rsidR="00156E18" w:rsidRPr="003F10D1">
              <w:rPr>
                <w:rFonts w:eastAsiaTheme="minorHAnsi"/>
                <w:lang w:eastAsia="en-US"/>
              </w:rPr>
              <w:t xml:space="preserve">Minētos līdzekļus paredzēts pārdalīt uz </w:t>
            </w:r>
            <w:r w:rsidR="00BD7B24" w:rsidRPr="003F10D1">
              <w:t xml:space="preserve">budžeta resora </w:t>
            </w:r>
            <w:r w:rsidR="00156E18" w:rsidRPr="003F10D1">
              <w:t>“</w:t>
            </w:r>
            <w:r w:rsidR="00BD7B24" w:rsidRPr="003F10D1">
              <w:t>74.</w:t>
            </w:r>
            <w:r w:rsidR="00156E18" w:rsidRPr="003F10D1">
              <w:t xml:space="preserve">Gadskārtējā valsts budžeta izpildes procesā pārdalāmais finansējums” programmu 02.00.00 “Līdzekļi neparedzētiem gadījumiem”, lai no tās </w:t>
            </w:r>
            <w:r w:rsidR="00335619" w:rsidRPr="003F10D1">
              <w:t xml:space="preserve">nepieciešamības gadījumā </w:t>
            </w:r>
            <w:r w:rsidR="00156E18" w:rsidRPr="003F10D1">
              <w:t>varētu piešķirt līdzekļus pasākumiem Ministru kabineta 2009.gada 22.decembra noteikumos Nr.1644 “</w:t>
            </w:r>
            <w:r w:rsidR="00156E18" w:rsidRPr="003F10D1">
              <w:rPr>
                <w:bCs/>
              </w:rPr>
              <w:t>Kārtība, kādā pieprasa un izlieto budžeta programmas “Līdzekļi neparedzētiem gadījumiem” līdzekļus” noteiktajā kārtībā.</w:t>
            </w:r>
          </w:p>
          <w:p w:rsidR="00BD4180" w:rsidRPr="003F10D1" w:rsidRDefault="00BD4180" w:rsidP="00261740">
            <w:pPr>
              <w:autoSpaceDE w:val="0"/>
              <w:autoSpaceDN w:val="0"/>
              <w:adjustRightInd w:val="0"/>
              <w:spacing w:before="120" w:after="120"/>
              <w:ind w:left="102" w:right="130"/>
              <w:jc w:val="both"/>
              <w:rPr>
                <w:iCs/>
                <w:lang w:eastAsia="en-US"/>
              </w:rPr>
            </w:pPr>
            <w:r w:rsidRPr="003F10D1">
              <w:rPr>
                <w:lang w:eastAsia="en-US"/>
              </w:rPr>
              <w:t xml:space="preserve">     </w:t>
            </w:r>
            <w:r w:rsidR="00923946" w:rsidRPr="003F10D1">
              <w:rPr>
                <w:lang w:eastAsia="en-US"/>
              </w:rPr>
              <w:t>Likumā “Par valsts budžetu 2017</w:t>
            </w:r>
            <w:r w:rsidRPr="003F10D1">
              <w:rPr>
                <w:lang w:eastAsia="en-US"/>
              </w:rPr>
              <w:t xml:space="preserve">.gadam” </w:t>
            </w:r>
            <w:r w:rsidR="00261740" w:rsidRPr="003F10D1">
              <w:rPr>
                <w:lang w:eastAsia="en-US"/>
              </w:rPr>
              <w:t xml:space="preserve">valsts budžeta programmā 02.00.00 ”Līdzekļi neparedzētiem gadījumiem” </w:t>
            </w:r>
            <w:r w:rsidRPr="003F10D1">
              <w:rPr>
                <w:lang w:eastAsia="en-US"/>
              </w:rPr>
              <w:t>apstiprināt</w:t>
            </w:r>
            <w:r w:rsidR="00261740" w:rsidRPr="003F10D1">
              <w:rPr>
                <w:lang w:eastAsia="en-US"/>
              </w:rPr>
              <w:t>a</w:t>
            </w:r>
            <w:r w:rsidRPr="003F10D1">
              <w:rPr>
                <w:lang w:eastAsia="en-US"/>
              </w:rPr>
              <w:t xml:space="preserve"> apropriācija </w:t>
            </w:r>
            <w:r w:rsidR="009873B8" w:rsidRPr="003F10D1">
              <w:rPr>
                <w:lang w:eastAsia="en-US"/>
              </w:rPr>
              <w:t>41 035 306</w:t>
            </w:r>
            <w:r w:rsidRPr="003F10D1">
              <w:rPr>
                <w:lang w:eastAsia="en-US"/>
              </w:rPr>
              <w:t xml:space="preserve"> </w:t>
            </w:r>
            <w:proofErr w:type="spellStart"/>
            <w:r w:rsidRPr="003F10D1">
              <w:rPr>
                <w:i/>
                <w:iCs/>
                <w:lang w:eastAsia="en-US"/>
              </w:rPr>
              <w:t>euro</w:t>
            </w:r>
            <w:proofErr w:type="spellEnd"/>
            <w:r w:rsidRPr="003F10D1">
              <w:rPr>
                <w:i/>
                <w:iCs/>
                <w:lang w:eastAsia="en-US"/>
              </w:rPr>
              <w:t xml:space="preserve"> </w:t>
            </w:r>
            <w:r w:rsidRPr="003F10D1">
              <w:rPr>
                <w:iCs/>
                <w:lang w:eastAsia="en-US"/>
              </w:rPr>
              <w:t xml:space="preserve">apmērā. </w:t>
            </w:r>
          </w:p>
          <w:p w:rsidR="00945363" w:rsidRPr="003F10D1" w:rsidRDefault="00BD4180" w:rsidP="00261740">
            <w:pPr>
              <w:autoSpaceDE w:val="0"/>
              <w:autoSpaceDN w:val="0"/>
              <w:adjustRightInd w:val="0"/>
              <w:spacing w:before="120" w:after="120"/>
              <w:ind w:left="102" w:right="130"/>
              <w:jc w:val="both"/>
              <w:rPr>
                <w:bCs/>
                <w:iCs/>
              </w:rPr>
            </w:pPr>
            <w:r w:rsidRPr="003F10D1">
              <w:rPr>
                <w:iCs/>
                <w:lang w:eastAsia="en-US"/>
              </w:rPr>
              <w:t xml:space="preserve">     </w:t>
            </w:r>
            <w:r w:rsidRPr="00D312A6">
              <w:rPr>
                <w:iCs/>
                <w:lang w:eastAsia="en-US"/>
              </w:rPr>
              <w:t xml:space="preserve">Bez tam, </w:t>
            </w:r>
            <w:r w:rsidR="003F10D1" w:rsidRPr="00D312A6">
              <w:t xml:space="preserve"> 2017.gadā palielināta programmas 02.00.00 “Līdzekļi neparedzētiem gadījumiem” apropriācija </w:t>
            </w:r>
            <w:r w:rsidR="00945363" w:rsidRPr="00D312A6">
              <w:rPr>
                <w:iCs/>
                <w:lang w:eastAsia="en-US"/>
              </w:rPr>
              <w:t xml:space="preserve">atbilstoši </w:t>
            </w:r>
            <w:r w:rsidR="00945363" w:rsidRPr="00D312A6">
              <w:rPr>
                <w:iCs/>
              </w:rPr>
              <w:t xml:space="preserve">likuma “Par valsts budžetu 2017.gadam” 67.pantam </w:t>
            </w:r>
            <w:r w:rsidR="00945363" w:rsidRPr="00D312A6">
              <w:rPr>
                <w:bCs/>
              </w:rPr>
              <w:t xml:space="preserve">1 260 571 </w:t>
            </w:r>
            <w:proofErr w:type="spellStart"/>
            <w:r w:rsidR="00945363" w:rsidRPr="00D312A6">
              <w:rPr>
                <w:bCs/>
                <w:i/>
                <w:iCs/>
              </w:rPr>
              <w:t>euro</w:t>
            </w:r>
            <w:proofErr w:type="spellEnd"/>
            <w:r w:rsidR="00945363" w:rsidRPr="00D312A6">
              <w:rPr>
                <w:b/>
                <w:bCs/>
                <w:i/>
                <w:iCs/>
              </w:rPr>
              <w:t xml:space="preserve"> </w:t>
            </w:r>
            <w:r w:rsidR="00945363" w:rsidRPr="00D312A6">
              <w:rPr>
                <w:bCs/>
                <w:iCs/>
              </w:rPr>
              <w:t xml:space="preserve">apmērā un atbilstoši 57.pantam 7 146 712 </w:t>
            </w:r>
            <w:proofErr w:type="spellStart"/>
            <w:r w:rsidR="00945363" w:rsidRPr="00D312A6">
              <w:rPr>
                <w:bCs/>
                <w:i/>
                <w:iCs/>
              </w:rPr>
              <w:t>euro</w:t>
            </w:r>
            <w:proofErr w:type="spellEnd"/>
            <w:r w:rsidR="00945363" w:rsidRPr="00D312A6">
              <w:rPr>
                <w:b/>
                <w:bCs/>
                <w:i/>
                <w:iCs/>
              </w:rPr>
              <w:t xml:space="preserve"> </w:t>
            </w:r>
            <w:r w:rsidR="00945363" w:rsidRPr="00D312A6">
              <w:rPr>
                <w:bCs/>
                <w:iCs/>
              </w:rPr>
              <w:t>apmērā.</w:t>
            </w:r>
          </w:p>
          <w:p w:rsidR="00BD4180" w:rsidRPr="003F10D1" w:rsidRDefault="00DB1865" w:rsidP="00261740">
            <w:pPr>
              <w:autoSpaceDE w:val="0"/>
              <w:autoSpaceDN w:val="0"/>
              <w:adjustRightInd w:val="0"/>
              <w:spacing w:before="120" w:after="120"/>
              <w:ind w:left="102" w:right="130"/>
              <w:jc w:val="both"/>
            </w:pPr>
            <w:r w:rsidRPr="003F10D1">
              <w:t xml:space="preserve">     </w:t>
            </w:r>
            <w:r w:rsidR="00171A81" w:rsidRPr="003F10D1">
              <w:rPr>
                <w:lang w:eastAsia="en-US"/>
              </w:rPr>
              <w:t>Līdz 201</w:t>
            </w:r>
            <w:r w:rsidR="00923946" w:rsidRPr="003F10D1">
              <w:rPr>
                <w:lang w:eastAsia="en-US"/>
              </w:rPr>
              <w:t>7</w:t>
            </w:r>
            <w:r w:rsidR="00171A81" w:rsidRPr="003F10D1">
              <w:rPr>
                <w:lang w:eastAsia="en-US"/>
              </w:rPr>
              <w:t xml:space="preserve">.gada </w:t>
            </w:r>
            <w:r w:rsidR="00923946" w:rsidRPr="003F10D1">
              <w:rPr>
                <w:lang w:eastAsia="en-US"/>
              </w:rPr>
              <w:t>12</w:t>
            </w:r>
            <w:r w:rsidR="003735E2" w:rsidRPr="003F10D1">
              <w:rPr>
                <w:lang w:eastAsia="en-US"/>
              </w:rPr>
              <w:t>.oktobrim</w:t>
            </w:r>
            <w:r w:rsidR="00171A81" w:rsidRPr="003F10D1">
              <w:rPr>
                <w:lang w:eastAsia="en-US"/>
              </w:rPr>
              <w:t xml:space="preserve"> no </w:t>
            </w:r>
            <w:r w:rsidRPr="003F10D1">
              <w:rPr>
                <w:lang w:eastAsia="en-US"/>
              </w:rPr>
              <w:t>valsts budžeta programmas</w:t>
            </w:r>
            <w:r w:rsidR="00171A81" w:rsidRPr="003F10D1">
              <w:rPr>
                <w:lang w:eastAsia="en-US"/>
              </w:rPr>
              <w:t xml:space="preserve"> 02.00.00 “Līdzekļi </w:t>
            </w:r>
            <w:r w:rsidR="003735E2" w:rsidRPr="003F10D1">
              <w:rPr>
                <w:lang w:eastAsia="en-US"/>
              </w:rPr>
              <w:t xml:space="preserve">neparedzētiem gadījumiem” </w:t>
            </w:r>
            <w:r w:rsidR="00171A81" w:rsidRPr="003F10D1">
              <w:rPr>
                <w:lang w:eastAsia="en-US"/>
              </w:rPr>
              <w:t xml:space="preserve">ar </w:t>
            </w:r>
            <w:r w:rsidR="003735E2" w:rsidRPr="003F10D1">
              <w:rPr>
                <w:lang w:eastAsia="en-US"/>
              </w:rPr>
              <w:t>Finanšu ministrijas</w:t>
            </w:r>
            <w:r w:rsidR="00171A81" w:rsidRPr="003F10D1">
              <w:rPr>
                <w:lang w:eastAsia="en-US"/>
              </w:rPr>
              <w:t xml:space="preserve"> rīkojumiem uz ministriju programmām 99.00.</w:t>
            </w:r>
            <w:r w:rsidR="00AC7C0E" w:rsidRPr="003F10D1">
              <w:rPr>
                <w:lang w:eastAsia="en-US"/>
              </w:rPr>
              <w:t xml:space="preserve">00 </w:t>
            </w:r>
            <w:r w:rsidR="00171A81" w:rsidRPr="003F10D1">
              <w:rPr>
                <w:lang w:eastAsia="en-US"/>
              </w:rPr>
              <w:t xml:space="preserve">“Līdzekļu neparedzētiem gadījumiem izlietojums” </w:t>
            </w:r>
            <w:r w:rsidR="00AC7C0E" w:rsidRPr="00D312A6">
              <w:rPr>
                <w:lang w:eastAsia="en-US"/>
              </w:rPr>
              <w:t xml:space="preserve">kopā </w:t>
            </w:r>
            <w:r w:rsidR="00171A81" w:rsidRPr="00D312A6">
              <w:rPr>
                <w:lang w:eastAsia="en-US"/>
              </w:rPr>
              <w:t xml:space="preserve">ir pārdalīti </w:t>
            </w:r>
            <w:r w:rsidR="00EE3ADF" w:rsidRPr="00D312A6">
              <w:rPr>
                <w:lang w:eastAsia="en-US"/>
              </w:rPr>
              <w:t>21 495 540</w:t>
            </w:r>
            <w:r w:rsidR="00171A81" w:rsidRPr="00D312A6">
              <w:rPr>
                <w:lang w:eastAsia="en-US"/>
              </w:rPr>
              <w:t xml:space="preserve"> </w:t>
            </w:r>
            <w:proofErr w:type="spellStart"/>
            <w:r w:rsidR="00AC7C0E" w:rsidRPr="00D312A6">
              <w:rPr>
                <w:i/>
                <w:iCs/>
                <w:lang w:eastAsia="en-US"/>
              </w:rPr>
              <w:t>euro</w:t>
            </w:r>
            <w:proofErr w:type="spellEnd"/>
            <w:r w:rsidR="003735E2" w:rsidRPr="00D312A6">
              <w:rPr>
                <w:iCs/>
                <w:lang w:eastAsia="en-US"/>
              </w:rPr>
              <w:t>, kā arī Ministru kabinetā</w:t>
            </w:r>
            <w:r w:rsidR="00171A81" w:rsidRPr="00D312A6">
              <w:rPr>
                <w:iCs/>
                <w:lang w:eastAsia="en-US"/>
              </w:rPr>
              <w:t xml:space="preserve"> ir akceptēta p</w:t>
            </w:r>
            <w:r w:rsidR="00171A81" w:rsidRPr="00D312A6">
              <w:rPr>
                <w:lang w:eastAsia="en-US"/>
              </w:rPr>
              <w:t xml:space="preserve">ārdale </w:t>
            </w:r>
            <w:r w:rsidR="00923946" w:rsidRPr="00D312A6">
              <w:rPr>
                <w:lang w:eastAsia="en-US"/>
              </w:rPr>
              <w:t>1 723 642</w:t>
            </w:r>
            <w:r w:rsidR="00171A81" w:rsidRPr="00D312A6">
              <w:rPr>
                <w:lang w:eastAsia="en-US"/>
              </w:rPr>
              <w:t xml:space="preserve"> </w:t>
            </w:r>
            <w:proofErr w:type="spellStart"/>
            <w:r w:rsidR="00AC7C0E" w:rsidRPr="00D312A6">
              <w:rPr>
                <w:i/>
                <w:iCs/>
                <w:lang w:eastAsia="en-US"/>
              </w:rPr>
              <w:t>euro</w:t>
            </w:r>
            <w:proofErr w:type="spellEnd"/>
            <w:r w:rsidR="00171A81" w:rsidRPr="00D312A6">
              <w:rPr>
                <w:iCs/>
                <w:lang w:eastAsia="en-US"/>
              </w:rPr>
              <w:t xml:space="preserve"> </w:t>
            </w:r>
            <w:r w:rsidR="00171A81" w:rsidRPr="00D312A6">
              <w:rPr>
                <w:lang w:eastAsia="en-US"/>
              </w:rPr>
              <w:t>apmērā.</w:t>
            </w:r>
            <w:r w:rsidR="00171A81" w:rsidRPr="003F10D1">
              <w:rPr>
                <w:lang w:eastAsia="en-US"/>
              </w:rPr>
              <w:t xml:space="preserve"> </w:t>
            </w:r>
          </w:p>
          <w:p w:rsidR="00AC7C0E" w:rsidRPr="003F10D1" w:rsidRDefault="003735E2" w:rsidP="00261740">
            <w:pPr>
              <w:autoSpaceDE w:val="0"/>
              <w:autoSpaceDN w:val="0"/>
              <w:adjustRightInd w:val="0"/>
              <w:spacing w:before="120" w:after="120"/>
              <w:ind w:left="102" w:right="130"/>
              <w:jc w:val="both"/>
              <w:rPr>
                <w:lang w:eastAsia="en-US"/>
              </w:rPr>
            </w:pPr>
            <w:r w:rsidRPr="003F10D1">
              <w:rPr>
                <w:bCs/>
              </w:rPr>
              <w:lastRenderedPageBreak/>
              <w:t xml:space="preserve">     </w:t>
            </w:r>
            <w:r w:rsidR="00AC7C0E" w:rsidRPr="00D312A6">
              <w:rPr>
                <w:lang w:eastAsia="en-US"/>
              </w:rPr>
              <w:t xml:space="preserve">Bez tam, ir iesniegti jauni pieprasījumi no līdzekļiem neparedzētiem gadījumiem (atrodas dažādās saskaņošanas stadijās) </w:t>
            </w:r>
            <w:r w:rsidR="00875E3E" w:rsidRPr="00D312A6">
              <w:rPr>
                <w:lang w:eastAsia="en-US"/>
              </w:rPr>
              <w:t>22 990 104</w:t>
            </w:r>
            <w:r w:rsidR="00AC7C0E" w:rsidRPr="00D312A6">
              <w:rPr>
                <w:lang w:eastAsia="en-US"/>
              </w:rPr>
              <w:t xml:space="preserve"> </w:t>
            </w:r>
            <w:proofErr w:type="spellStart"/>
            <w:r w:rsidR="00AC7C0E" w:rsidRPr="00D312A6">
              <w:rPr>
                <w:i/>
                <w:lang w:eastAsia="en-US"/>
              </w:rPr>
              <w:t>euro</w:t>
            </w:r>
            <w:proofErr w:type="spellEnd"/>
            <w:r w:rsidR="00AC7C0E" w:rsidRPr="00D312A6">
              <w:rPr>
                <w:lang w:eastAsia="en-US"/>
              </w:rPr>
              <w:t xml:space="preserve"> apmērā.</w:t>
            </w:r>
            <w:r w:rsidR="00AC7C0E" w:rsidRPr="003F10D1">
              <w:rPr>
                <w:lang w:eastAsia="en-US"/>
              </w:rPr>
              <w:t xml:space="preserve">       </w:t>
            </w:r>
          </w:p>
          <w:p w:rsidR="00261740" w:rsidRPr="003F10D1" w:rsidRDefault="00AC7C0E" w:rsidP="00705A8F">
            <w:pPr>
              <w:autoSpaceDE w:val="0"/>
              <w:autoSpaceDN w:val="0"/>
              <w:adjustRightInd w:val="0"/>
              <w:spacing w:before="120" w:after="120"/>
              <w:ind w:left="102" w:right="130"/>
              <w:jc w:val="both"/>
              <w:rPr>
                <w:bCs/>
              </w:rPr>
            </w:pPr>
            <w:r w:rsidRPr="003F10D1">
              <w:rPr>
                <w:lang w:eastAsia="en-US"/>
              </w:rPr>
              <w:t xml:space="preserve">     </w:t>
            </w:r>
            <w:r w:rsidRPr="00D312A6">
              <w:rPr>
                <w:lang w:eastAsia="en-US"/>
              </w:rPr>
              <w:t>Ņ</w:t>
            </w:r>
            <w:r w:rsidR="00171A81" w:rsidRPr="00D312A6">
              <w:rPr>
                <w:lang w:eastAsia="en-US"/>
              </w:rPr>
              <w:t xml:space="preserve">emot vērā </w:t>
            </w:r>
            <w:r w:rsidRPr="00D312A6">
              <w:rPr>
                <w:lang w:eastAsia="en-US"/>
              </w:rPr>
              <w:t>jau</w:t>
            </w:r>
            <w:r w:rsidR="00171A81" w:rsidRPr="00D312A6">
              <w:rPr>
                <w:lang w:eastAsia="en-US"/>
              </w:rPr>
              <w:t xml:space="preserve"> pārdalīto </w:t>
            </w:r>
            <w:r w:rsidRPr="00D312A6">
              <w:rPr>
                <w:lang w:eastAsia="en-US"/>
              </w:rPr>
              <w:t xml:space="preserve">finansējumu </w:t>
            </w:r>
            <w:r w:rsidR="00171A81" w:rsidRPr="00D312A6">
              <w:rPr>
                <w:lang w:eastAsia="en-US"/>
              </w:rPr>
              <w:t xml:space="preserve">un </w:t>
            </w:r>
            <w:r w:rsidRPr="00D312A6">
              <w:rPr>
                <w:lang w:eastAsia="en-US"/>
              </w:rPr>
              <w:t>saskaņošanā esošos projektus</w:t>
            </w:r>
            <w:r w:rsidR="00171A81" w:rsidRPr="00D312A6">
              <w:rPr>
                <w:lang w:eastAsia="en-US"/>
              </w:rPr>
              <w:t xml:space="preserve">, līdzekļu atlikums </w:t>
            </w:r>
            <w:r w:rsidR="00261740" w:rsidRPr="00D312A6">
              <w:rPr>
                <w:lang w:eastAsia="en-US"/>
              </w:rPr>
              <w:t xml:space="preserve"> programmā 02.00.00 “Līdzekļi neparedzētiem gadījumiem” </w:t>
            </w:r>
            <w:r w:rsidR="00171A81" w:rsidRPr="00D312A6">
              <w:rPr>
                <w:lang w:eastAsia="en-US"/>
              </w:rPr>
              <w:t xml:space="preserve">ir </w:t>
            </w:r>
            <w:r w:rsidR="00705A8F" w:rsidRPr="00D312A6">
              <w:rPr>
                <w:lang w:eastAsia="en-US"/>
              </w:rPr>
              <w:t>3 233 303</w:t>
            </w:r>
            <w:r w:rsidR="00261740" w:rsidRPr="00D312A6">
              <w:rPr>
                <w:lang w:eastAsia="en-US"/>
              </w:rPr>
              <w:t xml:space="preserve"> </w:t>
            </w:r>
            <w:proofErr w:type="spellStart"/>
            <w:r w:rsidR="00261740" w:rsidRPr="00D312A6">
              <w:rPr>
                <w:i/>
                <w:iCs/>
                <w:lang w:eastAsia="en-US"/>
              </w:rPr>
              <w:t>euro</w:t>
            </w:r>
            <w:proofErr w:type="spellEnd"/>
            <w:r w:rsidR="00171A81" w:rsidRPr="00D312A6">
              <w:rPr>
                <w:lang w:eastAsia="en-US"/>
              </w:rPr>
              <w:t>.</w:t>
            </w:r>
          </w:p>
        </w:tc>
      </w:tr>
      <w:tr w:rsidR="009A7EE9" w:rsidRPr="003F10D1" w:rsidTr="002C3DC9">
        <w:trPr>
          <w:trHeight w:val="476"/>
        </w:trPr>
        <w:tc>
          <w:tcPr>
            <w:tcW w:w="227" w:type="pct"/>
          </w:tcPr>
          <w:p w:rsidR="009A7EE9" w:rsidRPr="003F10D1" w:rsidRDefault="009A7EE9" w:rsidP="009A7EE9">
            <w:pPr>
              <w:pStyle w:val="naiskr"/>
              <w:spacing w:before="0" w:beforeAutospacing="0" w:after="0" w:afterAutospacing="0"/>
              <w:ind w:left="57" w:right="57"/>
              <w:jc w:val="center"/>
            </w:pPr>
            <w:r w:rsidRPr="003F10D1">
              <w:lastRenderedPageBreak/>
              <w:t>3.</w:t>
            </w:r>
          </w:p>
        </w:tc>
        <w:tc>
          <w:tcPr>
            <w:tcW w:w="1565" w:type="pct"/>
          </w:tcPr>
          <w:p w:rsidR="009A7EE9" w:rsidRPr="003F10D1" w:rsidRDefault="009A7EE9" w:rsidP="009A7EE9">
            <w:pPr>
              <w:pStyle w:val="naiskr"/>
              <w:spacing w:before="0" w:beforeAutospacing="0" w:after="0" w:afterAutospacing="0"/>
              <w:ind w:left="57" w:right="57"/>
            </w:pPr>
            <w:r w:rsidRPr="003F10D1">
              <w:t>Projekta izstrādē iesaistītās institūcijas</w:t>
            </w:r>
          </w:p>
        </w:tc>
        <w:tc>
          <w:tcPr>
            <w:tcW w:w="3208" w:type="pct"/>
          </w:tcPr>
          <w:p w:rsidR="009A7EE9" w:rsidRPr="003F10D1" w:rsidRDefault="000818D2" w:rsidP="009A7EE9">
            <w:pPr>
              <w:ind w:left="57" w:right="57"/>
              <w:rPr>
                <w:b/>
              </w:rPr>
            </w:pPr>
            <w:r w:rsidRPr="003F10D1">
              <w:t>Nav</w:t>
            </w:r>
          </w:p>
        </w:tc>
      </w:tr>
      <w:tr w:rsidR="009A7EE9" w:rsidRPr="003F10D1" w:rsidTr="002C3DC9">
        <w:tc>
          <w:tcPr>
            <w:tcW w:w="227" w:type="pct"/>
          </w:tcPr>
          <w:p w:rsidR="009A7EE9" w:rsidRPr="003F10D1" w:rsidRDefault="009A7EE9" w:rsidP="009A7EE9">
            <w:pPr>
              <w:pStyle w:val="naiskr"/>
              <w:spacing w:before="0" w:beforeAutospacing="0" w:after="0" w:afterAutospacing="0"/>
              <w:ind w:left="57" w:right="57"/>
              <w:jc w:val="center"/>
            </w:pPr>
            <w:r w:rsidRPr="003F10D1">
              <w:t>4.</w:t>
            </w:r>
          </w:p>
        </w:tc>
        <w:tc>
          <w:tcPr>
            <w:tcW w:w="1565" w:type="pct"/>
          </w:tcPr>
          <w:p w:rsidR="009A7EE9" w:rsidRPr="003F10D1" w:rsidRDefault="009A7EE9" w:rsidP="009A7EE9">
            <w:pPr>
              <w:pStyle w:val="naiskr"/>
              <w:spacing w:before="0" w:beforeAutospacing="0" w:after="0" w:afterAutospacing="0"/>
              <w:ind w:left="57" w:right="57"/>
            </w:pPr>
            <w:r w:rsidRPr="003F10D1">
              <w:t>Cita informācija</w:t>
            </w:r>
          </w:p>
        </w:tc>
        <w:tc>
          <w:tcPr>
            <w:tcW w:w="3208" w:type="pct"/>
          </w:tcPr>
          <w:p w:rsidR="009A7EE9" w:rsidRPr="003F10D1" w:rsidRDefault="000818D2" w:rsidP="009A7EE9">
            <w:pPr>
              <w:pStyle w:val="naiskr"/>
              <w:spacing w:before="0" w:beforeAutospacing="0" w:after="0" w:afterAutospacing="0"/>
              <w:ind w:left="57" w:right="57"/>
            </w:pPr>
            <w:r w:rsidRPr="003F10D1">
              <w:t>Nav</w:t>
            </w:r>
          </w:p>
        </w:tc>
      </w:tr>
    </w:tbl>
    <w:p w:rsidR="009A7EE9" w:rsidRPr="003F10D1" w:rsidRDefault="009A7EE9" w:rsidP="009A7EE9"/>
    <w:p w:rsidR="009A7EE9" w:rsidRPr="003F10D1" w:rsidRDefault="009A7EE9" w:rsidP="009A7EE9"/>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560"/>
        <w:gridCol w:w="1275"/>
        <w:gridCol w:w="1276"/>
        <w:gridCol w:w="1134"/>
        <w:gridCol w:w="1182"/>
      </w:tblGrid>
      <w:tr w:rsidR="009A7EE9" w:rsidRPr="003F10D1" w:rsidTr="00CB2E04">
        <w:trPr>
          <w:trHeight w:val="361"/>
          <w:jc w:val="center"/>
        </w:trPr>
        <w:tc>
          <w:tcPr>
            <w:tcW w:w="9257" w:type="dxa"/>
            <w:gridSpan w:val="6"/>
            <w:vAlign w:val="center"/>
          </w:tcPr>
          <w:p w:rsidR="002C3DC9" w:rsidRPr="003F10D1" w:rsidRDefault="009A7EE9" w:rsidP="002C3DC9">
            <w:pPr>
              <w:pStyle w:val="naisnod"/>
              <w:spacing w:before="0" w:beforeAutospacing="0" w:after="0" w:afterAutospacing="0"/>
              <w:jc w:val="center"/>
              <w:rPr>
                <w:b/>
                <w:i/>
              </w:rPr>
            </w:pPr>
            <w:r w:rsidRPr="003F10D1">
              <w:br w:type="page"/>
            </w:r>
            <w:r w:rsidRPr="003F10D1">
              <w:rPr>
                <w:b/>
              </w:rPr>
              <w:t>III. Tiesību akta projekta ietekme uz valsts budžetu un pašvaldību budžetiem</w:t>
            </w:r>
          </w:p>
        </w:tc>
      </w:tr>
      <w:tr w:rsidR="009A7EE9" w:rsidRPr="003F10D1" w:rsidTr="00583D19">
        <w:trPr>
          <w:jc w:val="center"/>
        </w:trPr>
        <w:tc>
          <w:tcPr>
            <w:tcW w:w="2830" w:type="dxa"/>
            <w:vMerge w:val="restart"/>
            <w:vAlign w:val="center"/>
          </w:tcPr>
          <w:p w:rsidR="009A7EE9" w:rsidRPr="003F10D1" w:rsidRDefault="009A7EE9" w:rsidP="009A7EE9">
            <w:pPr>
              <w:pStyle w:val="naisf"/>
              <w:spacing w:before="0" w:beforeAutospacing="0" w:after="0" w:afterAutospacing="0"/>
              <w:jc w:val="center"/>
              <w:rPr>
                <w:b/>
              </w:rPr>
            </w:pPr>
            <w:r w:rsidRPr="003F10D1">
              <w:rPr>
                <w:b/>
              </w:rPr>
              <w:t>Rādītāji</w:t>
            </w:r>
          </w:p>
        </w:tc>
        <w:tc>
          <w:tcPr>
            <w:tcW w:w="2835" w:type="dxa"/>
            <w:gridSpan w:val="2"/>
            <w:vMerge w:val="restart"/>
            <w:vAlign w:val="center"/>
          </w:tcPr>
          <w:p w:rsidR="009A7EE9" w:rsidRPr="003F10D1" w:rsidRDefault="00BD7B24" w:rsidP="00D97850">
            <w:pPr>
              <w:pStyle w:val="naisf"/>
              <w:spacing w:before="0" w:beforeAutospacing="0" w:after="0" w:afterAutospacing="0"/>
              <w:jc w:val="center"/>
              <w:rPr>
                <w:b/>
              </w:rPr>
            </w:pPr>
            <w:r w:rsidRPr="003F10D1">
              <w:rPr>
                <w:b/>
              </w:rPr>
              <w:t>201</w:t>
            </w:r>
            <w:r w:rsidR="0071285B" w:rsidRPr="003F10D1">
              <w:rPr>
                <w:b/>
              </w:rPr>
              <w:t>7</w:t>
            </w:r>
          </w:p>
        </w:tc>
        <w:tc>
          <w:tcPr>
            <w:tcW w:w="3592" w:type="dxa"/>
            <w:gridSpan w:val="3"/>
            <w:vAlign w:val="center"/>
          </w:tcPr>
          <w:p w:rsidR="009A7EE9" w:rsidRPr="003F10D1" w:rsidRDefault="009A7EE9" w:rsidP="009A7EE9">
            <w:pPr>
              <w:pStyle w:val="naisf"/>
              <w:spacing w:before="0" w:beforeAutospacing="0" w:after="0" w:afterAutospacing="0"/>
              <w:jc w:val="center"/>
              <w:rPr>
                <w:b/>
                <w:i/>
              </w:rPr>
            </w:pPr>
            <w:r w:rsidRPr="003F10D1">
              <w:t>Turpmākie trīs gadi (</w:t>
            </w:r>
            <w:proofErr w:type="spellStart"/>
            <w:r w:rsidRPr="003F10D1">
              <w:rPr>
                <w:i/>
              </w:rPr>
              <w:t>euro</w:t>
            </w:r>
            <w:proofErr w:type="spellEnd"/>
            <w:r w:rsidRPr="003F10D1">
              <w:t>)</w:t>
            </w:r>
          </w:p>
        </w:tc>
      </w:tr>
      <w:tr w:rsidR="009A7EE9" w:rsidRPr="003F10D1" w:rsidTr="00583D19">
        <w:trPr>
          <w:jc w:val="center"/>
        </w:trPr>
        <w:tc>
          <w:tcPr>
            <w:tcW w:w="2830" w:type="dxa"/>
            <w:vMerge/>
            <w:vAlign w:val="center"/>
          </w:tcPr>
          <w:p w:rsidR="009A7EE9" w:rsidRPr="003F10D1" w:rsidRDefault="009A7EE9" w:rsidP="009A7EE9">
            <w:pPr>
              <w:pStyle w:val="naisf"/>
              <w:spacing w:before="0" w:beforeAutospacing="0" w:after="0" w:afterAutospacing="0"/>
              <w:jc w:val="center"/>
              <w:rPr>
                <w:b/>
                <w:i/>
              </w:rPr>
            </w:pPr>
          </w:p>
        </w:tc>
        <w:tc>
          <w:tcPr>
            <w:tcW w:w="2835" w:type="dxa"/>
            <w:gridSpan w:val="2"/>
            <w:vMerge/>
            <w:vAlign w:val="center"/>
          </w:tcPr>
          <w:p w:rsidR="009A7EE9" w:rsidRPr="003F10D1" w:rsidRDefault="009A7EE9" w:rsidP="009A7EE9">
            <w:pPr>
              <w:pStyle w:val="naisf"/>
              <w:spacing w:before="0" w:beforeAutospacing="0" w:after="0" w:afterAutospacing="0"/>
              <w:jc w:val="center"/>
              <w:rPr>
                <w:b/>
                <w:i/>
              </w:rPr>
            </w:pPr>
          </w:p>
        </w:tc>
        <w:tc>
          <w:tcPr>
            <w:tcW w:w="1276" w:type="dxa"/>
            <w:vAlign w:val="center"/>
          </w:tcPr>
          <w:p w:rsidR="009A7EE9" w:rsidRPr="003F10D1" w:rsidRDefault="009A7EE9" w:rsidP="00D97850">
            <w:pPr>
              <w:pStyle w:val="naisf"/>
              <w:spacing w:before="0" w:beforeAutospacing="0" w:after="0" w:afterAutospacing="0"/>
              <w:jc w:val="center"/>
              <w:rPr>
                <w:b/>
                <w:i/>
              </w:rPr>
            </w:pPr>
            <w:r w:rsidRPr="003F10D1">
              <w:rPr>
                <w:b/>
                <w:bCs/>
              </w:rPr>
              <w:t>201</w:t>
            </w:r>
            <w:r w:rsidR="0071285B" w:rsidRPr="003F10D1">
              <w:rPr>
                <w:b/>
                <w:bCs/>
              </w:rPr>
              <w:t>8</w:t>
            </w:r>
          </w:p>
        </w:tc>
        <w:tc>
          <w:tcPr>
            <w:tcW w:w="1134" w:type="dxa"/>
            <w:vAlign w:val="center"/>
          </w:tcPr>
          <w:p w:rsidR="009A7EE9" w:rsidRPr="003F10D1" w:rsidRDefault="009A7EE9" w:rsidP="00D97850">
            <w:pPr>
              <w:pStyle w:val="naisf"/>
              <w:spacing w:before="0" w:beforeAutospacing="0" w:after="0" w:afterAutospacing="0"/>
              <w:jc w:val="center"/>
              <w:rPr>
                <w:b/>
                <w:i/>
              </w:rPr>
            </w:pPr>
            <w:r w:rsidRPr="003F10D1">
              <w:rPr>
                <w:b/>
                <w:bCs/>
              </w:rPr>
              <w:t>201</w:t>
            </w:r>
            <w:r w:rsidR="0071285B" w:rsidRPr="003F10D1">
              <w:rPr>
                <w:b/>
                <w:bCs/>
              </w:rPr>
              <w:t>9</w:t>
            </w:r>
          </w:p>
        </w:tc>
        <w:tc>
          <w:tcPr>
            <w:tcW w:w="1182" w:type="dxa"/>
            <w:vAlign w:val="center"/>
          </w:tcPr>
          <w:p w:rsidR="009A7EE9" w:rsidRPr="003F10D1" w:rsidRDefault="0071285B" w:rsidP="00D97850">
            <w:pPr>
              <w:pStyle w:val="naisf"/>
              <w:spacing w:before="0" w:beforeAutospacing="0" w:after="0" w:afterAutospacing="0"/>
              <w:jc w:val="center"/>
              <w:rPr>
                <w:b/>
                <w:i/>
              </w:rPr>
            </w:pPr>
            <w:r w:rsidRPr="003F10D1">
              <w:rPr>
                <w:b/>
                <w:bCs/>
              </w:rPr>
              <w:t>2020</w:t>
            </w:r>
          </w:p>
        </w:tc>
      </w:tr>
      <w:tr w:rsidR="009A7EE9" w:rsidRPr="003F10D1" w:rsidTr="00583D19">
        <w:trPr>
          <w:jc w:val="center"/>
        </w:trPr>
        <w:tc>
          <w:tcPr>
            <w:tcW w:w="2830" w:type="dxa"/>
            <w:vMerge/>
            <w:vAlign w:val="center"/>
          </w:tcPr>
          <w:p w:rsidR="009A7EE9" w:rsidRPr="003F10D1" w:rsidRDefault="009A7EE9" w:rsidP="009A7EE9">
            <w:pPr>
              <w:pStyle w:val="naisf"/>
              <w:spacing w:before="0" w:beforeAutospacing="0" w:after="0" w:afterAutospacing="0"/>
              <w:jc w:val="center"/>
              <w:rPr>
                <w:b/>
                <w:i/>
              </w:rPr>
            </w:pPr>
          </w:p>
        </w:tc>
        <w:tc>
          <w:tcPr>
            <w:tcW w:w="1560" w:type="dxa"/>
            <w:vAlign w:val="center"/>
          </w:tcPr>
          <w:p w:rsidR="009A7EE9" w:rsidRPr="003F10D1" w:rsidRDefault="009A7EE9" w:rsidP="00583D19">
            <w:pPr>
              <w:pStyle w:val="naisf"/>
              <w:spacing w:before="0" w:beforeAutospacing="0" w:after="0" w:afterAutospacing="0"/>
              <w:jc w:val="center"/>
              <w:rPr>
                <w:b/>
                <w:i/>
              </w:rPr>
            </w:pPr>
            <w:r w:rsidRPr="003F10D1">
              <w:t>saskaņā ar valsts budžetu kārtējam gadam</w:t>
            </w:r>
          </w:p>
        </w:tc>
        <w:tc>
          <w:tcPr>
            <w:tcW w:w="1275" w:type="dxa"/>
            <w:vAlign w:val="center"/>
          </w:tcPr>
          <w:p w:rsidR="009A7EE9" w:rsidRPr="003F10D1" w:rsidRDefault="009A7EE9" w:rsidP="009A7EE9">
            <w:pPr>
              <w:pStyle w:val="naisf"/>
              <w:spacing w:before="0" w:beforeAutospacing="0" w:after="0" w:afterAutospacing="0"/>
              <w:jc w:val="center"/>
              <w:rPr>
                <w:b/>
                <w:i/>
              </w:rPr>
            </w:pPr>
            <w:r w:rsidRPr="003F10D1">
              <w:t>izmaiņas kārtējā gadā, salīdzinot ar budžetu kārtējam gadam</w:t>
            </w:r>
          </w:p>
        </w:tc>
        <w:tc>
          <w:tcPr>
            <w:tcW w:w="1276" w:type="dxa"/>
            <w:vAlign w:val="center"/>
          </w:tcPr>
          <w:p w:rsidR="009A7EE9" w:rsidRPr="003F10D1" w:rsidRDefault="009A7EE9" w:rsidP="002C3DC9">
            <w:pPr>
              <w:pStyle w:val="naisf"/>
              <w:spacing w:before="0" w:beforeAutospacing="0" w:after="0" w:afterAutospacing="0"/>
              <w:rPr>
                <w:b/>
                <w:i/>
              </w:rPr>
            </w:pPr>
            <w:r w:rsidRPr="003F10D1">
              <w:t>izmaiņas, salīdzinot ar kārtējo (n) gadu</w:t>
            </w:r>
          </w:p>
        </w:tc>
        <w:tc>
          <w:tcPr>
            <w:tcW w:w="1134" w:type="dxa"/>
            <w:vAlign w:val="center"/>
          </w:tcPr>
          <w:p w:rsidR="009A7EE9" w:rsidRPr="003F10D1" w:rsidRDefault="009A7EE9" w:rsidP="009A7EE9">
            <w:pPr>
              <w:pStyle w:val="naisf"/>
              <w:spacing w:before="0" w:beforeAutospacing="0" w:after="0" w:afterAutospacing="0"/>
              <w:jc w:val="center"/>
              <w:rPr>
                <w:b/>
                <w:i/>
              </w:rPr>
            </w:pPr>
            <w:r w:rsidRPr="003F10D1">
              <w:t>izmaiņas, salīdzinot ar kārtējo (n) gadu</w:t>
            </w:r>
          </w:p>
        </w:tc>
        <w:tc>
          <w:tcPr>
            <w:tcW w:w="1182" w:type="dxa"/>
            <w:vAlign w:val="center"/>
          </w:tcPr>
          <w:p w:rsidR="009A7EE9" w:rsidRPr="003F10D1" w:rsidRDefault="009A7EE9" w:rsidP="009A7EE9">
            <w:pPr>
              <w:pStyle w:val="naisf"/>
              <w:spacing w:before="0" w:beforeAutospacing="0" w:after="0" w:afterAutospacing="0"/>
              <w:jc w:val="center"/>
              <w:rPr>
                <w:b/>
                <w:i/>
              </w:rPr>
            </w:pPr>
            <w:r w:rsidRPr="003F10D1">
              <w:t>izmaiņas, salīdzinot ar kārtējo (n) gadu</w:t>
            </w:r>
          </w:p>
        </w:tc>
      </w:tr>
      <w:tr w:rsidR="009A7EE9" w:rsidRPr="003F10D1" w:rsidTr="00583D19">
        <w:trPr>
          <w:jc w:val="center"/>
        </w:trPr>
        <w:tc>
          <w:tcPr>
            <w:tcW w:w="2830" w:type="dxa"/>
            <w:vAlign w:val="center"/>
          </w:tcPr>
          <w:p w:rsidR="009A7EE9" w:rsidRPr="003F10D1" w:rsidRDefault="009A7EE9" w:rsidP="009A7EE9">
            <w:pPr>
              <w:pStyle w:val="naisf"/>
              <w:spacing w:before="0" w:beforeAutospacing="0" w:after="0" w:afterAutospacing="0"/>
              <w:jc w:val="center"/>
              <w:rPr>
                <w:bCs/>
              </w:rPr>
            </w:pPr>
            <w:r w:rsidRPr="003F10D1">
              <w:rPr>
                <w:bCs/>
              </w:rPr>
              <w:t>1</w:t>
            </w:r>
          </w:p>
        </w:tc>
        <w:tc>
          <w:tcPr>
            <w:tcW w:w="1560" w:type="dxa"/>
            <w:vAlign w:val="center"/>
          </w:tcPr>
          <w:p w:rsidR="009A7EE9" w:rsidRPr="003F10D1" w:rsidRDefault="009A7EE9" w:rsidP="009A7EE9">
            <w:pPr>
              <w:pStyle w:val="naisf"/>
              <w:spacing w:before="0" w:beforeAutospacing="0" w:after="0" w:afterAutospacing="0"/>
              <w:jc w:val="center"/>
              <w:rPr>
                <w:bCs/>
              </w:rPr>
            </w:pPr>
            <w:r w:rsidRPr="003F10D1">
              <w:rPr>
                <w:bCs/>
              </w:rPr>
              <w:t>2</w:t>
            </w:r>
          </w:p>
        </w:tc>
        <w:tc>
          <w:tcPr>
            <w:tcW w:w="1275" w:type="dxa"/>
            <w:vAlign w:val="center"/>
          </w:tcPr>
          <w:p w:rsidR="009A7EE9" w:rsidRPr="003F10D1" w:rsidRDefault="009A7EE9" w:rsidP="009A7EE9">
            <w:pPr>
              <w:pStyle w:val="naisf"/>
              <w:spacing w:before="0" w:beforeAutospacing="0" w:after="0" w:afterAutospacing="0"/>
              <w:jc w:val="center"/>
              <w:rPr>
                <w:bCs/>
              </w:rPr>
            </w:pPr>
            <w:r w:rsidRPr="003F10D1">
              <w:rPr>
                <w:bCs/>
              </w:rPr>
              <w:t>3</w:t>
            </w:r>
          </w:p>
        </w:tc>
        <w:tc>
          <w:tcPr>
            <w:tcW w:w="1276" w:type="dxa"/>
            <w:vAlign w:val="center"/>
          </w:tcPr>
          <w:p w:rsidR="009A7EE9" w:rsidRPr="003F10D1" w:rsidRDefault="009A7EE9" w:rsidP="009A7EE9">
            <w:pPr>
              <w:pStyle w:val="naisf"/>
              <w:spacing w:before="0" w:beforeAutospacing="0" w:after="0" w:afterAutospacing="0"/>
              <w:jc w:val="center"/>
              <w:rPr>
                <w:bCs/>
              </w:rPr>
            </w:pPr>
            <w:r w:rsidRPr="003F10D1">
              <w:rPr>
                <w:bCs/>
              </w:rPr>
              <w:t>4</w:t>
            </w:r>
          </w:p>
        </w:tc>
        <w:tc>
          <w:tcPr>
            <w:tcW w:w="1134" w:type="dxa"/>
            <w:vAlign w:val="center"/>
          </w:tcPr>
          <w:p w:rsidR="009A7EE9" w:rsidRPr="003F10D1" w:rsidRDefault="009A7EE9" w:rsidP="009A7EE9">
            <w:pPr>
              <w:pStyle w:val="naisf"/>
              <w:spacing w:before="0" w:beforeAutospacing="0" w:after="0" w:afterAutospacing="0"/>
              <w:jc w:val="center"/>
              <w:rPr>
                <w:bCs/>
              </w:rPr>
            </w:pPr>
            <w:r w:rsidRPr="003F10D1">
              <w:rPr>
                <w:bCs/>
              </w:rPr>
              <w:t>5</w:t>
            </w:r>
          </w:p>
        </w:tc>
        <w:tc>
          <w:tcPr>
            <w:tcW w:w="1182" w:type="dxa"/>
            <w:vAlign w:val="center"/>
          </w:tcPr>
          <w:p w:rsidR="009A7EE9" w:rsidRPr="003F10D1" w:rsidRDefault="009A7EE9" w:rsidP="009A7EE9">
            <w:pPr>
              <w:pStyle w:val="naisf"/>
              <w:spacing w:before="0" w:beforeAutospacing="0" w:after="0" w:afterAutospacing="0"/>
              <w:jc w:val="center"/>
              <w:rPr>
                <w:bCs/>
              </w:rPr>
            </w:pPr>
            <w:r w:rsidRPr="003F10D1">
              <w:rPr>
                <w:bCs/>
              </w:rPr>
              <w:t>6</w:t>
            </w:r>
          </w:p>
        </w:tc>
      </w:tr>
      <w:tr w:rsidR="009A7EE9" w:rsidRPr="003F10D1" w:rsidTr="00583D19">
        <w:trPr>
          <w:jc w:val="center"/>
        </w:trPr>
        <w:tc>
          <w:tcPr>
            <w:tcW w:w="2830" w:type="dxa"/>
          </w:tcPr>
          <w:p w:rsidR="009A7EE9" w:rsidRPr="003F10D1" w:rsidRDefault="009A7EE9" w:rsidP="009A7EE9">
            <w:pPr>
              <w:pStyle w:val="naisf"/>
              <w:spacing w:before="0" w:beforeAutospacing="0" w:after="0" w:afterAutospacing="0"/>
              <w:rPr>
                <w:i/>
              </w:rPr>
            </w:pPr>
            <w:r w:rsidRPr="003F10D1">
              <w:t>1. Budžeta ieņēmumi:</w:t>
            </w:r>
          </w:p>
        </w:tc>
        <w:tc>
          <w:tcPr>
            <w:tcW w:w="1560" w:type="dxa"/>
          </w:tcPr>
          <w:p w:rsidR="009A7EE9" w:rsidRPr="00E366AD" w:rsidRDefault="00930BF9" w:rsidP="00D312A6">
            <w:pPr>
              <w:pStyle w:val="naisf"/>
              <w:spacing w:before="0" w:beforeAutospacing="0" w:after="0" w:afterAutospacing="0"/>
              <w:rPr>
                <w:sz w:val="22"/>
                <w:szCs w:val="22"/>
              </w:rPr>
            </w:pPr>
            <w:r w:rsidRPr="00E366AD">
              <w:rPr>
                <w:sz w:val="22"/>
                <w:szCs w:val="22"/>
              </w:rPr>
              <w:t>8 026 122 523</w:t>
            </w:r>
          </w:p>
        </w:tc>
        <w:tc>
          <w:tcPr>
            <w:tcW w:w="1275"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34"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82"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r>
      <w:tr w:rsidR="009A7EE9" w:rsidRPr="003F10D1" w:rsidTr="00583D19">
        <w:trPr>
          <w:jc w:val="center"/>
        </w:trPr>
        <w:tc>
          <w:tcPr>
            <w:tcW w:w="2830" w:type="dxa"/>
          </w:tcPr>
          <w:p w:rsidR="009A7EE9" w:rsidRPr="003F10D1" w:rsidRDefault="009A7EE9" w:rsidP="009A7EE9">
            <w:pPr>
              <w:pStyle w:val="naisf"/>
              <w:spacing w:before="0" w:beforeAutospacing="0" w:after="0" w:afterAutospacing="0"/>
              <w:rPr>
                <w:i/>
              </w:rPr>
            </w:pPr>
            <w:r w:rsidRPr="003F10D1">
              <w:t>1.1. valsts pamatbudžets, tai skaitā ieņēmumi no maksas pakalpojumiem un citi pašu ieņēmumi</w:t>
            </w:r>
          </w:p>
        </w:tc>
        <w:tc>
          <w:tcPr>
            <w:tcW w:w="1560" w:type="dxa"/>
          </w:tcPr>
          <w:p w:rsidR="009A7EE9" w:rsidRPr="00E366AD" w:rsidRDefault="00930BF9" w:rsidP="009A7EE9">
            <w:pPr>
              <w:pStyle w:val="naisf"/>
              <w:spacing w:before="0" w:beforeAutospacing="0" w:after="0" w:afterAutospacing="0"/>
              <w:jc w:val="center"/>
              <w:rPr>
                <w:sz w:val="22"/>
                <w:szCs w:val="22"/>
              </w:rPr>
            </w:pPr>
            <w:r w:rsidRPr="00E366AD">
              <w:rPr>
                <w:sz w:val="22"/>
                <w:szCs w:val="22"/>
              </w:rPr>
              <w:t>5 720 405 117</w:t>
            </w:r>
          </w:p>
        </w:tc>
        <w:tc>
          <w:tcPr>
            <w:tcW w:w="1275"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34"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82"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r>
      <w:tr w:rsidR="009A7EE9" w:rsidRPr="003F10D1" w:rsidTr="00583D19">
        <w:trPr>
          <w:jc w:val="center"/>
        </w:trPr>
        <w:tc>
          <w:tcPr>
            <w:tcW w:w="2830" w:type="dxa"/>
          </w:tcPr>
          <w:p w:rsidR="009A7EE9" w:rsidRPr="003F10D1" w:rsidRDefault="009A7EE9" w:rsidP="009A7EE9">
            <w:pPr>
              <w:pStyle w:val="naisf"/>
              <w:spacing w:before="0" w:beforeAutospacing="0" w:after="0" w:afterAutospacing="0"/>
              <w:rPr>
                <w:i/>
              </w:rPr>
            </w:pPr>
            <w:r w:rsidRPr="003F10D1">
              <w:t>1.2. valsts speciālais budžets</w:t>
            </w:r>
          </w:p>
        </w:tc>
        <w:tc>
          <w:tcPr>
            <w:tcW w:w="1560" w:type="dxa"/>
          </w:tcPr>
          <w:p w:rsidR="009A7EE9" w:rsidRPr="00E366AD" w:rsidRDefault="00F920C2" w:rsidP="009A7EE9">
            <w:pPr>
              <w:pStyle w:val="naisf"/>
              <w:spacing w:before="0" w:beforeAutospacing="0" w:after="0" w:afterAutospacing="0"/>
              <w:jc w:val="center"/>
              <w:rPr>
                <w:sz w:val="22"/>
                <w:szCs w:val="22"/>
              </w:rPr>
            </w:pPr>
            <w:r w:rsidRPr="00E366AD">
              <w:rPr>
                <w:sz w:val="22"/>
                <w:szCs w:val="22"/>
              </w:rPr>
              <w:t>2 486 123 254</w:t>
            </w:r>
          </w:p>
        </w:tc>
        <w:tc>
          <w:tcPr>
            <w:tcW w:w="1275"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34"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82"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r>
      <w:tr w:rsidR="009A7EE9" w:rsidRPr="003F10D1" w:rsidTr="00583D19">
        <w:trPr>
          <w:jc w:val="center"/>
        </w:trPr>
        <w:tc>
          <w:tcPr>
            <w:tcW w:w="2830" w:type="dxa"/>
          </w:tcPr>
          <w:p w:rsidR="009A7EE9" w:rsidRPr="003F10D1" w:rsidRDefault="009A7EE9" w:rsidP="009A7EE9">
            <w:pPr>
              <w:pStyle w:val="naisf"/>
              <w:spacing w:before="0" w:beforeAutospacing="0" w:after="0" w:afterAutospacing="0"/>
              <w:rPr>
                <w:i/>
              </w:rPr>
            </w:pPr>
            <w:r w:rsidRPr="003F10D1">
              <w:t>1.3. pašvaldību budžets</w:t>
            </w:r>
          </w:p>
        </w:tc>
        <w:tc>
          <w:tcPr>
            <w:tcW w:w="1560"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275"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34"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82"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r>
      <w:tr w:rsidR="009A7EE9" w:rsidRPr="003F10D1" w:rsidTr="00583D19">
        <w:trPr>
          <w:jc w:val="center"/>
        </w:trPr>
        <w:tc>
          <w:tcPr>
            <w:tcW w:w="2830" w:type="dxa"/>
          </w:tcPr>
          <w:p w:rsidR="009A7EE9" w:rsidRPr="003F10D1" w:rsidRDefault="009A7EE9" w:rsidP="009A7EE9">
            <w:r w:rsidRPr="003F10D1">
              <w:t>2. Budžeta izdevumi:</w:t>
            </w:r>
          </w:p>
        </w:tc>
        <w:tc>
          <w:tcPr>
            <w:tcW w:w="1560" w:type="dxa"/>
          </w:tcPr>
          <w:p w:rsidR="009A7EE9" w:rsidRPr="00E366AD" w:rsidRDefault="00A914D2" w:rsidP="009A7EE9">
            <w:pPr>
              <w:pStyle w:val="naisf"/>
              <w:spacing w:before="0" w:beforeAutospacing="0" w:after="0" w:afterAutospacing="0"/>
              <w:jc w:val="center"/>
              <w:rPr>
                <w:sz w:val="22"/>
                <w:szCs w:val="22"/>
              </w:rPr>
            </w:pPr>
            <w:r w:rsidRPr="00E366AD">
              <w:rPr>
                <w:sz w:val="22"/>
                <w:szCs w:val="22"/>
              </w:rPr>
              <w:t>8 327 457 862</w:t>
            </w:r>
          </w:p>
        </w:tc>
        <w:tc>
          <w:tcPr>
            <w:tcW w:w="1275" w:type="dxa"/>
          </w:tcPr>
          <w:p w:rsidR="009A7EE9" w:rsidRPr="00E366AD" w:rsidRDefault="005437C3" w:rsidP="009A7EE9">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D82EC1" w:rsidP="009A7EE9">
            <w:pPr>
              <w:pStyle w:val="naisf"/>
              <w:spacing w:before="0" w:beforeAutospacing="0" w:after="0" w:afterAutospacing="0"/>
              <w:jc w:val="center"/>
              <w:rPr>
                <w:sz w:val="22"/>
                <w:szCs w:val="22"/>
              </w:rPr>
            </w:pPr>
            <w:r w:rsidRPr="00E366AD">
              <w:rPr>
                <w:sz w:val="22"/>
                <w:szCs w:val="22"/>
              </w:rPr>
              <w:t>0</w:t>
            </w:r>
          </w:p>
        </w:tc>
        <w:tc>
          <w:tcPr>
            <w:tcW w:w="1134" w:type="dxa"/>
          </w:tcPr>
          <w:p w:rsidR="009A7EE9" w:rsidRPr="00E366AD" w:rsidRDefault="00D82EC1" w:rsidP="009A7EE9">
            <w:pPr>
              <w:pStyle w:val="naisf"/>
              <w:spacing w:before="0" w:beforeAutospacing="0" w:after="0" w:afterAutospacing="0"/>
              <w:jc w:val="center"/>
              <w:rPr>
                <w:sz w:val="22"/>
                <w:szCs w:val="22"/>
              </w:rPr>
            </w:pPr>
            <w:r w:rsidRPr="00E366AD">
              <w:rPr>
                <w:sz w:val="22"/>
                <w:szCs w:val="22"/>
              </w:rPr>
              <w:t>0</w:t>
            </w:r>
          </w:p>
        </w:tc>
        <w:tc>
          <w:tcPr>
            <w:tcW w:w="1182" w:type="dxa"/>
          </w:tcPr>
          <w:p w:rsidR="009A7EE9" w:rsidRPr="00E366AD" w:rsidRDefault="00D82EC1" w:rsidP="009A7EE9">
            <w:pPr>
              <w:pStyle w:val="naisf"/>
              <w:spacing w:before="0" w:beforeAutospacing="0" w:after="0" w:afterAutospacing="0"/>
              <w:jc w:val="center"/>
              <w:rPr>
                <w:sz w:val="22"/>
                <w:szCs w:val="22"/>
              </w:rPr>
            </w:pPr>
            <w:r w:rsidRPr="00E366AD">
              <w:rPr>
                <w:sz w:val="22"/>
                <w:szCs w:val="22"/>
              </w:rPr>
              <w:t>0</w:t>
            </w:r>
          </w:p>
        </w:tc>
      </w:tr>
      <w:tr w:rsidR="009A7EE9" w:rsidRPr="003F10D1" w:rsidTr="00583D19">
        <w:trPr>
          <w:jc w:val="center"/>
        </w:trPr>
        <w:tc>
          <w:tcPr>
            <w:tcW w:w="2830" w:type="dxa"/>
          </w:tcPr>
          <w:p w:rsidR="009A7EE9" w:rsidRPr="003F10D1" w:rsidRDefault="009A7EE9" w:rsidP="009A7EE9">
            <w:r w:rsidRPr="003F10D1">
              <w:t>2.1. valsts pamatbudžets</w:t>
            </w:r>
          </w:p>
        </w:tc>
        <w:tc>
          <w:tcPr>
            <w:tcW w:w="1560" w:type="dxa"/>
          </w:tcPr>
          <w:p w:rsidR="009A7EE9" w:rsidRPr="00E366AD" w:rsidRDefault="00A914D2" w:rsidP="009A7EE9">
            <w:pPr>
              <w:pStyle w:val="naisf"/>
              <w:spacing w:before="0" w:beforeAutospacing="0" w:after="0" w:afterAutospacing="0"/>
              <w:jc w:val="center"/>
              <w:rPr>
                <w:sz w:val="22"/>
                <w:szCs w:val="22"/>
              </w:rPr>
            </w:pPr>
            <w:r w:rsidRPr="00E366AD">
              <w:rPr>
                <w:sz w:val="22"/>
                <w:szCs w:val="22"/>
              </w:rPr>
              <w:t>6 087 035 318</w:t>
            </w:r>
          </w:p>
        </w:tc>
        <w:tc>
          <w:tcPr>
            <w:tcW w:w="1275" w:type="dxa"/>
          </w:tcPr>
          <w:p w:rsidR="009A7EE9" w:rsidRPr="00E366AD" w:rsidRDefault="005437C3" w:rsidP="009A7EE9">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D82EC1" w:rsidP="009A7EE9">
            <w:pPr>
              <w:pStyle w:val="naisf"/>
              <w:spacing w:before="0" w:beforeAutospacing="0" w:after="0" w:afterAutospacing="0"/>
              <w:jc w:val="center"/>
              <w:rPr>
                <w:sz w:val="22"/>
                <w:szCs w:val="22"/>
              </w:rPr>
            </w:pPr>
            <w:r w:rsidRPr="00E366AD">
              <w:rPr>
                <w:sz w:val="22"/>
                <w:szCs w:val="22"/>
              </w:rPr>
              <w:t>0</w:t>
            </w:r>
          </w:p>
        </w:tc>
        <w:tc>
          <w:tcPr>
            <w:tcW w:w="1134" w:type="dxa"/>
          </w:tcPr>
          <w:p w:rsidR="009A7EE9" w:rsidRPr="00E366AD" w:rsidRDefault="00D82EC1" w:rsidP="009A7EE9">
            <w:pPr>
              <w:pStyle w:val="naisf"/>
              <w:spacing w:before="0" w:beforeAutospacing="0" w:after="0" w:afterAutospacing="0"/>
              <w:jc w:val="center"/>
              <w:rPr>
                <w:sz w:val="22"/>
                <w:szCs w:val="22"/>
              </w:rPr>
            </w:pPr>
            <w:r w:rsidRPr="00E366AD">
              <w:rPr>
                <w:sz w:val="22"/>
                <w:szCs w:val="22"/>
              </w:rPr>
              <w:t>0</w:t>
            </w:r>
          </w:p>
        </w:tc>
        <w:tc>
          <w:tcPr>
            <w:tcW w:w="1182" w:type="dxa"/>
          </w:tcPr>
          <w:p w:rsidR="009A7EE9" w:rsidRPr="00E366AD" w:rsidRDefault="00D82EC1" w:rsidP="009A7EE9">
            <w:pPr>
              <w:pStyle w:val="naisf"/>
              <w:spacing w:before="0" w:beforeAutospacing="0" w:after="0" w:afterAutospacing="0"/>
              <w:jc w:val="center"/>
              <w:rPr>
                <w:sz w:val="22"/>
                <w:szCs w:val="22"/>
              </w:rPr>
            </w:pPr>
            <w:r w:rsidRPr="00E366AD">
              <w:rPr>
                <w:sz w:val="22"/>
                <w:szCs w:val="22"/>
              </w:rPr>
              <w:t>0</w:t>
            </w:r>
          </w:p>
        </w:tc>
      </w:tr>
      <w:tr w:rsidR="004170B3" w:rsidRPr="003F10D1" w:rsidTr="00583D19">
        <w:trPr>
          <w:jc w:val="center"/>
        </w:trPr>
        <w:tc>
          <w:tcPr>
            <w:tcW w:w="2830" w:type="dxa"/>
          </w:tcPr>
          <w:p w:rsidR="004170B3" w:rsidRPr="003F10D1" w:rsidRDefault="004170B3" w:rsidP="004170B3">
            <w:pPr>
              <w:jc w:val="center"/>
              <w:rPr>
                <w:i/>
                <w:highlight w:val="yellow"/>
              </w:rPr>
            </w:pPr>
            <w:r w:rsidRPr="003F10D1">
              <w:rPr>
                <w:i/>
              </w:rPr>
              <w:t>tajā skaitā</w:t>
            </w:r>
          </w:p>
        </w:tc>
        <w:tc>
          <w:tcPr>
            <w:tcW w:w="1560" w:type="dxa"/>
          </w:tcPr>
          <w:p w:rsidR="004170B3" w:rsidRPr="00E366AD" w:rsidRDefault="004170B3" w:rsidP="00A85919">
            <w:pPr>
              <w:pStyle w:val="naisf"/>
              <w:spacing w:before="0" w:beforeAutospacing="0" w:after="0" w:afterAutospacing="0"/>
              <w:ind w:left="-124" w:right="-116"/>
              <w:jc w:val="center"/>
              <w:rPr>
                <w:sz w:val="22"/>
                <w:szCs w:val="22"/>
              </w:rPr>
            </w:pPr>
          </w:p>
        </w:tc>
        <w:tc>
          <w:tcPr>
            <w:tcW w:w="1275" w:type="dxa"/>
          </w:tcPr>
          <w:p w:rsidR="004170B3" w:rsidRPr="00E366AD" w:rsidRDefault="004170B3" w:rsidP="002B19A5">
            <w:pPr>
              <w:pStyle w:val="naisf"/>
              <w:spacing w:before="0" w:beforeAutospacing="0" w:after="0" w:afterAutospacing="0"/>
              <w:jc w:val="right"/>
              <w:rPr>
                <w:sz w:val="22"/>
                <w:szCs w:val="22"/>
              </w:rPr>
            </w:pPr>
          </w:p>
        </w:tc>
        <w:tc>
          <w:tcPr>
            <w:tcW w:w="1276" w:type="dxa"/>
          </w:tcPr>
          <w:p w:rsidR="004170B3" w:rsidRPr="00E366AD" w:rsidRDefault="004170B3" w:rsidP="009A7EE9">
            <w:pPr>
              <w:pStyle w:val="naisf"/>
              <w:spacing w:before="0" w:beforeAutospacing="0" w:after="0" w:afterAutospacing="0"/>
              <w:jc w:val="center"/>
              <w:rPr>
                <w:sz w:val="22"/>
                <w:szCs w:val="22"/>
              </w:rPr>
            </w:pPr>
          </w:p>
        </w:tc>
        <w:tc>
          <w:tcPr>
            <w:tcW w:w="1134" w:type="dxa"/>
          </w:tcPr>
          <w:p w:rsidR="004170B3" w:rsidRPr="00E366AD" w:rsidRDefault="004170B3" w:rsidP="009A7EE9">
            <w:pPr>
              <w:pStyle w:val="naisf"/>
              <w:spacing w:before="0" w:beforeAutospacing="0" w:after="0" w:afterAutospacing="0"/>
              <w:jc w:val="center"/>
              <w:rPr>
                <w:sz w:val="22"/>
                <w:szCs w:val="22"/>
              </w:rPr>
            </w:pPr>
          </w:p>
        </w:tc>
        <w:tc>
          <w:tcPr>
            <w:tcW w:w="1182" w:type="dxa"/>
          </w:tcPr>
          <w:p w:rsidR="004170B3" w:rsidRPr="00E366AD" w:rsidRDefault="004170B3" w:rsidP="009A7EE9">
            <w:pPr>
              <w:pStyle w:val="naisf"/>
              <w:spacing w:before="0" w:beforeAutospacing="0" w:after="0" w:afterAutospacing="0"/>
              <w:jc w:val="center"/>
              <w:rPr>
                <w:sz w:val="22"/>
                <w:szCs w:val="22"/>
              </w:rPr>
            </w:pPr>
          </w:p>
        </w:tc>
      </w:tr>
      <w:tr w:rsidR="005B0615" w:rsidRPr="003F10D1" w:rsidTr="00583D19">
        <w:trPr>
          <w:jc w:val="center"/>
        </w:trPr>
        <w:tc>
          <w:tcPr>
            <w:tcW w:w="2830" w:type="dxa"/>
          </w:tcPr>
          <w:p w:rsidR="005B0615" w:rsidRPr="003F10D1" w:rsidRDefault="00A37ADF" w:rsidP="009A7EE9">
            <w:pPr>
              <w:rPr>
                <w:i/>
              </w:rPr>
            </w:pPr>
            <w:r w:rsidRPr="003F10D1">
              <w:rPr>
                <w:i/>
              </w:rPr>
              <w:t>Finanšu ministrija</w:t>
            </w:r>
          </w:p>
        </w:tc>
        <w:tc>
          <w:tcPr>
            <w:tcW w:w="1560" w:type="dxa"/>
          </w:tcPr>
          <w:p w:rsidR="005B0615" w:rsidRPr="00E366AD" w:rsidRDefault="008C4C8E" w:rsidP="00A85919">
            <w:pPr>
              <w:pStyle w:val="naisf"/>
              <w:spacing w:before="0" w:beforeAutospacing="0" w:after="0" w:afterAutospacing="0"/>
              <w:ind w:left="-124" w:right="-116"/>
              <w:jc w:val="center"/>
              <w:rPr>
                <w:sz w:val="22"/>
                <w:szCs w:val="22"/>
              </w:rPr>
            </w:pPr>
            <w:r w:rsidRPr="00E366AD">
              <w:rPr>
                <w:sz w:val="22"/>
                <w:szCs w:val="22"/>
              </w:rPr>
              <w:t>735 296 673</w:t>
            </w:r>
          </w:p>
        </w:tc>
        <w:tc>
          <w:tcPr>
            <w:tcW w:w="1275" w:type="dxa"/>
          </w:tcPr>
          <w:p w:rsidR="005B0615" w:rsidRPr="00E366AD" w:rsidRDefault="00870008" w:rsidP="00870008">
            <w:pPr>
              <w:pStyle w:val="naisf"/>
              <w:spacing w:before="0" w:beforeAutospacing="0" w:after="0" w:afterAutospacing="0"/>
              <w:ind w:left="-124" w:right="-116"/>
              <w:jc w:val="center"/>
              <w:rPr>
                <w:sz w:val="22"/>
                <w:szCs w:val="22"/>
              </w:rPr>
            </w:pPr>
            <w:r w:rsidRPr="00E366AD">
              <w:rPr>
                <w:sz w:val="22"/>
                <w:szCs w:val="22"/>
              </w:rPr>
              <w:t>-574 259</w:t>
            </w:r>
          </w:p>
        </w:tc>
        <w:tc>
          <w:tcPr>
            <w:tcW w:w="1276" w:type="dxa"/>
          </w:tcPr>
          <w:p w:rsidR="005B0615" w:rsidRPr="00E366AD" w:rsidRDefault="00D82EC1" w:rsidP="009A7EE9">
            <w:pPr>
              <w:pStyle w:val="naisf"/>
              <w:spacing w:before="0" w:beforeAutospacing="0" w:after="0" w:afterAutospacing="0"/>
              <w:jc w:val="center"/>
              <w:rPr>
                <w:sz w:val="22"/>
                <w:szCs w:val="22"/>
              </w:rPr>
            </w:pPr>
            <w:r w:rsidRPr="00E366AD">
              <w:rPr>
                <w:sz w:val="22"/>
                <w:szCs w:val="22"/>
              </w:rPr>
              <w:t>0</w:t>
            </w:r>
          </w:p>
        </w:tc>
        <w:tc>
          <w:tcPr>
            <w:tcW w:w="1134" w:type="dxa"/>
          </w:tcPr>
          <w:p w:rsidR="005B0615" w:rsidRPr="00E366AD" w:rsidRDefault="00D82EC1" w:rsidP="009A7EE9">
            <w:pPr>
              <w:pStyle w:val="naisf"/>
              <w:spacing w:before="0" w:beforeAutospacing="0" w:after="0" w:afterAutospacing="0"/>
              <w:jc w:val="center"/>
              <w:rPr>
                <w:sz w:val="22"/>
                <w:szCs w:val="22"/>
              </w:rPr>
            </w:pPr>
            <w:r w:rsidRPr="00E366AD">
              <w:rPr>
                <w:sz w:val="22"/>
                <w:szCs w:val="22"/>
              </w:rPr>
              <w:t>0</w:t>
            </w:r>
          </w:p>
        </w:tc>
        <w:tc>
          <w:tcPr>
            <w:tcW w:w="1182" w:type="dxa"/>
          </w:tcPr>
          <w:p w:rsidR="005B0615" w:rsidRPr="00E366AD" w:rsidRDefault="00D82EC1" w:rsidP="009A7EE9">
            <w:pPr>
              <w:pStyle w:val="naisf"/>
              <w:spacing w:before="0" w:beforeAutospacing="0" w:after="0" w:afterAutospacing="0"/>
              <w:jc w:val="center"/>
              <w:rPr>
                <w:sz w:val="22"/>
                <w:szCs w:val="22"/>
              </w:rPr>
            </w:pPr>
            <w:r w:rsidRPr="00E366AD">
              <w:rPr>
                <w:sz w:val="22"/>
                <w:szCs w:val="22"/>
              </w:rPr>
              <w:t>0</w:t>
            </w:r>
          </w:p>
        </w:tc>
      </w:tr>
      <w:tr w:rsidR="00B64477" w:rsidRPr="003F10D1" w:rsidTr="00583D19">
        <w:trPr>
          <w:jc w:val="center"/>
        </w:trPr>
        <w:tc>
          <w:tcPr>
            <w:tcW w:w="2830" w:type="dxa"/>
          </w:tcPr>
          <w:p w:rsidR="00B64477" w:rsidRPr="003F10D1" w:rsidRDefault="000818D2" w:rsidP="009A7EE9">
            <w:pPr>
              <w:rPr>
                <w:i/>
              </w:rPr>
            </w:pPr>
            <w:r w:rsidRPr="003F10D1">
              <w:rPr>
                <w:i/>
              </w:rPr>
              <w:t>Budžeta resors “74.</w:t>
            </w:r>
            <w:r w:rsidR="00B64477" w:rsidRPr="003F10D1">
              <w:rPr>
                <w:i/>
              </w:rPr>
              <w:t>Gadskārtējā valsts budžeta izpildes procesā pārdalāmais finansējums</w:t>
            </w:r>
            <w:r w:rsidRPr="003F10D1">
              <w:rPr>
                <w:i/>
              </w:rPr>
              <w:t>”</w:t>
            </w:r>
          </w:p>
        </w:tc>
        <w:tc>
          <w:tcPr>
            <w:tcW w:w="1560" w:type="dxa"/>
          </w:tcPr>
          <w:p w:rsidR="00B64477" w:rsidRPr="00E366AD" w:rsidRDefault="00DA451A" w:rsidP="00A85919">
            <w:pPr>
              <w:pStyle w:val="naisf"/>
              <w:spacing w:before="0" w:beforeAutospacing="0" w:after="0" w:afterAutospacing="0"/>
              <w:ind w:left="-124" w:right="-116"/>
              <w:jc w:val="center"/>
              <w:rPr>
                <w:sz w:val="22"/>
                <w:szCs w:val="22"/>
              </w:rPr>
            </w:pPr>
            <w:r w:rsidRPr="00E366AD">
              <w:rPr>
                <w:sz w:val="22"/>
                <w:szCs w:val="22"/>
              </w:rPr>
              <w:t>626 762 790</w:t>
            </w:r>
          </w:p>
        </w:tc>
        <w:tc>
          <w:tcPr>
            <w:tcW w:w="1275" w:type="dxa"/>
          </w:tcPr>
          <w:p w:rsidR="00B64477" w:rsidRPr="00E366AD" w:rsidRDefault="00870008" w:rsidP="00870008">
            <w:pPr>
              <w:pStyle w:val="naisf"/>
              <w:spacing w:before="0" w:beforeAutospacing="0" w:after="0" w:afterAutospacing="0"/>
              <w:ind w:left="-124" w:right="-116"/>
              <w:jc w:val="center"/>
              <w:rPr>
                <w:sz w:val="22"/>
                <w:szCs w:val="22"/>
              </w:rPr>
            </w:pPr>
            <w:r w:rsidRPr="00E366AD">
              <w:rPr>
                <w:sz w:val="22"/>
                <w:szCs w:val="22"/>
              </w:rPr>
              <w:t>574 259</w:t>
            </w:r>
          </w:p>
        </w:tc>
        <w:tc>
          <w:tcPr>
            <w:tcW w:w="1276" w:type="dxa"/>
          </w:tcPr>
          <w:p w:rsidR="00B64477" w:rsidRPr="00E366AD" w:rsidRDefault="00D82EC1" w:rsidP="009A7EE9">
            <w:pPr>
              <w:pStyle w:val="naisf"/>
              <w:spacing w:before="0" w:beforeAutospacing="0" w:after="0" w:afterAutospacing="0"/>
              <w:jc w:val="center"/>
              <w:rPr>
                <w:sz w:val="22"/>
                <w:szCs w:val="22"/>
              </w:rPr>
            </w:pPr>
            <w:r w:rsidRPr="00E366AD">
              <w:rPr>
                <w:sz w:val="22"/>
                <w:szCs w:val="22"/>
              </w:rPr>
              <w:t>0</w:t>
            </w:r>
          </w:p>
        </w:tc>
        <w:tc>
          <w:tcPr>
            <w:tcW w:w="1134" w:type="dxa"/>
          </w:tcPr>
          <w:p w:rsidR="00B64477" w:rsidRPr="00E366AD" w:rsidRDefault="00D82EC1" w:rsidP="009A7EE9">
            <w:pPr>
              <w:pStyle w:val="naisf"/>
              <w:spacing w:before="0" w:beforeAutospacing="0" w:after="0" w:afterAutospacing="0"/>
              <w:jc w:val="center"/>
              <w:rPr>
                <w:sz w:val="22"/>
                <w:szCs w:val="22"/>
              </w:rPr>
            </w:pPr>
            <w:r w:rsidRPr="00E366AD">
              <w:rPr>
                <w:sz w:val="22"/>
                <w:szCs w:val="22"/>
              </w:rPr>
              <w:t>0</w:t>
            </w:r>
          </w:p>
        </w:tc>
        <w:tc>
          <w:tcPr>
            <w:tcW w:w="1182" w:type="dxa"/>
          </w:tcPr>
          <w:p w:rsidR="00B64477" w:rsidRPr="00E366AD" w:rsidRDefault="00D82EC1" w:rsidP="009A7EE9">
            <w:pPr>
              <w:pStyle w:val="naisf"/>
              <w:spacing w:before="0" w:beforeAutospacing="0" w:after="0" w:afterAutospacing="0"/>
              <w:jc w:val="center"/>
              <w:rPr>
                <w:sz w:val="22"/>
                <w:szCs w:val="22"/>
              </w:rPr>
            </w:pPr>
            <w:r w:rsidRPr="00E366AD">
              <w:rPr>
                <w:sz w:val="22"/>
                <w:szCs w:val="22"/>
              </w:rPr>
              <w:t>0</w:t>
            </w:r>
          </w:p>
        </w:tc>
      </w:tr>
      <w:tr w:rsidR="009A7EE9" w:rsidRPr="003F10D1" w:rsidTr="00583D19">
        <w:trPr>
          <w:jc w:val="center"/>
        </w:trPr>
        <w:tc>
          <w:tcPr>
            <w:tcW w:w="2830" w:type="dxa"/>
          </w:tcPr>
          <w:p w:rsidR="009A7EE9" w:rsidRPr="003F10D1" w:rsidRDefault="009A7EE9" w:rsidP="009A7EE9">
            <w:r w:rsidRPr="003F10D1">
              <w:t>2.2. valsts speciālais budžets</w:t>
            </w:r>
          </w:p>
        </w:tc>
        <w:tc>
          <w:tcPr>
            <w:tcW w:w="1560" w:type="dxa"/>
          </w:tcPr>
          <w:p w:rsidR="009A7EE9" w:rsidRPr="00E366AD" w:rsidRDefault="00905312" w:rsidP="009A7EE9">
            <w:pPr>
              <w:pStyle w:val="naisf"/>
              <w:spacing w:before="0" w:beforeAutospacing="0" w:after="0" w:afterAutospacing="0"/>
              <w:jc w:val="center"/>
              <w:rPr>
                <w:sz w:val="22"/>
                <w:szCs w:val="22"/>
              </w:rPr>
            </w:pPr>
            <w:r w:rsidRPr="00E366AD">
              <w:rPr>
                <w:sz w:val="22"/>
                <w:szCs w:val="22"/>
              </w:rPr>
              <w:t>2 420 828 392</w:t>
            </w:r>
          </w:p>
        </w:tc>
        <w:tc>
          <w:tcPr>
            <w:tcW w:w="1275"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34"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82"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r>
      <w:tr w:rsidR="009A7EE9" w:rsidRPr="003F10D1" w:rsidTr="00583D19">
        <w:trPr>
          <w:jc w:val="center"/>
        </w:trPr>
        <w:tc>
          <w:tcPr>
            <w:tcW w:w="2830" w:type="dxa"/>
          </w:tcPr>
          <w:p w:rsidR="009A7EE9" w:rsidRPr="003F10D1" w:rsidRDefault="009A7EE9" w:rsidP="009A7EE9">
            <w:r w:rsidRPr="003F10D1">
              <w:t xml:space="preserve">2.3. pašvaldību budžets </w:t>
            </w:r>
          </w:p>
        </w:tc>
        <w:tc>
          <w:tcPr>
            <w:tcW w:w="1560"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275"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34"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82"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r>
      <w:tr w:rsidR="009A7EE9" w:rsidRPr="003F10D1" w:rsidTr="00583D19">
        <w:trPr>
          <w:jc w:val="center"/>
        </w:trPr>
        <w:tc>
          <w:tcPr>
            <w:tcW w:w="2830" w:type="dxa"/>
          </w:tcPr>
          <w:p w:rsidR="009A7EE9" w:rsidRPr="003F10D1" w:rsidRDefault="009A7EE9" w:rsidP="009A7EE9">
            <w:r w:rsidRPr="003F10D1">
              <w:t>3. Finansiālā ietekme:</w:t>
            </w:r>
          </w:p>
        </w:tc>
        <w:tc>
          <w:tcPr>
            <w:tcW w:w="1560" w:type="dxa"/>
            <w:shd w:val="clear" w:color="auto" w:fill="auto"/>
            <w:vAlign w:val="center"/>
          </w:tcPr>
          <w:p w:rsidR="009A7EE9" w:rsidRPr="00E366AD" w:rsidRDefault="004170B3" w:rsidP="008B46B2">
            <w:pPr>
              <w:pStyle w:val="naisf"/>
              <w:spacing w:before="0" w:beforeAutospacing="0" w:after="0" w:afterAutospacing="0"/>
              <w:jc w:val="center"/>
              <w:rPr>
                <w:sz w:val="22"/>
                <w:szCs w:val="22"/>
              </w:rPr>
            </w:pPr>
            <w:r w:rsidRPr="00E366AD">
              <w:rPr>
                <w:sz w:val="22"/>
                <w:szCs w:val="22"/>
              </w:rPr>
              <w:t>-</w:t>
            </w:r>
            <w:r w:rsidR="008B46B2" w:rsidRPr="00E366AD">
              <w:rPr>
                <w:sz w:val="22"/>
                <w:szCs w:val="22"/>
              </w:rPr>
              <w:t>301 335 339</w:t>
            </w:r>
          </w:p>
        </w:tc>
        <w:tc>
          <w:tcPr>
            <w:tcW w:w="1275" w:type="dxa"/>
          </w:tcPr>
          <w:p w:rsidR="009A7EE9" w:rsidRPr="00E366AD" w:rsidRDefault="005437C3" w:rsidP="009A7EE9">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D82EC1" w:rsidP="00D82EC1">
            <w:pPr>
              <w:pStyle w:val="naisf"/>
              <w:spacing w:before="0" w:beforeAutospacing="0" w:after="0" w:afterAutospacing="0"/>
              <w:jc w:val="center"/>
              <w:rPr>
                <w:sz w:val="22"/>
                <w:szCs w:val="22"/>
              </w:rPr>
            </w:pPr>
            <w:r w:rsidRPr="00E366AD">
              <w:rPr>
                <w:sz w:val="22"/>
                <w:szCs w:val="22"/>
              </w:rPr>
              <w:t>0</w:t>
            </w:r>
          </w:p>
        </w:tc>
        <w:tc>
          <w:tcPr>
            <w:tcW w:w="1134" w:type="dxa"/>
          </w:tcPr>
          <w:p w:rsidR="009A7EE9" w:rsidRPr="00E366AD" w:rsidRDefault="00D82EC1" w:rsidP="00D82EC1">
            <w:pPr>
              <w:pStyle w:val="naisf"/>
              <w:spacing w:before="0" w:beforeAutospacing="0" w:after="0" w:afterAutospacing="0"/>
              <w:jc w:val="center"/>
              <w:rPr>
                <w:sz w:val="22"/>
                <w:szCs w:val="22"/>
              </w:rPr>
            </w:pPr>
            <w:r w:rsidRPr="00E366AD">
              <w:rPr>
                <w:sz w:val="22"/>
                <w:szCs w:val="22"/>
              </w:rPr>
              <w:t>0</w:t>
            </w:r>
          </w:p>
        </w:tc>
        <w:tc>
          <w:tcPr>
            <w:tcW w:w="1182" w:type="dxa"/>
          </w:tcPr>
          <w:p w:rsidR="009A7EE9" w:rsidRPr="00E366AD" w:rsidRDefault="00D82EC1" w:rsidP="00D82EC1">
            <w:pPr>
              <w:pStyle w:val="naisf"/>
              <w:spacing w:before="0" w:beforeAutospacing="0" w:after="0" w:afterAutospacing="0"/>
              <w:jc w:val="center"/>
              <w:rPr>
                <w:sz w:val="22"/>
                <w:szCs w:val="22"/>
              </w:rPr>
            </w:pPr>
            <w:r w:rsidRPr="00E366AD">
              <w:rPr>
                <w:sz w:val="22"/>
                <w:szCs w:val="22"/>
              </w:rPr>
              <w:t>0</w:t>
            </w:r>
          </w:p>
        </w:tc>
      </w:tr>
      <w:tr w:rsidR="009A7EE9" w:rsidRPr="003F10D1" w:rsidTr="00583D19">
        <w:trPr>
          <w:jc w:val="center"/>
        </w:trPr>
        <w:tc>
          <w:tcPr>
            <w:tcW w:w="2830" w:type="dxa"/>
          </w:tcPr>
          <w:p w:rsidR="009A7EE9" w:rsidRPr="003F10D1" w:rsidRDefault="009A7EE9" w:rsidP="009A7EE9">
            <w:r w:rsidRPr="003F10D1">
              <w:t>3.1. valsts pamatbudžets</w:t>
            </w:r>
          </w:p>
        </w:tc>
        <w:tc>
          <w:tcPr>
            <w:tcW w:w="1560" w:type="dxa"/>
            <w:shd w:val="clear" w:color="auto" w:fill="auto"/>
          </w:tcPr>
          <w:p w:rsidR="009A7EE9" w:rsidRPr="00E366AD" w:rsidRDefault="004170B3" w:rsidP="008B46B2">
            <w:pPr>
              <w:pStyle w:val="naisf"/>
              <w:spacing w:before="0" w:beforeAutospacing="0" w:after="0" w:afterAutospacing="0"/>
              <w:jc w:val="center"/>
              <w:rPr>
                <w:sz w:val="22"/>
                <w:szCs w:val="22"/>
              </w:rPr>
            </w:pPr>
            <w:r w:rsidRPr="00E366AD">
              <w:rPr>
                <w:sz w:val="22"/>
                <w:szCs w:val="22"/>
              </w:rPr>
              <w:t>-</w:t>
            </w:r>
            <w:r w:rsidR="008B46B2" w:rsidRPr="00E366AD">
              <w:rPr>
                <w:sz w:val="22"/>
                <w:szCs w:val="22"/>
              </w:rPr>
              <w:t>366 630 201</w:t>
            </w:r>
          </w:p>
        </w:tc>
        <w:tc>
          <w:tcPr>
            <w:tcW w:w="1275" w:type="dxa"/>
          </w:tcPr>
          <w:p w:rsidR="009A7EE9" w:rsidRPr="00E366AD" w:rsidRDefault="005437C3" w:rsidP="009A7EE9">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D82EC1" w:rsidP="00D82EC1">
            <w:pPr>
              <w:pStyle w:val="naisf"/>
              <w:spacing w:before="0" w:beforeAutospacing="0" w:after="0" w:afterAutospacing="0"/>
              <w:jc w:val="center"/>
              <w:rPr>
                <w:sz w:val="22"/>
                <w:szCs w:val="22"/>
              </w:rPr>
            </w:pPr>
            <w:r w:rsidRPr="00E366AD">
              <w:rPr>
                <w:sz w:val="22"/>
                <w:szCs w:val="22"/>
              </w:rPr>
              <w:t>0</w:t>
            </w:r>
          </w:p>
        </w:tc>
        <w:tc>
          <w:tcPr>
            <w:tcW w:w="1134" w:type="dxa"/>
          </w:tcPr>
          <w:p w:rsidR="009A7EE9" w:rsidRPr="00E366AD" w:rsidRDefault="00D82EC1" w:rsidP="00D82EC1">
            <w:pPr>
              <w:pStyle w:val="naisf"/>
              <w:spacing w:before="0" w:beforeAutospacing="0" w:after="0" w:afterAutospacing="0"/>
              <w:jc w:val="center"/>
              <w:rPr>
                <w:sz w:val="22"/>
                <w:szCs w:val="22"/>
              </w:rPr>
            </w:pPr>
            <w:r w:rsidRPr="00E366AD">
              <w:rPr>
                <w:sz w:val="22"/>
                <w:szCs w:val="22"/>
              </w:rPr>
              <w:t>0</w:t>
            </w:r>
          </w:p>
        </w:tc>
        <w:tc>
          <w:tcPr>
            <w:tcW w:w="1182" w:type="dxa"/>
          </w:tcPr>
          <w:p w:rsidR="009A7EE9" w:rsidRPr="00E366AD" w:rsidRDefault="00D82EC1" w:rsidP="00D82EC1">
            <w:pPr>
              <w:pStyle w:val="naisf"/>
              <w:spacing w:before="0" w:beforeAutospacing="0" w:after="0" w:afterAutospacing="0"/>
              <w:jc w:val="center"/>
              <w:rPr>
                <w:sz w:val="22"/>
                <w:szCs w:val="22"/>
              </w:rPr>
            </w:pPr>
            <w:r w:rsidRPr="00E366AD">
              <w:rPr>
                <w:sz w:val="22"/>
                <w:szCs w:val="22"/>
              </w:rPr>
              <w:t>0</w:t>
            </w:r>
          </w:p>
        </w:tc>
      </w:tr>
      <w:tr w:rsidR="009A7EE9" w:rsidRPr="003F10D1" w:rsidTr="00583D19">
        <w:trPr>
          <w:jc w:val="center"/>
        </w:trPr>
        <w:tc>
          <w:tcPr>
            <w:tcW w:w="2830" w:type="dxa"/>
          </w:tcPr>
          <w:p w:rsidR="009A7EE9" w:rsidRPr="003F10D1" w:rsidRDefault="009A7EE9" w:rsidP="009A7EE9">
            <w:r w:rsidRPr="003F10D1">
              <w:t>3.2. speciālais budžets</w:t>
            </w:r>
          </w:p>
        </w:tc>
        <w:tc>
          <w:tcPr>
            <w:tcW w:w="1560" w:type="dxa"/>
            <w:shd w:val="clear" w:color="auto" w:fill="auto"/>
          </w:tcPr>
          <w:p w:rsidR="009A7EE9" w:rsidRPr="00E366AD" w:rsidRDefault="008B46B2" w:rsidP="009A7EE9">
            <w:pPr>
              <w:pStyle w:val="naisf"/>
              <w:spacing w:before="0" w:beforeAutospacing="0" w:after="0" w:afterAutospacing="0"/>
              <w:jc w:val="center"/>
              <w:rPr>
                <w:sz w:val="22"/>
                <w:szCs w:val="22"/>
              </w:rPr>
            </w:pPr>
            <w:r w:rsidRPr="00E366AD">
              <w:rPr>
                <w:sz w:val="22"/>
                <w:szCs w:val="22"/>
              </w:rPr>
              <w:t>65 294 862</w:t>
            </w:r>
          </w:p>
        </w:tc>
        <w:tc>
          <w:tcPr>
            <w:tcW w:w="1275"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34"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82"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r>
      <w:tr w:rsidR="009A7EE9" w:rsidRPr="003F10D1" w:rsidTr="00583D19">
        <w:trPr>
          <w:jc w:val="center"/>
        </w:trPr>
        <w:tc>
          <w:tcPr>
            <w:tcW w:w="2830" w:type="dxa"/>
          </w:tcPr>
          <w:p w:rsidR="009A7EE9" w:rsidRPr="003F10D1" w:rsidRDefault="009A7EE9" w:rsidP="009A7EE9">
            <w:r w:rsidRPr="003F10D1">
              <w:t xml:space="preserve">3.3. pašvaldību budžets </w:t>
            </w:r>
          </w:p>
        </w:tc>
        <w:tc>
          <w:tcPr>
            <w:tcW w:w="1560" w:type="dxa"/>
            <w:shd w:val="clear" w:color="auto" w:fill="auto"/>
          </w:tcPr>
          <w:p w:rsidR="009A7EE9" w:rsidRPr="00E366AD" w:rsidRDefault="009A7EE9" w:rsidP="009A7EE9">
            <w:pPr>
              <w:pStyle w:val="naisf"/>
              <w:spacing w:before="0" w:beforeAutospacing="0" w:after="0" w:afterAutospacing="0"/>
              <w:jc w:val="center"/>
            </w:pPr>
            <w:r w:rsidRPr="00E366AD">
              <w:t>0</w:t>
            </w:r>
          </w:p>
        </w:tc>
        <w:tc>
          <w:tcPr>
            <w:tcW w:w="1275"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34"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82"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r>
      <w:tr w:rsidR="009A7EE9" w:rsidRPr="003F10D1" w:rsidTr="00583D19">
        <w:trPr>
          <w:jc w:val="center"/>
        </w:trPr>
        <w:tc>
          <w:tcPr>
            <w:tcW w:w="2830" w:type="dxa"/>
            <w:vMerge w:val="restart"/>
          </w:tcPr>
          <w:p w:rsidR="009A7EE9" w:rsidRPr="003F10D1" w:rsidRDefault="009A7EE9" w:rsidP="009A7EE9">
            <w:r w:rsidRPr="003F10D1">
              <w:t>4. Finanšu līdzekļi papildu izdevumu finansēšanai (kompensējošu izdevumu samazinājumu norāda ar "+" zīmi)</w:t>
            </w:r>
          </w:p>
        </w:tc>
        <w:tc>
          <w:tcPr>
            <w:tcW w:w="1560" w:type="dxa"/>
            <w:vMerge w:val="restart"/>
          </w:tcPr>
          <w:p w:rsidR="009A7EE9" w:rsidRPr="00E366AD" w:rsidRDefault="009A7EE9" w:rsidP="009A7EE9">
            <w:pPr>
              <w:pStyle w:val="naisf"/>
              <w:spacing w:before="0" w:beforeAutospacing="0" w:after="0" w:afterAutospacing="0"/>
              <w:jc w:val="center"/>
              <w:rPr>
                <w:i/>
              </w:rPr>
            </w:pPr>
            <w:r w:rsidRPr="00E366AD">
              <w:t>X</w:t>
            </w:r>
          </w:p>
        </w:tc>
        <w:tc>
          <w:tcPr>
            <w:tcW w:w="1275" w:type="dxa"/>
          </w:tcPr>
          <w:p w:rsidR="009A7EE9" w:rsidRPr="00E366AD" w:rsidRDefault="00D82EC1" w:rsidP="009A7EE9">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34"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82"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r>
      <w:tr w:rsidR="009A7EE9" w:rsidRPr="003F10D1" w:rsidTr="00583D19">
        <w:trPr>
          <w:jc w:val="center"/>
        </w:trPr>
        <w:tc>
          <w:tcPr>
            <w:tcW w:w="2830" w:type="dxa"/>
            <w:vMerge/>
          </w:tcPr>
          <w:p w:rsidR="009A7EE9" w:rsidRPr="003F10D1" w:rsidRDefault="009A7EE9" w:rsidP="009A7EE9"/>
        </w:tc>
        <w:tc>
          <w:tcPr>
            <w:tcW w:w="1560" w:type="dxa"/>
            <w:vMerge/>
          </w:tcPr>
          <w:p w:rsidR="009A7EE9" w:rsidRPr="00E366AD" w:rsidRDefault="009A7EE9" w:rsidP="009A7EE9">
            <w:pPr>
              <w:pStyle w:val="naisf"/>
              <w:spacing w:before="0" w:beforeAutospacing="0" w:after="0" w:afterAutospacing="0"/>
              <w:jc w:val="center"/>
              <w:rPr>
                <w:i/>
              </w:rPr>
            </w:pPr>
          </w:p>
        </w:tc>
        <w:tc>
          <w:tcPr>
            <w:tcW w:w="1275" w:type="dxa"/>
          </w:tcPr>
          <w:p w:rsidR="009A7EE9" w:rsidRPr="00E366AD" w:rsidRDefault="00D82EC1" w:rsidP="009A7EE9">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34"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82"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r>
      <w:tr w:rsidR="009A7EE9" w:rsidRPr="003F10D1" w:rsidTr="00583D19">
        <w:trPr>
          <w:jc w:val="center"/>
        </w:trPr>
        <w:tc>
          <w:tcPr>
            <w:tcW w:w="2830" w:type="dxa"/>
            <w:vMerge/>
          </w:tcPr>
          <w:p w:rsidR="009A7EE9" w:rsidRPr="003F10D1" w:rsidRDefault="009A7EE9" w:rsidP="009A7EE9"/>
        </w:tc>
        <w:tc>
          <w:tcPr>
            <w:tcW w:w="1560" w:type="dxa"/>
            <w:vMerge/>
          </w:tcPr>
          <w:p w:rsidR="009A7EE9" w:rsidRPr="003F10D1" w:rsidRDefault="009A7EE9" w:rsidP="009A7EE9">
            <w:pPr>
              <w:pStyle w:val="naisf"/>
              <w:spacing w:before="0" w:beforeAutospacing="0" w:after="0" w:afterAutospacing="0"/>
              <w:jc w:val="center"/>
              <w:rPr>
                <w:i/>
              </w:rPr>
            </w:pPr>
          </w:p>
        </w:tc>
        <w:tc>
          <w:tcPr>
            <w:tcW w:w="1275" w:type="dxa"/>
          </w:tcPr>
          <w:p w:rsidR="009A7EE9" w:rsidRPr="00E366AD" w:rsidRDefault="005437C3" w:rsidP="009A7EE9">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34"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82"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r>
      <w:tr w:rsidR="009A7EE9" w:rsidRPr="003F10D1" w:rsidTr="00583D19">
        <w:trPr>
          <w:jc w:val="center"/>
        </w:trPr>
        <w:tc>
          <w:tcPr>
            <w:tcW w:w="2830" w:type="dxa"/>
          </w:tcPr>
          <w:p w:rsidR="009A7EE9" w:rsidRPr="003F10D1" w:rsidRDefault="009A7EE9" w:rsidP="009A7EE9">
            <w:r w:rsidRPr="003F10D1">
              <w:lastRenderedPageBreak/>
              <w:t>5. Precizēta finansiālā ietekme:</w:t>
            </w:r>
          </w:p>
        </w:tc>
        <w:tc>
          <w:tcPr>
            <w:tcW w:w="1560" w:type="dxa"/>
            <w:vMerge w:val="restart"/>
          </w:tcPr>
          <w:p w:rsidR="009A7EE9" w:rsidRPr="003F10D1" w:rsidRDefault="009A7EE9" w:rsidP="009A7EE9">
            <w:pPr>
              <w:pStyle w:val="naisf"/>
              <w:spacing w:before="0" w:beforeAutospacing="0" w:after="0" w:afterAutospacing="0"/>
              <w:jc w:val="center"/>
              <w:rPr>
                <w:i/>
              </w:rPr>
            </w:pPr>
            <w:r w:rsidRPr="003F10D1">
              <w:t>X</w:t>
            </w:r>
          </w:p>
        </w:tc>
        <w:tc>
          <w:tcPr>
            <w:tcW w:w="1275" w:type="dxa"/>
          </w:tcPr>
          <w:p w:rsidR="009A7EE9" w:rsidRPr="003F10D1" w:rsidRDefault="009A7EE9" w:rsidP="009A7EE9">
            <w:pPr>
              <w:pStyle w:val="naisf"/>
              <w:spacing w:before="0" w:beforeAutospacing="0" w:after="0" w:afterAutospacing="0"/>
              <w:jc w:val="center"/>
            </w:pPr>
            <w:r w:rsidRPr="003F10D1">
              <w:t>0</w:t>
            </w:r>
          </w:p>
        </w:tc>
        <w:tc>
          <w:tcPr>
            <w:tcW w:w="1276" w:type="dxa"/>
          </w:tcPr>
          <w:p w:rsidR="009A7EE9" w:rsidRPr="003F10D1" w:rsidRDefault="00D82EC1" w:rsidP="009A7EE9">
            <w:pPr>
              <w:pStyle w:val="naisf"/>
              <w:spacing w:before="0" w:beforeAutospacing="0" w:after="0" w:afterAutospacing="0"/>
              <w:jc w:val="center"/>
            </w:pPr>
            <w:r w:rsidRPr="003F10D1">
              <w:t>0</w:t>
            </w:r>
          </w:p>
        </w:tc>
        <w:tc>
          <w:tcPr>
            <w:tcW w:w="1134" w:type="dxa"/>
          </w:tcPr>
          <w:p w:rsidR="009A7EE9" w:rsidRPr="003F10D1" w:rsidRDefault="00D82EC1" w:rsidP="009A7EE9">
            <w:pPr>
              <w:pStyle w:val="naisf"/>
              <w:spacing w:before="0" w:beforeAutospacing="0" w:after="0" w:afterAutospacing="0"/>
              <w:jc w:val="center"/>
            </w:pPr>
            <w:r w:rsidRPr="003F10D1">
              <w:t>0</w:t>
            </w:r>
          </w:p>
        </w:tc>
        <w:tc>
          <w:tcPr>
            <w:tcW w:w="1182" w:type="dxa"/>
          </w:tcPr>
          <w:p w:rsidR="009A7EE9" w:rsidRPr="003F10D1" w:rsidRDefault="00D82EC1" w:rsidP="009A7EE9">
            <w:pPr>
              <w:pStyle w:val="naisf"/>
              <w:spacing w:before="0" w:beforeAutospacing="0" w:after="0" w:afterAutospacing="0"/>
              <w:jc w:val="center"/>
            </w:pPr>
            <w:r w:rsidRPr="003F10D1">
              <w:t>0</w:t>
            </w:r>
          </w:p>
        </w:tc>
      </w:tr>
      <w:tr w:rsidR="009A7EE9" w:rsidRPr="003F10D1" w:rsidTr="00583D19">
        <w:trPr>
          <w:jc w:val="center"/>
        </w:trPr>
        <w:tc>
          <w:tcPr>
            <w:tcW w:w="2830" w:type="dxa"/>
          </w:tcPr>
          <w:p w:rsidR="009A7EE9" w:rsidRPr="003F10D1" w:rsidRDefault="009A7EE9" w:rsidP="009A7EE9">
            <w:r w:rsidRPr="003F10D1">
              <w:t>5.1. valsts pamatbudžets</w:t>
            </w:r>
          </w:p>
        </w:tc>
        <w:tc>
          <w:tcPr>
            <w:tcW w:w="1560" w:type="dxa"/>
            <w:vMerge/>
            <w:vAlign w:val="center"/>
          </w:tcPr>
          <w:p w:rsidR="009A7EE9" w:rsidRPr="003F10D1" w:rsidRDefault="009A7EE9" w:rsidP="009A7EE9">
            <w:pPr>
              <w:pStyle w:val="naisf"/>
              <w:spacing w:before="0" w:beforeAutospacing="0" w:after="0" w:afterAutospacing="0"/>
              <w:jc w:val="center"/>
              <w:rPr>
                <w:i/>
              </w:rPr>
            </w:pPr>
          </w:p>
        </w:tc>
        <w:tc>
          <w:tcPr>
            <w:tcW w:w="1275" w:type="dxa"/>
          </w:tcPr>
          <w:p w:rsidR="009A7EE9" w:rsidRPr="003F10D1" w:rsidRDefault="009A7EE9" w:rsidP="009A7EE9">
            <w:pPr>
              <w:pStyle w:val="naisf"/>
              <w:spacing w:before="0" w:beforeAutospacing="0" w:after="0" w:afterAutospacing="0"/>
              <w:jc w:val="center"/>
            </w:pPr>
            <w:r w:rsidRPr="003F10D1">
              <w:t>0</w:t>
            </w:r>
          </w:p>
        </w:tc>
        <w:tc>
          <w:tcPr>
            <w:tcW w:w="1276" w:type="dxa"/>
          </w:tcPr>
          <w:p w:rsidR="009A7EE9" w:rsidRPr="003F10D1" w:rsidRDefault="009A7EE9" w:rsidP="009A7EE9">
            <w:pPr>
              <w:pStyle w:val="naisf"/>
              <w:spacing w:before="0" w:beforeAutospacing="0" w:after="0" w:afterAutospacing="0"/>
              <w:jc w:val="center"/>
            </w:pPr>
            <w:r w:rsidRPr="003F10D1">
              <w:t>0</w:t>
            </w:r>
          </w:p>
        </w:tc>
        <w:tc>
          <w:tcPr>
            <w:tcW w:w="1134" w:type="dxa"/>
          </w:tcPr>
          <w:p w:rsidR="009A7EE9" w:rsidRPr="003F10D1" w:rsidRDefault="009A7EE9" w:rsidP="009A7EE9">
            <w:pPr>
              <w:pStyle w:val="naisf"/>
              <w:spacing w:before="0" w:beforeAutospacing="0" w:after="0" w:afterAutospacing="0"/>
              <w:jc w:val="center"/>
            </w:pPr>
            <w:r w:rsidRPr="003F10D1">
              <w:t>0</w:t>
            </w:r>
          </w:p>
        </w:tc>
        <w:tc>
          <w:tcPr>
            <w:tcW w:w="1182" w:type="dxa"/>
          </w:tcPr>
          <w:p w:rsidR="009A7EE9" w:rsidRPr="003F10D1" w:rsidRDefault="009A7EE9" w:rsidP="009A7EE9">
            <w:pPr>
              <w:pStyle w:val="naisf"/>
              <w:spacing w:before="0" w:beforeAutospacing="0" w:after="0" w:afterAutospacing="0"/>
              <w:jc w:val="center"/>
            </w:pPr>
            <w:r w:rsidRPr="003F10D1">
              <w:t>0</w:t>
            </w:r>
          </w:p>
        </w:tc>
      </w:tr>
      <w:tr w:rsidR="009A7EE9" w:rsidRPr="003F10D1" w:rsidTr="00583D19">
        <w:trPr>
          <w:jc w:val="center"/>
        </w:trPr>
        <w:tc>
          <w:tcPr>
            <w:tcW w:w="2830" w:type="dxa"/>
          </w:tcPr>
          <w:p w:rsidR="009A7EE9" w:rsidRPr="003F10D1" w:rsidRDefault="009A7EE9" w:rsidP="009A7EE9">
            <w:r w:rsidRPr="003F10D1">
              <w:t>5.2. speciālais budžets</w:t>
            </w:r>
          </w:p>
        </w:tc>
        <w:tc>
          <w:tcPr>
            <w:tcW w:w="1560" w:type="dxa"/>
            <w:vMerge/>
            <w:vAlign w:val="center"/>
          </w:tcPr>
          <w:p w:rsidR="009A7EE9" w:rsidRPr="003F10D1" w:rsidRDefault="009A7EE9" w:rsidP="009A7EE9">
            <w:pPr>
              <w:pStyle w:val="naisf"/>
              <w:spacing w:before="0" w:beforeAutospacing="0" w:after="0" w:afterAutospacing="0"/>
              <w:jc w:val="center"/>
              <w:rPr>
                <w:i/>
              </w:rPr>
            </w:pPr>
          </w:p>
        </w:tc>
        <w:tc>
          <w:tcPr>
            <w:tcW w:w="1275" w:type="dxa"/>
          </w:tcPr>
          <w:p w:rsidR="009A7EE9" w:rsidRPr="003F10D1" w:rsidRDefault="009A7EE9" w:rsidP="009A7EE9">
            <w:pPr>
              <w:pStyle w:val="naisf"/>
              <w:spacing w:before="0" w:beforeAutospacing="0" w:after="0" w:afterAutospacing="0"/>
              <w:jc w:val="center"/>
            </w:pPr>
            <w:r w:rsidRPr="003F10D1">
              <w:t>0</w:t>
            </w:r>
          </w:p>
        </w:tc>
        <w:tc>
          <w:tcPr>
            <w:tcW w:w="1276" w:type="dxa"/>
          </w:tcPr>
          <w:p w:rsidR="009A7EE9" w:rsidRPr="003F10D1" w:rsidRDefault="009A7EE9" w:rsidP="009A7EE9">
            <w:pPr>
              <w:pStyle w:val="naisf"/>
              <w:spacing w:before="0" w:beforeAutospacing="0" w:after="0" w:afterAutospacing="0"/>
              <w:jc w:val="center"/>
            </w:pPr>
            <w:r w:rsidRPr="003F10D1">
              <w:t>0</w:t>
            </w:r>
          </w:p>
        </w:tc>
        <w:tc>
          <w:tcPr>
            <w:tcW w:w="1134" w:type="dxa"/>
          </w:tcPr>
          <w:p w:rsidR="009A7EE9" w:rsidRPr="003F10D1" w:rsidRDefault="009A7EE9" w:rsidP="009A7EE9">
            <w:pPr>
              <w:pStyle w:val="naisf"/>
              <w:spacing w:before="0" w:beforeAutospacing="0" w:after="0" w:afterAutospacing="0"/>
              <w:jc w:val="center"/>
            </w:pPr>
            <w:r w:rsidRPr="003F10D1">
              <w:t>0</w:t>
            </w:r>
          </w:p>
        </w:tc>
        <w:tc>
          <w:tcPr>
            <w:tcW w:w="1182" w:type="dxa"/>
          </w:tcPr>
          <w:p w:rsidR="009A7EE9" w:rsidRPr="003F10D1" w:rsidRDefault="009A7EE9" w:rsidP="009A7EE9">
            <w:pPr>
              <w:pStyle w:val="naisf"/>
              <w:spacing w:before="0" w:beforeAutospacing="0" w:after="0" w:afterAutospacing="0"/>
              <w:jc w:val="center"/>
            </w:pPr>
            <w:r w:rsidRPr="003F10D1">
              <w:t>0</w:t>
            </w:r>
          </w:p>
        </w:tc>
      </w:tr>
      <w:tr w:rsidR="009A7EE9" w:rsidRPr="003F10D1" w:rsidTr="00583D19">
        <w:trPr>
          <w:jc w:val="center"/>
        </w:trPr>
        <w:tc>
          <w:tcPr>
            <w:tcW w:w="2830" w:type="dxa"/>
          </w:tcPr>
          <w:p w:rsidR="009A7EE9" w:rsidRPr="003F10D1" w:rsidRDefault="009A7EE9" w:rsidP="009A7EE9">
            <w:r w:rsidRPr="003F10D1">
              <w:t xml:space="preserve">5.3. pašvaldību budžets </w:t>
            </w:r>
          </w:p>
        </w:tc>
        <w:tc>
          <w:tcPr>
            <w:tcW w:w="1560" w:type="dxa"/>
            <w:vMerge/>
            <w:vAlign w:val="center"/>
          </w:tcPr>
          <w:p w:rsidR="009A7EE9" w:rsidRPr="003F10D1" w:rsidRDefault="009A7EE9" w:rsidP="009A7EE9">
            <w:pPr>
              <w:pStyle w:val="naisf"/>
              <w:spacing w:before="0" w:beforeAutospacing="0" w:after="0" w:afterAutospacing="0"/>
              <w:jc w:val="center"/>
              <w:rPr>
                <w:i/>
              </w:rPr>
            </w:pPr>
          </w:p>
        </w:tc>
        <w:tc>
          <w:tcPr>
            <w:tcW w:w="1275" w:type="dxa"/>
          </w:tcPr>
          <w:p w:rsidR="009A7EE9" w:rsidRPr="003F10D1" w:rsidRDefault="009A7EE9" w:rsidP="009A7EE9">
            <w:pPr>
              <w:pStyle w:val="naisf"/>
              <w:spacing w:before="0" w:beforeAutospacing="0" w:after="0" w:afterAutospacing="0"/>
              <w:jc w:val="center"/>
            </w:pPr>
            <w:r w:rsidRPr="003F10D1">
              <w:t>0</w:t>
            </w:r>
          </w:p>
        </w:tc>
        <w:tc>
          <w:tcPr>
            <w:tcW w:w="1276" w:type="dxa"/>
          </w:tcPr>
          <w:p w:rsidR="009A7EE9" w:rsidRPr="003F10D1" w:rsidRDefault="009A7EE9" w:rsidP="009A7EE9">
            <w:pPr>
              <w:pStyle w:val="naisf"/>
              <w:spacing w:before="0" w:beforeAutospacing="0" w:after="0" w:afterAutospacing="0"/>
              <w:jc w:val="center"/>
            </w:pPr>
            <w:r w:rsidRPr="003F10D1">
              <w:t>0</w:t>
            </w:r>
          </w:p>
        </w:tc>
        <w:tc>
          <w:tcPr>
            <w:tcW w:w="1134" w:type="dxa"/>
          </w:tcPr>
          <w:p w:rsidR="009A7EE9" w:rsidRPr="003F10D1" w:rsidRDefault="009A7EE9" w:rsidP="009A7EE9">
            <w:pPr>
              <w:pStyle w:val="naisf"/>
              <w:spacing w:before="0" w:beforeAutospacing="0" w:after="0" w:afterAutospacing="0"/>
              <w:jc w:val="center"/>
            </w:pPr>
            <w:r w:rsidRPr="003F10D1">
              <w:t>0</w:t>
            </w:r>
          </w:p>
        </w:tc>
        <w:tc>
          <w:tcPr>
            <w:tcW w:w="1182" w:type="dxa"/>
          </w:tcPr>
          <w:p w:rsidR="009A7EE9" w:rsidRPr="003F10D1" w:rsidRDefault="009A7EE9" w:rsidP="009A7EE9">
            <w:pPr>
              <w:pStyle w:val="naisf"/>
              <w:spacing w:before="0" w:beforeAutospacing="0" w:after="0" w:afterAutospacing="0"/>
              <w:jc w:val="center"/>
            </w:pPr>
            <w:r w:rsidRPr="003F10D1">
              <w:t>0</w:t>
            </w:r>
          </w:p>
        </w:tc>
      </w:tr>
      <w:tr w:rsidR="009A7EE9" w:rsidRPr="003F10D1" w:rsidTr="00583D19">
        <w:trPr>
          <w:trHeight w:val="1571"/>
          <w:jc w:val="center"/>
        </w:trPr>
        <w:tc>
          <w:tcPr>
            <w:tcW w:w="2830" w:type="dxa"/>
          </w:tcPr>
          <w:p w:rsidR="009A7EE9" w:rsidRPr="003F10D1" w:rsidRDefault="009A7EE9" w:rsidP="009A7EE9">
            <w:r w:rsidRPr="003F10D1">
              <w:t>6. Detalizēts ieņēmumu un izdevumu aprēķins (ja nepie</w:t>
            </w:r>
            <w:r w:rsidRPr="003F10D1">
              <w:softHyphen/>
              <w:t>ciešams, detalizētu ieņēmumu un izdevumu aprēķinu var pie</w:t>
            </w:r>
            <w:r w:rsidRPr="003F10D1">
              <w:softHyphen/>
              <w:t>vienot anotācijas pielikumā):</w:t>
            </w:r>
          </w:p>
        </w:tc>
        <w:tc>
          <w:tcPr>
            <w:tcW w:w="6427" w:type="dxa"/>
            <w:gridSpan w:val="5"/>
            <w:vMerge w:val="restart"/>
            <w:vAlign w:val="center"/>
          </w:tcPr>
          <w:p w:rsidR="009A7EE9" w:rsidRPr="003F10D1" w:rsidRDefault="009A7EE9" w:rsidP="009A7EE9">
            <w:pPr>
              <w:jc w:val="both"/>
              <w:rPr>
                <w:color w:val="000000"/>
              </w:rPr>
            </w:pPr>
          </w:p>
        </w:tc>
      </w:tr>
      <w:tr w:rsidR="009A7EE9" w:rsidRPr="003F10D1" w:rsidTr="00583D19">
        <w:trPr>
          <w:jc w:val="center"/>
        </w:trPr>
        <w:tc>
          <w:tcPr>
            <w:tcW w:w="2830" w:type="dxa"/>
          </w:tcPr>
          <w:p w:rsidR="009A7EE9" w:rsidRPr="003F10D1" w:rsidRDefault="009A7EE9" w:rsidP="009A7EE9">
            <w:r w:rsidRPr="003F10D1">
              <w:t>6.1. detalizēts ieņēmumu aprēķins</w:t>
            </w:r>
          </w:p>
        </w:tc>
        <w:tc>
          <w:tcPr>
            <w:tcW w:w="6427" w:type="dxa"/>
            <w:gridSpan w:val="5"/>
            <w:vMerge/>
          </w:tcPr>
          <w:p w:rsidR="009A7EE9" w:rsidRPr="003F10D1" w:rsidRDefault="009A7EE9" w:rsidP="009A7EE9">
            <w:pPr>
              <w:pStyle w:val="naisf"/>
              <w:spacing w:before="0" w:beforeAutospacing="0" w:after="0" w:afterAutospacing="0"/>
              <w:rPr>
                <w:b/>
                <w:i/>
              </w:rPr>
            </w:pPr>
          </w:p>
        </w:tc>
      </w:tr>
      <w:tr w:rsidR="009A7EE9" w:rsidRPr="003F10D1" w:rsidTr="00583D19">
        <w:trPr>
          <w:jc w:val="center"/>
        </w:trPr>
        <w:tc>
          <w:tcPr>
            <w:tcW w:w="2830" w:type="dxa"/>
          </w:tcPr>
          <w:p w:rsidR="009A7EE9" w:rsidRPr="003F10D1" w:rsidRDefault="009A7EE9" w:rsidP="009A7EE9">
            <w:r w:rsidRPr="003F10D1">
              <w:t>6.2. detalizēts izdevumu aprēķins</w:t>
            </w:r>
          </w:p>
        </w:tc>
        <w:tc>
          <w:tcPr>
            <w:tcW w:w="6427" w:type="dxa"/>
            <w:gridSpan w:val="5"/>
            <w:vMerge/>
          </w:tcPr>
          <w:p w:rsidR="009A7EE9" w:rsidRPr="003F10D1" w:rsidRDefault="009A7EE9" w:rsidP="009A7EE9">
            <w:pPr>
              <w:pStyle w:val="naisf"/>
              <w:spacing w:before="0" w:beforeAutospacing="0" w:after="0" w:afterAutospacing="0"/>
              <w:rPr>
                <w:b/>
                <w:i/>
              </w:rPr>
            </w:pPr>
          </w:p>
        </w:tc>
      </w:tr>
      <w:tr w:rsidR="009A7EE9" w:rsidRPr="003F10D1" w:rsidTr="00583D19">
        <w:trPr>
          <w:jc w:val="center"/>
        </w:trPr>
        <w:tc>
          <w:tcPr>
            <w:tcW w:w="2830" w:type="dxa"/>
          </w:tcPr>
          <w:p w:rsidR="009A7EE9" w:rsidRPr="003F10D1" w:rsidRDefault="009A7EE9" w:rsidP="009A7EE9">
            <w:r w:rsidRPr="003F10D1">
              <w:t>7. Cita informācija</w:t>
            </w:r>
          </w:p>
        </w:tc>
        <w:tc>
          <w:tcPr>
            <w:tcW w:w="6427" w:type="dxa"/>
            <w:gridSpan w:val="5"/>
          </w:tcPr>
          <w:p w:rsidR="00FE6AF4" w:rsidRPr="003F10D1" w:rsidRDefault="003C21F6" w:rsidP="004F70B8">
            <w:pPr>
              <w:pStyle w:val="naisf"/>
              <w:spacing w:before="120" w:beforeAutospacing="0" w:after="120" w:afterAutospacing="0"/>
              <w:jc w:val="both"/>
            </w:pPr>
            <w:r w:rsidRPr="003F10D1">
              <w:t>Finansējums tiks pārdalīts no Finanšu ministrijas apakšprogrammas 41.13.00 “Finansējums VAS “Valsts nekustamie īpašumi” īstenotajiem projektiem</w:t>
            </w:r>
            <w:r>
              <w:t xml:space="preserve"> un pasākumiem”</w:t>
            </w:r>
            <w:r w:rsidRPr="003F10D1">
              <w:t xml:space="preserve"> uz budžeta resora “74.Gadskārtējā valsts budžeta izpildes procesā pārdalāmais finansējums” programmu 02.00.00 “Līdzekļi neparedzētiem gadījumiem”.</w:t>
            </w:r>
            <w:bookmarkStart w:id="0" w:name="_GoBack"/>
            <w:bookmarkEnd w:id="0"/>
          </w:p>
        </w:tc>
      </w:tr>
    </w:tbl>
    <w:p w:rsidR="009A7EE9" w:rsidRPr="003F10D1" w:rsidRDefault="009A7EE9" w:rsidP="009A7EE9">
      <w:pPr>
        <w:pStyle w:val="naisf"/>
        <w:spacing w:before="0" w:beforeAutospacing="0" w:after="0" w:afterAutospacing="0"/>
      </w:pPr>
    </w:p>
    <w:p w:rsidR="009A7EE9" w:rsidRPr="003F10D1" w:rsidRDefault="009A7EE9" w:rsidP="009A7EE9">
      <w:pPr>
        <w:pStyle w:val="naisf"/>
        <w:spacing w:before="0" w:beforeAutospacing="0" w:after="0" w:afterAutospacing="0"/>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244"/>
      </w:tblGrid>
      <w:tr w:rsidR="009A7EE9" w:rsidRPr="003F10D1" w:rsidTr="00A54AB7">
        <w:trPr>
          <w:trHeight w:val="381"/>
          <w:jc w:val="center"/>
        </w:trPr>
        <w:tc>
          <w:tcPr>
            <w:tcW w:w="9296" w:type="dxa"/>
            <w:gridSpan w:val="3"/>
            <w:vAlign w:val="center"/>
          </w:tcPr>
          <w:p w:rsidR="009A7EE9" w:rsidRPr="003F10D1" w:rsidRDefault="009A7EE9" w:rsidP="009A7EE9">
            <w:pPr>
              <w:pStyle w:val="naisnod"/>
              <w:spacing w:before="0" w:beforeAutospacing="0" w:after="0" w:afterAutospacing="0"/>
              <w:ind w:left="57" w:right="57"/>
              <w:jc w:val="center"/>
            </w:pPr>
            <w:r w:rsidRPr="003F10D1">
              <w:rPr>
                <w:b/>
              </w:rPr>
              <w:t>VII. Tiesību akta projekta izpildes nodrošināšana un tās ietekme uz institūcijām</w:t>
            </w:r>
          </w:p>
        </w:tc>
      </w:tr>
      <w:tr w:rsidR="009A7EE9" w:rsidRPr="003F10D1" w:rsidTr="00A54AB7">
        <w:trPr>
          <w:trHeight w:val="427"/>
          <w:jc w:val="center"/>
        </w:trPr>
        <w:tc>
          <w:tcPr>
            <w:tcW w:w="437" w:type="dxa"/>
          </w:tcPr>
          <w:p w:rsidR="009A7EE9" w:rsidRPr="003F10D1" w:rsidRDefault="009A7EE9" w:rsidP="009A7EE9">
            <w:pPr>
              <w:pStyle w:val="naisnod"/>
              <w:spacing w:before="0" w:beforeAutospacing="0" w:after="0" w:afterAutospacing="0"/>
              <w:ind w:left="57" w:right="57"/>
              <w:jc w:val="both"/>
            </w:pPr>
            <w:r w:rsidRPr="003F10D1">
              <w:t>1.</w:t>
            </w:r>
          </w:p>
        </w:tc>
        <w:tc>
          <w:tcPr>
            <w:tcW w:w="3615" w:type="dxa"/>
          </w:tcPr>
          <w:p w:rsidR="009A7EE9" w:rsidRPr="003F10D1" w:rsidRDefault="009A7EE9" w:rsidP="009A7EE9">
            <w:pPr>
              <w:pStyle w:val="naisf"/>
              <w:spacing w:before="0" w:beforeAutospacing="0" w:after="0" w:afterAutospacing="0"/>
              <w:ind w:left="57" w:right="57"/>
            </w:pPr>
            <w:r w:rsidRPr="003F10D1">
              <w:t>Projekta izpildē iesaistītās institūcijas</w:t>
            </w:r>
          </w:p>
        </w:tc>
        <w:tc>
          <w:tcPr>
            <w:tcW w:w="5244" w:type="dxa"/>
          </w:tcPr>
          <w:p w:rsidR="00FE6AF4" w:rsidRPr="003F10D1" w:rsidRDefault="009A7EE9" w:rsidP="00DB37C4">
            <w:pPr>
              <w:shd w:val="clear" w:color="auto" w:fill="FFFFFF"/>
              <w:spacing w:before="120" w:after="120"/>
              <w:jc w:val="both"/>
            </w:pPr>
            <w:r w:rsidRPr="003F10D1">
              <w:rPr>
                <w:bCs/>
                <w:color w:val="000000"/>
              </w:rPr>
              <w:t>Finanšu ministrija</w:t>
            </w:r>
          </w:p>
        </w:tc>
      </w:tr>
      <w:tr w:rsidR="009A7EE9" w:rsidRPr="003F10D1" w:rsidTr="00A54AB7">
        <w:trPr>
          <w:trHeight w:val="463"/>
          <w:jc w:val="center"/>
        </w:trPr>
        <w:tc>
          <w:tcPr>
            <w:tcW w:w="437" w:type="dxa"/>
          </w:tcPr>
          <w:p w:rsidR="009A7EE9" w:rsidRPr="003F10D1" w:rsidRDefault="009A7EE9" w:rsidP="009A7EE9">
            <w:pPr>
              <w:pStyle w:val="naisnod"/>
              <w:spacing w:before="0" w:beforeAutospacing="0" w:after="0" w:afterAutospacing="0"/>
              <w:ind w:left="57" w:right="57"/>
              <w:jc w:val="both"/>
            </w:pPr>
            <w:r w:rsidRPr="003F10D1">
              <w:t>2.</w:t>
            </w:r>
          </w:p>
        </w:tc>
        <w:tc>
          <w:tcPr>
            <w:tcW w:w="3615" w:type="dxa"/>
          </w:tcPr>
          <w:p w:rsidR="009A7EE9" w:rsidRPr="003F10D1" w:rsidRDefault="009A7EE9" w:rsidP="009A7EE9">
            <w:pPr>
              <w:pStyle w:val="naisf"/>
              <w:spacing w:before="0" w:beforeAutospacing="0" w:after="0" w:afterAutospacing="0"/>
              <w:ind w:left="57" w:right="57"/>
            </w:pPr>
            <w:r w:rsidRPr="003F10D1">
              <w:t>Projekta izpildes ietekme uz pār</w:t>
            </w:r>
            <w:r w:rsidRPr="003F10D1">
              <w:softHyphen/>
              <w:t>valdes funkcijām un institucionālo struktūru.</w:t>
            </w:r>
          </w:p>
          <w:p w:rsidR="009A7EE9" w:rsidRPr="003F10D1" w:rsidRDefault="009A7EE9" w:rsidP="009A7EE9">
            <w:pPr>
              <w:pStyle w:val="naisf"/>
              <w:spacing w:before="0" w:beforeAutospacing="0" w:after="0" w:afterAutospacing="0"/>
              <w:ind w:left="57" w:right="57"/>
            </w:pPr>
            <w:r w:rsidRPr="003F10D1">
              <w:t>Jaunu institūciju izveide, esošu institūciju likvidācija vai reorga</w:t>
            </w:r>
            <w:r w:rsidRPr="003F10D1">
              <w:softHyphen/>
              <w:t>nizācija, to ietekme uz institūcijas cilvēkresursiem.</w:t>
            </w:r>
          </w:p>
        </w:tc>
        <w:tc>
          <w:tcPr>
            <w:tcW w:w="5244" w:type="dxa"/>
          </w:tcPr>
          <w:p w:rsidR="009A7EE9" w:rsidRPr="003F10D1" w:rsidRDefault="009A7EE9" w:rsidP="002D3E38">
            <w:pPr>
              <w:shd w:val="clear" w:color="auto" w:fill="FFFFFF"/>
              <w:spacing w:before="120" w:after="120"/>
              <w:jc w:val="both"/>
            </w:pPr>
            <w:r w:rsidRPr="003F10D1">
              <w:t>Projekts šo jomu neskar.</w:t>
            </w:r>
          </w:p>
          <w:p w:rsidR="009A7EE9" w:rsidRPr="003F10D1" w:rsidRDefault="009A7EE9" w:rsidP="009A7EE9">
            <w:pPr>
              <w:shd w:val="clear" w:color="auto" w:fill="FFFFFF"/>
              <w:jc w:val="both"/>
            </w:pPr>
          </w:p>
        </w:tc>
      </w:tr>
      <w:tr w:rsidR="009A7EE9" w:rsidRPr="003F10D1" w:rsidTr="00A54AB7">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9A7EE9" w:rsidRPr="003F10D1" w:rsidRDefault="009A7EE9" w:rsidP="009A7EE9">
            <w:pPr>
              <w:pStyle w:val="naisnod"/>
              <w:spacing w:before="0" w:beforeAutospacing="0" w:after="0" w:afterAutospacing="0"/>
              <w:ind w:left="57" w:right="57"/>
              <w:jc w:val="both"/>
            </w:pPr>
            <w:r w:rsidRPr="003F10D1">
              <w:t>3.</w:t>
            </w:r>
          </w:p>
        </w:tc>
        <w:tc>
          <w:tcPr>
            <w:tcW w:w="3615" w:type="dxa"/>
            <w:tcBorders>
              <w:top w:val="single" w:sz="4" w:space="0" w:color="auto"/>
              <w:left w:val="single" w:sz="4" w:space="0" w:color="auto"/>
              <w:bottom w:val="single" w:sz="4" w:space="0" w:color="auto"/>
              <w:right w:val="single" w:sz="4" w:space="0" w:color="auto"/>
            </w:tcBorders>
          </w:tcPr>
          <w:p w:rsidR="009A7EE9" w:rsidRPr="003F10D1" w:rsidRDefault="009A7EE9" w:rsidP="009A7EE9">
            <w:pPr>
              <w:pStyle w:val="naisf"/>
              <w:spacing w:before="0" w:beforeAutospacing="0" w:after="0" w:afterAutospacing="0"/>
              <w:ind w:left="57" w:right="57"/>
            </w:pPr>
            <w:r w:rsidRPr="003F10D1">
              <w:t>Cita informācija</w:t>
            </w:r>
          </w:p>
        </w:tc>
        <w:tc>
          <w:tcPr>
            <w:tcW w:w="5244" w:type="dxa"/>
            <w:tcBorders>
              <w:top w:val="single" w:sz="4" w:space="0" w:color="auto"/>
              <w:left w:val="single" w:sz="4" w:space="0" w:color="auto"/>
              <w:bottom w:val="single" w:sz="4" w:space="0" w:color="auto"/>
              <w:right w:val="single" w:sz="4" w:space="0" w:color="auto"/>
            </w:tcBorders>
          </w:tcPr>
          <w:p w:rsidR="009A7EE9" w:rsidRPr="003F10D1" w:rsidRDefault="009A7EE9" w:rsidP="009A7EE9">
            <w:pPr>
              <w:ind w:left="57" w:right="57"/>
              <w:jc w:val="both"/>
            </w:pPr>
            <w:r w:rsidRPr="003F10D1">
              <w:t>Nav.</w:t>
            </w:r>
          </w:p>
        </w:tc>
      </w:tr>
    </w:tbl>
    <w:p w:rsidR="009A7EE9" w:rsidRPr="003F10D1" w:rsidRDefault="009A7EE9" w:rsidP="009A7EE9">
      <w:pPr>
        <w:pStyle w:val="naisf"/>
        <w:spacing w:before="0" w:beforeAutospacing="0" w:after="0" w:afterAutospacing="0"/>
        <w:rPr>
          <w:i/>
        </w:rPr>
      </w:pPr>
      <w:r w:rsidRPr="003F10D1">
        <w:rPr>
          <w:i/>
        </w:rPr>
        <w:t xml:space="preserve">Anotācijas II, IV, V, </w:t>
      </w:r>
      <w:r w:rsidRPr="003F10D1">
        <w:rPr>
          <w:bCs/>
          <w:i/>
        </w:rPr>
        <w:t xml:space="preserve">VI </w:t>
      </w:r>
      <w:r w:rsidRPr="003F10D1">
        <w:rPr>
          <w:i/>
        </w:rPr>
        <w:t>sadaļa – projekts šīs jomas neskar.</w:t>
      </w:r>
    </w:p>
    <w:p w:rsidR="009A7EE9" w:rsidRPr="003F10D1" w:rsidRDefault="009A7EE9" w:rsidP="009A7EE9">
      <w:pPr>
        <w:ind w:left="283" w:firstLine="437"/>
      </w:pPr>
    </w:p>
    <w:p w:rsidR="00171A81" w:rsidRPr="003F10D1" w:rsidRDefault="00171A81" w:rsidP="009A7EE9">
      <w:pPr>
        <w:ind w:left="283" w:firstLine="437"/>
      </w:pPr>
    </w:p>
    <w:p w:rsidR="000C07B8" w:rsidRPr="000C07B8" w:rsidRDefault="000C07B8" w:rsidP="00E218B9">
      <w:pPr>
        <w:pStyle w:val="BodyText"/>
        <w:jc w:val="both"/>
        <w:rPr>
          <w:sz w:val="24"/>
        </w:rPr>
      </w:pPr>
      <w:r w:rsidRPr="000C07B8">
        <w:rPr>
          <w:sz w:val="24"/>
        </w:rPr>
        <w:t>Finanšu ministres vietā -</w:t>
      </w:r>
    </w:p>
    <w:p w:rsidR="00D444BA" w:rsidRPr="003F10D1" w:rsidRDefault="00F154FE" w:rsidP="00E218B9">
      <w:pPr>
        <w:pStyle w:val="BodyText"/>
        <w:jc w:val="both"/>
        <w:rPr>
          <w:sz w:val="24"/>
        </w:rPr>
      </w:pPr>
      <w:r w:rsidRPr="000C07B8">
        <w:rPr>
          <w:sz w:val="24"/>
        </w:rPr>
        <w:t>Ministru prezidents</w:t>
      </w:r>
      <w:r w:rsidR="0091691A" w:rsidRPr="000C07B8">
        <w:rPr>
          <w:sz w:val="24"/>
        </w:rPr>
        <w:t xml:space="preserve">                                                            </w:t>
      </w:r>
      <w:r w:rsidR="0091691A" w:rsidRPr="000C07B8">
        <w:rPr>
          <w:sz w:val="24"/>
        </w:rPr>
        <w:tab/>
      </w:r>
      <w:r w:rsidR="0091691A" w:rsidRPr="000C07B8">
        <w:rPr>
          <w:sz w:val="24"/>
        </w:rPr>
        <w:tab/>
      </w:r>
      <w:r w:rsidRPr="000C07B8">
        <w:rPr>
          <w:sz w:val="24"/>
        </w:rPr>
        <w:t xml:space="preserve">   </w:t>
      </w:r>
      <w:r w:rsidR="0091691A" w:rsidRPr="000C07B8">
        <w:rPr>
          <w:sz w:val="24"/>
        </w:rPr>
        <w:t xml:space="preserve">  </w:t>
      </w:r>
      <w:r w:rsidRPr="000C07B8">
        <w:rPr>
          <w:sz w:val="24"/>
        </w:rPr>
        <w:t xml:space="preserve">  M. Kučinskis</w:t>
      </w:r>
      <w:r w:rsidR="0091691A" w:rsidRPr="003F10D1">
        <w:rPr>
          <w:sz w:val="24"/>
        </w:rPr>
        <w:tab/>
      </w:r>
    </w:p>
    <w:p w:rsidR="00E218B9" w:rsidRPr="003F10D1" w:rsidRDefault="00E218B9" w:rsidP="00E218B9">
      <w:pPr>
        <w:pStyle w:val="BodyText"/>
        <w:jc w:val="both"/>
        <w:rPr>
          <w:sz w:val="24"/>
        </w:rPr>
      </w:pPr>
    </w:p>
    <w:p w:rsidR="00171A81" w:rsidRPr="003F10D1" w:rsidRDefault="00171A81" w:rsidP="00E218B9">
      <w:pPr>
        <w:pStyle w:val="BodyText"/>
        <w:jc w:val="both"/>
        <w:rPr>
          <w:sz w:val="24"/>
        </w:rPr>
      </w:pPr>
    </w:p>
    <w:p w:rsidR="000C703D" w:rsidRPr="00BC3FCD" w:rsidRDefault="000C703D" w:rsidP="000C703D">
      <w:pPr>
        <w:pStyle w:val="BodyText"/>
        <w:jc w:val="left"/>
        <w:rPr>
          <w:sz w:val="20"/>
          <w:szCs w:val="20"/>
        </w:rPr>
      </w:pPr>
    </w:p>
    <w:p w:rsidR="000C703D" w:rsidRPr="00BC3FCD" w:rsidRDefault="00DB37C4" w:rsidP="000C703D">
      <w:pPr>
        <w:pStyle w:val="BodyText"/>
        <w:jc w:val="left"/>
        <w:rPr>
          <w:sz w:val="20"/>
          <w:szCs w:val="20"/>
        </w:rPr>
      </w:pPr>
      <w:r>
        <w:rPr>
          <w:sz w:val="20"/>
          <w:szCs w:val="20"/>
        </w:rPr>
        <w:t>Siņkovska</w:t>
      </w:r>
      <w:r w:rsidR="00BF7635">
        <w:rPr>
          <w:sz w:val="20"/>
          <w:szCs w:val="20"/>
        </w:rPr>
        <w:t>,</w:t>
      </w:r>
      <w:r w:rsidR="000C703D" w:rsidRPr="00BC3FCD">
        <w:rPr>
          <w:sz w:val="20"/>
          <w:szCs w:val="20"/>
        </w:rPr>
        <w:t xml:space="preserve"> </w:t>
      </w:r>
      <w:r w:rsidR="00BF7635">
        <w:rPr>
          <w:sz w:val="20"/>
          <w:szCs w:val="20"/>
        </w:rPr>
        <w:t>6</w:t>
      </w:r>
      <w:r>
        <w:rPr>
          <w:sz w:val="20"/>
          <w:szCs w:val="20"/>
        </w:rPr>
        <w:t>7083813</w:t>
      </w:r>
    </w:p>
    <w:p w:rsidR="002204E8" w:rsidRPr="001C1669" w:rsidRDefault="003C21F6" w:rsidP="000C703D">
      <w:pPr>
        <w:pStyle w:val="BodyText"/>
        <w:jc w:val="left"/>
        <w:rPr>
          <w:sz w:val="20"/>
          <w:szCs w:val="20"/>
        </w:rPr>
      </w:pPr>
      <w:hyperlink r:id="rId7" w:history="1">
        <w:r w:rsidR="00F154FE" w:rsidRPr="00EA4710">
          <w:rPr>
            <w:rStyle w:val="Hyperlink"/>
            <w:sz w:val="20"/>
            <w:szCs w:val="20"/>
          </w:rPr>
          <w:t>dace.sinkovska@fm.gov.lv</w:t>
        </w:r>
      </w:hyperlink>
    </w:p>
    <w:sectPr w:rsidR="002204E8" w:rsidRPr="001C1669" w:rsidSect="002D3E38">
      <w:headerReference w:type="default" r:id="rId8"/>
      <w:footerReference w:type="default" r:id="rId9"/>
      <w:pgSz w:w="11906" w:h="16838"/>
      <w:pgMar w:top="993" w:right="1133"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926" w:rsidRDefault="00524926" w:rsidP="009A7EE9">
      <w:r>
        <w:separator/>
      </w:r>
    </w:p>
  </w:endnote>
  <w:endnote w:type="continuationSeparator" w:id="0">
    <w:p w:rsidR="00524926" w:rsidRDefault="00524926" w:rsidP="009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4D" w:rsidRPr="002A4B44" w:rsidRDefault="0091691A">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C64112">
      <w:rPr>
        <w:noProof/>
        <w:sz w:val="20"/>
        <w:szCs w:val="20"/>
      </w:rPr>
      <w:t>FMAnot_121017</w:t>
    </w:r>
    <w:r w:rsidR="00F21AC1">
      <w:rPr>
        <w:noProof/>
        <w:sz w:val="20"/>
        <w:szCs w:val="20"/>
      </w:rPr>
      <w:t>.docx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926" w:rsidRDefault="00524926" w:rsidP="009A7EE9">
      <w:r>
        <w:separator/>
      </w:r>
    </w:p>
  </w:footnote>
  <w:footnote w:type="continuationSeparator" w:id="0">
    <w:p w:rsidR="00524926" w:rsidRDefault="00524926" w:rsidP="009A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612465"/>
      <w:docPartObj>
        <w:docPartGallery w:val="Page Numbers (Top of Page)"/>
        <w:docPartUnique/>
      </w:docPartObj>
    </w:sdtPr>
    <w:sdtEndPr>
      <w:rPr>
        <w:noProof/>
      </w:rPr>
    </w:sdtEndPr>
    <w:sdtContent>
      <w:p w:rsidR="002D3E38" w:rsidRDefault="002D3E38">
        <w:pPr>
          <w:pStyle w:val="Header"/>
          <w:jc w:val="center"/>
        </w:pPr>
        <w:r>
          <w:fldChar w:fldCharType="begin"/>
        </w:r>
        <w:r>
          <w:instrText xml:space="preserve"> PAGE   \* MERGEFORMAT </w:instrText>
        </w:r>
        <w:r>
          <w:fldChar w:fldCharType="separate"/>
        </w:r>
        <w:r w:rsidR="003C21F6">
          <w:rPr>
            <w:noProof/>
          </w:rPr>
          <w:t>2</w:t>
        </w:r>
        <w:r>
          <w:rPr>
            <w:noProof/>
          </w:rPr>
          <w:fldChar w:fldCharType="end"/>
        </w:r>
      </w:p>
    </w:sdtContent>
  </w:sdt>
  <w:p w:rsidR="002D3E38" w:rsidRDefault="002D3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314B55F3"/>
    <w:multiLevelType w:val="hybridMultilevel"/>
    <w:tmpl w:val="4AB684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2" w15:restartNumberingAfterBreak="0">
    <w:nsid w:val="3794730D"/>
    <w:multiLevelType w:val="hybridMultilevel"/>
    <w:tmpl w:val="FF646ABE"/>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abstractNum w:abstractNumId="3" w15:restartNumberingAfterBreak="0">
    <w:nsid w:val="50477225"/>
    <w:multiLevelType w:val="hybridMultilevel"/>
    <w:tmpl w:val="627C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28"/>
    <w:rsid w:val="0005038A"/>
    <w:rsid w:val="000614F5"/>
    <w:rsid w:val="000818D2"/>
    <w:rsid w:val="000B2CA0"/>
    <w:rsid w:val="000C07B8"/>
    <w:rsid w:val="000C703D"/>
    <w:rsid w:val="00156E18"/>
    <w:rsid w:val="00171A81"/>
    <w:rsid w:val="00183027"/>
    <w:rsid w:val="001C1669"/>
    <w:rsid w:val="002204E8"/>
    <w:rsid w:val="00261740"/>
    <w:rsid w:val="00285775"/>
    <w:rsid w:val="002B19A5"/>
    <w:rsid w:val="002B3D2F"/>
    <w:rsid w:val="002B5EE7"/>
    <w:rsid w:val="002C3DC9"/>
    <w:rsid w:val="002D3E38"/>
    <w:rsid w:val="0032120D"/>
    <w:rsid w:val="00335619"/>
    <w:rsid w:val="003735E2"/>
    <w:rsid w:val="003C21F6"/>
    <w:rsid w:val="003C6F6D"/>
    <w:rsid w:val="003F10D1"/>
    <w:rsid w:val="004170B3"/>
    <w:rsid w:val="00474ED8"/>
    <w:rsid w:val="00482307"/>
    <w:rsid w:val="004A7D0E"/>
    <w:rsid w:val="004F70B8"/>
    <w:rsid w:val="00524926"/>
    <w:rsid w:val="00542B98"/>
    <w:rsid w:val="005437C3"/>
    <w:rsid w:val="005802FC"/>
    <w:rsid w:val="00583D19"/>
    <w:rsid w:val="005B0615"/>
    <w:rsid w:val="00603455"/>
    <w:rsid w:val="00611862"/>
    <w:rsid w:val="00632159"/>
    <w:rsid w:val="00641D60"/>
    <w:rsid w:val="00645290"/>
    <w:rsid w:val="00705A8F"/>
    <w:rsid w:val="0071285B"/>
    <w:rsid w:val="00751999"/>
    <w:rsid w:val="00763F04"/>
    <w:rsid w:val="00764807"/>
    <w:rsid w:val="007733C9"/>
    <w:rsid w:val="007C300C"/>
    <w:rsid w:val="007D693E"/>
    <w:rsid w:val="007E157D"/>
    <w:rsid w:val="0086037C"/>
    <w:rsid w:val="00870008"/>
    <w:rsid w:val="00875E3E"/>
    <w:rsid w:val="008B46B2"/>
    <w:rsid w:val="008C0091"/>
    <w:rsid w:val="008C4C8E"/>
    <w:rsid w:val="00905312"/>
    <w:rsid w:val="0091691A"/>
    <w:rsid w:val="00923946"/>
    <w:rsid w:val="00930BF9"/>
    <w:rsid w:val="00945363"/>
    <w:rsid w:val="009757FD"/>
    <w:rsid w:val="009873B8"/>
    <w:rsid w:val="0099499C"/>
    <w:rsid w:val="009A7EE9"/>
    <w:rsid w:val="00A11E5A"/>
    <w:rsid w:val="00A310DC"/>
    <w:rsid w:val="00A37ADF"/>
    <w:rsid w:val="00A85919"/>
    <w:rsid w:val="00A914D2"/>
    <w:rsid w:val="00AA1528"/>
    <w:rsid w:val="00AB7DDF"/>
    <w:rsid w:val="00AC7C0E"/>
    <w:rsid w:val="00AD6E8B"/>
    <w:rsid w:val="00B03683"/>
    <w:rsid w:val="00B14C2E"/>
    <w:rsid w:val="00B17BAC"/>
    <w:rsid w:val="00B2761E"/>
    <w:rsid w:val="00B61A29"/>
    <w:rsid w:val="00B64477"/>
    <w:rsid w:val="00B7663C"/>
    <w:rsid w:val="00B87AF4"/>
    <w:rsid w:val="00BD4180"/>
    <w:rsid w:val="00BD7B24"/>
    <w:rsid w:val="00BF0C19"/>
    <w:rsid w:val="00BF18C9"/>
    <w:rsid w:val="00BF7635"/>
    <w:rsid w:val="00C437F7"/>
    <w:rsid w:val="00C44880"/>
    <w:rsid w:val="00C621A0"/>
    <w:rsid w:val="00C64112"/>
    <w:rsid w:val="00C656FF"/>
    <w:rsid w:val="00CB2E04"/>
    <w:rsid w:val="00CC1E07"/>
    <w:rsid w:val="00CF2F7B"/>
    <w:rsid w:val="00D312A6"/>
    <w:rsid w:val="00D444BA"/>
    <w:rsid w:val="00D82EC1"/>
    <w:rsid w:val="00D97850"/>
    <w:rsid w:val="00DA451A"/>
    <w:rsid w:val="00DB1865"/>
    <w:rsid w:val="00DB37C4"/>
    <w:rsid w:val="00E218B9"/>
    <w:rsid w:val="00E366AD"/>
    <w:rsid w:val="00EE3ADF"/>
    <w:rsid w:val="00F154FE"/>
    <w:rsid w:val="00F21AC1"/>
    <w:rsid w:val="00F32B28"/>
    <w:rsid w:val="00F920C2"/>
    <w:rsid w:val="00F95876"/>
    <w:rsid w:val="00FA0AC6"/>
    <w:rsid w:val="00FC73BD"/>
    <w:rsid w:val="00FE6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A946C429-3305-472F-9C79-4996D4D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2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9A7E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B28"/>
    <w:pPr>
      <w:tabs>
        <w:tab w:val="center" w:pos="4153"/>
        <w:tab w:val="right" w:pos="8306"/>
      </w:tabs>
    </w:pPr>
  </w:style>
  <w:style w:type="character" w:customStyle="1" w:styleId="FooterChar">
    <w:name w:val="Footer Char"/>
    <w:basedOn w:val="DefaultParagraphFont"/>
    <w:link w:val="Footer"/>
    <w:rsid w:val="00F32B2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32B28"/>
    <w:pPr>
      <w:ind w:left="720"/>
      <w:contextualSpacing/>
    </w:pPr>
  </w:style>
  <w:style w:type="paragraph" w:styleId="Header">
    <w:name w:val="header"/>
    <w:basedOn w:val="Normal"/>
    <w:link w:val="HeaderChar"/>
    <w:uiPriority w:val="99"/>
    <w:unhideWhenUsed/>
    <w:rsid w:val="009A7EE9"/>
    <w:pPr>
      <w:tabs>
        <w:tab w:val="center" w:pos="4153"/>
        <w:tab w:val="right" w:pos="8306"/>
      </w:tabs>
    </w:pPr>
  </w:style>
  <w:style w:type="character" w:customStyle="1" w:styleId="HeaderChar">
    <w:name w:val="Header Char"/>
    <w:basedOn w:val="DefaultParagraphFont"/>
    <w:link w:val="Header"/>
    <w:uiPriority w:val="99"/>
    <w:rsid w:val="009A7EE9"/>
    <w:rPr>
      <w:rFonts w:ascii="Times New Roman" w:eastAsia="Times New Roman" w:hAnsi="Times New Roman" w:cs="Times New Roman"/>
      <w:sz w:val="24"/>
      <w:szCs w:val="24"/>
      <w:lang w:eastAsia="lv-LV"/>
    </w:rPr>
  </w:style>
  <w:style w:type="paragraph" w:customStyle="1" w:styleId="naisf">
    <w:name w:val="naisf"/>
    <w:basedOn w:val="Normal"/>
    <w:rsid w:val="009A7EE9"/>
    <w:pPr>
      <w:spacing w:before="100" w:beforeAutospacing="1" w:after="100" w:afterAutospacing="1"/>
    </w:pPr>
  </w:style>
  <w:style w:type="paragraph" w:customStyle="1" w:styleId="naisnod">
    <w:name w:val="naisnod"/>
    <w:basedOn w:val="Normal"/>
    <w:rsid w:val="009A7EE9"/>
    <w:pPr>
      <w:spacing w:before="100" w:beforeAutospacing="1" w:after="100" w:afterAutospacing="1"/>
    </w:pPr>
  </w:style>
  <w:style w:type="character" w:customStyle="1" w:styleId="Heading3Char">
    <w:name w:val="Heading 3 Char"/>
    <w:basedOn w:val="DefaultParagraphFont"/>
    <w:link w:val="Heading3"/>
    <w:uiPriority w:val="9"/>
    <w:rsid w:val="009A7EE9"/>
    <w:rPr>
      <w:rFonts w:ascii="Times New Roman" w:eastAsia="Times New Roman" w:hAnsi="Times New Roman" w:cs="Times New Roman"/>
      <w:b/>
      <w:bCs/>
      <w:sz w:val="27"/>
      <w:szCs w:val="27"/>
      <w:lang w:eastAsia="lv-LV"/>
    </w:rPr>
  </w:style>
  <w:style w:type="paragraph" w:customStyle="1" w:styleId="naiskr">
    <w:name w:val="naiskr"/>
    <w:basedOn w:val="Normal"/>
    <w:rsid w:val="009A7EE9"/>
    <w:pPr>
      <w:spacing w:before="100" w:beforeAutospacing="1" w:after="100" w:afterAutospacing="1"/>
    </w:pPr>
  </w:style>
  <w:style w:type="paragraph" w:styleId="BodyText">
    <w:name w:val="Body Text"/>
    <w:basedOn w:val="Normal"/>
    <w:link w:val="BodyTextChar"/>
    <w:rsid w:val="009A7EE9"/>
    <w:pPr>
      <w:jc w:val="center"/>
    </w:pPr>
    <w:rPr>
      <w:sz w:val="28"/>
      <w:lang w:eastAsia="en-US"/>
    </w:rPr>
  </w:style>
  <w:style w:type="character" w:customStyle="1" w:styleId="BodyTextChar">
    <w:name w:val="Body Text Char"/>
    <w:basedOn w:val="DefaultParagraphFont"/>
    <w:link w:val="BodyText"/>
    <w:rsid w:val="009A7EE9"/>
    <w:rPr>
      <w:rFonts w:ascii="Times New Roman" w:eastAsia="Times New Roman" w:hAnsi="Times New Roman" w:cs="Times New Roman"/>
      <w:sz w:val="28"/>
      <w:szCs w:val="24"/>
    </w:rPr>
  </w:style>
  <w:style w:type="character" w:styleId="Hyperlink">
    <w:name w:val="Hyperlink"/>
    <w:rsid w:val="000C703D"/>
    <w:rPr>
      <w:color w:val="0000FF"/>
      <w:u w:val="single"/>
    </w:rPr>
  </w:style>
  <w:style w:type="paragraph" w:styleId="BalloonText">
    <w:name w:val="Balloon Text"/>
    <w:basedOn w:val="Normal"/>
    <w:link w:val="BalloonTextChar"/>
    <w:uiPriority w:val="99"/>
    <w:semiHidden/>
    <w:unhideWhenUsed/>
    <w:rsid w:val="00B61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29"/>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ce.sinkovska@f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3</Pages>
  <Words>3574</Words>
  <Characters>2038</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Ministru kabineta rīkojuma projekta „Par apropriācijas pārdali” sākotnējās ietekmes novērtējuma ziņojums (anotācija)</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sākotnējās ietekmes novērtējuma ziņojums (anotācija)</dc:title>
  <dc:subject>Anotācija</dc:subject>
  <dc:creator>Dace Siņkovska</dc:creator>
  <cp:keywords/>
  <dc:description>dace.sinkovska@fm.gov.lv; 67083813</dc:description>
  <cp:lastModifiedBy>Dace Siņkovska</cp:lastModifiedBy>
  <cp:revision>74</cp:revision>
  <cp:lastPrinted>2015-11-09T06:44:00Z</cp:lastPrinted>
  <dcterms:created xsi:type="dcterms:W3CDTF">2016-10-25T12:20:00Z</dcterms:created>
  <dcterms:modified xsi:type="dcterms:W3CDTF">2017-10-12T11:52:00Z</dcterms:modified>
</cp:coreProperties>
</file>