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12" w:rsidRPr="00465CA3" w:rsidRDefault="00AC2D12" w:rsidP="002431AC">
      <w:pPr>
        <w:pStyle w:val="naisf"/>
        <w:spacing w:before="0" w:after="0"/>
        <w:jc w:val="center"/>
        <w:rPr>
          <w:rFonts w:eastAsia="Calibri"/>
          <w:b/>
          <w:bCs/>
          <w:sz w:val="28"/>
          <w:szCs w:val="28"/>
          <w:lang w:eastAsia="x-none"/>
        </w:rPr>
      </w:pPr>
    </w:p>
    <w:p w:rsidR="008078B8" w:rsidRPr="00465CA3" w:rsidRDefault="008078B8" w:rsidP="002431AC">
      <w:pPr>
        <w:pStyle w:val="naisf"/>
        <w:spacing w:before="0" w:after="0"/>
        <w:jc w:val="center"/>
        <w:rPr>
          <w:rFonts w:eastAsia="Calibri"/>
          <w:b/>
          <w:bCs/>
          <w:sz w:val="28"/>
          <w:szCs w:val="28"/>
          <w:lang w:eastAsia="x-none"/>
        </w:rPr>
      </w:pPr>
      <w:r w:rsidRPr="00465CA3">
        <w:rPr>
          <w:rFonts w:eastAsia="Calibri"/>
          <w:b/>
          <w:bCs/>
          <w:sz w:val="28"/>
          <w:szCs w:val="28"/>
          <w:lang w:eastAsia="x-none"/>
        </w:rPr>
        <w:t xml:space="preserve">Likumprojekta „Grozījumi likumā „Par </w:t>
      </w:r>
      <w:r w:rsidR="00F35490" w:rsidRPr="00465CA3">
        <w:rPr>
          <w:rFonts w:eastAsia="Calibri"/>
          <w:b/>
          <w:bCs/>
          <w:sz w:val="28"/>
          <w:szCs w:val="28"/>
          <w:lang w:eastAsia="x-none"/>
        </w:rPr>
        <w:t>iedzīvotāju ienākuma nodokli</w:t>
      </w:r>
      <w:r w:rsidRPr="00465CA3">
        <w:rPr>
          <w:rFonts w:eastAsia="Calibri"/>
          <w:b/>
          <w:bCs/>
          <w:sz w:val="28"/>
          <w:szCs w:val="28"/>
          <w:lang w:eastAsia="x-none"/>
        </w:rPr>
        <w:t>”” sākotnējās ietekmes novērtējuma ziņojums (anotācija)</w:t>
      </w:r>
    </w:p>
    <w:p w:rsidR="0092720E" w:rsidRPr="00465CA3" w:rsidRDefault="0092720E" w:rsidP="00D57F73">
      <w:pPr>
        <w:pStyle w:val="naisf"/>
        <w:spacing w:before="0" w:after="0"/>
        <w:ind w:firstLine="374"/>
        <w:jc w:val="center"/>
      </w:pPr>
    </w:p>
    <w:tbl>
      <w:tblPr>
        <w:tblpPr w:leftFromText="180" w:rightFromText="180" w:vertAnchor="text" w:horzAnchor="margin" w:tblpXSpec="center" w:tblpY="149"/>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23"/>
        <w:gridCol w:w="6646"/>
      </w:tblGrid>
      <w:tr w:rsidR="008078B8" w:rsidRPr="00465CA3" w:rsidTr="00F35490">
        <w:trPr>
          <w:trHeight w:val="419"/>
        </w:trPr>
        <w:tc>
          <w:tcPr>
            <w:tcW w:w="5000" w:type="pct"/>
            <w:gridSpan w:val="3"/>
            <w:vAlign w:val="center"/>
          </w:tcPr>
          <w:p w:rsidR="008078B8" w:rsidRPr="00465CA3" w:rsidRDefault="008078B8" w:rsidP="002431AC">
            <w:pPr>
              <w:pStyle w:val="naisnod"/>
              <w:spacing w:before="0" w:after="0"/>
              <w:ind w:left="57" w:right="57"/>
              <w:rPr>
                <w:b w:val="0"/>
                <w:lang w:val="lv-LV"/>
              </w:rPr>
            </w:pPr>
            <w:r w:rsidRPr="00465CA3">
              <w:rPr>
                <w:lang w:val="lv-LV"/>
              </w:rPr>
              <w:t>I. Tiesību akta projekta izstrādes nepieciešamība</w:t>
            </w:r>
          </w:p>
        </w:tc>
      </w:tr>
      <w:tr w:rsidR="008078B8" w:rsidRPr="00465CA3" w:rsidTr="00F35490">
        <w:trPr>
          <w:trHeight w:val="415"/>
        </w:trPr>
        <w:tc>
          <w:tcPr>
            <w:tcW w:w="227" w:type="pct"/>
          </w:tcPr>
          <w:p w:rsidR="008078B8" w:rsidRPr="00465CA3" w:rsidRDefault="008078B8" w:rsidP="002431AC">
            <w:pPr>
              <w:pStyle w:val="naiskr"/>
              <w:spacing w:before="0" w:after="0"/>
              <w:ind w:left="57" w:right="57"/>
              <w:jc w:val="center"/>
            </w:pPr>
            <w:r w:rsidRPr="00465CA3">
              <w:t>1.</w:t>
            </w:r>
          </w:p>
        </w:tc>
        <w:tc>
          <w:tcPr>
            <w:tcW w:w="1275" w:type="pct"/>
          </w:tcPr>
          <w:p w:rsidR="008078B8" w:rsidRPr="00465CA3" w:rsidRDefault="008078B8" w:rsidP="002431AC">
            <w:pPr>
              <w:pStyle w:val="naiskr"/>
              <w:spacing w:before="0" w:after="0"/>
              <w:ind w:left="57" w:right="57"/>
              <w:jc w:val="both"/>
            </w:pPr>
            <w:r w:rsidRPr="00465CA3">
              <w:t>Pamatojums</w:t>
            </w:r>
          </w:p>
        </w:tc>
        <w:tc>
          <w:tcPr>
            <w:tcW w:w="3499" w:type="pct"/>
          </w:tcPr>
          <w:p w:rsidR="00D7026A" w:rsidRDefault="007B5D10" w:rsidP="007B5D10">
            <w:pPr>
              <w:ind w:right="140"/>
              <w:jc w:val="both"/>
            </w:pPr>
            <w:r>
              <w:t>1) Ministru kabineta 2017.gada 11.jūlija sēdes protokola Nr.35 30.§ “Likumprojekts “Grozījumi likumā “Par iedzīvotāju ienākuma nodokli”””</w:t>
            </w:r>
            <w:r w:rsidR="002854C3">
              <w:t xml:space="preserve"> 6.punkts.</w:t>
            </w:r>
          </w:p>
          <w:p w:rsidR="007B5D10" w:rsidRPr="00465CA3" w:rsidRDefault="007B5D10" w:rsidP="007B5D10">
            <w:pPr>
              <w:ind w:right="140"/>
              <w:jc w:val="both"/>
            </w:pPr>
            <w:r>
              <w:t>2) Ministru kabineta 2017.gada 8.septembra sēdes protokola Nr.44 1.§ “Informatīvais ziņojums “Par fiskālās telpas pasākumiem un izdevumiem prioritāriem pasākumiem valsts budžetam 2018.gadam un ietvaram 2018.-2020.gadam”” 14.punkts</w:t>
            </w:r>
            <w:r w:rsidR="002854C3">
              <w:t>.</w:t>
            </w:r>
          </w:p>
        </w:tc>
      </w:tr>
      <w:tr w:rsidR="008078B8" w:rsidRPr="00D37BB8" w:rsidTr="00F35490">
        <w:trPr>
          <w:trHeight w:val="472"/>
        </w:trPr>
        <w:tc>
          <w:tcPr>
            <w:tcW w:w="227" w:type="pct"/>
          </w:tcPr>
          <w:p w:rsidR="008078B8" w:rsidRPr="00D37BB8" w:rsidRDefault="008078B8" w:rsidP="002431AC">
            <w:pPr>
              <w:pStyle w:val="naiskr"/>
              <w:spacing w:before="0" w:after="0"/>
              <w:ind w:left="57" w:right="57"/>
              <w:jc w:val="center"/>
            </w:pPr>
            <w:r w:rsidRPr="00D37BB8">
              <w:t>2.</w:t>
            </w:r>
          </w:p>
        </w:tc>
        <w:tc>
          <w:tcPr>
            <w:tcW w:w="1275" w:type="pct"/>
          </w:tcPr>
          <w:p w:rsidR="008078B8" w:rsidRPr="00D37BB8" w:rsidRDefault="008078B8" w:rsidP="002431AC">
            <w:pPr>
              <w:pStyle w:val="naiskr"/>
              <w:tabs>
                <w:tab w:val="left" w:pos="170"/>
              </w:tabs>
              <w:spacing w:before="0" w:after="0"/>
              <w:ind w:left="57" w:right="57"/>
            </w:pPr>
            <w:r w:rsidRPr="00D37BB8">
              <w:t>Pašreizējā situācija un problēmas, kuru risināšanai tiesību akta projekts izstrādāts, tiesiskā regulējuma mērķis un būtība</w:t>
            </w:r>
          </w:p>
        </w:tc>
        <w:tc>
          <w:tcPr>
            <w:tcW w:w="3499" w:type="pct"/>
          </w:tcPr>
          <w:p w:rsidR="00314A99" w:rsidRDefault="00971865" w:rsidP="00314A99">
            <w:pPr>
              <w:jc w:val="both"/>
              <w:rPr>
                <w:i/>
              </w:rPr>
            </w:pPr>
            <w:r w:rsidRPr="00971865">
              <w:rPr>
                <w:i/>
              </w:rPr>
              <w:t>L</w:t>
            </w:r>
            <w:r>
              <w:rPr>
                <w:i/>
              </w:rPr>
              <w:t>ikumprojekta</w:t>
            </w:r>
            <w:r w:rsidRPr="00971865">
              <w:rPr>
                <w:i/>
              </w:rPr>
              <w:t xml:space="preserve"> “Grozījumi likumā “Par iedzīvotāju</w:t>
            </w:r>
            <w:r>
              <w:rPr>
                <w:i/>
              </w:rPr>
              <w:t xml:space="preserve"> ienākuma nodokli”” (turpmāk – l</w:t>
            </w:r>
            <w:r w:rsidRPr="00971865">
              <w:rPr>
                <w:i/>
              </w:rPr>
              <w:t>ikumprojekts)</w:t>
            </w:r>
            <w:r w:rsidR="00314A99" w:rsidRPr="00ED6401">
              <w:rPr>
                <w:i/>
              </w:rPr>
              <w:t xml:space="preserve"> 1.pants</w:t>
            </w:r>
          </w:p>
          <w:p w:rsidR="00314A99" w:rsidRDefault="00314A99" w:rsidP="00314A99">
            <w:pPr>
              <w:jc w:val="both"/>
            </w:pPr>
            <w:r>
              <w:t xml:space="preserve">Likumprojektā iedzīvotāju ienākuma nodokļa (turpmāk – nodoklis) progresijas pirmais slieksnis ir noteikts 20 000 </w:t>
            </w:r>
            <w:proofErr w:type="spellStart"/>
            <w:r w:rsidRPr="003267E5">
              <w:rPr>
                <w:i/>
              </w:rPr>
              <w:t>euro</w:t>
            </w:r>
            <w:proofErr w:type="spellEnd"/>
            <w:r>
              <w:t xml:space="preserve"> gadā. Savukārt algas nodokļa piemērošanai pirmais progresijas slieksnis noteikts 1 667 </w:t>
            </w:r>
            <w:proofErr w:type="spellStart"/>
            <w:r w:rsidRPr="003267E5">
              <w:rPr>
                <w:i/>
              </w:rPr>
              <w:t>euro</w:t>
            </w:r>
            <w:proofErr w:type="spellEnd"/>
            <w:r>
              <w:t xml:space="preserve"> apmērā (20 000/12=1666,67 </w:t>
            </w:r>
            <w:proofErr w:type="spellStart"/>
            <w:r w:rsidRPr="003267E5">
              <w:rPr>
                <w:i/>
              </w:rPr>
              <w:t>euro</w:t>
            </w:r>
            <w:proofErr w:type="spellEnd"/>
            <w:r>
              <w:t xml:space="preserve">, kas noapaļojot līdz veseliem skaitļiem ir 1 667 </w:t>
            </w:r>
            <w:proofErr w:type="spellStart"/>
            <w:r w:rsidRPr="003267E5">
              <w:rPr>
                <w:i/>
              </w:rPr>
              <w:t>euro</w:t>
            </w:r>
            <w:proofErr w:type="spellEnd"/>
            <w:r>
              <w:t xml:space="preserve">). Izmantojot šādu noapaļošanas mehānismu, var rasties situācija, ka maksātājam jāsniedz deklarācija un jāveic nodokļa piemaksa nepilna </w:t>
            </w:r>
            <w:proofErr w:type="spellStart"/>
            <w:r w:rsidRPr="003267E5">
              <w:rPr>
                <w:i/>
              </w:rPr>
              <w:t>euro</w:t>
            </w:r>
            <w:proofErr w:type="spellEnd"/>
            <w:r>
              <w:t xml:space="preserve"> apmērā tikai taksācijas gada laikā veiktās ienākumu noapaļošanas dēļ, par ko darbinieks var pat nezināt, ja viņam nerodas nepieciešamība iesniegt gada ienākumu deklarāciju citu iemeslu dēļ (attaisnotie izdevumi, saimnieciskās darbības ienākumi u.tml.). Lai novērstu šādu situāciju, konkrētajā gadījumā – nosakot pirmo progresijas slieksni taksācijas apliekamajam ienākumam – veikta  korekcija un progresijas slieksnis 20 000 </w:t>
            </w:r>
            <w:proofErr w:type="spellStart"/>
            <w:r w:rsidRPr="00E9142E">
              <w:rPr>
                <w:i/>
              </w:rPr>
              <w:t>euro</w:t>
            </w:r>
            <w:proofErr w:type="spellEnd"/>
            <w:r>
              <w:t xml:space="preserve"> gadā aizstāts ar progresijas slieksni 20 004 </w:t>
            </w:r>
            <w:proofErr w:type="spellStart"/>
            <w:r w:rsidRPr="003611E4">
              <w:rPr>
                <w:i/>
              </w:rPr>
              <w:t>euro</w:t>
            </w:r>
            <w:proofErr w:type="spellEnd"/>
            <w:r>
              <w:t xml:space="preserve"> gadā.</w:t>
            </w:r>
          </w:p>
          <w:p w:rsidR="00314A99" w:rsidRDefault="00314A99" w:rsidP="00C350E9">
            <w:pPr>
              <w:tabs>
                <w:tab w:val="left" w:pos="2127"/>
                <w:tab w:val="center" w:pos="4153"/>
                <w:tab w:val="left" w:pos="6096"/>
                <w:tab w:val="right" w:pos="8306"/>
              </w:tabs>
              <w:ind w:left="118" w:right="140"/>
              <w:jc w:val="center"/>
              <w:rPr>
                <w:b/>
                <w:i/>
              </w:rPr>
            </w:pPr>
          </w:p>
          <w:p w:rsidR="00CC15F4" w:rsidRPr="00D37BB8" w:rsidRDefault="00CC15F4" w:rsidP="00C350E9">
            <w:pPr>
              <w:tabs>
                <w:tab w:val="left" w:pos="2127"/>
                <w:tab w:val="center" w:pos="4153"/>
                <w:tab w:val="left" w:pos="6096"/>
                <w:tab w:val="right" w:pos="8306"/>
              </w:tabs>
              <w:ind w:left="118" w:right="140"/>
              <w:jc w:val="center"/>
              <w:rPr>
                <w:b/>
                <w:i/>
              </w:rPr>
            </w:pPr>
            <w:r w:rsidRPr="00D37BB8">
              <w:rPr>
                <w:b/>
                <w:i/>
              </w:rPr>
              <w:t xml:space="preserve">Saistībā ar </w:t>
            </w:r>
            <w:r w:rsidR="00C350E9">
              <w:rPr>
                <w:b/>
                <w:i/>
              </w:rPr>
              <w:t>ieguldījumu konta normatīvo regulējumu</w:t>
            </w:r>
          </w:p>
          <w:p w:rsidR="00CC15F4" w:rsidRPr="00D37BB8" w:rsidRDefault="00CC15F4" w:rsidP="00C350E9">
            <w:pPr>
              <w:tabs>
                <w:tab w:val="left" w:pos="2127"/>
                <w:tab w:val="center" w:pos="4153"/>
                <w:tab w:val="left" w:pos="6096"/>
                <w:tab w:val="right" w:pos="8306"/>
              </w:tabs>
              <w:ind w:left="118" w:right="140"/>
              <w:jc w:val="both"/>
              <w:rPr>
                <w:b/>
                <w:i/>
                <w:u w:val="single"/>
              </w:rPr>
            </w:pPr>
          </w:p>
          <w:p w:rsidR="00333D33" w:rsidRPr="00A6733E" w:rsidRDefault="001442F5" w:rsidP="00C350E9">
            <w:pPr>
              <w:tabs>
                <w:tab w:val="left" w:pos="2127"/>
                <w:tab w:val="center" w:pos="4153"/>
                <w:tab w:val="left" w:pos="6096"/>
                <w:tab w:val="right" w:pos="8306"/>
              </w:tabs>
              <w:ind w:left="118" w:right="140"/>
              <w:jc w:val="both"/>
              <w:rPr>
                <w:i/>
              </w:rPr>
            </w:pPr>
            <w:r w:rsidRPr="00A6733E">
              <w:rPr>
                <w:i/>
              </w:rPr>
              <w:t>Grozījumi likuma “Par iedzīvotāju ienākuma nodokli”(turpmāk – likums)</w:t>
            </w:r>
            <w:r w:rsidR="009E6889" w:rsidRPr="00A6733E">
              <w:rPr>
                <w:i/>
              </w:rPr>
              <w:t xml:space="preserve"> </w:t>
            </w:r>
            <w:r w:rsidR="00333D33" w:rsidRPr="00A6733E">
              <w:rPr>
                <w:i/>
              </w:rPr>
              <w:t>11.</w:t>
            </w:r>
            <w:r w:rsidR="00333D33" w:rsidRPr="00A6733E">
              <w:rPr>
                <w:i/>
                <w:vertAlign w:val="superscript"/>
              </w:rPr>
              <w:t>9</w:t>
            </w:r>
            <w:r w:rsidR="00333D33" w:rsidRPr="00A6733E">
              <w:rPr>
                <w:i/>
              </w:rPr>
              <w:t xml:space="preserve"> panta vienpadsmitās daļas 6.punkts un </w:t>
            </w:r>
            <w:r w:rsidR="003B327F" w:rsidRPr="00A6733E">
              <w:rPr>
                <w:i/>
              </w:rPr>
              <w:t>12.</w:t>
            </w:r>
            <w:r w:rsidR="003B327F" w:rsidRPr="00A6733E">
              <w:rPr>
                <w:i/>
                <w:vertAlign w:val="superscript"/>
              </w:rPr>
              <w:t>2</w:t>
            </w:r>
            <w:r w:rsidR="003B327F" w:rsidRPr="00A6733E">
              <w:rPr>
                <w:i/>
              </w:rPr>
              <w:t xml:space="preserve"> daļa, 11.</w:t>
            </w:r>
            <w:r w:rsidR="003B327F" w:rsidRPr="00A6733E">
              <w:rPr>
                <w:i/>
                <w:vertAlign w:val="superscript"/>
              </w:rPr>
              <w:t>13</w:t>
            </w:r>
            <w:r w:rsidR="003B327F" w:rsidRPr="00A6733E">
              <w:rPr>
                <w:i/>
              </w:rPr>
              <w:t xml:space="preserve"> pants, 16.</w:t>
            </w:r>
            <w:r w:rsidR="003B327F" w:rsidRPr="00A6733E">
              <w:rPr>
                <w:i/>
                <w:vertAlign w:val="superscript"/>
              </w:rPr>
              <w:t>1</w:t>
            </w:r>
            <w:r w:rsidR="003B327F" w:rsidRPr="00A6733E">
              <w:rPr>
                <w:i/>
              </w:rPr>
              <w:t xml:space="preserve"> panta 3.</w:t>
            </w:r>
            <w:r w:rsidR="003B327F" w:rsidRPr="00A6733E">
              <w:rPr>
                <w:i/>
                <w:vertAlign w:val="superscript"/>
              </w:rPr>
              <w:t>5</w:t>
            </w:r>
            <w:r w:rsidR="003B327F" w:rsidRPr="00A6733E">
              <w:rPr>
                <w:i/>
              </w:rPr>
              <w:t xml:space="preserve"> un 3.</w:t>
            </w:r>
            <w:r w:rsidR="003B327F" w:rsidRPr="00A6733E">
              <w:rPr>
                <w:i/>
                <w:vertAlign w:val="superscript"/>
              </w:rPr>
              <w:t>6</w:t>
            </w:r>
            <w:r w:rsidR="003B327F" w:rsidRPr="00A6733E">
              <w:rPr>
                <w:i/>
              </w:rPr>
              <w:t xml:space="preserve"> daļa</w:t>
            </w:r>
            <w:r w:rsidR="00A959FE" w:rsidRPr="00A6733E">
              <w:rPr>
                <w:i/>
              </w:rPr>
              <w:t>, 17.panta 11.</w:t>
            </w:r>
            <w:r w:rsidR="00A959FE" w:rsidRPr="00A6733E">
              <w:rPr>
                <w:i/>
                <w:vertAlign w:val="superscript"/>
              </w:rPr>
              <w:t xml:space="preserve">5 </w:t>
            </w:r>
            <w:r w:rsidR="00A959FE" w:rsidRPr="00A6733E">
              <w:rPr>
                <w:i/>
              </w:rPr>
              <w:t>daļas trešais punkts, pārejas noteikumu 139.punkts.</w:t>
            </w:r>
          </w:p>
          <w:p w:rsidR="00A6733E" w:rsidRDefault="00A6733E" w:rsidP="00C350E9">
            <w:pPr>
              <w:tabs>
                <w:tab w:val="left" w:pos="2127"/>
                <w:tab w:val="center" w:pos="4153"/>
                <w:tab w:val="left" w:pos="6096"/>
                <w:tab w:val="right" w:pos="8306"/>
              </w:tabs>
              <w:ind w:left="118" w:right="140"/>
              <w:jc w:val="both"/>
            </w:pPr>
            <w:r>
              <w:t>Pēdējo gadu laikā fiziskās personas arvien vairāk ir ieinteresētas ieguldījumu veikšanā</w:t>
            </w:r>
            <w:r w:rsidR="00313DA6">
              <w:t xml:space="preserve">, tādā veidā gūstot ienākumu no kapitāla, tai skaitā no kapitāla pieauguma. Viena no ieguldījumu veikšanas metodēm ir darījumi ar </w:t>
            </w:r>
            <w:r w:rsidR="001E549E">
              <w:t>kapitāla aktīviem (</w:t>
            </w:r>
            <w:r w:rsidR="00313DA6">
              <w:t>finanšu instrumentiem</w:t>
            </w:r>
            <w:r w:rsidR="001E549E">
              <w:t>, parāda instrumentiem u.tml.)</w:t>
            </w:r>
            <w:r w:rsidR="00313DA6">
              <w:t xml:space="preserve">, kurus fiziskas personas veic, izmantojot īpašus ieguldījumu kontus kredītiestādēs (atsevišķas kredītiestādes lieto arī terminu “tirdzniecības platforma” u.c.). Šādi ieguldījumu konti ļauj kredītiestādes klientiem veikt darījumus </w:t>
            </w:r>
            <w:r w:rsidR="00440EC5">
              <w:t xml:space="preserve">ar </w:t>
            </w:r>
            <w:r w:rsidR="001E549E">
              <w:t>kapitāla aktīviem</w:t>
            </w:r>
            <w:r w:rsidR="00440EC5">
              <w:t xml:space="preserve"> lielākajās pasaules birž</w:t>
            </w:r>
            <w:r w:rsidR="00406A27">
              <w:t>ās. Kredītiestādes klienti naudu</w:t>
            </w:r>
            <w:r w:rsidR="00440EC5">
              <w:t xml:space="preserve"> ieskaita īpašā, līgumā ar kredītiestādi atrunātā, kontā un arī izņem līdzekļus tikai caur šo kontu.</w:t>
            </w:r>
          </w:p>
          <w:p w:rsidR="00A6733E" w:rsidRDefault="001E549E" w:rsidP="00C350E9">
            <w:pPr>
              <w:tabs>
                <w:tab w:val="left" w:pos="2127"/>
                <w:tab w:val="center" w:pos="4153"/>
                <w:tab w:val="left" w:pos="6096"/>
                <w:tab w:val="right" w:pos="8306"/>
              </w:tabs>
              <w:ind w:left="118" w:right="140"/>
              <w:jc w:val="both"/>
            </w:pPr>
            <w:r>
              <w:t>I</w:t>
            </w:r>
            <w:r w:rsidR="004F7A4E">
              <w:t xml:space="preserve">zmantojot ieguldījumu kontu, tiek veikts liels darījumus skaits ar </w:t>
            </w:r>
            <w:r>
              <w:t>kapitāla aktīviem</w:t>
            </w:r>
            <w:r w:rsidR="004F7A4E">
              <w:t xml:space="preserve"> (to skaits var p</w:t>
            </w:r>
            <w:r>
              <w:t xml:space="preserve">ārsniegt 100 darījumus mēnesī) un šobrīd likums paredz </w:t>
            </w:r>
            <w:r w:rsidR="004F7A4E">
              <w:t xml:space="preserve">iesniegt pārskata perioda </w:t>
            </w:r>
            <w:r w:rsidR="00BE0C96">
              <w:t xml:space="preserve">deklarāciju </w:t>
            </w:r>
            <w:r w:rsidR="00931DE7">
              <w:t>par ienākumiem no kapitāla pieauguma</w:t>
            </w:r>
            <w:r>
              <w:t xml:space="preserve">. </w:t>
            </w:r>
            <w:r w:rsidR="00867B00">
              <w:t xml:space="preserve">Šobrīd likums nosaka, ka pārskata periods ir mēnesis, ja ienākumi no kapitāla aktīvu </w:t>
            </w:r>
            <w:r w:rsidR="00867B00">
              <w:lastRenderedPageBreak/>
              <w:t xml:space="preserve">atsavināšanas mēnesī pārsniedz 711,44 </w:t>
            </w:r>
            <w:proofErr w:type="spellStart"/>
            <w:r w:rsidR="00867B00">
              <w:rPr>
                <w:i/>
              </w:rPr>
              <w:t>euro</w:t>
            </w:r>
            <w:proofErr w:type="spellEnd"/>
            <w:r w:rsidR="00867B00">
              <w:rPr>
                <w:i/>
              </w:rPr>
              <w:t xml:space="preserve">, </w:t>
            </w:r>
            <w:r w:rsidR="00867B00">
              <w:t xml:space="preserve">un pārskata periods ir ceturksnis, ja ienākumi no kapitāla aktīvu atsavināšanas mēnesī ir robežās no 142,30 </w:t>
            </w:r>
            <w:proofErr w:type="spellStart"/>
            <w:r w:rsidR="00867B00">
              <w:rPr>
                <w:i/>
              </w:rPr>
              <w:t>euro</w:t>
            </w:r>
            <w:proofErr w:type="spellEnd"/>
            <w:r w:rsidR="00867B00">
              <w:t xml:space="preserve"> līdz 711,44 </w:t>
            </w:r>
            <w:proofErr w:type="spellStart"/>
            <w:r w:rsidR="00867B00">
              <w:rPr>
                <w:i/>
              </w:rPr>
              <w:t>euro</w:t>
            </w:r>
            <w:proofErr w:type="spellEnd"/>
            <w:r w:rsidR="00867B00">
              <w:t xml:space="preserve">. No 2018.gada 1.janvāra likumā ir noteikts, ka pārskata periods ir ceturksnis, ja ienākumi no kapitāla aktīvu atsavināšanas ceturksnī pārsniedz 1000 </w:t>
            </w:r>
            <w:proofErr w:type="spellStart"/>
            <w:r w:rsidR="00867B00">
              <w:rPr>
                <w:i/>
              </w:rPr>
              <w:t>euro</w:t>
            </w:r>
            <w:proofErr w:type="spellEnd"/>
            <w:r w:rsidR="00867B00">
              <w:t>.</w:t>
            </w:r>
            <w:r w:rsidR="00854C6A">
              <w:t xml:space="preserve"> Ja kopējie ienākumi no kapitāla aktīvu atsavināšanas nepārsniedz 1000 </w:t>
            </w:r>
            <w:proofErr w:type="spellStart"/>
            <w:r w:rsidR="00854C6A">
              <w:rPr>
                <w:i/>
              </w:rPr>
              <w:t>euro</w:t>
            </w:r>
            <w:proofErr w:type="spellEnd"/>
            <w:r w:rsidR="00854C6A">
              <w:rPr>
                <w:i/>
              </w:rPr>
              <w:t xml:space="preserve"> </w:t>
            </w:r>
            <w:r w:rsidR="00854C6A">
              <w:t>ceturksnī, tad pārskata periods ir gads.</w:t>
            </w:r>
            <w:r w:rsidR="00113637">
              <w:t xml:space="preserve"> </w:t>
            </w:r>
            <w:r>
              <w:t xml:space="preserve">Tā kā </w:t>
            </w:r>
            <w:r w:rsidR="00931DE7">
              <w:t xml:space="preserve">dažu </w:t>
            </w:r>
            <w:r>
              <w:t>finanšu instrumentu atsavināšana rada ienākumus, bet citu finanšu instrumentu atsavināšana rada zaudējumus un pārskata deklarācijā nepieciešams norādīt katru kapitāla aktīva veidu, tā iegādes vērtību, ienākuma gūšanas dienu utt.</w:t>
            </w:r>
            <w:r w:rsidR="00A468AE">
              <w:t>,</w:t>
            </w:r>
            <w:r>
              <w:t xml:space="preserve"> tad pārskata deklarācijas aizpildīšana ir darbietilpīgs un sarežģīts process, kas </w:t>
            </w:r>
            <w:r w:rsidR="00A468AE">
              <w:t>rada ievērojamu administratīvo slogu</w:t>
            </w:r>
            <w:r>
              <w:t xml:space="preserve"> </w:t>
            </w:r>
            <w:r w:rsidR="00A468AE">
              <w:t>kredītiestāžu klientiem – iedzīvotāju ienākuma nodokļ</w:t>
            </w:r>
            <w:r w:rsidR="00D21649">
              <w:t>u</w:t>
            </w:r>
            <w:r w:rsidR="00A468AE">
              <w:t xml:space="preserve"> maksātājiem</w:t>
            </w:r>
            <w:r>
              <w:t xml:space="preserve">. </w:t>
            </w:r>
          </w:p>
          <w:p w:rsidR="004F7A4E" w:rsidRDefault="004F7A4E" w:rsidP="00C350E9">
            <w:pPr>
              <w:tabs>
                <w:tab w:val="left" w:pos="2127"/>
                <w:tab w:val="center" w:pos="4153"/>
                <w:tab w:val="left" w:pos="6096"/>
                <w:tab w:val="right" w:pos="8306"/>
              </w:tabs>
              <w:ind w:left="118" w:right="140"/>
              <w:jc w:val="both"/>
            </w:pPr>
          </w:p>
          <w:p w:rsidR="003A3F6E" w:rsidRDefault="006E6B98" w:rsidP="00C350E9">
            <w:pPr>
              <w:tabs>
                <w:tab w:val="left" w:pos="2127"/>
                <w:tab w:val="center" w:pos="4153"/>
                <w:tab w:val="left" w:pos="6096"/>
                <w:tab w:val="right" w:pos="8306"/>
              </w:tabs>
              <w:ind w:left="118" w:right="140"/>
              <w:jc w:val="both"/>
            </w:pPr>
            <w:r>
              <w:t>Ņemot vērā iepriekš minēto, l</w:t>
            </w:r>
            <w:r w:rsidR="00A6733E">
              <w:t xml:space="preserve">ikumprojekts paredz </w:t>
            </w:r>
            <w:r w:rsidR="00AF665C">
              <w:t xml:space="preserve">mainīt </w:t>
            </w:r>
            <w:r w:rsidR="00A6733E">
              <w:t xml:space="preserve">normatīvo regulējumu attiecībā </w:t>
            </w:r>
            <w:r>
              <w:t xml:space="preserve">uz iedzīvotāju ienākuma nodokļa </w:t>
            </w:r>
            <w:r w:rsidR="00AF665C">
              <w:t>uzlikšanas kārtību</w:t>
            </w:r>
            <w:r>
              <w:t xml:space="preserve"> no ienākuma, kas gūts izmantojot kredītiestādes piedāvāto pakalpojumu “ieguldījumu konts”</w:t>
            </w:r>
            <w:r w:rsidR="003A3F6E">
              <w:t xml:space="preserve">. </w:t>
            </w:r>
          </w:p>
          <w:p w:rsidR="00587E0B" w:rsidRDefault="003A3F6E" w:rsidP="00AF665C">
            <w:pPr>
              <w:tabs>
                <w:tab w:val="left" w:pos="2127"/>
                <w:tab w:val="center" w:pos="4153"/>
                <w:tab w:val="left" w:pos="6096"/>
                <w:tab w:val="right" w:pos="8306"/>
              </w:tabs>
              <w:ind w:left="118" w:right="140"/>
              <w:jc w:val="both"/>
            </w:pPr>
            <w:r>
              <w:t>Likumprojektā tiek definēts jēdziens “ieguldījumu konts” – atbilstoši līgumam starp ieguldījumu pakalpojumu snie</w:t>
            </w:r>
            <w:r w:rsidR="008D6AB5">
              <w:t>dzēju (kredītiestādi) un nodokļu</w:t>
            </w:r>
            <w:r>
              <w:t xml:space="preserve"> maksātāju (konta īpašnieku) atvērts konts (vai kontu kopums), kurā esošie naudas līdzekļi un finanšu instrumenti</w:t>
            </w:r>
            <w:r w:rsidR="00222634">
              <w:t xml:space="preserve"> tiek izmantoti darījumiem ar finanšu instrumenti</w:t>
            </w:r>
            <w:r w:rsidR="00406A27">
              <w:t>em</w:t>
            </w:r>
            <w:r w:rsidR="00222634">
              <w:t xml:space="preserve">, termiņnoguldījumiem, valūtas maiņu u.tml. </w:t>
            </w:r>
            <w:r w:rsidR="00587E0B">
              <w:t xml:space="preserve">Likumprojektā tiek iekļauts, ka ieguldījumu pakalpojumu sniedzējs </w:t>
            </w:r>
            <w:r w:rsidR="008D6AB5">
              <w:t>var būt</w:t>
            </w:r>
            <w:r w:rsidR="00587E0B">
              <w:t xml:space="preserve"> kredītiestāde u.tml. iestāde (Latvijas, citas Eiropas Savienības dalībvalsts, Eiropas Ekonomikas zonas valsts</w:t>
            </w:r>
            <w:r w:rsidR="00797241">
              <w:t xml:space="preserve"> vai Ekonomiskās sadarbības un attīstības organizācijas dalībvalsts rezidents)</w:t>
            </w:r>
            <w:r w:rsidR="00587E0B">
              <w:t>, kas ir saņēmusi licenci ieguldījumu pakalpojumu sniegšanai</w:t>
            </w:r>
            <w:r w:rsidR="00797241">
              <w:t xml:space="preserve"> atbilstoši Finanšu instrumentu tirgus likumam vai tam pielīdzināmam pakalpojumu sniedzēja rezidences valsts regul</w:t>
            </w:r>
            <w:r w:rsidR="008D6AB5">
              <w:t>ējumam</w:t>
            </w:r>
            <w:r w:rsidR="00797241">
              <w:t>.</w:t>
            </w:r>
          </w:p>
          <w:p w:rsidR="00374FDA" w:rsidRDefault="00EE6E70" w:rsidP="00374FDA">
            <w:pPr>
              <w:tabs>
                <w:tab w:val="left" w:pos="2127"/>
                <w:tab w:val="center" w:pos="4153"/>
                <w:tab w:val="left" w:pos="6096"/>
                <w:tab w:val="right" w:pos="8306"/>
              </w:tabs>
              <w:ind w:left="118" w:right="140"/>
              <w:jc w:val="both"/>
            </w:pPr>
            <w:r>
              <w:t>Nodok</w:t>
            </w:r>
            <w:r w:rsidR="008D6AB5">
              <w:t>ļu</w:t>
            </w:r>
            <w:r>
              <w:t xml:space="preserve"> maksātājs (konta īpašnieks) informēs ieguldījumu pakalpojuma sniedzēju par ieguldījuma konta statusa piešķiršanu kontam </w:t>
            </w:r>
            <w:r w:rsidR="00374FDA">
              <w:t xml:space="preserve">(vai kontu kopumam). </w:t>
            </w:r>
            <w:r w:rsidR="00725C7C">
              <w:t>I</w:t>
            </w:r>
            <w:r w:rsidR="00374FDA">
              <w:t>eguldījumu pakalpojumu sniedz</w:t>
            </w:r>
            <w:r w:rsidR="00725C7C">
              <w:t>ējs</w:t>
            </w:r>
            <w:r w:rsidR="002B13C9">
              <w:t>,</w:t>
            </w:r>
            <w:r w:rsidR="00374FDA">
              <w:t xml:space="preserve"> saskaņā ar Kontu reģistra likumā noteiktajām prasībām, </w:t>
            </w:r>
            <w:r w:rsidR="00725C7C">
              <w:t>informē Valsts ieņēmumu dienestu</w:t>
            </w:r>
            <w:r w:rsidR="008D6AB5">
              <w:t xml:space="preserve"> par to,</w:t>
            </w:r>
            <w:r w:rsidR="00374FDA">
              <w:t xml:space="preserve"> kuram kontam (vai kontu kopumam) piemērot </w:t>
            </w:r>
            <w:r w:rsidR="008D6AB5">
              <w:t xml:space="preserve">konkrēti </w:t>
            </w:r>
            <w:r w:rsidR="00374FDA">
              <w:t>ieguldījumu konta režīmu saistībā ar iedzīvotāju ienākuma nodokli.</w:t>
            </w:r>
          </w:p>
          <w:p w:rsidR="002B129D" w:rsidRDefault="00741CC2" w:rsidP="00374FDA">
            <w:pPr>
              <w:tabs>
                <w:tab w:val="left" w:pos="2127"/>
                <w:tab w:val="center" w:pos="4153"/>
                <w:tab w:val="left" w:pos="6096"/>
                <w:tab w:val="right" w:pos="8306"/>
              </w:tabs>
              <w:ind w:left="118" w:right="140"/>
              <w:jc w:val="both"/>
            </w:pPr>
            <w:r>
              <w:t xml:space="preserve">Izmantojot ieguldījumu kontu, </w:t>
            </w:r>
            <w:r w:rsidR="00AF665C">
              <w:t>gūtajam ienākumam tiktu piemērota</w:t>
            </w:r>
            <w:r w:rsidR="004D2656">
              <w:t xml:space="preserve"> vienkāršota iedzīvotāju ienākuma nodokļa aprēķināšanas kārtība – </w:t>
            </w:r>
            <w:r>
              <w:t>par ienākuma gūšanas dienu uzskata dienu, kad no ieguldījumu konta iz</w:t>
            </w:r>
            <w:r w:rsidR="005A7A31">
              <w:t xml:space="preserve">maksātā </w:t>
            </w:r>
            <w:r w:rsidR="00587E0B">
              <w:t xml:space="preserve">naudas </w:t>
            </w:r>
            <w:r w:rsidR="005A7A31">
              <w:t>summa pārsniedz ieguldījumu kontā iemaksāto naudas summu.</w:t>
            </w:r>
          </w:p>
          <w:p w:rsidR="00D159B7" w:rsidRDefault="00D159B7" w:rsidP="00D159B7">
            <w:pPr>
              <w:tabs>
                <w:tab w:val="left" w:pos="2127"/>
                <w:tab w:val="center" w:pos="4153"/>
                <w:tab w:val="left" w:pos="6096"/>
                <w:tab w:val="right" w:pos="8306"/>
              </w:tabs>
              <w:ind w:left="118" w:right="140"/>
              <w:jc w:val="both"/>
            </w:pPr>
            <w:r>
              <w:t>Likumprojekts paredz, ka ieguldījumu pakalpojumu sniedzējam būtu jānodrošina ieguldījuma konta īpašniekam iespēju saņemt ieguldījumu konta izrakstu, kurā ir apkopota informācija par taksācijas gada laikā ieguldījumu kontā izdarītajām iemaksām un no tā izdarītajām izmaksām</w:t>
            </w:r>
            <w:r w:rsidR="00725C7C">
              <w:t xml:space="preserve">, kas atvieglos apliekamā ienākuma </w:t>
            </w:r>
            <w:r w:rsidR="00D14883">
              <w:t>noteikšanu gan nodokļu maksātājam, gan Valsts ieņēmumu dienestam.</w:t>
            </w:r>
          </w:p>
          <w:p w:rsidR="00314A99" w:rsidRDefault="00314A99" w:rsidP="00D159B7">
            <w:pPr>
              <w:tabs>
                <w:tab w:val="left" w:pos="2127"/>
                <w:tab w:val="center" w:pos="4153"/>
                <w:tab w:val="left" w:pos="6096"/>
                <w:tab w:val="right" w:pos="8306"/>
              </w:tabs>
              <w:ind w:left="118" w:right="140"/>
              <w:jc w:val="both"/>
            </w:pPr>
          </w:p>
          <w:p w:rsidR="00314A99" w:rsidRPr="00314A99" w:rsidRDefault="00314A99" w:rsidP="00314A99">
            <w:pPr>
              <w:jc w:val="both"/>
            </w:pPr>
            <w:r w:rsidRPr="00314A99">
              <w:rPr>
                <w:i/>
              </w:rPr>
              <w:t>Grozījumi likuma 8.panta 2.</w:t>
            </w:r>
            <w:r w:rsidRPr="00314A99">
              <w:rPr>
                <w:i/>
                <w:vertAlign w:val="superscript"/>
              </w:rPr>
              <w:t>5</w:t>
            </w:r>
            <w:r w:rsidRPr="00314A99">
              <w:rPr>
                <w:i/>
              </w:rPr>
              <w:t xml:space="preserve"> un 2.</w:t>
            </w:r>
            <w:r w:rsidRPr="00314A99">
              <w:rPr>
                <w:i/>
                <w:vertAlign w:val="superscript"/>
              </w:rPr>
              <w:t>10</w:t>
            </w:r>
            <w:r w:rsidRPr="00314A99">
              <w:rPr>
                <w:i/>
              </w:rPr>
              <w:t xml:space="preserve"> daļā, 10.panta piektajā daļā, 12.panta devītajā daļā, 13.panta trešajā un sestajā daļā un 15.panta ceturtajā daļā </w:t>
            </w:r>
          </w:p>
          <w:p w:rsidR="00314A99" w:rsidRPr="00314A99" w:rsidRDefault="00314A99" w:rsidP="00314A99">
            <w:pPr>
              <w:ind w:right="140"/>
              <w:jc w:val="both"/>
            </w:pPr>
            <w:r w:rsidRPr="00314A99">
              <w:t>Likumprojektā veikti tehniska rakstura grozījumi, precizējot atsauces uz normatīvajiem aktiem un pantu daļām.</w:t>
            </w:r>
          </w:p>
          <w:p w:rsidR="00314A99" w:rsidRPr="00314A99" w:rsidRDefault="00314A99" w:rsidP="00314A99">
            <w:pPr>
              <w:ind w:left="118" w:right="140"/>
              <w:jc w:val="both"/>
            </w:pPr>
          </w:p>
          <w:p w:rsidR="00314A99" w:rsidRPr="00314A99" w:rsidRDefault="00314A99" w:rsidP="00314A99">
            <w:pPr>
              <w:jc w:val="both"/>
              <w:rPr>
                <w:i/>
              </w:rPr>
            </w:pPr>
            <w:r w:rsidRPr="00314A99">
              <w:rPr>
                <w:i/>
              </w:rPr>
              <w:t>Likuma papildinājums ar 8.panta 2.</w:t>
            </w:r>
            <w:r w:rsidRPr="00314A99">
              <w:rPr>
                <w:i/>
                <w:vertAlign w:val="superscript"/>
              </w:rPr>
              <w:t>12</w:t>
            </w:r>
            <w:r w:rsidRPr="00314A99">
              <w:rPr>
                <w:i/>
              </w:rPr>
              <w:t xml:space="preserve"> daļu</w:t>
            </w:r>
          </w:p>
          <w:p w:rsidR="00314A99" w:rsidRPr="00314A99" w:rsidRDefault="00314A99" w:rsidP="00314A99">
            <w:pPr>
              <w:jc w:val="both"/>
            </w:pPr>
            <w:r w:rsidRPr="00314A99">
              <w:t>Pašreiz spēkā esošās likuma “Par iedzīvotāju ienākuma nodokli” 8.panta 2.</w:t>
            </w:r>
            <w:r w:rsidRPr="00314A99">
              <w:rPr>
                <w:vertAlign w:val="superscript"/>
              </w:rPr>
              <w:t>2</w:t>
            </w:r>
            <w:r w:rsidRPr="00314A99">
              <w:t xml:space="preserve"> daļas normas izstrādātas kā nodokļa </w:t>
            </w:r>
            <w:proofErr w:type="spellStart"/>
            <w:r w:rsidRPr="00314A99">
              <w:t>pretizvairīšanās</w:t>
            </w:r>
            <w:proofErr w:type="spellEnd"/>
            <w:r w:rsidRPr="00314A99">
              <w:t xml:space="preserve"> normas un ietver pazīmes, lai nošķirtu algota darba ienākumus no saimnieciskās darbības ienākumiem. Tomēr autoratlīdzību saņēmēju situācija ir specifiska, jo formāli iepriekš minētajā likuma normā ietvertās pazīmes var attiecināt uz lielāko daļu gadījumu, ja autoratlīdzības saņēmējs vienlaikus nodarbināts pie autoratlīdzības saņēmēja arī kā darbinieks. Tādēļ minētās normas attiecībā uz autoratlīdzības saņēmējiem nepieciešams precizēt, lai nodrošinātu, ka minētā norma darbojas efektīvāk attiecībā uz nodokļu plānošanas gadījumiem, savukārt neskar gadījumus, kad darba līgums un līgums par autoratlīdzības izmaksu nav noslēgts nodokļu plānošanas nolūkā. Likumprojekts paredz noteikt, ka gadījumos, ja maksātājs gūst algota darba ienākumus, kas nav mazāki par valstī noteikto minimālo mēnešalgu, bet vienlaikus viņam ar darba devēju noslēgts līgums par autoratlīdzības izmaksu, primāri vērtē noslēgto līgumu nosacījumus, bet likuma “Par iedzīvotāju ienākuma nodokli” 8.panta 2.</w:t>
            </w:r>
            <w:r w:rsidRPr="00314A99">
              <w:rPr>
                <w:vertAlign w:val="superscript"/>
              </w:rPr>
              <w:t>2</w:t>
            </w:r>
            <w:r w:rsidRPr="00314A99">
              <w:t xml:space="preserve"> daļas normā ietvertās pazīmes kalpo tikai kā papildu kritērijs darījuma ekonomiskās būtības vērtēšanai.</w:t>
            </w:r>
          </w:p>
          <w:p w:rsidR="00314A99" w:rsidRPr="00314A99" w:rsidRDefault="00314A99" w:rsidP="00314A99">
            <w:pPr>
              <w:jc w:val="both"/>
              <w:rPr>
                <w:i/>
              </w:rPr>
            </w:pPr>
          </w:p>
          <w:p w:rsidR="00314A99" w:rsidRPr="00314A99" w:rsidRDefault="00314A99" w:rsidP="00314A99">
            <w:pPr>
              <w:jc w:val="both"/>
              <w:rPr>
                <w:i/>
              </w:rPr>
            </w:pPr>
            <w:r w:rsidRPr="00314A99">
              <w:rPr>
                <w:i/>
              </w:rPr>
              <w:t>Likuma papildinājums ar 9.panta trešajā daļas 4.punktu</w:t>
            </w:r>
          </w:p>
          <w:p w:rsidR="00314A99" w:rsidRPr="00314A99" w:rsidRDefault="00314A99" w:rsidP="00314A99">
            <w:pPr>
              <w:jc w:val="both"/>
            </w:pPr>
            <w:r w:rsidRPr="00314A99">
              <w:t>Likumprojekts papildināts ar normu, kas nepārprotami nosaka, ka arī nerezidentiem piemēro likumā noteikto nodokļa atbrīvojumu dividendēm vai likvidācijas kvotai, ja ir izpildīti atbrīvojuma piemērošanai noteiktie kritēriji.</w:t>
            </w:r>
          </w:p>
          <w:p w:rsidR="00314A99" w:rsidRPr="00314A99" w:rsidRDefault="00314A99" w:rsidP="00314A99">
            <w:pPr>
              <w:jc w:val="both"/>
            </w:pPr>
          </w:p>
          <w:p w:rsidR="00314A99" w:rsidRPr="00314A99" w:rsidRDefault="00314A99" w:rsidP="00314A99">
            <w:pPr>
              <w:jc w:val="both"/>
              <w:rPr>
                <w:i/>
              </w:rPr>
            </w:pPr>
            <w:r w:rsidRPr="00314A99">
              <w:rPr>
                <w:i/>
              </w:rPr>
              <w:t>Grozījumi likuma 12.panta 1.</w:t>
            </w:r>
            <w:r w:rsidRPr="00314A99">
              <w:rPr>
                <w:i/>
                <w:vertAlign w:val="superscript"/>
              </w:rPr>
              <w:t>4</w:t>
            </w:r>
            <w:r w:rsidRPr="00314A99">
              <w:rPr>
                <w:i/>
              </w:rPr>
              <w:t xml:space="preserve"> </w:t>
            </w:r>
            <w:r w:rsidR="00EB758A">
              <w:rPr>
                <w:i/>
              </w:rPr>
              <w:t xml:space="preserve">daļas </w:t>
            </w:r>
            <w:r w:rsidRPr="00314A99">
              <w:rPr>
                <w:i/>
              </w:rPr>
              <w:t>2.punktā un 1.</w:t>
            </w:r>
            <w:r w:rsidRPr="00314A99">
              <w:rPr>
                <w:i/>
                <w:vertAlign w:val="superscript"/>
              </w:rPr>
              <w:t>5</w:t>
            </w:r>
            <w:r w:rsidRPr="00314A99">
              <w:rPr>
                <w:i/>
              </w:rPr>
              <w:t xml:space="preserve"> daļā</w:t>
            </w:r>
          </w:p>
          <w:p w:rsidR="00314A99" w:rsidRPr="00314A99" w:rsidRDefault="00314A99" w:rsidP="00314A99">
            <w:pPr>
              <w:jc w:val="both"/>
            </w:pPr>
            <w:r w:rsidRPr="00314A99">
              <w:t>Saistībā ar VID prognozētā gada diferencētā neapliekamā minimuma apmēru precizēts periods, par kādu nosaka šo diferencēto neapliekamo minimumu. Tāpat tiek precizēta metodika, kā tiek noteikts diferencētais neapliekamais minimums, ja nodokļa maksātājs ir saimnieciskās darbības veicējs. Atkarībā no nodokļa maksātāja situācijas vai nu tiek ņemts vērā pirmstaksācijas gada saimnieciskās darbības ienākumus, vai arī prognozētie saimnieciskās darbības ienākumi (šajā gadījumā faktiskos pirmstaksācijas gada saimnieciskās darbības ienākumus neņem vērā)</w:t>
            </w:r>
          </w:p>
          <w:p w:rsidR="00314A99" w:rsidRPr="00314A99" w:rsidRDefault="00314A99" w:rsidP="00314A99">
            <w:pPr>
              <w:jc w:val="both"/>
            </w:pPr>
          </w:p>
          <w:p w:rsidR="00314A99" w:rsidRPr="00314A99" w:rsidRDefault="00314A99" w:rsidP="00314A99">
            <w:pPr>
              <w:jc w:val="both"/>
              <w:rPr>
                <w:i/>
              </w:rPr>
            </w:pPr>
            <w:r w:rsidRPr="00314A99">
              <w:rPr>
                <w:i/>
              </w:rPr>
              <w:t>Likuma papildinājums ar 12.panta divpadsmito daļu</w:t>
            </w:r>
          </w:p>
          <w:p w:rsidR="00314A99" w:rsidRPr="00314A99" w:rsidRDefault="00314A99" w:rsidP="00314A99">
            <w:pPr>
              <w:jc w:val="both"/>
            </w:pPr>
            <w:r w:rsidRPr="00314A99">
              <w:t>Lai novērstu iespējamas atšķirīgas likuma interpretācijas, likumprojekts nosaka, ka pensionāra neapliekamo minimumu taksācijas gada laikā piemēro ienākuma izmaksātājs. Ja pensionāra neapliekamais minimums taksācijas gada laikā nav piemērots (piemēram, tiek saņemta pensija no ārvalstīm) vai nav pilnībā izmantots (pensija ir mazāka nekā pensionāra neapliekamais minimums, bet citur tiek gūti algota darba ienākumi) pensionāram ir tiesības iesniegt gada ienākuma deklarāciju un piemērot pensionāra neapliekamo minimumu.</w:t>
            </w:r>
          </w:p>
          <w:p w:rsidR="00314A99" w:rsidRPr="00314A99" w:rsidRDefault="00314A99" w:rsidP="00314A99">
            <w:pPr>
              <w:jc w:val="both"/>
            </w:pPr>
          </w:p>
          <w:p w:rsidR="00314A99" w:rsidRPr="00314A99" w:rsidRDefault="00314A99" w:rsidP="00314A99">
            <w:pPr>
              <w:jc w:val="both"/>
              <w:rPr>
                <w:i/>
              </w:rPr>
            </w:pPr>
            <w:r w:rsidRPr="00314A99">
              <w:rPr>
                <w:i/>
              </w:rPr>
              <w:t xml:space="preserve">Grozījumi likuma 15.panta otrajā, trešajā, </w:t>
            </w:r>
            <w:r w:rsidR="003C59F0">
              <w:rPr>
                <w:i/>
              </w:rPr>
              <w:t xml:space="preserve">ceturtajā, </w:t>
            </w:r>
            <w:r w:rsidRPr="00314A99">
              <w:rPr>
                <w:i/>
              </w:rPr>
              <w:t>septiņpadsmitajā un deviņpadsmitajā daļā un likuma papildinājums ar 15.panta divdesmito, divdesmit pirmo</w:t>
            </w:r>
            <w:r w:rsidR="003C59F0">
              <w:rPr>
                <w:i/>
              </w:rPr>
              <w:t>,</w:t>
            </w:r>
            <w:r w:rsidRPr="00314A99">
              <w:rPr>
                <w:i/>
              </w:rPr>
              <w:t xml:space="preserve"> divdesmit otro </w:t>
            </w:r>
            <w:r w:rsidR="003C59F0">
              <w:rPr>
                <w:i/>
              </w:rPr>
              <w:t xml:space="preserve">un divdesmit trešo </w:t>
            </w:r>
            <w:r w:rsidRPr="00314A99">
              <w:rPr>
                <w:i/>
              </w:rPr>
              <w:t>daļu</w:t>
            </w:r>
            <w:r w:rsidR="003C59F0">
              <w:rPr>
                <w:i/>
              </w:rPr>
              <w:t xml:space="preserve"> </w:t>
            </w:r>
          </w:p>
          <w:p w:rsidR="00314A99" w:rsidRPr="00314A99" w:rsidRDefault="00314A99" w:rsidP="00314A99">
            <w:pPr>
              <w:jc w:val="both"/>
            </w:pPr>
            <w:r w:rsidRPr="00314A99">
              <w:t>Lai nodrošinātu vienveidīgu likuma normu interpretāciju, likumprojektā veikti precizējoši grozījumi saistībā ar progresīvās nodokļa likmes piemērošanu, tai skaitā:</w:t>
            </w:r>
          </w:p>
          <w:p w:rsidR="00314A99" w:rsidRPr="00314A99" w:rsidRDefault="00314A99" w:rsidP="00314A99">
            <w:pPr>
              <w:pStyle w:val="ListParagraph"/>
              <w:numPr>
                <w:ilvl w:val="0"/>
                <w:numId w:val="27"/>
              </w:numPr>
              <w:spacing w:after="0" w:line="240" w:lineRule="auto"/>
              <w:jc w:val="both"/>
              <w:rPr>
                <w:rFonts w:ascii="Times New Roman" w:hAnsi="Times New Roman"/>
                <w:sz w:val="24"/>
                <w:szCs w:val="24"/>
                <w:lang w:val="lv-LV"/>
              </w:rPr>
            </w:pPr>
            <w:r w:rsidRPr="00314A99">
              <w:rPr>
                <w:rFonts w:ascii="Times New Roman" w:hAnsi="Times New Roman"/>
                <w:sz w:val="24"/>
                <w:szCs w:val="24"/>
                <w:lang w:val="lv-LV"/>
              </w:rPr>
              <w:t>precizēti ienākuma veidi, kas netiek ņemti vērā, nosakot gada ienākuma (mēneša ienākuma</w:t>
            </w:r>
            <w:r w:rsidR="00406A27">
              <w:rPr>
                <w:rFonts w:ascii="Times New Roman" w:hAnsi="Times New Roman"/>
                <w:sz w:val="24"/>
                <w:szCs w:val="24"/>
                <w:lang w:val="lv-LV"/>
              </w:rPr>
              <w:t>) apmēru</w:t>
            </w:r>
            <w:r w:rsidRPr="00314A99">
              <w:rPr>
                <w:rFonts w:ascii="Times New Roman" w:hAnsi="Times New Roman"/>
                <w:sz w:val="24"/>
                <w:szCs w:val="24"/>
                <w:lang w:val="lv-LV"/>
              </w:rPr>
              <w:t>;</w:t>
            </w:r>
          </w:p>
          <w:p w:rsidR="00314A99" w:rsidRPr="00314A99" w:rsidRDefault="00314A99" w:rsidP="00314A99">
            <w:pPr>
              <w:pStyle w:val="ListParagraph"/>
              <w:numPr>
                <w:ilvl w:val="0"/>
                <w:numId w:val="27"/>
              </w:numPr>
              <w:spacing w:after="0" w:line="240" w:lineRule="auto"/>
              <w:jc w:val="both"/>
              <w:rPr>
                <w:rFonts w:ascii="Times New Roman" w:hAnsi="Times New Roman"/>
                <w:sz w:val="24"/>
                <w:szCs w:val="24"/>
                <w:lang w:val="lv-LV"/>
              </w:rPr>
            </w:pPr>
            <w:r w:rsidRPr="00314A99">
              <w:rPr>
                <w:rFonts w:ascii="Times New Roman" w:hAnsi="Times New Roman"/>
                <w:sz w:val="24"/>
                <w:szCs w:val="24"/>
                <w:lang w:val="lv-LV"/>
              </w:rPr>
              <w:t>noteikts, ka progresīvo likmi ienākuma izmaksas vietā piemēro gan darba algai, gan arī tādiem ienākuma veidiem kā pensijām un Valsts sociālās apdrošināšanas aģentūras izmaksātajiem darba nespējas pabalstiem</w:t>
            </w:r>
            <w:r w:rsidR="00B21E9A">
              <w:rPr>
                <w:rFonts w:ascii="Times New Roman" w:hAnsi="Times New Roman"/>
                <w:sz w:val="24"/>
                <w:szCs w:val="24"/>
                <w:lang w:val="lv-LV"/>
              </w:rPr>
              <w:t xml:space="preserve"> (tādējādi, ja progresīvā nodokļa likme piemērota dažādās ienākuma izmaksas vietās, maksātājam jākontrolē vai viņam nerodas pienākums iesniegt gada ienākumu deklarāciju un piemaksāt iedzīvotāju ienākuma nodokli)</w:t>
            </w:r>
            <w:r w:rsidRPr="00314A99">
              <w:rPr>
                <w:rFonts w:ascii="Times New Roman" w:hAnsi="Times New Roman"/>
                <w:sz w:val="24"/>
                <w:szCs w:val="24"/>
                <w:lang w:val="lv-LV"/>
              </w:rPr>
              <w:t>;</w:t>
            </w:r>
          </w:p>
          <w:p w:rsidR="00314A99" w:rsidRPr="00314A99" w:rsidRDefault="00314A99" w:rsidP="00314A99">
            <w:pPr>
              <w:pStyle w:val="ListParagraph"/>
              <w:numPr>
                <w:ilvl w:val="0"/>
                <w:numId w:val="27"/>
              </w:numPr>
              <w:spacing w:after="0" w:line="240" w:lineRule="auto"/>
              <w:jc w:val="both"/>
              <w:rPr>
                <w:rFonts w:ascii="Times New Roman" w:hAnsi="Times New Roman"/>
                <w:sz w:val="24"/>
                <w:szCs w:val="24"/>
                <w:lang w:val="lv-LV"/>
              </w:rPr>
            </w:pPr>
            <w:r w:rsidRPr="00314A99">
              <w:rPr>
                <w:rFonts w:ascii="Times New Roman" w:hAnsi="Times New Roman"/>
                <w:sz w:val="24"/>
                <w:szCs w:val="24"/>
                <w:lang w:val="lv-LV"/>
              </w:rPr>
              <w:t>noteikts, ka par konkrēto taksācijas gadu aprēķināto un izmaksāto ienākumu attiecina uz attiecina uz šī taksācijas gada ienākuma apmēru neatkarīgi no izmaksas datuma.</w:t>
            </w:r>
          </w:p>
          <w:p w:rsidR="00314A99" w:rsidRDefault="003C59F0" w:rsidP="00314A99">
            <w:pPr>
              <w:jc w:val="both"/>
            </w:pPr>
            <w:r>
              <w:t xml:space="preserve">Vienlaikus noteikts, ka tad, ja maksātājs gūst dažāda veida ienākumus pie ienākuma izmaksātāja, pie kura ir iesniegta algas nodokļa grāmatiņa, progresīvo nodokļa likmi piemēro ar algas nodokli apliekamajam ienākumam, bet citiem ienākuma veidiem taksācijas gada laikā piemēro 23% </w:t>
            </w:r>
            <w:r w:rsidR="00707474">
              <w:t xml:space="preserve">(izņēmums autoratlīdzības par literāriem darbiem, kurām piemēro 20% likmi neatkarīgi no ienākuma izmaksas vietas) </w:t>
            </w:r>
            <w:r>
              <w:t xml:space="preserve">nodokļa likmi (maksātājam ir iespēja atgūt pārmaksāto nodokli, ja tāds radies, iesniedzot gada ienākumu deklarāciju). Šāds regulējums izstrādāts, lai ienākuma izmaksātājam dažādu ienākuma veidu summēšana neradītu palielinātu administratīvo slogu. </w:t>
            </w:r>
          </w:p>
          <w:p w:rsidR="00DE1DFB" w:rsidRDefault="00DE1DFB" w:rsidP="00314A99">
            <w:pPr>
              <w:jc w:val="both"/>
            </w:pPr>
          </w:p>
          <w:p w:rsidR="00DE1DFB" w:rsidRPr="00DE1DFB" w:rsidRDefault="00DE1DFB" w:rsidP="00DE1DFB">
            <w:pPr>
              <w:jc w:val="both"/>
              <w:rPr>
                <w:i/>
                <w:u w:val="single"/>
              </w:rPr>
            </w:pPr>
            <w:r w:rsidRPr="00DE1DFB">
              <w:rPr>
                <w:i/>
                <w:u w:val="single"/>
              </w:rPr>
              <w:t>Piemērs</w:t>
            </w:r>
          </w:p>
          <w:p w:rsidR="00DE1DFB" w:rsidRDefault="00DE1DFB" w:rsidP="00DE1DFB">
            <w:pPr>
              <w:jc w:val="both"/>
            </w:pPr>
            <w:r>
              <w:t>Pie ienākuma izmaksātāja iesniegta algas nodokļa grāmatiņa, nodokļa maksātājam apgādībā 5 personas (</w:t>
            </w:r>
            <w:r w:rsidR="008406B5">
              <w:t xml:space="preserve">atvieglojums par apgādībā esošu personu (AAP) </w:t>
            </w:r>
            <w:r>
              <w:t>5*200=1000), prognozētais diferencētais neapliekamais minimums ir 0.</w:t>
            </w:r>
          </w:p>
          <w:p w:rsidR="008406B5" w:rsidRDefault="008406B5" w:rsidP="00DE1DFB">
            <w:pPr>
              <w:jc w:val="both"/>
              <w:rPr>
                <w:u w:val="single"/>
              </w:rPr>
            </w:pPr>
          </w:p>
          <w:p w:rsidR="00DE1DFB" w:rsidRDefault="00DE1DFB" w:rsidP="00DE1DFB">
            <w:pPr>
              <w:jc w:val="both"/>
              <w:rPr>
                <w:u w:val="single"/>
              </w:rPr>
            </w:pPr>
            <w:r w:rsidRPr="008406B5">
              <w:rPr>
                <w:u w:val="single"/>
              </w:rPr>
              <w:t>IIN aprēķināšana konkrētajā mēnesī</w:t>
            </w:r>
          </w:p>
          <w:p w:rsidR="008406B5" w:rsidRPr="008406B5" w:rsidRDefault="008406B5" w:rsidP="00DE1DFB">
            <w:pPr>
              <w:jc w:val="both"/>
              <w:rPr>
                <w:u w:val="single"/>
              </w:rPr>
            </w:pPr>
          </w:p>
          <w:tbl>
            <w:tblPr>
              <w:tblStyle w:val="TableGrid"/>
              <w:tblW w:w="0" w:type="auto"/>
              <w:tblLook w:val="04A0" w:firstRow="1" w:lastRow="0" w:firstColumn="1" w:lastColumn="0" w:noHBand="0" w:noVBand="1"/>
            </w:tblPr>
            <w:tblGrid>
              <w:gridCol w:w="2020"/>
              <w:gridCol w:w="2365"/>
              <w:gridCol w:w="2241"/>
            </w:tblGrid>
            <w:tr w:rsidR="00DE1DFB" w:rsidTr="00BD0B16">
              <w:tc>
                <w:tcPr>
                  <w:tcW w:w="2972"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Algota darba ienākums</w:t>
                  </w:r>
                </w:p>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 xml:space="preserve">800 </w:t>
                  </w:r>
                </w:p>
              </w:tc>
              <w:tc>
                <w:tcPr>
                  <w:tcW w:w="3102"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Autoratlīdzība (neto, pēc autora attaisnoto izdevumu atskaitīšanas 1000-50%*1000=500)</w:t>
                  </w:r>
                </w:p>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500</w:t>
                  </w:r>
                </w:p>
              </w:tc>
              <w:tc>
                <w:tcPr>
                  <w:tcW w:w="2987"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Uzņēmuma līgums (nav reģistrēta saimnieciskā darbība)</w:t>
                  </w:r>
                </w:p>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300</w:t>
                  </w:r>
                </w:p>
              </w:tc>
            </w:tr>
            <w:tr w:rsidR="00DE1DFB" w:rsidTr="00BD0B16">
              <w:tc>
                <w:tcPr>
                  <w:tcW w:w="2972"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VSAOI -88</w:t>
                  </w:r>
                </w:p>
              </w:tc>
              <w:tc>
                <w:tcPr>
                  <w:tcW w:w="3102"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 xml:space="preserve">VSAOI –izmaksas vietā nepiemēro (autors kā </w:t>
                  </w:r>
                  <w:proofErr w:type="spellStart"/>
                  <w:r w:rsidRPr="00DE1DFB">
                    <w:rPr>
                      <w:rFonts w:ascii="Times New Roman" w:hAnsi="Times New Roman"/>
                      <w:sz w:val="20"/>
                    </w:rPr>
                    <w:t>pašnodarbināta</w:t>
                  </w:r>
                  <w:proofErr w:type="spellEnd"/>
                  <w:r w:rsidRPr="00DE1DFB">
                    <w:rPr>
                      <w:rFonts w:ascii="Times New Roman" w:hAnsi="Times New Roman"/>
                      <w:sz w:val="20"/>
                    </w:rPr>
                    <w:t xml:space="preserve"> persona no objekta 430 maksā pēc 32,13% likmes VSAOI=138,16)</w:t>
                  </w:r>
                </w:p>
              </w:tc>
              <w:tc>
                <w:tcPr>
                  <w:tcW w:w="2987"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VSAOI -33</w:t>
                  </w:r>
                </w:p>
              </w:tc>
            </w:tr>
            <w:tr w:rsidR="00DE1DFB" w:rsidTr="00BD0B16">
              <w:tc>
                <w:tcPr>
                  <w:tcW w:w="2972"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AAP – 1000</w:t>
                  </w:r>
                </w:p>
              </w:tc>
              <w:tc>
                <w:tcPr>
                  <w:tcW w:w="3102"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AAP -288</w:t>
                  </w:r>
                </w:p>
              </w:tc>
              <w:tc>
                <w:tcPr>
                  <w:tcW w:w="2987" w:type="dxa"/>
                </w:tcPr>
                <w:p w:rsidR="00DE1DFB" w:rsidRPr="00DE1DFB" w:rsidRDefault="00DE1DFB" w:rsidP="00D27AE5">
                  <w:pPr>
                    <w:framePr w:hSpace="180" w:wrap="around" w:vAnchor="text" w:hAnchor="margin" w:xAlign="center" w:y="149"/>
                    <w:rPr>
                      <w:rFonts w:ascii="Times New Roman" w:hAnsi="Times New Roman"/>
                      <w:sz w:val="20"/>
                    </w:rPr>
                  </w:pPr>
                </w:p>
              </w:tc>
            </w:tr>
            <w:tr w:rsidR="00DE1DFB" w:rsidTr="00BD0B16">
              <w:tc>
                <w:tcPr>
                  <w:tcW w:w="2972"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 -288</w:t>
                  </w:r>
                </w:p>
              </w:tc>
              <w:tc>
                <w:tcPr>
                  <w:tcW w:w="3102"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IIN(1) 500*23%=115</w:t>
                  </w:r>
                </w:p>
              </w:tc>
              <w:tc>
                <w:tcPr>
                  <w:tcW w:w="2987"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IIN (1) 300*23%=69</w:t>
                  </w:r>
                </w:p>
              </w:tc>
            </w:tr>
            <w:tr w:rsidR="00DE1DFB" w:rsidTr="00BD0B16">
              <w:tc>
                <w:tcPr>
                  <w:tcW w:w="2972"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IIN - 0</w:t>
                  </w:r>
                </w:p>
              </w:tc>
              <w:tc>
                <w:tcPr>
                  <w:tcW w:w="3102"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Uz atskaitāmajiem izdevumiem attiecināmais IIN (2)</w:t>
                  </w:r>
                </w:p>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288*20%=57,60</w:t>
                  </w:r>
                </w:p>
                <w:p w:rsidR="00DE1DFB" w:rsidRPr="00DE1DFB" w:rsidRDefault="00DE1DFB" w:rsidP="00D27AE5">
                  <w:pPr>
                    <w:framePr w:hSpace="180" w:wrap="around" w:vAnchor="text" w:hAnchor="margin" w:xAlign="center" w:y="149"/>
                    <w:jc w:val="center"/>
                    <w:rPr>
                      <w:rFonts w:ascii="Times New Roman" w:hAnsi="Times New Roman"/>
                      <w:sz w:val="20"/>
                    </w:rPr>
                  </w:pPr>
                </w:p>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Galīgais IIN (3)</w:t>
                  </w:r>
                </w:p>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115-57,60=57,40</w:t>
                  </w:r>
                </w:p>
              </w:tc>
              <w:tc>
                <w:tcPr>
                  <w:tcW w:w="2987" w:type="dxa"/>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Uz atskaitāmajiem izdevumiem attiecināmais IIN (2)</w:t>
                  </w:r>
                </w:p>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33*20%=7,59</w:t>
                  </w:r>
                </w:p>
                <w:p w:rsidR="00DE1DFB" w:rsidRPr="00DE1DFB" w:rsidRDefault="00DE1DFB" w:rsidP="00D27AE5">
                  <w:pPr>
                    <w:framePr w:hSpace="180" w:wrap="around" w:vAnchor="text" w:hAnchor="margin" w:xAlign="center" w:y="149"/>
                    <w:jc w:val="center"/>
                    <w:rPr>
                      <w:rFonts w:ascii="Times New Roman" w:hAnsi="Times New Roman"/>
                      <w:sz w:val="20"/>
                    </w:rPr>
                  </w:pPr>
                </w:p>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Galīgais IIN (3)</w:t>
                  </w:r>
                </w:p>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69-7,59=61,41</w:t>
                  </w:r>
                </w:p>
              </w:tc>
            </w:tr>
            <w:tr w:rsidR="00DE1DFB" w:rsidTr="00BD0B16">
              <w:tc>
                <w:tcPr>
                  <w:tcW w:w="9061" w:type="dxa"/>
                  <w:gridSpan w:val="3"/>
                </w:tcPr>
                <w:p w:rsidR="00DE1DFB" w:rsidRPr="00DE1DFB" w:rsidRDefault="00DE1DFB" w:rsidP="00D27AE5">
                  <w:pPr>
                    <w:framePr w:hSpace="180" w:wrap="around" w:vAnchor="text" w:hAnchor="margin" w:xAlign="center" w:y="149"/>
                    <w:jc w:val="center"/>
                    <w:rPr>
                      <w:rFonts w:ascii="Times New Roman" w:hAnsi="Times New Roman"/>
                      <w:sz w:val="20"/>
                    </w:rPr>
                  </w:pPr>
                  <w:r w:rsidRPr="00DE1DFB">
                    <w:rPr>
                      <w:rFonts w:ascii="Times New Roman" w:hAnsi="Times New Roman"/>
                      <w:sz w:val="20"/>
                    </w:rPr>
                    <w:t>IIN pa visiem ienākumu veidiem kopā: 118,81</w:t>
                  </w:r>
                </w:p>
              </w:tc>
            </w:tr>
          </w:tbl>
          <w:p w:rsidR="00DE1DFB" w:rsidRDefault="00DE1DFB" w:rsidP="00DE1DFB"/>
          <w:p w:rsidR="00DE1DFB" w:rsidRPr="008406B5" w:rsidRDefault="00DE1DFB" w:rsidP="00DE1DFB">
            <w:pPr>
              <w:rPr>
                <w:u w:val="single"/>
              </w:rPr>
            </w:pPr>
            <w:r w:rsidRPr="008406B5">
              <w:rPr>
                <w:u w:val="single"/>
              </w:rPr>
              <w:t xml:space="preserve">Gada ienākumu deklarācija </w:t>
            </w:r>
          </w:p>
          <w:p w:rsidR="00DE1DFB" w:rsidRDefault="00DE1DFB" w:rsidP="00DE1DFB">
            <w:r>
              <w:t>(Pieņem, ka citi ienākumi taksācijas gada laikā nav gūti, bērni apgādībā tikai 1 mēnesi)</w:t>
            </w:r>
          </w:p>
          <w:p w:rsidR="008406B5" w:rsidRDefault="008406B5" w:rsidP="00DE1DFB"/>
          <w:p w:rsidR="00DE1DFB" w:rsidRDefault="008406B5" w:rsidP="00DE1DFB">
            <w:r>
              <w:t xml:space="preserve">Taksācijas gada ienākumi: </w:t>
            </w:r>
            <w:r w:rsidR="00DE1DFB">
              <w:t>800+1000+300=2100</w:t>
            </w:r>
          </w:p>
          <w:p w:rsidR="00DE1DFB" w:rsidRDefault="00DE1DFB" w:rsidP="00DE1DFB">
            <w:r>
              <w:t>Atskaitāmie izdevumi</w:t>
            </w:r>
            <w:r w:rsidR="008406B5">
              <w:t>:</w:t>
            </w:r>
          </w:p>
          <w:p w:rsidR="00DE1DFB" w:rsidRDefault="00DE1DFB" w:rsidP="00DE1DFB">
            <w:r>
              <w:t>Autora izdevumi 50%</w:t>
            </w:r>
            <w:r w:rsidR="008406B5">
              <w:t xml:space="preserve"> (izdevumu norma noteikta saskaņā ar Nodokļu politikas pamatnostādnēs plānoto):</w:t>
            </w:r>
            <w:r>
              <w:t xml:space="preserve"> - 500</w:t>
            </w:r>
          </w:p>
          <w:p w:rsidR="00DE1DFB" w:rsidRDefault="00DE1DFB" w:rsidP="00DE1DFB">
            <w:r>
              <w:t>VSAOI -259,16 (88+138,16+33)</w:t>
            </w:r>
          </w:p>
          <w:p w:rsidR="00DE1DFB" w:rsidRDefault="00DE1DFB" w:rsidP="00DE1DFB">
            <w:r>
              <w:t>AAP -1000</w:t>
            </w:r>
          </w:p>
          <w:p w:rsidR="00DE1DFB" w:rsidRDefault="00DE1DFB" w:rsidP="00DE1DFB">
            <w:r>
              <w:t>Apliekamais ienākums (AI) = 340,84</w:t>
            </w:r>
          </w:p>
          <w:p w:rsidR="00DE1DFB" w:rsidRDefault="00DE1DFB" w:rsidP="00DE1DFB">
            <w:r>
              <w:t>IIN = 340,84*20% = 68,17</w:t>
            </w:r>
          </w:p>
          <w:p w:rsidR="00DE1DFB" w:rsidRDefault="00DE1DFB" w:rsidP="00DE1DFB"/>
          <w:p w:rsidR="00DE1DFB" w:rsidRDefault="00DE1DFB" w:rsidP="00DE1DFB">
            <w:r>
              <w:t>IIN galīgais = 68,17-118,81=-50,64</w:t>
            </w:r>
          </w:p>
          <w:p w:rsidR="00DE1DFB" w:rsidRPr="0084461E" w:rsidRDefault="00DE1DFB" w:rsidP="00DE1DFB">
            <w:pPr>
              <w:rPr>
                <w:b/>
                <w:u w:val="single"/>
              </w:rPr>
            </w:pPr>
            <w:r w:rsidRPr="0084461E">
              <w:rPr>
                <w:b/>
                <w:u w:val="single"/>
              </w:rPr>
              <w:t>IIN</w:t>
            </w:r>
            <w:r>
              <w:rPr>
                <w:b/>
                <w:u w:val="single"/>
              </w:rPr>
              <w:t xml:space="preserve"> </w:t>
            </w:r>
            <w:r w:rsidRPr="0084461E">
              <w:rPr>
                <w:b/>
                <w:u w:val="single"/>
              </w:rPr>
              <w:t>pārmaksa</w:t>
            </w:r>
            <w:r>
              <w:rPr>
                <w:b/>
                <w:u w:val="single"/>
              </w:rPr>
              <w:t xml:space="preserve"> </w:t>
            </w:r>
            <w:r w:rsidRPr="0084461E">
              <w:rPr>
                <w:b/>
                <w:u w:val="single"/>
              </w:rPr>
              <w:t>=</w:t>
            </w:r>
            <w:r>
              <w:rPr>
                <w:b/>
                <w:u w:val="single"/>
              </w:rPr>
              <w:t xml:space="preserve"> 50,64</w:t>
            </w:r>
          </w:p>
          <w:p w:rsidR="00DE1DFB" w:rsidRDefault="00DE1DFB" w:rsidP="00314A99">
            <w:pPr>
              <w:jc w:val="both"/>
            </w:pPr>
          </w:p>
          <w:p w:rsidR="00707474" w:rsidRDefault="00707474" w:rsidP="00DF34CF">
            <w:pPr>
              <w:jc w:val="both"/>
            </w:pPr>
            <w:r>
              <w:t xml:space="preserve">Lai nodrošinātu vienveidīgu likuma izpratni iekļauta arī precizējoša norma, kas nosaka, ka tad, ja taksācijas gadā algota darba ienākums, pensija vai pabalsts tiek izmaksāts par pirmstaksācijas gadu, attiecīgo ienākumu veidu iekļauj pirmstaksācijas gada ienākumu apmērā. </w:t>
            </w:r>
          </w:p>
          <w:p w:rsidR="00DF34CF" w:rsidRPr="00314A99" w:rsidRDefault="00DF34CF" w:rsidP="00DF34CF">
            <w:pPr>
              <w:jc w:val="both"/>
            </w:pPr>
          </w:p>
          <w:p w:rsidR="00314A99" w:rsidRPr="00067254" w:rsidRDefault="00314A99" w:rsidP="00314A99">
            <w:pPr>
              <w:jc w:val="both"/>
              <w:rPr>
                <w:i/>
              </w:rPr>
            </w:pPr>
            <w:r>
              <w:rPr>
                <w:i/>
              </w:rPr>
              <w:t xml:space="preserve">Likuma 15.panta papildinājums ar divdesmit </w:t>
            </w:r>
            <w:r w:rsidR="00707474">
              <w:rPr>
                <w:i/>
              </w:rPr>
              <w:t>ceturto</w:t>
            </w:r>
            <w:r>
              <w:rPr>
                <w:i/>
              </w:rPr>
              <w:t xml:space="preserve"> daļu, grozījumi </w:t>
            </w:r>
            <w:r w:rsidRPr="00067254">
              <w:rPr>
                <w:i/>
              </w:rPr>
              <w:t>17.panta desmitās daļas 22.punktā un 11.</w:t>
            </w:r>
            <w:r w:rsidRPr="00067254">
              <w:rPr>
                <w:i/>
                <w:vertAlign w:val="superscript"/>
              </w:rPr>
              <w:t>1</w:t>
            </w:r>
            <w:r w:rsidRPr="00067254">
              <w:rPr>
                <w:i/>
              </w:rPr>
              <w:t xml:space="preserve"> daļā</w:t>
            </w:r>
          </w:p>
          <w:p w:rsidR="00314A99" w:rsidRDefault="00314A99" w:rsidP="00314A99">
            <w:pPr>
              <w:jc w:val="both"/>
            </w:pPr>
            <w:r>
              <w:t xml:space="preserve">Lai novērstu nepieciešamību laimestu guvējiem iesniegt taksācijas gada deklarāciju, kā arī atvieglotu VID administrēšanas darbu, 15.pants papildināts ar divdesmit </w:t>
            </w:r>
            <w:r w:rsidR="00C84AE6">
              <w:t>ceturto</w:t>
            </w:r>
            <w:r>
              <w:t xml:space="preserve"> daļu, k</w:t>
            </w:r>
            <w:r w:rsidR="00C84AE6">
              <w:t xml:space="preserve">urā īpaši atrunāta nodokļa likmju piemērošana taksācijas gada laikā, attiecīgi nodokli – atkarībā no laimesta apmēra – ieturot laimesta izmaksas vietā saskaņā ar 23% vai 31,4% likmi. </w:t>
            </w:r>
            <w:r>
              <w:t xml:space="preserve">Likumprojektā arī veikti redakcionāli precizējumi, lai novērstu iespēju dažādi interpretēt likuma normas par izložu un azartspēļu laimestu aplikšanu ar nodokli un nodrošinātu, ka nodokli ietur no laimesta daļas - pārsnieguma virs 3000 </w:t>
            </w:r>
            <w:proofErr w:type="spellStart"/>
            <w:r w:rsidRPr="008A4471">
              <w:rPr>
                <w:i/>
              </w:rPr>
              <w:t>euro</w:t>
            </w:r>
            <w:proofErr w:type="spellEnd"/>
            <w:r>
              <w:t xml:space="preserve">. Tāpat izslēgta arī norma, kas izložu un azartspēļu organizētājiem uzliek par pienākumu paziņot VID par laimestiem, kas pārsniedz 3000 </w:t>
            </w:r>
            <w:proofErr w:type="spellStart"/>
            <w:r w:rsidRPr="00C36ECF">
              <w:rPr>
                <w:i/>
              </w:rPr>
              <w:t>euro</w:t>
            </w:r>
            <w:proofErr w:type="spellEnd"/>
            <w:r>
              <w:t xml:space="preserve"> reizi gadā, jo ar 2018.gada 1.janvāri šādi laimesti būs apliekami ar nodokli un informācija par gūto ienākumu tiks sniegta vispārējā kārtībā – reizi mēnesī, līdz ienākuma izmaksas mēnesim sekojošā mēneša 15.datumam. </w:t>
            </w:r>
          </w:p>
          <w:p w:rsidR="00314A99" w:rsidRPr="00314A99" w:rsidRDefault="00314A99" w:rsidP="00314A99">
            <w:pPr>
              <w:ind w:left="118" w:right="140"/>
              <w:jc w:val="both"/>
            </w:pPr>
          </w:p>
          <w:p w:rsidR="00314A99" w:rsidRPr="000258C3" w:rsidRDefault="00314A99" w:rsidP="00314A99">
            <w:pPr>
              <w:jc w:val="both"/>
              <w:rPr>
                <w:i/>
              </w:rPr>
            </w:pPr>
            <w:r w:rsidRPr="00C36ECF">
              <w:rPr>
                <w:i/>
              </w:rPr>
              <w:t>Grozījums likuma 16.</w:t>
            </w:r>
            <w:r w:rsidRPr="00FC543D">
              <w:rPr>
                <w:i/>
                <w:vertAlign w:val="superscript"/>
              </w:rPr>
              <w:t>1</w:t>
            </w:r>
            <w:r w:rsidRPr="00C36ECF">
              <w:rPr>
                <w:i/>
              </w:rPr>
              <w:t xml:space="preserve"> panta astotajā daļā</w:t>
            </w:r>
          </w:p>
          <w:p w:rsidR="00314A99" w:rsidRDefault="00314A99" w:rsidP="00314A99">
            <w:pPr>
              <w:jc w:val="both"/>
            </w:pPr>
            <w:r>
              <w:t>Likumprojekts paredz veikt terminoloģiskus precizējumus saistībā ar Finanšu instrumentu tirgus likumā veiktajiem grozījumiem. Attiecīgi turpmāk likums par pienākumus ieturēt nodokli no dividendēm par publiskā apgrozībā esošām akcijām (ja tāds ir jāietur) uzliek centrālā vērtspapīru depozitārija dalībniekam, kas atvēris vai ar kura starpniecību atvērts finanšu instrumentu konts un kas veic šī konta apkalpošanu (līdz šim pienākums ieturēt nodokli bija vērtspapīru konta turētājam, kas veic norēķinu ar maksātāju).</w:t>
            </w:r>
          </w:p>
          <w:p w:rsidR="00314A99" w:rsidRDefault="00314A99" w:rsidP="00314A99">
            <w:pPr>
              <w:ind w:left="118" w:right="140"/>
              <w:jc w:val="both"/>
            </w:pPr>
          </w:p>
          <w:p w:rsidR="00314A99" w:rsidRPr="00E9142E" w:rsidRDefault="00314A99" w:rsidP="00314A99">
            <w:pPr>
              <w:jc w:val="both"/>
              <w:rPr>
                <w:i/>
              </w:rPr>
            </w:pPr>
            <w:r w:rsidRPr="00E9142E">
              <w:rPr>
                <w:i/>
              </w:rPr>
              <w:t>Grozījums 17.panta vienpadsmitajā daļā</w:t>
            </w:r>
          </w:p>
          <w:p w:rsidR="00314A99" w:rsidRDefault="00314A99" w:rsidP="00314A99">
            <w:pPr>
              <w:jc w:val="both"/>
            </w:pPr>
            <w:r>
              <w:t>Pašreiz darba devējs par darbinieka gūtajiem algota darba ienākumiem darbiniekam paziņojumu par izmaksātajām summām izsniedz tikai pēc darbinieka pieprasījuma. Minētais saistīts ar to, ka pašreiz ikvienam maksātājam ir iespēja VID Elektroniskās deklarēšanas sistēmā (EDS) iepazīties ar informāciju, kas par viņu iesniegta. Savukārt citu ienākumu izmaksātājam likumā joprojām ir ietverta prasība izsniegt maksātājam paziņojumu par izmaksātajām ar iedzīvotāju ienākuma nodokli apliekamajām summām, kas nav saistītas ar darba attiecībām un no šīm summām ieturēto nodokli. Ar mērķi mazināt administratīvo slogu likumprojekts paredz, ka turpmāk arī šos paziņojumus ienākuma izmaksātājam būs pienākums izsniegt maksātājam tikai pēc maksātāja pieprasījuma, nevis visos gadījumos.</w:t>
            </w:r>
          </w:p>
          <w:p w:rsidR="00314A99" w:rsidRDefault="00314A99" w:rsidP="00314A99">
            <w:pPr>
              <w:ind w:left="118" w:right="140"/>
              <w:jc w:val="both"/>
            </w:pPr>
          </w:p>
          <w:p w:rsidR="00314A99" w:rsidRPr="00375D59" w:rsidRDefault="00314A99" w:rsidP="00314A99">
            <w:pPr>
              <w:jc w:val="both"/>
              <w:rPr>
                <w:i/>
              </w:rPr>
            </w:pPr>
            <w:r w:rsidRPr="00375D59">
              <w:rPr>
                <w:i/>
              </w:rPr>
              <w:t>Grozījumi likuma 18.panta otrajā daļā</w:t>
            </w:r>
          </w:p>
          <w:p w:rsidR="00314A99" w:rsidRDefault="00314A99" w:rsidP="00314A99">
            <w:pPr>
              <w:jc w:val="both"/>
            </w:pPr>
            <w:r>
              <w:t>Lai nodrošinātu vienveidīgu likuma normu interpretāciju, likuma norma par avansa maksājumu aprēķināšanu papildināta ar norādi, ka, nosakot avansa maksājumu apmēru, balstās uz pirmstaksācijas gada saimnieciskās darbības ienākumu vai prognozēto saimnieciskās darbības ienākumu un piemēro progresīvo nodokļa likmi.</w:t>
            </w:r>
          </w:p>
          <w:p w:rsidR="00DF6968" w:rsidRDefault="00DF6968" w:rsidP="00314A99">
            <w:pPr>
              <w:jc w:val="both"/>
            </w:pPr>
          </w:p>
          <w:p w:rsidR="00DF6968" w:rsidRPr="00DF6968" w:rsidRDefault="00DF6968" w:rsidP="00314A99">
            <w:pPr>
              <w:jc w:val="both"/>
              <w:rPr>
                <w:i/>
              </w:rPr>
            </w:pPr>
            <w:r w:rsidRPr="00DF6968">
              <w:rPr>
                <w:i/>
              </w:rPr>
              <w:t>Grozījumi likuma 19.panta piektajā daļā</w:t>
            </w:r>
          </w:p>
          <w:p w:rsidR="00507E61" w:rsidRDefault="00507E61" w:rsidP="00507E61">
            <w:pPr>
              <w:rPr>
                <w:sz w:val="22"/>
                <w:szCs w:val="22"/>
              </w:rPr>
            </w:pPr>
            <w:r>
              <w:t xml:space="preserve">Ņemot vērā, ka Valsts ieņēmumu dienests  tikai līdz pēctaksācijas gada 15.martam saņem informāciju par taksācijas gada solidaritātes nodokli, kas pārskaitīts kā IIN avanss, likuma grozījumi paredz, ka personas, kuru gada ienākums pārsniedz 55 000 </w:t>
            </w:r>
            <w:proofErr w:type="spellStart"/>
            <w:r w:rsidRPr="00507E61">
              <w:rPr>
                <w:i/>
              </w:rPr>
              <w:t>euro</w:t>
            </w:r>
            <w:proofErr w:type="spellEnd"/>
            <w:r>
              <w:t>, deklarāciju varēs iesniegt tikai no 1.aprīļa (deklarācijas iesniegšanas beigu termiņš – 1.jūnijs tāpat kā līdz šim).</w:t>
            </w:r>
          </w:p>
          <w:p w:rsidR="00314A99" w:rsidRPr="00D37BB8" w:rsidRDefault="00314A99" w:rsidP="00D159B7">
            <w:pPr>
              <w:tabs>
                <w:tab w:val="left" w:pos="2127"/>
                <w:tab w:val="center" w:pos="4153"/>
                <w:tab w:val="left" w:pos="6096"/>
                <w:tab w:val="right" w:pos="8306"/>
              </w:tabs>
              <w:ind w:left="118" w:right="140"/>
              <w:jc w:val="both"/>
            </w:pPr>
          </w:p>
        </w:tc>
      </w:tr>
      <w:tr w:rsidR="008078B8" w:rsidRPr="00314A99" w:rsidTr="00F35490">
        <w:trPr>
          <w:trHeight w:val="476"/>
        </w:trPr>
        <w:tc>
          <w:tcPr>
            <w:tcW w:w="227" w:type="pct"/>
          </w:tcPr>
          <w:p w:rsidR="008078B8" w:rsidRPr="00314A99" w:rsidRDefault="008078B8" w:rsidP="002431AC">
            <w:pPr>
              <w:pStyle w:val="naiskr"/>
              <w:spacing w:before="0" w:after="0"/>
              <w:ind w:left="57" w:right="57"/>
              <w:jc w:val="center"/>
            </w:pPr>
            <w:r w:rsidRPr="00314A99">
              <w:lastRenderedPageBreak/>
              <w:t>3.</w:t>
            </w:r>
          </w:p>
        </w:tc>
        <w:tc>
          <w:tcPr>
            <w:tcW w:w="1275" w:type="pct"/>
          </w:tcPr>
          <w:p w:rsidR="008078B8" w:rsidRPr="00314A99" w:rsidRDefault="008078B8" w:rsidP="002431AC">
            <w:pPr>
              <w:pStyle w:val="naiskr"/>
              <w:spacing w:before="0" w:after="0"/>
              <w:ind w:left="57" w:right="57"/>
            </w:pPr>
            <w:r w:rsidRPr="00314A99">
              <w:t>Projekta izstrādē iesaistītās institūcijas</w:t>
            </w:r>
          </w:p>
        </w:tc>
        <w:tc>
          <w:tcPr>
            <w:tcW w:w="3499" w:type="pct"/>
          </w:tcPr>
          <w:p w:rsidR="00314A99" w:rsidRPr="00314A99" w:rsidRDefault="00B21E9A" w:rsidP="00AF665C">
            <w:pPr>
              <w:ind w:left="118" w:right="140"/>
              <w:jc w:val="both"/>
              <w:rPr>
                <w:iCs/>
              </w:rPr>
            </w:pPr>
            <w:r>
              <w:rPr>
                <w:iCs/>
              </w:rPr>
              <w:t xml:space="preserve">Labklājības ministrija, Valsts sociālās apdrošināšanas aģentūra, </w:t>
            </w:r>
            <w:r w:rsidR="00F35490" w:rsidRPr="00314A99">
              <w:rPr>
                <w:iCs/>
              </w:rPr>
              <w:t>Valsts ieņēmumu dienests</w:t>
            </w:r>
            <w:r w:rsidR="00DD4E62">
              <w:rPr>
                <w:iCs/>
              </w:rPr>
              <w:t>, Izložu un azartspēļu uzraudzības inspekcija.</w:t>
            </w:r>
          </w:p>
          <w:p w:rsidR="00314A99" w:rsidRPr="00314A99" w:rsidRDefault="00314A99" w:rsidP="00314A99">
            <w:pPr>
              <w:jc w:val="both"/>
              <w:rPr>
                <w:iCs/>
              </w:rPr>
            </w:pPr>
          </w:p>
        </w:tc>
      </w:tr>
      <w:tr w:rsidR="008078B8" w:rsidRPr="00D37BB8" w:rsidTr="00F35490">
        <w:tc>
          <w:tcPr>
            <w:tcW w:w="227" w:type="pct"/>
          </w:tcPr>
          <w:p w:rsidR="008078B8" w:rsidRPr="00D37BB8" w:rsidRDefault="008078B8" w:rsidP="002431AC">
            <w:pPr>
              <w:pStyle w:val="naiskr"/>
              <w:spacing w:before="0" w:after="0"/>
              <w:ind w:left="57" w:right="57"/>
              <w:jc w:val="center"/>
            </w:pPr>
            <w:r w:rsidRPr="00D37BB8">
              <w:t>4.</w:t>
            </w:r>
          </w:p>
        </w:tc>
        <w:tc>
          <w:tcPr>
            <w:tcW w:w="1275" w:type="pct"/>
          </w:tcPr>
          <w:p w:rsidR="008078B8" w:rsidRPr="00D37BB8" w:rsidRDefault="008078B8" w:rsidP="002431AC">
            <w:pPr>
              <w:pStyle w:val="naiskr"/>
              <w:spacing w:before="0" w:after="0"/>
              <w:ind w:left="57" w:right="57"/>
            </w:pPr>
            <w:r w:rsidRPr="00D37BB8">
              <w:t>Cita informācija</w:t>
            </w:r>
          </w:p>
        </w:tc>
        <w:tc>
          <w:tcPr>
            <w:tcW w:w="3499" w:type="pct"/>
          </w:tcPr>
          <w:p w:rsidR="008078B8" w:rsidRPr="00D37BB8" w:rsidRDefault="008078B8" w:rsidP="00AF665C">
            <w:pPr>
              <w:pStyle w:val="naiskr"/>
              <w:spacing w:before="0" w:after="0"/>
              <w:ind w:left="118" w:right="57"/>
            </w:pPr>
            <w:r w:rsidRPr="00D37BB8">
              <w:t>Nav.</w:t>
            </w:r>
          </w:p>
        </w:tc>
      </w:tr>
    </w:tbl>
    <w:p w:rsidR="008078B8" w:rsidRPr="00D37BB8" w:rsidRDefault="008078B8" w:rsidP="002431AC"/>
    <w:tbl>
      <w:tblPr>
        <w:tblpPr w:leftFromText="180" w:rightFromText="180" w:vertAnchor="text" w:horzAnchor="margin" w:tblpXSpec="center" w:tblpY="149"/>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07"/>
        <w:gridCol w:w="6081"/>
      </w:tblGrid>
      <w:tr w:rsidR="008078B8" w:rsidRPr="00D37BB8" w:rsidTr="006B4097">
        <w:trPr>
          <w:trHeight w:val="419"/>
        </w:trPr>
        <w:tc>
          <w:tcPr>
            <w:tcW w:w="5000" w:type="pct"/>
            <w:gridSpan w:val="3"/>
            <w:vAlign w:val="center"/>
          </w:tcPr>
          <w:p w:rsidR="008078B8" w:rsidRPr="00D37BB8" w:rsidRDefault="008078B8" w:rsidP="002431AC">
            <w:pPr>
              <w:jc w:val="center"/>
              <w:rPr>
                <w:b/>
              </w:rPr>
            </w:pPr>
            <w:r w:rsidRPr="00D37BB8">
              <w:rPr>
                <w:b/>
                <w:bCs/>
              </w:rPr>
              <w:t>II. Tiesību akta projekta ietekme uz sabiedrību, tautsaimniecības attīstību un administratīvo slogu</w:t>
            </w:r>
          </w:p>
        </w:tc>
      </w:tr>
      <w:tr w:rsidR="008078B8" w:rsidRPr="00D37BB8" w:rsidTr="006B4097">
        <w:trPr>
          <w:trHeight w:val="415"/>
        </w:trPr>
        <w:tc>
          <w:tcPr>
            <w:tcW w:w="224" w:type="pct"/>
          </w:tcPr>
          <w:p w:rsidR="008078B8" w:rsidRPr="00D37BB8" w:rsidRDefault="008078B8" w:rsidP="002431AC">
            <w:r w:rsidRPr="00D37BB8">
              <w:t>1.</w:t>
            </w:r>
          </w:p>
        </w:tc>
        <w:tc>
          <w:tcPr>
            <w:tcW w:w="1615" w:type="pct"/>
          </w:tcPr>
          <w:p w:rsidR="008078B8" w:rsidRPr="00D37BB8" w:rsidRDefault="008078B8" w:rsidP="002431AC">
            <w:r w:rsidRPr="00D37BB8">
              <w:t xml:space="preserve">Sabiedrības </w:t>
            </w:r>
            <w:proofErr w:type="spellStart"/>
            <w:r w:rsidRPr="00D37BB8">
              <w:t>mērķgrupas</w:t>
            </w:r>
            <w:proofErr w:type="spellEnd"/>
            <w:r w:rsidRPr="00D37BB8">
              <w:t>, kuras tiesiskais regulējums ietekmē vai varētu ietekmēt</w:t>
            </w:r>
          </w:p>
        </w:tc>
        <w:tc>
          <w:tcPr>
            <w:tcW w:w="3161" w:type="pct"/>
          </w:tcPr>
          <w:p w:rsidR="00B21E9A" w:rsidRPr="00682364" w:rsidRDefault="00682364" w:rsidP="00B21E9A">
            <w:pPr>
              <w:pStyle w:val="ListParagraph"/>
              <w:numPr>
                <w:ilvl w:val="0"/>
                <w:numId w:val="28"/>
              </w:numPr>
              <w:spacing w:after="0" w:line="240" w:lineRule="auto"/>
              <w:ind w:left="357" w:right="125" w:hanging="357"/>
              <w:jc w:val="both"/>
              <w:rPr>
                <w:rFonts w:ascii="Times New Roman" w:eastAsia="Times New Roman" w:hAnsi="Times New Roman"/>
                <w:sz w:val="24"/>
                <w:szCs w:val="24"/>
                <w:lang w:val="lv-LV" w:eastAsia="lv-LV"/>
              </w:rPr>
            </w:pPr>
            <w:r w:rsidRPr="00682364">
              <w:rPr>
                <w:rFonts w:ascii="Times New Roman" w:hAnsi="Times New Roman"/>
                <w:sz w:val="24"/>
                <w:szCs w:val="24"/>
                <w:lang w:val="lv-LV"/>
              </w:rPr>
              <w:t>Maksātāji</w:t>
            </w:r>
            <w:r w:rsidR="003A221E" w:rsidRPr="00682364">
              <w:rPr>
                <w:rFonts w:ascii="Times New Roman" w:hAnsi="Times New Roman"/>
                <w:sz w:val="24"/>
                <w:szCs w:val="24"/>
                <w:lang w:val="lv-LV"/>
              </w:rPr>
              <w:t>, kas gūst ienākumu no ieguldījumu</w:t>
            </w:r>
            <w:r w:rsidR="00AF665C" w:rsidRPr="00682364">
              <w:rPr>
                <w:rFonts w:ascii="Times New Roman" w:hAnsi="Times New Roman"/>
                <w:sz w:val="24"/>
                <w:szCs w:val="24"/>
                <w:lang w:val="lv-LV"/>
              </w:rPr>
              <w:t xml:space="preserve"> konta</w:t>
            </w:r>
            <w:r w:rsidR="003A221E" w:rsidRPr="00682364">
              <w:rPr>
                <w:rFonts w:ascii="Times New Roman" w:hAnsi="Times New Roman"/>
                <w:sz w:val="24"/>
                <w:szCs w:val="24"/>
                <w:lang w:val="lv-LV"/>
              </w:rPr>
              <w:t>.</w:t>
            </w:r>
          </w:p>
          <w:p w:rsidR="002B129D" w:rsidRPr="00682364" w:rsidRDefault="00B21E9A" w:rsidP="00B21E9A">
            <w:pPr>
              <w:pStyle w:val="ListParagraph"/>
              <w:numPr>
                <w:ilvl w:val="0"/>
                <w:numId w:val="28"/>
              </w:numPr>
              <w:spacing w:after="0" w:line="240" w:lineRule="auto"/>
              <w:ind w:left="357" w:right="125" w:hanging="357"/>
              <w:jc w:val="both"/>
              <w:rPr>
                <w:rFonts w:ascii="Times New Roman" w:eastAsia="Times New Roman" w:hAnsi="Times New Roman"/>
                <w:sz w:val="24"/>
                <w:szCs w:val="24"/>
                <w:lang w:val="lv-LV" w:eastAsia="lv-LV"/>
              </w:rPr>
            </w:pPr>
            <w:r w:rsidRPr="00682364">
              <w:rPr>
                <w:rFonts w:ascii="Times New Roman" w:eastAsia="Times New Roman" w:hAnsi="Times New Roman"/>
                <w:sz w:val="24"/>
                <w:szCs w:val="24"/>
                <w:lang w:val="lv-LV" w:eastAsia="lv-LV"/>
              </w:rPr>
              <w:t>Darbinieki, kas uz noslēgto līgumu pamata pie darba devēja saņem arī autoratlīdzības.</w:t>
            </w:r>
          </w:p>
          <w:p w:rsidR="00B21E9A" w:rsidRPr="00682364" w:rsidRDefault="00B21E9A" w:rsidP="00B21E9A">
            <w:pPr>
              <w:pStyle w:val="ListParagraph"/>
              <w:numPr>
                <w:ilvl w:val="0"/>
                <w:numId w:val="28"/>
              </w:numPr>
              <w:spacing w:after="0" w:line="240" w:lineRule="auto"/>
              <w:ind w:left="357" w:right="125" w:hanging="357"/>
              <w:jc w:val="both"/>
              <w:rPr>
                <w:rFonts w:ascii="Times New Roman" w:eastAsia="Times New Roman" w:hAnsi="Times New Roman"/>
                <w:sz w:val="24"/>
                <w:szCs w:val="24"/>
                <w:lang w:val="lv-LV" w:eastAsia="lv-LV"/>
              </w:rPr>
            </w:pPr>
            <w:r w:rsidRPr="00682364">
              <w:rPr>
                <w:rFonts w:ascii="Times New Roman" w:eastAsia="Times New Roman" w:hAnsi="Times New Roman"/>
                <w:sz w:val="24"/>
                <w:szCs w:val="24"/>
                <w:lang w:val="lv-LV" w:eastAsia="lv-LV"/>
              </w:rPr>
              <w:t>Maksātāji, kam piemēro algas nodokli.</w:t>
            </w:r>
          </w:p>
          <w:p w:rsidR="00B21E9A" w:rsidRPr="00682364" w:rsidRDefault="00B21E9A" w:rsidP="00B21E9A">
            <w:pPr>
              <w:pStyle w:val="ListParagraph"/>
              <w:numPr>
                <w:ilvl w:val="0"/>
                <w:numId w:val="28"/>
              </w:numPr>
              <w:spacing w:after="0" w:line="240" w:lineRule="auto"/>
              <w:ind w:left="357" w:right="125" w:hanging="357"/>
              <w:jc w:val="both"/>
              <w:rPr>
                <w:rFonts w:ascii="Times New Roman" w:eastAsia="Times New Roman" w:hAnsi="Times New Roman"/>
                <w:sz w:val="24"/>
                <w:szCs w:val="24"/>
                <w:lang w:val="lv-LV" w:eastAsia="lv-LV"/>
              </w:rPr>
            </w:pPr>
            <w:r w:rsidRPr="00682364">
              <w:rPr>
                <w:rFonts w:ascii="Times New Roman" w:eastAsia="Times New Roman" w:hAnsi="Times New Roman"/>
                <w:sz w:val="24"/>
                <w:szCs w:val="24"/>
                <w:lang w:val="lv-LV" w:eastAsia="lv-LV"/>
              </w:rPr>
              <w:t>Maksātāji, kam piemēro nodokli ienākumam no saimnieciskās darbības.</w:t>
            </w:r>
          </w:p>
          <w:p w:rsidR="00B21E9A" w:rsidRDefault="00B21E9A" w:rsidP="00B21E9A">
            <w:pPr>
              <w:pStyle w:val="ListParagraph"/>
              <w:numPr>
                <w:ilvl w:val="0"/>
                <w:numId w:val="28"/>
              </w:numPr>
              <w:spacing w:after="0" w:line="240" w:lineRule="auto"/>
              <w:ind w:left="357" w:right="125" w:hanging="357"/>
              <w:jc w:val="both"/>
              <w:rPr>
                <w:rFonts w:ascii="Times New Roman" w:eastAsia="Times New Roman" w:hAnsi="Times New Roman"/>
                <w:sz w:val="24"/>
                <w:szCs w:val="24"/>
                <w:lang w:val="lv-LV" w:eastAsia="lv-LV"/>
              </w:rPr>
            </w:pPr>
            <w:r w:rsidRPr="00682364">
              <w:rPr>
                <w:rFonts w:ascii="Times New Roman" w:eastAsia="Times New Roman" w:hAnsi="Times New Roman"/>
                <w:sz w:val="24"/>
                <w:szCs w:val="24"/>
                <w:lang w:val="lv-LV" w:eastAsia="lv-LV"/>
              </w:rPr>
              <w:t>Valsts sociālās apdrošināšanas aģentūras sniegto pakalpojumu saņēmēji - pensionāri</w:t>
            </w:r>
            <w:r>
              <w:rPr>
                <w:rFonts w:ascii="Times New Roman" w:eastAsia="Times New Roman" w:hAnsi="Times New Roman"/>
                <w:sz w:val="24"/>
                <w:szCs w:val="24"/>
                <w:lang w:val="lv-LV" w:eastAsia="lv-LV"/>
              </w:rPr>
              <w:t xml:space="preserve"> un darba nespējas pabalstu saņēmēji.</w:t>
            </w:r>
          </w:p>
          <w:p w:rsidR="00B21E9A" w:rsidRDefault="00B21E9A" w:rsidP="00111914">
            <w:pPr>
              <w:pStyle w:val="ListParagraph"/>
              <w:numPr>
                <w:ilvl w:val="0"/>
                <w:numId w:val="28"/>
              </w:numPr>
              <w:spacing w:after="0" w:line="240" w:lineRule="auto"/>
              <w:ind w:left="357" w:right="125" w:hanging="357"/>
              <w:jc w:val="both"/>
              <w:rPr>
                <w:rFonts w:ascii="Times New Roman" w:eastAsia="Times New Roman" w:hAnsi="Times New Roman"/>
                <w:sz w:val="24"/>
                <w:szCs w:val="24"/>
                <w:lang w:val="lv-LV" w:eastAsia="lv-LV"/>
              </w:rPr>
            </w:pPr>
            <w:r w:rsidRPr="00DD4E62">
              <w:rPr>
                <w:rFonts w:ascii="Times New Roman" w:eastAsia="Times New Roman" w:hAnsi="Times New Roman"/>
                <w:sz w:val="24"/>
                <w:szCs w:val="24"/>
                <w:lang w:val="lv-LV" w:eastAsia="lv-LV"/>
              </w:rPr>
              <w:t>Fiziskās personas, kas gūst ienākumu no izložu un azartspēļu laimestiem, kā arī izložu un azartspēļu ienākumu izmaksātāji.</w:t>
            </w:r>
          </w:p>
          <w:p w:rsidR="00DD4E62" w:rsidRDefault="00DD4E62" w:rsidP="00111914">
            <w:pPr>
              <w:pStyle w:val="ListParagraph"/>
              <w:numPr>
                <w:ilvl w:val="0"/>
                <w:numId w:val="28"/>
              </w:numPr>
              <w:spacing w:after="0" w:line="240" w:lineRule="auto"/>
              <w:ind w:left="357" w:right="125" w:hanging="3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Ienākuma izmaksātāji, kas sniedz paziņojumus par izmaksātajām ienākuma summām.</w:t>
            </w:r>
          </w:p>
          <w:p w:rsidR="00B21E9A" w:rsidRPr="00D37BB8" w:rsidRDefault="00682364" w:rsidP="00EB758A">
            <w:pPr>
              <w:pStyle w:val="ListParagraph"/>
              <w:numPr>
                <w:ilvl w:val="0"/>
                <w:numId w:val="28"/>
              </w:numPr>
              <w:spacing w:after="0" w:line="240" w:lineRule="auto"/>
              <w:ind w:left="357" w:right="125" w:hanging="357"/>
              <w:jc w:val="both"/>
            </w:pPr>
            <w:r>
              <w:rPr>
                <w:rFonts w:ascii="Times New Roman" w:eastAsia="Times New Roman" w:hAnsi="Times New Roman"/>
                <w:sz w:val="24"/>
                <w:szCs w:val="24"/>
                <w:lang w:val="lv-LV" w:eastAsia="lv-LV"/>
              </w:rPr>
              <w:t xml:space="preserve">Maksātāji, kas gūst ar nodokli apliekamus ienākumus, kas pārsniedz 55 000 </w:t>
            </w:r>
            <w:proofErr w:type="spellStart"/>
            <w:r w:rsidRPr="00682364">
              <w:rPr>
                <w:rFonts w:ascii="Times New Roman" w:eastAsia="Times New Roman" w:hAnsi="Times New Roman"/>
                <w:i/>
                <w:sz w:val="24"/>
                <w:szCs w:val="24"/>
                <w:lang w:val="lv-LV" w:eastAsia="lv-LV"/>
              </w:rPr>
              <w:t>euro</w:t>
            </w:r>
            <w:proofErr w:type="spellEnd"/>
            <w:r>
              <w:rPr>
                <w:rFonts w:ascii="Times New Roman" w:eastAsia="Times New Roman" w:hAnsi="Times New Roman"/>
                <w:sz w:val="24"/>
                <w:szCs w:val="24"/>
                <w:lang w:val="lv-LV" w:eastAsia="lv-LV"/>
              </w:rPr>
              <w:t xml:space="preserve"> gadā</w:t>
            </w:r>
            <w:r w:rsidR="00EB758A">
              <w:rPr>
                <w:rFonts w:ascii="Times New Roman" w:eastAsia="Times New Roman" w:hAnsi="Times New Roman"/>
                <w:sz w:val="24"/>
                <w:szCs w:val="24"/>
                <w:lang w:val="lv-LV" w:eastAsia="lv-LV"/>
              </w:rPr>
              <w:t>.</w:t>
            </w:r>
            <w:bookmarkStart w:id="0" w:name="_GoBack"/>
            <w:bookmarkEnd w:id="0"/>
          </w:p>
        </w:tc>
      </w:tr>
      <w:tr w:rsidR="008078B8" w:rsidRPr="00D37BB8" w:rsidTr="006B4097">
        <w:trPr>
          <w:trHeight w:val="274"/>
        </w:trPr>
        <w:tc>
          <w:tcPr>
            <w:tcW w:w="224" w:type="pct"/>
          </w:tcPr>
          <w:p w:rsidR="008078B8" w:rsidRPr="00D37BB8" w:rsidRDefault="008078B8" w:rsidP="002431AC">
            <w:r w:rsidRPr="00D37BB8">
              <w:t>2.</w:t>
            </w:r>
          </w:p>
        </w:tc>
        <w:tc>
          <w:tcPr>
            <w:tcW w:w="1615" w:type="pct"/>
          </w:tcPr>
          <w:p w:rsidR="008078B8" w:rsidRPr="00D37BB8" w:rsidRDefault="008078B8" w:rsidP="002431AC">
            <w:r w:rsidRPr="00D37BB8">
              <w:t>Tiesiskā regulējuma ietekme uz tautsaimniecību un administratīvo slogu</w:t>
            </w:r>
          </w:p>
        </w:tc>
        <w:tc>
          <w:tcPr>
            <w:tcW w:w="3161" w:type="pct"/>
          </w:tcPr>
          <w:p w:rsidR="00D006C9" w:rsidRPr="00D006C9" w:rsidRDefault="00AF665C" w:rsidP="00D006C9">
            <w:pPr>
              <w:tabs>
                <w:tab w:val="left" w:pos="544"/>
                <w:tab w:val="left" w:pos="5809"/>
              </w:tabs>
              <w:ind w:left="1" w:right="125"/>
              <w:jc w:val="both"/>
            </w:pPr>
            <w:r w:rsidRPr="00D006C9">
              <w:t>Ieviešot normatīvo regulējumu attiecībā uz ieguldījumu kontu</w:t>
            </w:r>
            <w:r w:rsidR="0028649C" w:rsidRPr="00D006C9">
              <w:t xml:space="preserve">, tiek </w:t>
            </w:r>
            <w:r w:rsidR="008B1990" w:rsidRPr="00D006C9">
              <w:t xml:space="preserve">samazināts </w:t>
            </w:r>
            <w:r w:rsidR="0028649C" w:rsidRPr="00D006C9">
              <w:t>administrat</w:t>
            </w:r>
            <w:r w:rsidR="008B1990" w:rsidRPr="00D006C9">
              <w:t>īvais slogs</w:t>
            </w:r>
            <w:r w:rsidR="00D006C9" w:rsidRPr="00D006C9">
              <w:t>:</w:t>
            </w:r>
          </w:p>
          <w:p w:rsidR="00D006C9" w:rsidRDefault="0028649C" w:rsidP="00D006C9">
            <w:pPr>
              <w:pStyle w:val="ListParagraph"/>
              <w:numPr>
                <w:ilvl w:val="0"/>
                <w:numId w:val="25"/>
              </w:numPr>
              <w:tabs>
                <w:tab w:val="left" w:pos="544"/>
                <w:tab w:val="left" w:pos="5809"/>
              </w:tabs>
              <w:spacing w:after="0" w:line="240" w:lineRule="auto"/>
              <w:ind w:right="125"/>
              <w:jc w:val="both"/>
              <w:rPr>
                <w:rFonts w:ascii="Times New Roman" w:hAnsi="Times New Roman"/>
                <w:sz w:val="24"/>
                <w:szCs w:val="24"/>
                <w:lang w:val="lv-LV"/>
              </w:rPr>
            </w:pPr>
            <w:r w:rsidRPr="00D006C9">
              <w:rPr>
                <w:rFonts w:ascii="Times New Roman" w:hAnsi="Times New Roman"/>
                <w:sz w:val="24"/>
                <w:szCs w:val="24"/>
                <w:lang w:val="lv-LV"/>
              </w:rPr>
              <w:t>fiziskajām person</w:t>
            </w:r>
            <w:r w:rsidR="00D006C9">
              <w:rPr>
                <w:rFonts w:ascii="Times New Roman" w:hAnsi="Times New Roman"/>
                <w:sz w:val="24"/>
                <w:szCs w:val="24"/>
                <w:lang w:val="lv-LV"/>
              </w:rPr>
              <w:t xml:space="preserve">ām – vienkāršots </w:t>
            </w:r>
            <w:r w:rsidR="00324F41">
              <w:rPr>
                <w:rFonts w:ascii="Times New Roman" w:hAnsi="Times New Roman"/>
                <w:sz w:val="24"/>
                <w:szCs w:val="24"/>
                <w:lang w:val="lv-LV"/>
              </w:rPr>
              <w:t>process</w:t>
            </w:r>
            <w:r w:rsidR="00D006C9">
              <w:rPr>
                <w:rFonts w:ascii="Times New Roman" w:hAnsi="Times New Roman"/>
                <w:sz w:val="24"/>
                <w:szCs w:val="24"/>
                <w:lang w:val="lv-LV"/>
              </w:rPr>
              <w:t xml:space="preserve"> </w:t>
            </w:r>
            <w:r w:rsidR="007A3994">
              <w:rPr>
                <w:rFonts w:ascii="Times New Roman" w:hAnsi="Times New Roman"/>
                <w:sz w:val="24"/>
                <w:szCs w:val="24"/>
                <w:lang w:val="lv-LV"/>
              </w:rPr>
              <w:t>ienākumam no</w:t>
            </w:r>
            <w:r w:rsidR="00D006C9">
              <w:rPr>
                <w:rFonts w:ascii="Times New Roman" w:hAnsi="Times New Roman"/>
                <w:sz w:val="24"/>
                <w:szCs w:val="24"/>
                <w:lang w:val="lv-LV"/>
              </w:rPr>
              <w:t xml:space="preserve"> finanšu instrumentiem de</w:t>
            </w:r>
            <w:r w:rsidR="00324F41">
              <w:rPr>
                <w:rFonts w:ascii="Times New Roman" w:hAnsi="Times New Roman"/>
                <w:sz w:val="24"/>
                <w:szCs w:val="24"/>
                <w:lang w:val="lv-LV"/>
              </w:rPr>
              <w:t>klarēšanai</w:t>
            </w:r>
            <w:r w:rsidR="001F155B">
              <w:rPr>
                <w:rFonts w:ascii="Times New Roman" w:hAnsi="Times New Roman"/>
                <w:sz w:val="24"/>
                <w:szCs w:val="24"/>
                <w:lang w:val="lv-LV"/>
              </w:rPr>
              <w:t xml:space="preserve"> (jāiesniedz gada ienākumu deklarācija tikai tad, ja konkrētajā </w:t>
            </w:r>
            <w:r w:rsidR="003A221E">
              <w:rPr>
                <w:rFonts w:ascii="Times New Roman" w:hAnsi="Times New Roman"/>
                <w:sz w:val="24"/>
                <w:szCs w:val="24"/>
                <w:lang w:val="lv-LV"/>
              </w:rPr>
              <w:t xml:space="preserve">taksācijas </w:t>
            </w:r>
            <w:r w:rsidR="001F155B">
              <w:rPr>
                <w:rFonts w:ascii="Times New Roman" w:hAnsi="Times New Roman"/>
                <w:sz w:val="24"/>
                <w:szCs w:val="24"/>
                <w:lang w:val="lv-LV"/>
              </w:rPr>
              <w:t>gadā rodas ar iedzīvotāju ienākuma nodokli apliekamais ienākums)</w:t>
            </w:r>
            <w:r w:rsidR="00587E0B">
              <w:rPr>
                <w:rFonts w:ascii="Times New Roman" w:hAnsi="Times New Roman"/>
                <w:sz w:val="24"/>
                <w:szCs w:val="24"/>
                <w:lang w:val="lv-LV"/>
              </w:rPr>
              <w:t xml:space="preserve"> un vienkāršota iedzīvotāju ienākuma nodokļa aprēķināšanas kārt</w:t>
            </w:r>
            <w:r w:rsidR="007A3994">
              <w:rPr>
                <w:rFonts w:ascii="Times New Roman" w:hAnsi="Times New Roman"/>
                <w:sz w:val="24"/>
                <w:szCs w:val="24"/>
                <w:lang w:val="lv-LV"/>
              </w:rPr>
              <w:t>ība;</w:t>
            </w:r>
          </w:p>
          <w:p w:rsidR="002B129D" w:rsidRDefault="0028649C" w:rsidP="00040C96">
            <w:pPr>
              <w:pStyle w:val="ListParagraph"/>
              <w:numPr>
                <w:ilvl w:val="0"/>
                <w:numId w:val="25"/>
              </w:numPr>
              <w:tabs>
                <w:tab w:val="left" w:pos="544"/>
                <w:tab w:val="left" w:pos="5809"/>
              </w:tabs>
              <w:spacing w:after="0" w:line="240" w:lineRule="auto"/>
              <w:ind w:right="125"/>
              <w:jc w:val="both"/>
              <w:rPr>
                <w:rFonts w:ascii="Times New Roman" w:hAnsi="Times New Roman"/>
                <w:sz w:val="24"/>
                <w:szCs w:val="24"/>
                <w:lang w:val="lv-LV"/>
              </w:rPr>
            </w:pPr>
            <w:r w:rsidRPr="00D006C9">
              <w:rPr>
                <w:rFonts w:ascii="Times New Roman" w:hAnsi="Times New Roman"/>
                <w:sz w:val="24"/>
                <w:szCs w:val="24"/>
                <w:lang w:val="lv-LV"/>
              </w:rPr>
              <w:t>Valsts ieņēmumu dienestam</w:t>
            </w:r>
            <w:r w:rsidR="00587E0B">
              <w:rPr>
                <w:rFonts w:ascii="Times New Roman" w:hAnsi="Times New Roman"/>
                <w:sz w:val="24"/>
                <w:szCs w:val="24"/>
                <w:lang w:val="lv-LV"/>
              </w:rPr>
              <w:t xml:space="preserve"> – nodrošināta </w:t>
            </w:r>
            <w:r w:rsidR="003C6833">
              <w:rPr>
                <w:rFonts w:ascii="Times New Roman" w:hAnsi="Times New Roman"/>
                <w:sz w:val="24"/>
                <w:szCs w:val="24"/>
                <w:lang w:val="lv-LV"/>
              </w:rPr>
              <w:t>pilnīgā</w:t>
            </w:r>
            <w:r w:rsidR="003E5B51">
              <w:rPr>
                <w:rFonts w:ascii="Times New Roman" w:hAnsi="Times New Roman"/>
                <w:sz w:val="24"/>
                <w:szCs w:val="24"/>
                <w:lang w:val="lv-LV"/>
              </w:rPr>
              <w:t>ka</w:t>
            </w:r>
            <w:r w:rsidR="003C6833">
              <w:rPr>
                <w:rFonts w:ascii="Times New Roman" w:hAnsi="Times New Roman"/>
                <w:sz w:val="24"/>
                <w:szCs w:val="24"/>
                <w:lang w:val="lv-LV"/>
              </w:rPr>
              <w:t xml:space="preserve"> </w:t>
            </w:r>
            <w:r w:rsidR="00587E0B">
              <w:rPr>
                <w:rFonts w:ascii="Times New Roman" w:hAnsi="Times New Roman"/>
                <w:sz w:val="24"/>
                <w:szCs w:val="24"/>
                <w:lang w:val="lv-LV"/>
              </w:rPr>
              <w:t xml:space="preserve">informācija par </w:t>
            </w:r>
            <w:r w:rsidR="007A3994">
              <w:rPr>
                <w:rFonts w:ascii="Times New Roman" w:hAnsi="Times New Roman"/>
                <w:sz w:val="24"/>
                <w:szCs w:val="24"/>
                <w:lang w:val="lv-LV"/>
              </w:rPr>
              <w:t>ienākumu no</w:t>
            </w:r>
            <w:r w:rsidR="003C6833">
              <w:rPr>
                <w:rFonts w:ascii="Times New Roman" w:hAnsi="Times New Roman"/>
                <w:sz w:val="24"/>
                <w:szCs w:val="24"/>
                <w:lang w:val="lv-LV"/>
              </w:rPr>
              <w:t xml:space="preserve"> finanšu instrumentiem, kas nepieciešama nodokļu maksātāju ienākumu kontrolei</w:t>
            </w:r>
            <w:r w:rsidR="003E5B51">
              <w:rPr>
                <w:rFonts w:ascii="Times New Roman" w:hAnsi="Times New Roman"/>
                <w:sz w:val="24"/>
                <w:szCs w:val="24"/>
                <w:lang w:val="lv-LV"/>
              </w:rPr>
              <w:t xml:space="preserve">, tādejādi ļaujot Valsts ieņēmumu dienestam ar mazāku resursu patēriņu sekot līdzi </w:t>
            </w:r>
            <w:r w:rsidR="003E32FC">
              <w:rPr>
                <w:rFonts w:ascii="Times New Roman" w:hAnsi="Times New Roman"/>
                <w:sz w:val="24"/>
                <w:szCs w:val="24"/>
                <w:lang w:val="lv-LV"/>
              </w:rPr>
              <w:t xml:space="preserve">nodokļu maksātājam piederošo kapitāla aktīvu izmaiņām  un konstatēt ar iedzīvotāju ienākuma nodokli apliekama ienākuma rašanos. </w:t>
            </w:r>
            <w:r w:rsidR="00D159B7">
              <w:rPr>
                <w:rFonts w:ascii="Times New Roman" w:hAnsi="Times New Roman"/>
                <w:sz w:val="24"/>
                <w:szCs w:val="24"/>
                <w:lang w:val="lv-LV"/>
              </w:rPr>
              <w:t>Papildus tam samazinās nepieciešamība</w:t>
            </w:r>
            <w:r w:rsidR="003A221E">
              <w:rPr>
                <w:rFonts w:ascii="Times New Roman" w:hAnsi="Times New Roman"/>
                <w:sz w:val="24"/>
                <w:szCs w:val="24"/>
                <w:lang w:val="lv-LV"/>
              </w:rPr>
              <w:t xml:space="preserve"> veikt papildu </w:t>
            </w:r>
            <w:r w:rsidR="007A3994">
              <w:rPr>
                <w:rFonts w:ascii="Times New Roman" w:hAnsi="Times New Roman"/>
                <w:sz w:val="24"/>
                <w:szCs w:val="24"/>
                <w:lang w:val="lv-LV"/>
              </w:rPr>
              <w:t>administratīvos</w:t>
            </w:r>
            <w:r w:rsidR="003A221E">
              <w:rPr>
                <w:rFonts w:ascii="Times New Roman" w:hAnsi="Times New Roman"/>
                <w:sz w:val="24"/>
                <w:szCs w:val="24"/>
                <w:lang w:val="lv-LV"/>
              </w:rPr>
              <w:t xml:space="preserve"> pasākumus gadījumos, </w:t>
            </w:r>
            <w:r w:rsidR="00040C96">
              <w:rPr>
                <w:rFonts w:ascii="Times New Roman" w:hAnsi="Times New Roman"/>
                <w:sz w:val="24"/>
                <w:szCs w:val="24"/>
                <w:lang w:val="lv-LV"/>
              </w:rPr>
              <w:t>jo</w:t>
            </w:r>
            <w:r w:rsidR="003A221E">
              <w:rPr>
                <w:rFonts w:ascii="Times New Roman" w:hAnsi="Times New Roman"/>
                <w:sz w:val="24"/>
                <w:szCs w:val="24"/>
                <w:lang w:val="lv-LV"/>
              </w:rPr>
              <w:t xml:space="preserve"> gada ietvaros gūtais ienākums </w:t>
            </w:r>
            <w:r w:rsidR="00E82364">
              <w:rPr>
                <w:rFonts w:ascii="Times New Roman" w:hAnsi="Times New Roman"/>
                <w:sz w:val="24"/>
                <w:szCs w:val="24"/>
                <w:lang w:val="lv-LV"/>
              </w:rPr>
              <w:t xml:space="preserve">ir svārstīgs un nodokļu maksātājam, deklarējot darījumus ar kapitāla aktīviem (finanšu instrumentiem u.tml.) katru mēnesi vai reizi ceturksnī, gada beigās var veidoties situācija, ka jāiesniedz deklarācijas precizējumi, lai noteiktu precīzu kapitāla pieaugumu gada ietvaros. </w:t>
            </w:r>
          </w:p>
          <w:p w:rsidR="00DD4E62" w:rsidRPr="00DD4E62" w:rsidRDefault="00DD4E62" w:rsidP="00EB758A">
            <w:pPr>
              <w:tabs>
                <w:tab w:val="left" w:pos="544"/>
                <w:tab w:val="left" w:pos="5809"/>
              </w:tabs>
              <w:ind w:right="125"/>
              <w:jc w:val="both"/>
            </w:pPr>
            <w:r>
              <w:t xml:space="preserve">Ieviešot regulējumu, ka ienākuma izmaksātājs paziņojumu maksātājam izsniedz tikai pēc maksātāja pieprasījuma, samazinās administratīvais slogs ienākuma izmaksātājam, jo iepriekš minētās ziņas tiek sniegtas arī Valsts ieņēmumu dienestam un maksātājs ar tām var iepazīties Valsts ieņēmumu dienesta </w:t>
            </w:r>
            <w:r w:rsidR="00EB758A">
              <w:t>EDS</w:t>
            </w:r>
            <w:r>
              <w:t>.</w:t>
            </w:r>
          </w:p>
        </w:tc>
      </w:tr>
      <w:tr w:rsidR="008078B8" w:rsidRPr="00D37BB8" w:rsidTr="006B4097">
        <w:trPr>
          <w:trHeight w:val="309"/>
        </w:trPr>
        <w:tc>
          <w:tcPr>
            <w:tcW w:w="224" w:type="pct"/>
          </w:tcPr>
          <w:p w:rsidR="008078B8" w:rsidRPr="00D37BB8" w:rsidRDefault="008078B8" w:rsidP="002431AC">
            <w:r w:rsidRPr="00D37BB8">
              <w:t>3.</w:t>
            </w:r>
          </w:p>
        </w:tc>
        <w:tc>
          <w:tcPr>
            <w:tcW w:w="1615" w:type="pct"/>
          </w:tcPr>
          <w:p w:rsidR="008078B8" w:rsidRPr="00D37BB8" w:rsidRDefault="008078B8" w:rsidP="002431AC">
            <w:r w:rsidRPr="00D37BB8">
              <w:t>Administratīvo izmaksu monetārs novērtējums</w:t>
            </w:r>
          </w:p>
        </w:tc>
        <w:tc>
          <w:tcPr>
            <w:tcW w:w="3161" w:type="pct"/>
          </w:tcPr>
          <w:p w:rsidR="008078B8" w:rsidRPr="00D37BB8" w:rsidRDefault="0015638A" w:rsidP="00D006C9">
            <w:pPr>
              <w:tabs>
                <w:tab w:val="left" w:pos="5809"/>
              </w:tabs>
              <w:ind w:left="1" w:right="125"/>
            </w:pPr>
            <w:r w:rsidRPr="00D37BB8">
              <w:t>Projekts šo jomu neskar.</w:t>
            </w:r>
          </w:p>
        </w:tc>
      </w:tr>
      <w:tr w:rsidR="008078B8" w:rsidRPr="00D37BB8" w:rsidTr="006B4097">
        <w:trPr>
          <w:trHeight w:val="242"/>
        </w:trPr>
        <w:tc>
          <w:tcPr>
            <w:tcW w:w="224" w:type="pct"/>
          </w:tcPr>
          <w:p w:rsidR="008078B8" w:rsidRPr="00D37BB8" w:rsidRDefault="008078B8" w:rsidP="002431AC">
            <w:r w:rsidRPr="00D37BB8">
              <w:t>4.</w:t>
            </w:r>
          </w:p>
        </w:tc>
        <w:tc>
          <w:tcPr>
            <w:tcW w:w="1615" w:type="pct"/>
          </w:tcPr>
          <w:p w:rsidR="008078B8" w:rsidRPr="00D37BB8" w:rsidRDefault="008078B8" w:rsidP="002431AC">
            <w:r w:rsidRPr="00D37BB8">
              <w:t>Cita informācija</w:t>
            </w:r>
          </w:p>
        </w:tc>
        <w:tc>
          <w:tcPr>
            <w:tcW w:w="3161" w:type="pct"/>
          </w:tcPr>
          <w:p w:rsidR="008078B8" w:rsidRPr="00D37BB8" w:rsidRDefault="008078B8" w:rsidP="00D006C9">
            <w:pPr>
              <w:ind w:left="1"/>
            </w:pPr>
            <w:r w:rsidRPr="00D37BB8">
              <w:t>Nav.</w:t>
            </w:r>
          </w:p>
        </w:tc>
      </w:tr>
    </w:tbl>
    <w:p w:rsidR="008078B8" w:rsidRPr="00465CA3" w:rsidRDefault="008078B8" w:rsidP="002431AC"/>
    <w:tbl>
      <w:tblPr>
        <w:tblW w:w="9781" w:type="dxa"/>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1"/>
        <w:gridCol w:w="2122"/>
        <w:gridCol w:w="972"/>
        <w:gridCol w:w="1559"/>
        <w:gridCol w:w="1365"/>
        <w:gridCol w:w="1362"/>
      </w:tblGrid>
      <w:tr w:rsidR="003300C7" w:rsidRPr="00465CA3" w:rsidTr="00D50EA7">
        <w:tc>
          <w:tcPr>
            <w:tcW w:w="5000" w:type="pct"/>
            <w:gridSpan w:val="6"/>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b/>
                <w:bCs/>
                <w:color w:val="000000"/>
              </w:rPr>
            </w:pPr>
            <w:r w:rsidRPr="00465CA3">
              <w:rPr>
                <w:b/>
                <w:bCs/>
                <w:color w:val="000000"/>
              </w:rPr>
              <w:t>III. Tiesību akta projekta ietekme uz valsts budžetu un pašvaldību budžetiem</w:t>
            </w:r>
          </w:p>
        </w:tc>
      </w:tr>
      <w:tr w:rsidR="003300C7" w:rsidRPr="00465CA3" w:rsidTr="00D50EA7">
        <w:tc>
          <w:tcPr>
            <w:tcW w:w="1227" w:type="pct"/>
            <w:vMerge w:val="restar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b/>
                <w:color w:val="000000"/>
              </w:rPr>
            </w:pPr>
            <w:r w:rsidRPr="00465CA3">
              <w:rPr>
                <w:b/>
                <w:color w:val="000000"/>
              </w:rPr>
              <w:t>Rādītāji</w:t>
            </w:r>
          </w:p>
        </w:tc>
        <w:tc>
          <w:tcPr>
            <w:tcW w:w="1582" w:type="pct"/>
            <w:gridSpan w:val="2"/>
            <w:vMerge w:val="restart"/>
            <w:tcBorders>
              <w:top w:val="single" w:sz="4" w:space="0" w:color="auto"/>
              <w:left w:val="single" w:sz="4" w:space="0" w:color="auto"/>
              <w:bottom w:val="single" w:sz="4" w:space="0" w:color="auto"/>
              <w:right w:val="single" w:sz="4" w:space="0" w:color="auto"/>
            </w:tcBorders>
            <w:hideMark/>
          </w:tcPr>
          <w:p w:rsidR="003300C7" w:rsidRPr="00465CA3" w:rsidRDefault="009423A6" w:rsidP="002B129D">
            <w:pPr>
              <w:jc w:val="center"/>
              <w:rPr>
                <w:b/>
                <w:color w:val="000000"/>
              </w:rPr>
            </w:pPr>
            <w:r>
              <w:rPr>
                <w:b/>
                <w:color w:val="000000"/>
              </w:rPr>
              <w:t>2017</w:t>
            </w:r>
          </w:p>
        </w:tc>
        <w:tc>
          <w:tcPr>
            <w:tcW w:w="2191" w:type="pct"/>
            <w:gridSpan w:val="3"/>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color w:val="000000"/>
              </w:rPr>
            </w:pPr>
            <w:r w:rsidRPr="00465CA3">
              <w:rPr>
                <w:color w:val="000000"/>
              </w:rPr>
              <w:t>Turpmākie trīs gadi (</w:t>
            </w:r>
            <w:proofErr w:type="spellStart"/>
            <w:r w:rsidR="005A1D33" w:rsidRPr="005A1D33">
              <w:rPr>
                <w:i/>
                <w:color w:val="000000"/>
              </w:rPr>
              <w:t>euro</w:t>
            </w:r>
            <w:proofErr w:type="spellEnd"/>
            <w:r w:rsidRPr="00465CA3">
              <w:rPr>
                <w:color w:val="000000"/>
              </w:rPr>
              <w:t>)</w:t>
            </w:r>
          </w:p>
        </w:tc>
      </w:tr>
      <w:tr w:rsidR="003300C7" w:rsidRPr="00465CA3" w:rsidTr="00D50EA7">
        <w:trPr>
          <w:trHeight w:val="96"/>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3300C7" w:rsidRPr="00465CA3" w:rsidRDefault="003300C7" w:rsidP="002B129D">
            <w:pPr>
              <w:rPr>
                <w:b/>
                <w:color w:val="000000"/>
              </w:rPr>
            </w:pPr>
          </w:p>
        </w:tc>
        <w:tc>
          <w:tcPr>
            <w:tcW w:w="1582" w:type="pct"/>
            <w:gridSpan w:val="2"/>
            <w:vMerge/>
            <w:tcBorders>
              <w:top w:val="single" w:sz="4" w:space="0" w:color="auto"/>
              <w:left w:val="single" w:sz="4" w:space="0" w:color="auto"/>
              <w:bottom w:val="single" w:sz="4" w:space="0" w:color="auto"/>
              <w:right w:val="single" w:sz="4" w:space="0" w:color="auto"/>
            </w:tcBorders>
            <w:vAlign w:val="center"/>
            <w:hideMark/>
          </w:tcPr>
          <w:p w:rsidR="003300C7" w:rsidRPr="00465CA3" w:rsidRDefault="003300C7" w:rsidP="002B129D">
            <w:pPr>
              <w:rPr>
                <w:b/>
                <w:color w:val="000000"/>
              </w:rPr>
            </w:pPr>
          </w:p>
        </w:tc>
        <w:tc>
          <w:tcPr>
            <w:tcW w:w="797"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b/>
                <w:color w:val="000000"/>
              </w:rPr>
            </w:pPr>
            <w:r w:rsidRPr="00465CA3">
              <w:rPr>
                <w:b/>
                <w:color w:val="000000"/>
              </w:rPr>
              <w:t>2018.</w:t>
            </w:r>
          </w:p>
        </w:tc>
        <w:tc>
          <w:tcPr>
            <w:tcW w:w="698"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b/>
                <w:color w:val="000000"/>
              </w:rPr>
            </w:pPr>
            <w:r w:rsidRPr="00465CA3">
              <w:rPr>
                <w:b/>
                <w:color w:val="000000"/>
              </w:rPr>
              <w:t>2019.</w:t>
            </w:r>
          </w:p>
        </w:tc>
        <w:tc>
          <w:tcPr>
            <w:tcW w:w="696"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b/>
                <w:color w:val="000000"/>
              </w:rPr>
            </w:pPr>
            <w:r w:rsidRPr="00465CA3">
              <w:rPr>
                <w:b/>
                <w:color w:val="000000"/>
              </w:rPr>
              <w:t>2020.</w:t>
            </w:r>
          </w:p>
        </w:tc>
      </w:tr>
      <w:tr w:rsidR="003300C7" w:rsidRPr="00465CA3" w:rsidTr="00D50EA7">
        <w:trPr>
          <w:trHeight w:val="96"/>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3300C7" w:rsidRPr="00465CA3" w:rsidRDefault="003300C7" w:rsidP="002B129D">
            <w:pPr>
              <w:rPr>
                <w:b/>
                <w:color w:val="000000"/>
              </w:rPr>
            </w:pPr>
          </w:p>
        </w:tc>
        <w:tc>
          <w:tcPr>
            <w:tcW w:w="1085"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color w:val="000000"/>
              </w:rPr>
            </w:pPr>
            <w:r w:rsidRPr="00465CA3">
              <w:rPr>
                <w:color w:val="000000"/>
              </w:rPr>
              <w:t>Saskaņā ar valsts budžetu kārtējam gadam</w:t>
            </w:r>
          </w:p>
        </w:tc>
        <w:tc>
          <w:tcPr>
            <w:tcW w:w="497"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color w:val="000000"/>
                <w:spacing w:val="-6"/>
              </w:rPr>
            </w:pPr>
            <w:r w:rsidRPr="00465CA3">
              <w:rPr>
                <w:color w:val="000000"/>
                <w:spacing w:val="-6"/>
              </w:rPr>
              <w:t>Izmaiņas kārtējā gadā, salīdzinot ar budžetu kārtējam gadam</w:t>
            </w:r>
          </w:p>
        </w:tc>
        <w:tc>
          <w:tcPr>
            <w:tcW w:w="797"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color w:val="000000"/>
              </w:rPr>
            </w:pPr>
            <w:r w:rsidRPr="00465CA3">
              <w:rPr>
                <w:color w:val="000000"/>
              </w:rPr>
              <w:t>Izmaiņas, salīdzinot ar kārtējo (n) gadu</w:t>
            </w:r>
          </w:p>
        </w:tc>
        <w:tc>
          <w:tcPr>
            <w:tcW w:w="698"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color w:val="000000"/>
              </w:rPr>
            </w:pPr>
            <w:r w:rsidRPr="00465CA3">
              <w:rPr>
                <w:color w:val="000000"/>
              </w:rPr>
              <w:t>Izmaiņas, salīdzinot ar kārtējo (n) gadu</w:t>
            </w:r>
          </w:p>
        </w:tc>
        <w:tc>
          <w:tcPr>
            <w:tcW w:w="696"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color w:val="000000"/>
              </w:rPr>
            </w:pPr>
            <w:r w:rsidRPr="00465CA3">
              <w:rPr>
                <w:color w:val="000000"/>
              </w:rPr>
              <w:t>Izmaiņas, salīdzinot ar kārtējo (n) gadu</w:t>
            </w:r>
          </w:p>
        </w:tc>
      </w:tr>
      <w:tr w:rsidR="003300C7" w:rsidRPr="00465CA3" w:rsidTr="00D50EA7">
        <w:trPr>
          <w:trHeight w:val="96"/>
        </w:trPr>
        <w:tc>
          <w:tcPr>
            <w:tcW w:w="1227"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color w:val="000000"/>
              </w:rPr>
            </w:pPr>
            <w:r w:rsidRPr="00465CA3">
              <w:rPr>
                <w:color w:val="000000"/>
              </w:rPr>
              <w:t>1</w:t>
            </w:r>
          </w:p>
        </w:tc>
        <w:tc>
          <w:tcPr>
            <w:tcW w:w="1085"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color w:val="000000"/>
              </w:rPr>
            </w:pPr>
            <w:r w:rsidRPr="00465CA3">
              <w:rPr>
                <w:color w:val="000000"/>
              </w:rPr>
              <w:t>2</w:t>
            </w:r>
          </w:p>
        </w:tc>
        <w:tc>
          <w:tcPr>
            <w:tcW w:w="497"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color w:val="000000"/>
              </w:rPr>
            </w:pPr>
            <w:r w:rsidRPr="00465CA3">
              <w:rPr>
                <w:color w:val="000000"/>
              </w:rPr>
              <w:t>3</w:t>
            </w:r>
          </w:p>
        </w:tc>
        <w:tc>
          <w:tcPr>
            <w:tcW w:w="797"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color w:val="000000"/>
              </w:rPr>
            </w:pPr>
            <w:r w:rsidRPr="00465CA3">
              <w:rPr>
                <w:color w:val="000000"/>
              </w:rPr>
              <w:t>4</w:t>
            </w:r>
          </w:p>
        </w:tc>
        <w:tc>
          <w:tcPr>
            <w:tcW w:w="698"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color w:val="000000"/>
              </w:rPr>
            </w:pPr>
            <w:r w:rsidRPr="00465CA3">
              <w:rPr>
                <w:color w:val="000000"/>
              </w:rPr>
              <w:t>5</w:t>
            </w:r>
          </w:p>
        </w:tc>
        <w:tc>
          <w:tcPr>
            <w:tcW w:w="696" w:type="pct"/>
            <w:tcBorders>
              <w:top w:val="single" w:sz="4" w:space="0" w:color="auto"/>
              <w:left w:val="single" w:sz="4" w:space="0" w:color="auto"/>
              <w:bottom w:val="single" w:sz="4" w:space="0" w:color="auto"/>
              <w:right w:val="single" w:sz="4" w:space="0" w:color="auto"/>
            </w:tcBorders>
            <w:hideMark/>
          </w:tcPr>
          <w:p w:rsidR="003300C7" w:rsidRPr="00465CA3" w:rsidRDefault="003300C7" w:rsidP="002B129D">
            <w:pPr>
              <w:jc w:val="center"/>
              <w:rPr>
                <w:color w:val="000000"/>
              </w:rPr>
            </w:pPr>
            <w:r w:rsidRPr="00465CA3">
              <w:rPr>
                <w:color w:val="000000"/>
              </w:rPr>
              <w:t>6</w:t>
            </w:r>
          </w:p>
        </w:tc>
      </w:tr>
      <w:tr w:rsidR="00944B4D" w:rsidRPr="00E91E7F" w:rsidTr="00D50EA7">
        <w:trPr>
          <w:trHeight w:val="96"/>
        </w:trPr>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ind w:left="254" w:hanging="254"/>
              <w:jc w:val="both"/>
              <w:rPr>
                <w:color w:val="000000"/>
              </w:rPr>
            </w:pPr>
            <w:r w:rsidRPr="00465CA3">
              <w:rPr>
                <w:color w:val="000000"/>
              </w:rPr>
              <w:t>1.</w:t>
            </w:r>
            <w:r w:rsidRPr="00465CA3">
              <w:rPr>
                <w:color w:val="000000"/>
                <w:sz w:val="14"/>
                <w:szCs w:val="14"/>
              </w:rPr>
              <w:t xml:space="preserve">   </w:t>
            </w:r>
            <w:r w:rsidRPr="00465CA3">
              <w:rPr>
                <w:color w:val="000000"/>
              </w:rPr>
              <w:t>Budžeta ieņēmumi:</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sidRPr="00E91E7F">
              <w:rPr>
                <w:color w:val="000000"/>
              </w:rPr>
              <w:t>+</w:t>
            </w:r>
            <w:r>
              <w:rPr>
                <w:color w:val="000000"/>
              </w:rPr>
              <w:t>76</w:t>
            </w:r>
            <w:r w:rsidRPr="00E91E7F">
              <w:rPr>
                <w:color w:val="000000"/>
              </w:rPr>
              <w:t xml:space="preserve"> 00</w:t>
            </w:r>
            <w:r>
              <w:rPr>
                <w:color w:val="000000"/>
              </w:rPr>
              <w:t>9</w:t>
            </w:r>
          </w:p>
        </w:tc>
        <w:tc>
          <w:tcPr>
            <w:tcW w:w="698"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sidRPr="00E91E7F">
              <w:rPr>
                <w:color w:val="000000"/>
              </w:rPr>
              <w:t>+</w:t>
            </w:r>
            <w:r>
              <w:rPr>
                <w:color w:val="000000"/>
              </w:rPr>
              <w:t>76</w:t>
            </w:r>
            <w:r w:rsidRPr="00E91E7F">
              <w:rPr>
                <w:color w:val="000000"/>
              </w:rPr>
              <w:t xml:space="preserve"> 00</w:t>
            </w:r>
            <w:r>
              <w:rPr>
                <w:color w:val="000000"/>
              </w:rPr>
              <w:t>9</w:t>
            </w:r>
          </w:p>
        </w:tc>
        <w:tc>
          <w:tcPr>
            <w:tcW w:w="696"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sidRPr="00E91E7F">
              <w:rPr>
                <w:color w:val="000000"/>
              </w:rPr>
              <w:t>+</w:t>
            </w:r>
            <w:r>
              <w:rPr>
                <w:color w:val="000000"/>
              </w:rPr>
              <w:t>76</w:t>
            </w:r>
            <w:r w:rsidRPr="00E91E7F">
              <w:rPr>
                <w:color w:val="000000"/>
              </w:rPr>
              <w:t xml:space="preserve"> 00</w:t>
            </w:r>
            <w:r>
              <w:rPr>
                <w:color w:val="000000"/>
              </w:rPr>
              <w:t>9</w:t>
            </w: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rPr>
                <w:color w:val="000000"/>
              </w:rPr>
            </w:pPr>
            <w:r w:rsidRPr="00465CA3">
              <w:rPr>
                <w:color w:val="000000"/>
              </w:rPr>
              <w:t>1</w:t>
            </w:r>
            <w:r w:rsidRPr="00465CA3">
              <w:rPr>
                <w:color w:val="000000"/>
                <w:spacing w:val="-6"/>
              </w:rPr>
              <w:t>.1. valsts pamatbudžets, tai skaitā ieņēmumi no maksas pakalpojumiem un citi pašu ieņēmumi, t.sk.,</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+ 2 674</w:t>
            </w:r>
          </w:p>
        </w:tc>
        <w:tc>
          <w:tcPr>
            <w:tcW w:w="698"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+ 2 674</w:t>
            </w:r>
          </w:p>
        </w:tc>
        <w:tc>
          <w:tcPr>
            <w:tcW w:w="696"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+ 2 674</w:t>
            </w: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right"/>
              <w:rPr>
                <w:color w:val="000000"/>
                <w:sz w:val="22"/>
              </w:rPr>
            </w:pPr>
            <w:r>
              <w:rPr>
                <w:color w:val="000000"/>
                <w:sz w:val="22"/>
              </w:rPr>
              <w:t>SOC iemaksas pamatbudžetā veselības finansēšanai</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+ 2 674</w:t>
            </w:r>
          </w:p>
        </w:tc>
        <w:tc>
          <w:tcPr>
            <w:tcW w:w="698"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+ 2 674</w:t>
            </w:r>
          </w:p>
        </w:tc>
        <w:tc>
          <w:tcPr>
            <w:tcW w:w="696"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+ 2 674</w:t>
            </w: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rPr>
                <w:color w:val="000000"/>
                <w:sz w:val="22"/>
              </w:rPr>
            </w:pPr>
            <w:r w:rsidRPr="00465CA3">
              <w:rPr>
                <w:color w:val="000000"/>
              </w:rPr>
              <w:t>1.2. valsts speciālais budžets</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+73 335</w:t>
            </w:r>
          </w:p>
        </w:tc>
        <w:tc>
          <w:tcPr>
            <w:tcW w:w="698"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+73 335</w:t>
            </w:r>
          </w:p>
        </w:tc>
        <w:tc>
          <w:tcPr>
            <w:tcW w:w="696"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+73 335</w:t>
            </w: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rPr>
                <w:color w:val="000000"/>
              </w:rPr>
            </w:pPr>
            <w:r>
              <w:rPr>
                <w:color w:val="000000"/>
              </w:rPr>
              <w:t>1.3. pašvaldību budžets</w:t>
            </w:r>
          </w:p>
        </w:tc>
        <w:tc>
          <w:tcPr>
            <w:tcW w:w="1085" w:type="pct"/>
            <w:tcBorders>
              <w:top w:val="single" w:sz="4" w:space="0" w:color="auto"/>
              <w:left w:val="single" w:sz="4" w:space="0" w:color="auto"/>
              <w:bottom w:val="single" w:sz="4" w:space="0" w:color="auto"/>
              <w:right w:val="single" w:sz="4" w:space="0" w:color="auto"/>
            </w:tcBorders>
            <w:vAlign w:val="center"/>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p>
        </w:tc>
        <w:tc>
          <w:tcPr>
            <w:tcW w:w="698"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p>
        </w:tc>
        <w:tc>
          <w:tcPr>
            <w:tcW w:w="696"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p>
        </w:tc>
      </w:tr>
      <w:tr w:rsidR="00944B4D" w:rsidRPr="00E91E7F" w:rsidTr="00D50EA7">
        <w:trPr>
          <w:trHeight w:val="96"/>
        </w:trPr>
        <w:tc>
          <w:tcPr>
            <w:tcW w:w="122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ind w:left="254" w:hanging="254"/>
              <w:rPr>
                <w:color w:val="000000"/>
              </w:rPr>
            </w:pPr>
            <w:r w:rsidRPr="00465CA3">
              <w:rPr>
                <w:color w:val="000000"/>
              </w:rPr>
              <w:t>2.</w:t>
            </w:r>
            <w:r w:rsidRPr="00465CA3">
              <w:rPr>
                <w:color w:val="000000"/>
                <w:sz w:val="14"/>
                <w:szCs w:val="14"/>
              </w:rPr>
              <w:t xml:space="preserve">   </w:t>
            </w:r>
            <w:r w:rsidRPr="00465CA3">
              <w:rPr>
                <w:color w:val="000000"/>
              </w:rPr>
              <w:t>Budžeta izdevumi:</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8"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6"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r>
      <w:tr w:rsidR="00944B4D" w:rsidRPr="00E91E7F" w:rsidTr="00D50EA7">
        <w:trPr>
          <w:trHeight w:val="96"/>
        </w:trPr>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ind w:left="254" w:hanging="254"/>
              <w:jc w:val="both"/>
              <w:rPr>
                <w:color w:val="000000"/>
              </w:rPr>
            </w:pPr>
            <w:r w:rsidRPr="00465CA3">
              <w:rPr>
                <w:color w:val="000000"/>
              </w:rPr>
              <w:t>2.1. valsts pamatbudžets</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8"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6"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rPr>
                <w:color w:val="000000"/>
              </w:rPr>
            </w:pPr>
            <w:r w:rsidRPr="00465CA3">
              <w:rPr>
                <w:color w:val="000000"/>
              </w:rPr>
              <w:t>2.2. valsts speciālais budžets</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8"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6"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rPr>
                <w:color w:val="000000"/>
              </w:rPr>
            </w:pPr>
            <w:r w:rsidRPr="00465CA3">
              <w:rPr>
                <w:color w:val="000000"/>
              </w:rPr>
              <w:t>2.3. pašvaldību budžets</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8"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6"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rPr>
                <w:color w:val="000000"/>
              </w:rPr>
            </w:pPr>
            <w:r w:rsidRPr="00465CA3">
              <w:rPr>
                <w:color w:val="000000"/>
              </w:rPr>
              <w:t>3.</w:t>
            </w:r>
            <w:r w:rsidRPr="00465CA3">
              <w:rPr>
                <w:color w:val="000000"/>
                <w:sz w:val="14"/>
                <w:szCs w:val="14"/>
              </w:rPr>
              <w:t xml:space="preserve">   </w:t>
            </w:r>
            <w:r w:rsidRPr="00465CA3">
              <w:rPr>
                <w:color w:val="000000"/>
              </w:rPr>
              <w:t>Finansiālā ietekme:</w:t>
            </w:r>
          </w:p>
        </w:tc>
        <w:tc>
          <w:tcPr>
            <w:tcW w:w="1085" w:type="pct"/>
            <w:tcBorders>
              <w:top w:val="single" w:sz="4" w:space="0" w:color="auto"/>
              <w:left w:val="single" w:sz="4" w:space="0" w:color="auto"/>
              <w:bottom w:val="single" w:sz="4" w:space="0" w:color="auto"/>
              <w:right w:val="single" w:sz="4" w:space="0" w:color="auto"/>
            </w:tcBorders>
            <w:vAlign w:val="center"/>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sidRPr="00E91E7F">
              <w:rPr>
                <w:color w:val="000000"/>
              </w:rPr>
              <w:t>+</w:t>
            </w:r>
            <w:r>
              <w:rPr>
                <w:color w:val="000000"/>
              </w:rPr>
              <w:t>76</w:t>
            </w:r>
            <w:r w:rsidRPr="00E91E7F">
              <w:rPr>
                <w:color w:val="000000"/>
              </w:rPr>
              <w:t xml:space="preserve"> 00</w:t>
            </w:r>
            <w:r>
              <w:rPr>
                <w:color w:val="000000"/>
              </w:rPr>
              <w:t>9</w:t>
            </w:r>
          </w:p>
        </w:tc>
        <w:tc>
          <w:tcPr>
            <w:tcW w:w="698"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sidRPr="00E91E7F">
              <w:rPr>
                <w:color w:val="000000"/>
              </w:rPr>
              <w:t>+</w:t>
            </w:r>
            <w:r>
              <w:rPr>
                <w:color w:val="000000"/>
              </w:rPr>
              <w:t>76</w:t>
            </w:r>
            <w:r w:rsidRPr="00E91E7F">
              <w:rPr>
                <w:color w:val="000000"/>
              </w:rPr>
              <w:t xml:space="preserve"> 00</w:t>
            </w:r>
            <w:r>
              <w:rPr>
                <w:color w:val="000000"/>
              </w:rPr>
              <w:t>9</w:t>
            </w:r>
          </w:p>
        </w:tc>
        <w:tc>
          <w:tcPr>
            <w:tcW w:w="696"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sidRPr="00E91E7F">
              <w:rPr>
                <w:color w:val="000000"/>
              </w:rPr>
              <w:t>+</w:t>
            </w:r>
            <w:r>
              <w:rPr>
                <w:color w:val="000000"/>
              </w:rPr>
              <w:t>76</w:t>
            </w:r>
            <w:r w:rsidRPr="00E91E7F">
              <w:rPr>
                <w:color w:val="000000"/>
              </w:rPr>
              <w:t xml:space="preserve"> 00</w:t>
            </w:r>
            <w:r>
              <w:rPr>
                <w:color w:val="000000"/>
              </w:rPr>
              <w:t>9</w:t>
            </w:r>
          </w:p>
        </w:tc>
      </w:tr>
      <w:tr w:rsidR="00944B4D" w:rsidRPr="00E91E7F" w:rsidTr="00D50EA7">
        <w:trPr>
          <w:trHeight w:val="96"/>
        </w:trPr>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ind w:left="254" w:hanging="254"/>
              <w:jc w:val="both"/>
              <w:rPr>
                <w:color w:val="000000"/>
              </w:rPr>
            </w:pPr>
            <w:r w:rsidRPr="00465CA3">
              <w:rPr>
                <w:color w:val="000000"/>
              </w:rPr>
              <w:t>3.1. valsts pamatbudžets</w:t>
            </w:r>
          </w:p>
        </w:tc>
        <w:tc>
          <w:tcPr>
            <w:tcW w:w="1085" w:type="pct"/>
            <w:tcBorders>
              <w:top w:val="single" w:sz="4" w:space="0" w:color="auto"/>
              <w:left w:val="single" w:sz="4" w:space="0" w:color="auto"/>
              <w:bottom w:val="single" w:sz="4" w:space="0" w:color="auto"/>
              <w:right w:val="single" w:sz="4" w:space="0" w:color="auto"/>
            </w:tcBorders>
            <w:vAlign w:val="center"/>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+ 2 674</w:t>
            </w:r>
          </w:p>
        </w:tc>
        <w:tc>
          <w:tcPr>
            <w:tcW w:w="698"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+ 2 674</w:t>
            </w:r>
          </w:p>
        </w:tc>
        <w:tc>
          <w:tcPr>
            <w:tcW w:w="696"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+ 2 674</w:t>
            </w: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rPr>
                <w:color w:val="000000"/>
              </w:rPr>
            </w:pPr>
            <w:r w:rsidRPr="00465CA3">
              <w:rPr>
                <w:color w:val="000000"/>
              </w:rPr>
              <w:t>3.2. speciālais budžets</w:t>
            </w:r>
          </w:p>
        </w:tc>
        <w:tc>
          <w:tcPr>
            <w:tcW w:w="1085" w:type="pct"/>
            <w:tcBorders>
              <w:top w:val="single" w:sz="4" w:space="0" w:color="auto"/>
              <w:left w:val="single" w:sz="4" w:space="0" w:color="auto"/>
              <w:bottom w:val="single" w:sz="4" w:space="0" w:color="auto"/>
              <w:right w:val="single" w:sz="4" w:space="0" w:color="auto"/>
            </w:tcBorders>
            <w:vAlign w:val="center"/>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+73 335</w:t>
            </w:r>
          </w:p>
        </w:tc>
        <w:tc>
          <w:tcPr>
            <w:tcW w:w="698"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+73 335</w:t>
            </w:r>
          </w:p>
        </w:tc>
        <w:tc>
          <w:tcPr>
            <w:tcW w:w="696"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r>
              <w:rPr>
                <w:color w:val="000000"/>
              </w:rPr>
              <w:t>+73 335</w:t>
            </w: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rPr>
                <w:color w:val="000000"/>
              </w:rPr>
            </w:pPr>
            <w:r w:rsidRPr="00465CA3">
              <w:rPr>
                <w:color w:val="000000"/>
              </w:rPr>
              <w:t>3.3. pašvaldību budžets</w:t>
            </w:r>
          </w:p>
        </w:tc>
        <w:tc>
          <w:tcPr>
            <w:tcW w:w="1085" w:type="pct"/>
            <w:tcBorders>
              <w:top w:val="single" w:sz="4" w:space="0" w:color="auto"/>
              <w:left w:val="single" w:sz="4" w:space="0" w:color="auto"/>
              <w:bottom w:val="single" w:sz="4" w:space="0" w:color="auto"/>
              <w:right w:val="single" w:sz="4" w:space="0" w:color="auto"/>
            </w:tcBorders>
            <w:vAlign w:val="center"/>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p>
        </w:tc>
        <w:tc>
          <w:tcPr>
            <w:tcW w:w="698"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p>
        </w:tc>
        <w:tc>
          <w:tcPr>
            <w:tcW w:w="696" w:type="pct"/>
            <w:tcBorders>
              <w:top w:val="single" w:sz="4" w:space="0" w:color="auto"/>
              <w:left w:val="single" w:sz="4" w:space="0" w:color="auto"/>
              <w:bottom w:val="single" w:sz="4" w:space="0" w:color="auto"/>
              <w:right w:val="single" w:sz="4" w:space="0" w:color="auto"/>
            </w:tcBorders>
            <w:vAlign w:val="center"/>
          </w:tcPr>
          <w:p w:rsidR="00944B4D" w:rsidRPr="00E91E7F" w:rsidRDefault="00944B4D" w:rsidP="00944B4D">
            <w:pPr>
              <w:jc w:val="center"/>
              <w:rPr>
                <w:color w:val="000000"/>
              </w:rPr>
            </w:pP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rPr>
                <w:color w:val="000000"/>
              </w:rPr>
            </w:pPr>
            <w:r w:rsidRPr="00465CA3">
              <w:rPr>
                <w:color w:val="000000"/>
              </w:rPr>
              <w:t>4</w:t>
            </w:r>
            <w:r w:rsidRPr="00465CA3">
              <w:rPr>
                <w:color w:val="000000"/>
                <w:spacing w:val="-6"/>
              </w:rPr>
              <w:t>.Finanšu līdzekļi papildu izdevumu finansēšanai (kompensējošu izdevumu samazinājumu norāda ar "+" zīmi)</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8"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6"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jc w:val="both"/>
              <w:rPr>
                <w:color w:val="000000"/>
              </w:rPr>
            </w:pPr>
            <w:r w:rsidRPr="00465CA3">
              <w:rPr>
                <w:color w:val="000000"/>
              </w:rPr>
              <w:t>5.</w:t>
            </w:r>
            <w:r w:rsidRPr="00465CA3">
              <w:rPr>
                <w:color w:val="000000"/>
                <w:sz w:val="14"/>
                <w:szCs w:val="14"/>
              </w:rPr>
              <w:t xml:space="preserve">   </w:t>
            </w:r>
            <w:r w:rsidRPr="00465CA3">
              <w:rPr>
                <w:color w:val="000000"/>
              </w:rPr>
              <w:t>Precizēta finansiālā ietekme:</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8"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6"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ind w:left="255" w:hanging="255"/>
              <w:jc w:val="both"/>
              <w:rPr>
                <w:color w:val="000000"/>
              </w:rPr>
            </w:pPr>
            <w:r w:rsidRPr="00465CA3">
              <w:rPr>
                <w:color w:val="000000"/>
              </w:rPr>
              <w:t>5.1. valsts pamatbudžets</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8"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6"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rPr>
                <w:color w:val="000000"/>
              </w:rPr>
            </w:pPr>
            <w:r w:rsidRPr="00465CA3">
              <w:rPr>
                <w:color w:val="000000"/>
              </w:rPr>
              <w:t>5.2. speciālais budžets</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8"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6"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r>
      <w:tr w:rsidR="00944B4D" w:rsidRPr="00E91E7F"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rPr>
                <w:color w:val="000000"/>
              </w:rPr>
            </w:pPr>
            <w:r w:rsidRPr="00465CA3">
              <w:rPr>
                <w:color w:val="000000"/>
              </w:rPr>
              <w:t>5.3. pašvaldību budžets</w:t>
            </w:r>
          </w:p>
        </w:tc>
        <w:tc>
          <w:tcPr>
            <w:tcW w:w="1085"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49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center"/>
              <w:rPr>
                <w:color w:val="000000"/>
              </w:rPr>
            </w:pPr>
          </w:p>
        </w:tc>
        <w:tc>
          <w:tcPr>
            <w:tcW w:w="797"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8"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c>
          <w:tcPr>
            <w:tcW w:w="696" w:type="pct"/>
            <w:tcBorders>
              <w:top w:val="single" w:sz="4" w:space="0" w:color="auto"/>
              <w:left w:val="single" w:sz="4" w:space="0" w:color="auto"/>
              <w:bottom w:val="single" w:sz="4" w:space="0" w:color="auto"/>
              <w:right w:val="single" w:sz="4" w:space="0" w:color="auto"/>
            </w:tcBorders>
          </w:tcPr>
          <w:p w:rsidR="00944B4D" w:rsidRPr="00E91E7F" w:rsidRDefault="00944B4D" w:rsidP="00944B4D">
            <w:pPr>
              <w:jc w:val="center"/>
              <w:rPr>
                <w:color w:val="000000"/>
              </w:rPr>
            </w:pPr>
          </w:p>
        </w:tc>
      </w:tr>
      <w:tr w:rsidR="00944B4D" w:rsidRPr="00465CA3" w:rsidTr="00D50EA7">
        <w:tc>
          <w:tcPr>
            <w:tcW w:w="1227" w:type="pct"/>
            <w:tcBorders>
              <w:top w:val="single" w:sz="4" w:space="0" w:color="auto"/>
              <w:left w:val="single" w:sz="4" w:space="0" w:color="auto"/>
              <w:bottom w:val="single" w:sz="4" w:space="0" w:color="auto"/>
              <w:right w:val="single" w:sz="4" w:space="0" w:color="auto"/>
            </w:tcBorders>
          </w:tcPr>
          <w:p w:rsidR="00944B4D" w:rsidRPr="00465CA3" w:rsidRDefault="00944B4D" w:rsidP="00944B4D">
            <w:pPr>
              <w:rPr>
                <w:color w:val="000000"/>
              </w:rPr>
            </w:pPr>
            <w:r w:rsidRPr="00465CA3">
              <w:rPr>
                <w:color w:val="000000"/>
                <w:spacing w:val="-6"/>
              </w:rPr>
              <w:t>6. Detalizēts ieņēmumu un izdevumu aprēķins (ja nepieciešams, detalizētu ieņēmumu un izdevumu aprēķinu var pievienot anotācijas pielikumā):</w:t>
            </w:r>
          </w:p>
        </w:tc>
        <w:tc>
          <w:tcPr>
            <w:tcW w:w="3773" w:type="pct"/>
            <w:gridSpan w:val="5"/>
            <w:tcBorders>
              <w:top w:val="single" w:sz="4" w:space="0" w:color="auto"/>
              <w:left w:val="single" w:sz="4" w:space="0" w:color="auto"/>
              <w:bottom w:val="single" w:sz="4" w:space="0" w:color="auto"/>
              <w:right w:val="single" w:sz="4" w:space="0" w:color="auto"/>
            </w:tcBorders>
            <w:shd w:val="clear" w:color="auto" w:fill="auto"/>
          </w:tcPr>
          <w:p w:rsidR="000A5AA1" w:rsidRDefault="00944B4D" w:rsidP="00944B4D">
            <w:pPr>
              <w:pStyle w:val="tv213"/>
              <w:spacing w:line="293" w:lineRule="atLeast"/>
              <w:jc w:val="both"/>
              <w:rPr>
                <w:color w:val="000000"/>
              </w:rPr>
            </w:pPr>
            <w:r w:rsidRPr="00E91E7F">
              <w:rPr>
                <w:color w:val="000000"/>
              </w:rPr>
              <w:t xml:space="preserve">2016.gada decembrī no autoratlīdzību saņēmējiem 24 326 personām bija iesniegti </w:t>
            </w:r>
            <w:r>
              <w:rPr>
                <w:color w:val="000000"/>
              </w:rPr>
              <w:t>darba devēju ziņojumi</w:t>
            </w:r>
            <w:r w:rsidRPr="00E91E7F">
              <w:rPr>
                <w:color w:val="000000"/>
              </w:rPr>
              <w:t xml:space="preserve">, no tiem 3 773 personām ienākumi bija zem minimālās algas. Pieņemot, ka dēļ minētās normas ieviešanas vismaz 5% no šīm personām sākotnēji ienākumi sasniegs minimālās algas apmēru, ietekme vērtēta +94 000 </w:t>
            </w:r>
            <w:proofErr w:type="spellStart"/>
            <w:r w:rsidRPr="00E91E7F">
              <w:rPr>
                <w:i/>
                <w:color w:val="000000"/>
              </w:rPr>
              <w:t>euro</w:t>
            </w:r>
            <w:proofErr w:type="spellEnd"/>
            <w:r w:rsidRPr="00E91E7F">
              <w:rPr>
                <w:color w:val="000000"/>
              </w:rPr>
              <w:t xml:space="preserve"> gadā apmērā</w:t>
            </w:r>
            <w:r>
              <w:rPr>
                <w:color w:val="000000"/>
              </w:rPr>
              <w:t xml:space="preserve"> (t.sk. +17 991 </w:t>
            </w:r>
            <w:proofErr w:type="spellStart"/>
            <w:r w:rsidRPr="00944B4D">
              <w:rPr>
                <w:i/>
                <w:color w:val="000000"/>
              </w:rPr>
              <w:t>euro</w:t>
            </w:r>
            <w:proofErr w:type="spellEnd"/>
            <w:r>
              <w:rPr>
                <w:color w:val="000000"/>
              </w:rPr>
              <w:t xml:space="preserve"> </w:t>
            </w:r>
            <w:proofErr w:type="spellStart"/>
            <w:r>
              <w:rPr>
                <w:color w:val="000000"/>
              </w:rPr>
              <w:t>fondēto</w:t>
            </w:r>
            <w:proofErr w:type="spellEnd"/>
            <w:r>
              <w:rPr>
                <w:color w:val="000000"/>
              </w:rPr>
              <w:t xml:space="preserve"> pensiju shēmā)</w:t>
            </w:r>
            <w:r w:rsidRPr="00E91E7F">
              <w:rPr>
                <w:color w:val="000000"/>
              </w:rPr>
              <w:t xml:space="preserve"> dēļ VSAOI ieņēmumu pieauguma.</w:t>
            </w:r>
          </w:p>
          <w:p w:rsidR="000A5AA1" w:rsidRPr="00465CA3" w:rsidRDefault="000A5AA1" w:rsidP="00701F4B">
            <w:pPr>
              <w:pStyle w:val="tv213"/>
              <w:spacing w:line="293" w:lineRule="atLeast"/>
              <w:jc w:val="both"/>
              <w:rPr>
                <w:color w:val="000000"/>
              </w:rPr>
            </w:pPr>
            <w:r>
              <w:rPr>
                <w:color w:val="000000"/>
              </w:rPr>
              <w:t xml:space="preserve">Ietekme iekļauta nodokļu ieņēmumu prognozēs, pamatojoties uz Ministru kabineta 2017.gada 8.septembra sēdes protokola Nr.44 </w:t>
            </w:r>
            <w:bookmarkStart w:id="1" w:name="1"/>
            <w:r w:rsidRPr="000A5AA1">
              <w:rPr>
                <w:color w:val="000000" w:themeColor="text1"/>
              </w:rPr>
              <w:t>1.§</w:t>
            </w:r>
            <w:bookmarkEnd w:id="1"/>
            <w:r w:rsidR="00701F4B">
              <w:rPr>
                <w:color w:val="000000" w:themeColor="text1"/>
              </w:rPr>
              <w:t xml:space="preserve"> 14.punktu</w:t>
            </w:r>
            <w:r>
              <w:rPr>
                <w:color w:val="000000" w:themeColor="text1"/>
              </w:rPr>
              <w:t>.</w:t>
            </w:r>
          </w:p>
        </w:tc>
      </w:tr>
      <w:tr w:rsidR="00944B4D" w:rsidRPr="00465CA3"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jc w:val="both"/>
              <w:rPr>
                <w:color w:val="000000"/>
                <w:spacing w:val="-6"/>
              </w:rPr>
            </w:pPr>
            <w:r w:rsidRPr="00465CA3">
              <w:rPr>
                <w:color w:val="000000"/>
              </w:rPr>
              <w:t>6.1. detalizēts ieņēmumu aprēķins</w:t>
            </w:r>
          </w:p>
        </w:tc>
        <w:tc>
          <w:tcPr>
            <w:tcW w:w="3773" w:type="pct"/>
            <w:gridSpan w:val="5"/>
            <w:tcBorders>
              <w:top w:val="single" w:sz="4" w:space="0" w:color="auto"/>
              <w:left w:val="single" w:sz="4" w:space="0" w:color="auto"/>
              <w:bottom w:val="single" w:sz="4" w:space="0" w:color="auto"/>
              <w:right w:val="single" w:sz="4" w:space="0" w:color="auto"/>
            </w:tcBorders>
          </w:tcPr>
          <w:p w:rsidR="00944B4D" w:rsidRPr="00465CA3" w:rsidRDefault="00944B4D" w:rsidP="00944B4D">
            <w:pPr>
              <w:pStyle w:val="tv213"/>
              <w:spacing w:before="0" w:beforeAutospacing="0" w:after="0" w:afterAutospacing="0" w:line="293" w:lineRule="atLeast"/>
              <w:ind w:firstLine="300"/>
              <w:jc w:val="both"/>
            </w:pPr>
          </w:p>
        </w:tc>
      </w:tr>
      <w:tr w:rsidR="00944B4D" w:rsidRPr="00465CA3"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rPr>
                <w:color w:val="000000"/>
              </w:rPr>
            </w:pPr>
            <w:r w:rsidRPr="00465CA3">
              <w:rPr>
                <w:color w:val="000000"/>
              </w:rPr>
              <w:t>6.2. detalizēts izdevumu aprēķins</w:t>
            </w:r>
          </w:p>
        </w:tc>
        <w:tc>
          <w:tcPr>
            <w:tcW w:w="3773" w:type="pct"/>
            <w:gridSpan w:val="5"/>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both"/>
              <w:rPr>
                <w:color w:val="000000"/>
              </w:rPr>
            </w:pPr>
          </w:p>
        </w:tc>
      </w:tr>
      <w:tr w:rsidR="00944B4D" w:rsidRPr="00465CA3" w:rsidTr="00D50EA7">
        <w:tc>
          <w:tcPr>
            <w:tcW w:w="1227" w:type="pct"/>
            <w:tcBorders>
              <w:top w:val="single" w:sz="4" w:space="0" w:color="auto"/>
              <w:left w:val="single" w:sz="4" w:space="0" w:color="auto"/>
              <w:bottom w:val="single" w:sz="4" w:space="0" w:color="auto"/>
              <w:right w:val="single" w:sz="4" w:space="0" w:color="auto"/>
            </w:tcBorders>
            <w:hideMark/>
          </w:tcPr>
          <w:p w:rsidR="00944B4D" w:rsidRPr="00465CA3" w:rsidRDefault="00944B4D" w:rsidP="00944B4D">
            <w:pPr>
              <w:rPr>
                <w:color w:val="000000"/>
              </w:rPr>
            </w:pPr>
            <w:r w:rsidRPr="00465CA3">
              <w:rPr>
                <w:color w:val="000000"/>
              </w:rPr>
              <w:t>7. Cita informācija</w:t>
            </w:r>
          </w:p>
        </w:tc>
        <w:tc>
          <w:tcPr>
            <w:tcW w:w="3773" w:type="pct"/>
            <w:gridSpan w:val="5"/>
            <w:tcBorders>
              <w:top w:val="single" w:sz="4" w:space="0" w:color="auto"/>
              <w:left w:val="single" w:sz="4" w:space="0" w:color="auto"/>
              <w:bottom w:val="single" w:sz="4" w:space="0" w:color="auto"/>
              <w:right w:val="single" w:sz="4" w:space="0" w:color="auto"/>
            </w:tcBorders>
          </w:tcPr>
          <w:p w:rsidR="00944B4D" w:rsidRPr="00465CA3" w:rsidRDefault="00944B4D" w:rsidP="00944B4D">
            <w:pPr>
              <w:jc w:val="both"/>
              <w:rPr>
                <w:color w:val="000000"/>
              </w:rPr>
            </w:pPr>
            <w:r>
              <w:rPr>
                <w:color w:val="000000"/>
              </w:rPr>
              <w:t>Pārējo likuma normu izmaiņu fiskālā ietekme tiek vērtēta kā nebūtiska.</w:t>
            </w:r>
          </w:p>
        </w:tc>
      </w:tr>
    </w:tbl>
    <w:p w:rsidR="003300C7" w:rsidRPr="00465CA3" w:rsidRDefault="003300C7" w:rsidP="002431AC"/>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8078B8" w:rsidRPr="00465CA3" w:rsidTr="006D11E3">
        <w:trPr>
          <w:trHeight w:val="419"/>
        </w:trPr>
        <w:tc>
          <w:tcPr>
            <w:tcW w:w="5000" w:type="pct"/>
            <w:gridSpan w:val="3"/>
            <w:vAlign w:val="center"/>
          </w:tcPr>
          <w:p w:rsidR="008078B8" w:rsidRPr="00465CA3" w:rsidRDefault="008078B8" w:rsidP="002431AC">
            <w:pPr>
              <w:jc w:val="center"/>
              <w:rPr>
                <w:b/>
              </w:rPr>
            </w:pPr>
            <w:r w:rsidRPr="00465CA3">
              <w:rPr>
                <w:b/>
                <w:bCs/>
              </w:rPr>
              <w:t>IV. Tiesību akta projekta ietekme uz spēkā esošo tiesību normu sistēmu</w:t>
            </w:r>
          </w:p>
        </w:tc>
      </w:tr>
      <w:tr w:rsidR="008078B8" w:rsidRPr="00465CA3" w:rsidTr="0089784A">
        <w:trPr>
          <w:trHeight w:val="415"/>
        </w:trPr>
        <w:tc>
          <w:tcPr>
            <w:tcW w:w="227" w:type="pct"/>
          </w:tcPr>
          <w:p w:rsidR="008078B8" w:rsidRPr="00465CA3" w:rsidRDefault="008078B8" w:rsidP="002431AC">
            <w:r w:rsidRPr="00465CA3">
              <w:t>1.</w:t>
            </w:r>
          </w:p>
        </w:tc>
        <w:tc>
          <w:tcPr>
            <w:tcW w:w="1566" w:type="pct"/>
          </w:tcPr>
          <w:p w:rsidR="008078B8" w:rsidRPr="00465CA3" w:rsidRDefault="008078B8" w:rsidP="002431AC">
            <w:r w:rsidRPr="00465CA3">
              <w:t>Nepieciešamie saistītie tiesību aktu projekti</w:t>
            </w:r>
          </w:p>
        </w:tc>
        <w:tc>
          <w:tcPr>
            <w:tcW w:w="3207" w:type="pct"/>
            <w:shd w:val="clear" w:color="auto" w:fill="auto"/>
          </w:tcPr>
          <w:p w:rsidR="00040C96" w:rsidRPr="00040C96" w:rsidRDefault="00B92533" w:rsidP="008D6AB5">
            <w:pPr>
              <w:ind w:left="139" w:right="125"/>
              <w:jc w:val="both"/>
              <w:rPr>
                <w:spacing w:val="-6"/>
              </w:rPr>
            </w:pPr>
            <w:r>
              <w:rPr>
                <w:spacing w:val="-6"/>
              </w:rPr>
              <w:t>Vienlaikus ar likumprojekta spēkā stāšano</w:t>
            </w:r>
            <w:r w:rsidR="009423A6" w:rsidRPr="00040C96">
              <w:rPr>
                <w:spacing w:val="-6"/>
              </w:rPr>
              <w:t xml:space="preserve">s nepieciešams </w:t>
            </w:r>
            <w:r>
              <w:rPr>
                <w:spacing w:val="-6"/>
              </w:rPr>
              <w:t>stāties spēkā grozījumiem</w:t>
            </w:r>
            <w:r w:rsidR="00040C96" w:rsidRPr="00040C96">
              <w:rPr>
                <w:spacing w:val="-6"/>
              </w:rPr>
              <w:t>:</w:t>
            </w:r>
          </w:p>
          <w:p w:rsidR="00040C96" w:rsidRPr="00040C96" w:rsidRDefault="00040C96" w:rsidP="00040C96">
            <w:pPr>
              <w:pStyle w:val="ListParagraph"/>
              <w:numPr>
                <w:ilvl w:val="0"/>
                <w:numId w:val="26"/>
              </w:numPr>
              <w:spacing w:after="0" w:line="240" w:lineRule="auto"/>
              <w:ind w:left="913" w:right="125" w:hanging="357"/>
              <w:jc w:val="both"/>
              <w:rPr>
                <w:rFonts w:ascii="Times New Roman" w:hAnsi="Times New Roman"/>
                <w:spacing w:val="-6"/>
                <w:sz w:val="24"/>
                <w:szCs w:val="24"/>
                <w:lang w:val="lv-LV"/>
              </w:rPr>
            </w:pPr>
            <w:r w:rsidRPr="00040C96">
              <w:rPr>
                <w:rFonts w:ascii="Times New Roman" w:hAnsi="Times New Roman"/>
                <w:spacing w:val="-6"/>
                <w:sz w:val="24"/>
                <w:szCs w:val="24"/>
                <w:lang w:val="lv-LV"/>
              </w:rPr>
              <w:t>Kontu reģistra likumā – iekļaut prasību, ka ieguldījumu pakalpojumu sniedzējs informē Valsts ieņēmumu dienestu par ieguldījumu konta statusa piešķiršanu;</w:t>
            </w:r>
          </w:p>
          <w:p w:rsidR="00166434" w:rsidRPr="00314A99" w:rsidRDefault="009423A6" w:rsidP="00040C96">
            <w:pPr>
              <w:pStyle w:val="ListParagraph"/>
              <w:numPr>
                <w:ilvl w:val="0"/>
                <w:numId w:val="26"/>
              </w:numPr>
              <w:spacing w:after="0" w:line="240" w:lineRule="auto"/>
              <w:ind w:left="913" w:right="125" w:hanging="357"/>
              <w:jc w:val="both"/>
              <w:rPr>
                <w:rFonts w:ascii="Times New Roman" w:hAnsi="Times New Roman"/>
                <w:spacing w:val="-6"/>
                <w:sz w:val="24"/>
                <w:szCs w:val="24"/>
              </w:rPr>
            </w:pPr>
            <w:r w:rsidRPr="00040C96">
              <w:rPr>
                <w:rFonts w:ascii="Times New Roman" w:hAnsi="Times New Roman"/>
                <w:spacing w:val="-6"/>
                <w:sz w:val="24"/>
                <w:szCs w:val="24"/>
                <w:lang w:val="lv-LV"/>
              </w:rPr>
              <w:t>Ministru kabineta 2010.gada 21.septembra noteikumos Nr.899 “</w:t>
            </w:r>
            <w:r w:rsidRPr="00040C96">
              <w:rPr>
                <w:rFonts w:ascii="Times New Roman" w:hAnsi="Times New Roman"/>
                <w:bCs/>
                <w:sz w:val="24"/>
                <w:szCs w:val="24"/>
                <w:shd w:val="clear" w:color="auto" w:fill="FFFFFF"/>
                <w:lang w:val="lv-LV"/>
              </w:rPr>
              <w:t>Likuma "</w:t>
            </w:r>
            <w:hyperlink r:id="rId8" w:tgtFrame="_blank" w:history="1">
              <w:r w:rsidRPr="00040C96">
                <w:rPr>
                  <w:rFonts w:ascii="Times New Roman" w:hAnsi="Times New Roman"/>
                  <w:bCs/>
                  <w:sz w:val="24"/>
                  <w:szCs w:val="24"/>
                  <w:shd w:val="clear" w:color="auto" w:fill="FFFFFF"/>
                  <w:lang w:val="lv-LV"/>
                </w:rPr>
                <w:t>Par iedzīvotāju ienākuma nodokli</w:t>
              </w:r>
            </w:hyperlink>
            <w:r w:rsidRPr="00040C96">
              <w:rPr>
                <w:rFonts w:ascii="Times New Roman" w:hAnsi="Times New Roman"/>
                <w:bCs/>
                <w:sz w:val="24"/>
                <w:szCs w:val="24"/>
                <w:shd w:val="clear" w:color="auto" w:fill="FFFFFF"/>
                <w:lang w:val="lv-LV"/>
              </w:rPr>
              <w:t>" normu piemērošanas kārtība” – papildināt ar ieguldījumu konta izrakstā iekļaujamo informāciju</w:t>
            </w:r>
            <w:r w:rsidR="00B92533">
              <w:rPr>
                <w:rFonts w:ascii="Times New Roman" w:hAnsi="Times New Roman"/>
                <w:bCs/>
                <w:sz w:val="24"/>
                <w:szCs w:val="24"/>
                <w:shd w:val="clear" w:color="auto" w:fill="FFFFFF"/>
                <w:lang w:val="lv-LV"/>
              </w:rPr>
              <w:t>;</w:t>
            </w:r>
          </w:p>
          <w:p w:rsidR="00314A99" w:rsidRPr="00040C96" w:rsidRDefault="00314A99" w:rsidP="00B92533">
            <w:pPr>
              <w:pStyle w:val="ListParagraph"/>
              <w:numPr>
                <w:ilvl w:val="0"/>
                <w:numId w:val="26"/>
              </w:numPr>
              <w:spacing w:after="0" w:line="240" w:lineRule="auto"/>
              <w:ind w:left="913" w:right="125" w:hanging="357"/>
              <w:jc w:val="both"/>
              <w:rPr>
                <w:rFonts w:ascii="Times New Roman" w:hAnsi="Times New Roman"/>
                <w:spacing w:val="-6"/>
                <w:sz w:val="24"/>
                <w:szCs w:val="24"/>
              </w:rPr>
            </w:pPr>
            <w:r>
              <w:rPr>
                <w:rFonts w:ascii="Times New Roman" w:hAnsi="Times New Roman"/>
                <w:bCs/>
                <w:sz w:val="24"/>
                <w:szCs w:val="24"/>
                <w:shd w:val="clear" w:color="auto" w:fill="FFFFFF"/>
                <w:lang w:val="lv-LV"/>
              </w:rPr>
              <w:t xml:space="preserve">Ministru kabineta </w:t>
            </w:r>
            <w:r w:rsidR="00B92533">
              <w:rPr>
                <w:rFonts w:ascii="Times New Roman" w:hAnsi="Times New Roman"/>
                <w:bCs/>
                <w:sz w:val="24"/>
                <w:szCs w:val="24"/>
                <w:shd w:val="clear" w:color="auto" w:fill="FFFFFF"/>
                <w:lang w:val="lv-LV"/>
              </w:rPr>
              <w:t>2008.gada 25.augusta noteikumos</w:t>
            </w:r>
            <w:r w:rsidR="00B21E9A">
              <w:rPr>
                <w:rFonts w:ascii="Times New Roman" w:hAnsi="Times New Roman"/>
                <w:bCs/>
                <w:sz w:val="24"/>
                <w:szCs w:val="24"/>
                <w:shd w:val="clear" w:color="auto" w:fill="FFFFFF"/>
                <w:lang w:val="lv-LV"/>
              </w:rPr>
              <w:t xml:space="preserve"> Nr.677 “Noteikumi par iedzīvotāju ienākuma nodokļa paziņojumiem”</w:t>
            </w:r>
            <w:r w:rsidR="00B92533">
              <w:rPr>
                <w:rFonts w:ascii="Times New Roman" w:hAnsi="Times New Roman"/>
                <w:bCs/>
                <w:sz w:val="24"/>
                <w:szCs w:val="24"/>
                <w:shd w:val="clear" w:color="auto" w:fill="FFFFFF"/>
                <w:lang w:val="lv-LV"/>
              </w:rPr>
              <w:t>.</w:t>
            </w:r>
          </w:p>
        </w:tc>
      </w:tr>
      <w:tr w:rsidR="008078B8" w:rsidRPr="00465CA3" w:rsidTr="006D11E3">
        <w:trPr>
          <w:trHeight w:val="472"/>
        </w:trPr>
        <w:tc>
          <w:tcPr>
            <w:tcW w:w="227" w:type="pct"/>
          </w:tcPr>
          <w:p w:rsidR="008078B8" w:rsidRPr="00465CA3" w:rsidRDefault="008078B8" w:rsidP="002431AC">
            <w:r w:rsidRPr="00465CA3">
              <w:t>2.</w:t>
            </w:r>
          </w:p>
        </w:tc>
        <w:tc>
          <w:tcPr>
            <w:tcW w:w="1566" w:type="pct"/>
          </w:tcPr>
          <w:p w:rsidR="008078B8" w:rsidRPr="00465CA3" w:rsidRDefault="008078B8" w:rsidP="002431AC">
            <w:r w:rsidRPr="00465CA3">
              <w:t>Atbildīgā institūcija</w:t>
            </w:r>
          </w:p>
        </w:tc>
        <w:tc>
          <w:tcPr>
            <w:tcW w:w="3207" w:type="pct"/>
          </w:tcPr>
          <w:p w:rsidR="00040C96" w:rsidRDefault="00040C96" w:rsidP="00CA768A">
            <w:pPr>
              <w:ind w:left="139" w:right="125"/>
              <w:jc w:val="both"/>
              <w:rPr>
                <w:spacing w:val="-6"/>
              </w:rPr>
            </w:pPr>
            <w:r>
              <w:rPr>
                <w:spacing w:val="-6"/>
              </w:rPr>
              <w:t>Kontu reģistra likums – Finanšu ministrija.</w:t>
            </w:r>
          </w:p>
          <w:p w:rsidR="00B64903" w:rsidRDefault="00403F02" w:rsidP="00CA768A">
            <w:pPr>
              <w:ind w:left="139" w:right="125"/>
              <w:jc w:val="both"/>
              <w:rPr>
                <w:bCs/>
                <w:shd w:val="clear" w:color="auto" w:fill="FFFFFF"/>
              </w:rPr>
            </w:pPr>
            <w:r w:rsidRPr="00465CA3">
              <w:rPr>
                <w:spacing w:val="-6"/>
              </w:rPr>
              <w:t>Ministru kabineta 2010.gada 21.septembra noteikumi</w:t>
            </w:r>
            <w:r w:rsidR="00B94FFC" w:rsidRPr="00465CA3">
              <w:rPr>
                <w:spacing w:val="-6"/>
              </w:rPr>
              <w:t xml:space="preserve"> </w:t>
            </w:r>
            <w:r w:rsidRPr="00465CA3">
              <w:rPr>
                <w:spacing w:val="-6"/>
              </w:rPr>
              <w:t>Nr.899 “</w:t>
            </w:r>
            <w:r w:rsidRPr="00465CA3">
              <w:rPr>
                <w:bCs/>
                <w:shd w:val="clear" w:color="auto" w:fill="FFFFFF"/>
              </w:rPr>
              <w:t>Likuma "</w:t>
            </w:r>
            <w:hyperlink r:id="rId9" w:tgtFrame="_blank" w:history="1">
              <w:r w:rsidRPr="00465CA3">
                <w:rPr>
                  <w:bCs/>
                  <w:shd w:val="clear" w:color="auto" w:fill="FFFFFF"/>
                </w:rPr>
                <w:t>Par iedzīvotāju ienākuma nodokli</w:t>
              </w:r>
            </w:hyperlink>
            <w:r w:rsidRPr="00465CA3">
              <w:rPr>
                <w:bCs/>
                <w:shd w:val="clear" w:color="auto" w:fill="FFFFFF"/>
              </w:rPr>
              <w:t xml:space="preserve">" normu piemērošanas kārtība” - </w:t>
            </w:r>
            <w:r w:rsidRPr="00465CA3">
              <w:rPr>
                <w:szCs w:val="20"/>
              </w:rPr>
              <w:t>Finanšu ministrija</w:t>
            </w:r>
            <w:r w:rsidRPr="00465CA3">
              <w:rPr>
                <w:bCs/>
                <w:shd w:val="clear" w:color="auto" w:fill="FFFFFF"/>
              </w:rPr>
              <w:t>.</w:t>
            </w:r>
          </w:p>
          <w:p w:rsidR="00B21E9A" w:rsidRPr="00CA768A" w:rsidRDefault="00B21E9A" w:rsidP="00B92533">
            <w:pPr>
              <w:ind w:left="139" w:right="125"/>
              <w:jc w:val="both"/>
              <w:rPr>
                <w:spacing w:val="-6"/>
              </w:rPr>
            </w:pPr>
            <w:r>
              <w:rPr>
                <w:bCs/>
                <w:shd w:val="clear" w:color="auto" w:fill="FFFFFF"/>
              </w:rPr>
              <w:t>Ministru kabineta 2008.gada 25.augusta noteikumi Nr.677 “Noteikumi par iedzīvotāju ienākuma nodokļa paziņojumiem”– Finanšu ministrija (Valsts ieņēmumu dienests).</w:t>
            </w:r>
          </w:p>
        </w:tc>
      </w:tr>
      <w:tr w:rsidR="008078B8" w:rsidRPr="00465CA3" w:rsidTr="006D11E3">
        <w:tc>
          <w:tcPr>
            <w:tcW w:w="227" w:type="pct"/>
          </w:tcPr>
          <w:p w:rsidR="008078B8" w:rsidRPr="00465CA3" w:rsidRDefault="008078B8" w:rsidP="002431AC">
            <w:r w:rsidRPr="00465CA3">
              <w:t>3.</w:t>
            </w:r>
          </w:p>
        </w:tc>
        <w:tc>
          <w:tcPr>
            <w:tcW w:w="1566" w:type="pct"/>
          </w:tcPr>
          <w:p w:rsidR="008078B8" w:rsidRPr="00465CA3" w:rsidRDefault="008078B8" w:rsidP="002431AC">
            <w:r w:rsidRPr="00465CA3">
              <w:t>Cita informācija</w:t>
            </w:r>
          </w:p>
        </w:tc>
        <w:tc>
          <w:tcPr>
            <w:tcW w:w="3207" w:type="pct"/>
          </w:tcPr>
          <w:p w:rsidR="008078B8" w:rsidRPr="00465CA3" w:rsidRDefault="008078B8" w:rsidP="00CA768A">
            <w:pPr>
              <w:ind w:left="139"/>
            </w:pPr>
            <w:r w:rsidRPr="00465CA3">
              <w:t>Nav.</w:t>
            </w:r>
          </w:p>
        </w:tc>
      </w:tr>
    </w:tbl>
    <w:p w:rsidR="003E7787" w:rsidRPr="00465CA3" w:rsidRDefault="003E7787" w:rsidP="002431AC">
      <w:pPr>
        <w:rPr>
          <w:sz w:val="28"/>
          <w:szCs w:val="28"/>
        </w:rPr>
      </w:pPr>
    </w:p>
    <w:tbl>
      <w:tblPr>
        <w:tblW w:w="9776" w:type="dxa"/>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76"/>
      </w:tblGrid>
      <w:tr w:rsidR="006566DB" w:rsidRPr="00465CA3" w:rsidTr="00B64903">
        <w:tc>
          <w:tcPr>
            <w:tcW w:w="97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66DB" w:rsidRPr="00465CA3" w:rsidRDefault="006566DB">
            <w:pPr>
              <w:pStyle w:val="tvhtml"/>
              <w:spacing w:line="293" w:lineRule="atLeast"/>
              <w:jc w:val="center"/>
              <w:rPr>
                <w:b/>
                <w:bCs/>
              </w:rPr>
            </w:pPr>
            <w:r w:rsidRPr="00465CA3">
              <w:rPr>
                <w:b/>
                <w:bCs/>
              </w:rPr>
              <w:t>V. Tiesību akta projekta atbilstība Latvijas Republikas starptautiskajām saistībām</w:t>
            </w:r>
          </w:p>
        </w:tc>
      </w:tr>
      <w:tr w:rsidR="009123FA" w:rsidRPr="00465CA3" w:rsidTr="00B64903">
        <w:tc>
          <w:tcPr>
            <w:tcW w:w="9776" w:type="dxa"/>
            <w:tcBorders>
              <w:top w:val="outset" w:sz="6" w:space="0" w:color="414142"/>
              <w:left w:val="outset" w:sz="6" w:space="0" w:color="414142"/>
              <w:bottom w:val="outset" w:sz="6" w:space="0" w:color="414142"/>
              <w:right w:val="outset" w:sz="6" w:space="0" w:color="414142"/>
            </w:tcBorders>
            <w:shd w:val="clear" w:color="auto" w:fill="FFFFFF"/>
            <w:hideMark/>
          </w:tcPr>
          <w:p w:rsidR="009123FA" w:rsidRPr="00465CA3" w:rsidRDefault="009123FA" w:rsidP="009123FA">
            <w:pPr>
              <w:jc w:val="center"/>
            </w:pPr>
            <w:r w:rsidRPr="00465CA3">
              <w:t>Projekts šo jomu neskar.</w:t>
            </w:r>
          </w:p>
        </w:tc>
      </w:tr>
    </w:tbl>
    <w:p w:rsidR="00F76D8A" w:rsidRPr="00465CA3" w:rsidRDefault="00F76D8A" w:rsidP="002431AC">
      <w:pPr>
        <w:rPr>
          <w:sz w:val="28"/>
          <w:szCs w:val="28"/>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118"/>
        <w:gridCol w:w="6074"/>
      </w:tblGrid>
      <w:tr w:rsidR="008078B8" w:rsidRPr="00465CA3" w:rsidTr="00B64903">
        <w:trPr>
          <w:trHeight w:val="381"/>
          <w:jc w:val="center"/>
        </w:trPr>
        <w:tc>
          <w:tcPr>
            <w:tcW w:w="9613" w:type="dxa"/>
            <w:gridSpan w:val="3"/>
            <w:vAlign w:val="center"/>
          </w:tcPr>
          <w:p w:rsidR="008078B8" w:rsidRPr="00465CA3" w:rsidRDefault="008078B8" w:rsidP="002431AC">
            <w:pPr>
              <w:jc w:val="center"/>
            </w:pPr>
            <w:r w:rsidRPr="00465CA3">
              <w:rPr>
                <w:b/>
              </w:rPr>
              <w:t>VI. Tiesību akta projekta izpildes nodrošināšana un tās ietekme uz institūcijām</w:t>
            </w:r>
          </w:p>
        </w:tc>
      </w:tr>
      <w:tr w:rsidR="008078B8" w:rsidRPr="00465CA3" w:rsidTr="00B64903">
        <w:trPr>
          <w:trHeight w:val="427"/>
          <w:jc w:val="center"/>
        </w:trPr>
        <w:tc>
          <w:tcPr>
            <w:tcW w:w="421" w:type="dxa"/>
          </w:tcPr>
          <w:p w:rsidR="008078B8" w:rsidRPr="00465CA3" w:rsidRDefault="008078B8" w:rsidP="002431AC">
            <w:r w:rsidRPr="00465CA3">
              <w:t>1.</w:t>
            </w:r>
          </w:p>
        </w:tc>
        <w:tc>
          <w:tcPr>
            <w:tcW w:w="3118" w:type="dxa"/>
          </w:tcPr>
          <w:p w:rsidR="008078B8" w:rsidRPr="00465CA3" w:rsidRDefault="008078B8" w:rsidP="002431AC">
            <w:r w:rsidRPr="00465CA3">
              <w:t>Plānotās sabiedrības līdzdalības un komunikācijas aktivitātes saistībā ar projektu</w:t>
            </w:r>
          </w:p>
        </w:tc>
        <w:tc>
          <w:tcPr>
            <w:tcW w:w="6074" w:type="dxa"/>
          </w:tcPr>
          <w:p w:rsidR="00B64903" w:rsidRPr="00465CA3" w:rsidRDefault="00CA768A" w:rsidP="008D6AB5">
            <w:pPr>
              <w:ind w:left="82" w:right="82"/>
              <w:jc w:val="both"/>
            </w:pPr>
            <w:r>
              <w:t>Likumprojekts izstrādē tika iesaistīta Latvijas Komercbanku asociācija</w:t>
            </w:r>
            <w:r w:rsidR="008D6AB5">
              <w:t xml:space="preserve"> (</w:t>
            </w:r>
            <w:r>
              <w:t>rīkotas vairākas sanāksmes</w:t>
            </w:r>
            <w:r w:rsidR="00B21E9A">
              <w:t>), Latvijas Preses izdevēju asociācija</w:t>
            </w:r>
            <w:r>
              <w:t xml:space="preserve"> </w:t>
            </w:r>
          </w:p>
        </w:tc>
      </w:tr>
      <w:tr w:rsidR="008078B8" w:rsidRPr="00465CA3" w:rsidTr="00B64903">
        <w:trPr>
          <w:trHeight w:val="463"/>
          <w:jc w:val="center"/>
        </w:trPr>
        <w:tc>
          <w:tcPr>
            <w:tcW w:w="421" w:type="dxa"/>
          </w:tcPr>
          <w:p w:rsidR="008078B8" w:rsidRPr="00465CA3" w:rsidRDefault="008078B8" w:rsidP="002431AC">
            <w:r w:rsidRPr="00465CA3">
              <w:t>2.</w:t>
            </w:r>
          </w:p>
        </w:tc>
        <w:tc>
          <w:tcPr>
            <w:tcW w:w="3118" w:type="dxa"/>
          </w:tcPr>
          <w:p w:rsidR="008078B8" w:rsidRPr="00465CA3" w:rsidRDefault="008078B8" w:rsidP="002431AC">
            <w:r w:rsidRPr="00465CA3">
              <w:t>Sabiedrības līdzdalība projekta izstrādē</w:t>
            </w:r>
          </w:p>
        </w:tc>
        <w:tc>
          <w:tcPr>
            <w:tcW w:w="6074" w:type="dxa"/>
          </w:tcPr>
          <w:p w:rsidR="00B64903" w:rsidRPr="00465CA3" w:rsidRDefault="00C22BA0" w:rsidP="00B21E9A">
            <w:pPr>
              <w:ind w:left="82" w:right="82"/>
              <w:jc w:val="both"/>
            </w:pPr>
            <w:r w:rsidRPr="00465CA3">
              <w:rPr>
                <w:rFonts w:eastAsiaTheme="minorHAnsi" w:cstheme="minorBidi"/>
                <w:lang w:eastAsia="en-US"/>
              </w:rPr>
              <w:t>Latvijas Komercbanku asociācija</w:t>
            </w:r>
            <w:r w:rsidR="00542B06" w:rsidRPr="00465CA3">
              <w:rPr>
                <w:rFonts w:eastAsiaTheme="minorHAnsi" w:cstheme="minorBidi"/>
                <w:lang w:eastAsia="en-US"/>
              </w:rPr>
              <w:t xml:space="preserve"> </w:t>
            </w:r>
            <w:r w:rsidR="00CC5C71" w:rsidRPr="00465CA3">
              <w:rPr>
                <w:rFonts w:eastAsiaTheme="minorHAnsi" w:cstheme="minorBidi"/>
                <w:lang w:eastAsia="en-US"/>
              </w:rPr>
              <w:t xml:space="preserve">izteica savus </w:t>
            </w:r>
            <w:r w:rsidR="00D21649">
              <w:rPr>
                <w:rFonts w:eastAsiaTheme="minorHAnsi" w:cstheme="minorBidi"/>
                <w:lang w:eastAsia="en-US"/>
              </w:rPr>
              <w:t>priekšlikumus un ierosinājumus likumprojekta izstrādes procesā.</w:t>
            </w:r>
            <w:r w:rsidR="00B21E9A">
              <w:rPr>
                <w:rFonts w:eastAsiaTheme="minorHAnsi" w:cstheme="minorBidi"/>
                <w:lang w:eastAsia="en-US"/>
              </w:rPr>
              <w:t xml:space="preserve"> Latvijas Preses izdevēju asociācija informēja par nodokļa </w:t>
            </w:r>
            <w:proofErr w:type="spellStart"/>
            <w:r w:rsidR="00B21E9A">
              <w:rPr>
                <w:rFonts w:eastAsiaTheme="minorHAnsi" w:cstheme="minorBidi"/>
                <w:lang w:eastAsia="en-US"/>
              </w:rPr>
              <w:t>pretizvairīšanās</w:t>
            </w:r>
            <w:proofErr w:type="spellEnd"/>
            <w:r w:rsidR="00B21E9A">
              <w:rPr>
                <w:rFonts w:eastAsiaTheme="minorHAnsi" w:cstheme="minorBidi"/>
                <w:lang w:eastAsia="en-US"/>
              </w:rPr>
              <w:t xml:space="preserve"> normu piemērošanas īpatnībām preses izdevumos.</w:t>
            </w:r>
          </w:p>
        </w:tc>
      </w:tr>
      <w:tr w:rsidR="007A4206" w:rsidRPr="00465CA3" w:rsidTr="00B64903">
        <w:trPr>
          <w:trHeight w:val="283"/>
          <w:jc w:val="center"/>
        </w:trPr>
        <w:tc>
          <w:tcPr>
            <w:tcW w:w="421" w:type="dxa"/>
            <w:tcBorders>
              <w:top w:val="single" w:sz="4" w:space="0" w:color="auto"/>
              <w:left w:val="single" w:sz="4" w:space="0" w:color="auto"/>
              <w:bottom w:val="single" w:sz="4" w:space="0" w:color="auto"/>
              <w:right w:val="single" w:sz="4" w:space="0" w:color="auto"/>
            </w:tcBorders>
          </w:tcPr>
          <w:p w:rsidR="007A4206" w:rsidRPr="00465CA3" w:rsidRDefault="007A4206" w:rsidP="007A4206">
            <w:r w:rsidRPr="00465CA3">
              <w:t>3.</w:t>
            </w:r>
          </w:p>
        </w:tc>
        <w:tc>
          <w:tcPr>
            <w:tcW w:w="3118" w:type="dxa"/>
            <w:tcBorders>
              <w:top w:val="single" w:sz="4" w:space="0" w:color="auto"/>
              <w:left w:val="single" w:sz="4" w:space="0" w:color="auto"/>
              <w:bottom w:val="single" w:sz="4" w:space="0" w:color="auto"/>
              <w:right w:val="single" w:sz="4" w:space="0" w:color="auto"/>
            </w:tcBorders>
          </w:tcPr>
          <w:p w:rsidR="007A4206" w:rsidRPr="00465CA3" w:rsidRDefault="007A4206" w:rsidP="007A4206">
            <w:r w:rsidRPr="00465CA3">
              <w:t>Sabiedrības līdzdalības rezultāti</w:t>
            </w:r>
          </w:p>
        </w:tc>
        <w:tc>
          <w:tcPr>
            <w:tcW w:w="6074" w:type="dxa"/>
            <w:tcBorders>
              <w:top w:val="single" w:sz="4" w:space="0" w:color="auto"/>
              <w:left w:val="single" w:sz="4" w:space="0" w:color="auto"/>
              <w:bottom w:val="single" w:sz="4" w:space="0" w:color="auto"/>
              <w:right w:val="single" w:sz="4" w:space="0" w:color="auto"/>
            </w:tcBorders>
          </w:tcPr>
          <w:p w:rsidR="002B129D" w:rsidRPr="00465CA3" w:rsidRDefault="00D21649" w:rsidP="00040C96">
            <w:pPr>
              <w:ind w:left="82" w:right="82"/>
              <w:jc w:val="both"/>
            </w:pPr>
            <w:r>
              <w:t xml:space="preserve">Likumprojekta izstrādes procesā tika </w:t>
            </w:r>
            <w:r w:rsidR="00040C96">
              <w:t>ņemti vērā</w:t>
            </w:r>
            <w:r>
              <w:t xml:space="preserve"> Latvijas Komercbanku asociācijas priekšlikumi.</w:t>
            </w:r>
            <w:r w:rsidR="00B21E9A">
              <w:t xml:space="preserve"> Ar Latvijas Preses izdevēju asociāciju saskaņota specifiskā nodokļa </w:t>
            </w:r>
            <w:proofErr w:type="spellStart"/>
            <w:r w:rsidR="00B21E9A">
              <w:t>pretizvairīšanās</w:t>
            </w:r>
            <w:proofErr w:type="spellEnd"/>
            <w:r w:rsidR="00B21E9A">
              <w:t xml:space="preserve"> norma attiecībā uz autoratlīdzībām.</w:t>
            </w:r>
          </w:p>
        </w:tc>
      </w:tr>
      <w:tr w:rsidR="007A4206" w:rsidRPr="00465CA3" w:rsidTr="00B64903">
        <w:trPr>
          <w:trHeight w:val="279"/>
          <w:jc w:val="center"/>
        </w:trPr>
        <w:tc>
          <w:tcPr>
            <w:tcW w:w="421" w:type="dxa"/>
          </w:tcPr>
          <w:p w:rsidR="007A4206" w:rsidRPr="00465CA3" w:rsidRDefault="007A4206" w:rsidP="007A4206">
            <w:r w:rsidRPr="00465CA3">
              <w:t>4.</w:t>
            </w:r>
          </w:p>
        </w:tc>
        <w:tc>
          <w:tcPr>
            <w:tcW w:w="3118" w:type="dxa"/>
          </w:tcPr>
          <w:p w:rsidR="007A4206" w:rsidRPr="00465CA3" w:rsidRDefault="007A4206" w:rsidP="007A4206">
            <w:r w:rsidRPr="00465CA3">
              <w:t>Cita informācija</w:t>
            </w:r>
          </w:p>
        </w:tc>
        <w:tc>
          <w:tcPr>
            <w:tcW w:w="6074" w:type="dxa"/>
          </w:tcPr>
          <w:p w:rsidR="007A4206" w:rsidRPr="00465CA3" w:rsidRDefault="007A4206" w:rsidP="00D21649">
            <w:pPr>
              <w:ind w:left="114"/>
            </w:pPr>
            <w:r w:rsidRPr="00465CA3">
              <w:t>Nav.</w:t>
            </w:r>
          </w:p>
        </w:tc>
      </w:tr>
    </w:tbl>
    <w:p w:rsidR="008078B8" w:rsidRPr="00465CA3" w:rsidRDefault="008078B8" w:rsidP="002431AC">
      <w:pPr>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3214"/>
        <w:gridCol w:w="6039"/>
      </w:tblGrid>
      <w:tr w:rsidR="008078B8" w:rsidRPr="00465CA3" w:rsidTr="0098659D">
        <w:trPr>
          <w:trHeight w:val="381"/>
          <w:jc w:val="center"/>
        </w:trPr>
        <w:tc>
          <w:tcPr>
            <w:tcW w:w="9720" w:type="dxa"/>
            <w:gridSpan w:val="3"/>
            <w:vAlign w:val="center"/>
          </w:tcPr>
          <w:p w:rsidR="008078B8" w:rsidRPr="00465CA3" w:rsidRDefault="008078B8" w:rsidP="002431AC">
            <w:pPr>
              <w:pStyle w:val="naisnod"/>
              <w:spacing w:before="0" w:after="0"/>
              <w:ind w:left="57" w:right="57"/>
              <w:rPr>
                <w:lang w:val="lv-LV"/>
              </w:rPr>
            </w:pPr>
            <w:r w:rsidRPr="00465CA3">
              <w:rPr>
                <w:lang w:val="lv-LV"/>
              </w:rPr>
              <w:t>VII. Tiesību akta projekta izpildes nodrošināšana un tās ietekme uz institūcijām</w:t>
            </w:r>
          </w:p>
        </w:tc>
      </w:tr>
      <w:tr w:rsidR="008078B8" w:rsidRPr="00465CA3" w:rsidTr="00D21649">
        <w:trPr>
          <w:trHeight w:val="427"/>
          <w:jc w:val="center"/>
        </w:trPr>
        <w:tc>
          <w:tcPr>
            <w:tcW w:w="467" w:type="dxa"/>
          </w:tcPr>
          <w:p w:rsidR="008078B8" w:rsidRPr="00465CA3" w:rsidRDefault="008078B8" w:rsidP="002431AC">
            <w:pPr>
              <w:pStyle w:val="naisnod"/>
              <w:spacing w:before="0" w:after="0"/>
              <w:ind w:left="57" w:right="57"/>
              <w:jc w:val="both"/>
              <w:rPr>
                <w:b w:val="0"/>
                <w:lang w:val="lv-LV"/>
              </w:rPr>
            </w:pPr>
            <w:r w:rsidRPr="00465CA3">
              <w:rPr>
                <w:b w:val="0"/>
                <w:lang w:val="lv-LV"/>
              </w:rPr>
              <w:t>1.</w:t>
            </w:r>
          </w:p>
        </w:tc>
        <w:tc>
          <w:tcPr>
            <w:tcW w:w="3214" w:type="dxa"/>
          </w:tcPr>
          <w:p w:rsidR="008078B8" w:rsidRPr="00465CA3" w:rsidRDefault="008078B8" w:rsidP="00C22BA0">
            <w:pPr>
              <w:pStyle w:val="naisf"/>
              <w:spacing w:before="0" w:after="0"/>
              <w:ind w:left="57" w:right="57" w:firstLine="0"/>
            </w:pPr>
            <w:r w:rsidRPr="00465CA3">
              <w:t>Projekta izpildē iesaistītās institūcijas</w:t>
            </w:r>
          </w:p>
        </w:tc>
        <w:tc>
          <w:tcPr>
            <w:tcW w:w="6039" w:type="dxa"/>
          </w:tcPr>
          <w:p w:rsidR="008078B8" w:rsidRPr="00465CA3" w:rsidRDefault="005563EC" w:rsidP="005563EC">
            <w:pPr>
              <w:shd w:val="clear" w:color="auto" w:fill="FFFFFF"/>
              <w:jc w:val="both"/>
            </w:pPr>
            <w:r w:rsidRPr="00465CA3">
              <w:rPr>
                <w:iCs/>
              </w:rPr>
              <w:t>Valsts ieņēmumu dienests.</w:t>
            </w:r>
          </w:p>
        </w:tc>
      </w:tr>
      <w:tr w:rsidR="008078B8" w:rsidRPr="00465CA3" w:rsidTr="00D21649">
        <w:trPr>
          <w:trHeight w:val="463"/>
          <w:jc w:val="center"/>
        </w:trPr>
        <w:tc>
          <w:tcPr>
            <w:tcW w:w="467" w:type="dxa"/>
          </w:tcPr>
          <w:p w:rsidR="008078B8" w:rsidRPr="00465CA3" w:rsidRDefault="008078B8" w:rsidP="002431AC">
            <w:pPr>
              <w:pStyle w:val="naisnod"/>
              <w:spacing w:before="0" w:after="0"/>
              <w:ind w:left="57" w:right="57"/>
              <w:jc w:val="both"/>
              <w:rPr>
                <w:b w:val="0"/>
                <w:lang w:val="lv-LV"/>
              </w:rPr>
            </w:pPr>
            <w:r w:rsidRPr="00465CA3">
              <w:rPr>
                <w:b w:val="0"/>
                <w:lang w:val="lv-LV"/>
              </w:rPr>
              <w:t>2.</w:t>
            </w:r>
          </w:p>
        </w:tc>
        <w:tc>
          <w:tcPr>
            <w:tcW w:w="3214" w:type="dxa"/>
          </w:tcPr>
          <w:p w:rsidR="008078B8" w:rsidRPr="00465CA3" w:rsidRDefault="008078B8" w:rsidP="00C22BA0">
            <w:pPr>
              <w:pStyle w:val="naisf"/>
              <w:spacing w:before="0" w:after="0"/>
              <w:ind w:left="57" w:right="57" w:firstLine="0"/>
            </w:pPr>
            <w:r w:rsidRPr="00465CA3">
              <w:t>P</w:t>
            </w:r>
            <w:r w:rsidR="00D21649">
              <w:t>rojekta izpildes ietekme uz pār</w:t>
            </w:r>
            <w:r w:rsidRPr="00465CA3">
              <w:t>valdes funkcijām un institucionālo struktūru.</w:t>
            </w:r>
          </w:p>
          <w:p w:rsidR="008078B8" w:rsidRPr="00465CA3" w:rsidRDefault="008078B8" w:rsidP="00C22BA0">
            <w:pPr>
              <w:pStyle w:val="naisf"/>
              <w:spacing w:before="0" w:after="0"/>
              <w:ind w:left="57" w:right="57" w:firstLine="0"/>
            </w:pPr>
            <w:r w:rsidRPr="00465CA3">
              <w:t>Jaunu institūciju izveide, esošu institūciju likvidācija vai reorga</w:t>
            </w:r>
            <w:r w:rsidRPr="00465CA3">
              <w:softHyphen/>
              <w:t>nizācija, to ietekme uz institūcijas cilvēkresursiem</w:t>
            </w:r>
          </w:p>
        </w:tc>
        <w:tc>
          <w:tcPr>
            <w:tcW w:w="6039" w:type="dxa"/>
          </w:tcPr>
          <w:p w:rsidR="001F4FF9" w:rsidRPr="00465CA3" w:rsidRDefault="001F4FF9" w:rsidP="002431AC">
            <w:pPr>
              <w:shd w:val="clear" w:color="auto" w:fill="FFFFFF"/>
              <w:jc w:val="both"/>
            </w:pPr>
            <w:r w:rsidRPr="00465CA3">
              <w:t>Funkcijas un uzdevumi netiek grozīti.</w:t>
            </w:r>
          </w:p>
          <w:p w:rsidR="001F4FF9" w:rsidRPr="00465CA3" w:rsidRDefault="001F4FF9" w:rsidP="002431AC">
            <w:pPr>
              <w:shd w:val="clear" w:color="auto" w:fill="FFFFFF"/>
              <w:jc w:val="both"/>
            </w:pPr>
            <w:r w:rsidRPr="00465CA3">
              <w:rPr>
                <w:rFonts w:eastAsia="Calibri"/>
                <w:lang w:eastAsia="en-US"/>
              </w:rPr>
              <w:t>Jaunas institūcijas nav nepieciešams izveidot.</w:t>
            </w:r>
          </w:p>
          <w:p w:rsidR="001F4FF9" w:rsidRPr="00465CA3" w:rsidRDefault="001F4FF9" w:rsidP="002431AC">
            <w:pPr>
              <w:shd w:val="clear" w:color="auto" w:fill="FFFFFF"/>
              <w:jc w:val="both"/>
            </w:pPr>
            <w:r w:rsidRPr="00465CA3">
              <w:rPr>
                <w:rFonts w:eastAsia="Calibri"/>
                <w:lang w:eastAsia="en-US"/>
              </w:rPr>
              <w:t>Nav plānota esošu institūciju likvidācija vai reorganizācija.</w:t>
            </w:r>
          </w:p>
          <w:p w:rsidR="008078B8" w:rsidRPr="00465CA3" w:rsidRDefault="008078B8" w:rsidP="002431AC">
            <w:pPr>
              <w:shd w:val="clear" w:color="auto" w:fill="FFFFFF"/>
              <w:jc w:val="both"/>
            </w:pPr>
          </w:p>
          <w:p w:rsidR="008078B8" w:rsidRPr="00465CA3" w:rsidRDefault="008078B8" w:rsidP="002431AC">
            <w:pPr>
              <w:shd w:val="clear" w:color="auto" w:fill="FFFFFF"/>
              <w:jc w:val="both"/>
            </w:pPr>
          </w:p>
        </w:tc>
      </w:tr>
      <w:tr w:rsidR="008078B8" w:rsidRPr="00465CA3" w:rsidTr="00D21649">
        <w:trPr>
          <w:trHeight w:val="283"/>
          <w:jc w:val="center"/>
        </w:trPr>
        <w:tc>
          <w:tcPr>
            <w:tcW w:w="467" w:type="dxa"/>
            <w:tcBorders>
              <w:top w:val="single" w:sz="4" w:space="0" w:color="auto"/>
              <w:left w:val="single" w:sz="4" w:space="0" w:color="auto"/>
              <w:bottom w:val="single" w:sz="4" w:space="0" w:color="auto"/>
              <w:right w:val="single" w:sz="4" w:space="0" w:color="auto"/>
            </w:tcBorders>
          </w:tcPr>
          <w:p w:rsidR="008078B8" w:rsidRPr="00465CA3" w:rsidRDefault="008078B8" w:rsidP="002431AC">
            <w:pPr>
              <w:pStyle w:val="naisnod"/>
              <w:spacing w:before="0" w:after="0"/>
              <w:ind w:left="57" w:right="57"/>
              <w:jc w:val="both"/>
              <w:rPr>
                <w:b w:val="0"/>
                <w:lang w:val="lv-LV"/>
              </w:rPr>
            </w:pPr>
            <w:r w:rsidRPr="00465CA3">
              <w:rPr>
                <w:b w:val="0"/>
                <w:lang w:val="lv-LV"/>
              </w:rPr>
              <w:t>3.</w:t>
            </w:r>
          </w:p>
        </w:tc>
        <w:tc>
          <w:tcPr>
            <w:tcW w:w="3214" w:type="dxa"/>
            <w:tcBorders>
              <w:top w:val="single" w:sz="4" w:space="0" w:color="auto"/>
              <w:left w:val="single" w:sz="4" w:space="0" w:color="auto"/>
              <w:bottom w:val="single" w:sz="4" w:space="0" w:color="auto"/>
              <w:right w:val="single" w:sz="4" w:space="0" w:color="auto"/>
            </w:tcBorders>
          </w:tcPr>
          <w:p w:rsidR="008078B8" w:rsidRPr="00465CA3" w:rsidRDefault="008078B8" w:rsidP="004A2D80">
            <w:pPr>
              <w:pStyle w:val="naisf"/>
              <w:spacing w:before="0" w:after="0"/>
              <w:ind w:right="57" w:firstLine="0"/>
            </w:pPr>
            <w:r w:rsidRPr="00465CA3">
              <w:t>Cita informācija</w:t>
            </w:r>
          </w:p>
        </w:tc>
        <w:tc>
          <w:tcPr>
            <w:tcW w:w="6039" w:type="dxa"/>
            <w:tcBorders>
              <w:top w:val="single" w:sz="4" w:space="0" w:color="auto"/>
              <w:left w:val="single" w:sz="4" w:space="0" w:color="auto"/>
              <w:bottom w:val="single" w:sz="4" w:space="0" w:color="auto"/>
              <w:right w:val="single" w:sz="4" w:space="0" w:color="auto"/>
            </w:tcBorders>
          </w:tcPr>
          <w:p w:rsidR="008078B8" w:rsidRPr="00465CA3" w:rsidRDefault="008078B8" w:rsidP="002431AC">
            <w:pPr>
              <w:ind w:right="57"/>
              <w:jc w:val="both"/>
            </w:pPr>
            <w:r w:rsidRPr="00465CA3">
              <w:t>Nav.</w:t>
            </w:r>
          </w:p>
        </w:tc>
      </w:tr>
    </w:tbl>
    <w:p w:rsidR="00A43FDF" w:rsidRDefault="00A43FDF" w:rsidP="009A35C1">
      <w:pPr>
        <w:pStyle w:val="naisf"/>
        <w:tabs>
          <w:tab w:val="right" w:pos="9000"/>
        </w:tabs>
        <w:spacing w:before="0" w:after="0"/>
        <w:ind w:firstLine="709"/>
        <w:rPr>
          <w:sz w:val="28"/>
          <w:szCs w:val="28"/>
        </w:rPr>
      </w:pPr>
    </w:p>
    <w:p w:rsidR="00A56001" w:rsidRPr="00465CA3" w:rsidRDefault="00A56001" w:rsidP="009A35C1">
      <w:pPr>
        <w:pStyle w:val="naisf"/>
        <w:tabs>
          <w:tab w:val="right" w:pos="9000"/>
        </w:tabs>
        <w:spacing w:before="0" w:after="0"/>
        <w:ind w:firstLine="709"/>
        <w:rPr>
          <w:sz w:val="28"/>
          <w:szCs w:val="28"/>
        </w:rPr>
      </w:pPr>
    </w:p>
    <w:p w:rsidR="00A43FDF" w:rsidRPr="00465CA3" w:rsidRDefault="000B2D7B" w:rsidP="009A35C1">
      <w:pPr>
        <w:tabs>
          <w:tab w:val="left" w:pos="6521"/>
          <w:tab w:val="right" w:pos="8820"/>
        </w:tabs>
        <w:ind w:firstLine="709"/>
      </w:pPr>
      <w:r w:rsidRPr="00465CA3">
        <w:t>Finanšu ministre</w:t>
      </w:r>
      <w:r w:rsidRPr="00465CA3">
        <w:tab/>
        <w:t xml:space="preserve">D. </w:t>
      </w:r>
      <w:r w:rsidR="00A43FDF" w:rsidRPr="00465CA3">
        <w:t>Reizniece-Ozola</w:t>
      </w:r>
    </w:p>
    <w:p w:rsidR="00B64903" w:rsidRDefault="00B64903" w:rsidP="002431AC">
      <w:pPr>
        <w:rPr>
          <w:iCs/>
          <w:sz w:val="20"/>
          <w:szCs w:val="20"/>
        </w:rPr>
      </w:pPr>
    </w:p>
    <w:p w:rsidR="00A56001" w:rsidRDefault="00A56001" w:rsidP="002431AC">
      <w:pPr>
        <w:rPr>
          <w:iCs/>
          <w:sz w:val="20"/>
          <w:szCs w:val="20"/>
        </w:rPr>
      </w:pPr>
    </w:p>
    <w:p w:rsidR="00A56001" w:rsidRDefault="00A56001" w:rsidP="002431AC">
      <w:pPr>
        <w:rPr>
          <w:iCs/>
          <w:sz w:val="20"/>
          <w:szCs w:val="20"/>
        </w:rPr>
      </w:pPr>
    </w:p>
    <w:p w:rsidR="00A56001" w:rsidRDefault="00A56001" w:rsidP="002431AC">
      <w:pPr>
        <w:rPr>
          <w:iCs/>
          <w:sz w:val="20"/>
          <w:szCs w:val="20"/>
        </w:rPr>
      </w:pPr>
    </w:p>
    <w:p w:rsidR="00A56001" w:rsidRDefault="00A56001" w:rsidP="002431AC">
      <w:pPr>
        <w:rPr>
          <w:iCs/>
          <w:sz w:val="20"/>
          <w:szCs w:val="20"/>
        </w:rPr>
      </w:pPr>
    </w:p>
    <w:p w:rsidR="00A56001" w:rsidRPr="00465CA3" w:rsidRDefault="00A56001" w:rsidP="002431AC">
      <w:pPr>
        <w:rPr>
          <w:iCs/>
          <w:sz w:val="20"/>
          <w:szCs w:val="20"/>
        </w:rPr>
      </w:pPr>
    </w:p>
    <w:p w:rsidR="003128AB" w:rsidRPr="00465CA3" w:rsidRDefault="003128AB" w:rsidP="002431AC">
      <w:pPr>
        <w:rPr>
          <w:iCs/>
          <w:sz w:val="20"/>
          <w:szCs w:val="20"/>
        </w:rPr>
      </w:pPr>
      <w:r w:rsidRPr="00465CA3">
        <w:rPr>
          <w:iCs/>
          <w:sz w:val="20"/>
          <w:szCs w:val="20"/>
        </w:rPr>
        <w:t>Orehova 67095494</w:t>
      </w:r>
    </w:p>
    <w:p w:rsidR="003128AB" w:rsidRPr="00465CA3" w:rsidRDefault="00EB758A" w:rsidP="002431AC">
      <w:pPr>
        <w:rPr>
          <w:iCs/>
          <w:sz w:val="20"/>
          <w:szCs w:val="20"/>
        </w:rPr>
      </w:pPr>
      <w:hyperlink r:id="rId10" w:history="1">
        <w:r w:rsidR="003128AB" w:rsidRPr="00465CA3">
          <w:rPr>
            <w:rStyle w:val="Hyperlink"/>
            <w:sz w:val="20"/>
            <w:szCs w:val="20"/>
          </w:rPr>
          <w:t>Anda.Orehova@fm.gov.lv</w:t>
        </w:r>
      </w:hyperlink>
      <w:r w:rsidR="003128AB" w:rsidRPr="00465CA3">
        <w:rPr>
          <w:iCs/>
          <w:sz w:val="20"/>
          <w:szCs w:val="20"/>
        </w:rPr>
        <w:t xml:space="preserve"> </w:t>
      </w:r>
    </w:p>
    <w:p w:rsidR="003128AB" w:rsidRPr="00465CA3" w:rsidRDefault="003128AB" w:rsidP="002431AC">
      <w:pPr>
        <w:rPr>
          <w:iCs/>
          <w:sz w:val="20"/>
          <w:szCs w:val="20"/>
        </w:rPr>
      </w:pPr>
    </w:p>
    <w:p w:rsidR="00EE3D21" w:rsidRPr="00465CA3" w:rsidRDefault="00EE3D21" w:rsidP="002431AC">
      <w:pPr>
        <w:rPr>
          <w:sz w:val="20"/>
          <w:szCs w:val="16"/>
          <w:lang w:eastAsia="en-US"/>
        </w:rPr>
      </w:pPr>
      <w:r w:rsidRPr="00465CA3">
        <w:rPr>
          <w:sz w:val="20"/>
        </w:rPr>
        <w:t>Veinberga 67083848</w:t>
      </w:r>
    </w:p>
    <w:p w:rsidR="00A43FDF" w:rsidRPr="00465CA3" w:rsidRDefault="00EB758A" w:rsidP="002431AC">
      <w:pPr>
        <w:jc w:val="both"/>
        <w:rPr>
          <w:color w:val="0000FF"/>
          <w:sz w:val="20"/>
          <w:u w:val="single"/>
        </w:rPr>
      </w:pPr>
      <w:hyperlink r:id="rId11" w:history="1">
        <w:r w:rsidR="00EE3D21" w:rsidRPr="00465CA3">
          <w:rPr>
            <w:color w:val="0000FF"/>
            <w:sz w:val="20"/>
            <w:u w:val="single"/>
          </w:rPr>
          <w:t>Inese.Veinberga@fm.gov.lv</w:t>
        </w:r>
      </w:hyperlink>
    </w:p>
    <w:sectPr w:rsidR="00A43FDF" w:rsidRPr="00465CA3" w:rsidSect="002E4EAC">
      <w:headerReference w:type="even" r:id="rId12"/>
      <w:headerReference w:type="default" r:id="rId13"/>
      <w:footerReference w:type="even" r:id="rId14"/>
      <w:footerReference w:type="default" r:id="rId15"/>
      <w:footerReference w:type="first" r:id="rId16"/>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53" w:rsidRDefault="00037C53">
      <w:r>
        <w:separator/>
      </w:r>
    </w:p>
  </w:endnote>
  <w:endnote w:type="continuationSeparator" w:id="0">
    <w:p w:rsidR="00037C53" w:rsidRDefault="0003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4E" w:rsidRDefault="004F7A4E"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7A4E" w:rsidRDefault="004F7A4E"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4E" w:rsidRPr="003424AC" w:rsidRDefault="004F7A4E" w:rsidP="002431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B758A">
      <w:rPr>
        <w:noProof/>
        <w:sz w:val="20"/>
        <w:szCs w:val="20"/>
      </w:rPr>
      <w:t>FMAnot_190917_IINgroz.docx</w:t>
    </w:r>
    <w:r>
      <w:rPr>
        <w:sz w:val="20"/>
        <w:szCs w:val="20"/>
      </w:rPr>
      <w:fldChar w:fldCharType="end"/>
    </w:r>
    <w:r w:rsidRPr="001E4890">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4E" w:rsidRPr="003424AC" w:rsidRDefault="004F7A4E" w:rsidP="003424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B758A">
      <w:rPr>
        <w:noProof/>
        <w:sz w:val="20"/>
        <w:szCs w:val="20"/>
      </w:rPr>
      <w:t>FMAnot_190917_IINgroz.docx</w:t>
    </w:r>
    <w:r>
      <w:rPr>
        <w:sz w:val="20"/>
        <w:szCs w:val="20"/>
      </w:rPr>
      <w:fldChar w:fldCharType="end"/>
    </w:r>
    <w:r w:rsidRPr="001E489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53" w:rsidRDefault="00037C53">
      <w:r>
        <w:separator/>
      </w:r>
    </w:p>
  </w:footnote>
  <w:footnote w:type="continuationSeparator" w:id="0">
    <w:p w:rsidR="00037C53" w:rsidRDefault="00037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4E" w:rsidRDefault="004F7A4E"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A4E" w:rsidRDefault="004F7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4E" w:rsidRDefault="004F7A4E"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58A">
      <w:rPr>
        <w:rStyle w:val="PageNumber"/>
        <w:noProof/>
      </w:rPr>
      <w:t>10</w:t>
    </w:r>
    <w:r>
      <w:rPr>
        <w:rStyle w:val="PageNumber"/>
      </w:rPr>
      <w:fldChar w:fldCharType="end"/>
    </w:r>
  </w:p>
  <w:p w:rsidR="004F7A4E" w:rsidRPr="004F7101" w:rsidRDefault="004F7A4E"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B2A"/>
    <w:multiLevelType w:val="hybridMultilevel"/>
    <w:tmpl w:val="24FAE3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78151C"/>
    <w:multiLevelType w:val="hybridMultilevel"/>
    <w:tmpl w:val="1C6802E8"/>
    <w:lvl w:ilvl="0" w:tplc="BDAE70D6">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CF2DCE"/>
    <w:multiLevelType w:val="hybridMultilevel"/>
    <w:tmpl w:val="0914C0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FB01EC"/>
    <w:multiLevelType w:val="multilevel"/>
    <w:tmpl w:val="CCA0C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6C12451"/>
    <w:multiLevelType w:val="hybridMultilevel"/>
    <w:tmpl w:val="87B0E57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96449B"/>
    <w:multiLevelType w:val="multilevel"/>
    <w:tmpl w:val="C9541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575A2"/>
    <w:multiLevelType w:val="hybridMultilevel"/>
    <w:tmpl w:val="64BC0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9F565D1"/>
    <w:multiLevelType w:val="hybridMultilevel"/>
    <w:tmpl w:val="870A100A"/>
    <w:lvl w:ilvl="0" w:tplc="5A0E3C56">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F71331"/>
    <w:multiLevelType w:val="hybridMultilevel"/>
    <w:tmpl w:val="F37A2F0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nsid w:val="3C084DE7"/>
    <w:multiLevelType w:val="hybridMultilevel"/>
    <w:tmpl w:val="A914FBEC"/>
    <w:lvl w:ilvl="0" w:tplc="0426000F">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11">
    <w:nsid w:val="49243A13"/>
    <w:multiLevelType w:val="hybridMultilevel"/>
    <w:tmpl w:val="EBC2F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946003"/>
    <w:multiLevelType w:val="hybridMultilevel"/>
    <w:tmpl w:val="4E244110"/>
    <w:lvl w:ilvl="0" w:tplc="04260011">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3">
    <w:nsid w:val="548B24DE"/>
    <w:multiLevelType w:val="hybridMultilevel"/>
    <w:tmpl w:val="19AA1694"/>
    <w:lvl w:ilvl="0" w:tplc="A9327C64">
      <w:start w:val="19"/>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4">
    <w:nsid w:val="550E473A"/>
    <w:multiLevelType w:val="hybridMultilevel"/>
    <w:tmpl w:val="1F148C9E"/>
    <w:lvl w:ilvl="0" w:tplc="A97A45EE">
      <w:start w:val="7"/>
      <w:numFmt w:val="bullet"/>
      <w:lvlText w:val="-"/>
      <w:lvlJc w:val="left"/>
      <w:pPr>
        <w:ind w:left="361" w:hanging="360"/>
      </w:pPr>
      <w:rPr>
        <w:rFonts w:ascii="Times New Roman" w:eastAsia="Times New Roman" w:hAnsi="Times New Roman" w:cs="Times New Roman" w:hint="default"/>
      </w:rPr>
    </w:lvl>
    <w:lvl w:ilvl="1" w:tplc="04260003" w:tentative="1">
      <w:start w:val="1"/>
      <w:numFmt w:val="bullet"/>
      <w:lvlText w:val="o"/>
      <w:lvlJc w:val="left"/>
      <w:pPr>
        <w:ind w:left="1081" w:hanging="360"/>
      </w:pPr>
      <w:rPr>
        <w:rFonts w:ascii="Courier New" w:hAnsi="Courier New" w:cs="Courier New" w:hint="default"/>
      </w:rPr>
    </w:lvl>
    <w:lvl w:ilvl="2" w:tplc="04260005" w:tentative="1">
      <w:start w:val="1"/>
      <w:numFmt w:val="bullet"/>
      <w:lvlText w:val=""/>
      <w:lvlJc w:val="left"/>
      <w:pPr>
        <w:ind w:left="1801" w:hanging="360"/>
      </w:pPr>
      <w:rPr>
        <w:rFonts w:ascii="Wingdings" w:hAnsi="Wingdings" w:hint="default"/>
      </w:rPr>
    </w:lvl>
    <w:lvl w:ilvl="3" w:tplc="04260001" w:tentative="1">
      <w:start w:val="1"/>
      <w:numFmt w:val="bullet"/>
      <w:lvlText w:val=""/>
      <w:lvlJc w:val="left"/>
      <w:pPr>
        <w:ind w:left="2521" w:hanging="360"/>
      </w:pPr>
      <w:rPr>
        <w:rFonts w:ascii="Symbol" w:hAnsi="Symbol" w:hint="default"/>
      </w:rPr>
    </w:lvl>
    <w:lvl w:ilvl="4" w:tplc="04260003" w:tentative="1">
      <w:start w:val="1"/>
      <w:numFmt w:val="bullet"/>
      <w:lvlText w:val="o"/>
      <w:lvlJc w:val="left"/>
      <w:pPr>
        <w:ind w:left="3241" w:hanging="360"/>
      </w:pPr>
      <w:rPr>
        <w:rFonts w:ascii="Courier New" w:hAnsi="Courier New" w:cs="Courier New" w:hint="default"/>
      </w:rPr>
    </w:lvl>
    <w:lvl w:ilvl="5" w:tplc="04260005" w:tentative="1">
      <w:start w:val="1"/>
      <w:numFmt w:val="bullet"/>
      <w:lvlText w:val=""/>
      <w:lvlJc w:val="left"/>
      <w:pPr>
        <w:ind w:left="3961" w:hanging="360"/>
      </w:pPr>
      <w:rPr>
        <w:rFonts w:ascii="Wingdings" w:hAnsi="Wingdings" w:hint="default"/>
      </w:rPr>
    </w:lvl>
    <w:lvl w:ilvl="6" w:tplc="04260001" w:tentative="1">
      <w:start w:val="1"/>
      <w:numFmt w:val="bullet"/>
      <w:lvlText w:val=""/>
      <w:lvlJc w:val="left"/>
      <w:pPr>
        <w:ind w:left="4681" w:hanging="360"/>
      </w:pPr>
      <w:rPr>
        <w:rFonts w:ascii="Symbol" w:hAnsi="Symbol" w:hint="default"/>
      </w:rPr>
    </w:lvl>
    <w:lvl w:ilvl="7" w:tplc="04260003" w:tentative="1">
      <w:start w:val="1"/>
      <w:numFmt w:val="bullet"/>
      <w:lvlText w:val="o"/>
      <w:lvlJc w:val="left"/>
      <w:pPr>
        <w:ind w:left="5401" w:hanging="360"/>
      </w:pPr>
      <w:rPr>
        <w:rFonts w:ascii="Courier New" w:hAnsi="Courier New" w:cs="Courier New" w:hint="default"/>
      </w:rPr>
    </w:lvl>
    <w:lvl w:ilvl="8" w:tplc="04260005" w:tentative="1">
      <w:start w:val="1"/>
      <w:numFmt w:val="bullet"/>
      <w:lvlText w:val=""/>
      <w:lvlJc w:val="left"/>
      <w:pPr>
        <w:ind w:left="6121" w:hanging="360"/>
      </w:pPr>
      <w:rPr>
        <w:rFonts w:ascii="Wingdings" w:hAnsi="Wingdings" w:hint="default"/>
      </w:rPr>
    </w:lvl>
  </w:abstractNum>
  <w:abstractNum w:abstractNumId="15">
    <w:nsid w:val="6994287F"/>
    <w:multiLevelType w:val="hybridMultilevel"/>
    <w:tmpl w:val="976ED492"/>
    <w:lvl w:ilvl="0" w:tplc="A9327C6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A592CE5"/>
    <w:multiLevelType w:val="hybridMultilevel"/>
    <w:tmpl w:val="31108E36"/>
    <w:lvl w:ilvl="0" w:tplc="5A0E3C56">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CCB7D1F"/>
    <w:multiLevelType w:val="hybridMultilevel"/>
    <w:tmpl w:val="E8EA0D66"/>
    <w:lvl w:ilvl="0" w:tplc="5A0E3C56">
      <w:start w:val="202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75E11E7"/>
    <w:multiLevelType w:val="hybridMultilevel"/>
    <w:tmpl w:val="0F70C168"/>
    <w:lvl w:ilvl="0" w:tplc="0426000F">
      <w:start w:val="1"/>
      <w:numFmt w:val="decimal"/>
      <w:lvlText w:val="%1."/>
      <w:lvlJc w:val="left"/>
      <w:pPr>
        <w:ind w:left="863" w:hanging="360"/>
      </w:pPr>
    </w:lvl>
    <w:lvl w:ilvl="1" w:tplc="04260019" w:tentative="1">
      <w:start w:val="1"/>
      <w:numFmt w:val="lowerLetter"/>
      <w:lvlText w:val="%2."/>
      <w:lvlJc w:val="left"/>
      <w:pPr>
        <w:ind w:left="1583" w:hanging="360"/>
      </w:pPr>
    </w:lvl>
    <w:lvl w:ilvl="2" w:tplc="0426001B" w:tentative="1">
      <w:start w:val="1"/>
      <w:numFmt w:val="lowerRoman"/>
      <w:lvlText w:val="%3."/>
      <w:lvlJc w:val="right"/>
      <w:pPr>
        <w:ind w:left="2303" w:hanging="180"/>
      </w:pPr>
    </w:lvl>
    <w:lvl w:ilvl="3" w:tplc="0426000F" w:tentative="1">
      <w:start w:val="1"/>
      <w:numFmt w:val="decimal"/>
      <w:lvlText w:val="%4."/>
      <w:lvlJc w:val="left"/>
      <w:pPr>
        <w:ind w:left="3023" w:hanging="360"/>
      </w:pPr>
    </w:lvl>
    <w:lvl w:ilvl="4" w:tplc="04260019" w:tentative="1">
      <w:start w:val="1"/>
      <w:numFmt w:val="lowerLetter"/>
      <w:lvlText w:val="%5."/>
      <w:lvlJc w:val="left"/>
      <w:pPr>
        <w:ind w:left="3743" w:hanging="360"/>
      </w:pPr>
    </w:lvl>
    <w:lvl w:ilvl="5" w:tplc="0426001B" w:tentative="1">
      <w:start w:val="1"/>
      <w:numFmt w:val="lowerRoman"/>
      <w:lvlText w:val="%6."/>
      <w:lvlJc w:val="right"/>
      <w:pPr>
        <w:ind w:left="4463" w:hanging="180"/>
      </w:pPr>
    </w:lvl>
    <w:lvl w:ilvl="6" w:tplc="0426000F" w:tentative="1">
      <w:start w:val="1"/>
      <w:numFmt w:val="decimal"/>
      <w:lvlText w:val="%7."/>
      <w:lvlJc w:val="left"/>
      <w:pPr>
        <w:ind w:left="5183" w:hanging="360"/>
      </w:pPr>
    </w:lvl>
    <w:lvl w:ilvl="7" w:tplc="04260019" w:tentative="1">
      <w:start w:val="1"/>
      <w:numFmt w:val="lowerLetter"/>
      <w:lvlText w:val="%8."/>
      <w:lvlJc w:val="left"/>
      <w:pPr>
        <w:ind w:left="5903" w:hanging="360"/>
      </w:pPr>
    </w:lvl>
    <w:lvl w:ilvl="8" w:tplc="0426001B" w:tentative="1">
      <w:start w:val="1"/>
      <w:numFmt w:val="lowerRoman"/>
      <w:lvlText w:val="%9."/>
      <w:lvlJc w:val="right"/>
      <w:pPr>
        <w:ind w:left="6623" w:hanging="180"/>
      </w:pPr>
    </w:lvl>
  </w:abstractNum>
  <w:num w:numId="1">
    <w:abstractNumId w:val="12"/>
  </w:num>
  <w:num w:numId="2">
    <w:abstractNumId w:val="1"/>
  </w:num>
  <w:num w:numId="3">
    <w:abstractNumId w:val="6"/>
  </w:num>
  <w:num w:numId="4">
    <w:abstractNumId w:val="2"/>
  </w:num>
  <w:num w:numId="5">
    <w:abstractNumId w:val="15"/>
  </w:num>
  <w:num w:numId="6">
    <w:abstractNumId w:val="7"/>
  </w:num>
  <w:num w:numId="7">
    <w:abstractNumId w:val="5"/>
  </w:num>
  <w:num w:numId="8">
    <w:abstractNumId w:val="11"/>
  </w:num>
  <w:num w:numId="9">
    <w:abstractNumId w:val="16"/>
  </w:num>
  <w:num w:numId="10">
    <w:abstractNumId w:val="17"/>
  </w:num>
  <w:num w:numId="11">
    <w:abstractNumId w:val="8"/>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9"/>
  </w:num>
  <w:num w:numId="26">
    <w:abstractNumId w:val="10"/>
  </w:num>
  <w:num w:numId="27">
    <w:abstractNumId w:val="3"/>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3C1"/>
    <w:rsid w:val="00001FA9"/>
    <w:rsid w:val="00002952"/>
    <w:rsid w:val="00002C14"/>
    <w:rsid w:val="00003633"/>
    <w:rsid w:val="00010698"/>
    <w:rsid w:val="00011432"/>
    <w:rsid w:val="00011ED2"/>
    <w:rsid w:val="00012DFA"/>
    <w:rsid w:val="0001378E"/>
    <w:rsid w:val="000142E6"/>
    <w:rsid w:val="00014CDC"/>
    <w:rsid w:val="00016A43"/>
    <w:rsid w:val="0001718B"/>
    <w:rsid w:val="0002043D"/>
    <w:rsid w:val="000215CC"/>
    <w:rsid w:val="00021B0B"/>
    <w:rsid w:val="00022EE9"/>
    <w:rsid w:val="0002317F"/>
    <w:rsid w:val="00023D4B"/>
    <w:rsid w:val="00026585"/>
    <w:rsid w:val="00026B38"/>
    <w:rsid w:val="00026C4D"/>
    <w:rsid w:val="00027D92"/>
    <w:rsid w:val="00030430"/>
    <w:rsid w:val="0003067D"/>
    <w:rsid w:val="00031178"/>
    <w:rsid w:val="00031574"/>
    <w:rsid w:val="0003205A"/>
    <w:rsid w:val="00032913"/>
    <w:rsid w:val="0003342F"/>
    <w:rsid w:val="00034373"/>
    <w:rsid w:val="00035354"/>
    <w:rsid w:val="00036312"/>
    <w:rsid w:val="00037B40"/>
    <w:rsid w:val="00037C53"/>
    <w:rsid w:val="00037DA3"/>
    <w:rsid w:val="00037FAF"/>
    <w:rsid w:val="00040C96"/>
    <w:rsid w:val="00040E0A"/>
    <w:rsid w:val="0004140E"/>
    <w:rsid w:val="00042338"/>
    <w:rsid w:val="000458F3"/>
    <w:rsid w:val="00047364"/>
    <w:rsid w:val="00047D53"/>
    <w:rsid w:val="00051A01"/>
    <w:rsid w:val="00052654"/>
    <w:rsid w:val="00052B2C"/>
    <w:rsid w:val="00053620"/>
    <w:rsid w:val="00054CDF"/>
    <w:rsid w:val="00055235"/>
    <w:rsid w:val="000554C1"/>
    <w:rsid w:val="0005558D"/>
    <w:rsid w:val="00056D4F"/>
    <w:rsid w:val="0005736C"/>
    <w:rsid w:val="00060EB8"/>
    <w:rsid w:val="0006132B"/>
    <w:rsid w:val="00062165"/>
    <w:rsid w:val="000622AA"/>
    <w:rsid w:val="00062337"/>
    <w:rsid w:val="00062AC3"/>
    <w:rsid w:val="00062B41"/>
    <w:rsid w:val="00063764"/>
    <w:rsid w:val="00065A07"/>
    <w:rsid w:val="00066F29"/>
    <w:rsid w:val="00067B4D"/>
    <w:rsid w:val="0007105F"/>
    <w:rsid w:val="000714CA"/>
    <w:rsid w:val="000728B0"/>
    <w:rsid w:val="000733D6"/>
    <w:rsid w:val="0007487C"/>
    <w:rsid w:val="00074981"/>
    <w:rsid w:val="000751F5"/>
    <w:rsid w:val="00075321"/>
    <w:rsid w:val="0008187B"/>
    <w:rsid w:val="000818A1"/>
    <w:rsid w:val="000829E3"/>
    <w:rsid w:val="000830FB"/>
    <w:rsid w:val="00084240"/>
    <w:rsid w:val="00085B64"/>
    <w:rsid w:val="000865BC"/>
    <w:rsid w:val="000869D1"/>
    <w:rsid w:val="00091B35"/>
    <w:rsid w:val="000961DA"/>
    <w:rsid w:val="00097A82"/>
    <w:rsid w:val="000A19BA"/>
    <w:rsid w:val="000A346E"/>
    <w:rsid w:val="000A3518"/>
    <w:rsid w:val="000A3996"/>
    <w:rsid w:val="000A3E14"/>
    <w:rsid w:val="000A441E"/>
    <w:rsid w:val="000A4727"/>
    <w:rsid w:val="000A4BC1"/>
    <w:rsid w:val="000A5131"/>
    <w:rsid w:val="000A5AA1"/>
    <w:rsid w:val="000A716C"/>
    <w:rsid w:val="000A77FB"/>
    <w:rsid w:val="000A7E6D"/>
    <w:rsid w:val="000B07AB"/>
    <w:rsid w:val="000B0ABF"/>
    <w:rsid w:val="000B11E0"/>
    <w:rsid w:val="000B161F"/>
    <w:rsid w:val="000B1E04"/>
    <w:rsid w:val="000B2853"/>
    <w:rsid w:val="000B2D7B"/>
    <w:rsid w:val="000B393B"/>
    <w:rsid w:val="000B412C"/>
    <w:rsid w:val="000B4230"/>
    <w:rsid w:val="000B4897"/>
    <w:rsid w:val="000B7E86"/>
    <w:rsid w:val="000C104E"/>
    <w:rsid w:val="000C29F6"/>
    <w:rsid w:val="000C52B4"/>
    <w:rsid w:val="000C5DBA"/>
    <w:rsid w:val="000C5F53"/>
    <w:rsid w:val="000C74A0"/>
    <w:rsid w:val="000C7791"/>
    <w:rsid w:val="000C7F8E"/>
    <w:rsid w:val="000D001D"/>
    <w:rsid w:val="000D1D93"/>
    <w:rsid w:val="000D56AA"/>
    <w:rsid w:val="000D6B22"/>
    <w:rsid w:val="000E0A41"/>
    <w:rsid w:val="000E0D5D"/>
    <w:rsid w:val="000E1E93"/>
    <w:rsid w:val="000E2287"/>
    <w:rsid w:val="000E2426"/>
    <w:rsid w:val="000E5345"/>
    <w:rsid w:val="000E638B"/>
    <w:rsid w:val="000E65AB"/>
    <w:rsid w:val="000E6C5A"/>
    <w:rsid w:val="000E7BB9"/>
    <w:rsid w:val="000F01C4"/>
    <w:rsid w:val="000F06E2"/>
    <w:rsid w:val="000F092F"/>
    <w:rsid w:val="000F1841"/>
    <w:rsid w:val="000F29E0"/>
    <w:rsid w:val="000F4C09"/>
    <w:rsid w:val="000F52CA"/>
    <w:rsid w:val="000F6111"/>
    <w:rsid w:val="000F758B"/>
    <w:rsid w:val="00102F39"/>
    <w:rsid w:val="001036E5"/>
    <w:rsid w:val="001044CC"/>
    <w:rsid w:val="00104785"/>
    <w:rsid w:val="0010525A"/>
    <w:rsid w:val="00106249"/>
    <w:rsid w:val="00106600"/>
    <w:rsid w:val="00106919"/>
    <w:rsid w:val="0010798A"/>
    <w:rsid w:val="0011030F"/>
    <w:rsid w:val="00110D0B"/>
    <w:rsid w:val="00110D8A"/>
    <w:rsid w:val="00111789"/>
    <w:rsid w:val="00112D08"/>
    <w:rsid w:val="00113637"/>
    <w:rsid w:val="001137FC"/>
    <w:rsid w:val="00113EB6"/>
    <w:rsid w:val="0011486D"/>
    <w:rsid w:val="00114E98"/>
    <w:rsid w:val="00115101"/>
    <w:rsid w:val="00115533"/>
    <w:rsid w:val="001171F3"/>
    <w:rsid w:val="001173E0"/>
    <w:rsid w:val="0012134D"/>
    <w:rsid w:val="001215EE"/>
    <w:rsid w:val="0012213E"/>
    <w:rsid w:val="001237BA"/>
    <w:rsid w:val="00123A37"/>
    <w:rsid w:val="00123E1D"/>
    <w:rsid w:val="00126754"/>
    <w:rsid w:val="00126D5D"/>
    <w:rsid w:val="00127C9A"/>
    <w:rsid w:val="00130051"/>
    <w:rsid w:val="00130CC4"/>
    <w:rsid w:val="00131B06"/>
    <w:rsid w:val="00131B96"/>
    <w:rsid w:val="00132CB8"/>
    <w:rsid w:val="001344E7"/>
    <w:rsid w:val="00135026"/>
    <w:rsid w:val="00135B91"/>
    <w:rsid w:val="001362A6"/>
    <w:rsid w:val="001368B1"/>
    <w:rsid w:val="001376DD"/>
    <w:rsid w:val="00137B07"/>
    <w:rsid w:val="0014080B"/>
    <w:rsid w:val="00140E16"/>
    <w:rsid w:val="00140EB8"/>
    <w:rsid w:val="001419B1"/>
    <w:rsid w:val="00142A8D"/>
    <w:rsid w:val="00142BE6"/>
    <w:rsid w:val="0014307B"/>
    <w:rsid w:val="00143134"/>
    <w:rsid w:val="00143160"/>
    <w:rsid w:val="001442F5"/>
    <w:rsid w:val="001457C4"/>
    <w:rsid w:val="001459D3"/>
    <w:rsid w:val="00150D1D"/>
    <w:rsid w:val="00150E04"/>
    <w:rsid w:val="00153BB8"/>
    <w:rsid w:val="0015638A"/>
    <w:rsid w:val="001565AC"/>
    <w:rsid w:val="001601D0"/>
    <w:rsid w:val="001604B9"/>
    <w:rsid w:val="00164F5B"/>
    <w:rsid w:val="00165D83"/>
    <w:rsid w:val="00166434"/>
    <w:rsid w:val="001677C6"/>
    <w:rsid w:val="00170EC6"/>
    <w:rsid w:val="00171776"/>
    <w:rsid w:val="00174445"/>
    <w:rsid w:val="00175916"/>
    <w:rsid w:val="00177FE8"/>
    <w:rsid w:val="0018249C"/>
    <w:rsid w:val="001828B1"/>
    <w:rsid w:val="00182C02"/>
    <w:rsid w:val="00182FC9"/>
    <w:rsid w:val="0018309B"/>
    <w:rsid w:val="00186FE7"/>
    <w:rsid w:val="0018701E"/>
    <w:rsid w:val="00187CFB"/>
    <w:rsid w:val="001929B1"/>
    <w:rsid w:val="00194389"/>
    <w:rsid w:val="00194520"/>
    <w:rsid w:val="00194B48"/>
    <w:rsid w:val="001975E8"/>
    <w:rsid w:val="001A19D3"/>
    <w:rsid w:val="001A3A0B"/>
    <w:rsid w:val="001A7657"/>
    <w:rsid w:val="001A7780"/>
    <w:rsid w:val="001A7D5F"/>
    <w:rsid w:val="001B0236"/>
    <w:rsid w:val="001B10E7"/>
    <w:rsid w:val="001B19BF"/>
    <w:rsid w:val="001B2461"/>
    <w:rsid w:val="001B409B"/>
    <w:rsid w:val="001B4125"/>
    <w:rsid w:val="001C1EF5"/>
    <w:rsid w:val="001C2210"/>
    <w:rsid w:val="001C25B8"/>
    <w:rsid w:val="001C290F"/>
    <w:rsid w:val="001C386F"/>
    <w:rsid w:val="001C61F2"/>
    <w:rsid w:val="001C73AF"/>
    <w:rsid w:val="001D12DE"/>
    <w:rsid w:val="001D4AB0"/>
    <w:rsid w:val="001D548C"/>
    <w:rsid w:val="001D5BD8"/>
    <w:rsid w:val="001D6232"/>
    <w:rsid w:val="001D6249"/>
    <w:rsid w:val="001D669E"/>
    <w:rsid w:val="001D7CF8"/>
    <w:rsid w:val="001E01F9"/>
    <w:rsid w:val="001E24AF"/>
    <w:rsid w:val="001E393D"/>
    <w:rsid w:val="001E4890"/>
    <w:rsid w:val="001E549E"/>
    <w:rsid w:val="001E58E9"/>
    <w:rsid w:val="001F0349"/>
    <w:rsid w:val="001F089C"/>
    <w:rsid w:val="001F0A71"/>
    <w:rsid w:val="001F103E"/>
    <w:rsid w:val="001F1366"/>
    <w:rsid w:val="001F155B"/>
    <w:rsid w:val="001F18C3"/>
    <w:rsid w:val="001F21CB"/>
    <w:rsid w:val="001F27CD"/>
    <w:rsid w:val="001F3583"/>
    <w:rsid w:val="001F4FF9"/>
    <w:rsid w:val="001F55C0"/>
    <w:rsid w:val="001F57AE"/>
    <w:rsid w:val="001F6166"/>
    <w:rsid w:val="001F7156"/>
    <w:rsid w:val="001F722B"/>
    <w:rsid w:val="00201F67"/>
    <w:rsid w:val="00203870"/>
    <w:rsid w:val="002067F2"/>
    <w:rsid w:val="0020694F"/>
    <w:rsid w:val="00206ED2"/>
    <w:rsid w:val="00207B9B"/>
    <w:rsid w:val="00210ABF"/>
    <w:rsid w:val="00211693"/>
    <w:rsid w:val="0021185E"/>
    <w:rsid w:val="00211DF6"/>
    <w:rsid w:val="00212CDB"/>
    <w:rsid w:val="00213125"/>
    <w:rsid w:val="0021342B"/>
    <w:rsid w:val="00213464"/>
    <w:rsid w:val="002144A3"/>
    <w:rsid w:val="00214DEB"/>
    <w:rsid w:val="00215892"/>
    <w:rsid w:val="0021660A"/>
    <w:rsid w:val="00216A53"/>
    <w:rsid w:val="002211AE"/>
    <w:rsid w:val="00222601"/>
    <w:rsid w:val="00222634"/>
    <w:rsid w:val="002237E8"/>
    <w:rsid w:val="00227472"/>
    <w:rsid w:val="002319F9"/>
    <w:rsid w:val="00232290"/>
    <w:rsid w:val="00232FC7"/>
    <w:rsid w:val="00235696"/>
    <w:rsid w:val="00236243"/>
    <w:rsid w:val="002370B3"/>
    <w:rsid w:val="0024130A"/>
    <w:rsid w:val="002431AC"/>
    <w:rsid w:val="00243783"/>
    <w:rsid w:val="00243CC7"/>
    <w:rsid w:val="002450A3"/>
    <w:rsid w:val="002461F5"/>
    <w:rsid w:val="00246735"/>
    <w:rsid w:val="00246F28"/>
    <w:rsid w:val="0025017B"/>
    <w:rsid w:val="00253C98"/>
    <w:rsid w:val="002551B8"/>
    <w:rsid w:val="00255A73"/>
    <w:rsid w:val="00255D47"/>
    <w:rsid w:val="002560E4"/>
    <w:rsid w:val="0026006B"/>
    <w:rsid w:val="00260957"/>
    <w:rsid w:val="00260F92"/>
    <w:rsid w:val="002624DE"/>
    <w:rsid w:val="00262E83"/>
    <w:rsid w:val="00262F54"/>
    <w:rsid w:val="0026359B"/>
    <w:rsid w:val="00264CAA"/>
    <w:rsid w:val="00266827"/>
    <w:rsid w:val="00267C4A"/>
    <w:rsid w:val="00270489"/>
    <w:rsid w:val="002709D3"/>
    <w:rsid w:val="00273FA2"/>
    <w:rsid w:val="00274AF0"/>
    <w:rsid w:val="002750D9"/>
    <w:rsid w:val="00277C88"/>
    <w:rsid w:val="00277DE4"/>
    <w:rsid w:val="0028218C"/>
    <w:rsid w:val="00285008"/>
    <w:rsid w:val="002854C3"/>
    <w:rsid w:val="0028649C"/>
    <w:rsid w:val="00290393"/>
    <w:rsid w:val="00290EA6"/>
    <w:rsid w:val="0029187F"/>
    <w:rsid w:val="00291CD8"/>
    <w:rsid w:val="00293A01"/>
    <w:rsid w:val="0029422E"/>
    <w:rsid w:val="0029515B"/>
    <w:rsid w:val="00296E93"/>
    <w:rsid w:val="002A1586"/>
    <w:rsid w:val="002A171D"/>
    <w:rsid w:val="002A1A91"/>
    <w:rsid w:val="002A2389"/>
    <w:rsid w:val="002A4871"/>
    <w:rsid w:val="002A5373"/>
    <w:rsid w:val="002A5615"/>
    <w:rsid w:val="002A5B80"/>
    <w:rsid w:val="002A6F46"/>
    <w:rsid w:val="002A7800"/>
    <w:rsid w:val="002B129D"/>
    <w:rsid w:val="002B13C9"/>
    <w:rsid w:val="002B190C"/>
    <w:rsid w:val="002B1E4F"/>
    <w:rsid w:val="002B3016"/>
    <w:rsid w:val="002B34A8"/>
    <w:rsid w:val="002B426F"/>
    <w:rsid w:val="002C0042"/>
    <w:rsid w:val="002C04C1"/>
    <w:rsid w:val="002C0AF0"/>
    <w:rsid w:val="002C101D"/>
    <w:rsid w:val="002C2881"/>
    <w:rsid w:val="002C2F59"/>
    <w:rsid w:val="002C66F4"/>
    <w:rsid w:val="002C72CC"/>
    <w:rsid w:val="002C7D5E"/>
    <w:rsid w:val="002D083D"/>
    <w:rsid w:val="002D0F75"/>
    <w:rsid w:val="002D211C"/>
    <w:rsid w:val="002D47FC"/>
    <w:rsid w:val="002D49DC"/>
    <w:rsid w:val="002D4D84"/>
    <w:rsid w:val="002D69F9"/>
    <w:rsid w:val="002D73BB"/>
    <w:rsid w:val="002E23CC"/>
    <w:rsid w:val="002E3501"/>
    <w:rsid w:val="002E41D7"/>
    <w:rsid w:val="002E4EAC"/>
    <w:rsid w:val="002E5ACF"/>
    <w:rsid w:val="002E6603"/>
    <w:rsid w:val="002E6F2E"/>
    <w:rsid w:val="002E79ED"/>
    <w:rsid w:val="002E7E9D"/>
    <w:rsid w:val="002F045D"/>
    <w:rsid w:val="002F081D"/>
    <w:rsid w:val="002F58EC"/>
    <w:rsid w:val="002F70FF"/>
    <w:rsid w:val="003004DA"/>
    <w:rsid w:val="00300B43"/>
    <w:rsid w:val="00301308"/>
    <w:rsid w:val="003013B7"/>
    <w:rsid w:val="00301AE4"/>
    <w:rsid w:val="003023A3"/>
    <w:rsid w:val="00302614"/>
    <w:rsid w:val="00303B38"/>
    <w:rsid w:val="00310FF2"/>
    <w:rsid w:val="0031230B"/>
    <w:rsid w:val="003128AB"/>
    <w:rsid w:val="00313950"/>
    <w:rsid w:val="00313DA6"/>
    <w:rsid w:val="00314A99"/>
    <w:rsid w:val="00314F97"/>
    <w:rsid w:val="00317116"/>
    <w:rsid w:val="00320C1A"/>
    <w:rsid w:val="00323639"/>
    <w:rsid w:val="0032418A"/>
    <w:rsid w:val="00324B52"/>
    <w:rsid w:val="00324F41"/>
    <w:rsid w:val="00327F83"/>
    <w:rsid w:val="003300C7"/>
    <w:rsid w:val="00331977"/>
    <w:rsid w:val="00332137"/>
    <w:rsid w:val="00333D33"/>
    <w:rsid w:val="00333EB8"/>
    <w:rsid w:val="003359F1"/>
    <w:rsid w:val="00336E3A"/>
    <w:rsid w:val="003424A8"/>
    <w:rsid w:val="003424AC"/>
    <w:rsid w:val="003435BC"/>
    <w:rsid w:val="00343685"/>
    <w:rsid w:val="00343C43"/>
    <w:rsid w:val="0034414E"/>
    <w:rsid w:val="003441B7"/>
    <w:rsid w:val="003442F7"/>
    <w:rsid w:val="00344387"/>
    <w:rsid w:val="00344C93"/>
    <w:rsid w:val="003451C7"/>
    <w:rsid w:val="003453BB"/>
    <w:rsid w:val="00345E59"/>
    <w:rsid w:val="003462C7"/>
    <w:rsid w:val="00346569"/>
    <w:rsid w:val="00346D36"/>
    <w:rsid w:val="003470D3"/>
    <w:rsid w:val="00350066"/>
    <w:rsid w:val="00350E4B"/>
    <w:rsid w:val="0035132A"/>
    <w:rsid w:val="00352224"/>
    <w:rsid w:val="003533D7"/>
    <w:rsid w:val="00353571"/>
    <w:rsid w:val="003544F9"/>
    <w:rsid w:val="003545C2"/>
    <w:rsid w:val="00356BA3"/>
    <w:rsid w:val="0035791D"/>
    <w:rsid w:val="0036070B"/>
    <w:rsid w:val="00360A6D"/>
    <w:rsid w:val="00362D28"/>
    <w:rsid w:val="00363543"/>
    <w:rsid w:val="003659F6"/>
    <w:rsid w:val="0036668E"/>
    <w:rsid w:val="003723D5"/>
    <w:rsid w:val="00373E65"/>
    <w:rsid w:val="00373E97"/>
    <w:rsid w:val="00374FDA"/>
    <w:rsid w:val="0037521D"/>
    <w:rsid w:val="0037584D"/>
    <w:rsid w:val="00375EC0"/>
    <w:rsid w:val="00376F87"/>
    <w:rsid w:val="00377097"/>
    <w:rsid w:val="0038216D"/>
    <w:rsid w:val="00382C20"/>
    <w:rsid w:val="0039325D"/>
    <w:rsid w:val="00393ACC"/>
    <w:rsid w:val="00395E7A"/>
    <w:rsid w:val="003969A4"/>
    <w:rsid w:val="00397B99"/>
    <w:rsid w:val="00397E45"/>
    <w:rsid w:val="003A0D5C"/>
    <w:rsid w:val="003A1388"/>
    <w:rsid w:val="003A221E"/>
    <w:rsid w:val="003A3F6E"/>
    <w:rsid w:val="003A499D"/>
    <w:rsid w:val="003A4BE0"/>
    <w:rsid w:val="003A6B4E"/>
    <w:rsid w:val="003A6DDE"/>
    <w:rsid w:val="003A7F83"/>
    <w:rsid w:val="003B327F"/>
    <w:rsid w:val="003B5012"/>
    <w:rsid w:val="003B54F2"/>
    <w:rsid w:val="003B6B36"/>
    <w:rsid w:val="003B7212"/>
    <w:rsid w:val="003C1378"/>
    <w:rsid w:val="003C2FBB"/>
    <w:rsid w:val="003C3CF8"/>
    <w:rsid w:val="003C3F1B"/>
    <w:rsid w:val="003C462F"/>
    <w:rsid w:val="003C59F0"/>
    <w:rsid w:val="003C5BEE"/>
    <w:rsid w:val="003C608C"/>
    <w:rsid w:val="003C62DB"/>
    <w:rsid w:val="003C6833"/>
    <w:rsid w:val="003C72C5"/>
    <w:rsid w:val="003C78E6"/>
    <w:rsid w:val="003C7C57"/>
    <w:rsid w:val="003D07E3"/>
    <w:rsid w:val="003D105B"/>
    <w:rsid w:val="003D170A"/>
    <w:rsid w:val="003D1B81"/>
    <w:rsid w:val="003D26AA"/>
    <w:rsid w:val="003D5BCD"/>
    <w:rsid w:val="003D6272"/>
    <w:rsid w:val="003E002B"/>
    <w:rsid w:val="003E0577"/>
    <w:rsid w:val="003E0D8D"/>
    <w:rsid w:val="003E2622"/>
    <w:rsid w:val="003E27D3"/>
    <w:rsid w:val="003E32FC"/>
    <w:rsid w:val="003E50C0"/>
    <w:rsid w:val="003E558B"/>
    <w:rsid w:val="003E5B51"/>
    <w:rsid w:val="003E5F47"/>
    <w:rsid w:val="003E693F"/>
    <w:rsid w:val="003E74C1"/>
    <w:rsid w:val="003E7787"/>
    <w:rsid w:val="003E7C26"/>
    <w:rsid w:val="003F0227"/>
    <w:rsid w:val="003F08FA"/>
    <w:rsid w:val="003F10DD"/>
    <w:rsid w:val="003F12FD"/>
    <w:rsid w:val="003F14B5"/>
    <w:rsid w:val="003F15C8"/>
    <w:rsid w:val="003F1647"/>
    <w:rsid w:val="003F18E0"/>
    <w:rsid w:val="003F2612"/>
    <w:rsid w:val="003F48CE"/>
    <w:rsid w:val="00400BE9"/>
    <w:rsid w:val="004011A4"/>
    <w:rsid w:val="00401CF6"/>
    <w:rsid w:val="00401D34"/>
    <w:rsid w:val="0040277D"/>
    <w:rsid w:val="004034A8"/>
    <w:rsid w:val="004035C4"/>
    <w:rsid w:val="00403F02"/>
    <w:rsid w:val="00405CC8"/>
    <w:rsid w:val="00406A27"/>
    <w:rsid w:val="004073D8"/>
    <w:rsid w:val="004074DD"/>
    <w:rsid w:val="0041110C"/>
    <w:rsid w:val="004135AF"/>
    <w:rsid w:val="004179A3"/>
    <w:rsid w:val="00422134"/>
    <w:rsid w:val="004229A7"/>
    <w:rsid w:val="00423C3D"/>
    <w:rsid w:val="00425A8E"/>
    <w:rsid w:val="00425E94"/>
    <w:rsid w:val="004276AB"/>
    <w:rsid w:val="0043042E"/>
    <w:rsid w:val="00430C79"/>
    <w:rsid w:val="00432B8E"/>
    <w:rsid w:val="00432ECC"/>
    <w:rsid w:val="004330C2"/>
    <w:rsid w:val="004331F8"/>
    <w:rsid w:val="0043362E"/>
    <w:rsid w:val="004356F9"/>
    <w:rsid w:val="00436CCF"/>
    <w:rsid w:val="00440EC5"/>
    <w:rsid w:val="00442A67"/>
    <w:rsid w:val="0044321F"/>
    <w:rsid w:val="004452D0"/>
    <w:rsid w:val="004458B9"/>
    <w:rsid w:val="00445C40"/>
    <w:rsid w:val="004472E4"/>
    <w:rsid w:val="00450663"/>
    <w:rsid w:val="0045075A"/>
    <w:rsid w:val="0045165B"/>
    <w:rsid w:val="00452463"/>
    <w:rsid w:val="00453834"/>
    <w:rsid w:val="00453A14"/>
    <w:rsid w:val="00453C10"/>
    <w:rsid w:val="004548A3"/>
    <w:rsid w:val="00454FDD"/>
    <w:rsid w:val="004611DC"/>
    <w:rsid w:val="00461283"/>
    <w:rsid w:val="004629F6"/>
    <w:rsid w:val="00463998"/>
    <w:rsid w:val="00465C89"/>
    <w:rsid w:val="00465CA3"/>
    <w:rsid w:val="0046641F"/>
    <w:rsid w:val="00466837"/>
    <w:rsid w:val="00466CBF"/>
    <w:rsid w:val="004670CB"/>
    <w:rsid w:val="00467C04"/>
    <w:rsid w:val="00470322"/>
    <w:rsid w:val="004703DB"/>
    <w:rsid w:val="0047049C"/>
    <w:rsid w:val="004713F8"/>
    <w:rsid w:val="00471831"/>
    <w:rsid w:val="00472123"/>
    <w:rsid w:val="00472716"/>
    <w:rsid w:val="00474007"/>
    <w:rsid w:val="00477528"/>
    <w:rsid w:val="00480261"/>
    <w:rsid w:val="0048079D"/>
    <w:rsid w:val="00480ACA"/>
    <w:rsid w:val="00481CEC"/>
    <w:rsid w:val="004823DD"/>
    <w:rsid w:val="0048335E"/>
    <w:rsid w:val="00483A06"/>
    <w:rsid w:val="00485C53"/>
    <w:rsid w:val="00486DBE"/>
    <w:rsid w:val="00487128"/>
    <w:rsid w:val="00487218"/>
    <w:rsid w:val="00487EB8"/>
    <w:rsid w:val="0049016E"/>
    <w:rsid w:val="00490F9F"/>
    <w:rsid w:val="004912EA"/>
    <w:rsid w:val="00492E21"/>
    <w:rsid w:val="00493C47"/>
    <w:rsid w:val="004942F9"/>
    <w:rsid w:val="0049461E"/>
    <w:rsid w:val="00496F2A"/>
    <w:rsid w:val="004A1218"/>
    <w:rsid w:val="004A16F4"/>
    <w:rsid w:val="004A2D80"/>
    <w:rsid w:val="004A333B"/>
    <w:rsid w:val="004A3721"/>
    <w:rsid w:val="004A38DF"/>
    <w:rsid w:val="004A3DEF"/>
    <w:rsid w:val="004A5E4A"/>
    <w:rsid w:val="004A6555"/>
    <w:rsid w:val="004A6DCA"/>
    <w:rsid w:val="004B0EAF"/>
    <w:rsid w:val="004B2A68"/>
    <w:rsid w:val="004B3A7C"/>
    <w:rsid w:val="004B3B76"/>
    <w:rsid w:val="004B3F04"/>
    <w:rsid w:val="004B6D0A"/>
    <w:rsid w:val="004B6EEE"/>
    <w:rsid w:val="004B72DF"/>
    <w:rsid w:val="004C0D5F"/>
    <w:rsid w:val="004C2EB6"/>
    <w:rsid w:val="004C35A2"/>
    <w:rsid w:val="004C644F"/>
    <w:rsid w:val="004C7556"/>
    <w:rsid w:val="004C78E8"/>
    <w:rsid w:val="004D0D34"/>
    <w:rsid w:val="004D225C"/>
    <w:rsid w:val="004D2656"/>
    <w:rsid w:val="004D2863"/>
    <w:rsid w:val="004D2C5F"/>
    <w:rsid w:val="004D370E"/>
    <w:rsid w:val="004D3B13"/>
    <w:rsid w:val="004D4794"/>
    <w:rsid w:val="004D628B"/>
    <w:rsid w:val="004D6A54"/>
    <w:rsid w:val="004E03A9"/>
    <w:rsid w:val="004E08EF"/>
    <w:rsid w:val="004E0EB8"/>
    <w:rsid w:val="004E2FFD"/>
    <w:rsid w:val="004E4520"/>
    <w:rsid w:val="004E4C27"/>
    <w:rsid w:val="004E4F4C"/>
    <w:rsid w:val="004E51A9"/>
    <w:rsid w:val="004E5E7C"/>
    <w:rsid w:val="004F2E1C"/>
    <w:rsid w:val="004F3408"/>
    <w:rsid w:val="004F3B9B"/>
    <w:rsid w:val="004F3CC6"/>
    <w:rsid w:val="004F4114"/>
    <w:rsid w:val="004F4651"/>
    <w:rsid w:val="004F4A5C"/>
    <w:rsid w:val="004F7101"/>
    <w:rsid w:val="004F7A4E"/>
    <w:rsid w:val="005002B2"/>
    <w:rsid w:val="0050190F"/>
    <w:rsid w:val="00501F00"/>
    <w:rsid w:val="00502677"/>
    <w:rsid w:val="0050307E"/>
    <w:rsid w:val="00503B57"/>
    <w:rsid w:val="00504B2B"/>
    <w:rsid w:val="00507031"/>
    <w:rsid w:val="0050797E"/>
    <w:rsid w:val="00507E61"/>
    <w:rsid w:val="005103B8"/>
    <w:rsid w:val="005124BF"/>
    <w:rsid w:val="00512FDF"/>
    <w:rsid w:val="00514D3F"/>
    <w:rsid w:val="005163C8"/>
    <w:rsid w:val="005167CC"/>
    <w:rsid w:val="00516CE1"/>
    <w:rsid w:val="00516F03"/>
    <w:rsid w:val="00520A66"/>
    <w:rsid w:val="005212D3"/>
    <w:rsid w:val="00521316"/>
    <w:rsid w:val="00521416"/>
    <w:rsid w:val="00523CC5"/>
    <w:rsid w:val="0052453E"/>
    <w:rsid w:val="00524B1C"/>
    <w:rsid w:val="005252A2"/>
    <w:rsid w:val="00525572"/>
    <w:rsid w:val="005275FC"/>
    <w:rsid w:val="00530611"/>
    <w:rsid w:val="005307FA"/>
    <w:rsid w:val="00531855"/>
    <w:rsid w:val="005318CE"/>
    <w:rsid w:val="00531E58"/>
    <w:rsid w:val="00531FC6"/>
    <w:rsid w:val="00532B88"/>
    <w:rsid w:val="00533466"/>
    <w:rsid w:val="0053506D"/>
    <w:rsid w:val="00535F50"/>
    <w:rsid w:val="00535FED"/>
    <w:rsid w:val="00536BCD"/>
    <w:rsid w:val="005411D0"/>
    <w:rsid w:val="00541711"/>
    <w:rsid w:val="005423DF"/>
    <w:rsid w:val="00542502"/>
    <w:rsid w:val="00542B06"/>
    <w:rsid w:val="00542C8C"/>
    <w:rsid w:val="00543A1A"/>
    <w:rsid w:val="0054527A"/>
    <w:rsid w:val="005460B5"/>
    <w:rsid w:val="00552D19"/>
    <w:rsid w:val="00555784"/>
    <w:rsid w:val="005563EC"/>
    <w:rsid w:val="00556A32"/>
    <w:rsid w:val="00556FF2"/>
    <w:rsid w:val="005577C0"/>
    <w:rsid w:val="00557CAA"/>
    <w:rsid w:val="00560892"/>
    <w:rsid w:val="00560A28"/>
    <w:rsid w:val="00561863"/>
    <w:rsid w:val="00562110"/>
    <w:rsid w:val="00562349"/>
    <w:rsid w:val="0056357D"/>
    <w:rsid w:val="0056372A"/>
    <w:rsid w:val="005638AC"/>
    <w:rsid w:val="0056528F"/>
    <w:rsid w:val="005659E3"/>
    <w:rsid w:val="00570FD4"/>
    <w:rsid w:val="005714EF"/>
    <w:rsid w:val="0057184C"/>
    <w:rsid w:val="005732DB"/>
    <w:rsid w:val="0057433C"/>
    <w:rsid w:val="00574824"/>
    <w:rsid w:val="00574A86"/>
    <w:rsid w:val="005750FA"/>
    <w:rsid w:val="005754BF"/>
    <w:rsid w:val="005762FA"/>
    <w:rsid w:val="005764CD"/>
    <w:rsid w:val="00580F14"/>
    <w:rsid w:val="00582D05"/>
    <w:rsid w:val="00584C77"/>
    <w:rsid w:val="00585C73"/>
    <w:rsid w:val="00585C9D"/>
    <w:rsid w:val="00585D0E"/>
    <w:rsid w:val="0058741B"/>
    <w:rsid w:val="00587E0B"/>
    <w:rsid w:val="00590599"/>
    <w:rsid w:val="00590603"/>
    <w:rsid w:val="005912D4"/>
    <w:rsid w:val="0059174F"/>
    <w:rsid w:val="00592270"/>
    <w:rsid w:val="00592648"/>
    <w:rsid w:val="00592F11"/>
    <w:rsid w:val="00593217"/>
    <w:rsid w:val="00595EAD"/>
    <w:rsid w:val="00596AF9"/>
    <w:rsid w:val="00596E04"/>
    <w:rsid w:val="005A055C"/>
    <w:rsid w:val="005A1D33"/>
    <w:rsid w:val="005A342A"/>
    <w:rsid w:val="005A4F99"/>
    <w:rsid w:val="005A5033"/>
    <w:rsid w:val="005A7A31"/>
    <w:rsid w:val="005A7F8B"/>
    <w:rsid w:val="005B02EC"/>
    <w:rsid w:val="005B03D4"/>
    <w:rsid w:val="005B05E5"/>
    <w:rsid w:val="005B2A1F"/>
    <w:rsid w:val="005B4BAB"/>
    <w:rsid w:val="005B6E41"/>
    <w:rsid w:val="005C0816"/>
    <w:rsid w:val="005C560B"/>
    <w:rsid w:val="005C6264"/>
    <w:rsid w:val="005C6C4A"/>
    <w:rsid w:val="005C708F"/>
    <w:rsid w:val="005C7CCD"/>
    <w:rsid w:val="005C7CEE"/>
    <w:rsid w:val="005D192E"/>
    <w:rsid w:val="005D25B1"/>
    <w:rsid w:val="005D2E99"/>
    <w:rsid w:val="005D340F"/>
    <w:rsid w:val="005D4043"/>
    <w:rsid w:val="005D4084"/>
    <w:rsid w:val="005D52F3"/>
    <w:rsid w:val="005D57D5"/>
    <w:rsid w:val="005D7AAD"/>
    <w:rsid w:val="005D7B1D"/>
    <w:rsid w:val="005E09A0"/>
    <w:rsid w:val="005E1532"/>
    <w:rsid w:val="005E3AE4"/>
    <w:rsid w:val="005E4391"/>
    <w:rsid w:val="005E4627"/>
    <w:rsid w:val="005E502A"/>
    <w:rsid w:val="005E641B"/>
    <w:rsid w:val="005E6A02"/>
    <w:rsid w:val="005E7852"/>
    <w:rsid w:val="005F04D3"/>
    <w:rsid w:val="005F0502"/>
    <w:rsid w:val="005F13AC"/>
    <w:rsid w:val="005F327C"/>
    <w:rsid w:val="005F35C7"/>
    <w:rsid w:val="005F514E"/>
    <w:rsid w:val="005F51A5"/>
    <w:rsid w:val="005F588E"/>
    <w:rsid w:val="005F6059"/>
    <w:rsid w:val="005F70AF"/>
    <w:rsid w:val="005F78C5"/>
    <w:rsid w:val="00600AC4"/>
    <w:rsid w:val="00601280"/>
    <w:rsid w:val="00601DD7"/>
    <w:rsid w:val="0060478D"/>
    <w:rsid w:val="006058AD"/>
    <w:rsid w:val="00605FC9"/>
    <w:rsid w:val="00606BF1"/>
    <w:rsid w:val="00606F67"/>
    <w:rsid w:val="00607086"/>
    <w:rsid w:val="00607946"/>
    <w:rsid w:val="00607C7C"/>
    <w:rsid w:val="006104E2"/>
    <w:rsid w:val="00611FA7"/>
    <w:rsid w:val="0061480C"/>
    <w:rsid w:val="00615A60"/>
    <w:rsid w:val="00615BB8"/>
    <w:rsid w:val="00616477"/>
    <w:rsid w:val="00616624"/>
    <w:rsid w:val="006241FB"/>
    <w:rsid w:val="00625FE7"/>
    <w:rsid w:val="00626CE6"/>
    <w:rsid w:val="006303BD"/>
    <w:rsid w:val="00632354"/>
    <w:rsid w:val="00632989"/>
    <w:rsid w:val="00635219"/>
    <w:rsid w:val="00636BCC"/>
    <w:rsid w:val="0063732D"/>
    <w:rsid w:val="00637384"/>
    <w:rsid w:val="00637414"/>
    <w:rsid w:val="00637A14"/>
    <w:rsid w:val="00640C01"/>
    <w:rsid w:val="0064478A"/>
    <w:rsid w:val="00644C38"/>
    <w:rsid w:val="00646861"/>
    <w:rsid w:val="00646C6C"/>
    <w:rsid w:val="0064729F"/>
    <w:rsid w:val="006476B6"/>
    <w:rsid w:val="00647EAF"/>
    <w:rsid w:val="00650506"/>
    <w:rsid w:val="00650F9F"/>
    <w:rsid w:val="0065162C"/>
    <w:rsid w:val="00651670"/>
    <w:rsid w:val="0065254F"/>
    <w:rsid w:val="00653ECB"/>
    <w:rsid w:val="006566DB"/>
    <w:rsid w:val="00656ECE"/>
    <w:rsid w:val="00660AA4"/>
    <w:rsid w:val="00660FDC"/>
    <w:rsid w:val="006639A0"/>
    <w:rsid w:val="00663B21"/>
    <w:rsid w:val="0066450D"/>
    <w:rsid w:val="006671DA"/>
    <w:rsid w:val="006710DC"/>
    <w:rsid w:val="0067182F"/>
    <w:rsid w:val="00671C00"/>
    <w:rsid w:val="006728A1"/>
    <w:rsid w:val="006732C7"/>
    <w:rsid w:val="0067354B"/>
    <w:rsid w:val="00673ECF"/>
    <w:rsid w:val="0067450E"/>
    <w:rsid w:val="0067478E"/>
    <w:rsid w:val="0067588F"/>
    <w:rsid w:val="0067646F"/>
    <w:rsid w:val="0067765A"/>
    <w:rsid w:val="00681C5D"/>
    <w:rsid w:val="00682364"/>
    <w:rsid w:val="00682FD4"/>
    <w:rsid w:val="0068317E"/>
    <w:rsid w:val="006838D3"/>
    <w:rsid w:val="00684B19"/>
    <w:rsid w:val="00685996"/>
    <w:rsid w:val="00687587"/>
    <w:rsid w:val="006907C1"/>
    <w:rsid w:val="00690C51"/>
    <w:rsid w:val="006912BE"/>
    <w:rsid w:val="00694F0C"/>
    <w:rsid w:val="00695894"/>
    <w:rsid w:val="00695B1A"/>
    <w:rsid w:val="006A0404"/>
    <w:rsid w:val="006A05F6"/>
    <w:rsid w:val="006A1588"/>
    <w:rsid w:val="006A38F7"/>
    <w:rsid w:val="006A3989"/>
    <w:rsid w:val="006A4A47"/>
    <w:rsid w:val="006A4A57"/>
    <w:rsid w:val="006A4B2E"/>
    <w:rsid w:val="006A4E19"/>
    <w:rsid w:val="006A52E0"/>
    <w:rsid w:val="006A5EEA"/>
    <w:rsid w:val="006A6259"/>
    <w:rsid w:val="006A7BCB"/>
    <w:rsid w:val="006A7C37"/>
    <w:rsid w:val="006B27B3"/>
    <w:rsid w:val="006B4097"/>
    <w:rsid w:val="006B50D9"/>
    <w:rsid w:val="006B540B"/>
    <w:rsid w:val="006B621D"/>
    <w:rsid w:val="006B74BB"/>
    <w:rsid w:val="006B75C3"/>
    <w:rsid w:val="006B781E"/>
    <w:rsid w:val="006C014B"/>
    <w:rsid w:val="006C061B"/>
    <w:rsid w:val="006C07E6"/>
    <w:rsid w:val="006C0989"/>
    <w:rsid w:val="006C111B"/>
    <w:rsid w:val="006C21BB"/>
    <w:rsid w:val="006C4157"/>
    <w:rsid w:val="006C449F"/>
    <w:rsid w:val="006C58E4"/>
    <w:rsid w:val="006C6060"/>
    <w:rsid w:val="006C7160"/>
    <w:rsid w:val="006D0450"/>
    <w:rsid w:val="006D0849"/>
    <w:rsid w:val="006D10B2"/>
    <w:rsid w:val="006D11E3"/>
    <w:rsid w:val="006D1FDA"/>
    <w:rsid w:val="006D55DC"/>
    <w:rsid w:val="006D6199"/>
    <w:rsid w:val="006D666B"/>
    <w:rsid w:val="006D687E"/>
    <w:rsid w:val="006D68A6"/>
    <w:rsid w:val="006E0200"/>
    <w:rsid w:val="006E0C55"/>
    <w:rsid w:val="006E3999"/>
    <w:rsid w:val="006E453C"/>
    <w:rsid w:val="006E4728"/>
    <w:rsid w:val="006E524E"/>
    <w:rsid w:val="006E5808"/>
    <w:rsid w:val="006E5B8A"/>
    <w:rsid w:val="006E6B98"/>
    <w:rsid w:val="006E6E6C"/>
    <w:rsid w:val="006F1984"/>
    <w:rsid w:val="006F1EAE"/>
    <w:rsid w:val="006F2E92"/>
    <w:rsid w:val="006F428C"/>
    <w:rsid w:val="006F4383"/>
    <w:rsid w:val="006F6D63"/>
    <w:rsid w:val="007011AD"/>
    <w:rsid w:val="00701F4B"/>
    <w:rsid w:val="007023D0"/>
    <w:rsid w:val="007032E3"/>
    <w:rsid w:val="007051F0"/>
    <w:rsid w:val="0070661F"/>
    <w:rsid w:val="007068EA"/>
    <w:rsid w:val="00706C4E"/>
    <w:rsid w:val="00707474"/>
    <w:rsid w:val="007075A2"/>
    <w:rsid w:val="00710B74"/>
    <w:rsid w:val="00710EE3"/>
    <w:rsid w:val="007110D7"/>
    <w:rsid w:val="0071160B"/>
    <w:rsid w:val="00711B38"/>
    <w:rsid w:val="00712B4D"/>
    <w:rsid w:val="00713029"/>
    <w:rsid w:val="00721BB1"/>
    <w:rsid w:val="007224C3"/>
    <w:rsid w:val="0072363D"/>
    <w:rsid w:val="00724ADC"/>
    <w:rsid w:val="00725C7C"/>
    <w:rsid w:val="007263E4"/>
    <w:rsid w:val="007272D8"/>
    <w:rsid w:val="007309A9"/>
    <w:rsid w:val="00730FC0"/>
    <w:rsid w:val="0073143B"/>
    <w:rsid w:val="00735B17"/>
    <w:rsid w:val="00735ECE"/>
    <w:rsid w:val="0074034C"/>
    <w:rsid w:val="00740780"/>
    <w:rsid w:val="00740CCA"/>
    <w:rsid w:val="00741CC2"/>
    <w:rsid w:val="00742BEE"/>
    <w:rsid w:val="00743311"/>
    <w:rsid w:val="007442A7"/>
    <w:rsid w:val="0074526A"/>
    <w:rsid w:val="007452FB"/>
    <w:rsid w:val="00745587"/>
    <w:rsid w:val="0074597A"/>
    <w:rsid w:val="00750AAC"/>
    <w:rsid w:val="00751CD3"/>
    <w:rsid w:val="00752305"/>
    <w:rsid w:val="00754952"/>
    <w:rsid w:val="00755C2E"/>
    <w:rsid w:val="007579C6"/>
    <w:rsid w:val="00761D65"/>
    <w:rsid w:val="007626EA"/>
    <w:rsid w:val="00762756"/>
    <w:rsid w:val="00764D00"/>
    <w:rsid w:val="00765868"/>
    <w:rsid w:val="00765A04"/>
    <w:rsid w:val="00767BB2"/>
    <w:rsid w:val="00767CE0"/>
    <w:rsid w:val="00772036"/>
    <w:rsid w:val="0077222B"/>
    <w:rsid w:val="00772BB4"/>
    <w:rsid w:val="007742E8"/>
    <w:rsid w:val="00774C1E"/>
    <w:rsid w:val="007750A6"/>
    <w:rsid w:val="00775D5E"/>
    <w:rsid w:val="00777848"/>
    <w:rsid w:val="00780BC3"/>
    <w:rsid w:val="00780EC8"/>
    <w:rsid w:val="00783996"/>
    <w:rsid w:val="007860A9"/>
    <w:rsid w:val="00786342"/>
    <w:rsid w:val="007874FD"/>
    <w:rsid w:val="0079018F"/>
    <w:rsid w:val="0079094C"/>
    <w:rsid w:val="007923BC"/>
    <w:rsid w:val="007929B2"/>
    <w:rsid w:val="007938A4"/>
    <w:rsid w:val="00793E3E"/>
    <w:rsid w:val="007957F8"/>
    <w:rsid w:val="00795CFC"/>
    <w:rsid w:val="00796C48"/>
    <w:rsid w:val="00797241"/>
    <w:rsid w:val="007A05CB"/>
    <w:rsid w:val="007A08BD"/>
    <w:rsid w:val="007A0B82"/>
    <w:rsid w:val="007A0C1C"/>
    <w:rsid w:val="007A0F0C"/>
    <w:rsid w:val="007A17D3"/>
    <w:rsid w:val="007A1852"/>
    <w:rsid w:val="007A3028"/>
    <w:rsid w:val="007A3400"/>
    <w:rsid w:val="007A3994"/>
    <w:rsid w:val="007A3A88"/>
    <w:rsid w:val="007A3E0D"/>
    <w:rsid w:val="007A4206"/>
    <w:rsid w:val="007A436B"/>
    <w:rsid w:val="007A5ACD"/>
    <w:rsid w:val="007A6633"/>
    <w:rsid w:val="007A726D"/>
    <w:rsid w:val="007B1958"/>
    <w:rsid w:val="007B1DDA"/>
    <w:rsid w:val="007B3A4D"/>
    <w:rsid w:val="007B5D10"/>
    <w:rsid w:val="007C0C54"/>
    <w:rsid w:val="007C0D5C"/>
    <w:rsid w:val="007C12BD"/>
    <w:rsid w:val="007C1E6D"/>
    <w:rsid w:val="007C5128"/>
    <w:rsid w:val="007C5AEB"/>
    <w:rsid w:val="007C5D29"/>
    <w:rsid w:val="007D16F0"/>
    <w:rsid w:val="007D51C7"/>
    <w:rsid w:val="007D6145"/>
    <w:rsid w:val="007D61DC"/>
    <w:rsid w:val="007D6576"/>
    <w:rsid w:val="007D72CD"/>
    <w:rsid w:val="007E0492"/>
    <w:rsid w:val="007E10E9"/>
    <w:rsid w:val="007E243E"/>
    <w:rsid w:val="007E2CE0"/>
    <w:rsid w:val="007E423C"/>
    <w:rsid w:val="007E43A2"/>
    <w:rsid w:val="007E53A9"/>
    <w:rsid w:val="007E59FC"/>
    <w:rsid w:val="007E6E9D"/>
    <w:rsid w:val="007F06F6"/>
    <w:rsid w:val="007F1A28"/>
    <w:rsid w:val="007F3BBD"/>
    <w:rsid w:val="007F40B6"/>
    <w:rsid w:val="007F40F0"/>
    <w:rsid w:val="007F74B1"/>
    <w:rsid w:val="00800110"/>
    <w:rsid w:val="00802A1D"/>
    <w:rsid w:val="008036A6"/>
    <w:rsid w:val="00804822"/>
    <w:rsid w:val="00804FD4"/>
    <w:rsid w:val="00805245"/>
    <w:rsid w:val="00806CE4"/>
    <w:rsid w:val="0080706A"/>
    <w:rsid w:val="008078B8"/>
    <w:rsid w:val="00810011"/>
    <w:rsid w:val="00811FA5"/>
    <w:rsid w:val="0081257E"/>
    <w:rsid w:val="00816B9D"/>
    <w:rsid w:val="0082159A"/>
    <w:rsid w:val="00821FCB"/>
    <w:rsid w:val="008228FB"/>
    <w:rsid w:val="008229E4"/>
    <w:rsid w:val="00824DEB"/>
    <w:rsid w:val="00825DAC"/>
    <w:rsid w:val="00827386"/>
    <w:rsid w:val="008277E1"/>
    <w:rsid w:val="00830225"/>
    <w:rsid w:val="00830B1F"/>
    <w:rsid w:val="008311D9"/>
    <w:rsid w:val="0083152E"/>
    <w:rsid w:val="00832560"/>
    <w:rsid w:val="00832B10"/>
    <w:rsid w:val="0083449E"/>
    <w:rsid w:val="008346A6"/>
    <w:rsid w:val="00835A13"/>
    <w:rsid w:val="00836AAD"/>
    <w:rsid w:val="008374A6"/>
    <w:rsid w:val="008406B5"/>
    <w:rsid w:val="00840A87"/>
    <w:rsid w:val="00841121"/>
    <w:rsid w:val="00841243"/>
    <w:rsid w:val="00842077"/>
    <w:rsid w:val="00842D8D"/>
    <w:rsid w:val="008434E2"/>
    <w:rsid w:val="00844132"/>
    <w:rsid w:val="00845744"/>
    <w:rsid w:val="0084747F"/>
    <w:rsid w:val="00847EE9"/>
    <w:rsid w:val="00850D6E"/>
    <w:rsid w:val="00850DC2"/>
    <w:rsid w:val="00850E76"/>
    <w:rsid w:val="008517DE"/>
    <w:rsid w:val="0085181D"/>
    <w:rsid w:val="00851CA9"/>
    <w:rsid w:val="008522BC"/>
    <w:rsid w:val="008524B5"/>
    <w:rsid w:val="00852905"/>
    <w:rsid w:val="00852C32"/>
    <w:rsid w:val="00853F80"/>
    <w:rsid w:val="00854C6A"/>
    <w:rsid w:val="00854F86"/>
    <w:rsid w:val="008555AC"/>
    <w:rsid w:val="00855690"/>
    <w:rsid w:val="0085630D"/>
    <w:rsid w:val="008572AA"/>
    <w:rsid w:val="00857D7B"/>
    <w:rsid w:val="00860361"/>
    <w:rsid w:val="00860E83"/>
    <w:rsid w:val="00863B9D"/>
    <w:rsid w:val="008641F4"/>
    <w:rsid w:val="00866955"/>
    <w:rsid w:val="00867428"/>
    <w:rsid w:val="00867B00"/>
    <w:rsid w:val="0087205C"/>
    <w:rsid w:val="00872866"/>
    <w:rsid w:val="0087292C"/>
    <w:rsid w:val="0087402B"/>
    <w:rsid w:val="0087443C"/>
    <w:rsid w:val="00874A94"/>
    <w:rsid w:val="00874E43"/>
    <w:rsid w:val="00875858"/>
    <w:rsid w:val="00875CFD"/>
    <w:rsid w:val="00880A15"/>
    <w:rsid w:val="008811F0"/>
    <w:rsid w:val="008822E4"/>
    <w:rsid w:val="00883455"/>
    <w:rsid w:val="0088448D"/>
    <w:rsid w:val="00884E29"/>
    <w:rsid w:val="00885D90"/>
    <w:rsid w:val="00887529"/>
    <w:rsid w:val="00891871"/>
    <w:rsid w:val="00895BA6"/>
    <w:rsid w:val="0089784A"/>
    <w:rsid w:val="00897E91"/>
    <w:rsid w:val="008A017A"/>
    <w:rsid w:val="008A072A"/>
    <w:rsid w:val="008A405A"/>
    <w:rsid w:val="008A40EB"/>
    <w:rsid w:val="008A4959"/>
    <w:rsid w:val="008A62AF"/>
    <w:rsid w:val="008A6CB0"/>
    <w:rsid w:val="008A7887"/>
    <w:rsid w:val="008B01AA"/>
    <w:rsid w:val="008B0CC6"/>
    <w:rsid w:val="008B1990"/>
    <w:rsid w:val="008B24E2"/>
    <w:rsid w:val="008B28D7"/>
    <w:rsid w:val="008B56E3"/>
    <w:rsid w:val="008B7F54"/>
    <w:rsid w:val="008B7FB9"/>
    <w:rsid w:val="008C15B3"/>
    <w:rsid w:val="008C2018"/>
    <w:rsid w:val="008C2174"/>
    <w:rsid w:val="008C30A6"/>
    <w:rsid w:val="008C4106"/>
    <w:rsid w:val="008C4341"/>
    <w:rsid w:val="008C4E30"/>
    <w:rsid w:val="008C4E65"/>
    <w:rsid w:val="008C5273"/>
    <w:rsid w:val="008C53D7"/>
    <w:rsid w:val="008C555E"/>
    <w:rsid w:val="008C5870"/>
    <w:rsid w:val="008C6095"/>
    <w:rsid w:val="008C6309"/>
    <w:rsid w:val="008C7C19"/>
    <w:rsid w:val="008D0B9C"/>
    <w:rsid w:val="008D1902"/>
    <w:rsid w:val="008D2D31"/>
    <w:rsid w:val="008D3694"/>
    <w:rsid w:val="008D6AB5"/>
    <w:rsid w:val="008D6FBC"/>
    <w:rsid w:val="008E0FEB"/>
    <w:rsid w:val="008E21D5"/>
    <w:rsid w:val="008E3E67"/>
    <w:rsid w:val="008E422D"/>
    <w:rsid w:val="008E4EC4"/>
    <w:rsid w:val="008E680F"/>
    <w:rsid w:val="008E7793"/>
    <w:rsid w:val="008F0170"/>
    <w:rsid w:val="008F0C79"/>
    <w:rsid w:val="008F1589"/>
    <w:rsid w:val="008F166D"/>
    <w:rsid w:val="008F18CF"/>
    <w:rsid w:val="008F28A2"/>
    <w:rsid w:val="008F48D3"/>
    <w:rsid w:val="008F4BDA"/>
    <w:rsid w:val="008F765C"/>
    <w:rsid w:val="0090042C"/>
    <w:rsid w:val="009017B5"/>
    <w:rsid w:val="00902568"/>
    <w:rsid w:val="0090388B"/>
    <w:rsid w:val="00906008"/>
    <w:rsid w:val="00906247"/>
    <w:rsid w:val="00906D7F"/>
    <w:rsid w:val="0090777A"/>
    <w:rsid w:val="00907F2A"/>
    <w:rsid w:val="0091000E"/>
    <w:rsid w:val="00910808"/>
    <w:rsid w:val="009123ED"/>
    <w:rsid w:val="009123FA"/>
    <w:rsid w:val="00913455"/>
    <w:rsid w:val="00913C8E"/>
    <w:rsid w:val="00914D90"/>
    <w:rsid w:val="00915BDA"/>
    <w:rsid w:val="00916CC9"/>
    <w:rsid w:val="0091755A"/>
    <w:rsid w:val="009217CF"/>
    <w:rsid w:val="00921B51"/>
    <w:rsid w:val="0092366B"/>
    <w:rsid w:val="009246D6"/>
    <w:rsid w:val="00924D09"/>
    <w:rsid w:val="009259D3"/>
    <w:rsid w:val="009265AC"/>
    <w:rsid w:val="0092720E"/>
    <w:rsid w:val="0092757F"/>
    <w:rsid w:val="009300DC"/>
    <w:rsid w:val="009308AD"/>
    <w:rsid w:val="009319AB"/>
    <w:rsid w:val="00931DE7"/>
    <w:rsid w:val="00931FB4"/>
    <w:rsid w:val="009320D0"/>
    <w:rsid w:val="00932365"/>
    <w:rsid w:val="00932CEF"/>
    <w:rsid w:val="0093357E"/>
    <w:rsid w:val="00933E3B"/>
    <w:rsid w:val="0093415B"/>
    <w:rsid w:val="009372D9"/>
    <w:rsid w:val="0094067B"/>
    <w:rsid w:val="0094088C"/>
    <w:rsid w:val="00940F12"/>
    <w:rsid w:val="009414D4"/>
    <w:rsid w:val="009421BE"/>
    <w:rsid w:val="009423A6"/>
    <w:rsid w:val="009426B9"/>
    <w:rsid w:val="00942929"/>
    <w:rsid w:val="00942CCC"/>
    <w:rsid w:val="00942ED1"/>
    <w:rsid w:val="009431E6"/>
    <w:rsid w:val="009439B5"/>
    <w:rsid w:val="00944B4D"/>
    <w:rsid w:val="00944F61"/>
    <w:rsid w:val="00946903"/>
    <w:rsid w:val="009472E5"/>
    <w:rsid w:val="009474EF"/>
    <w:rsid w:val="00951B93"/>
    <w:rsid w:val="00952CB4"/>
    <w:rsid w:val="00954769"/>
    <w:rsid w:val="00954BE4"/>
    <w:rsid w:val="00956992"/>
    <w:rsid w:val="00957AAA"/>
    <w:rsid w:val="00961B55"/>
    <w:rsid w:val="009637F5"/>
    <w:rsid w:val="00964BC1"/>
    <w:rsid w:val="00964F65"/>
    <w:rsid w:val="00964FB5"/>
    <w:rsid w:val="009658EC"/>
    <w:rsid w:val="00970558"/>
    <w:rsid w:val="009708F5"/>
    <w:rsid w:val="00971865"/>
    <w:rsid w:val="00971FD0"/>
    <w:rsid w:val="00972779"/>
    <w:rsid w:val="0097289B"/>
    <w:rsid w:val="00972A0B"/>
    <w:rsid w:val="00973A46"/>
    <w:rsid w:val="009744B5"/>
    <w:rsid w:val="00974C0A"/>
    <w:rsid w:val="00975012"/>
    <w:rsid w:val="009755D4"/>
    <w:rsid w:val="00975A9E"/>
    <w:rsid w:val="009773BC"/>
    <w:rsid w:val="009802BA"/>
    <w:rsid w:val="009816B5"/>
    <w:rsid w:val="00981FF9"/>
    <w:rsid w:val="009824C0"/>
    <w:rsid w:val="009825BB"/>
    <w:rsid w:val="00982F36"/>
    <w:rsid w:val="0098314B"/>
    <w:rsid w:val="00984EE9"/>
    <w:rsid w:val="00985129"/>
    <w:rsid w:val="00985B79"/>
    <w:rsid w:val="0098659D"/>
    <w:rsid w:val="0098681C"/>
    <w:rsid w:val="00991768"/>
    <w:rsid w:val="0099189B"/>
    <w:rsid w:val="0099194A"/>
    <w:rsid w:val="00992E1E"/>
    <w:rsid w:val="00994337"/>
    <w:rsid w:val="00995105"/>
    <w:rsid w:val="00995346"/>
    <w:rsid w:val="0099539A"/>
    <w:rsid w:val="009965DB"/>
    <w:rsid w:val="0099699E"/>
    <w:rsid w:val="00996A03"/>
    <w:rsid w:val="00997515"/>
    <w:rsid w:val="00997FA3"/>
    <w:rsid w:val="009A0C45"/>
    <w:rsid w:val="009A185C"/>
    <w:rsid w:val="009A1C94"/>
    <w:rsid w:val="009A30DD"/>
    <w:rsid w:val="009A35BF"/>
    <w:rsid w:val="009A35C1"/>
    <w:rsid w:val="009A45A8"/>
    <w:rsid w:val="009A4CC1"/>
    <w:rsid w:val="009A5537"/>
    <w:rsid w:val="009A6E72"/>
    <w:rsid w:val="009B0C6C"/>
    <w:rsid w:val="009B20EB"/>
    <w:rsid w:val="009B2349"/>
    <w:rsid w:val="009B5322"/>
    <w:rsid w:val="009B7D66"/>
    <w:rsid w:val="009C010D"/>
    <w:rsid w:val="009C0388"/>
    <w:rsid w:val="009C0B38"/>
    <w:rsid w:val="009C1A56"/>
    <w:rsid w:val="009C1CB5"/>
    <w:rsid w:val="009C247D"/>
    <w:rsid w:val="009C2C40"/>
    <w:rsid w:val="009C4471"/>
    <w:rsid w:val="009C5363"/>
    <w:rsid w:val="009C542B"/>
    <w:rsid w:val="009D057E"/>
    <w:rsid w:val="009D0E96"/>
    <w:rsid w:val="009D17E1"/>
    <w:rsid w:val="009D1C08"/>
    <w:rsid w:val="009D2A22"/>
    <w:rsid w:val="009D47CF"/>
    <w:rsid w:val="009D654A"/>
    <w:rsid w:val="009D6DD3"/>
    <w:rsid w:val="009D7A6D"/>
    <w:rsid w:val="009E34E5"/>
    <w:rsid w:val="009E4D09"/>
    <w:rsid w:val="009E5FF5"/>
    <w:rsid w:val="009E6295"/>
    <w:rsid w:val="009E6889"/>
    <w:rsid w:val="009E6DBE"/>
    <w:rsid w:val="009E794E"/>
    <w:rsid w:val="009F020E"/>
    <w:rsid w:val="009F3456"/>
    <w:rsid w:val="009F3DE4"/>
    <w:rsid w:val="009F6088"/>
    <w:rsid w:val="00A0109B"/>
    <w:rsid w:val="00A01FA2"/>
    <w:rsid w:val="00A036A3"/>
    <w:rsid w:val="00A03D70"/>
    <w:rsid w:val="00A03F5C"/>
    <w:rsid w:val="00A04BD7"/>
    <w:rsid w:val="00A06CE0"/>
    <w:rsid w:val="00A0737E"/>
    <w:rsid w:val="00A075C4"/>
    <w:rsid w:val="00A076A4"/>
    <w:rsid w:val="00A12469"/>
    <w:rsid w:val="00A12EC1"/>
    <w:rsid w:val="00A12F2D"/>
    <w:rsid w:val="00A15465"/>
    <w:rsid w:val="00A17930"/>
    <w:rsid w:val="00A20A4B"/>
    <w:rsid w:val="00A263A2"/>
    <w:rsid w:val="00A264E8"/>
    <w:rsid w:val="00A30A5D"/>
    <w:rsid w:val="00A32D07"/>
    <w:rsid w:val="00A33C2B"/>
    <w:rsid w:val="00A33FF3"/>
    <w:rsid w:val="00A3476A"/>
    <w:rsid w:val="00A34E50"/>
    <w:rsid w:val="00A34E6F"/>
    <w:rsid w:val="00A351FF"/>
    <w:rsid w:val="00A3572E"/>
    <w:rsid w:val="00A3750D"/>
    <w:rsid w:val="00A42B1B"/>
    <w:rsid w:val="00A431C6"/>
    <w:rsid w:val="00A4351A"/>
    <w:rsid w:val="00A43D3D"/>
    <w:rsid w:val="00A43FDF"/>
    <w:rsid w:val="00A4430F"/>
    <w:rsid w:val="00A462B0"/>
    <w:rsid w:val="00A46369"/>
    <w:rsid w:val="00A4641F"/>
    <w:rsid w:val="00A466A9"/>
    <w:rsid w:val="00A468AE"/>
    <w:rsid w:val="00A46B6B"/>
    <w:rsid w:val="00A46CA4"/>
    <w:rsid w:val="00A50D58"/>
    <w:rsid w:val="00A522B9"/>
    <w:rsid w:val="00A52B67"/>
    <w:rsid w:val="00A53D54"/>
    <w:rsid w:val="00A55CB6"/>
    <w:rsid w:val="00A56001"/>
    <w:rsid w:val="00A56727"/>
    <w:rsid w:val="00A5684A"/>
    <w:rsid w:val="00A6183D"/>
    <w:rsid w:val="00A61F1B"/>
    <w:rsid w:val="00A62D24"/>
    <w:rsid w:val="00A63C25"/>
    <w:rsid w:val="00A64AC7"/>
    <w:rsid w:val="00A65DDA"/>
    <w:rsid w:val="00A6672B"/>
    <w:rsid w:val="00A66C19"/>
    <w:rsid w:val="00A672D0"/>
    <w:rsid w:val="00A6733E"/>
    <w:rsid w:val="00A67735"/>
    <w:rsid w:val="00A67BE4"/>
    <w:rsid w:val="00A721EA"/>
    <w:rsid w:val="00A72958"/>
    <w:rsid w:val="00A73C5A"/>
    <w:rsid w:val="00A74423"/>
    <w:rsid w:val="00A7447F"/>
    <w:rsid w:val="00A762CC"/>
    <w:rsid w:val="00A80AE0"/>
    <w:rsid w:val="00A80C31"/>
    <w:rsid w:val="00A80DC1"/>
    <w:rsid w:val="00A810BA"/>
    <w:rsid w:val="00A8136E"/>
    <w:rsid w:val="00A82ACE"/>
    <w:rsid w:val="00A84595"/>
    <w:rsid w:val="00A84E82"/>
    <w:rsid w:val="00A8517D"/>
    <w:rsid w:val="00A85CF2"/>
    <w:rsid w:val="00A85F97"/>
    <w:rsid w:val="00A91789"/>
    <w:rsid w:val="00A919F6"/>
    <w:rsid w:val="00A91B4A"/>
    <w:rsid w:val="00A959FE"/>
    <w:rsid w:val="00A96344"/>
    <w:rsid w:val="00A96E60"/>
    <w:rsid w:val="00A97C4F"/>
    <w:rsid w:val="00AA1B6E"/>
    <w:rsid w:val="00AA1FCE"/>
    <w:rsid w:val="00AA2FBE"/>
    <w:rsid w:val="00AA4B94"/>
    <w:rsid w:val="00AA4D9B"/>
    <w:rsid w:val="00AA54CC"/>
    <w:rsid w:val="00AA591F"/>
    <w:rsid w:val="00AA75AC"/>
    <w:rsid w:val="00AB134B"/>
    <w:rsid w:val="00AB2342"/>
    <w:rsid w:val="00AB252B"/>
    <w:rsid w:val="00AB3D9A"/>
    <w:rsid w:val="00AB405C"/>
    <w:rsid w:val="00AB47CE"/>
    <w:rsid w:val="00AB575B"/>
    <w:rsid w:val="00AB5F49"/>
    <w:rsid w:val="00AC2D12"/>
    <w:rsid w:val="00AC38E8"/>
    <w:rsid w:val="00AC4F51"/>
    <w:rsid w:val="00AC7BC2"/>
    <w:rsid w:val="00AD0371"/>
    <w:rsid w:val="00AD13DC"/>
    <w:rsid w:val="00AD151F"/>
    <w:rsid w:val="00AD3AAE"/>
    <w:rsid w:val="00AD4813"/>
    <w:rsid w:val="00AD5291"/>
    <w:rsid w:val="00AD54C5"/>
    <w:rsid w:val="00AD5522"/>
    <w:rsid w:val="00AD5A38"/>
    <w:rsid w:val="00AD5A97"/>
    <w:rsid w:val="00AD5B63"/>
    <w:rsid w:val="00AD5FAA"/>
    <w:rsid w:val="00AD72B7"/>
    <w:rsid w:val="00AD7C5A"/>
    <w:rsid w:val="00AE407F"/>
    <w:rsid w:val="00AE53F8"/>
    <w:rsid w:val="00AE6312"/>
    <w:rsid w:val="00AE659A"/>
    <w:rsid w:val="00AE69A9"/>
    <w:rsid w:val="00AE6D63"/>
    <w:rsid w:val="00AE6E7B"/>
    <w:rsid w:val="00AE713B"/>
    <w:rsid w:val="00AE72F9"/>
    <w:rsid w:val="00AF06DA"/>
    <w:rsid w:val="00AF1207"/>
    <w:rsid w:val="00AF211B"/>
    <w:rsid w:val="00AF4C35"/>
    <w:rsid w:val="00AF6518"/>
    <w:rsid w:val="00AF665C"/>
    <w:rsid w:val="00AF6E5F"/>
    <w:rsid w:val="00B009D4"/>
    <w:rsid w:val="00B02B90"/>
    <w:rsid w:val="00B0314B"/>
    <w:rsid w:val="00B03809"/>
    <w:rsid w:val="00B04864"/>
    <w:rsid w:val="00B06836"/>
    <w:rsid w:val="00B06905"/>
    <w:rsid w:val="00B0737E"/>
    <w:rsid w:val="00B074FA"/>
    <w:rsid w:val="00B13774"/>
    <w:rsid w:val="00B13A8A"/>
    <w:rsid w:val="00B14120"/>
    <w:rsid w:val="00B15C76"/>
    <w:rsid w:val="00B16573"/>
    <w:rsid w:val="00B16B2E"/>
    <w:rsid w:val="00B16C29"/>
    <w:rsid w:val="00B17555"/>
    <w:rsid w:val="00B17FFC"/>
    <w:rsid w:val="00B2169D"/>
    <w:rsid w:val="00B21E9A"/>
    <w:rsid w:val="00B22EE7"/>
    <w:rsid w:val="00B23623"/>
    <w:rsid w:val="00B25B35"/>
    <w:rsid w:val="00B2755E"/>
    <w:rsid w:val="00B30640"/>
    <w:rsid w:val="00B3069C"/>
    <w:rsid w:val="00B3267E"/>
    <w:rsid w:val="00B3274D"/>
    <w:rsid w:val="00B33351"/>
    <w:rsid w:val="00B33DD7"/>
    <w:rsid w:val="00B35767"/>
    <w:rsid w:val="00B36A01"/>
    <w:rsid w:val="00B372A8"/>
    <w:rsid w:val="00B40531"/>
    <w:rsid w:val="00B412E9"/>
    <w:rsid w:val="00B43332"/>
    <w:rsid w:val="00B438CF"/>
    <w:rsid w:val="00B45596"/>
    <w:rsid w:val="00B45C39"/>
    <w:rsid w:val="00B46EE7"/>
    <w:rsid w:val="00B47A29"/>
    <w:rsid w:val="00B50D25"/>
    <w:rsid w:val="00B51340"/>
    <w:rsid w:val="00B51C6A"/>
    <w:rsid w:val="00B51D85"/>
    <w:rsid w:val="00B5206E"/>
    <w:rsid w:val="00B52543"/>
    <w:rsid w:val="00B53FDE"/>
    <w:rsid w:val="00B54AE8"/>
    <w:rsid w:val="00B54DED"/>
    <w:rsid w:val="00B559A4"/>
    <w:rsid w:val="00B56748"/>
    <w:rsid w:val="00B56DDC"/>
    <w:rsid w:val="00B5724D"/>
    <w:rsid w:val="00B577BB"/>
    <w:rsid w:val="00B6057E"/>
    <w:rsid w:val="00B60D59"/>
    <w:rsid w:val="00B6117A"/>
    <w:rsid w:val="00B63281"/>
    <w:rsid w:val="00B648C9"/>
    <w:rsid w:val="00B64903"/>
    <w:rsid w:val="00B651CF"/>
    <w:rsid w:val="00B71741"/>
    <w:rsid w:val="00B722B6"/>
    <w:rsid w:val="00B72C79"/>
    <w:rsid w:val="00B730C9"/>
    <w:rsid w:val="00B73B01"/>
    <w:rsid w:val="00B750A0"/>
    <w:rsid w:val="00B764B0"/>
    <w:rsid w:val="00B76903"/>
    <w:rsid w:val="00B8030D"/>
    <w:rsid w:val="00B80A99"/>
    <w:rsid w:val="00B80BDF"/>
    <w:rsid w:val="00B81EB4"/>
    <w:rsid w:val="00B8256E"/>
    <w:rsid w:val="00B8321D"/>
    <w:rsid w:val="00B836B7"/>
    <w:rsid w:val="00B83A0D"/>
    <w:rsid w:val="00B83E25"/>
    <w:rsid w:val="00B84083"/>
    <w:rsid w:val="00B86AE2"/>
    <w:rsid w:val="00B903B6"/>
    <w:rsid w:val="00B9058C"/>
    <w:rsid w:val="00B90950"/>
    <w:rsid w:val="00B9143A"/>
    <w:rsid w:val="00B9219A"/>
    <w:rsid w:val="00B92533"/>
    <w:rsid w:val="00B94C5A"/>
    <w:rsid w:val="00B94F12"/>
    <w:rsid w:val="00B94FFC"/>
    <w:rsid w:val="00B96FEE"/>
    <w:rsid w:val="00B97120"/>
    <w:rsid w:val="00B97FFC"/>
    <w:rsid w:val="00BA0702"/>
    <w:rsid w:val="00BA0926"/>
    <w:rsid w:val="00BA0A4E"/>
    <w:rsid w:val="00BA0DE7"/>
    <w:rsid w:val="00BA260B"/>
    <w:rsid w:val="00BA3D78"/>
    <w:rsid w:val="00BA406A"/>
    <w:rsid w:val="00BA4567"/>
    <w:rsid w:val="00BA4C6D"/>
    <w:rsid w:val="00BA53C0"/>
    <w:rsid w:val="00BA5658"/>
    <w:rsid w:val="00BA5905"/>
    <w:rsid w:val="00BA5AFC"/>
    <w:rsid w:val="00BA6533"/>
    <w:rsid w:val="00BA74B2"/>
    <w:rsid w:val="00BA767C"/>
    <w:rsid w:val="00BB10B0"/>
    <w:rsid w:val="00BB1220"/>
    <w:rsid w:val="00BB1A61"/>
    <w:rsid w:val="00BB1B35"/>
    <w:rsid w:val="00BB1C0A"/>
    <w:rsid w:val="00BB27B1"/>
    <w:rsid w:val="00BB29C8"/>
    <w:rsid w:val="00BB47A5"/>
    <w:rsid w:val="00BB6CC6"/>
    <w:rsid w:val="00BC11F4"/>
    <w:rsid w:val="00BC15F7"/>
    <w:rsid w:val="00BC1DFD"/>
    <w:rsid w:val="00BC217E"/>
    <w:rsid w:val="00BC21CD"/>
    <w:rsid w:val="00BC3593"/>
    <w:rsid w:val="00BC3A24"/>
    <w:rsid w:val="00BC3F1F"/>
    <w:rsid w:val="00BC4272"/>
    <w:rsid w:val="00BC45E2"/>
    <w:rsid w:val="00BC4812"/>
    <w:rsid w:val="00BC5379"/>
    <w:rsid w:val="00BC6AA9"/>
    <w:rsid w:val="00BC6D3B"/>
    <w:rsid w:val="00BD0F8B"/>
    <w:rsid w:val="00BD3F2E"/>
    <w:rsid w:val="00BD45F9"/>
    <w:rsid w:val="00BD46FF"/>
    <w:rsid w:val="00BD4EE5"/>
    <w:rsid w:val="00BD56EF"/>
    <w:rsid w:val="00BD6DCF"/>
    <w:rsid w:val="00BD77BE"/>
    <w:rsid w:val="00BD796B"/>
    <w:rsid w:val="00BE044B"/>
    <w:rsid w:val="00BE0593"/>
    <w:rsid w:val="00BE0C96"/>
    <w:rsid w:val="00BE2A35"/>
    <w:rsid w:val="00BE3A13"/>
    <w:rsid w:val="00BE4545"/>
    <w:rsid w:val="00BE629D"/>
    <w:rsid w:val="00BE6428"/>
    <w:rsid w:val="00BE651A"/>
    <w:rsid w:val="00BF17F3"/>
    <w:rsid w:val="00BF2B04"/>
    <w:rsid w:val="00BF323C"/>
    <w:rsid w:val="00BF49A5"/>
    <w:rsid w:val="00BF5627"/>
    <w:rsid w:val="00BF5DAA"/>
    <w:rsid w:val="00BF5EBC"/>
    <w:rsid w:val="00BF7DFF"/>
    <w:rsid w:val="00BF7F74"/>
    <w:rsid w:val="00C0099F"/>
    <w:rsid w:val="00C016B5"/>
    <w:rsid w:val="00C03399"/>
    <w:rsid w:val="00C048E4"/>
    <w:rsid w:val="00C04CD5"/>
    <w:rsid w:val="00C057A9"/>
    <w:rsid w:val="00C073FC"/>
    <w:rsid w:val="00C117D6"/>
    <w:rsid w:val="00C13854"/>
    <w:rsid w:val="00C1515E"/>
    <w:rsid w:val="00C15B05"/>
    <w:rsid w:val="00C1645C"/>
    <w:rsid w:val="00C16734"/>
    <w:rsid w:val="00C16F1A"/>
    <w:rsid w:val="00C20207"/>
    <w:rsid w:val="00C20745"/>
    <w:rsid w:val="00C20E73"/>
    <w:rsid w:val="00C2166C"/>
    <w:rsid w:val="00C220CA"/>
    <w:rsid w:val="00C2218E"/>
    <w:rsid w:val="00C22BA0"/>
    <w:rsid w:val="00C2331C"/>
    <w:rsid w:val="00C24245"/>
    <w:rsid w:val="00C25FD9"/>
    <w:rsid w:val="00C26F6D"/>
    <w:rsid w:val="00C276D1"/>
    <w:rsid w:val="00C27802"/>
    <w:rsid w:val="00C3060D"/>
    <w:rsid w:val="00C30CE6"/>
    <w:rsid w:val="00C33334"/>
    <w:rsid w:val="00C3404E"/>
    <w:rsid w:val="00C34BC7"/>
    <w:rsid w:val="00C350E9"/>
    <w:rsid w:val="00C404BD"/>
    <w:rsid w:val="00C41A6F"/>
    <w:rsid w:val="00C41EE7"/>
    <w:rsid w:val="00C43D55"/>
    <w:rsid w:val="00C43F96"/>
    <w:rsid w:val="00C4409E"/>
    <w:rsid w:val="00C44B81"/>
    <w:rsid w:val="00C4515D"/>
    <w:rsid w:val="00C50D4E"/>
    <w:rsid w:val="00C52A9C"/>
    <w:rsid w:val="00C52AC7"/>
    <w:rsid w:val="00C555CB"/>
    <w:rsid w:val="00C562E9"/>
    <w:rsid w:val="00C606CF"/>
    <w:rsid w:val="00C609C2"/>
    <w:rsid w:val="00C60D39"/>
    <w:rsid w:val="00C64553"/>
    <w:rsid w:val="00C6503A"/>
    <w:rsid w:val="00C65443"/>
    <w:rsid w:val="00C65F0F"/>
    <w:rsid w:val="00C661C4"/>
    <w:rsid w:val="00C663CB"/>
    <w:rsid w:val="00C666BD"/>
    <w:rsid w:val="00C66F2A"/>
    <w:rsid w:val="00C672C8"/>
    <w:rsid w:val="00C67BF6"/>
    <w:rsid w:val="00C71638"/>
    <w:rsid w:val="00C7224A"/>
    <w:rsid w:val="00C725F3"/>
    <w:rsid w:val="00C746C0"/>
    <w:rsid w:val="00C750C3"/>
    <w:rsid w:val="00C75785"/>
    <w:rsid w:val="00C76935"/>
    <w:rsid w:val="00C76BA0"/>
    <w:rsid w:val="00C77E2C"/>
    <w:rsid w:val="00C80405"/>
    <w:rsid w:val="00C80B20"/>
    <w:rsid w:val="00C81442"/>
    <w:rsid w:val="00C8186D"/>
    <w:rsid w:val="00C819C6"/>
    <w:rsid w:val="00C82363"/>
    <w:rsid w:val="00C83997"/>
    <w:rsid w:val="00C84A05"/>
    <w:rsid w:val="00C84AE6"/>
    <w:rsid w:val="00C87114"/>
    <w:rsid w:val="00C901F4"/>
    <w:rsid w:val="00C9083E"/>
    <w:rsid w:val="00C91DE5"/>
    <w:rsid w:val="00C9240F"/>
    <w:rsid w:val="00C93239"/>
    <w:rsid w:val="00C94042"/>
    <w:rsid w:val="00C94972"/>
    <w:rsid w:val="00C959C8"/>
    <w:rsid w:val="00C97315"/>
    <w:rsid w:val="00CA0305"/>
    <w:rsid w:val="00CA1F58"/>
    <w:rsid w:val="00CA3670"/>
    <w:rsid w:val="00CA5C36"/>
    <w:rsid w:val="00CA5DB0"/>
    <w:rsid w:val="00CA5F9C"/>
    <w:rsid w:val="00CA67D8"/>
    <w:rsid w:val="00CA7002"/>
    <w:rsid w:val="00CA71CF"/>
    <w:rsid w:val="00CA768A"/>
    <w:rsid w:val="00CB1012"/>
    <w:rsid w:val="00CB30B7"/>
    <w:rsid w:val="00CB56DC"/>
    <w:rsid w:val="00CB5D27"/>
    <w:rsid w:val="00CB721C"/>
    <w:rsid w:val="00CB73D8"/>
    <w:rsid w:val="00CC15F4"/>
    <w:rsid w:val="00CC1D67"/>
    <w:rsid w:val="00CC23FF"/>
    <w:rsid w:val="00CC358C"/>
    <w:rsid w:val="00CC5C71"/>
    <w:rsid w:val="00CC7359"/>
    <w:rsid w:val="00CD0592"/>
    <w:rsid w:val="00CD12DA"/>
    <w:rsid w:val="00CD179E"/>
    <w:rsid w:val="00CD4174"/>
    <w:rsid w:val="00CD431A"/>
    <w:rsid w:val="00CD5918"/>
    <w:rsid w:val="00CD6DDB"/>
    <w:rsid w:val="00CE4113"/>
    <w:rsid w:val="00CE543A"/>
    <w:rsid w:val="00CE644F"/>
    <w:rsid w:val="00CF01F4"/>
    <w:rsid w:val="00CF0822"/>
    <w:rsid w:val="00CF27BE"/>
    <w:rsid w:val="00CF458D"/>
    <w:rsid w:val="00CF5CD2"/>
    <w:rsid w:val="00CF6AC1"/>
    <w:rsid w:val="00D004BC"/>
    <w:rsid w:val="00D006C9"/>
    <w:rsid w:val="00D0099C"/>
    <w:rsid w:val="00D0159F"/>
    <w:rsid w:val="00D02D56"/>
    <w:rsid w:val="00D02E14"/>
    <w:rsid w:val="00D03313"/>
    <w:rsid w:val="00D03633"/>
    <w:rsid w:val="00D03B89"/>
    <w:rsid w:val="00D047FA"/>
    <w:rsid w:val="00D051F3"/>
    <w:rsid w:val="00D10893"/>
    <w:rsid w:val="00D128BC"/>
    <w:rsid w:val="00D1412E"/>
    <w:rsid w:val="00D14883"/>
    <w:rsid w:val="00D14E3A"/>
    <w:rsid w:val="00D159B7"/>
    <w:rsid w:val="00D16640"/>
    <w:rsid w:val="00D20EFD"/>
    <w:rsid w:val="00D214E6"/>
    <w:rsid w:val="00D21649"/>
    <w:rsid w:val="00D21F25"/>
    <w:rsid w:val="00D236B8"/>
    <w:rsid w:val="00D239BC"/>
    <w:rsid w:val="00D24544"/>
    <w:rsid w:val="00D24CB1"/>
    <w:rsid w:val="00D26382"/>
    <w:rsid w:val="00D27AE5"/>
    <w:rsid w:val="00D31432"/>
    <w:rsid w:val="00D33D2F"/>
    <w:rsid w:val="00D342D4"/>
    <w:rsid w:val="00D344F1"/>
    <w:rsid w:val="00D347C2"/>
    <w:rsid w:val="00D35467"/>
    <w:rsid w:val="00D3708D"/>
    <w:rsid w:val="00D37BB8"/>
    <w:rsid w:val="00D4113E"/>
    <w:rsid w:val="00D4186C"/>
    <w:rsid w:val="00D41E35"/>
    <w:rsid w:val="00D41FD8"/>
    <w:rsid w:val="00D44628"/>
    <w:rsid w:val="00D44B3D"/>
    <w:rsid w:val="00D44F9D"/>
    <w:rsid w:val="00D455A7"/>
    <w:rsid w:val="00D45671"/>
    <w:rsid w:val="00D45A54"/>
    <w:rsid w:val="00D45AC4"/>
    <w:rsid w:val="00D45DF4"/>
    <w:rsid w:val="00D45EF3"/>
    <w:rsid w:val="00D46085"/>
    <w:rsid w:val="00D474E4"/>
    <w:rsid w:val="00D475E8"/>
    <w:rsid w:val="00D47BAE"/>
    <w:rsid w:val="00D47D05"/>
    <w:rsid w:val="00D503DB"/>
    <w:rsid w:val="00D505D1"/>
    <w:rsid w:val="00D50896"/>
    <w:rsid w:val="00D50CC9"/>
    <w:rsid w:val="00D50D1C"/>
    <w:rsid w:val="00D50EA7"/>
    <w:rsid w:val="00D5184C"/>
    <w:rsid w:val="00D52335"/>
    <w:rsid w:val="00D53E7C"/>
    <w:rsid w:val="00D54DCB"/>
    <w:rsid w:val="00D55903"/>
    <w:rsid w:val="00D56C60"/>
    <w:rsid w:val="00D57437"/>
    <w:rsid w:val="00D57F73"/>
    <w:rsid w:val="00D6004C"/>
    <w:rsid w:val="00D60318"/>
    <w:rsid w:val="00D6033A"/>
    <w:rsid w:val="00D61963"/>
    <w:rsid w:val="00D62426"/>
    <w:rsid w:val="00D633EC"/>
    <w:rsid w:val="00D64C04"/>
    <w:rsid w:val="00D67822"/>
    <w:rsid w:val="00D67CDE"/>
    <w:rsid w:val="00D67D34"/>
    <w:rsid w:val="00D7026A"/>
    <w:rsid w:val="00D71033"/>
    <w:rsid w:val="00D725F4"/>
    <w:rsid w:val="00D73681"/>
    <w:rsid w:val="00D7383B"/>
    <w:rsid w:val="00D75DE4"/>
    <w:rsid w:val="00D77056"/>
    <w:rsid w:val="00D77A98"/>
    <w:rsid w:val="00D80BBB"/>
    <w:rsid w:val="00D80D05"/>
    <w:rsid w:val="00D80ED8"/>
    <w:rsid w:val="00D81D34"/>
    <w:rsid w:val="00D82CBE"/>
    <w:rsid w:val="00D83170"/>
    <w:rsid w:val="00D85178"/>
    <w:rsid w:val="00D85317"/>
    <w:rsid w:val="00D855C8"/>
    <w:rsid w:val="00D86C0A"/>
    <w:rsid w:val="00D87960"/>
    <w:rsid w:val="00D87ADD"/>
    <w:rsid w:val="00D90E27"/>
    <w:rsid w:val="00D915DF"/>
    <w:rsid w:val="00D916B3"/>
    <w:rsid w:val="00D94C80"/>
    <w:rsid w:val="00D95641"/>
    <w:rsid w:val="00D959F8"/>
    <w:rsid w:val="00D95E78"/>
    <w:rsid w:val="00D9611A"/>
    <w:rsid w:val="00D96372"/>
    <w:rsid w:val="00D966A1"/>
    <w:rsid w:val="00D96918"/>
    <w:rsid w:val="00D96A86"/>
    <w:rsid w:val="00D97656"/>
    <w:rsid w:val="00D977D4"/>
    <w:rsid w:val="00DA029F"/>
    <w:rsid w:val="00DA1385"/>
    <w:rsid w:val="00DA1F9C"/>
    <w:rsid w:val="00DA2E91"/>
    <w:rsid w:val="00DA3752"/>
    <w:rsid w:val="00DA3B88"/>
    <w:rsid w:val="00DA451A"/>
    <w:rsid w:val="00DA5AEE"/>
    <w:rsid w:val="00DA607C"/>
    <w:rsid w:val="00DA608A"/>
    <w:rsid w:val="00DA6E9E"/>
    <w:rsid w:val="00DA7CB6"/>
    <w:rsid w:val="00DB0357"/>
    <w:rsid w:val="00DB2AD6"/>
    <w:rsid w:val="00DB2B2B"/>
    <w:rsid w:val="00DB31F7"/>
    <w:rsid w:val="00DB4413"/>
    <w:rsid w:val="00DB5B6B"/>
    <w:rsid w:val="00DC3E3B"/>
    <w:rsid w:val="00DC3E3E"/>
    <w:rsid w:val="00DC4815"/>
    <w:rsid w:val="00DC4E71"/>
    <w:rsid w:val="00DC51B2"/>
    <w:rsid w:val="00DC7107"/>
    <w:rsid w:val="00DC72FF"/>
    <w:rsid w:val="00DC7720"/>
    <w:rsid w:val="00DD143E"/>
    <w:rsid w:val="00DD38E9"/>
    <w:rsid w:val="00DD3CBF"/>
    <w:rsid w:val="00DD4E62"/>
    <w:rsid w:val="00DD7EE3"/>
    <w:rsid w:val="00DE1DFB"/>
    <w:rsid w:val="00DE6C30"/>
    <w:rsid w:val="00DE721C"/>
    <w:rsid w:val="00DE75B4"/>
    <w:rsid w:val="00DF01D5"/>
    <w:rsid w:val="00DF0EBB"/>
    <w:rsid w:val="00DF1753"/>
    <w:rsid w:val="00DF2A86"/>
    <w:rsid w:val="00DF34CF"/>
    <w:rsid w:val="00DF3AED"/>
    <w:rsid w:val="00DF413B"/>
    <w:rsid w:val="00DF43A2"/>
    <w:rsid w:val="00DF5403"/>
    <w:rsid w:val="00DF5BF3"/>
    <w:rsid w:val="00DF6017"/>
    <w:rsid w:val="00DF6968"/>
    <w:rsid w:val="00DF7A8B"/>
    <w:rsid w:val="00DF7BAD"/>
    <w:rsid w:val="00E007F1"/>
    <w:rsid w:val="00E00CE5"/>
    <w:rsid w:val="00E033AE"/>
    <w:rsid w:val="00E03515"/>
    <w:rsid w:val="00E0413A"/>
    <w:rsid w:val="00E04470"/>
    <w:rsid w:val="00E0679E"/>
    <w:rsid w:val="00E06B50"/>
    <w:rsid w:val="00E1000D"/>
    <w:rsid w:val="00E111A7"/>
    <w:rsid w:val="00E123D3"/>
    <w:rsid w:val="00E12AD5"/>
    <w:rsid w:val="00E13C8F"/>
    <w:rsid w:val="00E14189"/>
    <w:rsid w:val="00E1593C"/>
    <w:rsid w:val="00E162E5"/>
    <w:rsid w:val="00E169F4"/>
    <w:rsid w:val="00E203F5"/>
    <w:rsid w:val="00E20556"/>
    <w:rsid w:val="00E21E20"/>
    <w:rsid w:val="00E242FF"/>
    <w:rsid w:val="00E24C33"/>
    <w:rsid w:val="00E25691"/>
    <w:rsid w:val="00E26933"/>
    <w:rsid w:val="00E31018"/>
    <w:rsid w:val="00E32436"/>
    <w:rsid w:val="00E32A6E"/>
    <w:rsid w:val="00E36491"/>
    <w:rsid w:val="00E367D4"/>
    <w:rsid w:val="00E375E5"/>
    <w:rsid w:val="00E4003E"/>
    <w:rsid w:val="00E4116B"/>
    <w:rsid w:val="00E43890"/>
    <w:rsid w:val="00E43F9C"/>
    <w:rsid w:val="00E4493F"/>
    <w:rsid w:val="00E44E5F"/>
    <w:rsid w:val="00E4557F"/>
    <w:rsid w:val="00E459BB"/>
    <w:rsid w:val="00E47377"/>
    <w:rsid w:val="00E47BCA"/>
    <w:rsid w:val="00E52225"/>
    <w:rsid w:val="00E541C1"/>
    <w:rsid w:val="00E55B8E"/>
    <w:rsid w:val="00E55D6F"/>
    <w:rsid w:val="00E55E54"/>
    <w:rsid w:val="00E60D5C"/>
    <w:rsid w:val="00E60EB4"/>
    <w:rsid w:val="00E62E63"/>
    <w:rsid w:val="00E63320"/>
    <w:rsid w:val="00E639A0"/>
    <w:rsid w:val="00E63CD5"/>
    <w:rsid w:val="00E64284"/>
    <w:rsid w:val="00E657E6"/>
    <w:rsid w:val="00E66253"/>
    <w:rsid w:val="00E672CF"/>
    <w:rsid w:val="00E70484"/>
    <w:rsid w:val="00E72C14"/>
    <w:rsid w:val="00E72E9D"/>
    <w:rsid w:val="00E7338C"/>
    <w:rsid w:val="00E7421A"/>
    <w:rsid w:val="00E75264"/>
    <w:rsid w:val="00E7623E"/>
    <w:rsid w:val="00E76D6F"/>
    <w:rsid w:val="00E80771"/>
    <w:rsid w:val="00E81B14"/>
    <w:rsid w:val="00E81F84"/>
    <w:rsid w:val="00E82364"/>
    <w:rsid w:val="00E83F26"/>
    <w:rsid w:val="00E84A9A"/>
    <w:rsid w:val="00E862C6"/>
    <w:rsid w:val="00E8779B"/>
    <w:rsid w:val="00E87824"/>
    <w:rsid w:val="00E91AB8"/>
    <w:rsid w:val="00E91E7F"/>
    <w:rsid w:val="00E91F50"/>
    <w:rsid w:val="00E94F6E"/>
    <w:rsid w:val="00E957D9"/>
    <w:rsid w:val="00E96511"/>
    <w:rsid w:val="00EA0EEC"/>
    <w:rsid w:val="00EA0FAF"/>
    <w:rsid w:val="00EA3C8E"/>
    <w:rsid w:val="00EA5D63"/>
    <w:rsid w:val="00EA5F6D"/>
    <w:rsid w:val="00EB37ED"/>
    <w:rsid w:val="00EB758A"/>
    <w:rsid w:val="00EB79F4"/>
    <w:rsid w:val="00EB7CD4"/>
    <w:rsid w:val="00EC0D2F"/>
    <w:rsid w:val="00EC117A"/>
    <w:rsid w:val="00EC238D"/>
    <w:rsid w:val="00EC377A"/>
    <w:rsid w:val="00EC3C6A"/>
    <w:rsid w:val="00EC53E7"/>
    <w:rsid w:val="00EC5904"/>
    <w:rsid w:val="00EC5E63"/>
    <w:rsid w:val="00EC64E7"/>
    <w:rsid w:val="00EC6642"/>
    <w:rsid w:val="00EC714A"/>
    <w:rsid w:val="00EC723D"/>
    <w:rsid w:val="00EC789A"/>
    <w:rsid w:val="00EC789C"/>
    <w:rsid w:val="00ED2149"/>
    <w:rsid w:val="00ED4A9C"/>
    <w:rsid w:val="00ED641B"/>
    <w:rsid w:val="00EE027D"/>
    <w:rsid w:val="00EE0567"/>
    <w:rsid w:val="00EE3D21"/>
    <w:rsid w:val="00EE467E"/>
    <w:rsid w:val="00EE4C8F"/>
    <w:rsid w:val="00EE59B8"/>
    <w:rsid w:val="00EE6120"/>
    <w:rsid w:val="00EE648E"/>
    <w:rsid w:val="00EE6E70"/>
    <w:rsid w:val="00EE7466"/>
    <w:rsid w:val="00EE7C9C"/>
    <w:rsid w:val="00EF0A1B"/>
    <w:rsid w:val="00EF17FF"/>
    <w:rsid w:val="00EF1EC2"/>
    <w:rsid w:val="00EF2766"/>
    <w:rsid w:val="00EF509F"/>
    <w:rsid w:val="00EF74EB"/>
    <w:rsid w:val="00F00E55"/>
    <w:rsid w:val="00F021BD"/>
    <w:rsid w:val="00F033A7"/>
    <w:rsid w:val="00F037EC"/>
    <w:rsid w:val="00F05993"/>
    <w:rsid w:val="00F05B81"/>
    <w:rsid w:val="00F07361"/>
    <w:rsid w:val="00F07E72"/>
    <w:rsid w:val="00F10710"/>
    <w:rsid w:val="00F1126E"/>
    <w:rsid w:val="00F115DB"/>
    <w:rsid w:val="00F118FD"/>
    <w:rsid w:val="00F11D8F"/>
    <w:rsid w:val="00F145F1"/>
    <w:rsid w:val="00F15107"/>
    <w:rsid w:val="00F15532"/>
    <w:rsid w:val="00F16B72"/>
    <w:rsid w:val="00F2020B"/>
    <w:rsid w:val="00F20DA3"/>
    <w:rsid w:val="00F210B8"/>
    <w:rsid w:val="00F210F7"/>
    <w:rsid w:val="00F237D1"/>
    <w:rsid w:val="00F24893"/>
    <w:rsid w:val="00F252C0"/>
    <w:rsid w:val="00F255D4"/>
    <w:rsid w:val="00F2718D"/>
    <w:rsid w:val="00F27955"/>
    <w:rsid w:val="00F30F16"/>
    <w:rsid w:val="00F30F1F"/>
    <w:rsid w:val="00F31CE8"/>
    <w:rsid w:val="00F31D99"/>
    <w:rsid w:val="00F35490"/>
    <w:rsid w:val="00F36E89"/>
    <w:rsid w:val="00F37B4F"/>
    <w:rsid w:val="00F40351"/>
    <w:rsid w:val="00F40AC4"/>
    <w:rsid w:val="00F43D37"/>
    <w:rsid w:val="00F44BE8"/>
    <w:rsid w:val="00F47996"/>
    <w:rsid w:val="00F515F5"/>
    <w:rsid w:val="00F5664F"/>
    <w:rsid w:val="00F604BD"/>
    <w:rsid w:val="00F61585"/>
    <w:rsid w:val="00F622F9"/>
    <w:rsid w:val="00F649BF"/>
    <w:rsid w:val="00F656F0"/>
    <w:rsid w:val="00F65E3D"/>
    <w:rsid w:val="00F665F2"/>
    <w:rsid w:val="00F6676B"/>
    <w:rsid w:val="00F66E3D"/>
    <w:rsid w:val="00F70195"/>
    <w:rsid w:val="00F703FE"/>
    <w:rsid w:val="00F7183B"/>
    <w:rsid w:val="00F71BDA"/>
    <w:rsid w:val="00F7262A"/>
    <w:rsid w:val="00F74697"/>
    <w:rsid w:val="00F752C2"/>
    <w:rsid w:val="00F76D8A"/>
    <w:rsid w:val="00F77FD0"/>
    <w:rsid w:val="00F800CD"/>
    <w:rsid w:val="00F812D0"/>
    <w:rsid w:val="00F83083"/>
    <w:rsid w:val="00F83FB8"/>
    <w:rsid w:val="00F86845"/>
    <w:rsid w:val="00F86A44"/>
    <w:rsid w:val="00F87279"/>
    <w:rsid w:val="00F87600"/>
    <w:rsid w:val="00F87D69"/>
    <w:rsid w:val="00F909F9"/>
    <w:rsid w:val="00F938F6"/>
    <w:rsid w:val="00F94A0B"/>
    <w:rsid w:val="00F94FE1"/>
    <w:rsid w:val="00F96E0C"/>
    <w:rsid w:val="00F97918"/>
    <w:rsid w:val="00F97B4F"/>
    <w:rsid w:val="00F97F26"/>
    <w:rsid w:val="00FA205F"/>
    <w:rsid w:val="00FA2556"/>
    <w:rsid w:val="00FA2703"/>
    <w:rsid w:val="00FA29F2"/>
    <w:rsid w:val="00FA43C2"/>
    <w:rsid w:val="00FA4B59"/>
    <w:rsid w:val="00FB18AE"/>
    <w:rsid w:val="00FB1C13"/>
    <w:rsid w:val="00FB1CF1"/>
    <w:rsid w:val="00FB1E7E"/>
    <w:rsid w:val="00FB1F9D"/>
    <w:rsid w:val="00FB4121"/>
    <w:rsid w:val="00FB48F1"/>
    <w:rsid w:val="00FB65A8"/>
    <w:rsid w:val="00FB67E7"/>
    <w:rsid w:val="00FB6973"/>
    <w:rsid w:val="00FC15F8"/>
    <w:rsid w:val="00FC1B9D"/>
    <w:rsid w:val="00FC1F32"/>
    <w:rsid w:val="00FC5CD4"/>
    <w:rsid w:val="00FC75E9"/>
    <w:rsid w:val="00FD36B5"/>
    <w:rsid w:val="00FD37C1"/>
    <w:rsid w:val="00FD3AED"/>
    <w:rsid w:val="00FD43F3"/>
    <w:rsid w:val="00FD4EBB"/>
    <w:rsid w:val="00FD5B7C"/>
    <w:rsid w:val="00FD613A"/>
    <w:rsid w:val="00FD6D35"/>
    <w:rsid w:val="00FE3FA1"/>
    <w:rsid w:val="00FE42ED"/>
    <w:rsid w:val="00FE4390"/>
    <w:rsid w:val="00FE5F4B"/>
    <w:rsid w:val="00FE64BC"/>
    <w:rsid w:val="00FE67A7"/>
    <w:rsid w:val="00FE6BC4"/>
    <w:rsid w:val="00FE6FCC"/>
    <w:rsid w:val="00FE76D5"/>
    <w:rsid w:val="00FE7A14"/>
    <w:rsid w:val="00FF0FD3"/>
    <w:rsid w:val="00FF285D"/>
    <w:rsid w:val="00FF3203"/>
    <w:rsid w:val="00FF4A1C"/>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23F45B4-7480-4E35-B575-122D8B1E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aliases w:val="2"/>
    <w:basedOn w:val="Normal"/>
    <w:link w:val="ListParagraphChar"/>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paragraph" w:styleId="PlainText">
    <w:name w:val="Plain Text"/>
    <w:basedOn w:val="Normal"/>
    <w:link w:val="PlainTextChar"/>
    <w:uiPriority w:val="99"/>
    <w:unhideWhenUsed/>
    <w:rsid w:val="00841121"/>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rsid w:val="00841121"/>
    <w:rPr>
      <w:rFonts w:ascii="Calibri" w:eastAsiaTheme="minorHAnsi" w:hAnsi="Calibri" w:cstheme="minorBidi"/>
      <w:color w:val="1F497D"/>
      <w:sz w:val="22"/>
      <w:szCs w:val="21"/>
      <w:lang w:eastAsia="en-US"/>
    </w:rPr>
  </w:style>
  <w:style w:type="paragraph" w:customStyle="1" w:styleId="wordsection1">
    <w:name w:val="wordsection1"/>
    <w:basedOn w:val="Normal"/>
    <w:uiPriority w:val="99"/>
    <w:rsid w:val="00845744"/>
    <w:pPr>
      <w:spacing w:before="100" w:beforeAutospacing="1" w:after="100" w:afterAutospacing="1"/>
    </w:pPr>
    <w:rPr>
      <w:rFonts w:eastAsiaTheme="minorHAnsi"/>
    </w:rPr>
  </w:style>
  <w:style w:type="paragraph" w:customStyle="1" w:styleId="BodyText30">
    <w:name w:val="Body Text3"/>
    <w:basedOn w:val="Normal"/>
    <w:rsid w:val="003969A4"/>
    <w:pPr>
      <w:widowControl w:val="0"/>
      <w:shd w:val="clear" w:color="auto" w:fill="FFFFFF"/>
      <w:spacing w:before="660" w:after="240" w:line="274" w:lineRule="exact"/>
      <w:jc w:val="right"/>
    </w:pPr>
    <w:rPr>
      <w:color w:val="000000"/>
      <w:sz w:val="22"/>
      <w:szCs w:val="22"/>
      <w:lang w:bidi="lv-LV"/>
    </w:rPr>
  </w:style>
  <w:style w:type="character" w:customStyle="1" w:styleId="Mention">
    <w:name w:val="Mention"/>
    <w:basedOn w:val="DefaultParagraphFont"/>
    <w:uiPriority w:val="99"/>
    <w:semiHidden/>
    <w:unhideWhenUsed/>
    <w:rsid w:val="003128AB"/>
    <w:rPr>
      <w:color w:val="2B579A"/>
      <w:shd w:val="clear" w:color="auto" w:fill="E6E6E6"/>
    </w:rPr>
  </w:style>
  <w:style w:type="character" w:customStyle="1" w:styleId="ListParagraphChar">
    <w:name w:val="List Paragraph Char"/>
    <w:aliases w:val="2 Char"/>
    <w:link w:val="ListParagraph"/>
    <w:uiPriority w:val="34"/>
    <w:locked/>
    <w:rsid w:val="000E534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838">
      <w:bodyDiv w:val="1"/>
      <w:marLeft w:val="0"/>
      <w:marRight w:val="0"/>
      <w:marTop w:val="0"/>
      <w:marBottom w:val="0"/>
      <w:divBdr>
        <w:top w:val="none" w:sz="0" w:space="0" w:color="auto"/>
        <w:left w:val="none" w:sz="0" w:space="0" w:color="auto"/>
        <w:bottom w:val="none" w:sz="0" w:space="0" w:color="auto"/>
        <w:right w:val="none" w:sz="0" w:space="0" w:color="auto"/>
      </w:divBdr>
    </w:div>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91903841">
      <w:bodyDiv w:val="1"/>
      <w:marLeft w:val="0"/>
      <w:marRight w:val="0"/>
      <w:marTop w:val="0"/>
      <w:marBottom w:val="0"/>
      <w:divBdr>
        <w:top w:val="none" w:sz="0" w:space="0" w:color="auto"/>
        <w:left w:val="none" w:sz="0" w:space="0" w:color="auto"/>
        <w:bottom w:val="none" w:sz="0" w:space="0" w:color="auto"/>
        <w:right w:val="none" w:sz="0" w:space="0" w:color="auto"/>
      </w:divBdr>
    </w:div>
    <w:div w:id="189805726">
      <w:bodyDiv w:val="1"/>
      <w:marLeft w:val="0"/>
      <w:marRight w:val="0"/>
      <w:marTop w:val="0"/>
      <w:marBottom w:val="0"/>
      <w:divBdr>
        <w:top w:val="none" w:sz="0" w:space="0" w:color="auto"/>
        <w:left w:val="none" w:sz="0" w:space="0" w:color="auto"/>
        <w:bottom w:val="none" w:sz="0" w:space="0" w:color="auto"/>
        <w:right w:val="none" w:sz="0" w:space="0" w:color="auto"/>
      </w:divBdr>
    </w:div>
    <w:div w:id="268860166">
      <w:bodyDiv w:val="1"/>
      <w:marLeft w:val="0"/>
      <w:marRight w:val="0"/>
      <w:marTop w:val="0"/>
      <w:marBottom w:val="0"/>
      <w:divBdr>
        <w:top w:val="none" w:sz="0" w:space="0" w:color="auto"/>
        <w:left w:val="none" w:sz="0" w:space="0" w:color="auto"/>
        <w:bottom w:val="none" w:sz="0" w:space="0" w:color="auto"/>
        <w:right w:val="none" w:sz="0" w:space="0" w:color="auto"/>
      </w:divBdr>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599069737">
      <w:bodyDiv w:val="1"/>
      <w:marLeft w:val="0"/>
      <w:marRight w:val="0"/>
      <w:marTop w:val="0"/>
      <w:marBottom w:val="0"/>
      <w:divBdr>
        <w:top w:val="none" w:sz="0" w:space="0" w:color="auto"/>
        <w:left w:val="none" w:sz="0" w:space="0" w:color="auto"/>
        <w:bottom w:val="none" w:sz="0" w:space="0" w:color="auto"/>
        <w:right w:val="none" w:sz="0" w:space="0" w:color="auto"/>
      </w:divBdr>
    </w:div>
    <w:div w:id="752317783">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73549">
      <w:bodyDiv w:val="1"/>
      <w:marLeft w:val="0"/>
      <w:marRight w:val="0"/>
      <w:marTop w:val="0"/>
      <w:marBottom w:val="0"/>
      <w:divBdr>
        <w:top w:val="none" w:sz="0" w:space="0" w:color="auto"/>
        <w:left w:val="none" w:sz="0" w:space="0" w:color="auto"/>
        <w:bottom w:val="none" w:sz="0" w:space="0" w:color="auto"/>
        <w:right w:val="none" w:sz="0" w:space="0" w:color="auto"/>
      </w:divBdr>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800460728">
      <w:bodyDiv w:val="1"/>
      <w:marLeft w:val="0"/>
      <w:marRight w:val="0"/>
      <w:marTop w:val="0"/>
      <w:marBottom w:val="0"/>
      <w:divBdr>
        <w:top w:val="none" w:sz="0" w:space="0" w:color="auto"/>
        <w:left w:val="none" w:sz="0" w:space="0" w:color="auto"/>
        <w:bottom w:val="none" w:sz="0" w:space="0" w:color="auto"/>
        <w:right w:val="none" w:sz="0" w:space="0" w:color="auto"/>
      </w:divBdr>
    </w:div>
    <w:div w:id="909002106">
      <w:bodyDiv w:val="1"/>
      <w:marLeft w:val="0"/>
      <w:marRight w:val="0"/>
      <w:marTop w:val="0"/>
      <w:marBottom w:val="0"/>
      <w:divBdr>
        <w:top w:val="none" w:sz="0" w:space="0" w:color="auto"/>
        <w:left w:val="none" w:sz="0" w:space="0" w:color="auto"/>
        <w:bottom w:val="none" w:sz="0" w:space="0" w:color="auto"/>
        <w:right w:val="none" w:sz="0" w:space="0" w:color="auto"/>
      </w:divBdr>
    </w:div>
    <w:div w:id="1054697060">
      <w:bodyDiv w:val="1"/>
      <w:marLeft w:val="0"/>
      <w:marRight w:val="0"/>
      <w:marTop w:val="0"/>
      <w:marBottom w:val="0"/>
      <w:divBdr>
        <w:top w:val="none" w:sz="0" w:space="0" w:color="auto"/>
        <w:left w:val="none" w:sz="0" w:space="0" w:color="auto"/>
        <w:bottom w:val="none" w:sz="0" w:space="0" w:color="auto"/>
        <w:right w:val="none" w:sz="0" w:space="0" w:color="auto"/>
      </w:divBdr>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507">
      <w:bodyDiv w:val="1"/>
      <w:marLeft w:val="0"/>
      <w:marRight w:val="0"/>
      <w:marTop w:val="0"/>
      <w:marBottom w:val="0"/>
      <w:divBdr>
        <w:top w:val="none" w:sz="0" w:space="0" w:color="auto"/>
        <w:left w:val="none" w:sz="0" w:space="0" w:color="auto"/>
        <w:bottom w:val="none" w:sz="0" w:space="0" w:color="auto"/>
        <w:right w:val="none" w:sz="0" w:space="0" w:color="auto"/>
      </w:divBdr>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010668184">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80-par-iedzivotaju-ienakuma-nodokl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Veinberga@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da.Orehova@fm.gov.lv" TargetMode="External"/><Relationship Id="rId4" Type="http://schemas.openxmlformats.org/officeDocument/2006/relationships/settings" Target="settings.xml"/><Relationship Id="rId9" Type="http://schemas.openxmlformats.org/officeDocument/2006/relationships/hyperlink" Target="https://likumi.lv/ta/id/56880-par-iedzivotaju-ienakuma-nodokl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A66D-29DA-427C-A9E2-2881E075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2876</Words>
  <Characters>20361</Characters>
  <Application>Microsoft Office Word</Application>
  <DocSecurity>0</DocSecurity>
  <Lines>169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iedzīvotāju ienākuma nodokli"" sākotnējās ietekmes novērtējuma ziņojums (anotācija)</vt:lpstr>
      <vt:lpstr>Projekta sākotnējās ietekmes novērtējuma ziņojums (anotācija"</vt:lpstr>
    </vt:vector>
  </TitlesOfParts>
  <Company>FM</Company>
  <LinksUpToDate>false</LinksUpToDate>
  <CharactersWithSpaces>23191</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iedzīvotāju ienākuma nodokli"" sākotnējās ietekmes novērtējuma ziņojums (anotācija)</dc:title>
  <dc:subject>Anotācija</dc:subject>
  <dc:creator>Līga Leite</dc:creator>
  <dc:description>Tālr.67095496
liga.leite@fm.gov.lv</dc:description>
  <cp:lastModifiedBy>Inese Veinberga</cp:lastModifiedBy>
  <cp:revision>5</cp:revision>
  <cp:lastPrinted>2017-09-20T07:17:00Z</cp:lastPrinted>
  <dcterms:created xsi:type="dcterms:W3CDTF">2017-09-19T08:22:00Z</dcterms:created>
  <dcterms:modified xsi:type="dcterms:W3CDTF">2017-09-20T08:25:00Z</dcterms:modified>
</cp:coreProperties>
</file>