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4E819" w14:textId="77777777" w:rsidR="00591E50" w:rsidRDefault="00EA424B" w:rsidP="00EA424B">
      <w:pPr>
        <w:pStyle w:val="naislab"/>
        <w:spacing w:before="0" w:after="0"/>
        <w:ind w:left="-426" w:right="-427"/>
        <w:jc w:val="center"/>
        <w:rPr>
          <w:b/>
          <w:sz w:val="26"/>
          <w:szCs w:val="26"/>
        </w:rPr>
      </w:pPr>
      <w:r w:rsidRPr="00EA424B">
        <w:rPr>
          <w:b/>
          <w:sz w:val="26"/>
          <w:szCs w:val="26"/>
        </w:rPr>
        <w:t>Likumprojekta „Grozījumi Likumā</w:t>
      </w:r>
      <w:r w:rsidR="00591E50">
        <w:rPr>
          <w:b/>
          <w:sz w:val="26"/>
          <w:szCs w:val="26"/>
        </w:rPr>
        <w:t xml:space="preserve"> par budžetu un finanšu vadību”</w:t>
      </w:r>
    </w:p>
    <w:p w14:paraId="3468F645" w14:textId="28AF5FA4" w:rsidR="00DC689C" w:rsidRPr="00EA424B" w:rsidRDefault="00EA424B" w:rsidP="00EA424B">
      <w:pPr>
        <w:pStyle w:val="naislab"/>
        <w:spacing w:before="0" w:after="0"/>
        <w:ind w:left="-426" w:right="-427"/>
        <w:jc w:val="center"/>
        <w:rPr>
          <w:b/>
        </w:rPr>
      </w:pPr>
      <w:r w:rsidRPr="00EA424B">
        <w:rPr>
          <w:b/>
          <w:sz w:val="26"/>
          <w:szCs w:val="26"/>
        </w:rPr>
        <w:t>sākotnējās ietekmes novērtējuma ziņojums</w:t>
      </w:r>
      <w:r>
        <w:rPr>
          <w:b/>
          <w:sz w:val="26"/>
          <w:szCs w:val="26"/>
        </w:rPr>
        <w:t xml:space="preserve"> </w:t>
      </w:r>
      <w:r w:rsidRPr="00EA424B">
        <w:rPr>
          <w:b/>
          <w:sz w:val="26"/>
          <w:szCs w:val="26"/>
        </w:rPr>
        <w:t>(anotācija)</w:t>
      </w:r>
    </w:p>
    <w:p w14:paraId="5FF62CFA" w14:textId="77777777" w:rsidR="00F91EB5" w:rsidRPr="00EA424B" w:rsidRDefault="00F91EB5" w:rsidP="002634CF">
      <w:pPr>
        <w:pStyle w:val="naiskr"/>
        <w:spacing w:before="0" w:after="0"/>
        <w:rPr>
          <w:b/>
          <w:sz w:val="22"/>
          <w:szCs w:val="22"/>
        </w:rPr>
        <w:sectPr w:rsidR="00F91EB5" w:rsidRPr="00EA424B" w:rsidSect="00936D99">
          <w:headerReference w:type="even" r:id="rId11"/>
          <w:headerReference w:type="default" r:id="rId12"/>
          <w:footerReference w:type="default" r:id="rId13"/>
          <w:footerReference w:type="first" r:id="rId14"/>
          <w:pgSz w:w="11906" w:h="16838" w:code="9"/>
          <w:pgMar w:top="1134" w:right="1134" w:bottom="1134" w:left="1701" w:header="709" w:footer="450" w:gutter="0"/>
          <w:cols w:space="708"/>
          <w:titlePg/>
          <w:docGrid w:linePitch="360"/>
        </w:sectPr>
      </w:pPr>
    </w:p>
    <w:p w14:paraId="5697181A" w14:textId="77777777" w:rsidR="00F91EB5" w:rsidRPr="00B24D7A" w:rsidRDefault="00F91EB5" w:rsidP="00FA7509">
      <w:pPr>
        <w:pStyle w:val="naiskr"/>
        <w:spacing w:before="0" w:after="0"/>
        <w:jc w:val="center"/>
        <w:rPr>
          <w:b/>
          <w:sz w:val="22"/>
          <w:szCs w:val="22"/>
        </w:rPr>
        <w:sectPr w:rsidR="00F91EB5" w:rsidRPr="00B24D7A" w:rsidSect="00F91EB5">
          <w:type w:val="continuous"/>
          <w:pgSz w:w="11906" w:h="16838" w:code="9"/>
          <w:pgMar w:top="1134" w:right="1134" w:bottom="1134" w:left="1701" w:header="709" w:footer="450" w:gutter="0"/>
          <w:cols w:space="708"/>
          <w:titlePg/>
          <w:docGrid w:linePitch="360"/>
        </w:sect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1417"/>
        <w:gridCol w:w="8080"/>
      </w:tblGrid>
      <w:tr w:rsidR="00FA7509" w:rsidRPr="00B24D7A" w14:paraId="0F8A66F5" w14:textId="77777777" w:rsidTr="00FA7509">
        <w:trPr>
          <w:trHeight w:val="359"/>
          <w:jc w:val="center"/>
        </w:trPr>
        <w:tc>
          <w:tcPr>
            <w:tcW w:w="9786" w:type="dxa"/>
            <w:gridSpan w:val="3"/>
          </w:tcPr>
          <w:p w14:paraId="4DD2155D" w14:textId="6120E524" w:rsidR="00FA7509" w:rsidRPr="00B24D7A" w:rsidRDefault="00FA7509" w:rsidP="00FA7509">
            <w:pPr>
              <w:spacing w:after="120"/>
              <w:ind w:left="130" w:right="153" w:firstLine="425"/>
              <w:jc w:val="center"/>
              <w:rPr>
                <w:b/>
              </w:rPr>
            </w:pPr>
            <w:r w:rsidRPr="00B24D7A">
              <w:rPr>
                <w:b/>
              </w:rPr>
              <w:t>I. Tiesību akta projekta izstrādes nepieciešamība</w:t>
            </w:r>
          </w:p>
        </w:tc>
      </w:tr>
      <w:tr w:rsidR="00FA7509" w:rsidRPr="00B24D7A" w14:paraId="5039946B" w14:textId="77777777" w:rsidTr="00BD070A">
        <w:trPr>
          <w:trHeight w:val="557"/>
          <w:jc w:val="center"/>
        </w:trPr>
        <w:tc>
          <w:tcPr>
            <w:tcW w:w="289" w:type="dxa"/>
          </w:tcPr>
          <w:p w14:paraId="58A01A31" w14:textId="3AB2CA07" w:rsidR="00FA7509" w:rsidRPr="00B24D7A" w:rsidRDefault="00FA7509" w:rsidP="00FA7509">
            <w:pPr>
              <w:pStyle w:val="naiskr"/>
              <w:spacing w:before="0" w:after="0"/>
              <w:rPr>
                <w:sz w:val="22"/>
                <w:szCs w:val="22"/>
              </w:rPr>
            </w:pPr>
            <w:r w:rsidRPr="00B24D7A">
              <w:rPr>
                <w:sz w:val="22"/>
                <w:szCs w:val="22"/>
              </w:rPr>
              <w:t>1.</w:t>
            </w:r>
          </w:p>
        </w:tc>
        <w:tc>
          <w:tcPr>
            <w:tcW w:w="1417" w:type="dxa"/>
          </w:tcPr>
          <w:p w14:paraId="1119BB18" w14:textId="77FD489B" w:rsidR="00FA7509" w:rsidRPr="00B24D7A" w:rsidRDefault="00FA7509" w:rsidP="00FA7509">
            <w:pPr>
              <w:pStyle w:val="naiskr"/>
              <w:tabs>
                <w:tab w:val="left" w:pos="170"/>
              </w:tabs>
              <w:spacing w:before="0" w:after="0"/>
              <w:rPr>
                <w:sz w:val="22"/>
                <w:szCs w:val="22"/>
              </w:rPr>
            </w:pPr>
            <w:r w:rsidRPr="00B24D7A">
              <w:rPr>
                <w:sz w:val="22"/>
                <w:szCs w:val="22"/>
              </w:rPr>
              <w:t>Pamatojums</w:t>
            </w:r>
          </w:p>
        </w:tc>
        <w:tc>
          <w:tcPr>
            <w:tcW w:w="8080" w:type="dxa"/>
          </w:tcPr>
          <w:p w14:paraId="2296B911" w14:textId="50E67AC8" w:rsidR="0057678E" w:rsidRDefault="00EA424B" w:rsidP="0057678E">
            <w:pPr>
              <w:ind w:left="128" w:right="154" w:firstLine="425"/>
              <w:jc w:val="both"/>
            </w:pPr>
            <w:r w:rsidRPr="00EA424B">
              <w:t xml:space="preserve">Likumprojekts „Grozījumi Likumā par budžetu </w:t>
            </w:r>
            <w:r w:rsidR="00E97898">
              <w:t xml:space="preserve">un finanšu vadību” </w:t>
            </w:r>
            <w:r w:rsidR="008A3D9E">
              <w:t xml:space="preserve">(turpmāk – likumprojekts) </w:t>
            </w:r>
            <w:r w:rsidR="00772255">
              <w:t xml:space="preserve">izstrādāts un </w:t>
            </w:r>
            <w:r w:rsidR="00E97898">
              <w:t>iekļauts 2018</w:t>
            </w:r>
            <w:r w:rsidRPr="00EA424B">
              <w:t>.ga</w:t>
            </w:r>
            <w:r w:rsidR="00BC2FF3">
              <w:t xml:space="preserve">da budžeta likumprojektu paketē, </w:t>
            </w:r>
            <w:r w:rsidRPr="00EA424B">
              <w:t>pamatojoties uz</w:t>
            </w:r>
            <w:r w:rsidR="0057678E">
              <w:t>:</w:t>
            </w:r>
          </w:p>
          <w:p w14:paraId="2CD5A71C" w14:textId="1DA46A5D" w:rsidR="0057678E" w:rsidRDefault="00FB0229" w:rsidP="0057678E">
            <w:pPr>
              <w:pStyle w:val="ListParagraph"/>
              <w:numPr>
                <w:ilvl w:val="0"/>
                <w:numId w:val="13"/>
              </w:numPr>
              <w:spacing w:line="240" w:lineRule="auto"/>
              <w:ind w:right="154"/>
            </w:pPr>
            <w:r>
              <w:t>Ministru kabineta</w:t>
            </w:r>
            <w:r w:rsidR="00BC2FF3">
              <w:t xml:space="preserve"> 2017.gada 3.maija protokola</w:t>
            </w:r>
            <w:r w:rsidR="00E97898">
              <w:t xml:space="preserve"> Nr.22 paragrāfa Nr.29</w:t>
            </w:r>
            <w:r w:rsidR="0057678E">
              <w:t xml:space="preserve"> 2.punktu, kas nosaka </w:t>
            </w:r>
            <w:r w:rsidR="0057678E" w:rsidRPr="0057678E">
              <w:t xml:space="preserve">Finanšu ministrijai </w:t>
            </w:r>
            <w:r w:rsidR="00BC2FF3">
              <w:t xml:space="preserve">uzdevumu - </w:t>
            </w:r>
            <w:r w:rsidR="0057678E" w:rsidRPr="0057678E">
              <w:t xml:space="preserve">sagatavot grozījumus Likumā par budžetu un finanšu vadību, paredzot, ka jaunās politikas iniciatīvas tiek aizstātas ar prioritāriem pasākumiem, un finanšu ministram normatīvajos aktos noteiktajā kārtībā to iesniegt izskatīšanai Ministru kabineta sēdē budžeta pavadošo likumprojektu paketē ar likumprojektu </w:t>
            </w:r>
            <w:r w:rsidR="0057678E">
              <w:t>“Par valsts budžetu 2018.gadam”;</w:t>
            </w:r>
          </w:p>
          <w:p w14:paraId="598DEAC5" w14:textId="644C6790" w:rsidR="00881C86" w:rsidRDefault="00993B08" w:rsidP="00396416">
            <w:pPr>
              <w:pStyle w:val="ListParagraph"/>
              <w:numPr>
                <w:ilvl w:val="0"/>
                <w:numId w:val="13"/>
              </w:numPr>
              <w:spacing w:line="240" w:lineRule="auto"/>
              <w:ind w:right="154"/>
            </w:pPr>
            <w:r>
              <w:t xml:space="preserve">informatīvajā ziņojumā “Par valsts budžeta izdevumu pārskatīšanas 2018., 2019. un 2020.gadam rezultātiem un priekšlikumi par šo rezultātu izmantošanu likumprojekta “Par vidēja termiņa budžeta 2018., 2019. un 2020.gadam” un likumprojekta “Par valsts budžetu 2018.gadam” izstrādes procesā” izdarītajiem secinājumiem un priekšlikumiem, kas tika atbalstīts Ministru kabineta 2017.gada </w:t>
            </w:r>
            <w:r w:rsidR="006568D1">
              <w:t>2</w:t>
            </w:r>
            <w:r w:rsidR="00842780">
              <w:t>8</w:t>
            </w:r>
            <w:r w:rsidR="0088670A">
              <w:t>.augusta</w:t>
            </w:r>
            <w:r w:rsidR="00E97898">
              <w:t xml:space="preserve"> </w:t>
            </w:r>
            <w:r w:rsidR="00842780">
              <w:t xml:space="preserve">ārkārtas </w:t>
            </w:r>
            <w:r w:rsidR="00E97898">
              <w:t>sēdē (</w:t>
            </w:r>
            <w:r w:rsidR="00842780" w:rsidRPr="00842780">
              <w:t>prot.N</w:t>
            </w:r>
            <w:r w:rsidR="00E97898" w:rsidRPr="00842780">
              <w:t>r</w:t>
            </w:r>
            <w:r w:rsidR="00842780" w:rsidRPr="00842780">
              <w:t>.41, paragrāfs Nr.1, 11.punkts</w:t>
            </w:r>
            <w:r w:rsidR="00E97898">
              <w:t>)</w:t>
            </w:r>
            <w:r w:rsidR="00396416">
              <w:t xml:space="preserve">, ar uzdevumu </w:t>
            </w:r>
            <w:r w:rsidR="00396416" w:rsidRPr="00396416">
              <w:t>Finanšu ministrijai sagatavot grozījumus Likumā par budžetu un finanšu vadību, paredzot risinājumu procedūru vienkāršošanai valsts budžeta iestāžu pašu ieņēmumu plānošanai un to neizmantoto atlikumu pārnešanai uz nākamo gadu, un finanšu ministram likumprojektu iesniegt izskatīšanai Ministru kabineta sēdē likumprojekta "Par valsts budžetu 2018.gadam</w:t>
            </w:r>
            <w:r w:rsidR="00396416">
              <w:t>" pavadošo likumprojektu paketē</w:t>
            </w:r>
            <w:r w:rsidR="00E97898">
              <w:t>;</w:t>
            </w:r>
          </w:p>
          <w:p w14:paraId="19C26E0C" w14:textId="63CA52F4" w:rsidR="00842780" w:rsidRDefault="00842780" w:rsidP="00842780">
            <w:pPr>
              <w:pStyle w:val="ListParagraph"/>
              <w:numPr>
                <w:ilvl w:val="0"/>
                <w:numId w:val="13"/>
              </w:numPr>
              <w:spacing w:line="240" w:lineRule="auto"/>
              <w:ind w:right="154"/>
            </w:pPr>
            <w:r>
              <w:t xml:space="preserve">Ministru kabineta 2017.gada 29.augusta protokola Nr.42 paragrāfa Nr.45 2.punktu, kas nosaka </w:t>
            </w:r>
            <w:r w:rsidRPr="00842780">
              <w:t>Finanšu ministrijai līdz 2017.gada 15.septembrim sagatavot un iesniegt izskatīšanai Ministru kabineta sēdē</w:t>
            </w:r>
            <w:r>
              <w:t xml:space="preserve"> likumprojektu par grozījumiem L</w:t>
            </w:r>
            <w:r w:rsidRPr="00842780">
              <w:t xml:space="preserve">ikumā </w:t>
            </w:r>
            <w:r>
              <w:t>par budžetu un finanšu vadību</w:t>
            </w:r>
            <w:r w:rsidRPr="00842780">
              <w:t>, paredzot elastīgu risinājumu procedūru vienkāršošanai valsts budžeta iestāžu pašu ieņēmumu ieplānošanai un to neizmantoto atlikumu pārnešanai uz nākamo gadu</w:t>
            </w:r>
            <w:r>
              <w:t xml:space="preserve">; </w:t>
            </w:r>
          </w:p>
          <w:p w14:paraId="253AC333" w14:textId="7C11D674" w:rsidR="00762882" w:rsidRPr="00E97898" w:rsidRDefault="00762882" w:rsidP="00762882">
            <w:pPr>
              <w:pStyle w:val="ListParagraph"/>
              <w:numPr>
                <w:ilvl w:val="0"/>
                <w:numId w:val="13"/>
              </w:numPr>
              <w:spacing w:line="240" w:lineRule="auto"/>
              <w:ind w:right="154"/>
            </w:pPr>
            <w:r w:rsidRPr="00657EA4">
              <w:rPr>
                <w:szCs w:val="24"/>
              </w:rPr>
              <w:t>Valdības rīcības plāna Deklarācijas par Māra Kučinska vadītā Ministru kabineta iecerēto darbību īstenošanai 35.2.pasākum</w:t>
            </w:r>
            <w:r>
              <w:rPr>
                <w:szCs w:val="24"/>
              </w:rPr>
              <w:t>u</w:t>
            </w:r>
            <w:r w:rsidRPr="00657EA4">
              <w:rPr>
                <w:szCs w:val="24"/>
              </w:rPr>
              <w:t xml:space="preserve"> “Maksājumu uzskaitē ieviests </w:t>
            </w:r>
            <w:r w:rsidR="0028549E">
              <w:rPr>
                <w:szCs w:val="24"/>
              </w:rPr>
              <w:t>uzkrāšanas</w:t>
            </w:r>
            <w:r w:rsidRPr="00657EA4">
              <w:rPr>
                <w:szCs w:val="24"/>
              </w:rPr>
              <w:t xml:space="preserve"> princips, vienotais konts un optimizēti darbības procesi, līdz 30.12.2018. </w:t>
            </w:r>
            <w:r w:rsidR="00CE0946">
              <w:rPr>
                <w:szCs w:val="24"/>
              </w:rPr>
              <w:t>paredzēts īstenot</w:t>
            </w:r>
            <w:r w:rsidRPr="00657EA4">
              <w:rPr>
                <w:szCs w:val="24"/>
              </w:rPr>
              <w:t xml:space="preserve"> 20% no p</w:t>
            </w:r>
            <w:r>
              <w:rPr>
                <w:szCs w:val="24"/>
              </w:rPr>
              <w:t>lānotajiem projekta pasākumiem”;</w:t>
            </w:r>
          </w:p>
          <w:p w14:paraId="51EC4A9F" w14:textId="50EF9C74" w:rsidR="00E97898" w:rsidRPr="00B64960" w:rsidRDefault="00E97898" w:rsidP="00E97898">
            <w:pPr>
              <w:pStyle w:val="ListParagraph"/>
              <w:numPr>
                <w:ilvl w:val="0"/>
                <w:numId w:val="13"/>
              </w:numPr>
              <w:spacing w:line="240" w:lineRule="auto"/>
              <w:ind w:right="154"/>
            </w:pPr>
            <w:r>
              <w:t>Ministru kabineta 05.01.2016. lēmumu a</w:t>
            </w:r>
            <w:r w:rsidRPr="00E97898">
              <w:t xml:space="preserve">tbalstīt </w:t>
            </w:r>
            <w:r w:rsidR="003F63CC">
              <w:t>uzkrāšanas</w:t>
            </w:r>
            <w:r w:rsidRPr="00E97898">
              <w:t xml:space="preserve"> principa ieviešanu Valsts ieņēmumu dienesta </w:t>
            </w:r>
            <w:r w:rsidR="00FB0229">
              <w:t xml:space="preserve">(turpmāk – VID) </w:t>
            </w:r>
            <w:r w:rsidRPr="00E97898">
              <w:t>administrēto v</w:t>
            </w:r>
            <w:r>
              <w:t>alsts budžeta ieņēmumu uzskaitē</w:t>
            </w:r>
            <w:r w:rsidR="00B64960">
              <w:t xml:space="preserve">, kā arī </w:t>
            </w:r>
            <w:r w:rsidR="00B64960">
              <w:rPr>
                <w:szCs w:val="24"/>
              </w:rPr>
              <w:t>a</w:t>
            </w:r>
            <w:r w:rsidR="00B64960" w:rsidRPr="00657EA4">
              <w:rPr>
                <w:szCs w:val="24"/>
              </w:rPr>
              <w:t xml:space="preserve">tbalstīt jaunas </w:t>
            </w:r>
            <w:r w:rsidR="008A3D9E">
              <w:rPr>
                <w:szCs w:val="24"/>
              </w:rPr>
              <w:t>paaudzes informācijas sistēmas “</w:t>
            </w:r>
            <w:r w:rsidR="00B64960" w:rsidRPr="00657EA4">
              <w:rPr>
                <w:szCs w:val="24"/>
              </w:rPr>
              <w:t>Maksājumu admin</w:t>
            </w:r>
            <w:r w:rsidR="008A3D9E">
              <w:rPr>
                <w:szCs w:val="24"/>
              </w:rPr>
              <w:t>istrēšanas informācijas sistēma”</w:t>
            </w:r>
            <w:r w:rsidR="00B64960" w:rsidRPr="00657EA4">
              <w:rPr>
                <w:szCs w:val="24"/>
              </w:rPr>
              <w:t xml:space="preserve"> </w:t>
            </w:r>
            <w:r w:rsidR="00B64960">
              <w:rPr>
                <w:szCs w:val="24"/>
              </w:rPr>
              <w:t>(</w:t>
            </w:r>
            <w:r w:rsidR="00FB0229">
              <w:rPr>
                <w:szCs w:val="24"/>
              </w:rPr>
              <w:t xml:space="preserve">turpmāk - </w:t>
            </w:r>
            <w:r w:rsidR="00B64960">
              <w:rPr>
                <w:szCs w:val="24"/>
              </w:rPr>
              <w:t>MAIS) izveidi un</w:t>
            </w:r>
            <w:r w:rsidR="00B64960" w:rsidRPr="00657EA4">
              <w:rPr>
                <w:szCs w:val="24"/>
              </w:rPr>
              <w:t xml:space="preserve"> prioritārajā secībā virzīt </w:t>
            </w:r>
            <w:r w:rsidR="00FB0229">
              <w:rPr>
                <w:szCs w:val="24"/>
              </w:rPr>
              <w:t>VID</w:t>
            </w:r>
            <w:r w:rsidR="008A3D9E">
              <w:rPr>
                <w:szCs w:val="24"/>
              </w:rPr>
              <w:t xml:space="preserve"> projekta “</w:t>
            </w:r>
            <w:r w:rsidR="00B64960" w:rsidRPr="00657EA4">
              <w:rPr>
                <w:szCs w:val="24"/>
              </w:rPr>
              <w:t>Nodokļu informā</w:t>
            </w:r>
            <w:r w:rsidR="008A3D9E">
              <w:rPr>
                <w:szCs w:val="24"/>
              </w:rPr>
              <w:t>cijas pakalpojumu modernizācija”</w:t>
            </w:r>
            <w:r>
              <w:t xml:space="preserve"> </w:t>
            </w:r>
            <w:r w:rsidR="00B64960">
              <w:t xml:space="preserve">kārtas līdzfinansēšanai no ES Fondu līdzekļiem </w:t>
            </w:r>
            <w:r>
              <w:t>(Informatīvais</w:t>
            </w:r>
            <w:r w:rsidRPr="00E97898">
              <w:t xml:space="preserve"> ziņojum</w:t>
            </w:r>
            <w:r>
              <w:t>s</w:t>
            </w:r>
            <w:r w:rsidR="008A3D9E">
              <w:t xml:space="preserve"> “</w:t>
            </w:r>
            <w:r w:rsidRPr="00E97898">
              <w:t>Par Valsts ieņēmumu dienesta administrēto valsts budžeta ieņēmumu administrēšanā un uzskaitē risināmajiem jautājumiem administratīvā sloga mazināšanai nodokļu maksātājiem un efektīvam Valsts ieņēmumu diene</w:t>
            </w:r>
            <w:r w:rsidR="008A3D9E">
              <w:t>sta organizatoriskajam procesam”</w:t>
            </w:r>
            <w:r>
              <w:t xml:space="preserve"> prot.Nr.1., paragrāfs nr.35 2.</w:t>
            </w:r>
            <w:r w:rsidR="00B64960">
              <w:t>, 4., 5.</w:t>
            </w:r>
            <w:r w:rsidRPr="00E31ED5">
              <w:rPr>
                <w:color w:val="000000" w:themeColor="text1"/>
              </w:rPr>
              <w:t>punkt</w:t>
            </w:r>
            <w:r w:rsidR="00B64960">
              <w:rPr>
                <w:color w:val="000000" w:themeColor="text1"/>
              </w:rPr>
              <w:t>i</w:t>
            </w:r>
            <w:r w:rsidRPr="00E31ED5">
              <w:rPr>
                <w:color w:val="000000" w:themeColor="text1"/>
              </w:rPr>
              <w:t>);</w:t>
            </w:r>
          </w:p>
          <w:p w14:paraId="695F0866" w14:textId="4825618E" w:rsidR="00E97898" w:rsidRDefault="00E97898" w:rsidP="00DF2A00">
            <w:pPr>
              <w:pStyle w:val="ListParagraph"/>
              <w:numPr>
                <w:ilvl w:val="0"/>
                <w:numId w:val="13"/>
              </w:numPr>
              <w:spacing w:line="240" w:lineRule="auto"/>
              <w:ind w:right="154"/>
            </w:pPr>
            <w:r>
              <w:t xml:space="preserve">Valsts kontroles </w:t>
            </w:r>
            <w:r w:rsidR="00DF2A00">
              <w:t>secinājumiem</w:t>
            </w:r>
            <w:r>
              <w:t xml:space="preserve"> par </w:t>
            </w:r>
            <w:r w:rsidR="003F63CC">
              <w:t>uzkrāšanas</w:t>
            </w:r>
            <w:r>
              <w:t xml:space="preserve"> principa ieviešanas nepieciešamību valsts budžeta ieņēmumu uzskaitē</w:t>
            </w:r>
            <w:r w:rsidR="00DF2A00">
              <w:t xml:space="preserve"> revīzijas </w:t>
            </w:r>
            <w:r w:rsidR="00DF2A00" w:rsidRPr="00DF2A00">
              <w:t>Nr.</w:t>
            </w:r>
            <w:r w:rsidR="00DF2A00">
              <w:t xml:space="preserve"> </w:t>
            </w:r>
            <w:r w:rsidR="00DF2A00" w:rsidRPr="00DF2A00">
              <w:t>5.1-2-23-</w:t>
            </w:r>
            <w:r w:rsidR="00DF2A00" w:rsidRPr="00DF2A00">
              <w:lastRenderedPageBreak/>
              <w:t>1/2010</w:t>
            </w:r>
            <w:r w:rsidR="00DF2A00">
              <w:t xml:space="preserve"> ietvaros</w:t>
            </w:r>
            <w:r>
              <w:t xml:space="preserve">, </w:t>
            </w:r>
            <w:r w:rsidR="00E31ED5">
              <w:t>kur norādīts</w:t>
            </w:r>
            <w:r>
              <w:t xml:space="preserve">, ka “Saimnieciskā gada pārskata ieņēmumu daļā norādītā informācija ir nepilnīga, jo pārskatā nodokļu ieņēmumi netiek norādīti pēc </w:t>
            </w:r>
            <w:r w:rsidR="0028549E">
              <w:t>uzkrāšanas</w:t>
            </w:r>
            <w:r>
              <w:t xml:space="preserve"> principa, līdz ar to tas nav veidots atbilstoši IPSAS “Ieņēmumi no darījumiem bez apmaiņas (nodokļi un </w:t>
            </w:r>
            <w:proofErr w:type="spellStart"/>
            <w:r>
              <w:t>transferti</w:t>
            </w:r>
            <w:proofErr w:type="spellEnd"/>
            <w:r>
              <w:t>)” prasībām un tajā nav norādīta informācija par valsts un pašvaldību nodokļu un nodevu aprēķinātiem ieņēmumiem, nesaņemtām summām, kas izveidojušās nodokļu maksātājiem likumos noteikto nodokļu atvieglojumu piemērošanas rezultātā.” (Valsts kontroles 2011. gada 14. septembra revīzijas ziņojuma “Par Latvijas Republikas 2010. gada pārskata “Par valsts budžeta izpildi un pašvaldību budžetiem” valsts budžeta ieņēmumu daļu” 48. punkts)</w:t>
            </w:r>
            <w:r w:rsidR="004021D4">
              <w:t>;</w:t>
            </w:r>
          </w:p>
          <w:p w14:paraId="193D41CD" w14:textId="77777777" w:rsidR="004021D4" w:rsidRDefault="004021D4" w:rsidP="00DF2A00">
            <w:pPr>
              <w:pStyle w:val="ListParagraph"/>
              <w:numPr>
                <w:ilvl w:val="0"/>
                <w:numId w:val="13"/>
              </w:numPr>
              <w:spacing w:line="240" w:lineRule="auto"/>
              <w:ind w:right="154"/>
            </w:pPr>
            <w:r>
              <w:t>Valsts kontroles revīzijas Nr.</w:t>
            </w:r>
            <w:r w:rsidR="00CE0946">
              <w:t xml:space="preserve"> </w:t>
            </w:r>
            <w:r w:rsidRPr="004021D4">
              <w:t>2.4.1-39/2014</w:t>
            </w:r>
            <w:r>
              <w:t xml:space="preserve"> ietvaros izteikt</w:t>
            </w:r>
            <w:r w:rsidR="00DF2A00">
              <w:t>o</w:t>
            </w:r>
            <w:r>
              <w:t xml:space="preserve"> ieteikum</w:t>
            </w:r>
            <w:r w:rsidR="00DF2A00">
              <w:t>u</w:t>
            </w:r>
            <w:r w:rsidRPr="004021D4">
              <w:t xml:space="preserve"> Nr.5.2.</w:t>
            </w:r>
            <w:r>
              <w:t xml:space="preserve"> “</w:t>
            </w:r>
            <w:r w:rsidRPr="004021D4">
              <w:t>Pārskatīt piemērojamos budžeta elastības rīkus un sagatavot un virzīt nepieciešamos grozījumus normatīvajos aktos, paredzot tādu tiesisko regulējumu, kas,  pieļaujot izmaiņu elastību, nepārkāpj Saeimai piekrītošo budžeta tiesību ekskluzivitāti un veicina iestāžu vadītāju atbildību par kvalitatīva budžeta plānošanas procesa nodrošināšanu.</w:t>
            </w:r>
            <w:r>
              <w:t>”</w:t>
            </w:r>
            <w:r w:rsidR="00DF2A00">
              <w:t xml:space="preserve"> (Valsts kontroles 2015.</w:t>
            </w:r>
            <w:r w:rsidR="00CE0946">
              <w:t xml:space="preserve"> </w:t>
            </w:r>
            <w:r w:rsidR="00DF2A00">
              <w:t>gada 15.</w:t>
            </w:r>
            <w:r w:rsidR="00CE0946">
              <w:t xml:space="preserve"> </w:t>
            </w:r>
            <w:r w:rsidR="00DF2A00">
              <w:t>septembra revīzijas ziņojuma “</w:t>
            </w:r>
            <w:r w:rsidR="00DF2A00" w:rsidRPr="00DF2A00">
              <w:t>Par Latvijas Republikas 2014.gada pārskatu par valsts budžeta izpildi un par pašvaldību budžetiem</w:t>
            </w:r>
            <w:r w:rsidR="00DF2A00">
              <w:t>” 196.2.</w:t>
            </w:r>
            <w:r w:rsidR="00CE0946">
              <w:t xml:space="preserve"> apakš</w:t>
            </w:r>
            <w:r w:rsidR="00396416">
              <w:t>punkts);</w:t>
            </w:r>
          </w:p>
          <w:p w14:paraId="232B53C6" w14:textId="58B81C64" w:rsidR="00396416" w:rsidRPr="00EA424B" w:rsidRDefault="00396416" w:rsidP="00396416">
            <w:pPr>
              <w:pStyle w:val="ListParagraph"/>
              <w:numPr>
                <w:ilvl w:val="0"/>
                <w:numId w:val="13"/>
              </w:numPr>
              <w:spacing w:line="240" w:lineRule="auto"/>
              <w:ind w:right="154"/>
            </w:pPr>
            <w:r>
              <w:t>Ministru kabineta 2017.gada 28.marta rīkojumu Nr.141 “</w:t>
            </w:r>
            <w:r w:rsidRPr="00396416">
              <w:t>Par likumprojekta "Par vidēja termiņa budžeta ietvaru 2018., 2019. un 2020. gadam" un likumprojekta "Par valsts budžetu 2018. gadam" sagatavošanas grafiku</w:t>
            </w:r>
            <w:r>
              <w:t>”, saskaņā ar kuru budžetu pavadošie likumprojekti</w:t>
            </w:r>
            <w:r w:rsidRPr="00396416">
              <w:t xml:space="preserve"> </w:t>
            </w:r>
            <w:r>
              <w:t>ir jāsagatavo un jā</w:t>
            </w:r>
            <w:r w:rsidRPr="00396416">
              <w:t>iesnie</w:t>
            </w:r>
            <w:r>
              <w:t>dz</w:t>
            </w:r>
            <w:r w:rsidRPr="00396416">
              <w:t xml:space="preserve"> Ministru kabinetā</w:t>
            </w:r>
            <w:r>
              <w:t xml:space="preserve"> līdz 15.septembrim (15.punkts).</w:t>
            </w:r>
          </w:p>
        </w:tc>
      </w:tr>
      <w:tr w:rsidR="00DC689C" w:rsidRPr="00B24D7A" w14:paraId="55C5F3AC" w14:textId="77777777" w:rsidTr="00BD070A">
        <w:trPr>
          <w:trHeight w:val="557"/>
          <w:jc w:val="center"/>
        </w:trPr>
        <w:tc>
          <w:tcPr>
            <w:tcW w:w="289" w:type="dxa"/>
          </w:tcPr>
          <w:p w14:paraId="3A4FC161" w14:textId="5E1213E3" w:rsidR="00DC689C" w:rsidRPr="00B24D7A" w:rsidRDefault="00DC689C" w:rsidP="002634CF">
            <w:pPr>
              <w:pStyle w:val="naiskr"/>
              <w:spacing w:before="0" w:after="0"/>
              <w:rPr>
                <w:sz w:val="22"/>
                <w:szCs w:val="22"/>
              </w:rPr>
            </w:pPr>
            <w:r w:rsidRPr="00B24D7A">
              <w:rPr>
                <w:sz w:val="22"/>
                <w:szCs w:val="22"/>
              </w:rPr>
              <w:lastRenderedPageBreak/>
              <w:t>2.</w:t>
            </w:r>
          </w:p>
        </w:tc>
        <w:tc>
          <w:tcPr>
            <w:tcW w:w="1417" w:type="dxa"/>
          </w:tcPr>
          <w:p w14:paraId="20BA8939" w14:textId="18EDD116" w:rsidR="00B31298" w:rsidRPr="00B24D7A" w:rsidRDefault="00DC689C" w:rsidP="002634CF">
            <w:pPr>
              <w:pStyle w:val="naiskr"/>
              <w:tabs>
                <w:tab w:val="left" w:pos="170"/>
              </w:tabs>
              <w:spacing w:before="0" w:after="0"/>
              <w:rPr>
                <w:sz w:val="22"/>
                <w:szCs w:val="22"/>
              </w:rPr>
            </w:pPr>
            <w:r w:rsidRPr="00B24D7A">
              <w:rPr>
                <w:sz w:val="22"/>
                <w:szCs w:val="22"/>
              </w:rPr>
              <w:t>Pašreizējā situācija un problēmas</w:t>
            </w:r>
            <w:r w:rsidR="00C90FFC" w:rsidRPr="00B24D7A">
              <w:rPr>
                <w:sz w:val="22"/>
                <w:szCs w:val="22"/>
              </w:rPr>
              <w:t>, kuru risināšanai tiesību akta projekts izstrādāts, tiesiskā regulējuma mērķis un būtība</w:t>
            </w:r>
          </w:p>
          <w:p w14:paraId="6D9FED42" w14:textId="77777777" w:rsidR="00B31298" w:rsidRPr="00B24D7A" w:rsidRDefault="00B31298" w:rsidP="00B31298"/>
          <w:p w14:paraId="5036BA7D" w14:textId="77777777" w:rsidR="00B31298" w:rsidRPr="00B24D7A" w:rsidRDefault="00B31298" w:rsidP="00B31298"/>
          <w:p w14:paraId="4EE62930" w14:textId="77777777" w:rsidR="00B31298" w:rsidRPr="00B24D7A" w:rsidRDefault="00B31298" w:rsidP="00B31298"/>
          <w:p w14:paraId="616700AE" w14:textId="77777777" w:rsidR="00B31298" w:rsidRPr="00B24D7A" w:rsidRDefault="00B31298" w:rsidP="00B31298"/>
          <w:p w14:paraId="4456DC5C" w14:textId="77777777" w:rsidR="00B31298" w:rsidRPr="00B24D7A" w:rsidRDefault="00B31298" w:rsidP="00B31298"/>
          <w:p w14:paraId="5552867A" w14:textId="77777777" w:rsidR="00B31298" w:rsidRPr="00B24D7A" w:rsidRDefault="00B31298" w:rsidP="00B31298"/>
          <w:p w14:paraId="78920D4A" w14:textId="77777777" w:rsidR="00B31298" w:rsidRPr="00B24D7A" w:rsidRDefault="00B31298" w:rsidP="00B31298"/>
          <w:p w14:paraId="350D09EF" w14:textId="77777777" w:rsidR="00B31298" w:rsidRPr="00B24D7A" w:rsidRDefault="00B31298" w:rsidP="00B31298"/>
          <w:p w14:paraId="309299B8" w14:textId="77777777" w:rsidR="00B31298" w:rsidRPr="00B24D7A" w:rsidRDefault="00B31298" w:rsidP="00B31298"/>
          <w:p w14:paraId="7BF09F22" w14:textId="77777777" w:rsidR="00B31298" w:rsidRPr="00B24D7A" w:rsidRDefault="00B31298" w:rsidP="00B31298"/>
          <w:p w14:paraId="36979F35" w14:textId="77777777" w:rsidR="00B31298" w:rsidRPr="00B24D7A" w:rsidRDefault="00B31298" w:rsidP="00B31298"/>
          <w:p w14:paraId="752F2BE6" w14:textId="77777777" w:rsidR="00B31298" w:rsidRPr="00B24D7A" w:rsidRDefault="00B31298" w:rsidP="00B31298"/>
          <w:p w14:paraId="6E44BFF7" w14:textId="77777777" w:rsidR="00B31298" w:rsidRPr="00B24D7A" w:rsidRDefault="00B31298" w:rsidP="00B31298"/>
          <w:p w14:paraId="3E1598A5" w14:textId="77777777" w:rsidR="00B31298" w:rsidRPr="00B24D7A" w:rsidRDefault="00B31298" w:rsidP="00B31298"/>
          <w:p w14:paraId="2268397F" w14:textId="77777777" w:rsidR="00B31298" w:rsidRPr="00B24D7A" w:rsidRDefault="00B31298" w:rsidP="00B31298"/>
          <w:p w14:paraId="2ABB4D2A" w14:textId="77777777" w:rsidR="00B31298" w:rsidRPr="00B24D7A" w:rsidRDefault="00B31298" w:rsidP="00B31298"/>
          <w:p w14:paraId="0B49D1DC" w14:textId="77777777" w:rsidR="00B31298" w:rsidRPr="00B24D7A" w:rsidRDefault="00B31298" w:rsidP="00B31298"/>
          <w:p w14:paraId="0DD00D4C" w14:textId="77777777" w:rsidR="00B31298" w:rsidRPr="00B24D7A" w:rsidRDefault="00B31298" w:rsidP="00B31298"/>
          <w:p w14:paraId="767B0664" w14:textId="2A049B8C" w:rsidR="00DC689C" w:rsidRPr="00B24D7A" w:rsidRDefault="00DC689C" w:rsidP="00B31298"/>
        </w:tc>
        <w:tc>
          <w:tcPr>
            <w:tcW w:w="8080" w:type="dxa"/>
          </w:tcPr>
          <w:p w14:paraId="6D478338" w14:textId="4B7CA232" w:rsidR="0034490F" w:rsidRDefault="00631DC9" w:rsidP="0034490F">
            <w:pPr>
              <w:ind w:left="128" w:right="79" w:firstLine="4"/>
              <w:jc w:val="both"/>
              <w:rPr>
                <w:iCs/>
              </w:rPr>
            </w:pPr>
            <w:r w:rsidRPr="00B24D7A">
              <w:rPr>
                <w:iCs/>
              </w:rPr>
              <w:lastRenderedPageBreak/>
              <w:t xml:space="preserve"> </w:t>
            </w:r>
            <w:r w:rsidR="00EA424B">
              <w:rPr>
                <w:iCs/>
              </w:rPr>
              <w:t xml:space="preserve">Likumprojekta </w:t>
            </w:r>
            <w:r w:rsidR="00EA424B" w:rsidRPr="00E31ED5">
              <w:rPr>
                <w:b/>
                <w:iCs/>
                <w:u w:val="single"/>
              </w:rPr>
              <w:t>mērķis</w:t>
            </w:r>
            <w:r w:rsidR="00EA424B">
              <w:rPr>
                <w:iCs/>
              </w:rPr>
              <w:t xml:space="preserve"> ir </w:t>
            </w:r>
            <w:r w:rsidR="0034490F">
              <w:rPr>
                <w:iCs/>
              </w:rPr>
              <w:t xml:space="preserve">pilnveidot un racionalizēt </w:t>
            </w:r>
            <w:r w:rsidR="00BC2FF3">
              <w:rPr>
                <w:iCs/>
              </w:rPr>
              <w:t xml:space="preserve">valsts </w:t>
            </w:r>
            <w:r w:rsidR="0034490F">
              <w:rPr>
                <w:iCs/>
              </w:rPr>
              <w:t xml:space="preserve">budžeta </w:t>
            </w:r>
            <w:r w:rsidR="0028549E">
              <w:rPr>
                <w:iCs/>
              </w:rPr>
              <w:t xml:space="preserve">plānošanas, </w:t>
            </w:r>
            <w:r w:rsidR="00BC2FF3">
              <w:rPr>
                <w:iCs/>
              </w:rPr>
              <w:t xml:space="preserve">sagatavošanas </w:t>
            </w:r>
            <w:r w:rsidR="0034490F">
              <w:rPr>
                <w:iCs/>
              </w:rPr>
              <w:t>procesu:</w:t>
            </w:r>
          </w:p>
          <w:p w14:paraId="41E92AB2" w14:textId="72540811" w:rsidR="0034490F" w:rsidRPr="0034490F" w:rsidRDefault="0034490F" w:rsidP="0034490F">
            <w:pPr>
              <w:pStyle w:val="ListParagraph"/>
              <w:numPr>
                <w:ilvl w:val="0"/>
                <w:numId w:val="12"/>
              </w:numPr>
              <w:spacing w:line="240" w:lineRule="auto"/>
              <w:ind w:left="272" w:right="79" w:firstLine="6"/>
              <w:rPr>
                <w:b/>
              </w:rPr>
            </w:pPr>
            <w:r>
              <w:rPr>
                <w:iCs/>
              </w:rPr>
              <w:t>reglamentējot procesus,</w:t>
            </w:r>
            <w:r w:rsidRPr="0034490F">
              <w:rPr>
                <w:iCs/>
              </w:rPr>
              <w:t xml:space="preserve"> kas skar finansējuma pieprasīšanu prioritārajiem pasākumiem</w:t>
            </w:r>
            <w:r w:rsidR="00BC2FF3">
              <w:rPr>
                <w:iCs/>
              </w:rPr>
              <w:t xml:space="preserve"> atbilstoši aktuālajai situācijai</w:t>
            </w:r>
            <w:r>
              <w:rPr>
                <w:iCs/>
              </w:rPr>
              <w:t>;</w:t>
            </w:r>
          </w:p>
          <w:p w14:paraId="0EA5A2A0" w14:textId="77777777" w:rsidR="0034490F" w:rsidRPr="00E97898" w:rsidRDefault="0034490F" w:rsidP="0034490F">
            <w:pPr>
              <w:pStyle w:val="ListParagraph"/>
              <w:numPr>
                <w:ilvl w:val="0"/>
                <w:numId w:val="12"/>
              </w:numPr>
              <w:spacing w:line="240" w:lineRule="auto"/>
              <w:ind w:left="272" w:right="79" w:firstLine="6"/>
              <w:rPr>
                <w:b/>
              </w:rPr>
            </w:pPr>
            <w:r>
              <w:rPr>
                <w:iCs/>
              </w:rPr>
              <w:t>veicinot</w:t>
            </w:r>
            <w:r w:rsidR="00EA424B" w:rsidRPr="0034490F">
              <w:rPr>
                <w:iCs/>
              </w:rPr>
              <w:t xml:space="preserve"> </w:t>
            </w:r>
            <w:r w:rsidRPr="0034490F">
              <w:rPr>
                <w:iCs/>
              </w:rPr>
              <w:t>optimālu</w:t>
            </w:r>
            <w:r w:rsidR="00EA424B" w:rsidRPr="0034490F">
              <w:rPr>
                <w:iCs/>
              </w:rPr>
              <w:t xml:space="preserve"> budžeta elastības rīku izmantošanu</w:t>
            </w:r>
            <w:r>
              <w:rPr>
                <w:iCs/>
              </w:rPr>
              <w:t xml:space="preserve"> un</w:t>
            </w:r>
            <w:r w:rsidR="00EA424B" w:rsidRPr="0034490F">
              <w:rPr>
                <w:iCs/>
              </w:rPr>
              <w:t xml:space="preserve"> nodrošinot </w:t>
            </w:r>
            <w:r>
              <w:rPr>
                <w:iCs/>
              </w:rPr>
              <w:t>samērīgu</w:t>
            </w:r>
            <w:r w:rsidR="00EA424B" w:rsidRPr="0034490F">
              <w:rPr>
                <w:iCs/>
              </w:rPr>
              <w:t xml:space="preserve"> administratīvo slogu iesaistītajām institūcij</w:t>
            </w:r>
            <w:r>
              <w:rPr>
                <w:iCs/>
              </w:rPr>
              <w:t>ām;</w:t>
            </w:r>
          </w:p>
          <w:p w14:paraId="16E002C9" w14:textId="459A5BB4" w:rsidR="00E97898" w:rsidRPr="0034490F" w:rsidRDefault="00E97898" w:rsidP="0034490F">
            <w:pPr>
              <w:pStyle w:val="ListParagraph"/>
              <w:numPr>
                <w:ilvl w:val="0"/>
                <w:numId w:val="12"/>
              </w:numPr>
              <w:spacing w:line="240" w:lineRule="auto"/>
              <w:ind w:left="272" w:right="79" w:firstLine="6"/>
              <w:rPr>
                <w:b/>
              </w:rPr>
            </w:pPr>
            <w:r>
              <w:rPr>
                <w:iCs/>
              </w:rPr>
              <w:t xml:space="preserve">paredzot pilnvarojumu </w:t>
            </w:r>
            <w:r w:rsidR="003F63CC">
              <w:rPr>
                <w:iCs/>
              </w:rPr>
              <w:t>Ministru kabineta</w:t>
            </w:r>
            <w:r w:rsidR="00BC2FF3">
              <w:rPr>
                <w:iCs/>
              </w:rPr>
              <w:t>m</w:t>
            </w:r>
            <w:r w:rsidR="003F63CC">
              <w:rPr>
                <w:iCs/>
              </w:rPr>
              <w:t xml:space="preserve"> </w:t>
            </w:r>
            <w:r w:rsidR="00BC2FF3">
              <w:rPr>
                <w:iCs/>
              </w:rPr>
              <w:t>noteikt normatīvo bāzi, tai skaitā kārtību, kādā</w:t>
            </w:r>
            <w:r w:rsidR="003F63CC">
              <w:rPr>
                <w:iCs/>
              </w:rPr>
              <w:t xml:space="preserve"> </w:t>
            </w:r>
            <w:r w:rsidR="00FB0229">
              <w:rPr>
                <w:iCs/>
              </w:rPr>
              <w:t>VID</w:t>
            </w:r>
            <w:r w:rsidR="003F63CC">
              <w:rPr>
                <w:iCs/>
              </w:rPr>
              <w:t xml:space="preserve"> </w:t>
            </w:r>
            <w:r w:rsidR="00BC2FF3">
              <w:rPr>
                <w:iCs/>
              </w:rPr>
              <w:t xml:space="preserve">veiks </w:t>
            </w:r>
            <w:r w:rsidR="003F63CC" w:rsidRPr="00B574F4">
              <w:rPr>
                <w:szCs w:val="24"/>
              </w:rPr>
              <w:t>administrēt</w:t>
            </w:r>
            <w:r w:rsidR="003F63CC">
              <w:rPr>
                <w:szCs w:val="24"/>
              </w:rPr>
              <w:t>o valsts budžeta ieņēmumu</w:t>
            </w:r>
            <w:r w:rsidR="003F63CC" w:rsidRPr="009B00B9">
              <w:rPr>
                <w:szCs w:val="24"/>
              </w:rPr>
              <w:t xml:space="preserve"> </w:t>
            </w:r>
            <w:r w:rsidR="003F63CC">
              <w:rPr>
                <w:szCs w:val="24"/>
              </w:rPr>
              <w:t>uzskaiti</w:t>
            </w:r>
            <w:r w:rsidR="003F63CC" w:rsidRPr="00B574F4">
              <w:rPr>
                <w:szCs w:val="24"/>
              </w:rPr>
              <w:t xml:space="preserve"> pēc uzkr</w:t>
            </w:r>
            <w:r w:rsidR="003F63CC" w:rsidRPr="009B00B9">
              <w:rPr>
                <w:szCs w:val="24"/>
              </w:rPr>
              <w:t>ā</w:t>
            </w:r>
            <w:r w:rsidR="003F63CC">
              <w:rPr>
                <w:szCs w:val="24"/>
              </w:rPr>
              <w:t>šanas</w:t>
            </w:r>
            <w:r w:rsidR="003F63CC" w:rsidRPr="009B00B9">
              <w:rPr>
                <w:szCs w:val="24"/>
              </w:rPr>
              <w:t xml:space="preserve"> principa</w:t>
            </w:r>
            <w:r w:rsidR="003F63CC">
              <w:rPr>
                <w:szCs w:val="24"/>
              </w:rPr>
              <w:t>;</w:t>
            </w:r>
            <w:r>
              <w:rPr>
                <w:iCs/>
              </w:rPr>
              <w:t xml:space="preserve"> </w:t>
            </w:r>
          </w:p>
          <w:p w14:paraId="0802F9DC" w14:textId="0035CCC3" w:rsidR="001372EC" w:rsidRPr="0034490F" w:rsidRDefault="00CB1700" w:rsidP="0034490F">
            <w:pPr>
              <w:pStyle w:val="ListParagraph"/>
              <w:numPr>
                <w:ilvl w:val="0"/>
                <w:numId w:val="12"/>
              </w:numPr>
              <w:spacing w:line="240" w:lineRule="auto"/>
              <w:ind w:left="272" w:right="79" w:firstLine="6"/>
              <w:rPr>
                <w:b/>
              </w:rPr>
            </w:pPr>
            <w:r>
              <w:rPr>
                <w:iCs/>
              </w:rPr>
              <w:t xml:space="preserve">vienlaicīgi </w:t>
            </w:r>
            <w:r w:rsidR="0034490F">
              <w:rPr>
                <w:iCs/>
              </w:rPr>
              <w:t xml:space="preserve">aktualizējot likuma normas un </w:t>
            </w:r>
            <w:r w:rsidR="00EA424B" w:rsidRPr="0034490F">
              <w:rPr>
                <w:iCs/>
              </w:rPr>
              <w:t>vei</w:t>
            </w:r>
            <w:r w:rsidR="0034490F">
              <w:rPr>
                <w:iCs/>
              </w:rPr>
              <w:t>cot</w:t>
            </w:r>
            <w:r w:rsidR="00EA424B" w:rsidRPr="0034490F">
              <w:rPr>
                <w:iCs/>
              </w:rPr>
              <w:t xml:space="preserve"> tehniskus precizējumus. </w:t>
            </w:r>
          </w:p>
          <w:p w14:paraId="09893C94" w14:textId="77777777" w:rsidR="00CE63AF" w:rsidRDefault="00CE63AF" w:rsidP="00772255">
            <w:pPr>
              <w:ind w:left="132" w:right="79"/>
              <w:jc w:val="both"/>
            </w:pPr>
          </w:p>
          <w:p w14:paraId="0936C2BF" w14:textId="23141F26" w:rsidR="0034490F" w:rsidRDefault="00CB1700" w:rsidP="00CE0946">
            <w:pPr>
              <w:ind w:left="132" w:right="79"/>
              <w:jc w:val="both"/>
            </w:pPr>
            <w:r>
              <w:t xml:space="preserve">  </w:t>
            </w:r>
            <w:r w:rsidR="0034490F" w:rsidRPr="0034490F">
              <w:t xml:space="preserve">Likumprojektā paredzētās izmaiņas </w:t>
            </w:r>
            <w:r w:rsidR="00762882">
              <w:t>plānots sākt īstenot budžeta ciklā</w:t>
            </w:r>
            <w:r>
              <w:t>,</w:t>
            </w:r>
            <w:r w:rsidR="00762882">
              <w:t xml:space="preserve"> </w:t>
            </w:r>
            <w:r w:rsidR="0034490F">
              <w:t>sākot ar 2018.</w:t>
            </w:r>
            <w:r w:rsidR="00CE0946">
              <w:t xml:space="preserve"> </w:t>
            </w:r>
            <w:r w:rsidR="0034490F">
              <w:t>gada 1.</w:t>
            </w:r>
            <w:r w:rsidR="00CE0946">
              <w:t xml:space="preserve"> janvāri un n</w:t>
            </w:r>
            <w:r w:rsidR="005B0B08">
              <w:t>ormas</w:t>
            </w:r>
            <w:r w:rsidR="003F63CC">
              <w:t>, kas saistītas ar valsts budžeta ieņēmumu</w:t>
            </w:r>
            <w:r w:rsidR="003F63CC" w:rsidRPr="009B00B9">
              <w:t xml:space="preserve"> </w:t>
            </w:r>
            <w:r w:rsidR="003F63CC">
              <w:t>uzskaiti</w:t>
            </w:r>
            <w:r w:rsidR="003F63CC" w:rsidRPr="00B574F4">
              <w:t xml:space="preserve"> pēc uzkr</w:t>
            </w:r>
            <w:r w:rsidR="003F63CC" w:rsidRPr="009B00B9">
              <w:t>ā</w:t>
            </w:r>
            <w:r w:rsidR="003F63CC">
              <w:t>šanas</w:t>
            </w:r>
            <w:r w:rsidR="003F63CC" w:rsidRPr="009B00B9">
              <w:t xml:space="preserve"> principa</w:t>
            </w:r>
            <w:r w:rsidR="003F63CC">
              <w:t xml:space="preserve">, </w:t>
            </w:r>
            <w:r w:rsidR="00CE0946">
              <w:t>paredzēts piemērot</w:t>
            </w:r>
            <w:r w:rsidR="00762882">
              <w:t>, sākot ar 2021.</w:t>
            </w:r>
            <w:r w:rsidR="00CE0946">
              <w:t xml:space="preserve"> </w:t>
            </w:r>
            <w:r w:rsidR="00762882">
              <w:t>gadu</w:t>
            </w:r>
            <w:r w:rsidR="003F63CC">
              <w:t>, tomēr jau 2018.</w:t>
            </w:r>
            <w:r w:rsidR="00CE0946">
              <w:t xml:space="preserve"> </w:t>
            </w:r>
            <w:r w:rsidR="003F63CC">
              <w:t xml:space="preserve">gadā </w:t>
            </w:r>
            <w:r w:rsidR="00CE0946">
              <w:t xml:space="preserve">paredzēts veikt sagatavošanas darbus, kā arī līdz 2018. gada vidum paredzēts izstrādāt Ministru kabineta noteikumus atbilstoši jaunajam tiesību deleģējumam. </w:t>
            </w:r>
          </w:p>
          <w:p w14:paraId="01F6F313" w14:textId="77777777" w:rsidR="0034490F" w:rsidRDefault="0034490F" w:rsidP="0034490F">
            <w:pPr>
              <w:ind w:left="132" w:right="79"/>
              <w:jc w:val="both"/>
            </w:pPr>
          </w:p>
          <w:p w14:paraId="1D234BD6" w14:textId="77777777" w:rsidR="0034490F" w:rsidRPr="0034490F" w:rsidRDefault="0034490F" w:rsidP="0034490F">
            <w:pPr>
              <w:ind w:left="132" w:right="79"/>
              <w:jc w:val="both"/>
              <w:rPr>
                <w:b/>
                <w:u w:val="single"/>
              </w:rPr>
            </w:pPr>
            <w:r w:rsidRPr="0034490F">
              <w:rPr>
                <w:b/>
                <w:u w:val="single"/>
              </w:rPr>
              <w:t>Prioritāro pasākumu process</w:t>
            </w:r>
          </w:p>
          <w:p w14:paraId="77C19985" w14:textId="5FC3192F" w:rsidR="0034490F" w:rsidRDefault="0034490F" w:rsidP="00C12375">
            <w:pPr>
              <w:ind w:left="132" w:right="79"/>
              <w:jc w:val="both"/>
            </w:pPr>
            <w:r>
              <w:t>Šobrīd LBFV 16.</w:t>
            </w:r>
            <w:r>
              <w:rPr>
                <w:vertAlign w:val="superscript"/>
              </w:rPr>
              <w:t>1</w:t>
            </w:r>
            <w:r w:rsidR="00CE0946">
              <w:t xml:space="preserve"> pantā noteikts</w:t>
            </w:r>
            <w:r>
              <w:t xml:space="preserve">, ka ministrijas sagatavo priekšlikumus jaunām politikas iniciatīvām. </w:t>
            </w:r>
            <w:r w:rsidR="0057678E">
              <w:t>2017.</w:t>
            </w:r>
            <w:r w:rsidR="00CE0946">
              <w:t xml:space="preserve"> </w:t>
            </w:r>
            <w:r w:rsidR="0057678E">
              <w:t>gada 3</w:t>
            </w:r>
            <w:r w:rsidR="00C12375">
              <w:t>.</w:t>
            </w:r>
            <w:r w:rsidR="00CE0946">
              <w:t xml:space="preserve"> </w:t>
            </w:r>
            <w:r w:rsidR="00C12375">
              <w:t xml:space="preserve">maijā </w:t>
            </w:r>
            <w:r w:rsidR="00CE0946">
              <w:t>pieņemti</w:t>
            </w:r>
            <w:r w:rsidR="00C12375">
              <w:t xml:space="preserve"> Ministru kabineta noteikumi </w:t>
            </w:r>
            <w:r w:rsidR="003F63CC">
              <w:t>Nr.264</w:t>
            </w:r>
            <w:r w:rsidR="00C12375">
              <w:t xml:space="preserve"> </w:t>
            </w:r>
            <w:r w:rsidR="00C12375" w:rsidRPr="00C12375">
              <w:t>„Grozījumi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w:t>
            </w:r>
            <w:r w:rsidR="00C12375">
              <w:t xml:space="preserve">, ieviešot jaunu </w:t>
            </w:r>
            <w:r w:rsidR="003F63CC">
              <w:t>pieeju</w:t>
            </w:r>
            <w:r w:rsidR="00C12375">
              <w:t xml:space="preserve"> – prioritārie pasākumi. </w:t>
            </w:r>
            <w:r w:rsidR="008E732A">
              <w:t>Prioritāro pasākumu sagatavošana un iesniegšana l</w:t>
            </w:r>
            <w:r w:rsidR="00C12375">
              <w:t xml:space="preserve">ikumprojekta “Par valsts budžetu 2018.gadam” sagatavošanas </w:t>
            </w:r>
            <w:r w:rsidR="00521FB7">
              <w:t>ietvaros</w:t>
            </w:r>
            <w:r w:rsidR="00C12375">
              <w:t xml:space="preserve"> jau norisinājās atbilstoši jaunajam </w:t>
            </w:r>
            <w:r w:rsidR="00CB1700">
              <w:t>normatīvajam regulējumam. M</w:t>
            </w:r>
            <w:r w:rsidR="00C12375">
              <w:t xml:space="preserve">inēto </w:t>
            </w:r>
            <w:r w:rsidR="00C12375">
              <w:lastRenderedPageBreak/>
              <w:t>noteikumu izstrādes procesā un arī tā praktiskās piemērošanās laikā tika identificēta nepieciešamība likumā precizēt Ministru kabinet</w:t>
            </w:r>
            <w:r w:rsidR="00CE0946">
              <w:t xml:space="preserve">a un finanšu ministra pilnvaras, </w:t>
            </w:r>
            <w:r>
              <w:t xml:space="preserve"> </w:t>
            </w:r>
            <w:r w:rsidR="00CE0946">
              <w:t>tā</w:t>
            </w:r>
            <w:r w:rsidR="00C12375">
              <w:t>dējād</w:t>
            </w:r>
            <w:r w:rsidR="00CE0946">
              <w:t xml:space="preserve">i precizējot </w:t>
            </w:r>
            <w:r w:rsidR="00C12375">
              <w:t>LBFV 16. un 16.</w:t>
            </w:r>
            <w:r w:rsidR="00C12375">
              <w:rPr>
                <w:vertAlign w:val="superscript"/>
              </w:rPr>
              <w:t>1</w:t>
            </w:r>
            <w:r w:rsidR="00CE0946">
              <w:t xml:space="preserve"> pantus</w:t>
            </w:r>
            <w:r w:rsidR="00C12375">
              <w:t>, nosakot sekojošo:</w:t>
            </w:r>
          </w:p>
          <w:p w14:paraId="67E2FFDB" w14:textId="2EAAD12A" w:rsidR="00C12375" w:rsidRPr="00BB672E" w:rsidRDefault="00C12375" w:rsidP="00C12375">
            <w:pPr>
              <w:pStyle w:val="ListParagraph"/>
              <w:numPr>
                <w:ilvl w:val="0"/>
                <w:numId w:val="12"/>
              </w:numPr>
              <w:spacing w:line="240" w:lineRule="auto"/>
              <w:ind w:right="79" w:hanging="357"/>
              <w:rPr>
                <w:szCs w:val="24"/>
              </w:rPr>
            </w:pPr>
            <w:r w:rsidRPr="00BB672E">
              <w:rPr>
                <w:szCs w:val="24"/>
              </w:rPr>
              <w:t xml:space="preserve">finanšu ministrs ir atbildīgs par prioritāro pasākumu </w:t>
            </w:r>
            <w:r w:rsidR="00762882" w:rsidRPr="00BB672E">
              <w:rPr>
                <w:szCs w:val="24"/>
              </w:rPr>
              <w:t xml:space="preserve">izvērtēšanas procesa organizēšanu </w:t>
            </w:r>
            <w:r w:rsidR="00762882">
              <w:rPr>
                <w:szCs w:val="24"/>
              </w:rPr>
              <w:t xml:space="preserve">un šo pasākumu </w:t>
            </w:r>
            <w:r w:rsidRPr="00BB672E">
              <w:rPr>
                <w:szCs w:val="24"/>
              </w:rPr>
              <w:t>izvērtēšanu, kā arī par priekšlikumu par atbalstāmajiem prioritārajiem pasākumiem un resursiem to finansēšanai</w:t>
            </w:r>
            <w:r w:rsidR="0028549E">
              <w:rPr>
                <w:szCs w:val="24"/>
              </w:rPr>
              <w:t xml:space="preserve"> iesniegšanu Ministru kabinetam;</w:t>
            </w:r>
          </w:p>
          <w:p w14:paraId="516D4730" w14:textId="4232E5C9" w:rsidR="00C12375" w:rsidRPr="00F25BCF" w:rsidRDefault="00C12375" w:rsidP="00C12375">
            <w:pPr>
              <w:pStyle w:val="ListParagraph"/>
              <w:numPr>
                <w:ilvl w:val="0"/>
                <w:numId w:val="12"/>
              </w:numPr>
              <w:spacing w:line="240" w:lineRule="auto"/>
              <w:ind w:right="79" w:hanging="357"/>
            </w:pPr>
            <w:r>
              <w:t xml:space="preserve">Ministru kabinets </w:t>
            </w:r>
            <w:r w:rsidR="003A23C3">
              <w:t>katru gadu var noteikt īpašus nosacījumus attiecībā uz iesniedzamajiem prioritārajiem pasākumiem</w:t>
            </w:r>
            <w:r w:rsidR="00762882">
              <w:t xml:space="preserve"> un to izvērtēšanu</w:t>
            </w:r>
            <w:r w:rsidR="003A23C3">
              <w:t xml:space="preserve">, atkarībā no konkrētā gada </w:t>
            </w:r>
            <w:r w:rsidR="00CB1700">
              <w:t>aktualitātēm</w:t>
            </w:r>
            <w:r w:rsidR="00D46434">
              <w:t>, ņemot vērā prognozes par līdzekļu pieejamību turpmākajos gados</w:t>
            </w:r>
            <w:r w:rsidR="003A23C3">
              <w:t xml:space="preserve">. Šie īpašie nosacījumi var būt prioritārās </w:t>
            </w:r>
            <w:r w:rsidR="00CB1700">
              <w:t>atbalstāmas jomas</w:t>
            </w:r>
            <w:r w:rsidR="003A23C3">
              <w:t xml:space="preserve"> vai arī ministriju iesniedzamo prioritāro pasākumu skaita ierobežojumi, vai citi jautājumi. </w:t>
            </w:r>
            <w:r w:rsidR="00CB1700">
              <w:t>Iepriekšējos</w:t>
            </w:r>
            <w:r w:rsidR="003A23C3">
              <w:t xml:space="preserve"> gados Ministru kabinets jau ir pieņēmis</w:t>
            </w:r>
            <w:r w:rsidR="00CB1700">
              <w:t xml:space="preserve"> līdzīgus</w:t>
            </w:r>
            <w:r w:rsidR="003A23C3">
              <w:t xml:space="preserve"> lēmumus, līdz</w:t>
            </w:r>
            <w:r w:rsidR="00334690">
              <w:t xml:space="preserve"> ar to prakse jau ir iedibināta. </w:t>
            </w:r>
            <w:r w:rsidR="00334690" w:rsidRPr="00F25BCF">
              <w:t xml:space="preserve">Vienlaikus tiek saglabāta </w:t>
            </w:r>
            <w:r w:rsidR="00521FB7" w:rsidRPr="00F25BCF">
              <w:t>LBFV</w:t>
            </w:r>
            <w:r w:rsidR="00334690" w:rsidRPr="00F25BCF">
              <w:t xml:space="preserve"> jau esošā norma, ka </w:t>
            </w:r>
            <w:r w:rsidR="00D46434">
              <w:t>priekšlikumus</w:t>
            </w:r>
            <w:r w:rsidR="00334BCB">
              <w:t xml:space="preserve"> par prioritāriem pasākumiem</w:t>
            </w:r>
            <w:r w:rsidR="00334BCB" w:rsidRPr="00F25BCF">
              <w:t xml:space="preserve"> sniedz </w:t>
            </w:r>
            <w:r w:rsidR="00334BCB">
              <w:t xml:space="preserve">tikai tad, ja </w:t>
            </w:r>
            <w:r w:rsidR="00334690" w:rsidRPr="00F25BCF">
              <w:t xml:space="preserve">prioritāro pasākumu finansēšanai </w:t>
            </w:r>
            <w:r w:rsidR="00334BCB">
              <w:t>ir</w:t>
            </w:r>
            <w:r w:rsidR="00334690" w:rsidRPr="00F25BCF">
              <w:t xml:space="preserve"> progn</w:t>
            </w:r>
            <w:r w:rsidR="0028549E">
              <w:t>ozēti pieejamie finanšu resursi;</w:t>
            </w:r>
          </w:p>
          <w:p w14:paraId="3498D798" w14:textId="3307F764" w:rsidR="003A23C3" w:rsidRDefault="00D07DE6" w:rsidP="003A23C3">
            <w:pPr>
              <w:pStyle w:val="ListParagraph"/>
              <w:numPr>
                <w:ilvl w:val="0"/>
                <w:numId w:val="12"/>
              </w:numPr>
              <w:spacing w:line="240" w:lineRule="auto"/>
              <w:ind w:right="79"/>
            </w:pPr>
            <w:r w:rsidRPr="00F25BCF">
              <w:t xml:space="preserve">tiek saglabāta norma par </w:t>
            </w:r>
            <w:r w:rsidR="00CB1700">
              <w:t>prioritāro pasākumu</w:t>
            </w:r>
            <w:r w:rsidRPr="00F25BCF">
              <w:t xml:space="preserve"> sagatavo</w:t>
            </w:r>
            <w:r w:rsidR="00CB1700">
              <w:t>šanu</w:t>
            </w:r>
            <w:r w:rsidRPr="00F25BCF">
              <w:t>, pamatojoties uz n</w:t>
            </w:r>
            <w:r w:rsidR="003A23C3" w:rsidRPr="00F25BCF">
              <w:t>acionāl</w:t>
            </w:r>
            <w:r w:rsidRPr="00F25BCF">
              <w:t>o</w:t>
            </w:r>
            <w:r w:rsidR="003A23C3" w:rsidRPr="00F25BCF">
              <w:t xml:space="preserve"> attīstības plān</w:t>
            </w:r>
            <w:r w:rsidRPr="00F25BCF">
              <w:t>u</w:t>
            </w:r>
            <w:r w:rsidR="003A23C3" w:rsidRPr="00F25BCF">
              <w:t>, valsts aizsardzības koncepcij</w:t>
            </w:r>
            <w:r w:rsidRPr="00F25BCF">
              <w:t>u</w:t>
            </w:r>
            <w:r w:rsidR="003A23C3" w:rsidRPr="00F25BCF">
              <w:t>,</w:t>
            </w:r>
            <w:r w:rsidRPr="00F25BCF">
              <w:t xml:space="preserve"> citiem attīstības plānošanas dokumentiem.</w:t>
            </w:r>
            <w:r w:rsidR="003A23C3" w:rsidRPr="00F25BCF">
              <w:t xml:space="preserve"> </w:t>
            </w:r>
            <w:r w:rsidRPr="00F25BCF">
              <w:t>Budžeta</w:t>
            </w:r>
            <w:r>
              <w:t xml:space="preserve"> plānošanas sasaiste ar attīstības plānošanas dokumentos izvirzītajiem mērķiem un rezultātiem tika stiprināta arī </w:t>
            </w:r>
            <w:r w:rsidR="00B37B05">
              <w:t>ar 2017.</w:t>
            </w:r>
            <w:r w:rsidR="00CE0946">
              <w:t xml:space="preserve"> </w:t>
            </w:r>
            <w:r w:rsidR="00B37B05">
              <w:t xml:space="preserve">gadā veiktajiem grozījumiem </w:t>
            </w:r>
            <w:r w:rsidR="00801C99">
              <w:t>MK noteikumos Nr.867</w:t>
            </w:r>
            <w:r w:rsidR="00B37B05">
              <w:t>, kur</w:t>
            </w:r>
            <w:r w:rsidR="00801C99">
              <w:t xml:space="preserve"> tika iekļauta norma, ka </w:t>
            </w:r>
            <w:r w:rsidR="003A23C3">
              <w:t>p</w:t>
            </w:r>
            <w:r w:rsidR="003A23C3" w:rsidRPr="003A23C3">
              <w:t>rioritāro pasākumu izvērtēšanā ņem vērā to ietvaros īstenojamas reformas, pasākumu ietekmi uz tautsaimniecību</w:t>
            </w:r>
            <w:r w:rsidR="00801C99">
              <w:t xml:space="preserve"> (tai skaitā nacionālo drošību)</w:t>
            </w:r>
            <w:r w:rsidR="003A23C3" w:rsidRPr="003A23C3">
              <w:t xml:space="preserve"> un ekonomisko izaugsmi, kā arī atbilstību vidēja termiņa budžeta ietvara likumā noteiktajiem budžeta mērķiem un prior</w:t>
            </w:r>
            <w:r w:rsidR="0028549E">
              <w:t>itārajiem attīstības virzieniem</w:t>
            </w:r>
            <w:r w:rsidR="00D46434">
              <w:t xml:space="preserve">. Sākot ar 2017.gadu, ministrijas tiek rosinātas, iesniedzot priekšlikumus par prioritārajiem pasākumiem, norādīt ne tikai papildus pieprasāmo summu, bet arī no ministrijas budžeta novirzāmo summu pasākuma finansēšanai. Tāpēc </w:t>
            </w:r>
            <w:r w:rsidR="00E31BE4">
              <w:t>arī likuma tekstā priekšlikums par prioritāro pasākumu ietver tā īstenošanai nepieciešamo finansējumu</w:t>
            </w:r>
            <w:r w:rsidR="0028549E">
              <w:t>;</w:t>
            </w:r>
          </w:p>
          <w:p w14:paraId="46283341" w14:textId="328E287F" w:rsidR="003A23C3" w:rsidRDefault="00CB1700" w:rsidP="003A23C3">
            <w:pPr>
              <w:pStyle w:val="ListParagraph"/>
              <w:numPr>
                <w:ilvl w:val="0"/>
                <w:numId w:val="12"/>
              </w:numPr>
              <w:spacing w:line="240" w:lineRule="auto"/>
              <w:ind w:right="79"/>
            </w:pPr>
            <w:r>
              <w:t>t</w:t>
            </w:r>
            <w:r w:rsidR="003A23C3">
              <w:t>iek saglabātas neatkarīgo iestāžu tiesības izvirzīt savus prioritāros pasākumus, neatkarīgi no v</w:t>
            </w:r>
            <w:r w:rsidR="0028549E">
              <w:t>alstī noteiktiem ierobežojumiem;</w:t>
            </w:r>
          </w:p>
          <w:p w14:paraId="4A0A621D" w14:textId="2071BE2B" w:rsidR="00521FB7" w:rsidRDefault="00CB1700" w:rsidP="003A23C3">
            <w:pPr>
              <w:pStyle w:val="ListParagraph"/>
              <w:numPr>
                <w:ilvl w:val="0"/>
                <w:numId w:val="12"/>
              </w:numPr>
              <w:spacing w:line="240" w:lineRule="auto"/>
              <w:ind w:right="79"/>
            </w:pPr>
            <w:r>
              <w:t>p</w:t>
            </w:r>
            <w:r w:rsidR="00521FB7">
              <w:t>anta daļa par budžeta sagatavošanas grafika ies</w:t>
            </w:r>
            <w:r w:rsidR="00CE0946">
              <w:t>niegšanu Ministru kabinetam</w:t>
            </w:r>
            <w:r w:rsidR="00521FB7">
              <w:t xml:space="preserve"> no 16.</w:t>
            </w:r>
            <w:r w:rsidR="00521FB7">
              <w:rPr>
                <w:vertAlign w:val="superscript"/>
              </w:rPr>
              <w:t>1</w:t>
            </w:r>
            <w:r>
              <w:t xml:space="preserve"> panta </w:t>
            </w:r>
            <w:r w:rsidR="0028549E">
              <w:t xml:space="preserve">pirmās daļas </w:t>
            </w:r>
            <w:r w:rsidR="00CE0946">
              <w:t>paredzēts pārcelt</w:t>
            </w:r>
            <w:r>
              <w:t xml:space="preserve"> uz 16.</w:t>
            </w:r>
            <w:r w:rsidR="00521FB7">
              <w:t>pantu</w:t>
            </w:r>
            <w:r w:rsidR="00CE0946">
              <w:t xml:space="preserve"> kā otro daļu</w:t>
            </w:r>
            <w:r w:rsidR="00521FB7">
              <w:t>, kur tā saturiski labāk iederas.</w:t>
            </w:r>
          </w:p>
          <w:p w14:paraId="74805EE2" w14:textId="3BA4DBD4" w:rsidR="00542EFC" w:rsidRDefault="00542EFC" w:rsidP="003F63CC">
            <w:pPr>
              <w:ind w:left="132" w:right="79"/>
              <w:jc w:val="both"/>
            </w:pPr>
            <w:r>
              <w:t xml:space="preserve">Tādējādi, kontekstā arī ar minētiem grozījumiem MK noteikumos nr.867, process attiecībā uz prioritāro pasākumu iesniegšanu, izvērtēšanu un priekšlikumu iesniegšanu </w:t>
            </w:r>
            <w:r w:rsidR="00CB1700">
              <w:t xml:space="preserve">par atbalstāmajiem pasākumiem </w:t>
            </w:r>
            <w:r>
              <w:t>Ministru ka</w:t>
            </w:r>
            <w:r w:rsidR="00334BCB">
              <w:t>binetā būs skaidri reglamentēts</w:t>
            </w:r>
            <w:r>
              <w:t xml:space="preserve"> un atbilstošs </w:t>
            </w:r>
            <w:r w:rsidR="00CB1700">
              <w:t>šā brīža</w:t>
            </w:r>
            <w:r>
              <w:t xml:space="preserve"> situācijai.</w:t>
            </w:r>
          </w:p>
          <w:p w14:paraId="4DEFF0C7" w14:textId="77777777" w:rsidR="00542EFC" w:rsidRDefault="00542EFC" w:rsidP="003A23C3">
            <w:pPr>
              <w:ind w:left="132" w:right="79"/>
            </w:pPr>
          </w:p>
          <w:p w14:paraId="3AEF4B42" w14:textId="77777777" w:rsidR="00542EFC" w:rsidRPr="00542EFC" w:rsidRDefault="00542EFC" w:rsidP="003A23C3">
            <w:pPr>
              <w:ind w:left="132" w:right="79"/>
              <w:rPr>
                <w:b/>
                <w:u w:val="single"/>
              </w:rPr>
            </w:pPr>
            <w:r w:rsidRPr="00542EFC">
              <w:rPr>
                <w:b/>
                <w:u w:val="single"/>
              </w:rPr>
              <w:t>Budžeta elastības rīku pilnveidošana</w:t>
            </w:r>
          </w:p>
          <w:p w14:paraId="091E126C" w14:textId="4B96A63F" w:rsidR="003A23C3" w:rsidRDefault="00542EFC" w:rsidP="00542EFC">
            <w:pPr>
              <w:ind w:left="132" w:right="79"/>
              <w:jc w:val="both"/>
            </w:pPr>
            <w:r>
              <w:t xml:space="preserve"> Spēkā</w:t>
            </w:r>
            <w:r w:rsidR="00CB1700">
              <w:t xml:space="preserve"> esošais LBFV 9.</w:t>
            </w:r>
            <w:r w:rsidR="00CE0946">
              <w:t xml:space="preserve"> </w:t>
            </w:r>
            <w:r w:rsidR="00CB1700">
              <w:t>pants paredz,</w:t>
            </w:r>
            <w:r>
              <w:t xml:space="preserve"> lai nākošajā saimnieci</w:t>
            </w:r>
            <w:r w:rsidR="00334BCB">
              <w:t>skajā gadā izmantotu iepriekšēja</w:t>
            </w:r>
            <w:r>
              <w:t xml:space="preserve"> gad</w:t>
            </w:r>
            <w:r w:rsidR="00334BCB">
              <w:t>a</w:t>
            </w:r>
            <w:r>
              <w:t xml:space="preserve"> atlikumus no maksas pakalpojumiem un citiem pašu ieņēmumiem, vai kārtējā gadā ieplānotu neparedzētos ieņēmumus un to</w:t>
            </w:r>
            <w:r w:rsidR="00220137">
              <w:t>s izmantot</w:t>
            </w:r>
            <w:r>
              <w:t xml:space="preserve">u, ir nepieciešams Saeimas </w:t>
            </w:r>
            <w:r w:rsidRPr="00542EFC">
              <w:t>Budžeta un finanšu (nodokļu) komisija</w:t>
            </w:r>
            <w:r>
              <w:t>s saskaņojums. Šāds regulējums praksē ne vienmēr ir efektīvs šādu iemeslu dēļ:</w:t>
            </w:r>
          </w:p>
          <w:p w14:paraId="072F8C92" w14:textId="4D2750D3" w:rsidR="00542EFC" w:rsidRPr="00647835" w:rsidRDefault="003F63CC" w:rsidP="00542EFC">
            <w:pPr>
              <w:pStyle w:val="ListParagraph"/>
              <w:numPr>
                <w:ilvl w:val="0"/>
                <w:numId w:val="12"/>
              </w:numPr>
              <w:spacing w:line="240" w:lineRule="auto"/>
              <w:ind w:right="79"/>
              <w:rPr>
                <w:szCs w:val="24"/>
              </w:rPr>
            </w:pPr>
            <w:r w:rsidRPr="00647835">
              <w:rPr>
                <w:szCs w:val="24"/>
              </w:rPr>
              <w:t xml:space="preserve">valsts budžeta iestādēm (ar nozaru ministrijas starpniecību) ir jāvirza  izskatīšanai Saeimas komisijā finansiāli ļoti nebūtiski pasākumi (piemēram, 70 euro), jo normatīvajā regulējumā netiek diferencēts summas skaitliskais apmērs, par kuru būtu nepieciešams Saeimas komisijas saskaņojums. Jāatzīmē, ka administratīvie resursi, kas ieguldīti </w:t>
            </w:r>
            <w:r w:rsidRPr="00647835">
              <w:rPr>
                <w:szCs w:val="24"/>
              </w:rPr>
              <w:lastRenderedPageBreak/>
              <w:t>dokumentācijas sagatavošanā un jautājuma apspriešanā, bieži vien ir lielāki, nekā summa, par kuru ir jāpieņem lēmums</w:t>
            </w:r>
            <w:r w:rsidR="00542EFC" w:rsidRPr="00647835">
              <w:rPr>
                <w:szCs w:val="24"/>
              </w:rPr>
              <w:t>;</w:t>
            </w:r>
          </w:p>
          <w:p w14:paraId="373D4FD7" w14:textId="51BB25F0" w:rsidR="00542EFC" w:rsidRPr="00647835" w:rsidRDefault="00542EFC" w:rsidP="00B232AA">
            <w:pPr>
              <w:pStyle w:val="ListParagraph"/>
              <w:numPr>
                <w:ilvl w:val="0"/>
                <w:numId w:val="12"/>
              </w:numPr>
              <w:spacing w:line="240" w:lineRule="auto"/>
              <w:ind w:right="79" w:hanging="357"/>
              <w:rPr>
                <w:szCs w:val="24"/>
              </w:rPr>
            </w:pPr>
            <w:r w:rsidRPr="00647835">
              <w:rPr>
                <w:szCs w:val="24"/>
              </w:rPr>
              <w:t>Saeimas komisija tiek iesaistīta tādu jautājumu izskatīšanā, kuriem ir saimniecisks raksturs  (parasti tie ir iestāžu ieņēmumi un tiem atbilstošie izdevumi sadarbības projektos, kā arī faktiskas svārstības sniedzamajos maksas pakal</w:t>
            </w:r>
            <w:r w:rsidR="00220137">
              <w:rPr>
                <w:szCs w:val="24"/>
              </w:rPr>
              <w:t>pojumos), un kuriem nav negatīva</w:t>
            </w:r>
            <w:r w:rsidRPr="00647835">
              <w:rPr>
                <w:szCs w:val="24"/>
              </w:rPr>
              <w:t>s fiskālās ietekmes uz valsts bud</w:t>
            </w:r>
            <w:r w:rsidR="00B232AA" w:rsidRPr="00647835">
              <w:rPr>
                <w:szCs w:val="24"/>
              </w:rPr>
              <w:t>žetu, jo ieplānojamo ieņēmumu un izdevumu apmērs ir līdzvērtīgs un negatīva ietekme nerodas;</w:t>
            </w:r>
          </w:p>
          <w:p w14:paraId="5E00D90A" w14:textId="5281D9EE" w:rsidR="00B232AA" w:rsidRPr="00647835" w:rsidRDefault="00CB1700" w:rsidP="00B232AA">
            <w:pPr>
              <w:pStyle w:val="ListParagraph"/>
              <w:numPr>
                <w:ilvl w:val="0"/>
                <w:numId w:val="12"/>
              </w:numPr>
              <w:spacing w:line="240" w:lineRule="auto"/>
              <w:ind w:right="79"/>
              <w:rPr>
                <w:szCs w:val="24"/>
              </w:rPr>
            </w:pPr>
            <w:r>
              <w:rPr>
                <w:szCs w:val="24"/>
              </w:rPr>
              <w:t>š</w:t>
            </w:r>
            <w:r w:rsidR="00B232AA" w:rsidRPr="00647835">
              <w:rPr>
                <w:szCs w:val="24"/>
              </w:rPr>
              <w:t xml:space="preserve">obrīd valsts budžeta iestādes </w:t>
            </w:r>
            <w:r w:rsidR="003F63CC" w:rsidRPr="00647835">
              <w:rPr>
                <w:szCs w:val="24"/>
              </w:rPr>
              <w:t>ne vienmēr izmanto iespēju piedalīties</w:t>
            </w:r>
            <w:r w:rsidR="00B232AA" w:rsidRPr="00647835">
              <w:rPr>
                <w:szCs w:val="24"/>
              </w:rPr>
              <w:t xml:space="preserve"> nelielos projektos ilgstošas administratīvas procedūras</w:t>
            </w:r>
            <w:r w:rsidR="00220137">
              <w:rPr>
                <w:szCs w:val="24"/>
              </w:rPr>
              <w:t xml:space="preserve"> </w:t>
            </w:r>
            <w:r w:rsidR="00220137" w:rsidRPr="00647835">
              <w:rPr>
                <w:szCs w:val="24"/>
              </w:rPr>
              <w:t>dēļ</w:t>
            </w:r>
            <w:r w:rsidR="00B232AA" w:rsidRPr="00647835">
              <w:rPr>
                <w:szCs w:val="24"/>
              </w:rPr>
              <w:t>, kurā jāieplāno saņemamie ieņēmumi un atbilstošie izdevumi.</w:t>
            </w:r>
            <w:r w:rsidR="00696871" w:rsidRPr="00647835">
              <w:rPr>
                <w:szCs w:val="24"/>
              </w:rPr>
              <w:t xml:space="preserve"> Tādējādi netiek piesaistīti trešo pušu līdzekļi dažādu sadarbības projektu īstenošanai, kas vērsti uz pieredzes apmaiņu un institūciju kapacitātes stiprināšanu.</w:t>
            </w:r>
          </w:p>
          <w:p w14:paraId="09A11CC4" w14:textId="7657560C" w:rsidR="00B232AA" w:rsidRDefault="00B232AA" w:rsidP="00CB1700">
            <w:pPr>
              <w:ind w:left="132" w:right="79"/>
              <w:jc w:val="both"/>
            </w:pPr>
            <w:r>
              <w:t xml:space="preserve">Lai </w:t>
            </w:r>
            <w:r w:rsidR="00CB1700">
              <w:t>stiprinātu budžeta elastību,</w:t>
            </w:r>
            <w:r>
              <w:t xml:space="preserve"> vienlaikus</w:t>
            </w:r>
            <w:r w:rsidR="00CB1700">
              <w:t xml:space="preserve"> saglabājot likumdevēja iesaisti </w:t>
            </w:r>
            <w:r>
              <w:t>būtiskos jautājumos, tiek piedāvāts šāds risinājums:</w:t>
            </w:r>
          </w:p>
          <w:p w14:paraId="463CE6FB" w14:textId="423461F0" w:rsidR="00801C99" w:rsidRDefault="00801C99" w:rsidP="00801C99">
            <w:pPr>
              <w:pStyle w:val="ListParagraph"/>
              <w:numPr>
                <w:ilvl w:val="0"/>
                <w:numId w:val="12"/>
              </w:numPr>
              <w:spacing w:line="240" w:lineRule="auto"/>
              <w:ind w:right="79"/>
            </w:pPr>
            <w:r>
              <w:t xml:space="preserve">par maksas pakalpojumu un citu pašu ieņēmumu </w:t>
            </w:r>
            <w:r w:rsidR="00E31BE4">
              <w:t>izmantošanu</w:t>
            </w:r>
            <w:r>
              <w:t xml:space="preserve"> </w:t>
            </w:r>
            <w:r w:rsidR="00E31BE4">
              <w:t xml:space="preserve">(palielināšanu) </w:t>
            </w:r>
            <w:r w:rsidR="00220137">
              <w:t>kārtējā</w:t>
            </w:r>
            <w:r>
              <w:t xml:space="preserve"> gadā lemj finanšu ministrs</w:t>
            </w:r>
            <w:r w:rsidR="00DA3917">
              <w:t xml:space="preserve"> (9.panta </w:t>
            </w:r>
            <w:r w:rsidR="00647835">
              <w:t>13</w:t>
            </w:r>
            <w:r w:rsidR="00DA3917">
              <w:t xml:space="preserve">. </w:t>
            </w:r>
            <w:proofErr w:type="spellStart"/>
            <w:r w:rsidR="00DA3917">
              <w:t>prim</w:t>
            </w:r>
            <w:proofErr w:type="spellEnd"/>
            <w:r w:rsidR="00647835">
              <w:t xml:space="preserve"> daļas 3.punkts)</w:t>
            </w:r>
            <w:r>
              <w:t>;</w:t>
            </w:r>
          </w:p>
          <w:p w14:paraId="2975F3CA" w14:textId="5FB6DE2E" w:rsidR="00801C99" w:rsidRDefault="00801C99" w:rsidP="00801C99">
            <w:pPr>
              <w:pStyle w:val="ListParagraph"/>
              <w:numPr>
                <w:ilvl w:val="0"/>
                <w:numId w:val="12"/>
              </w:numPr>
              <w:spacing w:line="240" w:lineRule="auto"/>
              <w:ind w:right="79"/>
            </w:pPr>
            <w:r>
              <w:t>finanšu ministrs lemj par maksas pakalpojumu un citu pašu ieņēmumu atlikumu izmantošanu, nepārsniedzot vienai valsts budžeta programmai</w:t>
            </w:r>
            <w:r w:rsidR="00334BCB">
              <w:t xml:space="preserve"> (vai apakšprogrammai, ja programmā ir apakšprogrammas)</w:t>
            </w:r>
            <w:r>
              <w:t xml:space="preserve"> ierobežojumu </w:t>
            </w:r>
            <w:r w:rsidR="00B37B05">
              <w:t>–</w:t>
            </w:r>
            <w:r w:rsidR="00220137">
              <w:t xml:space="preserve"> </w:t>
            </w:r>
            <w:r w:rsidR="00B37B05">
              <w:t xml:space="preserve">izmantojamo </w:t>
            </w:r>
            <w:r w:rsidR="00B37B05" w:rsidRPr="00334BCB">
              <w:rPr>
                <w:szCs w:val="24"/>
              </w:rPr>
              <w:t xml:space="preserve">atlikumu kopsumma attiecīgajā saimnieciskajā gadā nepārsniedz vienlaicīgi 5% no programmai (apakšprogrammai) </w:t>
            </w:r>
            <w:r w:rsidR="00CB1700">
              <w:rPr>
                <w:szCs w:val="24"/>
              </w:rPr>
              <w:t xml:space="preserve">kārtējā gadā valsts budžeta likumā </w:t>
            </w:r>
            <w:r w:rsidR="00B37B05" w:rsidRPr="00334BCB">
              <w:rPr>
                <w:szCs w:val="24"/>
              </w:rPr>
              <w:t>plānotajiem kopējiem izdevumiem</w:t>
            </w:r>
            <w:r w:rsidR="00B37B05">
              <w:rPr>
                <w:sz w:val="22"/>
              </w:rPr>
              <w:t xml:space="preserve"> </w:t>
            </w:r>
            <w:r w:rsidR="00220137">
              <w:rPr>
                <w:sz w:val="22"/>
              </w:rPr>
              <w:t>(sākotnēji</w:t>
            </w:r>
            <w:r w:rsidR="00241575">
              <w:rPr>
                <w:sz w:val="22"/>
              </w:rPr>
              <w:t xml:space="preserve"> </w:t>
            </w:r>
            <w:r w:rsidR="00220137">
              <w:rPr>
                <w:sz w:val="22"/>
              </w:rPr>
              <w:t>apstiprinātajā budžetā</w:t>
            </w:r>
            <w:r w:rsidR="00241575">
              <w:rPr>
                <w:sz w:val="22"/>
              </w:rPr>
              <w:t xml:space="preserve">) </w:t>
            </w:r>
            <w:r w:rsidR="00B37B05">
              <w:rPr>
                <w:sz w:val="22"/>
              </w:rPr>
              <w:t>un vērtību</w:t>
            </w:r>
            <w:r w:rsidR="00B37B05" w:rsidRPr="001A3BD2">
              <w:rPr>
                <w:sz w:val="22"/>
              </w:rPr>
              <w:t xml:space="preserve"> 100 000</w:t>
            </w:r>
            <w:r w:rsidR="00B37B05" w:rsidRPr="006710CE">
              <w:rPr>
                <w:i/>
                <w:sz w:val="22"/>
              </w:rPr>
              <w:t xml:space="preserve"> euro</w:t>
            </w:r>
            <w:r w:rsidR="00647835">
              <w:rPr>
                <w:sz w:val="22"/>
              </w:rPr>
              <w:t xml:space="preserve"> </w:t>
            </w:r>
            <w:r w:rsidR="00647835">
              <w:t>(9.panta (13</w:t>
            </w:r>
            <w:r w:rsidR="00647835">
              <w:rPr>
                <w:vertAlign w:val="superscript"/>
              </w:rPr>
              <w:t>1</w:t>
            </w:r>
            <w:r w:rsidR="00647835">
              <w:t>) daļas 4.punkts)</w:t>
            </w:r>
            <w:r>
              <w:t xml:space="preserve">; </w:t>
            </w:r>
          </w:p>
          <w:p w14:paraId="0FB06DBE" w14:textId="55428F6E" w:rsidR="00801C99" w:rsidRDefault="00801C99" w:rsidP="00801C99">
            <w:pPr>
              <w:pStyle w:val="ListParagraph"/>
              <w:numPr>
                <w:ilvl w:val="0"/>
                <w:numId w:val="12"/>
              </w:numPr>
              <w:spacing w:line="240" w:lineRule="auto"/>
              <w:ind w:right="79"/>
            </w:pPr>
            <w:r>
              <w:t xml:space="preserve">Saeimas Budžeta un finanšu (nodokļu) komisijas </w:t>
            </w:r>
            <w:r w:rsidR="00154ACB">
              <w:t xml:space="preserve">(turpmāk - Saeimas Budžeta komisija) </w:t>
            </w:r>
            <w:r>
              <w:t xml:space="preserve">saskaņojums ir nepieciešams par tādu maksas pakalpojumu un citu pašu ieņēmumu atlikumu izmantošanu, kurus nevar atrisināt finanšu ministram noteiktā </w:t>
            </w:r>
            <w:r w:rsidR="00220137">
              <w:t>ierobežojuma</w:t>
            </w:r>
            <w:r>
              <w:t xml:space="preserve"> ietvaros. </w:t>
            </w:r>
            <w:r w:rsidR="00647835">
              <w:t>(9.panta četrpadsmitās daļas 1.punkts)</w:t>
            </w:r>
            <w:r w:rsidR="006710CE">
              <w:t>.</w:t>
            </w:r>
          </w:p>
          <w:p w14:paraId="24533B2E" w14:textId="1A1B4C72" w:rsidR="00801C99" w:rsidRDefault="006710CE" w:rsidP="000345B1">
            <w:pPr>
              <w:ind w:left="132" w:right="79"/>
              <w:jc w:val="both"/>
            </w:pPr>
            <w:r>
              <w:t>I</w:t>
            </w:r>
            <w:r w:rsidR="00801C99">
              <w:t>eguvumi</w:t>
            </w:r>
            <w:r>
              <w:t>, īstenojot iepriekš minēto pieeju</w:t>
            </w:r>
            <w:r w:rsidR="00801C99">
              <w:t>:</w:t>
            </w:r>
          </w:p>
          <w:p w14:paraId="1A325F2B" w14:textId="701C767F" w:rsidR="00801C99" w:rsidRDefault="00801C99" w:rsidP="00801C99">
            <w:pPr>
              <w:ind w:left="983" w:right="79" w:hanging="426"/>
              <w:jc w:val="both"/>
            </w:pPr>
            <w:r>
              <w:t>-</w:t>
            </w:r>
            <w:r>
              <w:tab/>
              <w:t xml:space="preserve">Saeimas Budžeta komisija </w:t>
            </w:r>
            <w:r w:rsidR="00334BCB">
              <w:t>turpmāk ne</w:t>
            </w:r>
            <w:r>
              <w:t xml:space="preserve">tiktu </w:t>
            </w:r>
            <w:r w:rsidR="00334BCB">
              <w:t>no</w:t>
            </w:r>
            <w:r>
              <w:t xml:space="preserve">slogota </w:t>
            </w:r>
            <w:r w:rsidR="00334BCB">
              <w:t>ar tādu jautājumu izskatīšanu</w:t>
            </w:r>
            <w:r w:rsidR="00220137">
              <w:t>, kuriem nav negatīva</w:t>
            </w:r>
            <w:r>
              <w:t xml:space="preserve">s fiskālās ietekmes (parasti tie ir iestāžu ieņēmumi un tiem atbilstošie izdevumi sadarbības projektos, kā arī faktiskas svārstības sniedzamajos maksas pakalpojumos), vai arī ir neliela fiskālā ietekme (kumulatīvi līdz 100 000 </w:t>
            </w:r>
            <w:r w:rsidRPr="009F4308">
              <w:rPr>
                <w:i/>
              </w:rPr>
              <w:t>euro</w:t>
            </w:r>
            <w:r>
              <w:t xml:space="preserve"> gadā vienā valsts budžeta programmā/apakšprogrammā). </w:t>
            </w:r>
            <w:r w:rsidRPr="00801C99">
              <w:t xml:space="preserve">Nozares ministrijas atbildība </w:t>
            </w:r>
            <w:r>
              <w:t>ir</w:t>
            </w:r>
            <w:r w:rsidRPr="00801C99">
              <w:t xml:space="preserve"> </w:t>
            </w:r>
            <w:r w:rsidR="00334BCB">
              <w:t>nodrošināt</w:t>
            </w:r>
            <w:r w:rsidRPr="00801C99">
              <w:t xml:space="preserve"> atlikumu izmantošanu tā, lai finansiāli nebūtiskas izmaiņas varētu veikt finanšu ministra līmenī programmai/apakšprogrammai atļautā </w:t>
            </w:r>
            <w:r>
              <w:t>gada limita ietvaros;</w:t>
            </w:r>
          </w:p>
          <w:p w14:paraId="1979B2D0" w14:textId="59782612" w:rsidR="00801C99" w:rsidRDefault="00801C99" w:rsidP="00801C99">
            <w:pPr>
              <w:ind w:left="983" w:right="79" w:hanging="426"/>
              <w:jc w:val="both"/>
            </w:pPr>
            <w:r>
              <w:t>-</w:t>
            </w:r>
            <w:r>
              <w:tab/>
              <w:t xml:space="preserve">Saeimas Budžeta komisija saglabātu kontroli pār atlikumu izmantošanu pasākumiem, kuru negatīvā fiskālā ietekme </w:t>
            </w:r>
            <w:r w:rsidR="00B37B05">
              <w:t xml:space="preserve">absolūtā vērtībā </w:t>
            </w:r>
            <w:r>
              <w:t xml:space="preserve">pārsniedz 100 000 </w:t>
            </w:r>
            <w:r w:rsidRPr="006710CE">
              <w:rPr>
                <w:i/>
              </w:rPr>
              <w:t>euro</w:t>
            </w:r>
            <w:r>
              <w:t xml:space="preserve"> vienā valsts budžeta programmā/apakšprogrammā. Tādējādi tiktu nodrošināta starptautiski atzīta labā prakse, ka likumdevējs lemj par būtiskām novirzēm no</w:t>
            </w:r>
            <w:r w:rsidR="006710CE">
              <w:t xml:space="preserve"> sākotnēji apstiprinātā budžeta;</w:t>
            </w:r>
          </w:p>
          <w:p w14:paraId="6CCDA642" w14:textId="1425FF5D" w:rsidR="00801C99" w:rsidRDefault="006710CE" w:rsidP="00801C99">
            <w:pPr>
              <w:ind w:left="983" w:right="79" w:hanging="426"/>
              <w:jc w:val="both"/>
            </w:pPr>
            <w:r>
              <w:t>-</w:t>
            </w:r>
            <w:r>
              <w:tab/>
              <w:t>v</w:t>
            </w:r>
            <w:r w:rsidR="00801C99">
              <w:t>alsts budžeta iestādēm mazinātos administratīvais slogs (nebūtu nepieciešams noslogot Saeimas Budžeta ko</w:t>
            </w:r>
            <w:r>
              <w:t>misiju ar saimnieciskām lietām);</w:t>
            </w:r>
          </w:p>
          <w:p w14:paraId="44268553" w14:textId="1A39A854" w:rsidR="00801C99" w:rsidRDefault="006710CE" w:rsidP="00801C99">
            <w:pPr>
              <w:ind w:left="983" w:right="79" w:hanging="426"/>
              <w:jc w:val="both"/>
            </w:pPr>
            <w:r>
              <w:t>-</w:t>
            </w:r>
            <w:r>
              <w:tab/>
              <w:t>v</w:t>
            </w:r>
            <w:r w:rsidR="00801C99">
              <w:t xml:space="preserve">alsts budžeta iestādēm rastos iespēja ātrāk saņemt savā budžetā un sākt lietot neplānotos ieņēmumus (parasti dažādos sadarbības projektos). Spēja ātri iesaistīties sadarbības projektā un elastīgi piesaistīt šim mērķim </w:t>
            </w:r>
            <w:r w:rsidR="00696871">
              <w:t>trešo pušu</w:t>
            </w:r>
            <w:r w:rsidR="00801C99">
              <w:t xml:space="preserve"> finansējumu ceļ valsts pārvaldes prestižu un kompetenci.</w:t>
            </w:r>
          </w:p>
          <w:p w14:paraId="558C4FEB" w14:textId="77777777" w:rsidR="00801C99" w:rsidRDefault="00801C99" w:rsidP="000345B1">
            <w:pPr>
              <w:ind w:left="132" w:right="79"/>
              <w:jc w:val="both"/>
            </w:pPr>
          </w:p>
          <w:p w14:paraId="04D939D0" w14:textId="3B41FAB4" w:rsidR="00B232AA" w:rsidRDefault="000345B1" w:rsidP="000345B1">
            <w:pPr>
              <w:ind w:left="132" w:right="79"/>
              <w:jc w:val="both"/>
            </w:pPr>
            <w:r>
              <w:lastRenderedPageBreak/>
              <w:t>Jāpiemin, ka šāds risinājums atbilst OECD un citām starptautiskajām rekomendācijām</w:t>
            </w:r>
            <w:r w:rsidR="006710CE">
              <w:t xml:space="preserve"> valsts </w:t>
            </w:r>
            <w:r>
              <w:t xml:space="preserve"> budžeta vadī</w:t>
            </w:r>
            <w:r w:rsidR="006710CE">
              <w:t>bas jomā. B</w:t>
            </w:r>
            <w:r>
              <w:t>udžeta izpildes laikā</w:t>
            </w:r>
            <w:r w:rsidR="006710CE">
              <w:t>,</w:t>
            </w:r>
            <w:r>
              <w:t xml:space="preserve"> veicot izmaiņas pret sākotnēji apstiprināto budžetu, likumdevēja </w:t>
            </w:r>
            <w:r w:rsidR="00334BCB">
              <w:t>iesaiste</w:t>
            </w:r>
            <w:r>
              <w:t xml:space="preserve"> ir nepieciešama tikai par būtiskām izmaiņām.</w:t>
            </w:r>
          </w:p>
          <w:p w14:paraId="61069FC8" w14:textId="77777777" w:rsidR="00F63200" w:rsidRDefault="00F63200" w:rsidP="000345B1">
            <w:pPr>
              <w:ind w:left="132" w:right="79"/>
              <w:jc w:val="both"/>
            </w:pPr>
          </w:p>
          <w:p w14:paraId="174C66EB" w14:textId="77777777" w:rsidR="008907FA" w:rsidRDefault="008907FA" w:rsidP="008907FA">
            <w:pPr>
              <w:ind w:left="132" w:right="79"/>
              <w:jc w:val="both"/>
            </w:pPr>
            <w:r w:rsidRPr="006710CE">
              <w:rPr>
                <w:i/>
              </w:rPr>
              <w:t>Piemērs</w:t>
            </w:r>
            <w:r>
              <w:rPr>
                <w:i/>
              </w:rPr>
              <w:t xml:space="preserve"> Nr.1</w:t>
            </w:r>
            <w:r>
              <w:t xml:space="preserve">: valsts budžeta apakšprogrammai ar gadskārtējā valsts budžeta likumā plānotajiem kopējiem izdevumiem 1 miljons </w:t>
            </w:r>
            <w:r w:rsidRPr="001607EF">
              <w:rPr>
                <w:i/>
              </w:rPr>
              <w:t>euro</w:t>
            </w:r>
            <w:r>
              <w:t xml:space="preserve"> apmērā (5% = 50 000), nozares ministrija lūdz izmantot atlikumus dažādiem pasākumiem zemāk atspoguļotajā tabulā:</w:t>
            </w:r>
          </w:p>
          <w:p w14:paraId="6914F1F4" w14:textId="77777777" w:rsidR="008907FA" w:rsidRDefault="008907FA" w:rsidP="008907FA">
            <w:pPr>
              <w:ind w:left="132" w:right="79"/>
              <w:jc w:val="both"/>
            </w:pPr>
          </w:p>
          <w:tbl>
            <w:tblPr>
              <w:tblStyle w:val="TableGrid"/>
              <w:tblW w:w="7782" w:type="dxa"/>
              <w:jc w:val="center"/>
              <w:tblLayout w:type="fixed"/>
              <w:tblLook w:val="04A0" w:firstRow="1" w:lastRow="0" w:firstColumn="1" w:lastColumn="0" w:noHBand="0" w:noVBand="1"/>
            </w:tblPr>
            <w:tblGrid>
              <w:gridCol w:w="562"/>
              <w:gridCol w:w="1550"/>
              <w:gridCol w:w="1417"/>
              <w:gridCol w:w="1418"/>
              <w:gridCol w:w="1417"/>
              <w:gridCol w:w="1418"/>
            </w:tblGrid>
            <w:tr w:rsidR="008907FA" w:rsidRPr="00A142C6" w14:paraId="72579739" w14:textId="77777777" w:rsidTr="00386FBE">
              <w:trPr>
                <w:jc w:val="center"/>
              </w:trPr>
              <w:tc>
                <w:tcPr>
                  <w:tcW w:w="562" w:type="dxa"/>
                  <w:vMerge w:val="restart"/>
                </w:tcPr>
                <w:p w14:paraId="6392FA66" w14:textId="77777777" w:rsidR="008907FA" w:rsidRPr="00A142C6" w:rsidRDefault="008907FA" w:rsidP="008907FA">
                  <w:pPr>
                    <w:ind w:right="79"/>
                    <w:jc w:val="both"/>
                    <w:rPr>
                      <w:sz w:val="20"/>
                      <w:szCs w:val="20"/>
                    </w:rPr>
                  </w:pPr>
                  <w:r w:rsidRPr="00A142C6">
                    <w:rPr>
                      <w:sz w:val="20"/>
                      <w:szCs w:val="20"/>
                    </w:rPr>
                    <w:t>Nr.</w:t>
                  </w:r>
                </w:p>
              </w:tc>
              <w:tc>
                <w:tcPr>
                  <w:tcW w:w="1550" w:type="dxa"/>
                  <w:vMerge w:val="restart"/>
                </w:tcPr>
                <w:p w14:paraId="189D1651" w14:textId="77777777" w:rsidR="008907FA" w:rsidRPr="00A142C6" w:rsidRDefault="008907FA" w:rsidP="008907FA">
                  <w:pPr>
                    <w:ind w:right="79"/>
                    <w:jc w:val="center"/>
                    <w:rPr>
                      <w:sz w:val="20"/>
                      <w:szCs w:val="20"/>
                    </w:rPr>
                  </w:pPr>
                  <w:r>
                    <w:rPr>
                      <w:sz w:val="20"/>
                      <w:szCs w:val="20"/>
                    </w:rPr>
                    <w:t>Izmantojamā atlikuma summa vienā reizē</w:t>
                  </w:r>
                </w:p>
              </w:tc>
              <w:tc>
                <w:tcPr>
                  <w:tcW w:w="1417" w:type="dxa"/>
                  <w:vMerge w:val="restart"/>
                </w:tcPr>
                <w:p w14:paraId="5D6DCD2F" w14:textId="77777777" w:rsidR="008907FA" w:rsidRPr="00A142C6" w:rsidRDefault="008907FA" w:rsidP="008907FA">
                  <w:pPr>
                    <w:ind w:right="79"/>
                    <w:jc w:val="center"/>
                    <w:rPr>
                      <w:sz w:val="20"/>
                      <w:szCs w:val="20"/>
                    </w:rPr>
                  </w:pPr>
                  <w:r>
                    <w:rPr>
                      <w:sz w:val="20"/>
                      <w:szCs w:val="20"/>
                    </w:rPr>
                    <w:t>Ar finanšu ministra rīkojumu ieceltie atlikumi no gada sākuma</w:t>
                  </w:r>
                </w:p>
              </w:tc>
              <w:tc>
                <w:tcPr>
                  <w:tcW w:w="2835" w:type="dxa"/>
                  <w:gridSpan w:val="2"/>
                </w:tcPr>
                <w:p w14:paraId="586560E9" w14:textId="77777777" w:rsidR="008907FA" w:rsidRPr="00A142C6" w:rsidRDefault="008907FA" w:rsidP="008907FA">
                  <w:pPr>
                    <w:ind w:right="79"/>
                    <w:jc w:val="center"/>
                    <w:rPr>
                      <w:sz w:val="20"/>
                      <w:szCs w:val="20"/>
                    </w:rPr>
                  </w:pPr>
                  <w:r>
                    <w:rPr>
                      <w:sz w:val="20"/>
                      <w:szCs w:val="20"/>
                    </w:rPr>
                    <w:t xml:space="preserve">Vai atbilst nosacījumam, ka ar </w:t>
                  </w:r>
                  <w:r w:rsidRPr="00175D70">
                    <w:rPr>
                      <w:sz w:val="20"/>
                      <w:szCs w:val="20"/>
                    </w:rPr>
                    <w:t xml:space="preserve">finanšu ministra rīkojumu </w:t>
                  </w:r>
                  <w:r>
                    <w:rPr>
                      <w:sz w:val="20"/>
                      <w:szCs w:val="20"/>
                    </w:rPr>
                    <w:t>iecelto</w:t>
                  </w:r>
                  <w:r w:rsidRPr="00175D70">
                    <w:rPr>
                      <w:sz w:val="20"/>
                      <w:szCs w:val="20"/>
                    </w:rPr>
                    <w:t xml:space="preserve"> atlikumu kopsumma </w:t>
                  </w:r>
                  <w:r>
                    <w:rPr>
                      <w:sz w:val="20"/>
                      <w:szCs w:val="20"/>
                    </w:rPr>
                    <w:t>no gada sākuma</w:t>
                  </w:r>
                  <w:r w:rsidRPr="00175D70">
                    <w:rPr>
                      <w:sz w:val="20"/>
                      <w:szCs w:val="20"/>
                    </w:rPr>
                    <w:t xml:space="preserve"> </w:t>
                  </w:r>
                  <w:r>
                    <w:rPr>
                      <w:sz w:val="20"/>
                      <w:szCs w:val="20"/>
                    </w:rPr>
                    <w:t>nepārsniegs</w:t>
                  </w:r>
                  <w:r w:rsidRPr="00175D70">
                    <w:rPr>
                      <w:sz w:val="20"/>
                      <w:szCs w:val="20"/>
                    </w:rPr>
                    <w:t>:</w:t>
                  </w:r>
                </w:p>
              </w:tc>
              <w:tc>
                <w:tcPr>
                  <w:tcW w:w="1418" w:type="dxa"/>
                  <w:vMerge w:val="restart"/>
                </w:tcPr>
                <w:p w14:paraId="4443A682" w14:textId="77777777" w:rsidR="008907FA" w:rsidRPr="00A142C6" w:rsidRDefault="008907FA" w:rsidP="008907FA">
                  <w:pPr>
                    <w:ind w:right="79"/>
                    <w:jc w:val="center"/>
                    <w:rPr>
                      <w:sz w:val="20"/>
                      <w:szCs w:val="20"/>
                    </w:rPr>
                  </w:pPr>
                  <w:r>
                    <w:rPr>
                      <w:sz w:val="20"/>
                      <w:szCs w:val="20"/>
                    </w:rPr>
                    <w:t>Lēmumu par atlikuma izmantošanu pieņem:</w:t>
                  </w:r>
                </w:p>
              </w:tc>
            </w:tr>
            <w:tr w:rsidR="008907FA" w:rsidRPr="00A142C6" w14:paraId="344612F3" w14:textId="77777777" w:rsidTr="00386FBE">
              <w:trPr>
                <w:jc w:val="center"/>
              </w:trPr>
              <w:tc>
                <w:tcPr>
                  <w:tcW w:w="562" w:type="dxa"/>
                  <w:vMerge/>
                </w:tcPr>
                <w:p w14:paraId="25516948" w14:textId="77777777" w:rsidR="008907FA" w:rsidRPr="00A142C6" w:rsidRDefault="008907FA" w:rsidP="008907FA">
                  <w:pPr>
                    <w:ind w:right="79"/>
                    <w:jc w:val="both"/>
                    <w:rPr>
                      <w:sz w:val="20"/>
                      <w:szCs w:val="20"/>
                    </w:rPr>
                  </w:pPr>
                </w:p>
              </w:tc>
              <w:tc>
                <w:tcPr>
                  <w:tcW w:w="1550" w:type="dxa"/>
                  <w:vMerge/>
                </w:tcPr>
                <w:p w14:paraId="3F40C77F" w14:textId="77777777" w:rsidR="008907FA" w:rsidRDefault="008907FA" w:rsidP="008907FA">
                  <w:pPr>
                    <w:ind w:right="79"/>
                    <w:jc w:val="center"/>
                    <w:rPr>
                      <w:sz w:val="20"/>
                      <w:szCs w:val="20"/>
                    </w:rPr>
                  </w:pPr>
                </w:p>
              </w:tc>
              <w:tc>
                <w:tcPr>
                  <w:tcW w:w="1417" w:type="dxa"/>
                  <w:vMerge/>
                </w:tcPr>
                <w:p w14:paraId="333232E5" w14:textId="77777777" w:rsidR="008907FA" w:rsidRDefault="008907FA" w:rsidP="008907FA">
                  <w:pPr>
                    <w:ind w:right="79"/>
                    <w:jc w:val="center"/>
                    <w:rPr>
                      <w:sz w:val="20"/>
                      <w:szCs w:val="20"/>
                    </w:rPr>
                  </w:pPr>
                </w:p>
              </w:tc>
              <w:tc>
                <w:tcPr>
                  <w:tcW w:w="1418" w:type="dxa"/>
                </w:tcPr>
                <w:p w14:paraId="27D75A47" w14:textId="77777777" w:rsidR="008907FA" w:rsidRPr="00A142C6" w:rsidRDefault="008907FA" w:rsidP="008907FA">
                  <w:pPr>
                    <w:ind w:right="79"/>
                    <w:jc w:val="center"/>
                    <w:rPr>
                      <w:sz w:val="20"/>
                      <w:szCs w:val="20"/>
                    </w:rPr>
                  </w:pPr>
                  <w:r>
                    <w:rPr>
                      <w:sz w:val="20"/>
                      <w:szCs w:val="20"/>
                    </w:rPr>
                    <w:t>5%</w:t>
                  </w:r>
                </w:p>
              </w:tc>
              <w:tc>
                <w:tcPr>
                  <w:tcW w:w="1417" w:type="dxa"/>
                </w:tcPr>
                <w:p w14:paraId="0BAF1C87" w14:textId="77777777" w:rsidR="008907FA" w:rsidRPr="00A142C6" w:rsidRDefault="008907FA" w:rsidP="008907FA">
                  <w:pPr>
                    <w:ind w:right="79"/>
                    <w:jc w:val="center"/>
                    <w:rPr>
                      <w:sz w:val="20"/>
                      <w:szCs w:val="20"/>
                    </w:rPr>
                  </w:pPr>
                  <w:r>
                    <w:rPr>
                      <w:sz w:val="20"/>
                      <w:szCs w:val="20"/>
                    </w:rPr>
                    <w:t>100 000</w:t>
                  </w:r>
                </w:p>
              </w:tc>
              <w:tc>
                <w:tcPr>
                  <w:tcW w:w="1418" w:type="dxa"/>
                  <w:vMerge/>
                </w:tcPr>
                <w:p w14:paraId="57E62C80" w14:textId="77777777" w:rsidR="008907FA" w:rsidRPr="00A142C6" w:rsidRDefault="008907FA" w:rsidP="008907FA">
                  <w:pPr>
                    <w:ind w:right="79"/>
                    <w:jc w:val="center"/>
                    <w:rPr>
                      <w:sz w:val="20"/>
                      <w:szCs w:val="20"/>
                    </w:rPr>
                  </w:pPr>
                </w:p>
              </w:tc>
            </w:tr>
            <w:tr w:rsidR="008907FA" w:rsidRPr="00A142C6" w14:paraId="6E8B62D1" w14:textId="77777777" w:rsidTr="00386FBE">
              <w:trPr>
                <w:jc w:val="center"/>
              </w:trPr>
              <w:tc>
                <w:tcPr>
                  <w:tcW w:w="562" w:type="dxa"/>
                </w:tcPr>
                <w:p w14:paraId="7F51D60E" w14:textId="77777777" w:rsidR="008907FA" w:rsidRPr="00A142C6" w:rsidRDefault="008907FA" w:rsidP="008907FA">
                  <w:pPr>
                    <w:ind w:right="79"/>
                    <w:jc w:val="both"/>
                    <w:rPr>
                      <w:sz w:val="20"/>
                      <w:szCs w:val="20"/>
                    </w:rPr>
                  </w:pPr>
                  <w:r>
                    <w:rPr>
                      <w:sz w:val="20"/>
                      <w:szCs w:val="20"/>
                    </w:rPr>
                    <w:t>1.</w:t>
                  </w:r>
                </w:p>
              </w:tc>
              <w:tc>
                <w:tcPr>
                  <w:tcW w:w="1550" w:type="dxa"/>
                  <w:vAlign w:val="center"/>
                </w:tcPr>
                <w:p w14:paraId="018DD8DE" w14:textId="77777777" w:rsidR="008907FA" w:rsidRPr="00A142C6" w:rsidRDefault="008907FA" w:rsidP="008907FA">
                  <w:pPr>
                    <w:ind w:right="79"/>
                    <w:jc w:val="center"/>
                    <w:rPr>
                      <w:sz w:val="20"/>
                      <w:szCs w:val="20"/>
                    </w:rPr>
                  </w:pPr>
                  <w:r>
                    <w:rPr>
                      <w:sz w:val="20"/>
                      <w:szCs w:val="20"/>
                    </w:rPr>
                    <w:t>5 000</w:t>
                  </w:r>
                </w:p>
              </w:tc>
              <w:tc>
                <w:tcPr>
                  <w:tcW w:w="1417" w:type="dxa"/>
                  <w:vAlign w:val="center"/>
                </w:tcPr>
                <w:p w14:paraId="39C560D7" w14:textId="77777777" w:rsidR="008907FA" w:rsidRPr="00A142C6" w:rsidRDefault="008907FA" w:rsidP="008907FA">
                  <w:pPr>
                    <w:ind w:right="79"/>
                    <w:jc w:val="center"/>
                    <w:rPr>
                      <w:sz w:val="20"/>
                      <w:szCs w:val="20"/>
                    </w:rPr>
                  </w:pPr>
                  <w:r>
                    <w:rPr>
                      <w:sz w:val="20"/>
                      <w:szCs w:val="20"/>
                    </w:rPr>
                    <w:t>0</w:t>
                  </w:r>
                </w:p>
              </w:tc>
              <w:tc>
                <w:tcPr>
                  <w:tcW w:w="1418" w:type="dxa"/>
                  <w:vAlign w:val="center"/>
                </w:tcPr>
                <w:p w14:paraId="6420E7AE" w14:textId="77777777" w:rsidR="008907FA" w:rsidRPr="00A142C6" w:rsidRDefault="008907FA" w:rsidP="008907FA">
                  <w:pPr>
                    <w:ind w:right="79"/>
                    <w:jc w:val="center"/>
                    <w:rPr>
                      <w:sz w:val="20"/>
                      <w:szCs w:val="20"/>
                    </w:rPr>
                  </w:pPr>
                  <w:r>
                    <w:rPr>
                      <w:sz w:val="20"/>
                      <w:szCs w:val="20"/>
                    </w:rPr>
                    <w:t>jā</w:t>
                  </w:r>
                </w:p>
              </w:tc>
              <w:tc>
                <w:tcPr>
                  <w:tcW w:w="1417" w:type="dxa"/>
                  <w:vAlign w:val="center"/>
                </w:tcPr>
                <w:p w14:paraId="5D64DFC4" w14:textId="77777777" w:rsidR="008907FA" w:rsidRPr="00A142C6" w:rsidRDefault="008907FA" w:rsidP="008907FA">
                  <w:pPr>
                    <w:ind w:right="79"/>
                    <w:jc w:val="center"/>
                    <w:rPr>
                      <w:sz w:val="20"/>
                      <w:szCs w:val="20"/>
                    </w:rPr>
                  </w:pPr>
                  <w:r>
                    <w:rPr>
                      <w:sz w:val="20"/>
                      <w:szCs w:val="20"/>
                    </w:rPr>
                    <w:t>jā</w:t>
                  </w:r>
                </w:p>
              </w:tc>
              <w:tc>
                <w:tcPr>
                  <w:tcW w:w="1418" w:type="dxa"/>
                  <w:vAlign w:val="center"/>
                </w:tcPr>
                <w:p w14:paraId="01E94F14" w14:textId="77777777" w:rsidR="008907FA" w:rsidRPr="00A142C6" w:rsidRDefault="008907FA" w:rsidP="008907FA">
                  <w:pPr>
                    <w:ind w:right="79"/>
                    <w:jc w:val="center"/>
                    <w:rPr>
                      <w:sz w:val="20"/>
                      <w:szCs w:val="20"/>
                    </w:rPr>
                  </w:pPr>
                  <w:r>
                    <w:rPr>
                      <w:sz w:val="20"/>
                      <w:szCs w:val="20"/>
                    </w:rPr>
                    <w:t>Finanšu ministrs</w:t>
                  </w:r>
                </w:p>
              </w:tc>
            </w:tr>
            <w:tr w:rsidR="008907FA" w:rsidRPr="00A142C6" w14:paraId="26A4E3A4" w14:textId="77777777" w:rsidTr="00386FBE">
              <w:trPr>
                <w:jc w:val="center"/>
              </w:trPr>
              <w:tc>
                <w:tcPr>
                  <w:tcW w:w="562" w:type="dxa"/>
                </w:tcPr>
                <w:p w14:paraId="745AE0BD" w14:textId="77777777" w:rsidR="008907FA" w:rsidRPr="00A142C6" w:rsidRDefault="008907FA" w:rsidP="008907FA">
                  <w:pPr>
                    <w:ind w:right="79"/>
                    <w:jc w:val="both"/>
                    <w:rPr>
                      <w:sz w:val="20"/>
                      <w:szCs w:val="20"/>
                    </w:rPr>
                  </w:pPr>
                  <w:r>
                    <w:rPr>
                      <w:sz w:val="20"/>
                      <w:szCs w:val="20"/>
                    </w:rPr>
                    <w:t>2.</w:t>
                  </w:r>
                </w:p>
              </w:tc>
              <w:tc>
                <w:tcPr>
                  <w:tcW w:w="1550" w:type="dxa"/>
                  <w:vAlign w:val="center"/>
                </w:tcPr>
                <w:p w14:paraId="5D6CAA52" w14:textId="77777777" w:rsidR="008907FA" w:rsidRPr="00A142C6" w:rsidRDefault="008907FA" w:rsidP="008907FA">
                  <w:pPr>
                    <w:ind w:right="79"/>
                    <w:jc w:val="center"/>
                    <w:rPr>
                      <w:sz w:val="20"/>
                      <w:szCs w:val="20"/>
                    </w:rPr>
                  </w:pPr>
                  <w:r>
                    <w:rPr>
                      <w:sz w:val="20"/>
                      <w:szCs w:val="20"/>
                    </w:rPr>
                    <w:t>15 000</w:t>
                  </w:r>
                </w:p>
              </w:tc>
              <w:tc>
                <w:tcPr>
                  <w:tcW w:w="1417" w:type="dxa"/>
                  <w:vAlign w:val="center"/>
                </w:tcPr>
                <w:p w14:paraId="2CCEE8C7" w14:textId="77777777" w:rsidR="008907FA" w:rsidRPr="00A142C6" w:rsidRDefault="008907FA" w:rsidP="008907FA">
                  <w:pPr>
                    <w:ind w:right="79"/>
                    <w:jc w:val="center"/>
                    <w:rPr>
                      <w:sz w:val="20"/>
                      <w:szCs w:val="20"/>
                    </w:rPr>
                  </w:pPr>
                  <w:r>
                    <w:rPr>
                      <w:sz w:val="20"/>
                      <w:szCs w:val="20"/>
                    </w:rPr>
                    <w:t>5 000</w:t>
                  </w:r>
                </w:p>
              </w:tc>
              <w:tc>
                <w:tcPr>
                  <w:tcW w:w="1418" w:type="dxa"/>
                  <w:vAlign w:val="center"/>
                </w:tcPr>
                <w:p w14:paraId="18C4DDBB" w14:textId="77777777" w:rsidR="008907FA" w:rsidRPr="00A142C6" w:rsidRDefault="008907FA" w:rsidP="008907FA">
                  <w:pPr>
                    <w:ind w:right="79"/>
                    <w:jc w:val="center"/>
                    <w:rPr>
                      <w:sz w:val="20"/>
                      <w:szCs w:val="20"/>
                    </w:rPr>
                  </w:pPr>
                  <w:r>
                    <w:rPr>
                      <w:sz w:val="20"/>
                      <w:szCs w:val="20"/>
                    </w:rPr>
                    <w:t>jā</w:t>
                  </w:r>
                </w:p>
              </w:tc>
              <w:tc>
                <w:tcPr>
                  <w:tcW w:w="1417" w:type="dxa"/>
                  <w:vAlign w:val="center"/>
                </w:tcPr>
                <w:p w14:paraId="537B14B1" w14:textId="77777777" w:rsidR="008907FA" w:rsidRPr="00A142C6" w:rsidRDefault="008907FA" w:rsidP="008907FA">
                  <w:pPr>
                    <w:ind w:right="79"/>
                    <w:jc w:val="center"/>
                    <w:rPr>
                      <w:sz w:val="20"/>
                      <w:szCs w:val="20"/>
                    </w:rPr>
                  </w:pPr>
                  <w:r>
                    <w:rPr>
                      <w:sz w:val="20"/>
                      <w:szCs w:val="20"/>
                    </w:rPr>
                    <w:t>jā</w:t>
                  </w:r>
                </w:p>
              </w:tc>
              <w:tc>
                <w:tcPr>
                  <w:tcW w:w="1418" w:type="dxa"/>
                  <w:vAlign w:val="center"/>
                </w:tcPr>
                <w:p w14:paraId="33D5A843" w14:textId="77777777" w:rsidR="008907FA" w:rsidRPr="00A142C6" w:rsidRDefault="008907FA" w:rsidP="008907FA">
                  <w:pPr>
                    <w:ind w:right="79"/>
                    <w:jc w:val="center"/>
                    <w:rPr>
                      <w:sz w:val="20"/>
                      <w:szCs w:val="20"/>
                    </w:rPr>
                  </w:pPr>
                  <w:r>
                    <w:rPr>
                      <w:sz w:val="20"/>
                      <w:szCs w:val="20"/>
                    </w:rPr>
                    <w:t>Finanšu ministrs</w:t>
                  </w:r>
                </w:p>
              </w:tc>
            </w:tr>
            <w:tr w:rsidR="008907FA" w:rsidRPr="00A142C6" w14:paraId="78F769D0" w14:textId="77777777" w:rsidTr="00386FBE">
              <w:trPr>
                <w:jc w:val="center"/>
              </w:trPr>
              <w:tc>
                <w:tcPr>
                  <w:tcW w:w="562" w:type="dxa"/>
                </w:tcPr>
                <w:p w14:paraId="1EBDC121" w14:textId="77777777" w:rsidR="008907FA" w:rsidRPr="00A142C6" w:rsidRDefault="008907FA" w:rsidP="008907FA">
                  <w:pPr>
                    <w:ind w:right="79"/>
                    <w:jc w:val="both"/>
                    <w:rPr>
                      <w:sz w:val="20"/>
                      <w:szCs w:val="20"/>
                    </w:rPr>
                  </w:pPr>
                  <w:r>
                    <w:rPr>
                      <w:sz w:val="20"/>
                      <w:szCs w:val="20"/>
                    </w:rPr>
                    <w:t>3.</w:t>
                  </w:r>
                </w:p>
              </w:tc>
              <w:tc>
                <w:tcPr>
                  <w:tcW w:w="1550" w:type="dxa"/>
                  <w:vAlign w:val="center"/>
                </w:tcPr>
                <w:p w14:paraId="70A6CB74" w14:textId="77777777" w:rsidR="008907FA" w:rsidRPr="00A142C6" w:rsidRDefault="008907FA" w:rsidP="008907FA">
                  <w:pPr>
                    <w:ind w:right="79"/>
                    <w:jc w:val="center"/>
                    <w:rPr>
                      <w:sz w:val="20"/>
                      <w:szCs w:val="20"/>
                    </w:rPr>
                  </w:pPr>
                  <w:r>
                    <w:rPr>
                      <w:sz w:val="20"/>
                      <w:szCs w:val="20"/>
                    </w:rPr>
                    <w:t>25 000</w:t>
                  </w:r>
                </w:p>
              </w:tc>
              <w:tc>
                <w:tcPr>
                  <w:tcW w:w="1417" w:type="dxa"/>
                  <w:vAlign w:val="center"/>
                </w:tcPr>
                <w:p w14:paraId="49D81162" w14:textId="77777777" w:rsidR="008907FA" w:rsidRPr="00A142C6" w:rsidRDefault="008907FA" w:rsidP="008907FA">
                  <w:pPr>
                    <w:ind w:right="79"/>
                    <w:jc w:val="center"/>
                    <w:rPr>
                      <w:sz w:val="20"/>
                      <w:szCs w:val="20"/>
                    </w:rPr>
                  </w:pPr>
                  <w:r>
                    <w:rPr>
                      <w:sz w:val="20"/>
                      <w:szCs w:val="20"/>
                    </w:rPr>
                    <w:t>20 000</w:t>
                  </w:r>
                </w:p>
              </w:tc>
              <w:tc>
                <w:tcPr>
                  <w:tcW w:w="1418" w:type="dxa"/>
                  <w:vAlign w:val="center"/>
                </w:tcPr>
                <w:p w14:paraId="011FBA57" w14:textId="77777777" w:rsidR="008907FA" w:rsidRPr="00A142C6" w:rsidRDefault="008907FA" w:rsidP="008907FA">
                  <w:pPr>
                    <w:ind w:right="79"/>
                    <w:jc w:val="center"/>
                    <w:rPr>
                      <w:sz w:val="20"/>
                      <w:szCs w:val="20"/>
                    </w:rPr>
                  </w:pPr>
                  <w:r>
                    <w:rPr>
                      <w:sz w:val="20"/>
                      <w:szCs w:val="20"/>
                    </w:rPr>
                    <w:t>jā</w:t>
                  </w:r>
                </w:p>
              </w:tc>
              <w:tc>
                <w:tcPr>
                  <w:tcW w:w="1417" w:type="dxa"/>
                  <w:vAlign w:val="center"/>
                </w:tcPr>
                <w:p w14:paraId="393C5800" w14:textId="77777777" w:rsidR="008907FA" w:rsidRPr="00A142C6" w:rsidRDefault="008907FA" w:rsidP="008907FA">
                  <w:pPr>
                    <w:ind w:right="79"/>
                    <w:jc w:val="center"/>
                    <w:rPr>
                      <w:sz w:val="20"/>
                      <w:szCs w:val="20"/>
                    </w:rPr>
                  </w:pPr>
                  <w:r>
                    <w:rPr>
                      <w:sz w:val="20"/>
                      <w:szCs w:val="20"/>
                    </w:rPr>
                    <w:t>jā</w:t>
                  </w:r>
                </w:p>
              </w:tc>
              <w:tc>
                <w:tcPr>
                  <w:tcW w:w="1418" w:type="dxa"/>
                  <w:vAlign w:val="center"/>
                </w:tcPr>
                <w:p w14:paraId="5B08BAE9" w14:textId="77777777" w:rsidR="008907FA" w:rsidRPr="00A142C6" w:rsidRDefault="008907FA" w:rsidP="008907FA">
                  <w:pPr>
                    <w:ind w:right="79"/>
                    <w:jc w:val="center"/>
                    <w:rPr>
                      <w:sz w:val="20"/>
                      <w:szCs w:val="20"/>
                    </w:rPr>
                  </w:pPr>
                  <w:r>
                    <w:rPr>
                      <w:sz w:val="20"/>
                      <w:szCs w:val="20"/>
                    </w:rPr>
                    <w:t>Finanšu ministrs</w:t>
                  </w:r>
                </w:p>
              </w:tc>
            </w:tr>
            <w:tr w:rsidR="008907FA" w:rsidRPr="00A142C6" w14:paraId="0E863AC0" w14:textId="77777777" w:rsidTr="00386FBE">
              <w:trPr>
                <w:jc w:val="center"/>
              </w:trPr>
              <w:tc>
                <w:tcPr>
                  <w:tcW w:w="562" w:type="dxa"/>
                </w:tcPr>
                <w:p w14:paraId="46A3435A" w14:textId="77777777" w:rsidR="008907FA" w:rsidRPr="00A142C6" w:rsidRDefault="008907FA" w:rsidP="008907FA">
                  <w:pPr>
                    <w:ind w:right="79"/>
                    <w:jc w:val="both"/>
                    <w:rPr>
                      <w:sz w:val="20"/>
                      <w:szCs w:val="20"/>
                    </w:rPr>
                  </w:pPr>
                  <w:r>
                    <w:rPr>
                      <w:sz w:val="20"/>
                      <w:szCs w:val="20"/>
                    </w:rPr>
                    <w:t>4.</w:t>
                  </w:r>
                </w:p>
              </w:tc>
              <w:tc>
                <w:tcPr>
                  <w:tcW w:w="1550" w:type="dxa"/>
                  <w:vAlign w:val="center"/>
                </w:tcPr>
                <w:p w14:paraId="005BB807" w14:textId="77777777" w:rsidR="008907FA" w:rsidRPr="00A142C6" w:rsidRDefault="008907FA" w:rsidP="008907FA">
                  <w:pPr>
                    <w:ind w:right="79"/>
                    <w:jc w:val="center"/>
                    <w:rPr>
                      <w:sz w:val="20"/>
                      <w:szCs w:val="20"/>
                    </w:rPr>
                  </w:pPr>
                  <w:r>
                    <w:rPr>
                      <w:sz w:val="20"/>
                      <w:szCs w:val="20"/>
                    </w:rPr>
                    <w:t>5 000</w:t>
                  </w:r>
                </w:p>
              </w:tc>
              <w:tc>
                <w:tcPr>
                  <w:tcW w:w="1417" w:type="dxa"/>
                  <w:vAlign w:val="center"/>
                </w:tcPr>
                <w:p w14:paraId="59AFA056" w14:textId="77777777" w:rsidR="008907FA" w:rsidRPr="00A142C6" w:rsidRDefault="008907FA" w:rsidP="008907FA">
                  <w:pPr>
                    <w:ind w:right="79"/>
                    <w:jc w:val="center"/>
                    <w:rPr>
                      <w:sz w:val="20"/>
                      <w:szCs w:val="20"/>
                    </w:rPr>
                  </w:pPr>
                  <w:r>
                    <w:rPr>
                      <w:sz w:val="20"/>
                      <w:szCs w:val="20"/>
                    </w:rPr>
                    <w:t>45 000</w:t>
                  </w:r>
                </w:p>
              </w:tc>
              <w:tc>
                <w:tcPr>
                  <w:tcW w:w="1418" w:type="dxa"/>
                  <w:vAlign w:val="center"/>
                </w:tcPr>
                <w:p w14:paraId="41A6DB22" w14:textId="77777777" w:rsidR="008907FA" w:rsidRPr="00A142C6" w:rsidRDefault="008907FA" w:rsidP="008907FA">
                  <w:pPr>
                    <w:ind w:right="79"/>
                    <w:jc w:val="center"/>
                    <w:rPr>
                      <w:sz w:val="20"/>
                      <w:szCs w:val="20"/>
                    </w:rPr>
                  </w:pPr>
                  <w:r>
                    <w:rPr>
                      <w:sz w:val="20"/>
                      <w:szCs w:val="20"/>
                    </w:rPr>
                    <w:t>jā</w:t>
                  </w:r>
                </w:p>
              </w:tc>
              <w:tc>
                <w:tcPr>
                  <w:tcW w:w="1417" w:type="dxa"/>
                  <w:vAlign w:val="center"/>
                </w:tcPr>
                <w:p w14:paraId="3931920D" w14:textId="77777777" w:rsidR="008907FA" w:rsidRPr="00A142C6" w:rsidRDefault="008907FA" w:rsidP="008907FA">
                  <w:pPr>
                    <w:ind w:right="79"/>
                    <w:jc w:val="center"/>
                    <w:rPr>
                      <w:sz w:val="20"/>
                      <w:szCs w:val="20"/>
                    </w:rPr>
                  </w:pPr>
                  <w:r>
                    <w:rPr>
                      <w:sz w:val="20"/>
                      <w:szCs w:val="20"/>
                    </w:rPr>
                    <w:t>jā</w:t>
                  </w:r>
                </w:p>
              </w:tc>
              <w:tc>
                <w:tcPr>
                  <w:tcW w:w="1418" w:type="dxa"/>
                  <w:vAlign w:val="center"/>
                </w:tcPr>
                <w:p w14:paraId="3DBCC960" w14:textId="77777777" w:rsidR="008907FA" w:rsidRPr="00A142C6" w:rsidRDefault="008907FA" w:rsidP="008907FA">
                  <w:pPr>
                    <w:ind w:right="79"/>
                    <w:jc w:val="center"/>
                    <w:rPr>
                      <w:sz w:val="20"/>
                      <w:szCs w:val="20"/>
                    </w:rPr>
                  </w:pPr>
                  <w:r>
                    <w:rPr>
                      <w:sz w:val="20"/>
                      <w:szCs w:val="20"/>
                    </w:rPr>
                    <w:t>Finanšu ministrs</w:t>
                  </w:r>
                </w:p>
              </w:tc>
            </w:tr>
            <w:tr w:rsidR="008907FA" w:rsidRPr="00A142C6" w14:paraId="525258C8" w14:textId="77777777" w:rsidTr="00386FBE">
              <w:trPr>
                <w:jc w:val="center"/>
              </w:trPr>
              <w:tc>
                <w:tcPr>
                  <w:tcW w:w="2112" w:type="dxa"/>
                  <w:gridSpan w:val="2"/>
                </w:tcPr>
                <w:p w14:paraId="4E88872E" w14:textId="77777777" w:rsidR="008907FA" w:rsidRDefault="008907FA" w:rsidP="008907FA">
                  <w:pPr>
                    <w:ind w:right="79"/>
                    <w:jc w:val="center"/>
                    <w:rPr>
                      <w:sz w:val="20"/>
                      <w:szCs w:val="20"/>
                    </w:rPr>
                  </w:pPr>
                </w:p>
              </w:tc>
              <w:tc>
                <w:tcPr>
                  <w:tcW w:w="1417" w:type="dxa"/>
                  <w:vAlign w:val="center"/>
                </w:tcPr>
                <w:p w14:paraId="66B6C8B9" w14:textId="77777777" w:rsidR="008907FA" w:rsidRPr="006710CE" w:rsidRDefault="008907FA" w:rsidP="008907FA">
                  <w:pPr>
                    <w:ind w:right="79"/>
                    <w:jc w:val="center"/>
                    <w:rPr>
                      <w:b/>
                      <w:sz w:val="20"/>
                      <w:szCs w:val="20"/>
                    </w:rPr>
                  </w:pPr>
                  <w:r w:rsidRPr="006710CE">
                    <w:rPr>
                      <w:b/>
                      <w:sz w:val="20"/>
                      <w:szCs w:val="20"/>
                    </w:rPr>
                    <w:t>50 000</w:t>
                  </w:r>
                </w:p>
              </w:tc>
              <w:tc>
                <w:tcPr>
                  <w:tcW w:w="4253" w:type="dxa"/>
                  <w:gridSpan w:val="3"/>
                  <w:vAlign w:val="center"/>
                </w:tcPr>
                <w:p w14:paraId="0D3F5952" w14:textId="77777777" w:rsidR="008907FA" w:rsidRDefault="008907FA" w:rsidP="008907FA">
                  <w:pPr>
                    <w:ind w:right="79"/>
                    <w:jc w:val="center"/>
                    <w:rPr>
                      <w:sz w:val="20"/>
                      <w:szCs w:val="20"/>
                    </w:rPr>
                  </w:pPr>
                </w:p>
              </w:tc>
            </w:tr>
            <w:tr w:rsidR="008907FA" w:rsidRPr="00A142C6" w14:paraId="0DB9BD3E" w14:textId="77777777" w:rsidTr="00386FBE">
              <w:trPr>
                <w:jc w:val="center"/>
              </w:trPr>
              <w:tc>
                <w:tcPr>
                  <w:tcW w:w="562" w:type="dxa"/>
                </w:tcPr>
                <w:p w14:paraId="3C24E120" w14:textId="77777777" w:rsidR="008907FA" w:rsidRDefault="008907FA" w:rsidP="008907FA">
                  <w:pPr>
                    <w:ind w:right="79"/>
                    <w:jc w:val="both"/>
                    <w:rPr>
                      <w:sz w:val="20"/>
                      <w:szCs w:val="20"/>
                    </w:rPr>
                  </w:pPr>
                  <w:r>
                    <w:rPr>
                      <w:sz w:val="20"/>
                      <w:szCs w:val="20"/>
                    </w:rPr>
                    <w:t>5.</w:t>
                  </w:r>
                </w:p>
              </w:tc>
              <w:tc>
                <w:tcPr>
                  <w:tcW w:w="1550" w:type="dxa"/>
                  <w:vAlign w:val="center"/>
                </w:tcPr>
                <w:p w14:paraId="6DDD54C0" w14:textId="3EC4A229" w:rsidR="008907FA" w:rsidRDefault="008907FA" w:rsidP="008907FA">
                  <w:pPr>
                    <w:ind w:right="79"/>
                    <w:jc w:val="center"/>
                    <w:rPr>
                      <w:sz w:val="20"/>
                      <w:szCs w:val="20"/>
                    </w:rPr>
                  </w:pPr>
                  <w:r>
                    <w:rPr>
                      <w:sz w:val="20"/>
                      <w:szCs w:val="20"/>
                    </w:rPr>
                    <w:t>1</w:t>
                  </w:r>
                  <w:r w:rsidR="009F4308">
                    <w:rPr>
                      <w:sz w:val="20"/>
                      <w:szCs w:val="20"/>
                    </w:rPr>
                    <w:t xml:space="preserve"> </w:t>
                  </w:r>
                  <w:r>
                    <w:rPr>
                      <w:sz w:val="20"/>
                      <w:szCs w:val="20"/>
                    </w:rPr>
                    <w:t>500</w:t>
                  </w:r>
                </w:p>
              </w:tc>
              <w:tc>
                <w:tcPr>
                  <w:tcW w:w="1417" w:type="dxa"/>
                  <w:vAlign w:val="center"/>
                </w:tcPr>
                <w:p w14:paraId="5F093891" w14:textId="77777777" w:rsidR="008907FA" w:rsidRDefault="008907FA" w:rsidP="008907FA">
                  <w:pPr>
                    <w:ind w:right="79"/>
                    <w:jc w:val="center"/>
                    <w:rPr>
                      <w:sz w:val="20"/>
                      <w:szCs w:val="20"/>
                    </w:rPr>
                  </w:pPr>
                  <w:r>
                    <w:rPr>
                      <w:sz w:val="20"/>
                      <w:szCs w:val="20"/>
                    </w:rPr>
                    <w:t>-</w:t>
                  </w:r>
                </w:p>
              </w:tc>
              <w:tc>
                <w:tcPr>
                  <w:tcW w:w="1418" w:type="dxa"/>
                  <w:vAlign w:val="center"/>
                </w:tcPr>
                <w:p w14:paraId="7FCC0563" w14:textId="77777777" w:rsidR="008907FA" w:rsidRDefault="008907FA" w:rsidP="008907FA">
                  <w:pPr>
                    <w:ind w:right="79"/>
                    <w:jc w:val="center"/>
                    <w:rPr>
                      <w:sz w:val="20"/>
                      <w:szCs w:val="20"/>
                    </w:rPr>
                  </w:pPr>
                  <w:r>
                    <w:rPr>
                      <w:sz w:val="20"/>
                      <w:szCs w:val="20"/>
                    </w:rPr>
                    <w:t>nē</w:t>
                  </w:r>
                </w:p>
              </w:tc>
              <w:tc>
                <w:tcPr>
                  <w:tcW w:w="1417" w:type="dxa"/>
                  <w:vAlign w:val="center"/>
                </w:tcPr>
                <w:p w14:paraId="50F7AAB0" w14:textId="77777777" w:rsidR="008907FA" w:rsidRDefault="008907FA" w:rsidP="008907FA">
                  <w:pPr>
                    <w:ind w:right="79"/>
                    <w:jc w:val="center"/>
                    <w:rPr>
                      <w:sz w:val="20"/>
                      <w:szCs w:val="20"/>
                    </w:rPr>
                  </w:pPr>
                  <w:r>
                    <w:rPr>
                      <w:sz w:val="20"/>
                      <w:szCs w:val="20"/>
                    </w:rPr>
                    <w:t>jā</w:t>
                  </w:r>
                </w:p>
              </w:tc>
              <w:tc>
                <w:tcPr>
                  <w:tcW w:w="1418" w:type="dxa"/>
                  <w:vAlign w:val="center"/>
                </w:tcPr>
                <w:p w14:paraId="485C085D" w14:textId="77777777" w:rsidR="008907FA" w:rsidRDefault="008907FA" w:rsidP="008907FA">
                  <w:pPr>
                    <w:ind w:right="79"/>
                    <w:jc w:val="center"/>
                    <w:rPr>
                      <w:sz w:val="20"/>
                      <w:szCs w:val="20"/>
                    </w:rPr>
                  </w:pPr>
                  <w:r>
                    <w:rPr>
                      <w:sz w:val="20"/>
                      <w:szCs w:val="20"/>
                    </w:rPr>
                    <w:t>Saeimas komisija</w:t>
                  </w:r>
                </w:p>
              </w:tc>
            </w:tr>
            <w:tr w:rsidR="008907FA" w:rsidRPr="00A142C6" w14:paraId="2A79D29D" w14:textId="77777777" w:rsidTr="00386FBE">
              <w:trPr>
                <w:jc w:val="center"/>
              </w:trPr>
              <w:tc>
                <w:tcPr>
                  <w:tcW w:w="562" w:type="dxa"/>
                </w:tcPr>
                <w:p w14:paraId="299DA4C1" w14:textId="77777777" w:rsidR="008907FA" w:rsidRDefault="008907FA" w:rsidP="008907FA">
                  <w:pPr>
                    <w:ind w:right="79"/>
                    <w:jc w:val="both"/>
                    <w:rPr>
                      <w:sz w:val="20"/>
                      <w:szCs w:val="20"/>
                    </w:rPr>
                  </w:pPr>
                  <w:r>
                    <w:rPr>
                      <w:sz w:val="20"/>
                      <w:szCs w:val="20"/>
                    </w:rPr>
                    <w:t>6.</w:t>
                  </w:r>
                </w:p>
              </w:tc>
              <w:tc>
                <w:tcPr>
                  <w:tcW w:w="1550" w:type="dxa"/>
                  <w:vAlign w:val="center"/>
                </w:tcPr>
                <w:p w14:paraId="1FC6408E" w14:textId="77777777" w:rsidR="008907FA" w:rsidRDefault="008907FA" w:rsidP="008907FA">
                  <w:pPr>
                    <w:ind w:right="79"/>
                    <w:jc w:val="center"/>
                    <w:rPr>
                      <w:sz w:val="20"/>
                      <w:szCs w:val="20"/>
                    </w:rPr>
                  </w:pPr>
                  <w:r>
                    <w:rPr>
                      <w:sz w:val="20"/>
                      <w:szCs w:val="20"/>
                    </w:rPr>
                    <w:t>49 000</w:t>
                  </w:r>
                </w:p>
              </w:tc>
              <w:tc>
                <w:tcPr>
                  <w:tcW w:w="1417" w:type="dxa"/>
                  <w:vAlign w:val="center"/>
                </w:tcPr>
                <w:p w14:paraId="13A74328" w14:textId="77777777" w:rsidR="008907FA" w:rsidRDefault="008907FA" w:rsidP="008907FA">
                  <w:pPr>
                    <w:ind w:right="79"/>
                    <w:jc w:val="center"/>
                    <w:rPr>
                      <w:sz w:val="20"/>
                      <w:szCs w:val="20"/>
                    </w:rPr>
                  </w:pPr>
                  <w:r>
                    <w:rPr>
                      <w:sz w:val="20"/>
                      <w:szCs w:val="20"/>
                    </w:rPr>
                    <w:t>-</w:t>
                  </w:r>
                </w:p>
              </w:tc>
              <w:tc>
                <w:tcPr>
                  <w:tcW w:w="1418" w:type="dxa"/>
                  <w:vAlign w:val="center"/>
                </w:tcPr>
                <w:p w14:paraId="12C81885" w14:textId="77777777" w:rsidR="008907FA" w:rsidRDefault="008907FA" w:rsidP="008907FA">
                  <w:pPr>
                    <w:ind w:right="79"/>
                    <w:jc w:val="center"/>
                    <w:rPr>
                      <w:sz w:val="20"/>
                      <w:szCs w:val="20"/>
                    </w:rPr>
                  </w:pPr>
                  <w:r>
                    <w:rPr>
                      <w:sz w:val="20"/>
                      <w:szCs w:val="20"/>
                    </w:rPr>
                    <w:t>nē</w:t>
                  </w:r>
                </w:p>
              </w:tc>
              <w:tc>
                <w:tcPr>
                  <w:tcW w:w="1417" w:type="dxa"/>
                  <w:vAlign w:val="center"/>
                </w:tcPr>
                <w:p w14:paraId="216168A1" w14:textId="77777777" w:rsidR="008907FA" w:rsidRDefault="008907FA" w:rsidP="008907FA">
                  <w:pPr>
                    <w:ind w:right="79"/>
                    <w:jc w:val="center"/>
                    <w:rPr>
                      <w:sz w:val="20"/>
                      <w:szCs w:val="20"/>
                    </w:rPr>
                  </w:pPr>
                  <w:r>
                    <w:rPr>
                      <w:sz w:val="20"/>
                      <w:szCs w:val="20"/>
                    </w:rPr>
                    <w:t>nē</w:t>
                  </w:r>
                </w:p>
              </w:tc>
              <w:tc>
                <w:tcPr>
                  <w:tcW w:w="1418" w:type="dxa"/>
                  <w:vAlign w:val="center"/>
                </w:tcPr>
                <w:p w14:paraId="30F7B8D0" w14:textId="77777777" w:rsidR="008907FA" w:rsidRDefault="008907FA" w:rsidP="008907FA">
                  <w:pPr>
                    <w:ind w:right="79"/>
                    <w:jc w:val="center"/>
                    <w:rPr>
                      <w:sz w:val="20"/>
                      <w:szCs w:val="20"/>
                    </w:rPr>
                  </w:pPr>
                  <w:r>
                    <w:rPr>
                      <w:sz w:val="20"/>
                      <w:szCs w:val="20"/>
                    </w:rPr>
                    <w:t>Saeimas komisija</w:t>
                  </w:r>
                </w:p>
              </w:tc>
            </w:tr>
          </w:tbl>
          <w:p w14:paraId="1E919CB7" w14:textId="77777777" w:rsidR="008907FA" w:rsidRDefault="008907FA" w:rsidP="008907FA">
            <w:pPr>
              <w:ind w:right="79"/>
              <w:jc w:val="both"/>
            </w:pPr>
            <w:r>
              <w:t xml:space="preserve">   </w:t>
            </w:r>
          </w:p>
          <w:p w14:paraId="5335DD7D" w14:textId="77777777" w:rsidR="008907FA" w:rsidRDefault="008907FA" w:rsidP="008907FA">
            <w:pPr>
              <w:ind w:left="132" w:right="79"/>
              <w:jc w:val="both"/>
            </w:pPr>
            <w:r w:rsidRPr="006710CE">
              <w:rPr>
                <w:i/>
              </w:rPr>
              <w:t>Piemērs</w:t>
            </w:r>
            <w:r>
              <w:rPr>
                <w:i/>
              </w:rPr>
              <w:t xml:space="preserve"> Nr.2</w:t>
            </w:r>
            <w:r>
              <w:t xml:space="preserve">: valsts budžeta apakšprogrammai ar gadskārtējā valsts budžeta likumā plānotajiem kopējiem izdevumiem 3 miljoni </w:t>
            </w:r>
            <w:r w:rsidRPr="001607EF">
              <w:rPr>
                <w:i/>
              </w:rPr>
              <w:t>euro</w:t>
            </w:r>
            <w:r>
              <w:t xml:space="preserve"> apmērā (5% = 150 000), nozares ministrija lūdz izmantot atlikumus dažādiem pasākumiem zemāk atspoguļotajā tabulā:</w:t>
            </w:r>
          </w:p>
          <w:tbl>
            <w:tblPr>
              <w:tblStyle w:val="TableGrid"/>
              <w:tblW w:w="7782" w:type="dxa"/>
              <w:jc w:val="center"/>
              <w:tblLayout w:type="fixed"/>
              <w:tblLook w:val="04A0" w:firstRow="1" w:lastRow="0" w:firstColumn="1" w:lastColumn="0" w:noHBand="0" w:noVBand="1"/>
            </w:tblPr>
            <w:tblGrid>
              <w:gridCol w:w="562"/>
              <w:gridCol w:w="1550"/>
              <w:gridCol w:w="1417"/>
              <w:gridCol w:w="1418"/>
              <w:gridCol w:w="1417"/>
              <w:gridCol w:w="1418"/>
            </w:tblGrid>
            <w:tr w:rsidR="008907FA" w:rsidRPr="00A142C6" w14:paraId="350BA751" w14:textId="77777777" w:rsidTr="00386FBE">
              <w:trPr>
                <w:jc w:val="center"/>
              </w:trPr>
              <w:tc>
                <w:tcPr>
                  <w:tcW w:w="562" w:type="dxa"/>
                  <w:vMerge w:val="restart"/>
                </w:tcPr>
                <w:p w14:paraId="547EE96A" w14:textId="77777777" w:rsidR="008907FA" w:rsidRPr="00A142C6" w:rsidRDefault="008907FA" w:rsidP="008907FA">
                  <w:pPr>
                    <w:ind w:right="79"/>
                    <w:jc w:val="both"/>
                    <w:rPr>
                      <w:sz w:val="20"/>
                      <w:szCs w:val="20"/>
                    </w:rPr>
                  </w:pPr>
                  <w:r w:rsidRPr="00A142C6">
                    <w:rPr>
                      <w:sz w:val="20"/>
                      <w:szCs w:val="20"/>
                    </w:rPr>
                    <w:t>Nr.</w:t>
                  </w:r>
                </w:p>
              </w:tc>
              <w:tc>
                <w:tcPr>
                  <w:tcW w:w="1550" w:type="dxa"/>
                  <w:vMerge w:val="restart"/>
                </w:tcPr>
                <w:p w14:paraId="23CD5BA8" w14:textId="77777777" w:rsidR="008907FA" w:rsidRPr="00A142C6" w:rsidRDefault="008907FA" w:rsidP="008907FA">
                  <w:pPr>
                    <w:ind w:right="79"/>
                    <w:jc w:val="center"/>
                    <w:rPr>
                      <w:sz w:val="20"/>
                      <w:szCs w:val="20"/>
                    </w:rPr>
                  </w:pPr>
                  <w:r>
                    <w:rPr>
                      <w:sz w:val="20"/>
                      <w:szCs w:val="20"/>
                    </w:rPr>
                    <w:t>Izmantojamā atlikuma summa vienā reizē</w:t>
                  </w:r>
                </w:p>
              </w:tc>
              <w:tc>
                <w:tcPr>
                  <w:tcW w:w="1417" w:type="dxa"/>
                  <w:vMerge w:val="restart"/>
                </w:tcPr>
                <w:p w14:paraId="1841EED6" w14:textId="77777777" w:rsidR="008907FA" w:rsidRPr="00A142C6" w:rsidRDefault="008907FA" w:rsidP="008907FA">
                  <w:pPr>
                    <w:ind w:right="79"/>
                    <w:jc w:val="center"/>
                    <w:rPr>
                      <w:sz w:val="20"/>
                      <w:szCs w:val="20"/>
                    </w:rPr>
                  </w:pPr>
                  <w:r>
                    <w:rPr>
                      <w:sz w:val="20"/>
                      <w:szCs w:val="20"/>
                    </w:rPr>
                    <w:t>Ar finanšu ministra rīkojumu ieceltie atlikumi no gada sākuma</w:t>
                  </w:r>
                </w:p>
              </w:tc>
              <w:tc>
                <w:tcPr>
                  <w:tcW w:w="2835" w:type="dxa"/>
                  <w:gridSpan w:val="2"/>
                </w:tcPr>
                <w:p w14:paraId="34744110" w14:textId="77777777" w:rsidR="008907FA" w:rsidRPr="00A142C6" w:rsidRDefault="008907FA" w:rsidP="008907FA">
                  <w:pPr>
                    <w:ind w:right="79"/>
                    <w:jc w:val="center"/>
                    <w:rPr>
                      <w:sz w:val="20"/>
                      <w:szCs w:val="20"/>
                    </w:rPr>
                  </w:pPr>
                  <w:r>
                    <w:rPr>
                      <w:sz w:val="20"/>
                      <w:szCs w:val="20"/>
                    </w:rPr>
                    <w:t xml:space="preserve">Vai atbilst nosacījumam, ka ar </w:t>
                  </w:r>
                  <w:r w:rsidRPr="00175D70">
                    <w:rPr>
                      <w:sz w:val="20"/>
                      <w:szCs w:val="20"/>
                    </w:rPr>
                    <w:t xml:space="preserve">finanšu ministra rīkojumu </w:t>
                  </w:r>
                  <w:r>
                    <w:rPr>
                      <w:sz w:val="20"/>
                      <w:szCs w:val="20"/>
                    </w:rPr>
                    <w:t>iecelto</w:t>
                  </w:r>
                  <w:r w:rsidRPr="00175D70">
                    <w:rPr>
                      <w:sz w:val="20"/>
                      <w:szCs w:val="20"/>
                    </w:rPr>
                    <w:t xml:space="preserve"> atlikumu kopsumma </w:t>
                  </w:r>
                  <w:r>
                    <w:rPr>
                      <w:sz w:val="20"/>
                      <w:szCs w:val="20"/>
                    </w:rPr>
                    <w:t>no gada sākuma</w:t>
                  </w:r>
                  <w:r w:rsidRPr="00175D70">
                    <w:rPr>
                      <w:sz w:val="20"/>
                      <w:szCs w:val="20"/>
                    </w:rPr>
                    <w:t xml:space="preserve"> </w:t>
                  </w:r>
                  <w:r>
                    <w:rPr>
                      <w:sz w:val="20"/>
                      <w:szCs w:val="20"/>
                    </w:rPr>
                    <w:t>nepārsniegs</w:t>
                  </w:r>
                  <w:r w:rsidRPr="00175D70">
                    <w:rPr>
                      <w:sz w:val="20"/>
                      <w:szCs w:val="20"/>
                    </w:rPr>
                    <w:t>:</w:t>
                  </w:r>
                </w:p>
              </w:tc>
              <w:tc>
                <w:tcPr>
                  <w:tcW w:w="1418" w:type="dxa"/>
                  <w:vMerge w:val="restart"/>
                </w:tcPr>
                <w:p w14:paraId="6AF0DAED" w14:textId="77777777" w:rsidR="008907FA" w:rsidRPr="00A142C6" w:rsidRDefault="008907FA" w:rsidP="008907FA">
                  <w:pPr>
                    <w:ind w:right="79"/>
                    <w:jc w:val="center"/>
                    <w:rPr>
                      <w:sz w:val="20"/>
                      <w:szCs w:val="20"/>
                    </w:rPr>
                  </w:pPr>
                  <w:r>
                    <w:rPr>
                      <w:sz w:val="20"/>
                      <w:szCs w:val="20"/>
                    </w:rPr>
                    <w:t>Lēmumu par atlikuma izmantošanu pieņem:</w:t>
                  </w:r>
                </w:p>
              </w:tc>
            </w:tr>
            <w:tr w:rsidR="008907FA" w:rsidRPr="00A142C6" w14:paraId="26C9DC89" w14:textId="77777777" w:rsidTr="00386FBE">
              <w:trPr>
                <w:jc w:val="center"/>
              </w:trPr>
              <w:tc>
                <w:tcPr>
                  <w:tcW w:w="562" w:type="dxa"/>
                  <w:vMerge/>
                </w:tcPr>
                <w:p w14:paraId="1B1E9396" w14:textId="77777777" w:rsidR="008907FA" w:rsidRPr="00A142C6" w:rsidRDefault="008907FA" w:rsidP="008907FA">
                  <w:pPr>
                    <w:ind w:right="79"/>
                    <w:jc w:val="both"/>
                    <w:rPr>
                      <w:sz w:val="20"/>
                      <w:szCs w:val="20"/>
                    </w:rPr>
                  </w:pPr>
                </w:p>
              </w:tc>
              <w:tc>
                <w:tcPr>
                  <w:tcW w:w="1550" w:type="dxa"/>
                  <w:vMerge/>
                </w:tcPr>
                <w:p w14:paraId="7F10AE11" w14:textId="77777777" w:rsidR="008907FA" w:rsidRDefault="008907FA" w:rsidP="008907FA">
                  <w:pPr>
                    <w:ind w:right="79"/>
                    <w:jc w:val="center"/>
                    <w:rPr>
                      <w:sz w:val="20"/>
                      <w:szCs w:val="20"/>
                    </w:rPr>
                  </w:pPr>
                </w:p>
              </w:tc>
              <w:tc>
                <w:tcPr>
                  <w:tcW w:w="1417" w:type="dxa"/>
                  <w:vMerge/>
                </w:tcPr>
                <w:p w14:paraId="3DF2B471" w14:textId="77777777" w:rsidR="008907FA" w:rsidRDefault="008907FA" w:rsidP="008907FA">
                  <w:pPr>
                    <w:ind w:right="79"/>
                    <w:jc w:val="center"/>
                    <w:rPr>
                      <w:sz w:val="20"/>
                      <w:szCs w:val="20"/>
                    </w:rPr>
                  </w:pPr>
                </w:p>
              </w:tc>
              <w:tc>
                <w:tcPr>
                  <w:tcW w:w="1418" w:type="dxa"/>
                </w:tcPr>
                <w:p w14:paraId="23012D0B" w14:textId="77777777" w:rsidR="008907FA" w:rsidRPr="00A142C6" w:rsidRDefault="008907FA" w:rsidP="008907FA">
                  <w:pPr>
                    <w:ind w:right="79"/>
                    <w:jc w:val="center"/>
                    <w:rPr>
                      <w:sz w:val="20"/>
                      <w:szCs w:val="20"/>
                    </w:rPr>
                  </w:pPr>
                  <w:r>
                    <w:rPr>
                      <w:sz w:val="20"/>
                      <w:szCs w:val="20"/>
                    </w:rPr>
                    <w:t>5%</w:t>
                  </w:r>
                </w:p>
              </w:tc>
              <w:tc>
                <w:tcPr>
                  <w:tcW w:w="1417" w:type="dxa"/>
                </w:tcPr>
                <w:p w14:paraId="7F29B83D" w14:textId="77777777" w:rsidR="008907FA" w:rsidRPr="00A142C6" w:rsidRDefault="008907FA" w:rsidP="008907FA">
                  <w:pPr>
                    <w:ind w:right="79"/>
                    <w:jc w:val="center"/>
                    <w:rPr>
                      <w:sz w:val="20"/>
                      <w:szCs w:val="20"/>
                    </w:rPr>
                  </w:pPr>
                  <w:r>
                    <w:rPr>
                      <w:sz w:val="20"/>
                      <w:szCs w:val="20"/>
                    </w:rPr>
                    <w:t>100 000</w:t>
                  </w:r>
                </w:p>
              </w:tc>
              <w:tc>
                <w:tcPr>
                  <w:tcW w:w="1418" w:type="dxa"/>
                  <w:vMerge/>
                </w:tcPr>
                <w:p w14:paraId="7E8DF3AB" w14:textId="77777777" w:rsidR="008907FA" w:rsidRPr="00A142C6" w:rsidRDefault="008907FA" w:rsidP="008907FA">
                  <w:pPr>
                    <w:ind w:right="79"/>
                    <w:jc w:val="center"/>
                    <w:rPr>
                      <w:sz w:val="20"/>
                      <w:szCs w:val="20"/>
                    </w:rPr>
                  </w:pPr>
                </w:p>
              </w:tc>
            </w:tr>
            <w:tr w:rsidR="008907FA" w:rsidRPr="00A142C6" w14:paraId="0DA63F72" w14:textId="77777777" w:rsidTr="00386FBE">
              <w:trPr>
                <w:jc w:val="center"/>
              </w:trPr>
              <w:tc>
                <w:tcPr>
                  <w:tcW w:w="562" w:type="dxa"/>
                </w:tcPr>
                <w:p w14:paraId="291E3F86" w14:textId="77777777" w:rsidR="008907FA" w:rsidRPr="00A142C6" w:rsidRDefault="008907FA" w:rsidP="008907FA">
                  <w:pPr>
                    <w:ind w:right="79"/>
                    <w:jc w:val="both"/>
                    <w:rPr>
                      <w:sz w:val="20"/>
                      <w:szCs w:val="20"/>
                    </w:rPr>
                  </w:pPr>
                  <w:r>
                    <w:rPr>
                      <w:sz w:val="20"/>
                      <w:szCs w:val="20"/>
                    </w:rPr>
                    <w:t>1.</w:t>
                  </w:r>
                </w:p>
              </w:tc>
              <w:tc>
                <w:tcPr>
                  <w:tcW w:w="1550" w:type="dxa"/>
                  <w:vAlign w:val="center"/>
                </w:tcPr>
                <w:p w14:paraId="0877C3A9" w14:textId="77777777" w:rsidR="008907FA" w:rsidRPr="00A142C6" w:rsidRDefault="008907FA" w:rsidP="008907FA">
                  <w:pPr>
                    <w:ind w:right="79"/>
                    <w:jc w:val="center"/>
                    <w:rPr>
                      <w:sz w:val="20"/>
                      <w:szCs w:val="20"/>
                    </w:rPr>
                  </w:pPr>
                  <w:r>
                    <w:rPr>
                      <w:sz w:val="20"/>
                      <w:szCs w:val="20"/>
                    </w:rPr>
                    <w:t>15 000</w:t>
                  </w:r>
                </w:p>
              </w:tc>
              <w:tc>
                <w:tcPr>
                  <w:tcW w:w="1417" w:type="dxa"/>
                  <w:vAlign w:val="center"/>
                </w:tcPr>
                <w:p w14:paraId="7599E4E9" w14:textId="77777777" w:rsidR="008907FA" w:rsidRPr="00A142C6" w:rsidRDefault="008907FA" w:rsidP="008907FA">
                  <w:pPr>
                    <w:ind w:right="79"/>
                    <w:jc w:val="center"/>
                    <w:rPr>
                      <w:sz w:val="20"/>
                      <w:szCs w:val="20"/>
                    </w:rPr>
                  </w:pPr>
                  <w:r>
                    <w:rPr>
                      <w:sz w:val="20"/>
                      <w:szCs w:val="20"/>
                    </w:rPr>
                    <w:t>0</w:t>
                  </w:r>
                </w:p>
              </w:tc>
              <w:tc>
                <w:tcPr>
                  <w:tcW w:w="1418" w:type="dxa"/>
                  <w:vAlign w:val="center"/>
                </w:tcPr>
                <w:p w14:paraId="2BEFB987" w14:textId="77777777" w:rsidR="008907FA" w:rsidRPr="00A142C6" w:rsidRDefault="008907FA" w:rsidP="008907FA">
                  <w:pPr>
                    <w:ind w:right="79"/>
                    <w:jc w:val="center"/>
                    <w:rPr>
                      <w:sz w:val="20"/>
                      <w:szCs w:val="20"/>
                    </w:rPr>
                  </w:pPr>
                  <w:r>
                    <w:rPr>
                      <w:sz w:val="20"/>
                      <w:szCs w:val="20"/>
                    </w:rPr>
                    <w:t>jā</w:t>
                  </w:r>
                </w:p>
              </w:tc>
              <w:tc>
                <w:tcPr>
                  <w:tcW w:w="1417" w:type="dxa"/>
                  <w:vAlign w:val="center"/>
                </w:tcPr>
                <w:p w14:paraId="26AD45B0" w14:textId="77777777" w:rsidR="008907FA" w:rsidRPr="00A142C6" w:rsidRDefault="008907FA" w:rsidP="008907FA">
                  <w:pPr>
                    <w:ind w:right="79"/>
                    <w:jc w:val="center"/>
                    <w:rPr>
                      <w:sz w:val="20"/>
                      <w:szCs w:val="20"/>
                    </w:rPr>
                  </w:pPr>
                  <w:r>
                    <w:rPr>
                      <w:sz w:val="20"/>
                      <w:szCs w:val="20"/>
                    </w:rPr>
                    <w:t>jā</w:t>
                  </w:r>
                </w:p>
              </w:tc>
              <w:tc>
                <w:tcPr>
                  <w:tcW w:w="1418" w:type="dxa"/>
                  <w:vAlign w:val="center"/>
                </w:tcPr>
                <w:p w14:paraId="60573C04" w14:textId="77777777" w:rsidR="008907FA" w:rsidRPr="00A142C6" w:rsidRDefault="008907FA" w:rsidP="008907FA">
                  <w:pPr>
                    <w:ind w:right="79"/>
                    <w:jc w:val="center"/>
                    <w:rPr>
                      <w:sz w:val="20"/>
                      <w:szCs w:val="20"/>
                    </w:rPr>
                  </w:pPr>
                  <w:r>
                    <w:rPr>
                      <w:sz w:val="20"/>
                      <w:szCs w:val="20"/>
                    </w:rPr>
                    <w:t>Finanšu ministrs</w:t>
                  </w:r>
                </w:p>
              </w:tc>
            </w:tr>
            <w:tr w:rsidR="008907FA" w:rsidRPr="00A142C6" w14:paraId="04BADD69" w14:textId="77777777" w:rsidTr="00386FBE">
              <w:trPr>
                <w:jc w:val="center"/>
              </w:trPr>
              <w:tc>
                <w:tcPr>
                  <w:tcW w:w="562" w:type="dxa"/>
                </w:tcPr>
                <w:p w14:paraId="3DDCB1A9" w14:textId="77777777" w:rsidR="008907FA" w:rsidRPr="00A142C6" w:rsidRDefault="008907FA" w:rsidP="008907FA">
                  <w:pPr>
                    <w:ind w:right="79"/>
                    <w:jc w:val="both"/>
                    <w:rPr>
                      <w:sz w:val="20"/>
                      <w:szCs w:val="20"/>
                    </w:rPr>
                  </w:pPr>
                  <w:r>
                    <w:rPr>
                      <w:sz w:val="20"/>
                      <w:szCs w:val="20"/>
                    </w:rPr>
                    <w:t>2.</w:t>
                  </w:r>
                </w:p>
              </w:tc>
              <w:tc>
                <w:tcPr>
                  <w:tcW w:w="1550" w:type="dxa"/>
                  <w:vAlign w:val="center"/>
                </w:tcPr>
                <w:p w14:paraId="5698718A" w14:textId="77777777" w:rsidR="008907FA" w:rsidRPr="00A142C6" w:rsidRDefault="008907FA" w:rsidP="008907FA">
                  <w:pPr>
                    <w:ind w:right="79"/>
                    <w:jc w:val="center"/>
                    <w:rPr>
                      <w:sz w:val="20"/>
                      <w:szCs w:val="20"/>
                    </w:rPr>
                  </w:pPr>
                  <w:r>
                    <w:rPr>
                      <w:sz w:val="20"/>
                      <w:szCs w:val="20"/>
                    </w:rPr>
                    <w:t>45 000</w:t>
                  </w:r>
                </w:p>
              </w:tc>
              <w:tc>
                <w:tcPr>
                  <w:tcW w:w="1417" w:type="dxa"/>
                  <w:vAlign w:val="center"/>
                </w:tcPr>
                <w:p w14:paraId="3148B079" w14:textId="77777777" w:rsidR="008907FA" w:rsidRPr="00A142C6" w:rsidRDefault="008907FA" w:rsidP="008907FA">
                  <w:pPr>
                    <w:ind w:right="79"/>
                    <w:jc w:val="center"/>
                    <w:rPr>
                      <w:sz w:val="20"/>
                      <w:szCs w:val="20"/>
                    </w:rPr>
                  </w:pPr>
                  <w:r>
                    <w:rPr>
                      <w:sz w:val="20"/>
                      <w:szCs w:val="20"/>
                    </w:rPr>
                    <w:t>15 000</w:t>
                  </w:r>
                </w:p>
              </w:tc>
              <w:tc>
                <w:tcPr>
                  <w:tcW w:w="1418" w:type="dxa"/>
                  <w:vAlign w:val="center"/>
                </w:tcPr>
                <w:p w14:paraId="4CA6D6AA" w14:textId="77777777" w:rsidR="008907FA" w:rsidRPr="00A142C6" w:rsidRDefault="008907FA" w:rsidP="008907FA">
                  <w:pPr>
                    <w:ind w:right="79"/>
                    <w:jc w:val="center"/>
                    <w:rPr>
                      <w:sz w:val="20"/>
                      <w:szCs w:val="20"/>
                    </w:rPr>
                  </w:pPr>
                  <w:r>
                    <w:rPr>
                      <w:sz w:val="20"/>
                      <w:szCs w:val="20"/>
                    </w:rPr>
                    <w:t>jā</w:t>
                  </w:r>
                </w:p>
              </w:tc>
              <w:tc>
                <w:tcPr>
                  <w:tcW w:w="1417" w:type="dxa"/>
                  <w:vAlign w:val="center"/>
                </w:tcPr>
                <w:p w14:paraId="37862740" w14:textId="77777777" w:rsidR="008907FA" w:rsidRPr="00A142C6" w:rsidRDefault="008907FA" w:rsidP="008907FA">
                  <w:pPr>
                    <w:ind w:right="79"/>
                    <w:jc w:val="center"/>
                    <w:rPr>
                      <w:sz w:val="20"/>
                      <w:szCs w:val="20"/>
                    </w:rPr>
                  </w:pPr>
                  <w:r>
                    <w:rPr>
                      <w:sz w:val="20"/>
                      <w:szCs w:val="20"/>
                    </w:rPr>
                    <w:t>jā</w:t>
                  </w:r>
                </w:p>
              </w:tc>
              <w:tc>
                <w:tcPr>
                  <w:tcW w:w="1418" w:type="dxa"/>
                  <w:vAlign w:val="center"/>
                </w:tcPr>
                <w:p w14:paraId="309CA6E1" w14:textId="77777777" w:rsidR="008907FA" w:rsidRPr="00A142C6" w:rsidRDefault="008907FA" w:rsidP="008907FA">
                  <w:pPr>
                    <w:ind w:right="79"/>
                    <w:jc w:val="center"/>
                    <w:rPr>
                      <w:sz w:val="20"/>
                      <w:szCs w:val="20"/>
                    </w:rPr>
                  </w:pPr>
                  <w:r>
                    <w:rPr>
                      <w:sz w:val="20"/>
                      <w:szCs w:val="20"/>
                    </w:rPr>
                    <w:t>Finanšu ministrs</w:t>
                  </w:r>
                </w:p>
              </w:tc>
            </w:tr>
            <w:tr w:rsidR="008907FA" w:rsidRPr="00A142C6" w14:paraId="657C99C6" w14:textId="77777777" w:rsidTr="00386FBE">
              <w:trPr>
                <w:jc w:val="center"/>
              </w:trPr>
              <w:tc>
                <w:tcPr>
                  <w:tcW w:w="562" w:type="dxa"/>
                </w:tcPr>
                <w:p w14:paraId="0FCCA631" w14:textId="77777777" w:rsidR="008907FA" w:rsidRPr="00A142C6" w:rsidRDefault="008907FA" w:rsidP="008907FA">
                  <w:pPr>
                    <w:ind w:right="79"/>
                    <w:jc w:val="both"/>
                    <w:rPr>
                      <w:sz w:val="20"/>
                      <w:szCs w:val="20"/>
                    </w:rPr>
                  </w:pPr>
                  <w:r>
                    <w:rPr>
                      <w:sz w:val="20"/>
                      <w:szCs w:val="20"/>
                    </w:rPr>
                    <w:t>3.</w:t>
                  </w:r>
                </w:p>
              </w:tc>
              <w:tc>
                <w:tcPr>
                  <w:tcW w:w="1550" w:type="dxa"/>
                  <w:vAlign w:val="center"/>
                </w:tcPr>
                <w:p w14:paraId="39105D40" w14:textId="77777777" w:rsidR="008907FA" w:rsidRPr="00A142C6" w:rsidRDefault="008907FA" w:rsidP="008907FA">
                  <w:pPr>
                    <w:ind w:right="79"/>
                    <w:jc w:val="center"/>
                    <w:rPr>
                      <w:sz w:val="20"/>
                      <w:szCs w:val="20"/>
                    </w:rPr>
                  </w:pPr>
                  <w:r>
                    <w:rPr>
                      <w:sz w:val="20"/>
                      <w:szCs w:val="20"/>
                    </w:rPr>
                    <w:t>40 000</w:t>
                  </w:r>
                </w:p>
              </w:tc>
              <w:tc>
                <w:tcPr>
                  <w:tcW w:w="1417" w:type="dxa"/>
                  <w:vAlign w:val="center"/>
                </w:tcPr>
                <w:p w14:paraId="43D6239C" w14:textId="77777777" w:rsidR="008907FA" w:rsidRPr="00A142C6" w:rsidRDefault="008907FA" w:rsidP="008907FA">
                  <w:pPr>
                    <w:ind w:right="79"/>
                    <w:jc w:val="center"/>
                    <w:rPr>
                      <w:sz w:val="20"/>
                      <w:szCs w:val="20"/>
                    </w:rPr>
                  </w:pPr>
                  <w:r>
                    <w:rPr>
                      <w:sz w:val="20"/>
                      <w:szCs w:val="20"/>
                    </w:rPr>
                    <w:t>60 000</w:t>
                  </w:r>
                </w:p>
              </w:tc>
              <w:tc>
                <w:tcPr>
                  <w:tcW w:w="1418" w:type="dxa"/>
                  <w:vAlign w:val="center"/>
                </w:tcPr>
                <w:p w14:paraId="0920FCD4" w14:textId="77777777" w:rsidR="008907FA" w:rsidRPr="00A142C6" w:rsidRDefault="008907FA" w:rsidP="008907FA">
                  <w:pPr>
                    <w:ind w:right="79"/>
                    <w:jc w:val="center"/>
                    <w:rPr>
                      <w:sz w:val="20"/>
                      <w:szCs w:val="20"/>
                    </w:rPr>
                  </w:pPr>
                  <w:r>
                    <w:rPr>
                      <w:sz w:val="20"/>
                      <w:szCs w:val="20"/>
                    </w:rPr>
                    <w:t>jā</w:t>
                  </w:r>
                </w:p>
              </w:tc>
              <w:tc>
                <w:tcPr>
                  <w:tcW w:w="1417" w:type="dxa"/>
                  <w:vAlign w:val="center"/>
                </w:tcPr>
                <w:p w14:paraId="51900CBC" w14:textId="77777777" w:rsidR="008907FA" w:rsidRPr="00A142C6" w:rsidRDefault="008907FA" w:rsidP="008907FA">
                  <w:pPr>
                    <w:ind w:right="79"/>
                    <w:jc w:val="center"/>
                    <w:rPr>
                      <w:sz w:val="20"/>
                      <w:szCs w:val="20"/>
                    </w:rPr>
                  </w:pPr>
                  <w:r>
                    <w:rPr>
                      <w:sz w:val="20"/>
                      <w:szCs w:val="20"/>
                    </w:rPr>
                    <w:t>jā</w:t>
                  </w:r>
                </w:p>
              </w:tc>
              <w:tc>
                <w:tcPr>
                  <w:tcW w:w="1418" w:type="dxa"/>
                  <w:vAlign w:val="center"/>
                </w:tcPr>
                <w:p w14:paraId="1E455939" w14:textId="77777777" w:rsidR="008907FA" w:rsidRPr="00A142C6" w:rsidRDefault="008907FA" w:rsidP="008907FA">
                  <w:pPr>
                    <w:ind w:right="79"/>
                    <w:jc w:val="center"/>
                    <w:rPr>
                      <w:sz w:val="20"/>
                      <w:szCs w:val="20"/>
                    </w:rPr>
                  </w:pPr>
                  <w:r>
                    <w:rPr>
                      <w:sz w:val="20"/>
                      <w:szCs w:val="20"/>
                    </w:rPr>
                    <w:t>Finanšu ministrs</w:t>
                  </w:r>
                </w:p>
              </w:tc>
            </w:tr>
            <w:tr w:rsidR="008907FA" w:rsidRPr="00A142C6" w14:paraId="46ED4969" w14:textId="77777777" w:rsidTr="00386FBE">
              <w:trPr>
                <w:trHeight w:val="140"/>
                <w:jc w:val="center"/>
              </w:trPr>
              <w:tc>
                <w:tcPr>
                  <w:tcW w:w="2112" w:type="dxa"/>
                  <w:gridSpan w:val="2"/>
                </w:tcPr>
                <w:p w14:paraId="7824385D" w14:textId="77777777" w:rsidR="008907FA" w:rsidRPr="00A142C6" w:rsidRDefault="008907FA" w:rsidP="008907FA">
                  <w:pPr>
                    <w:ind w:right="79"/>
                    <w:jc w:val="center"/>
                    <w:rPr>
                      <w:sz w:val="20"/>
                      <w:szCs w:val="20"/>
                    </w:rPr>
                  </w:pPr>
                </w:p>
              </w:tc>
              <w:tc>
                <w:tcPr>
                  <w:tcW w:w="1417" w:type="dxa"/>
                  <w:vAlign w:val="center"/>
                </w:tcPr>
                <w:p w14:paraId="20933628" w14:textId="77777777" w:rsidR="008907FA" w:rsidRPr="00A142C6" w:rsidRDefault="008907FA" w:rsidP="008907FA">
                  <w:pPr>
                    <w:ind w:right="79"/>
                    <w:jc w:val="center"/>
                    <w:rPr>
                      <w:sz w:val="20"/>
                      <w:szCs w:val="20"/>
                    </w:rPr>
                  </w:pPr>
                  <w:r>
                    <w:rPr>
                      <w:b/>
                      <w:sz w:val="20"/>
                      <w:szCs w:val="20"/>
                    </w:rPr>
                    <w:t>100</w:t>
                  </w:r>
                  <w:r w:rsidRPr="006710CE">
                    <w:rPr>
                      <w:b/>
                      <w:sz w:val="20"/>
                      <w:szCs w:val="20"/>
                    </w:rPr>
                    <w:t xml:space="preserve"> 000</w:t>
                  </w:r>
                </w:p>
              </w:tc>
              <w:tc>
                <w:tcPr>
                  <w:tcW w:w="4253" w:type="dxa"/>
                  <w:gridSpan w:val="3"/>
                  <w:vAlign w:val="center"/>
                </w:tcPr>
                <w:p w14:paraId="4A916570" w14:textId="77777777" w:rsidR="008907FA" w:rsidRPr="00A142C6" w:rsidRDefault="008907FA" w:rsidP="008907FA">
                  <w:pPr>
                    <w:ind w:right="79"/>
                    <w:jc w:val="center"/>
                    <w:rPr>
                      <w:sz w:val="20"/>
                      <w:szCs w:val="20"/>
                    </w:rPr>
                  </w:pPr>
                </w:p>
              </w:tc>
            </w:tr>
            <w:tr w:rsidR="008907FA" w:rsidRPr="00A142C6" w14:paraId="356A7FDD" w14:textId="77777777" w:rsidTr="00386FBE">
              <w:trPr>
                <w:jc w:val="center"/>
              </w:trPr>
              <w:tc>
                <w:tcPr>
                  <w:tcW w:w="562" w:type="dxa"/>
                </w:tcPr>
                <w:p w14:paraId="1826252D" w14:textId="77777777" w:rsidR="008907FA" w:rsidRDefault="008907FA" w:rsidP="008907FA">
                  <w:pPr>
                    <w:ind w:right="79"/>
                    <w:jc w:val="both"/>
                    <w:rPr>
                      <w:sz w:val="20"/>
                      <w:szCs w:val="20"/>
                    </w:rPr>
                  </w:pPr>
                  <w:r>
                    <w:rPr>
                      <w:sz w:val="20"/>
                      <w:szCs w:val="20"/>
                    </w:rPr>
                    <w:t>5.</w:t>
                  </w:r>
                </w:p>
              </w:tc>
              <w:tc>
                <w:tcPr>
                  <w:tcW w:w="1550" w:type="dxa"/>
                  <w:vAlign w:val="center"/>
                </w:tcPr>
                <w:p w14:paraId="0A6CF5A2" w14:textId="77777777" w:rsidR="008907FA" w:rsidRDefault="008907FA" w:rsidP="008907FA">
                  <w:pPr>
                    <w:ind w:right="79"/>
                    <w:jc w:val="center"/>
                    <w:rPr>
                      <w:sz w:val="20"/>
                      <w:szCs w:val="20"/>
                    </w:rPr>
                  </w:pPr>
                  <w:r>
                    <w:rPr>
                      <w:sz w:val="20"/>
                      <w:szCs w:val="20"/>
                    </w:rPr>
                    <w:t>4 000</w:t>
                  </w:r>
                </w:p>
              </w:tc>
              <w:tc>
                <w:tcPr>
                  <w:tcW w:w="1417" w:type="dxa"/>
                  <w:vAlign w:val="center"/>
                </w:tcPr>
                <w:p w14:paraId="111809DE" w14:textId="77777777" w:rsidR="008907FA" w:rsidRDefault="008907FA" w:rsidP="008907FA">
                  <w:pPr>
                    <w:ind w:right="79"/>
                    <w:jc w:val="center"/>
                    <w:rPr>
                      <w:sz w:val="20"/>
                      <w:szCs w:val="20"/>
                    </w:rPr>
                  </w:pPr>
                  <w:r>
                    <w:rPr>
                      <w:sz w:val="20"/>
                      <w:szCs w:val="20"/>
                    </w:rPr>
                    <w:t>-</w:t>
                  </w:r>
                </w:p>
              </w:tc>
              <w:tc>
                <w:tcPr>
                  <w:tcW w:w="1418" w:type="dxa"/>
                  <w:vAlign w:val="center"/>
                </w:tcPr>
                <w:p w14:paraId="623F3E19" w14:textId="77777777" w:rsidR="008907FA" w:rsidRDefault="008907FA" w:rsidP="008907FA">
                  <w:pPr>
                    <w:ind w:right="79"/>
                    <w:jc w:val="center"/>
                    <w:rPr>
                      <w:sz w:val="20"/>
                      <w:szCs w:val="20"/>
                    </w:rPr>
                  </w:pPr>
                  <w:r>
                    <w:rPr>
                      <w:sz w:val="20"/>
                      <w:szCs w:val="20"/>
                    </w:rPr>
                    <w:t>jā</w:t>
                  </w:r>
                </w:p>
              </w:tc>
              <w:tc>
                <w:tcPr>
                  <w:tcW w:w="1417" w:type="dxa"/>
                  <w:vAlign w:val="center"/>
                </w:tcPr>
                <w:p w14:paraId="2F3E249E" w14:textId="77777777" w:rsidR="008907FA" w:rsidRDefault="008907FA" w:rsidP="008907FA">
                  <w:pPr>
                    <w:ind w:right="79"/>
                    <w:jc w:val="center"/>
                    <w:rPr>
                      <w:sz w:val="20"/>
                      <w:szCs w:val="20"/>
                    </w:rPr>
                  </w:pPr>
                  <w:r>
                    <w:rPr>
                      <w:sz w:val="20"/>
                      <w:szCs w:val="20"/>
                    </w:rPr>
                    <w:t>nē</w:t>
                  </w:r>
                </w:p>
              </w:tc>
              <w:tc>
                <w:tcPr>
                  <w:tcW w:w="1418" w:type="dxa"/>
                  <w:vAlign w:val="center"/>
                </w:tcPr>
                <w:p w14:paraId="7E0F8B93" w14:textId="77777777" w:rsidR="008907FA" w:rsidRDefault="008907FA" w:rsidP="008907FA">
                  <w:pPr>
                    <w:ind w:right="79"/>
                    <w:jc w:val="center"/>
                    <w:rPr>
                      <w:sz w:val="20"/>
                      <w:szCs w:val="20"/>
                    </w:rPr>
                  </w:pPr>
                  <w:r>
                    <w:rPr>
                      <w:sz w:val="20"/>
                      <w:szCs w:val="20"/>
                    </w:rPr>
                    <w:t>Saeimas komisija</w:t>
                  </w:r>
                </w:p>
              </w:tc>
            </w:tr>
            <w:tr w:rsidR="008907FA" w:rsidRPr="00A142C6" w14:paraId="534BE224" w14:textId="77777777" w:rsidTr="00386FBE">
              <w:trPr>
                <w:jc w:val="center"/>
              </w:trPr>
              <w:tc>
                <w:tcPr>
                  <w:tcW w:w="562" w:type="dxa"/>
                </w:tcPr>
                <w:p w14:paraId="51B805B2" w14:textId="77777777" w:rsidR="008907FA" w:rsidRDefault="008907FA" w:rsidP="008907FA">
                  <w:pPr>
                    <w:ind w:right="79"/>
                    <w:jc w:val="both"/>
                    <w:rPr>
                      <w:sz w:val="20"/>
                      <w:szCs w:val="20"/>
                    </w:rPr>
                  </w:pPr>
                  <w:r>
                    <w:rPr>
                      <w:sz w:val="20"/>
                      <w:szCs w:val="20"/>
                    </w:rPr>
                    <w:t>6.</w:t>
                  </w:r>
                </w:p>
              </w:tc>
              <w:tc>
                <w:tcPr>
                  <w:tcW w:w="1550" w:type="dxa"/>
                  <w:vAlign w:val="center"/>
                </w:tcPr>
                <w:p w14:paraId="1BBF5149" w14:textId="77777777" w:rsidR="008907FA" w:rsidRDefault="008907FA" w:rsidP="008907FA">
                  <w:pPr>
                    <w:ind w:right="79"/>
                    <w:jc w:val="center"/>
                    <w:rPr>
                      <w:sz w:val="20"/>
                      <w:szCs w:val="20"/>
                    </w:rPr>
                  </w:pPr>
                  <w:r>
                    <w:rPr>
                      <w:sz w:val="20"/>
                      <w:szCs w:val="20"/>
                    </w:rPr>
                    <w:t>46 000</w:t>
                  </w:r>
                </w:p>
              </w:tc>
              <w:tc>
                <w:tcPr>
                  <w:tcW w:w="1417" w:type="dxa"/>
                  <w:vAlign w:val="center"/>
                </w:tcPr>
                <w:p w14:paraId="159E2C46" w14:textId="77777777" w:rsidR="008907FA" w:rsidRDefault="008907FA" w:rsidP="008907FA">
                  <w:pPr>
                    <w:ind w:right="79"/>
                    <w:jc w:val="center"/>
                    <w:rPr>
                      <w:sz w:val="20"/>
                      <w:szCs w:val="20"/>
                    </w:rPr>
                  </w:pPr>
                  <w:r>
                    <w:rPr>
                      <w:sz w:val="20"/>
                      <w:szCs w:val="20"/>
                    </w:rPr>
                    <w:t>-</w:t>
                  </w:r>
                </w:p>
              </w:tc>
              <w:tc>
                <w:tcPr>
                  <w:tcW w:w="1418" w:type="dxa"/>
                  <w:vAlign w:val="center"/>
                </w:tcPr>
                <w:p w14:paraId="7015293B" w14:textId="77777777" w:rsidR="008907FA" w:rsidRDefault="008907FA" w:rsidP="008907FA">
                  <w:pPr>
                    <w:ind w:right="79"/>
                    <w:jc w:val="center"/>
                    <w:rPr>
                      <w:sz w:val="20"/>
                      <w:szCs w:val="20"/>
                    </w:rPr>
                  </w:pPr>
                  <w:r>
                    <w:rPr>
                      <w:sz w:val="20"/>
                      <w:szCs w:val="20"/>
                    </w:rPr>
                    <w:t>nē</w:t>
                  </w:r>
                </w:p>
              </w:tc>
              <w:tc>
                <w:tcPr>
                  <w:tcW w:w="1417" w:type="dxa"/>
                  <w:vAlign w:val="center"/>
                </w:tcPr>
                <w:p w14:paraId="76DBB849" w14:textId="77777777" w:rsidR="008907FA" w:rsidRDefault="008907FA" w:rsidP="008907FA">
                  <w:pPr>
                    <w:ind w:right="79"/>
                    <w:jc w:val="center"/>
                    <w:rPr>
                      <w:sz w:val="20"/>
                      <w:szCs w:val="20"/>
                    </w:rPr>
                  </w:pPr>
                  <w:r>
                    <w:rPr>
                      <w:sz w:val="20"/>
                      <w:szCs w:val="20"/>
                    </w:rPr>
                    <w:t>nē</w:t>
                  </w:r>
                </w:p>
              </w:tc>
              <w:tc>
                <w:tcPr>
                  <w:tcW w:w="1418" w:type="dxa"/>
                  <w:vAlign w:val="center"/>
                </w:tcPr>
                <w:p w14:paraId="6639D276" w14:textId="77777777" w:rsidR="008907FA" w:rsidRDefault="008907FA" w:rsidP="008907FA">
                  <w:pPr>
                    <w:ind w:right="79"/>
                    <w:jc w:val="center"/>
                    <w:rPr>
                      <w:sz w:val="20"/>
                      <w:szCs w:val="20"/>
                    </w:rPr>
                  </w:pPr>
                  <w:r>
                    <w:rPr>
                      <w:sz w:val="20"/>
                      <w:szCs w:val="20"/>
                    </w:rPr>
                    <w:t>Saeimas komisija</w:t>
                  </w:r>
                </w:p>
              </w:tc>
            </w:tr>
          </w:tbl>
          <w:p w14:paraId="26927F81" w14:textId="63DB5BB8" w:rsidR="000D08B6" w:rsidRDefault="008907FA" w:rsidP="009F4308">
            <w:pPr>
              <w:ind w:left="132" w:right="79"/>
              <w:jc w:val="both"/>
            </w:pPr>
            <w:r>
              <w:t xml:space="preserve">   No iepriekš minētā un sniegtajiem piemēriem secināms, ka līdz ko nozares ministrija valsts budžeta apakšprogrammā ir lūgusi izmantot atlikumus dažādiem pasākumiem un tie sasniedz 5% no gadskārtējā valsts budžeta likumā plānotajiem kopējiem izdevumiem konkrētajā apakšprogrammā vai 100 000 </w:t>
            </w:r>
            <w:r w:rsidRPr="00806FB3">
              <w:rPr>
                <w:i/>
              </w:rPr>
              <w:t>euro</w:t>
            </w:r>
            <w:r>
              <w:t>, tad jau nākamo ministrijas lūgumu atlikuma izmantošanai nākamajam pasākumam būs jāskata Saeimas komisijai neatkarīgi no pieprasāmās summas apmēra.</w:t>
            </w:r>
            <w:r w:rsidR="00FF08F9">
              <w:t xml:space="preserve"> </w:t>
            </w:r>
            <w:r w:rsidR="00FF08F9" w:rsidRPr="0093200E">
              <w:t xml:space="preserve">Tādējādi nozares ministrijai ir jāplāno atlikumu izmantošana tā, lai nodrošinātu lemjamās </w:t>
            </w:r>
            <w:r w:rsidR="00FF08F9" w:rsidRPr="0093200E">
              <w:lastRenderedPageBreak/>
              <w:t xml:space="preserve">summas apmēra samērīgumu ar iesaistāmo lēmuma pieņēmēju (finanšu ministrs vai Saeimas Budžeta komisija). Vienlaikus paskaidrojam, ka likumprojekts nenosaka ievērot hronoloģisku secību, pie kā vērsties vispirms </w:t>
            </w:r>
            <w:r w:rsidR="001E141C" w:rsidRPr="0093200E">
              <w:t>– nozares ministrija var izvērtēt nepieciešamību un vērsties, piemēram, vispirms ar finansiāli ietilpīgāku pasākumu Saeimas Budžeta komisijā, tad ar finansiāli nelielu pasākumu pie finanšu ministra, un tad atkal ar lielāku summu Saeimas komisijā, utt.</w:t>
            </w:r>
            <w:r w:rsidR="001E141C">
              <w:t xml:space="preserve"> </w:t>
            </w:r>
          </w:p>
          <w:p w14:paraId="32613363" w14:textId="64252ACB" w:rsidR="00862322" w:rsidRDefault="00862322" w:rsidP="00862322">
            <w:pPr>
              <w:ind w:right="79"/>
              <w:jc w:val="both"/>
            </w:pPr>
          </w:p>
          <w:p w14:paraId="4DA787C2" w14:textId="17D40AAC" w:rsidR="00DE2959" w:rsidRDefault="00DE2959" w:rsidP="00B232AA">
            <w:pPr>
              <w:ind w:left="132" w:right="79"/>
            </w:pPr>
            <w:r>
              <w:rPr>
                <w:b/>
                <w:u w:val="single"/>
              </w:rPr>
              <w:t>Uzkrāšanas principa ieviešana</w:t>
            </w:r>
            <w:r w:rsidR="000B0465">
              <w:rPr>
                <w:b/>
                <w:u w:val="single"/>
              </w:rPr>
              <w:t xml:space="preserve"> ieņēmumu uzskaitē</w:t>
            </w:r>
            <w:r>
              <w:t>:</w:t>
            </w:r>
          </w:p>
          <w:p w14:paraId="2E4FBC5E" w14:textId="678D68A1" w:rsidR="00772255" w:rsidRDefault="00862322" w:rsidP="00FB0229">
            <w:pPr>
              <w:ind w:left="132" w:right="79"/>
              <w:jc w:val="both"/>
            </w:pPr>
            <w:r>
              <w:t>LBFV 29</w:t>
            </w:r>
            <w:r w:rsidR="008F77BA">
              <w:t>.</w:t>
            </w:r>
            <w:r w:rsidR="00CE0946">
              <w:t>panta pirmajā daļā noteikts</w:t>
            </w:r>
            <w:r w:rsidR="00772255" w:rsidRPr="00772255">
              <w:t>, ka V</w:t>
            </w:r>
            <w:r w:rsidR="00772255">
              <w:t>alsts kase</w:t>
            </w:r>
            <w:r w:rsidR="00772255" w:rsidRPr="00772255">
              <w:t xml:space="preserve"> </w:t>
            </w:r>
            <w:r w:rsidR="00FB0229">
              <w:t xml:space="preserve">(turpmāk – VK) </w:t>
            </w:r>
            <w:r w:rsidR="00772255" w:rsidRPr="00772255">
              <w:t>kārto valsts budžeta finanšu uzskaiti, t</w:t>
            </w:r>
            <w:r w:rsidR="00772255">
              <w:t>.i. veic valsts budžeta deleģēto</w:t>
            </w:r>
            <w:r w:rsidR="00772255" w:rsidRPr="00772255">
              <w:t xml:space="preserve"> funkciju. </w:t>
            </w:r>
            <w:r w:rsidR="00772255">
              <w:t xml:space="preserve">Šobrīd šis process tiek regulēts </w:t>
            </w:r>
            <w:r w:rsidR="00FB0229">
              <w:t>VK</w:t>
            </w:r>
            <w:r w:rsidR="00772255">
              <w:t xml:space="preserve"> iekšējos normatīvajos aktos. </w:t>
            </w:r>
            <w:r w:rsidR="00772255" w:rsidRPr="00772255">
              <w:t>LBFV 29. panta otrā un trešā daļa nosaka, ka dažādiem likuma subjektiem (budžeta iestādēm, no valsts budžeta daļēji finansētām atvasinātām publiskām personām, budžeta nefinansētām iestādēm) jāveic viens uzdevums – jākārto grāmatvedības uzskaite Ministru kabineta noteiktajā kārtībā</w:t>
            </w:r>
            <w:r w:rsidR="00772255">
              <w:t xml:space="preserve">. </w:t>
            </w:r>
            <w:r w:rsidR="00772255" w:rsidRPr="00B574F4">
              <w:t xml:space="preserve">LBFV esošajā redakcijā neparedz pienākumu </w:t>
            </w:r>
            <w:r w:rsidR="00FB0229">
              <w:t>VID</w:t>
            </w:r>
            <w:r w:rsidR="00772255">
              <w:t xml:space="preserve"> </w:t>
            </w:r>
            <w:r w:rsidR="00772255" w:rsidRPr="009B00B9">
              <w:t xml:space="preserve">veikt </w:t>
            </w:r>
            <w:r w:rsidR="00772255">
              <w:t>tā</w:t>
            </w:r>
            <w:r w:rsidR="00772255" w:rsidRPr="009B00B9">
              <w:t xml:space="preserve"> administrēto</w:t>
            </w:r>
            <w:r w:rsidR="00772255" w:rsidRPr="000310FD">
              <w:t xml:space="preserve"> valsts budžeta ieņēmum</w:t>
            </w:r>
            <w:r w:rsidR="00772255" w:rsidRPr="00B574F4">
              <w:t>u grāmatvedības uzskaiti</w:t>
            </w:r>
            <w:r w:rsidR="00772255">
              <w:t>. Likumprojekts nodrošina, ka tiks izstrādāta Ministru kabineta noteikta kārtība, atbilstoši kurai:</w:t>
            </w:r>
          </w:p>
          <w:p w14:paraId="43FA4069" w14:textId="12C129EE" w:rsidR="00772255" w:rsidRDefault="00772255" w:rsidP="00772255">
            <w:pPr>
              <w:pStyle w:val="ListParagraph"/>
              <w:numPr>
                <w:ilvl w:val="0"/>
                <w:numId w:val="12"/>
              </w:numPr>
              <w:spacing w:line="240" w:lineRule="auto"/>
              <w:ind w:right="79"/>
            </w:pPr>
            <w:r>
              <w:t xml:space="preserve">VID administrētie valsts budžeta </w:t>
            </w:r>
            <w:r w:rsidR="007D5F16">
              <w:t xml:space="preserve">nodokļu un uzņēmējdarbības riska valsts nodevas </w:t>
            </w:r>
            <w:r>
              <w:t>ieņēmumi tiks uzskaitīti pēc uzkrā</w:t>
            </w:r>
            <w:r w:rsidR="00653D90">
              <w:t>šanas</w:t>
            </w:r>
            <w:r>
              <w:t xml:space="preserve"> principa;</w:t>
            </w:r>
          </w:p>
          <w:p w14:paraId="695D913F" w14:textId="7928DD71" w:rsidR="00772255" w:rsidRDefault="00772255" w:rsidP="00772255">
            <w:pPr>
              <w:pStyle w:val="ListParagraph"/>
              <w:numPr>
                <w:ilvl w:val="0"/>
                <w:numId w:val="12"/>
              </w:numPr>
              <w:spacing w:line="240" w:lineRule="auto"/>
              <w:ind w:right="79"/>
            </w:pPr>
            <w:r>
              <w:t xml:space="preserve">tiks kārtota valsts budžeta finanšu grāmatvedības uzskaite (tātad </w:t>
            </w:r>
            <w:r w:rsidR="007D5F16">
              <w:t>uzskaites prasības tiks noteiktas</w:t>
            </w:r>
            <w:r>
              <w:t xml:space="preserve"> ārējā normatīvajā aktā</w:t>
            </w:r>
            <w:r w:rsidR="007D5F16">
              <w:t>, kas līdz šim bija noteiktas iestādes iekšējā normatīvajā aktā</w:t>
            </w:r>
            <w:r w:rsidR="000B0465">
              <w:t>)</w:t>
            </w:r>
            <w:r>
              <w:t>.</w:t>
            </w:r>
          </w:p>
          <w:p w14:paraId="42F19C01" w14:textId="77777777" w:rsidR="00772255" w:rsidRDefault="00772255" w:rsidP="00772255">
            <w:pPr>
              <w:ind w:left="132" w:right="79"/>
              <w:jc w:val="both"/>
            </w:pPr>
          </w:p>
          <w:p w14:paraId="0BAE7B9C" w14:textId="0E188A7E" w:rsidR="00772255" w:rsidRPr="00B574F4" w:rsidRDefault="00772255" w:rsidP="00772255">
            <w:pPr>
              <w:ind w:left="132" w:right="79"/>
              <w:jc w:val="both"/>
            </w:pPr>
            <w:r w:rsidRPr="00772255">
              <w:t>LBFV 30. pants</w:t>
            </w:r>
            <w:r w:rsidRPr="009B00B9">
              <w:t xml:space="preserve"> nosaka </w:t>
            </w:r>
            <w:r w:rsidRPr="000310FD">
              <w:t xml:space="preserve">budžeta iestādēm, no valsts budžeta daļēji finansētām atvasinātām publiskām personām, budžeta nefinansētām iestādēm </w:t>
            </w:r>
            <w:r w:rsidRPr="00B574F4">
              <w:t xml:space="preserve">pārskatu sagatavošanas un ziņojumu iesniegšanas kārtību </w:t>
            </w:r>
            <w:r w:rsidR="00FB0229">
              <w:t>VK</w:t>
            </w:r>
            <w:r w:rsidRPr="00B574F4">
              <w:t>.</w:t>
            </w:r>
            <w:r>
              <w:t xml:space="preserve"> </w:t>
            </w:r>
            <w:r w:rsidRPr="00B574F4">
              <w:t xml:space="preserve">LBFV esošajā redakcijā neparedz pienākumu </w:t>
            </w:r>
            <w:r w:rsidR="00FB0229">
              <w:t>VID</w:t>
            </w:r>
            <w:r w:rsidRPr="00B574F4">
              <w:t xml:space="preserve"> sagatavot </w:t>
            </w:r>
            <w:r w:rsidR="00FB0229">
              <w:t>ikgadējo</w:t>
            </w:r>
            <w:r w:rsidRPr="00B574F4">
              <w:t xml:space="preserve"> pārskatu par</w:t>
            </w:r>
            <w:r w:rsidRPr="009B00B9">
              <w:t xml:space="preserve"> </w:t>
            </w:r>
            <w:r>
              <w:t>tā</w:t>
            </w:r>
            <w:r w:rsidRPr="009B00B9">
              <w:t xml:space="preserve"> administrētiem valsts budžeta ieņēmumiem</w:t>
            </w:r>
            <w:r>
              <w:t xml:space="preserve">, un </w:t>
            </w:r>
            <w:r w:rsidR="00FB0229">
              <w:t>VK</w:t>
            </w:r>
            <w:r>
              <w:t xml:space="preserve"> – </w:t>
            </w:r>
            <w:r w:rsidRPr="009B00B9">
              <w:t>par valsts budžeta finanšu uzskaiti Ministru kabineta noteiktajā kārtībā. Likumprojekts nodro</w:t>
            </w:r>
            <w:r>
              <w:t>šina</w:t>
            </w:r>
            <w:r w:rsidRPr="00B574F4">
              <w:t>, ka atbilstoši Ministru kabineta noteiktajai kārtībai</w:t>
            </w:r>
            <w:r w:rsidR="007D5F16">
              <w:t>, sākot ar 2021.gadu</w:t>
            </w:r>
            <w:r w:rsidRPr="00B574F4">
              <w:t>:</w:t>
            </w:r>
          </w:p>
          <w:p w14:paraId="3FC8C3D3" w14:textId="523E4137" w:rsidR="00772255" w:rsidRPr="00772255" w:rsidRDefault="000B0465" w:rsidP="00205471">
            <w:pPr>
              <w:pStyle w:val="ListParagraph"/>
              <w:numPr>
                <w:ilvl w:val="0"/>
                <w:numId w:val="12"/>
              </w:numPr>
              <w:spacing w:line="240" w:lineRule="auto"/>
              <w:ind w:right="79"/>
            </w:pPr>
            <w:r>
              <w:t>VID sagatavos</w:t>
            </w:r>
            <w:r w:rsidR="00772255" w:rsidRPr="00B574F4">
              <w:t xml:space="preserve"> </w:t>
            </w:r>
            <w:r w:rsidR="00FB0229">
              <w:t>ikgadējo</w:t>
            </w:r>
            <w:r w:rsidR="00772255" w:rsidRPr="00B574F4">
              <w:t xml:space="preserve"> pārskatu par VID administrētiem valsts budžeta ieņēmumiem</w:t>
            </w:r>
            <w:r w:rsidR="00E0669A">
              <w:t xml:space="preserve"> iesniegšanai </w:t>
            </w:r>
            <w:r w:rsidR="00762882">
              <w:t>VK</w:t>
            </w:r>
            <w:r w:rsidR="00772255" w:rsidRPr="00B574F4">
              <w:t>;</w:t>
            </w:r>
          </w:p>
          <w:p w14:paraId="140D3951" w14:textId="49B2336F" w:rsidR="00772255" w:rsidRPr="00772255" w:rsidRDefault="00FB0229" w:rsidP="00205471">
            <w:pPr>
              <w:pStyle w:val="ListParagraph"/>
              <w:numPr>
                <w:ilvl w:val="0"/>
                <w:numId w:val="12"/>
              </w:numPr>
              <w:spacing w:line="240" w:lineRule="auto"/>
              <w:ind w:right="79"/>
            </w:pPr>
            <w:r>
              <w:t>VK</w:t>
            </w:r>
            <w:r w:rsidR="000B0465">
              <w:t xml:space="preserve"> sagatavos</w:t>
            </w:r>
            <w:r w:rsidR="00772255" w:rsidRPr="009B00B9">
              <w:t xml:space="preserve"> </w:t>
            </w:r>
            <w:r>
              <w:t>ikgadējo</w:t>
            </w:r>
            <w:r w:rsidR="00772255" w:rsidRPr="009B00B9">
              <w:t xml:space="preserve"> pārskatu par valsts budžeta finanšu uzskaiti ārējos normatīvajos aktos noteiktajā kārtībā.</w:t>
            </w:r>
          </w:p>
          <w:p w14:paraId="5590CAED" w14:textId="3295A6E7" w:rsidR="00205471" w:rsidRDefault="00772255" w:rsidP="00205471">
            <w:pPr>
              <w:ind w:left="132" w:right="152"/>
              <w:jc w:val="both"/>
            </w:pPr>
            <w:r w:rsidRPr="009B00B9">
              <w:t>Likumprojekts vienlaicīgi paredz LBFV pārejas noteikumos no</w:t>
            </w:r>
            <w:r w:rsidRPr="000310FD">
              <w:t>teikt jauno normu piemērošanas termiņus</w:t>
            </w:r>
            <w:r w:rsidR="00205471">
              <w:t>, un atbilstošo uz LBFV deleģējuma pamata izdodamo Ministru kabineta noteikumu piemērošanas termiņus</w:t>
            </w:r>
            <w:r w:rsidRPr="000310FD">
              <w:t>.</w:t>
            </w:r>
            <w:r w:rsidR="00205471">
              <w:t xml:space="preserve"> Attiecīgi, </w:t>
            </w:r>
          </w:p>
          <w:p w14:paraId="00E1C3B1" w14:textId="0EDD841D" w:rsidR="00205471" w:rsidRPr="00205471" w:rsidRDefault="00205471" w:rsidP="004D1022">
            <w:pPr>
              <w:pStyle w:val="ListParagraph"/>
              <w:widowControl w:val="0"/>
              <w:numPr>
                <w:ilvl w:val="0"/>
                <w:numId w:val="16"/>
              </w:numPr>
              <w:spacing w:line="240" w:lineRule="auto"/>
              <w:ind w:left="983" w:right="152"/>
              <w:rPr>
                <w:szCs w:val="24"/>
              </w:rPr>
            </w:pPr>
            <w:r w:rsidRPr="00205471">
              <w:t xml:space="preserve">sākot ar 2021. gada 1. janvāri VID </w:t>
            </w:r>
            <w:r>
              <w:t>veiks</w:t>
            </w:r>
            <w:r w:rsidRPr="00205471">
              <w:t xml:space="preserve"> </w:t>
            </w:r>
            <w:r>
              <w:t>tā</w:t>
            </w:r>
            <w:r w:rsidRPr="00205471">
              <w:t xml:space="preserve"> administrēto </w:t>
            </w:r>
            <w:r w:rsidR="007D5F16">
              <w:t>valsts budžeta nodokļu un uzņēmējdarbības riska valsts nodevas</w:t>
            </w:r>
            <w:r w:rsidR="007D5F16" w:rsidRPr="00205471">
              <w:t xml:space="preserve"> </w:t>
            </w:r>
            <w:r w:rsidRPr="00205471">
              <w:t>ieņēmumu uzskaiti s</w:t>
            </w:r>
            <w:r w:rsidR="000B0465">
              <w:t>askaņā ar uzkrāšanas principu Ministru kabineta</w:t>
            </w:r>
            <w:r w:rsidRPr="00205471">
              <w:t xml:space="preserve"> noteiktajā kārtībā (līdz tam šo ieņēmumu uzskaitē piemēro nauda</w:t>
            </w:r>
            <w:r w:rsidR="000B0465">
              <w:t xml:space="preserve">s plūsmas principu saskaņā ar </w:t>
            </w:r>
            <w:r w:rsidR="00FB0229">
              <w:t>VK</w:t>
            </w:r>
            <w:r w:rsidRPr="00205471">
              <w:t xml:space="preserve"> valsts budžeta </w:t>
            </w:r>
            <w:r w:rsidR="007D5F16">
              <w:t xml:space="preserve">finanšu </w:t>
            </w:r>
            <w:r w:rsidRPr="00205471">
              <w:t>uzskaites datiem)</w:t>
            </w:r>
            <w:r w:rsidR="004D1022">
              <w:t xml:space="preserve">. Jāvērš uzmanība, ka </w:t>
            </w:r>
            <w:r w:rsidR="004D1022" w:rsidRPr="004D1022">
              <w:t xml:space="preserve">VID </w:t>
            </w:r>
            <w:r w:rsidR="004D1022">
              <w:t xml:space="preserve">būs </w:t>
            </w:r>
            <w:r w:rsidR="004D1022" w:rsidRPr="004D1022">
              <w:t>jāveic valstij piekritīgās mantas uzskaite atbilstoši Ministru kabineta noteikumos par grāmatvedības uzskaites kārtību budžeta iestādēs noteiktajam. Savukārt izņemtās mantas uzskaitē līdz tās atzīšanai par valstij piekritīgu mantu</w:t>
            </w:r>
            <w:r w:rsidR="007D5F16">
              <w:t>,</w:t>
            </w:r>
            <w:r w:rsidR="004D1022" w:rsidRPr="004D1022">
              <w:t xml:space="preserve"> nav piemērojami </w:t>
            </w:r>
            <w:r w:rsidR="004D1022">
              <w:t>M</w:t>
            </w:r>
            <w:r w:rsidR="004D1022" w:rsidRPr="004D1022">
              <w:t>inistru kabineta noteikumi par grāmatvedības uzskaites kārtību budžeta iestādēs</w:t>
            </w:r>
            <w:r w:rsidR="004D1022">
              <w:t>,</w:t>
            </w:r>
            <w:r w:rsidR="004D1022" w:rsidRPr="004D1022">
              <w:t xml:space="preserve"> un izņemtās mantas uzskaite veicama, ievērojot Ministru kabineta 2010</w:t>
            </w:r>
            <w:r w:rsidR="007D5F16">
              <w:t>.</w:t>
            </w:r>
            <w:r w:rsidR="00CE0946">
              <w:t xml:space="preserve"> </w:t>
            </w:r>
            <w:r w:rsidR="007D5F16">
              <w:t>gada 7.</w:t>
            </w:r>
            <w:r w:rsidR="00CE0946">
              <w:t xml:space="preserve"> </w:t>
            </w:r>
            <w:r w:rsidR="007D5F16">
              <w:t>decembra noteikumus Nr.</w:t>
            </w:r>
            <w:r w:rsidR="004D1022" w:rsidRPr="004D1022">
              <w:t>1098  “Noteikumi par rīcību ar administratīvo pārkāpumu lietās izņemto mantu un dokumentiem”.</w:t>
            </w:r>
            <w:r w:rsidRPr="00205471">
              <w:t>;</w:t>
            </w:r>
          </w:p>
          <w:p w14:paraId="25F135C7" w14:textId="4EE5BF39" w:rsidR="00205471" w:rsidRDefault="00205471" w:rsidP="000B0465">
            <w:pPr>
              <w:pStyle w:val="ListParagraph"/>
              <w:widowControl w:val="0"/>
              <w:numPr>
                <w:ilvl w:val="0"/>
                <w:numId w:val="16"/>
              </w:numPr>
              <w:spacing w:line="240" w:lineRule="auto"/>
              <w:ind w:left="983" w:right="152" w:hanging="426"/>
              <w:rPr>
                <w:szCs w:val="24"/>
              </w:rPr>
            </w:pPr>
            <w:r w:rsidRPr="00205471">
              <w:rPr>
                <w:szCs w:val="24"/>
              </w:rPr>
              <w:t>s</w:t>
            </w:r>
            <w:r w:rsidR="000B0465">
              <w:rPr>
                <w:szCs w:val="24"/>
              </w:rPr>
              <w:t xml:space="preserve">ākot ar 2021. gada 1. janvāri </w:t>
            </w:r>
            <w:r w:rsidR="00FB0229">
              <w:rPr>
                <w:szCs w:val="24"/>
              </w:rPr>
              <w:t>VK</w:t>
            </w:r>
            <w:r w:rsidRPr="00205471">
              <w:rPr>
                <w:szCs w:val="24"/>
              </w:rPr>
              <w:t xml:space="preserve"> veiks va</w:t>
            </w:r>
            <w:r w:rsidR="000B0465">
              <w:rPr>
                <w:szCs w:val="24"/>
              </w:rPr>
              <w:t xml:space="preserve">lsts budžeta finanšu uzskaiti </w:t>
            </w:r>
            <w:r w:rsidR="000B0465">
              <w:rPr>
                <w:szCs w:val="24"/>
              </w:rPr>
              <w:lastRenderedPageBreak/>
              <w:t xml:space="preserve">Ministru kabineta noteiktajā kārtībā (līdz tam </w:t>
            </w:r>
            <w:r w:rsidR="00FB0229">
              <w:rPr>
                <w:szCs w:val="24"/>
              </w:rPr>
              <w:t>VK</w:t>
            </w:r>
            <w:r w:rsidRPr="00205471">
              <w:rPr>
                <w:szCs w:val="24"/>
              </w:rPr>
              <w:t xml:space="preserve"> valsts budžeta finanšu uzskaiti veic iekšējos normatīvajos aktos noteiktajā kārtībā); </w:t>
            </w:r>
          </w:p>
          <w:p w14:paraId="376D50BC" w14:textId="4E5F569A" w:rsidR="00205471" w:rsidRDefault="00205471" w:rsidP="000B0465">
            <w:pPr>
              <w:pStyle w:val="ListParagraph"/>
              <w:widowControl w:val="0"/>
              <w:numPr>
                <w:ilvl w:val="0"/>
                <w:numId w:val="16"/>
              </w:numPr>
              <w:spacing w:line="240" w:lineRule="auto"/>
              <w:ind w:left="983" w:right="152" w:hanging="426"/>
              <w:rPr>
                <w:szCs w:val="24"/>
              </w:rPr>
            </w:pPr>
            <w:r w:rsidRPr="00205471">
              <w:rPr>
                <w:szCs w:val="24"/>
              </w:rPr>
              <w:t>par 2021.</w:t>
            </w:r>
            <w:r w:rsidR="00CE0946">
              <w:rPr>
                <w:szCs w:val="24"/>
              </w:rPr>
              <w:t xml:space="preserve"> </w:t>
            </w:r>
            <w:r w:rsidRPr="00205471">
              <w:rPr>
                <w:szCs w:val="24"/>
              </w:rPr>
              <w:t>gadu līdz 2022.gada 1.</w:t>
            </w:r>
            <w:r w:rsidR="00CE0946">
              <w:rPr>
                <w:szCs w:val="24"/>
              </w:rPr>
              <w:t xml:space="preserve"> </w:t>
            </w:r>
            <w:r w:rsidRPr="00205471">
              <w:rPr>
                <w:szCs w:val="24"/>
              </w:rPr>
              <w:t>maijam VID sagatavo atsevišķu gada pārskatu par VID administrēt</w:t>
            </w:r>
            <w:r w:rsidR="000B0465">
              <w:rPr>
                <w:szCs w:val="24"/>
              </w:rPr>
              <w:t>iem valsts budžeta ieņēmumiem Ministru kabineta</w:t>
            </w:r>
            <w:r w:rsidRPr="00205471">
              <w:rPr>
                <w:szCs w:val="24"/>
              </w:rPr>
              <w:t xml:space="preserve"> noteiktajā kārtībā (līd</w:t>
            </w:r>
            <w:r w:rsidR="000B0465">
              <w:rPr>
                <w:szCs w:val="24"/>
              </w:rPr>
              <w:t xml:space="preserve">z tam šos ieņēmumus pārskatos </w:t>
            </w:r>
            <w:r w:rsidR="00FB0229">
              <w:rPr>
                <w:szCs w:val="24"/>
              </w:rPr>
              <w:t>VK</w:t>
            </w:r>
            <w:r w:rsidRPr="00205471">
              <w:rPr>
                <w:szCs w:val="24"/>
              </w:rPr>
              <w:t xml:space="preserve"> uzrādīja saskaņā ar naudas plūsmas principu); </w:t>
            </w:r>
          </w:p>
          <w:p w14:paraId="222003FF" w14:textId="5E06FBCE" w:rsidR="00205471" w:rsidRDefault="00205471" w:rsidP="000B0465">
            <w:pPr>
              <w:pStyle w:val="ListParagraph"/>
              <w:widowControl w:val="0"/>
              <w:numPr>
                <w:ilvl w:val="0"/>
                <w:numId w:val="16"/>
              </w:numPr>
              <w:spacing w:line="240" w:lineRule="auto"/>
              <w:ind w:left="983" w:right="152" w:hanging="426"/>
              <w:rPr>
                <w:szCs w:val="24"/>
              </w:rPr>
            </w:pPr>
            <w:r w:rsidRPr="00205471">
              <w:rPr>
                <w:szCs w:val="24"/>
              </w:rPr>
              <w:t>par 2021</w:t>
            </w:r>
            <w:r w:rsidR="000B0465">
              <w:rPr>
                <w:szCs w:val="24"/>
              </w:rPr>
              <w:t>.</w:t>
            </w:r>
            <w:r w:rsidR="00CE0946">
              <w:rPr>
                <w:szCs w:val="24"/>
              </w:rPr>
              <w:t xml:space="preserve"> </w:t>
            </w:r>
            <w:r w:rsidR="000B0465">
              <w:rPr>
                <w:szCs w:val="24"/>
              </w:rPr>
              <w:t>gadu līdz 2022.</w:t>
            </w:r>
            <w:r w:rsidR="00CE0946">
              <w:rPr>
                <w:szCs w:val="24"/>
              </w:rPr>
              <w:t xml:space="preserve"> </w:t>
            </w:r>
            <w:r w:rsidR="000B0465">
              <w:rPr>
                <w:szCs w:val="24"/>
              </w:rPr>
              <w:t>gada 1.</w:t>
            </w:r>
            <w:r w:rsidR="00CE0946">
              <w:rPr>
                <w:szCs w:val="24"/>
              </w:rPr>
              <w:t xml:space="preserve"> </w:t>
            </w:r>
            <w:r w:rsidR="000B0465">
              <w:rPr>
                <w:szCs w:val="24"/>
              </w:rPr>
              <w:t xml:space="preserve">maijam </w:t>
            </w:r>
            <w:r w:rsidR="00FB0229">
              <w:rPr>
                <w:szCs w:val="24"/>
              </w:rPr>
              <w:t>VK</w:t>
            </w:r>
            <w:r w:rsidRPr="00205471">
              <w:rPr>
                <w:szCs w:val="24"/>
              </w:rPr>
              <w:t xml:space="preserve"> sagatavo atsevišķu gada pārskatu par va</w:t>
            </w:r>
            <w:r w:rsidR="000B0465">
              <w:rPr>
                <w:szCs w:val="24"/>
              </w:rPr>
              <w:t>lsts budžeta finanšu uzskaiti Ministru kabineta</w:t>
            </w:r>
            <w:r w:rsidRPr="00205471">
              <w:rPr>
                <w:szCs w:val="24"/>
              </w:rPr>
              <w:t xml:space="preserve"> noteiktajā kārtībā (līdz tam šo pārskatu </w:t>
            </w:r>
            <w:r w:rsidR="00FB0229">
              <w:rPr>
                <w:szCs w:val="24"/>
              </w:rPr>
              <w:t>VK</w:t>
            </w:r>
            <w:r w:rsidRPr="00205471">
              <w:rPr>
                <w:szCs w:val="24"/>
              </w:rPr>
              <w:t xml:space="preserve"> sagatavoja iekšējos normatīvajos aktos not</w:t>
            </w:r>
            <w:r w:rsidR="007D5F16">
              <w:rPr>
                <w:szCs w:val="24"/>
              </w:rPr>
              <w:t>eiktajā kārtībā un termiņos);</w:t>
            </w:r>
          </w:p>
          <w:p w14:paraId="4366A1C6" w14:textId="2A77BC3B" w:rsidR="0042237E" w:rsidRPr="0093200E" w:rsidRDefault="00210E56" w:rsidP="00210E56">
            <w:pPr>
              <w:pStyle w:val="ListParagraph"/>
              <w:widowControl w:val="0"/>
              <w:numPr>
                <w:ilvl w:val="0"/>
                <w:numId w:val="16"/>
              </w:numPr>
              <w:spacing w:line="240" w:lineRule="auto"/>
              <w:ind w:left="983" w:right="152" w:hanging="426"/>
              <w:rPr>
                <w:szCs w:val="24"/>
              </w:rPr>
            </w:pPr>
            <w:r w:rsidRPr="0093200E">
              <w:t xml:space="preserve">līdz ar LBFV 29.panta izteikšanu jaunā redakcijā Ministru kabineta </w:t>
            </w:r>
            <w:r w:rsidRPr="0093200E">
              <w:rPr>
                <w:szCs w:val="24"/>
              </w:rPr>
              <w:t xml:space="preserve">2009. gada 15. decembra noteikumi Nr.1486 “Kārtība, kādā budžeta iestādes kārto grāmatvedības uzskaiti” zaudē spēku, tomēr atbilstoši likumprojektā paredzētajiem jaunajiem Pārejas noteikumu punktiem </w:t>
            </w:r>
            <w:r w:rsidR="003F08CA" w:rsidRPr="0093200E">
              <w:t xml:space="preserve">budžeta iestādes, no valsts budžeta daļēji finansētās atvasinātās publiskās personas, budžeta nefinansētās iestādes </w:t>
            </w:r>
            <w:r w:rsidR="00272789" w:rsidRPr="0093200E">
              <w:t>šos MK noteikumus</w:t>
            </w:r>
            <w:r w:rsidRPr="0093200E">
              <w:t xml:space="preserve"> piemēros </w:t>
            </w:r>
            <w:r w:rsidR="003F08CA" w:rsidRPr="0093200E">
              <w:t>līdz 2018.</w:t>
            </w:r>
            <w:r w:rsidR="00CE0946" w:rsidRPr="0093200E">
              <w:t xml:space="preserve"> </w:t>
            </w:r>
            <w:r w:rsidR="003F08CA" w:rsidRPr="0093200E">
              <w:t>gada beigām</w:t>
            </w:r>
            <w:r w:rsidRPr="0093200E">
              <w:t xml:space="preserve">, kā arī sagatavojot gada pārskatu par 2018.gadu, savukārt </w:t>
            </w:r>
            <w:r w:rsidR="003F08CA" w:rsidRPr="0093200E">
              <w:rPr>
                <w:szCs w:val="24"/>
              </w:rPr>
              <w:t>no 2019.</w:t>
            </w:r>
            <w:r w:rsidR="00CE0946" w:rsidRPr="0093200E">
              <w:rPr>
                <w:szCs w:val="24"/>
              </w:rPr>
              <w:t xml:space="preserve"> </w:t>
            </w:r>
            <w:r w:rsidR="003F08CA" w:rsidRPr="0093200E">
              <w:rPr>
                <w:szCs w:val="24"/>
              </w:rPr>
              <w:t>gada 1.</w:t>
            </w:r>
            <w:r w:rsidR="00CE0946" w:rsidRPr="0093200E">
              <w:rPr>
                <w:szCs w:val="24"/>
              </w:rPr>
              <w:t xml:space="preserve"> </w:t>
            </w:r>
            <w:r w:rsidR="003F08CA" w:rsidRPr="0093200E">
              <w:rPr>
                <w:szCs w:val="24"/>
              </w:rPr>
              <w:t xml:space="preserve">janvāra </w:t>
            </w:r>
            <w:r w:rsidRPr="0093200E">
              <w:rPr>
                <w:szCs w:val="24"/>
              </w:rPr>
              <w:t>–</w:t>
            </w:r>
            <w:r w:rsidR="007D5F16" w:rsidRPr="0093200E">
              <w:rPr>
                <w:szCs w:val="24"/>
              </w:rPr>
              <w:t xml:space="preserve"> </w:t>
            </w:r>
            <w:r w:rsidRPr="0093200E">
              <w:rPr>
                <w:szCs w:val="24"/>
              </w:rPr>
              <w:t xml:space="preserve">piemēros </w:t>
            </w:r>
            <w:r w:rsidR="007D5F16" w:rsidRPr="0093200E">
              <w:rPr>
                <w:szCs w:val="24"/>
              </w:rPr>
              <w:t>jaunos MK noteikumu</w:t>
            </w:r>
            <w:r w:rsidR="00FB0229" w:rsidRPr="0093200E">
              <w:rPr>
                <w:szCs w:val="24"/>
              </w:rPr>
              <w:t>s</w:t>
            </w:r>
            <w:r w:rsidR="003F08CA" w:rsidRPr="0093200E">
              <w:rPr>
                <w:szCs w:val="24"/>
              </w:rPr>
              <w:t>.</w:t>
            </w:r>
          </w:p>
          <w:p w14:paraId="75B70A24" w14:textId="77777777" w:rsidR="000B0465" w:rsidRDefault="000B0465" w:rsidP="00205471">
            <w:pPr>
              <w:widowControl w:val="0"/>
              <w:spacing w:after="120"/>
              <w:ind w:left="132" w:right="152"/>
              <w:jc w:val="both"/>
            </w:pPr>
          </w:p>
          <w:p w14:paraId="73EB866F" w14:textId="29467217" w:rsidR="000B0465" w:rsidRDefault="000B0465" w:rsidP="00205471">
            <w:pPr>
              <w:widowControl w:val="0"/>
              <w:spacing w:after="120"/>
              <w:ind w:left="132" w:right="152"/>
              <w:jc w:val="both"/>
            </w:pPr>
            <w:r>
              <w:t xml:space="preserve">Izstrādātie grozījumi sniedz pilnvarojumu turpmākai </w:t>
            </w:r>
            <w:r w:rsidRPr="00B574F4">
              <w:t xml:space="preserve">VID deleģētās funkcijas nostiprināšanai citos ārējos un iekšējos normatīvajos aktos, </w:t>
            </w:r>
            <w:r>
              <w:t>VID</w:t>
            </w:r>
            <w:r w:rsidRPr="00B574F4">
              <w:t xml:space="preserve"> jauno funkciju noteikšanai, iepirkumu organizēšanai </w:t>
            </w:r>
            <w:r>
              <w:t>(</w:t>
            </w:r>
            <w:r w:rsidRPr="00B574F4">
              <w:t xml:space="preserve">informācijas sistēmu </w:t>
            </w:r>
            <w:r w:rsidR="00546610">
              <w:t>pielāgošanai</w:t>
            </w:r>
            <w:r>
              <w:t>)</w:t>
            </w:r>
            <w:r w:rsidR="00862322">
              <w:t>, lai nodrošinātu, ka ar 2021.gada 1.</w:t>
            </w:r>
            <w:r w:rsidRPr="00B574F4">
              <w:t>janvāri VID var uzsākt uzkrāšanas principa piemērošanu tā administrēto valsts budžeta ieņēmumu uzskaitē.</w:t>
            </w:r>
          </w:p>
          <w:p w14:paraId="41460E9A" w14:textId="63AF2FE4" w:rsidR="00205471" w:rsidRPr="00205471" w:rsidRDefault="00205471" w:rsidP="00205471">
            <w:pPr>
              <w:widowControl w:val="0"/>
              <w:spacing w:after="120"/>
              <w:ind w:left="132" w:right="152"/>
              <w:jc w:val="both"/>
            </w:pPr>
            <w:r w:rsidRPr="009B00B9">
              <w:t>Šāds tiesiskais regulējums veicinā</w:t>
            </w:r>
            <w:r w:rsidR="007D5F16">
              <w:t>s to, ka finanšu pārskati snieg</w:t>
            </w:r>
            <w:r w:rsidRPr="009B00B9">
              <w:t>s pilnīgāku</w:t>
            </w:r>
            <w:r w:rsidRPr="000310FD">
              <w:t xml:space="preserve"> un skaidrāku</w:t>
            </w:r>
            <w:r w:rsidRPr="00B574F4">
              <w:t xml:space="preserve"> informāciju par valsts finanšu stāvokli.</w:t>
            </w:r>
            <w:r>
              <w:t xml:space="preserve"> </w:t>
            </w:r>
            <w:r w:rsidRPr="00B574F4">
              <w:t>Jaunajos normatīvos aktos par grāmatvedības uzskaiti</w:t>
            </w:r>
            <w:r>
              <w:t xml:space="preserve"> </w:t>
            </w:r>
            <w:r w:rsidRPr="009B00B9">
              <w:t xml:space="preserve">un gada pārskata sagatavošanas kārtību </w:t>
            </w:r>
            <w:r>
              <w:t>tiks iestrādātas</w:t>
            </w:r>
            <w:r w:rsidRPr="009B00B9">
              <w:t xml:space="preserve"> prasības, kas nodrošinās, ka finanšu pārskati atbildīs labākai starptautiskai praksei un Starptautiskiem publiskā sektora grāmatvedības standartiem tiktāl, ciktāl tas būs atbilstoši Latvijas situācijai, tai skaitā par VID administrēto valsts budžeta ieņēmumu uzskaiti.</w:t>
            </w:r>
          </w:p>
          <w:p w14:paraId="7219A061" w14:textId="77777777" w:rsidR="00DE2959" w:rsidRDefault="00DE2959" w:rsidP="00B232AA">
            <w:pPr>
              <w:ind w:left="132" w:right="79"/>
            </w:pPr>
          </w:p>
          <w:p w14:paraId="742A7987" w14:textId="7E01D128" w:rsidR="00117A95" w:rsidRDefault="00A52582" w:rsidP="00B232AA">
            <w:pPr>
              <w:ind w:left="130" w:right="79"/>
              <w:jc w:val="both"/>
            </w:pPr>
            <w:r>
              <w:rPr>
                <w:b/>
                <w:u w:val="single"/>
              </w:rPr>
              <w:t>Citi grozī</w:t>
            </w:r>
            <w:r w:rsidR="00117A95" w:rsidRPr="00117A95">
              <w:rPr>
                <w:b/>
                <w:u w:val="single"/>
              </w:rPr>
              <w:t>jumi</w:t>
            </w:r>
            <w:r w:rsidR="00117A95">
              <w:t>:</w:t>
            </w:r>
          </w:p>
          <w:p w14:paraId="04441960" w14:textId="103E785A" w:rsidR="00117A95" w:rsidRPr="007B63E9" w:rsidRDefault="007B63E9" w:rsidP="007B63E9">
            <w:pPr>
              <w:pStyle w:val="ListParagraph"/>
              <w:numPr>
                <w:ilvl w:val="0"/>
                <w:numId w:val="12"/>
              </w:numPr>
              <w:spacing w:line="240" w:lineRule="auto"/>
              <w:ind w:left="132" w:right="79" w:firstLine="421"/>
              <w:rPr>
                <w:szCs w:val="24"/>
              </w:rPr>
            </w:pPr>
            <w:r>
              <w:t>paredzēts precizēt LBFV 19.panta trešo daļu</w:t>
            </w:r>
            <w:r w:rsidR="00117A95">
              <w:t>, jo tās pašreizējā redakcija neatbilst aktuālai situācijai</w:t>
            </w:r>
            <w:r w:rsidR="00762882">
              <w:t xml:space="preserve"> un citām jaunākām LBFV normām</w:t>
            </w:r>
            <w:r w:rsidR="00117A95">
              <w:t xml:space="preserve">. Atbilstoši budžeta grafikam, ministrijas iesniedz budžeta pieprasījumus Finanšu ministrijā septembra sākumā/septembra vidū, kad </w:t>
            </w:r>
            <w:r w:rsidR="008578BF">
              <w:t>lielākoties</w:t>
            </w:r>
            <w:r w:rsidR="00117A95">
              <w:t xml:space="preserve"> lēmumi par budžeta projekta </w:t>
            </w:r>
            <w:r w:rsidR="00117A95" w:rsidRPr="005859FE">
              <w:rPr>
                <w:szCs w:val="24"/>
              </w:rPr>
              <w:t xml:space="preserve">sastāvdaļām jau ir pieņemti (budžeta bāzes, budžeta izdevumu pārskatīšanas rezultāti, prioritārie pasākumi). Normas par izdevumu </w:t>
            </w:r>
            <w:r w:rsidR="00762882">
              <w:rPr>
                <w:szCs w:val="24"/>
              </w:rPr>
              <w:t xml:space="preserve">pamatotības un efektivitātes </w:t>
            </w:r>
            <w:r w:rsidR="00117A95" w:rsidRPr="005859FE">
              <w:rPr>
                <w:szCs w:val="24"/>
              </w:rPr>
              <w:t xml:space="preserve">izvērtēšanu </w:t>
            </w:r>
            <w:r w:rsidR="00762882">
              <w:rPr>
                <w:szCs w:val="24"/>
              </w:rPr>
              <w:t xml:space="preserve">dažādās budžeta sagatavošanas fāzēs </w:t>
            </w:r>
            <w:r w:rsidR="00117A95" w:rsidRPr="005859FE">
              <w:rPr>
                <w:szCs w:val="24"/>
              </w:rPr>
              <w:t>ir jau iekļautas LBFV 16.</w:t>
            </w:r>
            <w:r w:rsidR="00117A95" w:rsidRPr="005859FE">
              <w:rPr>
                <w:szCs w:val="24"/>
                <w:vertAlign w:val="superscript"/>
              </w:rPr>
              <w:t>3</w:t>
            </w:r>
            <w:r w:rsidR="00117A95" w:rsidRPr="005859FE">
              <w:rPr>
                <w:szCs w:val="24"/>
              </w:rPr>
              <w:t xml:space="preserve"> pantā “Valsts budžeta izdevumu pārskatīšana” un šajos grozījumos 16.</w:t>
            </w:r>
            <w:r w:rsidR="00117A95" w:rsidRPr="005859FE">
              <w:rPr>
                <w:szCs w:val="24"/>
                <w:vertAlign w:val="superscript"/>
              </w:rPr>
              <w:t>1</w:t>
            </w:r>
            <w:r w:rsidR="00117A95" w:rsidRPr="005859FE">
              <w:rPr>
                <w:szCs w:val="24"/>
              </w:rPr>
              <w:t xml:space="preserve"> pantā “Vidēja termiņa prioritārie pasākumi”. 19.panta trešajā daļā </w:t>
            </w:r>
            <w:r>
              <w:rPr>
                <w:szCs w:val="24"/>
              </w:rPr>
              <w:t xml:space="preserve">paredzēts precizēt formulējumu, </w:t>
            </w:r>
            <w:r w:rsidR="00762882" w:rsidRPr="007B63E9">
              <w:rPr>
                <w:szCs w:val="24"/>
              </w:rPr>
              <w:t xml:space="preserve">kā arī </w:t>
            </w:r>
            <w:r w:rsidR="00117A95" w:rsidRPr="007B63E9">
              <w:rPr>
                <w:szCs w:val="24"/>
              </w:rPr>
              <w:t xml:space="preserve">saglabātas finanšu ministra tiesības jebkurā valsts budžeta likuma projekta izskatīšanas stadijā </w:t>
            </w:r>
            <w:r w:rsidR="00E31BE4">
              <w:rPr>
                <w:szCs w:val="24"/>
              </w:rPr>
              <w:t xml:space="preserve">līdz tā iesniegšanai Ministru kabinetam </w:t>
            </w:r>
            <w:r w:rsidR="00117A95" w:rsidRPr="007B63E9">
              <w:rPr>
                <w:szCs w:val="24"/>
              </w:rPr>
              <w:t>pieprasīt nepieciešamo papildu informāciju, izteikt savu viedokli, pievienot nepieciešamos atzinumus, kā arī atsevišķu revīziju rezultātus</w:t>
            </w:r>
            <w:r w:rsidR="00762882" w:rsidRPr="007B63E9">
              <w:rPr>
                <w:szCs w:val="24"/>
              </w:rPr>
              <w:t>, lai atbilstoši konkrētajai situācijai izvērtētu jebkura finanšu pieprasījuma atbilstību paredzētajiem mērķiem un sasniedzamajiem rezultātiem</w:t>
            </w:r>
            <w:r w:rsidR="00862322" w:rsidRPr="007B63E9">
              <w:rPr>
                <w:szCs w:val="24"/>
              </w:rPr>
              <w:t xml:space="preserve"> un finan</w:t>
            </w:r>
            <w:r w:rsidR="006E6776" w:rsidRPr="007B63E9">
              <w:rPr>
                <w:szCs w:val="24"/>
              </w:rPr>
              <w:t>šu ministrs varētu pieņemt lēmumu par budžeta pieprasījumu iekļaušanu valsts budžeta likuma projektā;</w:t>
            </w:r>
          </w:p>
          <w:p w14:paraId="51F532C8" w14:textId="660017E9" w:rsidR="00117A95" w:rsidRPr="00BE1286" w:rsidRDefault="00073014" w:rsidP="00DE2959">
            <w:pPr>
              <w:pStyle w:val="ListParagraph"/>
              <w:numPr>
                <w:ilvl w:val="0"/>
                <w:numId w:val="12"/>
              </w:numPr>
              <w:spacing w:line="240" w:lineRule="auto"/>
              <w:ind w:left="132" w:right="79" w:firstLine="421"/>
            </w:pPr>
            <w:r>
              <w:rPr>
                <w:szCs w:val="24"/>
              </w:rPr>
              <w:lastRenderedPageBreak/>
              <w:t xml:space="preserve">lai harmonizētu MK noteikumus ar likuma normām, </w:t>
            </w:r>
            <w:r w:rsidR="007B63E9">
              <w:rPr>
                <w:szCs w:val="24"/>
              </w:rPr>
              <w:t>paredzēts</w:t>
            </w:r>
            <w:r w:rsidR="00450EC1" w:rsidRPr="005859FE">
              <w:rPr>
                <w:szCs w:val="24"/>
              </w:rPr>
              <w:t xml:space="preserve"> </w:t>
            </w:r>
            <w:r w:rsidR="007B63E9">
              <w:rPr>
                <w:szCs w:val="24"/>
              </w:rPr>
              <w:t xml:space="preserve">aizstāt </w:t>
            </w:r>
            <w:r w:rsidR="00450EC1" w:rsidRPr="005859FE">
              <w:rPr>
                <w:szCs w:val="24"/>
              </w:rPr>
              <w:t>16.</w:t>
            </w:r>
            <w:r w:rsidR="00450EC1" w:rsidRPr="005859FE">
              <w:rPr>
                <w:szCs w:val="24"/>
                <w:vertAlign w:val="superscript"/>
              </w:rPr>
              <w:t>2</w:t>
            </w:r>
            <w:r>
              <w:rPr>
                <w:szCs w:val="24"/>
              </w:rPr>
              <w:t xml:space="preserve"> pantā un</w:t>
            </w:r>
            <w:r w:rsidR="007B63E9">
              <w:rPr>
                <w:szCs w:val="24"/>
              </w:rPr>
              <w:t xml:space="preserve"> 18.pantā lietoto vārdu</w:t>
            </w:r>
            <w:r w:rsidR="00450EC1" w:rsidRPr="005859FE">
              <w:rPr>
                <w:szCs w:val="24"/>
              </w:rPr>
              <w:t xml:space="preserve"> “kontingents” </w:t>
            </w:r>
            <w:r w:rsidR="007B63E9">
              <w:rPr>
                <w:szCs w:val="24"/>
              </w:rPr>
              <w:t>ar</w:t>
            </w:r>
            <w:r w:rsidR="00450EC1" w:rsidRPr="005859FE">
              <w:rPr>
                <w:szCs w:val="24"/>
              </w:rPr>
              <w:t xml:space="preserve"> vārdu “skaits”. Tas ir redakcionāls precizējums, kurš nevieš saturiskās izmaiņas, un ir izrietošs no līdzvērtīgiem precizējumiem, kas veikti ar </w:t>
            </w:r>
            <w:r w:rsidR="005859FE" w:rsidRPr="005859FE">
              <w:rPr>
                <w:szCs w:val="24"/>
              </w:rPr>
              <w:t xml:space="preserve">Ministru kabineta </w:t>
            </w:r>
            <w:r w:rsidR="00762882">
              <w:rPr>
                <w:szCs w:val="24"/>
              </w:rPr>
              <w:t xml:space="preserve">03.05.2017. </w:t>
            </w:r>
            <w:r w:rsidR="005859FE" w:rsidRPr="005859FE">
              <w:rPr>
                <w:szCs w:val="24"/>
              </w:rPr>
              <w:t xml:space="preserve">noteikumiem </w:t>
            </w:r>
            <w:r w:rsidR="00DE2959">
              <w:rPr>
                <w:szCs w:val="24"/>
              </w:rPr>
              <w:t>Nr.264</w:t>
            </w:r>
            <w:r w:rsidR="005859FE" w:rsidRPr="005859FE">
              <w:rPr>
                <w:szCs w:val="24"/>
              </w:rPr>
              <w:t xml:space="preserve"> „Grozījumi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w:t>
            </w:r>
            <w:r w:rsidR="006E6776">
              <w:rPr>
                <w:szCs w:val="24"/>
              </w:rPr>
              <w:t>;</w:t>
            </w:r>
          </w:p>
          <w:p w14:paraId="3163E2F9" w14:textId="669A78D6" w:rsidR="00BE1286" w:rsidRPr="00FC71FC" w:rsidRDefault="00BE1286" w:rsidP="00BE1286">
            <w:pPr>
              <w:pStyle w:val="ListParagraph"/>
              <w:numPr>
                <w:ilvl w:val="0"/>
                <w:numId w:val="12"/>
              </w:numPr>
              <w:spacing w:line="240" w:lineRule="auto"/>
              <w:ind w:left="132" w:right="79" w:firstLine="421"/>
            </w:pPr>
            <w:r>
              <w:rPr>
                <w:szCs w:val="24"/>
              </w:rPr>
              <w:t xml:space="preserve">LBFV </w:t>
            </w:r>
            <w:r w:rsidR="00A52582">
              <w:rPr>
                <w:szCs w:val="28"/>
              </w:rPr>
              <w:t xml:space="preserve">27.panta </w:t>
            </w:r>
            <w:r w:rsidRPr="00BE1286">
              <w:rPr>
                <w:szCs w:val="28"/>
              </w:rPr>
              <w:t>2</w:t>
            </w:r>
            <w:r w:rsidR="00A52582">
              <w:rPr>
                <w:szCs w:val="28"/>
              </w:rPr>
              <w:t>.</w:t>
            </w:r>
            <w:r w:rsidRPr="00BE1286">
              <w:rPr>
                <w:szCs w:val="28"/>
                <w:vertAlign w:val="superscript"/>
              </w:rPr>
              <w:t>1</w:t>
            </w:r>
            <w:r w:rsidR="007B63E9">
              <w:rPr>
                <w:szCs w:val="28"/>
              </w:rPr>
              <w:t xml:space="preserve"> daļā noteikts</w:t>
            </w:r>
            <w:r>
              <w:rPr>
                <w:szCs w:val="28"/>
              </w:rPr>
              <w:t xml:space="preserve">, ka nākošajā saimnieciskajā gadā drīkst izmantot atlikumus, kas iepriekšējā saimnieciskajā gadā radušies no ieņēmumiem par sniegtajiem maksas pakalpojumiem un citiem pašu ieņēmumiem, ārvalstu finanšu palīdzības ieņēmumiem, un saņemtajiem </w:t>
            </w:r>
            <w:proofErr w:type="spellStart"/>
            <w:r>
              <w:rPr>
                <w:szCs w:val="28"/>
              </w:rPr>
              <w:t>transfertiem</w:t>
            </w:r>
            <w:proofErr w:type="spellEnd"/>
            <w:r>
              <w:rPr>
                <w:szCs w:val="28"/>
              </w:rPr>
              <w:t xml:space="preserve"> no ārvalstu finanšu palīdzības. Šo uzskaitījumu nepieciešams papildināt ar saņemtajiem </w:t>
            </w:r>
            <w:proofErr w:type="spellStart"/>
            <w:r>
              <w:rPr>
                <w:szCs w:val="28"/>
              </w:rPr>
              <w:t>transfertiem</w:t>
            </w:r>
            <w:proofErr w:type="spellEnd"/>
            <w:r>
              <w:rPr>
                <w:szCs w:val="28"/>
              </w:rPr>
              <w:t xml:space="preserve"> no resursa “ieņēmumi par sniegtajiem maksas pakalpojumiem un citi pašu ieņēmumi”, jo pieaugošās ministriju sadarbības rezultātā var veidoties arī šādu </w:t>
            </w:r>
            <w:proofErr w:type="spellStart"/>
            <w:r>
              <w:rPr>
                <w:szCs w:val="28"/>
              </w:rPr>
              <w:t>transfertu</w:t>
            </w:r>
            <w:proofErr w:type="spellEnd"/>
            <w:r>
              <w:rPr>
                <w:szCs w:val="28"/>
              </w:rPr>
              <w:t xml:space="preserve"> atlikumi (kurus nepieciešams izmantot turpmākajos gados), un normatīvā akta lietotājiem ir jābūt skaidram, ka arī šo līdzekļu atlikumus drīkst pārcelt uz nākošo saimniecisko gadu. Ministriju savstarpējie </w:t>
            </w:r>
            <w:proofErr w:type="spellStart"/>
            <w:r>
              <w:rPr>
                <w:szCs w:val="28"/>
              </w:rPr>
              <w:t>transferti</w:t>
            </w:r>
            <w:proofErr w:type="spellEnd"/>
            <w:r>
              <w:rPr>
                <w:szCs w:val="28"/>
              </w:rPr>
              <w:t xml:space="preserve"> no resursa “citi pašu ieņēmumi” ir raksturīgi, piemēram, Ekonomikas ministrijas budžeta programmā 33.00.00 “Ekonomikas attīstības programma”, Tieslietu ministrijas atsevišķajā budžeta programmā (tiks izveidota sākot ar 2018.gadu) ieņēmumiem no konfiscētajiem noziedzīgi iegūtajiem līdzekļiem, ut</w:t>
            </w:r>
            <w:r w:rsidR="00FC6DF0">
              <w:rPr>
                <w:szCs w:val="28"/>
              </w:rPr>
              <w:t>t.</w:t>
            </w:r>
            <w:r w:rsidR="006E6776">
              <w:rPr>
                <w:szCs w:val="28"/>
              </w:rPr>
              <w:t>;</w:t>
            </w:r>
            <w:r>
              <w:rPr>
                <w:szCs w:val="28"/>
              </w:rPr>
              <w:t xml:space="preserve"> </w:t>
            </w:r>
          </w:p>
          <w:p w14:paraId="52FF850D" w14:textId="218FC715" w:rsidR="00F06935" w:rsidRPr="0093200E" w:rsidRDefault="00F06935" w:rsidP="000F7A04">
            <w:pPr>
              <w:pStyle w:val="ListParagraph"/>
              <w:numPr>
                <w:ilvl w:val="0"/>
                <w:numId w:val="12"/>
              </w:numPr>
              <w:spacing w:line="240" w:lineRule="auto"/>
              <w:ind w:left="132" w:right="79" w:firstLine="421"/>
            </w:pPr>
            <w:r w:rsidRPr="0093200E">
              <w:rPr>
                <w:szCs w:val="24"/>
                <w:lang w:eastAsia="lv-LV"/>
              </w:rPr>
              <w:t>tiek tehniski precizēta 9.panta 13.</w:t>
            </w:r>
            <w:r w:rsidRPr="0093200E">
              <w:rPr>
                <w:szCs w:val="24"/>
                <w:vertAlign w:val="superscript"/>
                <w:lang w:eastAsia="lv-LV"/>
              </w:rPr>
              <w:t>1</w:t>
            </w:r>
            <w:r w:rsidRPr="0093200E">
              <w:rPr>
                <w:szCs w:val="24"/>
                <w:lang w:eastAsia="lv-LV"/>
              </w:rPr>
              <w:t xml:space="preserve"> daļas 2. punkta redakcija attiecībā uz atlikumu aprēķināšanu 27.pantā noteiktajā kārtībā. LBFV 27.pants nenosaka atlikumu aprēķināšanas kārtību, bet nosaka kontu atvēršanas, slēgšanas un maksājumu izpildes kārtību, tajā skaitā to, ka pamatbudžeta ieņēmumu atlikumu saimnieciskā gada beigās, kas veidojies no ārvalstu finanšu palīdzības (t.sk. </w:t>
            </w:r>
            <w:proofErr w:type="spellStart"/>
            <w:r w:rsidRPr="0093200E">
              <w:rPr>
                <w:szCs w:val="24"/>
                <w:lang w:eastAsia="lv-LV"/>
              </w:rPr>
              <w:t>transferta</w:t>
            </w:r>
            <w:proofErr w:type="spellEnd"/>
            <w:r w:rsidRPr="0093200E">
              <w:rPr>
                <w:szCs w:val="24"/>
                <w:lang w:eastAsia="lv-LV"/>
              </w:rPr>
              <w:t xml:space="preserve">) vai maksas pakalpojumiem un citiem pašu ieņēmumiem (t.sk. </w:t>
            </w:r>
            <w:proofErr w:type="spellStart"/>
            <w:r w:rsidRPr="0093200E">
              <w:rPr>
                <w:szCs w:val="24"/>
                <w:lang w:eastAsia="lv-LV"/>
              </w:rPr>
              <w:t>transferta</w:t>
            </w:r>
            <w:proofErr w:type="spellEnd"/>
            <w:r w:rsidRPr="0093200E">
              <w:rPr>
                <w:szCs w:val="24"/>
                <w:lang w:eastAsia="lv-LV"/>
              </w:rPr>
              <w:t>), pārceļ uz nākamo gadu saskaņā ar valsts budžeta iestādes iesniegumu;</w:t>
            </w:r>
          </w:p>
          <w:p w14:paraId="5FC73E8C" w14:textId="77777777" w:rsidR="008F77BA" w:rsidRPr="000F7A04" w:rsidRDefault="00FC71FC" w:rsidP="000F7A04">
            <w:pPr>
              <w:pStyle w:val="ListParagraph"/>
              <w:numPr>
                <w:ilvl w:val="0"/>
                <w:numId w:val="12"/>
              </w:numPr>
              <w:spacing w:line="240" w:lineRule="auto"/>
              <w:ind w:left="132" w:right="79" w:firstLine="421"/>
            </w:pPr>
            <w:r>
              <w:rPr>
                <w:szCs w:val="24"/>
              </w:rPr>
              <w:t xml:space="preserve">nepieciešams izslēgt 41.panta sesto daļu, kas nosaka, ka pašvaldībām ir jāsniedz Finanšu ministrijā informācija par to apstiprinātajiem budžetiem. Informāciju par pašvaldību apstiprinātajiem budžetiem pašvaldības jau </w:t>
            </w:r>
            <w:r w:rsidR="006E6776">
              <w:rPr>
                <w:szCs w:val="24"/>
              </w:rPr>
              <w:t>šobrīd</w:t>
            </w:r>
            <w:r>
              <w:rPr>
                <w:szCs w:val="24"/>
              </w:rPr>
              <w:t xml:space="preserve"> sniedz  savos  oficiālajos mēneša  pārskatos, kas tiek iesniegti katru mēnesi Valsts kasē atbilstoši Ministru kabineta noteikumiem </w:t>
            </w:r>
            <w:r>
              <w:rPr>
                <w:szCs w:val="24"/>
                <w:lang w:eastAsia="lv-LV"/>
              </w:rPr>
              <w:t xml:space="preserve">(MK 17.08.2010. noteikumi Nr.776 “Mēneša pārskatu sagatavošanas un iesniegšanas kārtība”, kas izdoti uz LBFV </w:t>
            </w:r>
            <w:r>
              <w:rPr>
                <w:szCs w:val="24"/>
              </w:rPr>
              <w:t>30.panta astotās daļas pamata). Minētos pārskatus un tajos esošo informāciju par pašvaldību budžetu plāniem Finanšu ministrija izmanto  </w:t>
            </w:r>
            <w:r>
              <w:rPr>
                <w:szCs w:val="24"/>
                <w:lang w:eastAsia="lv-LV"/>
              </w:rPr>
              <w:t>konsolidētā kopbudžeta kopsavilkuma sagatavošana</w:t>
            </w:r>
            <w:r w:rsidR="006E6776">
              <w:rPr>
                <w:szCs w:val="24"/>
                <w:lang w:eastAsia="lv-LV"/>
              </w:rPr>
              <w:t xml:space="preserve">i. Attiecīgās normas izslēgšana </w:t>
            </w:r>
            <w:r>
              <w:rPr>
                <w:szCs w:val="24"/>
                <w:lang w:eastAsia="lv-LV"/>
              </w:rPr>
              <w:t>mazinās ad</w:t>
            </w:r>
            <w:r w:rsidR="000F7A04">
              <w:rPr>
                <w:szCs w:val="24"/>
                <w:lang w:eastAsia="lv-LV"/>
              </w:rPr>
              <w:t>ministratīvo slogu  pašvaldībās.</w:t>
            </w:r>
          </w:p>
          <w:p w14:paraId="17132D85" w14:textId="530772AD" w:rsidR="000F7A04" w:rsidRPr="000F7A04" w:rsidRDefault="000F7A04" w:rsidP="000F7A04">
            <w:pPr>
              <w:ind w:left="132" w:right="79"/>
            </w:pPr>
          </w:p>
        </w:tc>
      </w:tr>
      <w:tr w:rsidR="00DC689C" w:rsidRPr="00B24D7A" w14:paraId="200DCF61" w14:textId="77777777" w:rsidTr="002634CF">
        <w:trPr>
          <w:trHeight w:val="476"/>
          <w:jc w:val="center"/>
        </w:trPr>
        <w:tc>
          <w:tcPr>
            <w:tcW w:w="289" w:type="dxa"/>
          </w:tcPr>
          <w:p w14:paraId="2621FBB5" w14:textId="388FA8EE" w:rsidR="00DC689C" w:rsidRPr="00B24D7A" w:rsidRDefault="00C90FFC" w:rsidP="002634CF">
            <w:pPr>
              <w:pStyle w:val="naiskr"/>
              <w:spacing w:before="0" w:after="0"/>
              <w:rPr>
                <w:sz w:val="22"/>
                <w:szCs w:val="22"/>
              </w:rPr>
            </w:pPr>
            <w:r w:rsidRPr="00B24D7A">
              <w:rPr>
                <w:sz w:val="22"/>
                <w:szCs w:val="22"/>
              </w:rPr>
              <w:lastRenderedPageBreak/>
              <w:t>3</w:t>
            </w:r>
            <w:r w:rsidR="00DC689C" w:rsidRPr="00B24D7A">
              <w:rPr>
                <w:sz w:val="22"/>
                <w:szCs w:val="22"/>
              </w:rPr>
              <w:t>.</w:t>
            </w:r>
          </w:p>
        </w:tc>
        <w:tc>
          <w:tcPr>
            <w:tcW w:w="1417" w:type="dxa"/>
          </w:tcPr>
          <w:p w14:paraId="00C209A7" w14:textId="77777777" w:rsidR="00DC689C" w:rsidRPr="00B24D7A" w:rsidRDefault="00DC689C" w:rsidP="002634CF">
            <w:pPr>
              <w:pStyle w:val="naiskr"/>
              <w:spacing w:before="0" w:after="0"/>
              <w:rPr>
                <w:sz w:val="22"/>
                <w:szCs w:val="22"/>
              </w:rPr>
            </w:pPr>
            <w:r w:rsidRPr="00B24D7A">
              <w:rPr>
                <w:sz w:val="22"/>
                <w:szCs w:val="22"/>
              </w:rPr>
              <w:t>Projekta izstrādē iesaistītās institūcijas</w:t>
            </w:r>
          </w:p>
        </w:tc>
        <w:tc>
          <w:tcPr>
            <w:tcW w:w="8080" w:type="dxa"/>
          </w:tcPr>
          <w:p w14:paraId="2EF8F64E" w14:textId="512039DD" w:rsidR="00DC689C" w:rsidRPr="00B24D7A" w:rsidRDefault="00115E19" w:rsidP="00FB0229">
            <w:pPr>
              <w:pStyle w:val="naiskr"/>
              <w:spacing w:before="0" w:after="0"/>
              <w:ind w:left="142" w:right="81"/>
            </w:pPr>
            <w:r>
              <w:t xml:space="preserve">Finanšu ministrija, </w:t>
            </w:r>
            <w:r w:rsidR="00FB0229">
              <w:t>VK</w:t>
            </w:r>
            <w:r>
              <w:t xml:space="preserve">, </w:t>
            </w:r>
            <w:r w:rsidR="00FB0229">
              <w:t>VID</w:t>
            </w:r>
            <w:r w:rsidR="006E6776">
              <w:t>.</w:t>
            </w:r>
          </w:p>
        </w:tc>
      </w:tr>
      <w:tr w:rsidR="00DC689C" w:rsidRPr="00B24D7A" w14:paraId="6083267C" w14:textId="77777777" w:rsidTr="002634CF">
        <w:trPr>
          <w:jc w:val="center"/>
        </w:trPr>
        <w:tc>
          <w:tcPr>
            <w:tcW w:w="289" w:type="dxa"/>
          </w:tcPr>
          <w:p w14:paraId="4CD96E54" w14:textId="77777777" w:rsidR="00DC689C" w:rsidRPr="00B24D7A" w:rsidRDefault="00C90FFC" w:rsidP="002634CF">
            <w:pPr>
              <w:pStyle w:val="naiskr"/>
              <w:spacing w:before="0" w:after="0"/>
              <w:rPr>
                <w:sz w:val="22"/>
                <w:szCs w:val="22"/>
              </w:rPr>
            </w:pPr>
            <w:r w:rsidRPr="00B24D7A">
              <w:rPr>
                <w:sz w:val="22"/>
                <w:szCs w:val="22"/>
              </w:rPr>
              <w:t>4</w:t>
            </w:r>
            <w:r w:rsidR="00DC689C" w:rsidRPr="00B24D7A">
              <w:rPr>
                <w:sz w:val="22"/>
                <w:szCs w:val="22"/>
              </w:rPr>
              <w:t>.</w:t>
            </w:r>
          </w:p>
        </w:tc>
        <w:tc>
          <w:tcPr>
            <w:tcW w:w="1417" w:type="dxa"/>
          </w:tcPr>
          <w:p w14:paraId="4C6A638B" w14:textId="77777777" w:rsidR="00DC689C" w:rsidRPr="00B24D7A" w:rsidRDefault="00DC689C" w:rsidP="002634CF">
            <w:pPr>
              <w:pStyle w:val="naiskr"/>
              <w:spacing w:before="0" w:after="0"/>
              <w:rPr>
                <w:sz w:val="22"/>
                <w:szCs w:val="22"/>
              </w:rPr>
            </w:pPr>
            <w:r w:rsidRPr="00B24D7A">
              <w:rPr>
                <w:sz w:val="22"/>
                <w:szCs w:val="22"/>
              </w:rPr>
              <w:t>Cita informācija</w:t>
            </w:r>
          </w:p>
        </w:tc>
        <w:tc>
          <w:tcPr>
            <w:tcW w:w="8080" w:type="dxa"/>
          </w:tcPr>
          <w:p w14:paraId="2879B78B" w14:textId="1074281A" w:rsidR="00DC689C" w:rsidRPr="00B24D7A" w:rsidRDefault="006E6776" w:rsidP="002634CF">
            <w:pPr>
              <w:pStyle w:val="naiskr"/>
              <w:spacing w:before="0" w:after="0"/>
              <w:ind w:left="142" w:right="81"/>
            </w:pPr>
            <w:r>
              <w:t>Nav</w:t>
            </w:r>
          </w:p>
        </w:tc>
      </w:tr>
    </w:tbl>
    <w:p w14:paraId="25F0B7BF" w14:textId="77777777" w:rsidR="00B54ADD" w:rsidRPr="00B24D7A" w:rsidRDefault="00B54ADD" w:rsidP="00B54ADD">
      <w:pPr>
        <w:jc w:val="both"/>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397"/>
        <w:gridCol w:w="5953"/>
      </w:tblGrid>
      <w:tr w:rsidR="00B54ADD" w:rsidRPr="00B24D7A" w14:paraId="25F5E345" w14:textId="77777777" w:rsidTr="00976C25">
        <w:trPr>
          <w:trHeight w:val="476"/>
        </w:trPr>
        <w:tc>
          <w:tcPr>
            <w:tcW w:w="9776" w:type="dxa"/>
            <w:gridSpan w:val="3"/>
          </w:tcPr>
          <w:p w14:paraId="1EC5D129" w14:textId="77777777" w:rsidR="00B54ADD" w:rsidRPr="00B24D7A" w:rsidRDefault="00B54ADD" w:rsidP="00B54ADD">
            <w:pPr>
              <w:ind w:left="142" w:right="81"/>
            </w:pPr>
            <w:r w:rsidRPr="00B24D7A">
              <w:rPr>
                <w:rFonts w:eastAsia="Calibri"/>
                <w:b/>
                <w:bCs/>
                <w:lang w:eastAsia="en-US"/>
              </w:rPr>
              <w:t>II. Tiesību akta projekta ietekme uz sabiedrību, tautsaimniecības attīstību un administratīvo slogu</w:t>
            </w:r>
          </w:p>
        </w:tc>
      </w:tr>
      <w:tr w:rsidR="00B54ADD" w:rsidRPr="00B24D7A" w14:paraId="1873567D" w14:textId="77777777" w:rsidTr="00993B08">
        <w:trPr>
          <w:trHeight w:val="476"/>
        </w:trPr>
        <w:tc>
          <w:tcPr>
            <w:tcW w:w="426" w:type="dxa"/>
          </w:tcPr>
          <w:p w14:paraId="651C8B95" w14:textId="77777777" w:rsidR="00B54ADD" w:rsidRPr="00B24D7A" w:rsidRDefault="00B54ADD" w:rsidP="00B54ADD">
            <w:r w:rsidRPr="00B24D7A">
              <w:t xml:space="preserve"> 1.</w:t>
            </w:r>
          </w:p>
        </w:tc>
        <w:tc>
          <w:tcPr>
            <w:tcW w:w="3397" w:type="dxa"/>
          </w:tcPr>
          <w:p w14:paraId="1323B1D7" w14:textId="77777777" w:rsidR="00B54ADD" w:rsidRPr="00B24D7A" w:rsidRDefault="00B54ADD" w:rsidP="00B54ADD">
            <w:r w:rsidRPr="00B24D7A">
              <w:t xml:space="preserve"> Sabiedrības </w:t>
            </w:r>
            <w:proofErr w:type="spellStart"/>
            <w:r w:rsidRPr="00B24D7A">
              <w:t>mērķgrupas</w:t>
            </w:r>
            <w:proofErr w:type="spellEnd"/>
            <w:r w:rsidRPr="00B24D7A">
              <w:t>, kuras tiesiskais regulējums ietekmē vai varētu ietekmēt</w:t>
            </w:r>
          </w:p>
        </w:tc>
        <w:tc>
          <w:tcPr>
            <w:tcW w:w="5953" w:type="dxa"/>
          </w:tcPr>
          <w:p w14:paraId="5B6A4F5C" w14:textId="3CACFB3F" w:rsidR="00B54ADD" w:rsidRPr="00B24D7A" w:rsidRDefault="007F0A58" w:rsidP="006E6776">
            <w:pPr>
              <w:ind w:left="142" w:right="81"/>
              <w:jc w:val="both"/>
            </w:pPr>
            <w:r>
              <w:t xml:space="preserve">Finanšu ministrija, </w:t>
            </w:r>
            <w:r w:rsidR="006E6776">
              <w:t xml:space="preserve">nozaru </w:t>
            </w:r>
            <w:r>
              <w:t>ministrijas un citas centrālās valsts iestādes, Saeimas</w:t>
            </w:r>
            <w:r w:rsidRPr="00542EFC">
              <w:t xml:space="preserve"> Budžeta un finanšu (nodokļu) komisija</w:t>
            </w:r>
            <w:r w:rsidR="00115E19">
              <w:t xml:space="preserve">, </w:t>
            </w:r>
            <w:r w:rsidR="00FB0229">
              <w:t>VID</w:t>
            </w:r>
            <w:r w:rsidR="00115E19">
              <w:t xml:space="preserve">, </w:t>
            </w:r>
            <w:r w:rsidR="00FB0229">
              <w:t>VK</w:t>
            </w:r>
            <w:r w:rsidR="006E6776">
              <w:t>.</w:t>
            </w:r>
          </w:p>
        </w:tc>
      </w:tr>
      <w:tr w:rsidR="00B54ADD" w:rsidRPr="00B24D7A" w14:paraId="43F53681" w14:textId="77777777" w:rsidTr="00993B08">
        <w:trPr>
          <w:trHeight w:val="476"/>
        </w:trPr>
        <w:tc>
          <w:tcPr>
            <w:tcW w:w="426" w:type="dxa"/>
          </w:tcPr>
          <w:p w14:paraId="1BC9B9A0" w14:textId="77777777" w:rsidR="00B54ADD" w:rsidRPr="00B24D7A" w:rsidRDefault="00B54ADD" w:rsidP="00B54ADD">
            <w:r w:rsidRPr="00B24D7A">
              <w:lastRenderedPageBreak/>
              <w:t xml:space="preserve"> 2.</w:t>
            </w:r>
          </w:p>
        </w:tc>
        <w:tc>
          <w:tcPr>
            <w:tcW w:w="3397" w:type="dxa"/>
          </w:tcPr>
          <w:p w14:paraId="24E2FC27" w14:textId="77777777" w:rsidR="00B54ADD" w:rsidRPr="00B24D7A" w:rsidRDefault="00B54ADD" w:rsidP="00B54ADD">
            <w:r w:rsidRPr="00B24D7A">
              <w:t xml:space="preserve"> Tiesiskā regulējuma ietekme uz tautsaimniecību un administratīvo slogu</w:t>
            </w:r>
          </w:p>
        </w:tc>
        <w:tc>
          <w:tcPr>
            <w:tcW w:w="5953" w:type="dxa"/>
          </w:tcPr>
          <w:p w14:paraId="7034F8A7" w14:textId="77777777" w:rsidR="00115E19" w:rsidRDefault="005859FE" w:rsidP="00546610">
            <w:pPr>
              <w:ind w:left="142" w:right="81"/>
              <w:jc w:val="both"/>
              <w:rPr>
                <w:iCs/>
              </w:rPr>
            </w:pPr>
            <w:r>
              <w:t>Saistībā ar piedāvātajām izmaiņām attiecībā uz budžeta elastības rīku izmantošanu, konkrēti ieņēmumiem no maksas pakalpojumiem un citiem pašu ieņēmumiem (un to atlikumiem),</w:t>
            </w:r>
            <w:r w:rsidRPr="00B24D7A">
              <w:t xml:space="preserve"> </w:t>
            </w:r>
            <w:r>
              <w:t>t</w:t>
            </w:r>
            <w:r w:rsidR="00013754" w:rsidRPr="00B24D7A">
              <w:t xml:space="preserve">iks mazināts administratīvais slogs </w:t>
            </w:r>
            <w:r>
              <w:t xml:space="preserve">ministrijām, tai skaitā Finanšu ministrijai, un Saeimas </w:t>
            </w:r>
            <w:r w:rsidRPr="00542EFC">
              <w:t>Budžeta un finanšu (nodokļu) komisija</w:t>
            </w:r>
            <w:r>
              <w:t xml:space="preserve">i, jo salīdzinoši nebūtiskie jautājumi turpmāk netiks izskatīti minētajā Saeimas komisijā. Tādējādi tiks </w:t>
            </w:r>
            <w:r>
              <w:rPr>
                <w:iCs/>
              </w:rPr>
              <w:t>nodrošināts</w:t>
            </w:r>
            <w:r w:rsidRPr="0034490F">
              <w:rPr>
                <w:iCs/>
              </w:rPr>
              <w:t xml:space="preserve"> </w:t>
            </w:r>
            <w:r>
              <w:rPr>
                <w:iCs/>
              </w:rPr>
              <w:t>samērīgs administratīvais slogs</w:t>
            </w:r>
            <w:r w:rsidRPr="0034490F">
              <w:rPr>
                <w:iCs/>
              </w:rPr>
              <w:t xml:space="preserve"> iesaistītajām institūcij</w:t>
            </w:r>
            <w:r>
              <w:rPr>
                <w:iCs/>
              </w:rPr>
              <w:t>ām</w:t>
            </w:r>
            <w:r w:rsidR="00DE2959">
              <w:rPr>
                <w:iCs/>
              </w:rPr>
              <w:t>, koncentrējot resursus analītiskajam darbam.</w:t>
            </w:r>
          </w:p>
          <w:p w14:paraId="32F03385" w14:textId="0D23EC04" w:rsidR="00E31BE4" w:rsidRPr="0042237E" w:rsidRDefault="00E31BE4" w:rsidP="00546610">
            <w:pPr>
              <w:ind w:left="142" w:right="81"/>
              <w:jc w:val="both"/>
              <w:rPr>
                <w:iCs/>
              </w:rPr>
            </w:pPr>
          </w:p>
        </w:tc>
      </w:tr>
      <w:tr w:rsidR="00B54ADD" w:rsidRPr="00B24D7A" w14:paraId="575E80B0" w14:textId="77777777" w:rsidTr="00993B08">
        <w:trPr>
          <w:trHeight w:val="476"/>
        </w:trPr>
        <w:tc>
          <w:tcPr>
            <w:tcW w:w="426" w:type="dxa"/>
          </w:tcPr>
          <w:p w14:paraId="3138CDC1" w14:textId="3F906548" w:rsidR="00B54ADD" w:rsidRPr="00B24D7A" w:rsidRDefault="00B54ADD" w:rsidP="00B54ADD">
            <w:r w:rsidRPr="00B24D7A">
              <w:t xml:space="preserve"> 3.</w:t>
            </w:r>
          </w:p>
        </w:tc>
        <w:tc>
          <w:tcPr>
            <w:tcW w:w="3397" w:type="dxa"/>
          </w:tcPr>
          <w:p w14:paraId="6B3A2540" w14:textId="77777777" w:rsidR="00B54ADD" w:rsidRPr="00B24D7A" w:rsidRDefault="00B54ADD" w:rsidP="00B54ADD">
            <w:r w:rsidRPr="00B24D7A">
              <w:t xml:space="preserve"> Administratīvo izmaksu monetārs novērtējums</w:t>
            </w:r>
          </w:p>
        </w:tc>
        <w:tc>
          <w:tcPr>
            <w:tcW w:w="5953" w:type="dxa"/>
          </w:tcPr>
          <w:p w14:paraId="02BE3E09" w14:textId="5741C313" w:rsidR="000345B1" w:rsidRPr="00B24D7A" w:rsidRDefault="00BC2FF3" w:rsidP="000345B1">
            <w:pPr>
              <w:ind w:left="141" w:right="141"/>
              <w:jc w:val="both"/>
            </w:pPr>
            <w:r>
              <w:t>Likump</w:t>
            </w:r>
            <w:r w:rsidR="00DE2959">
              <w:t>rojekts šo jomu neskar.</w:t>
            </w:r>
          </w:p>
        </w:tc>
      </w:tr>
      <w:tr w:rsidR="00B54ADD" w:rsidRPr="00B24D7A" w14:paraId="21FB3224" w14:textId="77777777" w:rsidTr="00993B08">
        <w:tc>
          <w:tcPr>
            <w:tcW w:w="426" w:type="dxa"/>
          </w:tcPr>
          <w:p w14:paraId="5F7BBA3A" w14:textId="768C1123" w:rsidR="00B54ADD" w:rsidRPr="00B24D7A" w:rsidRDefault="00B54ADD" w:rsidP="00B54ADD">
            <w:r w:rsidRPr="00B24D7A">
              <w:t xml:space="preserve"> 4.</w:t>
            </w:r>
          </w:p>
        </w:tc>
        <w:tc>
          <w:tcPr>
            <w:tcW w:w="3397" w:type="dxa"/>
          </w:tcPr>
          <w:p w14:paraId="28A42F32" w14:textId="77777777" w:rsidR="00B54ADD" w:rsidRPr="00B24D7A" w:rsidRDefault="00B54ADD" w:rsidP="00B54ADD">
            <w:r w:rsidRPr="00B24D7A">
              <w:t xml:space="preserve"> Cita informācija</w:t>
            </w:r>
          </w:p>
        </w:tc>
        <w:tc>
          <w:tcPr>
            <w:tcW w:w="5953" w:type="dxa"/>
          </w:tcPr>
          <w:p w14:paraId="3DB348C3" w14:textId="1800C2EC" w:rsidR="00B54ADD" w:rsidRPr="00B24D7A" w:rsidRDefault="00D66638" w:rsidP="00D66638">
            <w:pPr>
              <w:ind w:right="81"/>
            </w:pPr>
            <w:r w:rsidRPr="00B24D7A">
              <w:t xml:space="preserve"> </w:t>
            </w:r>
            <w:r w:rsidR="00B54ADD" w:rsidRPr="00B24D7A">
              <w:t>Nav</w:t>
            </w:r>
          </w:p>
        </w:tc>
      </w:tr>
    </w:tbl>
    <w:p w14:paraId="150E77BF" w14:textId="61647508" w:rsidR="00772255" w:rsidRDefault="00772255" w:rsidP="00014F75">
      <w:pPr>
        <w:pStyle w:val="naisf"/>
        <w:spacing w:before="0" w:after="0"/>
        <w:ind w:firstLine="0"/>
        <w:rPr>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591E50" w:rsidRPr="00DF6E70" w14:paraId="43D201CA" w14:textId="77777777" w:rsidTr="00591E50">
        <w:trPr>
          <w:trHeight w:val="652"/>
          <w:jc w:val="center"/>
        </w:trPr>
        <w:tc>
          <w:tcPr>
            <w:tcW w:w="9776" w:type="dxa"/>
          </w:tcPr>
          <w:p w14:paraId="2CEE0F69" w14:textId="77777777" w:rsidR="00591E50" w:rsidRPr="00DF6E70" w:rsidRDefault="00591E50" w:rsidP="006710CE">
            <w:pPr>
              <w:jc w:val="center"/>
              <w:rPr>
                <w:b/>
                <w:bCs/>
                <w:i/>
                <w:sz w:val="22"/>
                <w:szCs w:val="22"/>
              </w:rPr>
            </w:pPr>
            <w:r w:rsidRPr="00DF6E70">
              <w:rPr>
                <w:b/>
                <w:bCs/>
                <w:sz w:val="22"/>
                <w:szCs w:val="22"/>
              </w:rPr>
              <w:t>III. Tiesību akta projekta ietekme uz valsts budžetu un pašvaldību budžetiem</w:t>
            </w:r>
            <w:r w:rsidRPr="00DF6E70" w:rsidDel="00DA7A25">
              <w:rPr>
                <w:b/>
                <w:bCs/>
                <w:sz w:val="22"/>
                <w:szCs w:val="22"/>
              </w:rPr>
              <w:t xml:space="preserve"> </w:t>
            </w:r>
          </w:p>
        </w:tc>
      </w:tr>
      <w:tr w:rsidR="00591E50" w:rsidRPr="00DF6E70" w14:paraId="728A7A64" w14:textId="77777777" w:rsidTr="00591E50">
        <w:trPr>
          <w:trHeight w:val="508"/>
          <w:jc w:val="center"/>
        </w:trPr>
        <w:tc>
          <w:tcPr>
            <w:tcW w:w="9776" w:type="dxa"/>
            <w:tcBorders>
              <w:top w:val="single" w:sz="4" w:space="0" w:color="auto"/>
              <w:left w:val="single" w:sz="4" w:space="0" w:color="auto"/>
              <w:bottom w:val="single" w:sz="4" w:space="0" w:color="auto"/>
              <w:right w:val="single" w:sz="4" w:space="0" w:color="auto"/>
            </w:tcBorders>
          </w:tcPr>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3"/>
            </w:tblGrid>
            <w:tr w:rsidR="00591E50" w:rsidRPr="00DF6E70" w14:paraId="724B9CCF" w14:textId="77777777" w:rsidTr="006710CE">
              <w:trPr>
                <w:trHeight w:val="508"/>
                <w:jc w:val="center"/>
              </w:trPr>
              <w:tc>
                <w:tcPr>
                  <w:tcW w:w="10023" w:type="dxa"/>
                  <w:tcBorders>
                    <w:top w:val="single" w:sz="4" w:space="0" w:color="auto"/>
                    <w:left w:val="single" w:sz="4" w:space="0" w:color="auto"/>
                    <w:bottom w:val="single" w:sz="4" w:space="0" w:color="auto"/>
                    <w:right w:val="single" w:sz="4" w:space="0" w:color="auto"/>
                  </w:tcBorders>
                </w:tcPr>
                <w:tbl>
                  <w:tblPr>
                    <w:tblW w:w="9773"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471"/>
                    <w:gridCol w:w="1805"/>
                    <w:gridCol w:w="1058"/>
                    <w:gridCol w:w="1357"/>
                    <w:gridCol w:w="1495"/>
                    <w:gridCol w:w="1587"/>
                  </w:tblGrid>
                  <w:tr w:rsidR="00591E50" w:rsidRPr="00DF6E70" w14:paraId="45C69A07" w14:textId="77777777" w:rsidTr="00591E50">
                    <w:tc>
                      <w:tcPr>
                        <w:tcW w:w="2471" w:type="dxa"/>
                        <w:vMerge w:val="restart"/>
                        <w:tcBorders>
                          <w:top w:val="outset" w:sz="6" w:space="0" w:color="000000"/>
                          <w:left w:val="outset" w:sz="6" w:space="0" w:color="000000"/>
                          <w:bottom w:val="outset" w:sz="6" w:space="0" w:color="000000"/>
                          <w:right w:val="outset" w:sz="6" w:space="0" w:color="000000"/>
                        </w:tcBorders>
                        <w:vAlign w:val="center"/>
                      </w:tcPr>
                      <w:p w14:paraId="3B62350F" w14:textId="77777777" w:rsidR="00591E50" w:rsidRPr="00DF6E70" w:rsidRDefault="00591E50" w:rsidP="006710CE">
                        <w:pPr>
                          <w:spacing w:before="100" w:beforeAutospacing="1" w:after="100" w:afterAutospacing="1"/>
                          <w:jc w:val="center"/>
                          <w:rPr>
                            <w:b/>
                            <w:bCs/>
                          </w:rPr>
                        </w:pPr>
                        <w:r w:rsidRPr="00DF6E70">
                          <w:rPr>
                            <w:b/>
                            <w:bCs/>
                          </w:rPr>
                          <w:t>Rādītāji</w:t>
                        </w:r>
                      </w:p>
                    </w:tc>
                    <w:tc>
                      <w:tcPr>
                        <w:tcW w:w="2863" w:type="dxa"/>
                        <w:gridSpan w:val="2"/>
                        <w:vMerge w:val="restart"/>
                        <w:tcBorders>
                          <w:top w:val="outset" w:sz="6" w:space="0" w:color="000000"/>
                          <w:left w:val="outset" w:sz="6" w:space="0" w:color="000000"/>
                          <w:bottom w:val="outset" w:sz="6" w:space="0" w:color="000000"/>
                          <w:right w:val="outset" w:sz="6" w:space="0" w:color="000000"/>
                        </w:tcBorders>
                        <w:vAlign w:val="center"/>
                      </w:tcPr>
                      <w:p w14:paraId="419A4502" w14:textId="77777777" w:rsidR="00591E50" w:rsidRPr="00DF6E70" w:rsidRDefault="00591E50" w:rsidP="006710CE">
                        <w:pPr>
                          <w:spacing w:before="100" w:beforeAutospacing="1" w:after="100" w:afterAutospacing="1"/>
                          <w:jc w:val="center"/>
                          <w:rPr>
                            <w:b/>
                            <w:bCs/>
                          </w:rPr>
                        </w:pPr>
                        <w:r w:rsidRPr="00DF6E70">
                          <w:rPr>
                            <w:b/>
                            <w:bCs/>
                          </w:rPr>
                          <w:t>201</w:t>
                        </w:r>
                        <w:r>
                          <w:rPr>
                            <w:b/>
                            <w:bCs/>
                          </w:rPr>
                          <w:t>7</w:t>
                        </w:r>
                        <w:r w:rsidRPr="00DF6E70">
                          <w:rPr>
                            <w:b/>
                            <w:bCs/>
                          </w:rPr>
                          <w:t>. gads</w:t>
                        </w:r>
                      </w:p>
                    </w:tc>
                    <w:tc>
                      <w:tcPr>
                        <w:tcW w:w="4439" w:type="dxa"/>
                        <w:gridSpan w:val="3"/>
                        <w:tcBorders>
                          <w:top w:val="outset" w:sz="6" w:space="0" w:color="000000"/>
                          <w:left w:val="outset" w:sz="6" w:space="0" w:color="000000"/>
                          <w:bottom w:val="outset" w:sz="6" w:space="0" w:color="000000"/>
                          <w:right w:val="outset" w:sz="6" w:space="0" w:color="000000"/>
                        </w:tcBorders>
                        <w:vAlign w:val="center"/>
                      </w:tcPr>
                      <w:p w14:paraId="56563F48" w14:textId="77777777" w:rsidR="00591E50" w:rsidRPr="00DF6E70" w:rsidRDefault="00591E50" w:rsidP="006710CE">
                        <w:pPr>
                          <w:spacing w:before="100" w:beforeAutospacing="1" w:after="100" w:afterAutospacing="1"/>
                          <w:jc w:val="center"/>
                        </w:pPr>
                        <w:r w:rsidRPr="00DF6E70">
                          <w:t>Turpmākie trīs gadi (</w:t>
                        </w:r>
                        <w:r w:rsidRPr="00DF6E70">
                          <w:rPr>
                            <w:i/>
                          </w:rPr>
                          <w:t>euro</w:t>
                        </w:r>
                        <w:r w:rsidRPr="00DF6E70">
                          <w:t>)</w:t>
                        </w:r>
                      </w:p>
                    </w:tc>
                  </w:tr>
                  <w:tr w:rsidR="00591E50" w:rsidRPr="00DF6E70" w14:paraId="42435E95" w14:textId="77777777" w:rsidTr="00591E50">
                    <w:tc>
                      <w:tcPr>
                        <w:tcW w:w="2471" w:type="dxa"/>
                        <w:vMerge/>
                        <w:tcBorders>
                          <w:top w:val="outset" w:sz="6" w:space="0" w:color="000000"/>
                          <w:left w:val="outset" w:sz="6" w:space="0" w:color="000000"/>
                          <w:bottom w:val="outset" w:sz="6" w:space="0" w:color="000000"/>
                          <w:right w:val="outset" w:sz="6" w:space="0" w:color="000000"/>
                        </w:tcBorders>
                        <w:vAlign w:val="center"/>
                      </w:tcPr>
                      <w:p w14:paraId="6F0FD575" w14:textId="77777777" w:rsidR="00591E50" w:rsidRPr="00DF6E70" w:rsidRDefault="00591E50" w:rsidP="006710CE">
                        <w:pPr>
                          <w:rPr>
                            <w:b/>
                            <w:bCs/>
                          </w:rPr>
                        </w:pPr>
                      </w:p>
                    </w:tc>
                    <w:tc>
                      <w:tcPr>
                        <w:tcW w:w="2863" w:type="dxa"/>
                        <w:gridSpan w:val="2"/>
                        <w:vMerge/>
                        <w:tcBorders>
                          <w:top w:val="outset" w:sz="6" w:space="0" w:color="000000"/>
                          <w:left w:val="outset" w:sz="6" w:space="0" w:color="000000"/>
                          <w:bottom w:val="outset" w:sz="6" w:space="0" w:color="000000"/>
                          <w:right w:val="outset" w:sz="6" w:space="0" w:color="000000"/>
                        </w:tcBorders>
                        <w:vAlign w:val="center"/>
                      </w:tcPr>
                      <w:p w14:paraId="4D7CDE51" w14:textId="77777777" w:rsidR="00591E50" w:rsidRPr="00DF6E70" w:rsidRDefault="00591E50" w:rsidP="006710CE">
                        <w:pPr>
                          <w:rPr>
                            <w:b/>
                            <w:bCs/>
                          </w:rPr>
                        </w:pPr>
                      </w:p>
                    </w:tc>
                    <w:tc>
                      <w:tcPr>
                        <w:tcW w:w="1357" w:type="dxa"/>
                        <w:tcBorders>
                          <w:top w:val="outset" w:sz="6" w:space="0" w:color="000000"/>
                          <w:left w:val="outset" w:sz="6" w:space="0" w:color="000000"/>
                          <w:bottom w:val="outset" w:sz="6" w:space="0" w:color="000000"/>
                          <w:right w:val="outset" w:sz="6" w:space="0" w:color="000000"/>
                        </w:tcBorders>
                        <w:vAlign w:val="center"/>
                      </w:tcPr>
                      <w:p w14:paraId="4A69AA28" w14:textId="7076FED9" w:rsidR="00591E50" w:rsidRPr="00DF6E70" w:rsidRDefault="00591E50" w:rsidP="006710CE">
                        <w:pPr>
                          <w:spacing w:before="100" w:beforeAutospacing="1" w:after="100" w:afterAutospacing="1"/>
                          <w:jc w:val="center"/>
                          <w:rPr>
                            <w:b/>
                            <w:bCs/>
                          </w:rPr>
                        </w:pPr>
                        <w:r w:rsidRPr="00DF6E70">
                          <w:rPr>
                            <w:b/>
                            <w:bCs/>
                          </w:rPr>
                          <w:t>201</w:t>
                        </w:r>
                        <w:r>
                          <w:rPr>
                            <w:b/>
                            <w:bCs/>
                          </w:rPr>
                          <w:t>8.</w:t>
                        </w:r>
                      </w:p>
                    </w:tc>
                    <w:tc>
                      <w:tcPr>
                        <w:tcW w:w="1495" w:type="dxa"/>
                        <w:tcBorders>
                          <w:top w:val="outset" w:sz="6" w:space="0" w:color="000000"/>
                          <w:left w:val="outset" w:sz="6" w:space="0" w:color="000000"/>
                          <w:bottom w:val="outset" w:sz="6" w:space="0" w:color="000000"/>
                          <w:right w:val="outset" w:sz="6" w:space="0" w:color="000000"/>
                        </w:tcBorders>
                        <w:vAlign w:val="center"/>
                      </w:tcPr>
                      <w:p w14:paraId="52B1AD7A" w14:textId="4C5E4483" w:rsidR="00591E50" w:rsidRPr="00DF6E70" w:rsidRDefault="00591E50" w:rsidP="006710CE">
                        <w:pPr>
                          <w:spacing w:before="100" w:beforeAutospacing="1" w:after="100" w:afterAutospacing="1"/>
                          <w:jc w:val="center"/>
                          <w:rPr>
                            <w:b/>
                            <w:bCs/>
                          </w:rPr>
                        </w:pPr>
                        <w:r w:rsidRPr="00DF6E70">
                          <w:rPr>
                            <w:b/>
                            <w:bCs/>
                          </w:rPr>
                          <w:t>201</w:t>
                        </w:r>
                        <w:r>
                          <w:rPr>
                            <w:b/>
                            <w:bCs/>
                          </w:rPr>
                          <w:t>9.</w:t>
                        </w:r>
                      </w:p>
                    </w:tc>
                    <w:tc>
                      <w:tcPr>
                        <w:tcW w:w="1587" w:type="dxa"/>
                        <w:tcBorders>
                          <w:top w:val="outset" w:sz="6" w:space="0" w:color="000000"/>
                          <w:left w:val="outset" w:sz="6" w:space="0" w:color="000000"/>
                          <w:bottom w:val="outset" w:sz="6" w:space="0" w:color="000000"/>
                          <w:right w:val="outset" w:sz="6" w:space="0" w:color="000000"/>
                        </w:tcBorders>
                        <w:vAlign w:val="center"/>
                      </w:tcPr>
                      <w:p w14:paraId="0558FF36" w14:textId="07793C93" w:rsidR="00591E50" w:rsidRPr="00DF6E70" w:rsidRDefault="00591E50" w:rsidP="006710CE">
                        <w:pPr>
                          <w:spacing w:before="100" w:beforeAutospacing="1" w:after="100" w:afterAutospacing="1"/>
                          <w:jc w:val="center"/>
                          <w:rPr>
                            <w:b/>
                            <w:bCs/>
                          </w:rPr>
                        </w:pPr>
                        <w:r w:rsidRPr="00DF6E70">
                          <w:rPr>
                            <w:b/>
                            <w:bCs/>
                          </w:rPr>
                          <w:t>20</w:t>
                        </w:r>
                        <w:r>
                          <w:rPr>
                            <w:b/>
                            <w:bCs/>
                          </w:rPr>
                          <w:t>20.</w:t>
                        </w:r>
                      </w:p>
                    </w:tc>
                  </w:tr>
                  <w:tr w:rsidR="00591E50" w:rsidRPr="00DF6E70" w14:paraId="4E374297" w14:textId="77777777" w:rsidTr="00591E50">
                    <w:tc>
                      <w:tcPr>
                        <w:tcW w:w="2471" w:type="dxa"/>
                        <w:vMerge/>
                        <w:tcBorders>
                          <w:top w:val="outset" w:sz="6" w:space="0" w:color="000000"/>
                          <w:left w:val="outset" w:sz="6" w:space="0" w:color="000000"/>
                          <w:bottom w:val="outset" w:sz="6" w:space="0" w:color="000000"/>
                          <w:right w:val="outset" w:sz="6" w:space="0" w:color="000000"/>
                        </w:tcBorders>
                        <w:vAlign w:val="center"/>
                      </w:tcPr>
                      <w:p w14:paraId="2D905B2A" w14:textId="77777777" w:rsidR="00591E50" w:rsidRPr="00DF6E70" w:rsidRDefault="00591E50" w:rsidP="006710CE">
                        <w:pPr>
                          <w:rPr>
                            <w:b/>
                            <w:bCs/>
                          </w:rPr>
                        </w:pPr>
                      </w:p>
                    </w:tc>
                    <w:tc>
                      <w:tcPr>
                        <w:tcW w:w="1805" w:type="dxa"/>
                        <w:tcBorders>
                          <w:top w:val="outset" w:sz="6" w:space="0" w:color="000000"/>
                          <w:left w:val="outset" w:sz="6" w:space="0" w:color="000000"/>
                          <w:bottom w:val="outset" w:sz="6" w:space="0" w:color="000000"/>
                          <w:right w:val="outset" w:sz="6" w:space="0" w:color="000000"/>
                        </w:tcBorders>
                        <w:vAlign w:val="center"/>
                      </w:tcPr>
                      <w:p w14:paraId="1606165A" w14:textId="77777777" w:rsidR="00591E50" w:rsidRPr="00DF6E70" w:rsidRDefault="00591E50" w:rsidP="006710CE">
                        <w:pPr>
                          <w:spacing w:before="100" w:beforeAutospacing="1" w:after="100" w:afterAutospacing="1"/>
                          <w:jc w:val="center"/>
                        </w:pPr>
                        <w:r w:rsidRPr="00DF6E70">
                          <w:t>Saskaņā ar valsts budžetu kārtējam gadam</w:t>
                        </w:r>
                      </w:p>
                    </w:tc>
                    <w:tc>
                      <w:tcPr>
                        <w:tcW w:w="1058" w:type="dxa"/>
                        <w:tcBorders>
                          <w:top w:val="outset" w:sz="6" w:space="0" w:color="000000"/>
                          <w:left w:val="outset" w:sz="6" w:space="0" w:color="000000"/>
                          <w:bottom w:val="outset" w:sz="6" w:space="0" w:color="000000"/>
                          <w:right w:val="outset" w:sz="6" w:space="0" w:color="000000"/>
                        </w:tcBorders>
                        <w:vAlign w:val="center"/>
                      </w:tcPr>
                      <w:p w14:paraId="0294481A" w14:textId="77777777" w:rsidR="00591E50" w:rsidRPr="00DF6E70" w:rsidRDefault="00591E50" w:rsidP="006710CE">
                        <w:pPr>
                          <w:spacing w:before="100" w:beforeAutospacing="1" w:after="100" w:afterAutospacing="1"/>
                          <w:jc w:val="center"/>
                        </w:pPr>
                        <w:r w:rsidRPr="00DF6E70">
                          <w:t>Izmaiņas kārtējā gadā, salīdzinot ar budžetu kārtējam gadam</w:t>
                        </w:r>
                      </w:p>
                    </w:tc>
                    <w:tc>
                      <w:tcPr>
                        <w:tcW w:w="1357" w:type="dxa"/>
                        <w:tcBorders>
                          <w:top w:val="outset" w:sz="6" w:space="0" w:color="000000"/>
                          <w:left w:val="outset" w:sz="6" w:space="0" w:color="000000"/>
                          <w:bottom w:val="outset" w:sz="6" w:space="0" w:color="000000"/>
                          <w:right w:val="outset" w:sz="6" w:space="0" w:color="000000"/>
                        </w:tcBorders>
                        <w:vAlign w:val="center"/>
                      </w:tcPr>
                      <w:p w14:paraId="0D9EB2EA" w14:textId="77777777" w:rsidR="00591E50" w:rsidRPr="00DF6E70" w:rsidRDefault="00591E50" w:rsidP="006710CE">
                        <w:pPr>
                          <w:spacing w:before="100" w:beforeAutospacing="1" w:after="100" w:afterAutospacing="1"/>
                          <w:jc w:val="center"/>
                        </w:pPr>
                        <w:r w:rsidRPr="00DF6E70">
                          <w:t>Izmaiņas, salīdzinot ar kārtējo (n) gadu</w:t>
                        </w:r>
                      </w:p>
                    </w:tc>
                    <w:tc>
                      <w:tcPr>
                        <w:tcW w:w="1495" w:type="dxa"/>
                        <w:tcBorders>
                          <w:top w:val="outset" w:sz="6" w:space="0" w:color="000000"/>
                          <w:left w:val="outset" w:sz="6" w:space="0" w:color="000000"/>
                          <w:bottom w:val="outset" w:sz="6" w:space="0" w:color="000000"/>
                          <w:right w:val="outset" w:sz="6" w:space="0" w:color="000000"/>
                        </w:tcBorders>
                        <w:vAlign w:val="center"/>
                      </w:tcPr>
                      <w:p w14:paraId="1C426798" w14:textId="77777777" w:rsidR="00591E50" w:rsidRPr="00DF6E70" w:rsidRDefault="00591E50" w:rsidP="006710CE">
                        <w:pPr>
                          <w:spacing w:before="100" w:beforeAutospacing="1" w:after="100" w:afterAutospacing="1"/>
                          <w:jc w:val="center"/>
                        </w:pPr>
                        <w:r w:rsidRPr="00DF6E70">
                          <w:t>Izmaiņas, salīdzinot ar kārtējo (n) gadu</w:t>
                        </w:r>
                      </w:p>
                    </w:tc>
                    <w:tc>
                      <w:tcPr>
                        <w:tcW w:w="1587" w:type="dxa"/>
                        <w:tcBorders>
                          <w:top w:val="outset" w:sz="6" w:space="0" w:color="000000"/>
                          <w:left w:val="outset" w:sz="6" w:space="0" w:color="000000"/>
                          <w:bottom w:val="outset" w:sz="6" w:space="0" w:color="000000"/>
                          <w:right w:val="outset" w:sz="6" w:space="0" w:color="000000"/>
                        </w:tcBorders>
                        <w:vAlign w:val="center"/>
                      </w:tcPr>
                      <w:p w14:paraId="3A8CFF9F" w14:textId="77777777" w:rsidR="00591E50" w:rsidRPr="00DF6E70" w:rsidRDefault="00591E50" w:rsidP="006710CE">
                        <w:pPr>
                          <w:spacing w:before="100" w:beforeAutospacing="1" w:after="100" w:afterAutospacing="1"/>
                          <w:jc w:val="center"/>
                        </w:pPr>
                        <w:r w:rsidRPr="00DF6E70">
                          <w:t>Izmaiņas, salīdzinot ar kārtējo (n) gadu</w:t>
                        </w:r>
                      </w:p>
                    </w:tc>
                  </w:tr>
                  <w:tr w:rsidR="00591E50" w:rsidRPr="00DF6E70" w14:paraId="78E5FF6A" w14:textId="77777777" w:rsidTr="00591E50">
                    <w:tc>
                      <w:tcPr>
                        <w:tcW w:w="2471" w:type="dxa"/>
                        <w:tcBorders>
                          <w:top w:val="outset" w:sz="6" w:space="0" w:color="000000"/>
                          <w:left w:val="outset" w:sz="6" w:space="0" w:color="000000"/>
                          <w:bottom w:val="outset" w:sz="6" w:space="0" w:color="000000"/>
                          <w:right w:val="outset" w:sz="6" w:space="0" w:color="000000"/>
                        </w:tcBorders>
                        <w:vAlign w:val="center"/>
                      </w:tcPr>
                      <w:p w14:paraId="39026DCD" w14:textId="77777777" w:rsidR="00591E50" w:rsidRPr="00DF6E70" w:rsidRDefault="00591E50" w:rsidP="006710CE">
                        <w:pPr>
                          <w:spacing w:before="100" w:beforeAutospacing="1" w:after="100" w:afterAutospacing="1"/>
                          <w:ind w:firstLine="112"/>
                          <w:jc w:val="center"/>
                        </w:pPr>
                        <w:r w:rsidRPr="00DF6E70">
                          <w:t>1</w:t>
                        </w:r>
                      </w:p>
                    </w:tc>
                    <w:tc>
                      <w:tcPr>
                        <w:tcW w:w="1805" w:type="dxa"/>
                        <w:tcBorders>
                          <w:top w:val="outset" w:sz="6" w:space="0" w:color="000000"/>
                          <w:left w:val="outset" w:sz="6" w:space="0" w:color="000000"/>
                          <w:bottom w:val="outset" w:sz="6" w:space="0" w:color="000000"/>
                          <w:right w:val="outset" w:sz="6" w:space="0" w:color="000000"/>
                        </w:tcBorders>
                        <w:vAlign w:val="center"/>
                      </w:tcPr>
                      <w:p w14:paraId="2D3B2E3C" w14:textId="77777777" w:rsidR="00591E50" w:rsidRPr="00DF6E70" w:rsidRDefault="00591E50" w:rsidP="006710CE">
                        <w:pPr>
                          <w:spacing w:before="100" w:beforeAutospacing="1" w:after="100" w:afterAutospacing="1"/>
                          <w:jc w:val="center"/>
                        </w:pPr>
                        <w:r w:rsidRPr="00DF6E70">
                          <w:t>2</w:t>
                        </w:r>
                      </w:p>
                    </w:tc>
                    <w:tc>
                      <w:tcPr>
                        <w:tcW w:w="1058" w:type="dxa"/>
                        <w:tcBorders>
                          <w:top w:val="outset" w:sz="6" w:space="0" w:color="000000"/>
                          <w:left w:val="outset" w:sz="6" w:space="0" w:color="000000"/>
                          <w:bottom w:val="outset" w:sz="6" w:space="0" w:color="000000"/>
                          <w:right w:val="outset" w:sz="6" w:space="0" w:color="000000"/>
                        </w:tcBorders>
                        <w:vAlign w:val="center"/>
                      </w:tcPr>
                      <w:p w14:paraId="526988B1" w14:textId="77777777" w:rsidR="00591E50" w:rsidRPr="00DF6E70" w:rsidRDefault="00591E50" w:rsidP="006710CE">
                        <w:pPr>
                          <w:spacing w:before="100" w:beforeAutospacing="1" w:after="100" w:afterAutospacing="1"/>
                          <w:jc w:val="center"/>
                        </w:pPr>
                        <w:r w:rsidRPr="00DF6E70">
                          <w:t>3</w:t>
                        </w:r>
                      </w:p>
                    </w:tc>
                    <w:tc>
                      <w:tcPr>
                        <w:tcW w:w="1357" w:type="dxa"/>
                        <w:tcBorders>
                          <w:top w:val="outset" w:sz="6" w:space="0" w:color="000000"/>
                          <w:left w:val="outset" w:sz="6" w:space="0" w:color="000000"/>
                          <w:bottom w:val="outset" w:sz="6" w:space="0" w:color="000000"/>
                          <w:right w:val="outset" w:sz="6" w:space="0" w:color="000000"/>
                        </w:tcBorders>
                        <w:vAlign w:val="center"/>
                      </w:tcPr>
                      <w:p w14:paraId="35ADC06C" w14:textId="77777777" w:rsidR="00591E50" w:rsidRPr="00DF6E70" w:rsidRDefault="00591E50" w:rsidP="006710CE">
                        <w:pPr>
                          <w:spacing w:before="100" w:beforeAutospacing="1" w:after="100" w:afterAutospacing="1"/>
                          <w:jc w:val="center"/>
                        </w:pPr>
                        <w:r w:rsidRPr="00DF6E70">
                          <w:t>4</w:t>
                        </w:r>
                      </w:p>
                    </w:tc>
                    <w:tc>
                      <w:tcPr>
                        <w:tcW w:w="1495" w:type="dxa"/>
                        <w:tcBorders>
                          <w:top w:val="outset" w:sz="6" w:space="0" w:color="000000"/>
                          <w:left w:val="outset" w:sz="6" w:space="0" w:color="000000"/>
                          <w:bottom w:val="outset" w:sz="6" w:space="0" w:color="000000"/>
                          <w:right w:val="outset" w:sz="6" w:space="0" w:color="000000"/>
                        </w:tcBorders>
                        <w:vAlign w:val="center"/>
                      </w:tcPr>
                      <w:p w14:paraId="65BBCC12" w14:textId="77777777" w:rsidR="00591E50" w:rsidRPr="00DF6E70" w:rsidRDefault="00591E50" w:rsidP="006710CE">
                        <w:pPr>
                          <w:spacing w:before="100" w:beforeAutospacing="1" w:after="100" w:afterAutospacing="1"/>
                          <w:jc w:val="center"/>
                        </w:pPr>
                        <w:r w:rsidRPr="00DF6E70">
                          <w:t>5</w:t>
                        </w:r>
                      </w:p>
                    </w:tc>
                    <w:tc>
                      <w:tcPr>
                        <w:tcW w:w="1587" w:type="dxa"/>
                        <w:tcBorders>
                          <w:top w:val="outset" w:sz="6" w:space="0" w:color="000000"/>
                          <w:left w:val="outset" w:sz="6" w:space="0" w:color="000000"/>
                          <w:bottom w:val="outset" w:sz="6" w:space="0" w:color="000000"/>
                          <w:right w:val="outset" w:sz="6" w:space="0" w:color="000000"/>
                        </w:tcBorders>
                        <w:vAlign w:val="center"/>
                      </w:tcPr>
                      <w:p w14:paraId="7090AA66" w14:textId="77777777" w:rsidR="00591E50" w:rsidRPr="00DF6E70" w:rsidRDefault="00591E50" w:rsidP="006710CE">
                        <w:pPr>
                          <w:spacing w:before="100" w:beforeAutospacing="1" w:after="100" w:afterAutospacing="1"/>
                          <w:jc w:val="center"/>
                        </w:pPr>
                        <w:r w:rsidRPr="00DF6E70">
                          <w:t>6</w:t>
                        </w:r>
                      </w:p>
                    </w:tc>
                  </w:tr>
                  <w:tr w:rsidR="00591E50" w:rsidRPr="00DF6E70" w14:paraId="651C80D8"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2A848929" w14:textId="77777777" w:rsidR="00591E50" w:rsidRPr="00DF6E70" w:rsidRDefault="00591E50" w:rsidP="006710CE">
                        <w:pPr>
                          <w:spacing w:before="100" w:beforeAutospacing="1" w:after="100" w:afterAutospacing="1"/>
                          <w:ind w:firstLine="112"/>
                        </w:pPr>
                        <w:r w:rsidRPr="00DF6E70">
                          <w:t>1. Budžeta ieņēmumi:</w:t>
                        </w:r>
                      </w:p>
                    </w:tc>
                    <w:tc>
                      <w:tcPr>
                        <w:tcW w:w="1805" w:type="dxa"/>
                        <w:tcBorders>
                          <w:top w:val="outset" w:sz="6" w:space="0" w:color="000000"/>
                          <w:left w:val="outset" w:sz="6" w:space="0" w:color="000000"/>
                          <w:bottom w:val="outset" w:sz="6" w:space="0" w:color="000000"/>
                          <w:right w:val="outset" w:sz="6" w:space="0" w:color="000000"/>
                        </w:tcBorders>
                        <w:vAlign w:val="center"/>
                      </w:tcPr>
                      <w:p w14:paraId="398EA2EA" w14:textId="77777777" w:rsidR="00591E50" w:rsidRPr="00DF6E70" w:rsidRDefault="00591E50" w:rsidP="006710CE">
                        <w:pPr>
                          <w:spacing w:line="270" w:lineRule="atLeast"/>
                          <w:jc w:val="center"/>
                          <w:rPr>
                            <w:b/>
                          </w:rPr>
                        </w:pPr>
                        <w:r w:rsidRPr="00DF6E70">
                          <w:rPr>
                            <w:b/>
                          </w:rPr>
                          <w:t>0</w:t>
                        </w:r>
                      </w:p>
                    </w:tc>
                    <w:tc>
                      <w:tcPr>
                        <w:tcW w:w="1058" w:type="dxa"/>
                        <w:tcBorders>
                          <w:top w:val="outset" w:sz="6" w:space="0" w:color="000000"/>
                          <w:left w:val="outset" w:sz="6" w:space="0" w:color="000000"/>
                          <w:bottom w:val="outset" w:sz="6" w:space="0" w:color="000000"/>
                          <w:right w:val="outset" w:sz="6" w:space="0" w:color="000000"/>
                        </w:tcBorders>
                        <w:vAlign w:val="center"/>
                      </w:tcPr>
                      <w:p w14:paraId="300CCD9D" w14:textId="77777777" w:rsidR="00591E50" w:rsidRPr="00DF6E70" w:rsidRDefault="00591E50" w:rsidP="006710CE">
                        <w:pPr>
                          <w:spacing w:line="270" w:lineRule="atLeast"/>
                          <w:jc w:val="center"/>
                          <w:rPr>
                            <w:b/>
                          </w:rPr>
                        </w:pPr>
                        <w:r w:rsidRPr="00DF6E70">
                          <w:rPr>
                            <w:b/>
                          </w:rPr>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7638DB5F" w14:textId="77777777" w:rsidR="00591E50" w:rsidRPr="00DF6E70" w:rsidRDefault="00591E50" w:rsidP="006710CE">
                        <w:pPr>
                          <w:spacing w:line="270" w:lineRule="atLeast"/>
                          <w:jc w:val="center"/>
                        </w:pPr>
                        <w:r w:rsidRPr="00DF6E70">
                          <w:rPr>
                            <w:b/>
                          </w:rPr>
                          <w:t>0</w:t>
                        </w:r>
                      </w:p>
                    </w:tc>
                    <w:tc>
                      <w:tcPr>
                        <w:tcW w:w="1495" w:type="dxa"/>
                        <w:tcBorders>
                          <w:top w:val="outset" w:sz="6" w:space="0" w:color="000000"/>
                          <w:left w:val="outset" w:sz="6" w:space="0" w:color="000000"/>
                          <w:bottom w:val="outset" w:sz="6" w:space="0" w:color="000000"/>
                          <w:right w:val="outset" w:sz="6" w:space="0" w:color="000000"/>
                        </w:tcBorders>
                        <w:vAlign w:val="center"/>
                      </w:tcPr>
                      <w:p w14:paraId="7E44B575" w14:textId="77777777" w:rsidR="00591E50" w:rsidRPr="00DF6E70" w:rsidRDefault="00591E50" w:rsidP="006710CE">
                        <w:pPr>
                          <w:spacing w:line="270" w:lineRule="atLeast"/>
                          <w:jc w:val="center"/>
                          <w:rPr>
                            <w:b/>
                          </w:rPr>
                        </w:pPr>
                        <w:r w:rsidRPr="00DF6E70">
                          <w:rPr>
                            <w:b/>
                          </w:rPr>
                          <w:t>0</w:t>
                        </w:r>
                      </w:p>
                    </w:tc>
                    <w:tc>
                      <w:tcPr>
                        <w:tcW w:w="1587" w:type="dxa"/>
                        <w:tcBorders>
                          <w:top w:val="outset" w:sz="6" w:space="0" w:color="000000"/>
                          <w:left w:val="outset" w:sz="6" w:space="0" w:color="000000"/>
                          <w:bottom w:val="outset" w:sz="6" w:space="0" w:color="000000"/>
                          <w:right w:val="outset" w:sz="6" w:space="0" w:color="000000"/>
                        </w:tcBorders>
                        <w:vAlign w:val="center"/>
                      </w:tcPr>
                      <w:p w14:paraId="2CF243B7" w14:textId="77777777" w:rsidR="00591E50" w:rsidRPr="00DF6E70" w:rsidRDefault="00591E50" w:rsidP="006710CE">
                        <w:pPr>
                          <w:spacing w:line="270" w:lineRule="atLeast"/>
                          <w:jc w:val="center"/>
                          <w:rPr>
                            <w:b/>
                          </w:rPr>
                        </w:pPr>
                        <w:r w:rsidRPr="00DF6E70">
                          <w:rPr>
                            <w:b/>
                          </w:rPr>
                          <w:t>0</w:t>
                        </w:r>
                      </w:p>
                    </w:tc>
                  </w:tr>
                  <w:tr w:rsidR="00591E50" w:rsidRPr="00DF6E70" w14:paraId="5990B45A"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1187D59C" w14:textId="77777777" w:rsidR="00591E50" w:rsidRPr="00DF6E70" w:rsidRDefault="00591E50" w:rsidP="006710CE">
                        <w:pPr>
                          <w:spacing w:before="100" w:beforeAutospacing="1" w:after="100" w:afterAutospacing="1"/>
                          <w:ind w:firstLine="112"/>
                        </w:pPr>
                        <w:r w:rsidRPr="00DF6E70">
                          <w:t>1.1. valsts pamatbudžets, tai skaitā ieņēmumi no maksas pakalpojumiem un citi pašu ieņēmumi</w:t>
                        </w:r>
                      </w:p>
                    </w:tc>
                    <w:tc>
                      <w:tcPr>
                        <w:tcW w:w="1805" w:type="dxa"/>
                        <w:tcBorders>
                          <w:top w:val="outset" w:sz="6" w:space="0" w:color="000000"/>
                          <w:left w:val="outset" w:sz="6" w:space="0" w:color="000000"/>
                          <w:bottom w:val="outset" w:sz="6" w:space="0" w:color="000000"/>
                          <w:right w:val="outset" w:sz="6" w:space="0" w:color="000000"/>
                        </w:tcBorders>
                        <w:vAlign w:val="center"/>
                      </w:tcPr>
                      <w:p w14:paraId="231A6DCF" w14:textId="77777777" w:rsidR="00591E50" w:rsidRPr="00DF6E70" w:rsidRDefault="00591E50" w:rsidP="006710CE">
                        <w:pPr>
                          <w:spacing w:line="270" w:lineRule="atLeast"/>
                          <w:jc w:val="center"/>
                        </w:pPr>
                        <w:r w:rsidRPr="00DF6E70">
                          <w:t>0</w:t>
                        </w:r>
                      </w:p>
                    </w:tc>
                    <w:tc>
                      <w:tcPr>
                        <w:tcW w:w="1058" w:type="dxa"/>
                        <w:tcBorders>
                          <w:top w:val="outset" w:sz="6" w:space="0" w:color="000000"/>
                          <w:left w:val="outset" w:sz="6" w:space="0" w:color="000000"/>
                          <w:bottom w:val="outset" w:sz="6" w:space="0" w:color="000000"/>
                          <w:right w:val="outset" w:sz="6" w:space="0" w:color="000000"/>
                        </w:tcBorders>
                        <w:vAlign w:val="center"/>
                      </w:tcPr>
                      <w:p w14:paraId="47F35126" w14:textId="77777777" w:rsidR="00591E50" w:rsidRPr="00DF6E70" w:rsidRDefault="00591E50" w:rsidP="006710CE">
                        <w:pPr>
                          <w:spacing w:line="270" w:lineRule="atLeast"/>
                          <w:jc w:val="center"/>
                        </w:pPr>
                        <w:r w:rsidRPr="00DF6E70">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5C7D0C6C"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vAlign w:val="center"/>
                      </w:tcPr>
                      <w:p w14:paraId="44528179"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bottom w:val="outset" w:sz="6" w:space="0" w:color="000000"/>
                          <w:right w:val="outset" w:sz="6" w:space="0" w:color="000000"/>
                        </w:tcBorders>
                        <w:vAlign w:val="center"/>
                      </w:tcPr>
                      <w:p w14:paraId="2C3DCA90" w14:textId="77777777" w:rsidR="00591E50" w:rsidRPr="00DF6E70" w:rsidRDefault="00591E50" w:rsidP="006710CE">
                        <w:pPr>
                          <w:spacing w:line="270" w:lineRule="atLeast"/>
                          <w:jc w:val="center"/>
                        </w:pPr>
                        <w:r w:rsidRPr="00DF6E70">
                          <w:t>0</w:t>
                        </w:r>
                      </w:p>
                    </w:tc>
                  </w:tr>
                  <w:tr w:rsidR="00591E50" w:rsidRPr="00DF6E70" w14:paraId="6DD5AF22"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1F63C9D2" w14:textId="77777777" w:rsidR="00591E50" w:rsidRPr="00DF6E70" w:rsidRDefault="00591E50" w:rsidP="006710CE">
                        <w:pPr>
                          <w:spacing w:before="100" w:beforeAutospacing="1" w:after="100" w:afterAutospacing="1"/>
                          <w:ind w:firstLine="112"/>
                        </w:pPr>
                        <w:r w:rsidRPr="00DF6E70">
                          <w:t>1.2. valsts speciālais budžets</w:t>
                        </w:r>
                      </w:p>
                    </w:tc>
                    <w:tc>
                      <w:tcPr>
                        <w:tcW w:w="1805" w:type="dxa"/>
                        <w:tcBorders>
                          <w:top w:val="outset" w:sz="6" w:space="0" w:color="000000"/>
                          <w:left w:val="outset" w:sz="6" w:space="0" w:color="000000"/>
                          <w:bottom w:val="outset" w:sz="6" w:space="0" w:color="000000"/>
                          <w:right w:val="outset" w:sz="6" w:space="0" w:color="000000"/>
                        </w:tcBorders>
                        <w:vAlign w:val="center"/>
                      </w:tcPr>
                      <w:p w14:paraId="5242510F" w14:textId="77777777" w:rsidR="00591E50" w:rsidRPr="00DF6E70" w:rsidRDefault="00591E50" w:rsidP="006710CE">
                        <w:pPr>
                          <w:spacing w:line="270" w:lineRule="atLeast"/>
                          <w:jc w:val="center"/>
                        </w:pPr>
                        <w:r w:rsidRPr="00DF6E70">
                          <w:t>0</w:t>
                        </w:r>
                      </w:p>
                    </w:tc>
                    <w:tc>
                      <w:tcPr>
                        <w:tcW w:w="1058" w:type="dxa"/>
                        <w:tcBorders>
                          <w:top w:val="outset" w:sz="6" w:space="0" w:color="000000"/>
                          <w:left w:val="outset" w:sz="6" w:space="0" w:color="000000"/>
                          <w:bottom w:val="outset" w:sz="6" w:space="0" w:color="000000"/>
                          <w:right w:val="outset" w:sz="6" w:space="0" w:color="000000"/>
                        </w:tcBorders>
                        <w:vAlign w:val="center"/>
                      </w:tcPr>
                      <w:p w14:paraId="552C8922" w14:textId="77777777" w:rsidR="00591E50" w:rsidRPr="00DF6E70" w:rsidRDefault="00591E50" w:rsidP="006710CE">
                        <w:pPr>
                          <w:spacing w:line="270" w:lineRule="atLeast"/>
                          <w:jc w:val="center"/>
                        </w:pPr>
                        <w:r w:rsidRPr="00DF6E70">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2895D1A4"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vAlign w:val="center"/>
                      </w:tcPr>
                      <w:p w14:paraId="169856D3"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bottom w:val="outset" w:sz="6" w:space="0" w:color="000000"/>
                          <w:right w:val="outset" w:sz="6" w:space="0" w:color="000000"/>
                        </w:tcBorders>
                        <w:vAlign w:val="center"/>
                      </w:tcPr>
                      <w:p w14:paraId="6D4792C0" w14:textId="77777777" w:rsidR="00591E50" w:rsidRPr="00DF6E70" w:rsidRDefault="00591E50" w:rsidP="006710CE">
                        <w:pPr>
                          <w:spacing w:line="270" w:lineRule="atLeast"/>
                          <w:jc w:val="center"/>
                        </w:pPr>
                        <w:r w:rsidRPr="00DF6E70">
                          <w:t>0</w:t>
                        </w:r>
                      </w:p>
                    </w:tc>
                  </w:tr>
                  <w:tr w:rsidR="00591E50" w:rsidRPr="00DF6E70" w14:paraId="3C4FAF2A"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39AC8E08" w14:textId="77777777" w:rsidR="00591E50" w:rsidRPr="00DF6E70" w:rsidRDefault="00591E50" w:rsidP="006710CE">
                        <w:pPr>
                          <w:spacing w:before="100" w:beforeAutospacing="1" w:after="100" w:afterAutospacing="1"/>
                          <w:ind w:firstLine="112"/>
                        </w:pPr>
                        <w:r w:rsidRPr="00DF6E70">
                          <w:t>1.3. pašvaldību budžets</w:t>
                        </w:r>
                      </w:p>
                    </w:tc>
                    <w:tc>
                      <w:tcPr>
                        <w:tcW w:w="1805" w:type="dxa"/>
                        <w:tcBorders>
                          <w:top w:val="outset" w:sz="6" w:space="0" w:color="000000"/>
                          <w:left w:val="outset" w:sz="6" w:space="0" w:color="000000"/>
                          <w:bottom w:val="outset" w:sz="6" w:space="0" w:color="000000"/>
                          <w:right w:val="outset" w:sz="6" w:space="0" w:color="000000"/>
                        </w:tcBorders>
                        <w:vAlign w:val="center"/>
                      </w:tcPr>
                      <w:p w14:paraId="2BD1AB4A" w14:textId="0467CE82" w:rsidR="00591E50" w:rsidRPr="00DF6E70" w:rsidRDefault="00591E50" w:rsidP="006710CE">
                        <w:pPr>
                          <w:spacing w:line="270" w:lineRule="atLeast"/>
                          <w:jc w:val="center"/>
                        </w:pPr>
                        <w:r>
                          <w:t>0</w:t>
                        </w:r>
                      </w:p>
                    </w:tc>
                    <w:tc>
                      <w:tcPr>
                        <w:tcW w:w="1058" w:type="dxa"/>
                        <w:tcBorders>
                          <w:top w:val="outset" w:sz="6" w:space="0" w:color="000000"/>
                          <w:left w:val="outset" w:sz="6" w:space="0" w:color="000000"/>
                          <w:bottom w:val="outset" w:sz="6" w:space="0" w:color="000000"/>
                          <w:right w:val="outset" w:sz="6" w:space="0" w:color="000000"/>
                        </w:tcBorders>
                        <w:vAlign w:val="center"/>
                      </w:tcPr>
                      <w:p w14:paraId="25A4FC51" w14:textId="5A8127E3" w:rsidR="00591E50" w:rsidRPr="00DF6E70" w:rsidRDefault="00591E50" w:rsidP="006710CE">
                        <w:pPr>
                          <w:spacing w:line="270" w:lineRule="atLeast"/>
                          <w:jc w:val="center"/>
                        </w:pPr>
                        <w:r>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45707F60"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vAlign w:val="center"/>
                      </w:tcPr>
                      <w:p w14:paraId="07D35873"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bottom w:val="outset" w:sz="6" w:space="0" w:color="000000"/>
                          <w:right w:val="outset" w:sz="6" w:space="0" w:color="000000"/>
                        </w:tcBorders>
                        <w:vAlign w:val="center"/>
                      </w:tcPr>
                      <w:p w14:paraId="51F4EDB2" w14:textId="77777777" w:rsidR="00591E50" w:rsidRPr="00DF6E70" w:rsidRDefault="00591E50" w:rsidP="006710CE">
                        <w:pPr>
                          <w:spacing w:line="270" w:lineRule="atLeast"/>
                          <w:jc w:val="center"/>
                        </w:pPr>
                        <w:r w:rsidRPr="00DF6E70">
                          <w:t>0</w:t>
                        </w:r>
                      </w:p>
                    </w:tc>
                  </w:tr>
                  <w:tr w:rsidR="00591E50" w:rsidRPr="00DF6E70" w14:paraId="0FFD3F12"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57FFAE81" w14:textId="77777777" w:rsidR="00591E50" w:rsidRPr="00DF6E70" w:rsidRDefault="00591E50" w:rsidP="006710CE">
                        <w:pPr>
                          <w:spacing w:before="100" w:beforeAutospacing="1" w:after="100" w:afterAutospacing="1"/>
                          <w:ind w:firstLine="112"/>
                        </w:pPr>
                        <w:r w:rsidRPr="00DF6E70">
                          <w:t>2. Budžeta izdevumi:</w:t>
                        </w:r>
                      </w:p>
                    </w:tc>
                    <w:tc>
                      <w:tcPr>
                        <w:tcW w:w="1805" w:type="dxa"/>
                        <w:tcBorders>
                          <w:top w:val="outset" w:sz="6" w:space="0" w:color="000000"/>
                          <w:left w:val="outset" w:sz="6" w:space="0" w:color="000000"/>
                          <w:bottom w:val="outset" w:sz="6" w:space="0" w:color="000000"/>
                          <w:right w:val="outset" w:sz="6" w:space="0" w:color="000000"/>
                        </w:tcBorders>
                        <w:vAlign w:val="center"/>
                      </w:tcPr>
                      <w:p w14:paraId="06D67950" w14:textId="77777777" w:rsidR="00591E50" w:rsidRPr="00DF6E70" w:rsidRDefault="00591E50" w:rsidP="006710CE">
                        <w:pPr>
                          <w:spacing w:line="270" w:lineRule="atLeast"/>
                          <w:jc w:val="center"/>
                          <w:rPr>
                            <w:b/>
                          </w:rPr>
                        </w:pPr>
                        <w:r w:rsidRPr="00DF6E70">
                          <w:rPr>
                            <w:b/>
                          </w:rPr>
                          <w:t>0</w:t>
                        </w:r>
                      </w:p>
                    </w:tc>
                    <w:tc>
                      <w:tcPr>
                        <w:tcW w:w="1058" w:type="dxa"/>
                        <w:tcBorders>
                          <w:top w:val="outset" w:sz="6" w:space="0" w:color="000000"/>
                          <w:left w:val="outset" w:sz="6" w:space="0" w:color="000000"/>
                          <w:bottom w:val="outset" w:sz="6" w:space="0" w:color="000000"/>
                          <w:right w:val="outset" w:sz="6" w:space="0" w:color="000000"/>
                        </w:tcBorders>
                        <w:vAlign w:val="center"/>
                      </w:tcPr>
                      <w:p w14:paraId="6CF89B7F" w14:textId="77777777" w:rsidR="00591E50" w:rsidRPr="00DF6E70" w:rsidRDefault="00591E50" w:rsidP="006710CE">
                        <w:pPr>
                          <w:spacing w:line="270" w:lineRule="atLeast"/>
                          <w:jc w:val="center"/>
                          <w:rPr>
                            <w:b/>
                          </w:rPr>
                        </w:pPr>
                        <w:r w:rsidRPr="00DF6E70">
                          <w:rPr>
                            <w:b/>
                          </w:rPr>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18724223" w14:textId="77777777" w:rsidR="00591E50" w:rsidRPr="00DF6E70" w:rsidRDefault="00591E50" w:rsidP="006710CE">
                        <w:pPr>
                          <w:spacing w:line="270" w:lineRule="atLeast"/>
                          <w:jc w:val="center"/>
                          <w:rPr>
                            <w:b/>
                          </w:rPr>
                        </w:pPr>
                        <w:r w:rsidRPr="00DF6E70">
                          <w:rPr>
                            <w:b/>
                          </w:rPr>
                          <w:t>0</w:t>
                        </w:r>
                      </w:p>
                    </w:tc>
                    <w:tc>
                      <w:tcPr>
                        <w:tcW w:w="1495" w:type="dxa"/>
                        <w:tcBorders>
                          <w:top w:val="outset" w:sz="6" w:space="0" w:color="000000"/>
                          <w:left w:val="outset" w:sz="6" w:space="0" w:color="000000"/>
                          <w:bottom w:val="outset" w:sz="6" w:space="0" w:color="000000"/>
                          <w:right w:val="outset" w:sz="6" w:space="0" w:color="000000"/>
                        </w:tcBorders>
                        <w:vAlign w:val="center"/>
                      </w:tcPr>
                      <w:p w14:paraId="725FFAE0" w14:textId="77777777" w:rsidR="00591E50" w:rsidRPr="00DF6E70" w:rsidRDefault="00591E50" w:rsidP="006710CE">
                        <w:pPr>
                          <w:spacing w:line="270" w:lineRule="atLeast"/>
                          <w:jc w:val="center"/>
                          <w:rPr>
                            <w:b/>
                          </w:rPr>
                        </w:pPr>
                        <w:r w:rsidRPr="00DF6E70">
                          <w:rPr>
                            <w:b/>
                          </w:rPr>
                          <w:t>0</w:t>
                        </w:r>
                      </w:p>
                    </w:tc>
                    <w:tc>
                      <w:tcPr>
                        <w:tcW w:w="1587" w:type="dxa"/>
                        <w:tcBorders>
                          <w:top w:val="outset" w:sz="6" w:space="0" w:color="000000"/>
                          <w:left w:val="outset" w:sz="6" w:space="0" w:color="000000"/>
                          <w:bottom w:val="outset" w:sz="6" w:space="0" w:color="000000"/>
                          <w:right w:val="outset" w:sz="6" w:space="0" w:color="000000"/>
                        </w:tcBorders>
                        <w:vAlign w:val="center"/>
                      </w:tcPr>
                      <w:p w14:paraId="67284C1F" w14:textId="77777777" w:rsidR="00591E50" w:rsidRPr="00DF6E70" w:rsidRDefault="00591E50" w:rsidP="006710CE">
                        <w:pPr>
                          <w:spacing w:line="270" w:lineRule="atLeast"/>
                          <w:jc w:val="center"/>
                          <w:rPr>
                            <w:b/>
                          </w:rPr>
                        </w:pPr>
                        <w:r w:rsidRPr="00DF6E70">
                          <w:rPr>
                            <w:b/>
                          </w:rPr>
                          <w:t>0</w:t>
                        </w:r>
                      </w:p>
                    </w:tc>
                  </w:tr>
                  <w:tr w:rsidR="00591E50" w:rsidRPr="00DF6E70" w14:paraId="321096A7"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0169480B" w14:textId="77777777" w:rsidR="00591E50" w:rsidRPr="00DF6E70" w:rsidRDefault="00591E50" w:rsidP="006710CE">
                        <w:pPr>
                          <w:spacing w:before="100" w:beforeAutospacing="1" w:after="100" w:afterAutospacing="1"/>
                          <w:ind w:firstLine="112"/>
                        </w:pPr>
                        <w:r w:rsidRPr="00DF6E70">
                          <w:t>2.1. valsts pamatbudžets</w:t>
                        </w:r>
                      </w:p>
                    </w:tc>
                    <w:tc>
                      <w:tcPr>
                        <w:tcW w:w="1805" w:type="dxa"/>
                        <w:tcBorders>
                          <w:top w:val="outset" w:sz="6" w:space="0" w:color="000000"/>
                          <w:left w:val="outset" w:sz="6" w:space="0" w:color="000000"/>
                          <w:bottom w:val="outset" w:sz="6" w:space="0" w:color="000000"/>
                          <w:right w:val="outset" w:sz="6" w:space="0" w:color="000000"/>
                        </w:tcBorders>
                        <w:vAlign w:val="center"/>
                      </w:tcPr>
                      <w:p w14:paraId="3EFD91CE" w14:textId="77777777" w:rsidR="00591E50" w:rsidRPr="00DF6E70" w:rsidRDefault="00591E50" w:rsidP="006710CE">
                        <w:pPr>
                          <w:spacing w:line="270" w:lineRule="atLeast"/>
                          <w:jc w:val="center"/>
                        </w:pPr>
                        <w:r w:rsidRPr="00DF6E70">
                          <w:t>0</w:t>
                        </w:r>
                      </w:p>
                    </w:tc>
                    <w:tc>
                      <w:tcPr>
                        <w:tcW w:w="1058" w:type="dxa"/>
                        <w:tcBorders>
                          <w:top w:val="outset" w:sz="6" w:space="0" w:color="000000"/>
                          <w:left w:val="outset" w:sz="6" w:space="0" w:color="000000"/>
                          <w:bottom w:val="outset" w:sz="6" w:space="0" w:color="000000"/>
                          <w:right w:val="outset" w:sz="6" w:space="0" w:color="000000"/>
                        </w:tcBorders>
                        <w:vAlign w:val="center"/>
                      </w:tcPr>
                      <w:p w14:paraId="20CF7470" w14:textId="77777777" w:rsidR="00591E50" w:rsidRPr="00DF6E70" w:rsidRDefault="00591E50" w:rsidP="006710CE">
                        <w:pPr>
                          <w:spacing w:line="270" w:lineRule="atLeast"/>
                          <w:jc w:val="center"/>
                        </w:pPr>
                        <w:r w:rsidRPr="00DF6E70">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51B2C181"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vAlign w:val="center"/>
                      </w:tcPr>
                      <w:p w14:paraId="51B66361"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bottom w:val="outset" w:sz="6" w:space="0" w:color="000000"/>
                          <w:right w:val="outset" w:sz="6" w:space="0" w:color="000000"/>
                        </w:tcBorders>
                        <w:vAlign w:val="center"/>
                      </w:tcPr>
                      <w:p w14:paraId="5D0F6132" w14:textId="77777777" w:rsidR="00591E50" w:rsidRPr="00DF6E70" w:rsidRDefault="00591E50" w:rsidP="006710CE">
                        <w:pPr>
                          <w:spacing w:line="270" w:lineRule="atLeast"/>
                          <w:jc w:val="center"/>
                        </w:pPr>
                        <w:r w:rsidRPr="00DF6E70">
                          <w:t>0</w:t>
                        </w:r>
                      </w:p>
                    </w:tc>
                  </w:tr>
                  <w:tr w:rsidR="00591E50" w:rsidRPr="00DF6E70" w14:paraId="302091CC"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41705631" w14:textId="77777777" w:rsidR="00591E50" w:rsidRPr="00DF6E70" w:rsidRDefault="00591E50" w:rsidP="006710CE">
                        <w:pPr>
                          <w:spacing w:before="100" w:beforeAutospacing="1" w:after="100" w:afterAutospacing="1"/>
                          <w:ind w:firstLine="112"/>
                        </w:pPr>
                        <w:r w:rsidRPr="00DF6E70">
                          <w:t>2.2. valsts speciālais budžets</w:t>
                        </w:r>
                      </w:p>
                    </w:tc>
                    <w:tc>
                      <w:tcPr>
                        <w:tcW w:w="1805" w:type="dxa"/>
                        <w:tcBorders>
                          <w:top w:val="outset" w:sz="6" w:space="0" w:color="000000"/>
                          <w:left w:val="outset" w:sz="6" w:space="0" w:color="000000"/>
                          <w:bottom w:val="outset" w:sz="6" w:space="0" w:color="000000"/>
                          <w:right w:val="outset" w:sz="6" w:space="0" w:color="000000"/>
                        </w:tcBorders>
                        <w:vAlign w:val="center"/>
                      </w:tcPr>
                      <w:p w14:paraId="0DA76142" w14:textId="522B6748" w:rsidR="00591E50" w:rsidRPr="00DF6E70" w:rsidRDefault="00591E50" w:rsidP="006710CE">
                        <w:pPr>
                          <w:spacing w:line="270" w:lineRule="atLeast"/>
                          <w:jc w:val="center"/>
                        </w:pPr>
                        <w:r>
                          <w:t>0</w:t>
                        </w:r>
                      </w:p>
                    </w:tc>
                    <w:tc>
                      <w:tcPr>
                        <w:tcW w:w="1058" w:type="dxa"/>
                        <w:tcBorders>
                          <w:top w:val="outset" w:sz="6" w:space="0" w:color="000000"/>
                          <w:left w:val="outset" w:sz="6" w:space="0" w:color="000000"/>
                          <w:bottom w:val="outset" w:sz="6" w:space="0" w:color="000000"/>
                          <w:right w:val="outset" w:sz="6" w:space="0" w:color="000000"/>
                        </w:tcBorders>
                        <w:vAlign w:val="center"/>
                      </w:tcPr>
                      <w:p w14:paraId="694AD114" w14:textId="2210AE3C" w:rsidR="00591E50" w:rsidRPr="00DF6E70" w:rsidRDefault="00591E50" w:rsidP="006710CE">
                        <w:pPr>
                          <w:spacing w:line="270" w:lineRule="atLeast"/>
                          <w:jc w:val="center"/>
                        </w:pPr>
                        <w:r>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7643DDA1"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vAlign w:val="center"/>
                      </w:tcPr>
                      <w:p w14:paraId="249A62E0"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bottom w:val="outset" w:sz="6" w:space="0" w:color="000000"/>
                          <w:right w:val="outset" w:sz="6" w:space="0" w:color="000000"/>
                        </w:tcBorders>
                        <w:vAlign w:val="center"/>
                      </w:tcPr>
                      <w:p w14:paraId="51CFE8BE" w14:textId="77777777" w:rsidR="00591E50" w:rsidRPr="00DF6E70" w:rsidRDefault="00591E50" w:rsidP="006710CE">
                        <w:pPr>
                          <w:spacing w:line="270" w:lineRule="atLeast"/>
                          <w:jc w:val="center"/>
                        </w:pPr>
                        <w:r w:rsidRPr="00DF6E70">
                          <w:t>0</w:t>
                        </w:r>
                      </w:p>
                    </w:tc>
                  </w:tr>
                  <w:tr w:rsidR="00591E50" w:rsidRPr="00DF6E70" w14:paraId="38CAA90B"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6C86119A" w14:textId="77777777" w:rsidR="00591E50" w:rsidRPr="00DF6E70" w:rsidRDefault="00591E50" w:rsidP="006710CE">
                        <w:pPr>
                          <w:spacing w:before="100" w:beforeAutospacing="1" w:after="100" w:afterAutospacing="1"/>
                          <w:ind w:firstLine="112"/>
                        </w:pPr>
                        <w:r w:rsidRPr="00DF6E70">
                          <w:t>2.3. pašvaldību budžets</w:t>
                        </w:r>
                      </w:p>
                    </w:tc>
                    <w:tc>
                      <w:tcPr>
                        <w:tcW w:w="1805" w:type="dxa"/>
                        <w:tcBorders>
                          <w:top w:val="outset" w:sz="6" w:space="0" w:color="000000"/>
                          <w:left w:val="outset" w:sz="6" w:space="0" w:color="000000"/>
                          <w:bottom w:val="outset" w:sz="6" w:space="0" w:color="000000"/>
                          <w:right w:val="outset" w:sz="6" w:space="0" w:color="000000"/>
                        </w:tcBorders>
                        <w:vAlign w:val="center"/>
                      </w:tcPr>
                      <w:p w14:paraId="6E5E409F" w14:textId="2E0218F5" w:rsidR="00591E50" w:rsidRPr="00DF6E70" w:rsidRDefault="00591E50" w:rsidP="006710CE">
                        <w:pPr>
                          <w:spacing w:line="270" w:lineRule="atLeast"/>
                          <w:jc w:val="center"/>
                        </w:pPr>
                        <w:r>
                          <w:t>0</w:t>
                        </w:r>
                      </w:p>
                    </w:tc>
                    <w:tc>
                      <w:tcPr>
                        <w:tcW w:w="1058" w:type="dxa"/>
                        <w:tcBorders>
                          <w:top w:val="outset" w:sz="6" w:space="0" w:color="000000"/>
                          <w:left w:val="outset" w:sz="6" w:space="0" w:color="000000"/>
                          <w:bottom w:val="outset" w:sz="6" w:space="0" w:color="000000"/>
                          <w:right w:val="outset" w:sz="6" w:space="0" w:color="000000"/>
                        </w:tcBorders>
                        <w:vAlign w:val="center"/>
                      </w:tcPr>
                      <w:p w14:paraId="30E20162" w14:textId="16426E30" w:rsidR="00591E50" w:rsidRPr="00DF6E70" w:rsidRDefault="00591E50" w:rsidP="006710CE">
                        <w:pPr>
                          <w:spacing w:line="270" w:lineRule="atLeast"/>
                          <w:jc w:val="center"/>
                        </w:pPr>
                        <w:r>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695BDC8C"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vAlign w:val="center"/>
                      </w:tcPr>
                      <w:p w14:paraId="0428DFCC"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bottom w:val="outset" w:sz="6" w:space="0" w:color="000000"/>
                          <w:right w:val="outset" w:sz="6" w:space="0" w:color="000000"/>
                        </w:tcBorders>
                        <w:vAlign w:val="center"/>
                      </w:tcPr>
                      <w:p w14:paraId="2F1E4F08" w14:textId="77777777" w:rsidR="00591E50" w:rsidRPr="00DF6E70" w:rsidRDefault="00591E50" w:rsidP="006710CE">
                        <w:pPr>
                          <w:spacing w:line="270" w:lineRule="atLeast"/>
                          <w:jc w:val="center"/>
                        </w:pPr>
                        <w:r w:rsidRPr="00DF6E70">
                          <w:t>0</w:t>
                        </w:r>
                      </w:p>
                    </w:tc>
                  </w:tr>
                  <w:tr w:rsidR="00591E50" w:rsidRPr="00DF6E70" w14:paraId="32B30D52"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51C3DB3E" w14:textId="77777777" w:rsidR="00591E50" w:rsidRPr="00DF6E70" w:rsidRDefault="00591E50" w:rsidP="006710CE">
                        <w:pPr>
                          <w:spacing w:before="100" w:beforeAutospacing="1" w:after="100" w:afterAutospacing="1"/>
                          <w:ind w:firstLine="112"/>
                        </w:pPr>
                        <w:r w:rsidRPr="00DF6E70">
                          <w:t>3. Finansiālā ietekme:</w:t>
                        </w:r>
                      </w:p>
                    </w:tc>
                    <w:tc>
                      <w:tcPr>
                        <w:tcW w:w="1805" w:type="dxa"/>
                        <w:tcBorders>
                          <w:top w:val="outset" w:sz="6" w:space="0" w:color="000000"/>
                          <w:left w:val="outset" w:sz="6" w:space="0" w:color="000000"/>
                          <w:bottom w:val="outset" w:sz="6" w:space="0" w:color="000000"/>
                          <w:right w:val="outset" w:sz="6" w:space="0" w:color="000000"/>
                        </w:tcBorders>
                        <w:vAlign w:val="center"/>
                      </w:tcPr>
                      <w:p w14:paraId="61BEC7F7" w14:textId="77777777" w:rsidR="00591E50" w:rsidRPr="00DF6E70" w:rsidRDefault="00591E50" w:rsidP="006710CE">
                        <w:pPr>
                          <w:spacing w:line="270" w:lineRule="atLeast"/>
                          <w:jc w:val="center"/>
                        </w:pPr>
                        <w:r w:rsidRPr="00DF6E70">
                          <w:rPr>
                            <w:b/>
                          </w:rPr>
                          <w:t>0</w:t>
                        </w:r>
                      </w:p>
                    </w:tc>
                    <w:tc>
                      <w:tcPr>
                        <w:tcW w:w="1058" w:type="dxa"/>
                        <w:tcBorders>
                          <w:top w:val="outset" w:sz="6" w:space="0" w:color="000000"/>
                          <w:left w:val="outset" w:sz="6" w:space="0" w:color="000000"/>
                          <w:bottom w:val="outset" w:sz="6" w:space="0" w:color="000000"/>
                          <w:right w:val="outset" w:sz="6" w:space="0" w:color="000000"/>
                        </w:tcBorders>
                        <w:vAlign w:val="center"/>
                      </w:tcPr>
                      <w:p w14:paraId="6F0A44E4" w14:textId="77777777" w:rsidR="00591E50" w:rsidRPr="00DF6E70" w:rsidRDefault="00591E50" w:rsidP="006710CE">
                        <w:pPr>
                          <w:spacing w:line="270" w:lineRule="atLeast"/>
                          <w:jc w:val="center"/>
                          <w:rPr>
                            <w:b/>
                          </w:rPr>
                        </w:pPr>
                        <w:r w:rsidRPr="00DF6E70">
                          <w:rPr>
                            <w:b/>
                          </w:rPr>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7801C9D3" w14:textId="77777777" w:rsidR="00591E50" w:rsidRPr="00DF6E70" w:rsidRDefault="00591E50" w:rsidP="006710CE">
                        <w:pPr>
                          <w:spacing w:line="270" w:lineRule="atLeast"/>
                          <w:jc w:val="center"/>
                          <w:rPr>
                            <w:b/>
                          </w:rPr>
                        </w:pPr>
                        <w:r w:rsidRPr="00DF6E70">
                          <w:rPr>
                            <w:b/>
                          </w:rPr>
                          <w:t>0</w:t>
                        </w:r>
                      </w:p>
                    </w:tc>
                    <w:tc>
                      <w:tcPr>
                        <w:tcW w:w="1495" w:type="dxa"/>
                        <w:tcBorders>
                          <w:top w:val="outset" w:sz="6" w:space="0" w:color="000000"/>
                          <w:left w:val="outset" w:sz="6" w:space="0" w:color="000000"/>
                          <w:bottom w:val="outset" w:sz="6" w:space="0" w:color="000000"/>
                          <w:right w:val="outset" w:sz="6" w:space="0" w:color="000000"/>
                        </w:tcBorders>
                        <w:vAlign w:val="center"/>
                      </w:tcPr>
                      <w:p w14:paraId="77A88C2D" w14:textId="77777777" w:rsidR="00591E50" w:rsidRPr="00DF6E70" w:rsidRDefault="00591E50" w:rsidP="006710CE">
                        <w:pPr>
                          <w:spacing w:line="270" w:lineRule="atLeast"/>
                          <w:jc w:val="center"/>
                          <w:rPr>
                            <w:b/>
                          </w:rPr>
                        </w:pPr>
                        <w:r w:rsidRPr="00DF6E70">
                          <w:rPr>
                            <w:b/>
                          </w:rPr>
                          <w:t>0</w:t>
                        </w:r>
                      </w:p>
                    </w:tc>
                    <w:tc>
                      <w:tcPr>
                        <w:tcW w:w="1587" w:type="dxa"/>
                        <w:tcBorders>
                          <w:top w:val="outset" w:sz="6" w:space="0" w:color="000000"/>
                          <w:left w:val="outset" w:sz="6" w:space="0" w:color="000000"/>
                          <w:bottom w:val="outset" w:sz="6" w:space="0" w:color="000000"/>
                          <w:right w:val="outset" w:sz="6" w:space="0" w:color="000000"/>
                        </w:tcBorders>
                        <w:vAlign w:val="center"/>
                      </w:tcPr>
                      <w:p w14:paraId="1816832D" w14:textId="77777777" w:rsidR="00591E50" w:rsidRPr="00DF6E70" w:rsidRDefault="00591E50" w:rsidP="006710CE">
                        <w:pPr>
                          <w:spacing w:line="270" w:lineRule="atLeast"/>
                          <w:jc w:val="center"/>
                          <w:rPr>
                            <w:b/>
                          </w:rPr>
                        </w:pPr>
                        <w:r w:rsidRPr="00DF6E70">
                          <w:rPr>
                            <w:b/>
                          </w:rPr>
                          <w:t>0</w:t>
                        </w:r>
                      </w:p>
                    </w:tc>
                  </w:tr>
                  <w:tr w:rsidR="00591E50" w:rsidRPr="00DF6E70" w14:paraId="0E858B1B"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1A12D091" w14:textId="77777777" w:rsidR="00591E50" w:rsidRPr="00DF6E70" w:rsidRDefault="00591E50" w:rsidP="006710CE">
                        <w:pPr>
                          <w:spacing w:before="100" w:beforeAutospacing="1" w:after="100" w:afterAutospacing="1"/>
                          <w:ind w:firstLine="112"/>
                        </w:pPr>
                        <w:r w:rsidRPr="00DF6E70">
                          <w:t>3.1. valsts pamatbudžets</w:t>
                        </w:r>
                      </w:p>
                    </w:tc>
                    <w:tc>
                      <w:tcPr>
                        <w:tcW w:w="1805" w:type="dxa"/>
                        <w:tcBorders>
                          <w:top w:val="outset" w:sz="6" w:space="0" w:color="000000"/>
                          <w:left w:val="outset" w:sz="6" w:space="0" w:color="000000"/>
                          <w:bottom w:val="outset" w:sz="6" w:space="0" w:color="000000"/>
                          <w:right w:val="outset" w:sz="6" w:space="0" w:color="000000"/>
                        </w:tcBorders>
                        <w:vAlign w:val="center"/>
                      </w:tcPr>
                      <w:p w14:paraId="5ED812FB" w14:textId="77777777" w:rsidR="00591E50" w:rsidRPr="00DF6E70" w:rsidRDefault="00591E50" w:rsidP="006710CE">
                        <w:pPr>
                          <w:spacing w:line="270" w:lineRule="atLeast"/>
                          <w:jc w:val="center"/>
                        </w:pPr>
                        <w:r w:rsidRPr="00DF6E70">
                          <w:t>0</w:t>
                        </w:r>
                      </w:p>
                    </w:tc>
                    <w:tc>
                      <w:tcPr>
                        <w:tcW w:w="1058" w:type="dxa"/>
                        <w:tcBorders>
                          <w:top w:val="outset" w:sz="6" w:space="0" w:color="000000"/>
                          <w:left w:val="outset" w:sz="6" w:space="0" w:color="000000"/>
                          <w:bottom w:val="outset" w:sz="6" w:space="0" w:color="000000"/>
                          <w:right w:val="outset" w:sz="6" w:space="0" w:color="000000"/>
                        </w:tcBorders>
                        <w:vAlign w:val="center"/>
                      </w:tcPr>
                      <w:p w14:paraId="225D0BE4" w14:textId="77777777" w:rsidR="00591E50" w:rsidRPr="00DF6E70" w:rsidRDefault="00591E50" w:rsidP="006710CE">
                        <w:pPr>
                          <w:spacing w:line="270" w:lineRule="atLeast"/>
                          <w:jc w:val="center"/>
                        </w:pPr>
                        <w:r w:rsidRPr="00DF6E70">
                          <w:t>0</w:t>
                        </w:r>
                      </w:p>
                    </w:tc>
                    <w:tc>
                      <w:tcPr>
                        <w:tcW w:w="1357" w:type="dxa"/>
                        <w:tcBorders>
                          <w:top w:val="outset" w:sz="6" w:space="0" w:color="000000"/>
                          <w:left w:val="outset" w:sz="6" w:space="0" w:color="000000"/>
                          <w:bottom w:val="outset" w:sz="6" w:space="0" w:color="000000"/>
                          <w:right w:val="outset" w:sz="6" w:space="0" w:color="000000"/>
                        </w:tcBorders>
                        <w:vAlign w:val="center"/>
                      </w:tcPr>
                      <w:p w14:paraId="669DE219"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vAlign w:val="center"/>
                      </w:tcPr>
                      <w:p w14:paraId="51F7C2BB" w14:textId="77777777" w:rsidR="00591E50" w:rsidRPr="00DF6E70" w:rsidRDefault="00591E50" w:rsidP="006710CE">
                        <w:pPr>
                          <w:spacing w:line="270" w:lineRule="atLeast"/>
                          <w:jc w:val="center"/>
                        </w:pPr>
                        <w:r w:rsidRPr="00DF6E70">
                          <w:rPr>
                            <w:b/>
                          </w:rPr>
                          <w:t>0</w:t>
                        </w:r>
                      </w:p>
                    </w:tc>
                    <w:tc>
                      <w:tcPr>
                        <w:tcW w:w="1587" w:type="dxa"/>
                        <w:tcBorders>
                          <w:top w:val="outset" w:sz="6" w:space="0" w:color="000000"/>
                          <w:left w:val="outset" w:sz="6" w:space="0" w:color="000000"/>
                          <w:bottom w:val="outset" w:sz="6" w:space="0" w:color="000000"/>
                          <w:right w:val="outset" w:sz="6" w:space="0" w:color="000000"/>
                        </w:tcBorders>
                        <w:vAlign w:val="center"/>
                      </w:tcPr>
                      <w:p w14:paraId="28F65E1F" w14:textId="77777777" w:rsidR="00591E50" w:rsidRPr="00DF6E70" w:rsidRDefault="00591E50" w:rsidP="006710CE">
                        <w:pPr>
                          <w:spacing w:line="270" w:lineRule="atLeast"/>
                          <w:jc w:val="center"/>
                        </w:pPr>
                        <w:r w:rsidRPr="00DF6E70">
                          <w:rPr>
                            <w:b/>
                          </w:rPr>
                          <w:t>0</w:t>
                        </w:r>
                      </w:p>
                    </w:tc>
                  </w:tr>
                  <w:tr w:rsidR="00591E50" w:rsidRPr="00DF6E70" w14:paraId="419A5A39"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343634FF" w14:textId="77777777" w:rsidR="00591E50" w:rsidRPr="00DF6E70" w:rsidRDefault="00591E50" w:rsidP="006710CE">
                        <w:pPr>
                          <w:spacing w:before="100" w:beforeAutospacing="1" w:after="100" w:afterAutospacing="1"/>
                          <w:ind w:firstLine="112"/>
                        </w:pPr>
                        <w:r w:rsidRPr="00DF6E70">
                          <w:t>3.2. speciālais budžets</w:t>
                        </w:r>
                      </w:p>
                    </w:tc>
                    <w:tc>
                      <w:tcPr>
                        <w:tcW w:w="1805" w:type="dxa"/>
                        <w:tcBorders>
                          <w:top w:val="outset" w:sz="6" w:space="0" w:color="000000"/>
                          <w:left w:val="outset" w:sz="6" w:space="0" w:color="000000"/>
                          <w:bottom w:val="outset" w:sz="6" w:space="0" w:color="000000"/>
                          <w:right w:val="outset" w:sz="6" w:space="0" w:color="000000"/>
                        </w:tcBorders>
                      </w:tcPr>
                      <w:p w14:paraId="1E9BD83B" w14:textId="386DE9A8" w:rsidR="00591E50" w:rsidRPr="00DF6E70" w:rsidRDefault="00591E50" w:rsidP="00591E50">
                        <w:pPr>
                          <w:spacing w:line="270" w:lineRule="atLeast"/>
                          <w:jc w:val="center"/>
                        </w:pPr>
                        <w:r>
                          <w:t>0</w:t>
                        </w:r>
                      </w:p>
                    </w:tc>
                    <w:tc>
                      <w:tcPr>
                        <w:tcW w:w="1058" w:type="dxa"/>
                        <w:tcBorders>
                          <w:top w:val="outset" w:sz="6" w:space="0" w:color="000000"/>
                          <w:left w:val="outset" w:sz="6" w:space="0" w:color="000000"/>
                          <w:bottom w:val="outset" w:sz="6" w:space="0" w:color="000000"/>
                          <w:right w:val="outset" w:sz="6" w:space="0" w:color="000000"/>
                        </w:tcBorders>
                      </w:tcPr>
                      <w:p w14:paraId="5BC30EBF" w14:textId="0211E43E" w:rsidR="00591E50" w:rsidRPr="00DF6E70" w:rsidRDefault="00591E50" w:rsidP="006710CE">
                        <w:pPr>
                          <w:spacing w:line="270" w:lineRule="atLeast"/>
                          <w:jc w:val="center"/>
                        </w:pPr>
                        <w:r>
                          <w:t>0</w:t>
                        </w:r>
                      </w:p>
                    </w:tc>
                    <w:tc>
                      <w:tcPr>
                        <w:tcW w:w="1357" w:type="dxa"/>
                        <w:tcBorders>
                          <w:top w:val="outset" w:sz="6" w:space="0" w:color="000000"/>
                          <w:left w:val="outset" w:sz="6" w:space="0" w:color="000000"/>
                          <w:bottom w:val="outset" w:sz="6" w:space="0" w:color="000000"/>
                          <w:right w:val="outset" w:sz="6" w:space="0" w:color="000000"/>
                        </w:tcBorders>
                      </w:tcPr>
                      <w:p w14:paraId="6519A1E2"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tcPr>
                      <w:p w14:paraId="2364358B"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bottom w:val="outset" w:sz="6" w:space="0" w:color="000000"/>
                          <w:right w:val="outset" w:sz="6" w:space="0" w:color="000000"/>
                        </w:tcBorders>
                      </w:tcPr>
                      <w:p w14:paraId="5666D230" w14:textId="77777777" w:rsidR="00591E50" w:rsidRPr="00DF6E70" w:rsidRDefault="00591E50" w:rsidP="006710CE">
                        <w:pPr>
                          <w:spacing w:line="270" w:lineRule="atLeast"/>
                          <w:jc w:val="center"/>
                        </w:pPr>
                        <w:r w:rsidRPr="00DF6E70">
                          <w:t>0</w:t>
                        </w:r>
                      </w:p>
                    </w:tc>
                  </w:tr>
                  <w:tr w:rsidR="00591E50" w:rsidRPr="00DF6E70" w14:paraId="3874AA28"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59840DEE" w14:textId="77777777" w:rsidR="00591E50" w:rsidRPr="00DF6E70" w:rsidRDefault="00591E50" w:rsidP="006710CE">
                        <w:pPr>
                          <w:spacing w:before="100" w:beforeAutospacing="1" w:after="100" w:afterAutospacing="1"/>
                          <w:ind w:firstLine="112"/>
                        </w:pPr>
                        <w:r w:rsidRPr="00DF6E70">
                          <w:t>3.3. pašvaldību budžets</w:t>
                        </w:r>
                      </w:p>
                    </w:tc>
                    <w:tc>
                      <w:tcPr>
                        <w:tcW w:w="1805" w:type="dxa"/>
                        <w:tcBorders>
                          <w:top w:val="outset" w:sz="6" w:space="0" w:color="000000"/>
                          <w:left w:val="outset" w:sz="6" w:space="0" w:color="000000"/>
                          <w:bottom w:val="outset" w:sz="6" w:space="0" w:color="000000"/>
                          <w:right w:val="outset" w:sz="6" w:space="0" w:color="000000"/>
                        </w:tcBorders>
                      </w:tcPr>
                      <w:p w14:paraId="3A173968" w14:textId="6BA9A32D" w:rsidR="00591E50" w:rsidRPr="00DF6E70" w:rsidRDefault="00591E50" w:rsidP="00591E50">
                        <w:pPr>
                          <w:spacing w:line="270" w:lineRule="atLeast"/>
                          <w:jc w:val="center"/>
                        </w:pPr>
                        <w:r>
                          <w:t>0</w:t>
                        </w:r>
                      </w:p>
                    </w:tc>
                    <w:tc>
                      <w:tcPr>
                        <w:tcW w:w="1058" w:type="dxa"/>
                        <w:tcBorders>
                          <w:top w:val="outset" w:sz="6" w:space="0" w:color="000000"/>
                          <w:left w:val="outset" w:sz="6" w:space="0" w:color="000000"/>
                          <w:bottom w:val="outset" w:sz="6" w:space="0" w:color="000000"/>
                          <w:right w:val="outset" w:sz="6" w:space="0" w:color="000000"/>
                        </w:tcBorders>
                      </w:tcPr>
                      <w:p w14:paraId="28020B5F" w14:textId="77777777" w:rsidR="00591E50" w:rsidRPr="00DF6E70" w:rsidRDefault="00591E50" w:rsidP="006710CE">
                        <w:pPr>
                          <w:spacing w:line="270" w:lineRule="atLeast"/>
                          <w:jc w:val="center"/>
                        </w:pPr>
                        <w:r w:rsidRPr="00DF6E70">
                          <w:t>0</w:t>
                        </w:r>
                      </w:p>
                    </w:tc>
                    <w:tc>
                      <w:tcPr>
                        <w:tcW w:w="1357" w:type="dxa"/>
                        <w:tcBorders>
                          <w:top w:val="outset" w:sz="6" w:space="0" w:color="000000"/>
                          <w:left w:val="outset" w:sz="6" w:space="0" w:color="000000"/>
                          <w:bottom w:val="outset" w:sz="6" w:space="0" w:color="000000"/>
                          <w:right w:val="outset" w:sz="6" w:space="0" w:color="000000"/>
                        </w:tcBorders>
                      </w:tcPr>
                      <w:p w14:paraId="717B0504"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tcPr>
                      <w:p w14:paraId="177C4B90"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bottom w:val="outset" w:sz="6" w:space="0" w:color="000000"/>
                          <w:right w:val="outset" w:sz="6" w:space="0" w:color="000000"/>
                        </w:tcBorders>
                      </w:tcPr>
                      <w:p w14:paraId="166B9660" w14:textId="77777777" w:rsidR="00591E50" w:rsidRPr="00DF6E70" w:rsidRDefault="00591E50" w:rsidP="006710CE">
                        <w:pPr>
                          <w:spacing w:line="270" w:lineRule="atLeast"/>
                          <w:jc w:val="center"/>
                        </w:pPr>
                        <w:r w:rsidRPr="00DF6E70">
                          <w:t>0</w:t>
                        </w:r>
                      </w:p>
                    </w:tc>
                  </w:tr>
                  <w:tr w:rsidR="00591E50" w:rsidRPr="00DF6E70" w14:paraId="5F19AF69" w14:textId="77777777" w:rsidTr="00591E50">
                    <w:trPr>
                      <w:trHeight w:val="1932"/>
                    </w:trPr>
                    <w:tc>
                      <w:tcPr>
                        <w:tcW w:w="2471" w:type="dxa"/>
                        <w:tcBorders>
                          <w:top w:val="outset" w:sz="6" w:space="0" w:color="000000"/>
                          <w:left w:val="outset" w:sz="6" w:space="0" w:color="000000"/>
                          <w:bottom w:val="outset" w:sz="6" w:space="0" w:color="000000"/>
                          <w:right w:val="outset" w:sz="6" w:space="0" w:color="000000"/>
                        </w:tcBorders>
                      </w:tcPr>
                      <w:p w14:paraId="6EB08CBB" w14:textId="77777777" w:rsidR="00591E50" w:rsidRPr="00DF6E70" w:rsidRDefault="00591E50" w:rsidP="006710CE">
                        <w:pPr>
                          <w:spacing w:before="100" w:beforeAutospacing="1" w:after="100" w:afterAutospacing="1"/>
                          <w:ind w:firstLine="112"/>
                        </w:pPr>
                        <w:r w:rsidRPr="00DF6E70">
                          <w:lastRenderedPageBreak/>
                          <w:t>4. Finanšu līdzekļi papildu izdevumu finansēšanai (kompensējošu izdevumu samazinājumu norāda ar "+" zīmi)</w:t>
                        </w:r>
                      </w:p>
                    </w:tc>
                    <w:tc>
                      <w:tcPr>
                        <w:tcW w:w="1805" w:type="dxa"/>
                        <w:tcBorders>
                          <w:top w:val="outset" w:sz="6" w:space="0" w:color="000000"/>
                          <w:left w:val="outset" w:sz="6" w:space="0" w:color="000000"/>
                          <w:bottom w:val="outset" w:sz="6" w:space="0" w:color="000000"/>
                          <w:right w:val="outset" w:sz="6" w:space="0" w:color="000000"/>
                        </w:tcBorders>
                      </w:tcPr>
                      <w:p w14:paraId="0613D7BA" w14:textId="77777777" w:rsidR="00591E50" w:rsidRPr="00DF6E70" w:rsidRDefault="00591E50" w:rsidP="006710CE">
                        <w:pPr>
                          <w:spacing w:before="100" w:beforeAutospacing="1" w:after="100" w:afterAutospacing="1"/>
                          <w:jc w:val="center"/>
                        </w:pPr>
                        <w:r w:rsidRPr="00DF6E70">
                          <w:t>X</w:t>
                        </w:r>
                      </w:p>
                    </w:tc>
                    <w:tc>
                      <w:tcPr>
                        <w:tcW w:w="1058" w:type="dxa"/>
                        <w:tcBorders>
                          <w:top w:val="outset" w:sz="6" w:space="0" w:color="000000"/>
                          <w:left w:val="outset" w:sz="6" w:space="0" w:color="000000"/>
                          <w:right w:val="outset" w:sz="6" w:space="0" w:color="000000"/>
                        </w:tcBorders>
                      </w:tcPr>
                      <w:p w14:paraId="42479C5D" w14:textId="77777777" w:rsidR="00591E50" w:rsidRPr="00DF6E70" w:rsidRDefault="00591E50" w:rsidP="006710CE">
                        <w:pPr>
                          <w:spacing w:line="270" w:lineRule="atLeast"/>
                          <w:jc w:val="center"/>
                        </w:pPr>
                        <w:r w:rsidRPr="00DF6E70">
                          <w:t>0</w:t>
                        </w:r>
                      </w:p>
                    </w:tc>
                    <w:tc>
                      <w:tcPr>
                        <w:tcW w:w="1357" w:type="dxa"/>
                        <w:tcBorders>
                          <w:top w:val="outset" w:sz="6" w:space="0" w:color="000000"/>
                          <w:left w:val="outset" w:sz="6" w:space="0" w:color="000000"/>
                          <w:right w:val="outset" w:sz="6" w:space="0" w:color="000000"/>
                        </w:tcBorders>
                      </w:tcPr>
                      <w:p w14:paraId="5046728D"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right w:val="outset" w:sz="6" w:space="0" w:color="000000"/>
                        </w:tcBorders>
                      </w:tcPr>
                      <w:p w14:paraId="39A5721A"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right w:val="outset" w:sz="6" w:space="0" w:color="000000"/>
                        </w:tcBorders>
                      </w:tcPr>
                      <w:p w14:paraId="1B1711FC" w14:textId="77777777" w:rsidR="00591E50" w:rsidRPr="00DF6E70" w:rsidRDefault="00591E50" w:rsidP="006710CE">
                        <w:pPr>
                          <w:spacing w:line="270" w:lineRule="atLeast"/>
                          <w:jc w:val="center"/>
                        </w:pPr>
                        <w:r w:rsidRPr="00DF6E70">
                          <w:t>0</w:t>
                        </w:r>
                      </w:p>
                    </w:tc>
                  </w:tr>
                  <w:tr w:rsidR="00591E50" w:rsidRPr="00DF6E70" w14:paraId="1755049F"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216B5468" w14:textId="77777777" w:rsidR="00591E50" w:rsidRPr="00DF6E70" w:rsidRDefault="00591E50" w:rsidP="006710CE">
                        <w:pPr>
                          <w:spacing w:before="100" w:beforeAutospacing="1" w:after="100" w:afterAutospacing="1"/>
                          <w:ind w:firstLine="112"/>
                        </w:pPr>
                        <w:r w:rsidRPr="00DF6E70">
                          <w:t>5. Precizēta finansiālā ietekme:</w:t>
                        </w:r>
                      </w:p>
                    </w:tc>
                    <w:tc>
                      <w:tcPr>
                        <w:tcW w:w="1805" w:type="dxa"/>
                        <w:vMerge w:val="restart"/>
                        <w:tcBorders>
                          <w:top w:val="outset" w:sz="6" w:space="0" w:color="000000"/>
                          <w:left w:val="outset" w:sz="6" w:space="0" w:color="000000"/>
                          <w:bottom w:val="outset" w:sz="6" w:space="0" w:color="000000"/>
                          <w:right w:val="outset" w:sz="6" w:space="0" w:color="000000"/>
                        </w:tcBorders>
                      </w:tcPr>
                      <w:p w14:paraId="2D91CDB5" w14:textId="77777777" w:rsidR="00591E50" w:rsidRPr="00DF6E70" w:rsidRDefault="00591E50" w:rsidP="006710CE">
                        <w:pPr>
                          <w:spacing w:before="100" w:beforeAutospacing="1" w:after="100" w:afterAutospacing="1"/>
                          <w:jc w:val="center"/>
                        </w:pPr>
                        <w:r w:rsidRPr="00DF6E70">
                          <w:t>X</w:t>
                        </w:r>
                      </w:p>
                    </w:tc>
                    <w:tc>
                      <w:tcPr>
                        <w:tcW w:w="1058" w:type="dxa"/>
                        <w:tcBorders>
                          <w:top w:val="outset" w:sz="6" w:space="0" w:color="000000"/>
                          <w:left w:val="outset" w:sz="6" w:space="0" w:color="000000"/>
                          <w:bottom w:val="outset" w:sz="6" w:space="0" w:color="000000"/>
                          <w:right w:val="outset" w:sz="6" w:space="0" w:color="000000"/>
                        </w:tcBorders>
                      </w:tcPr>
                      <w:p w14:paraId="4D8D6DDF" w14:textId="77777777" w:rsidR="00591E50" w:rsidRPr="00591E50" w:rsidRDefault="00591E50" w:rsidP="006710CE">
                        <w:pPr>
                          <w:spacing w:line="270" w:lineRule="atLeast"/>
                          <w:jc w:val="center"/>
                          <w:rPr>
                            <w:b/>
                          </w:rPr>
                        </w:pPr>
                        <w:r w:rsidRPr="00591E50">
                          <w:rPr>
                            <w:b/>
                          </w:rPr>
                          <w:t>0</w:t>
                        </w:r>
                      </w:p>
                    </w:tc>
                    <w:tc>
                      <w:tcPr>
                        <w:tcW w:w="1357" w:type="dxa"/>
                        <w:tcBorders>
                          <w:top w:val="outset" w:sz="6" w:space="0" w:color="000000"/>
                          <w:left w:val="outset" w:sz="6" w:space="0" w:color="000000"/>
                          <w:bottom w:val="outset" w:sz="6" w:space="0" w:color="000000"/>
                          <w:right w:val="outset" w:sz="6" w:space="0" w:color="000000"/>
                        </w:tcBorders>
                      </w:tcPr>
                      <w:p w14:paraId="45BCEB0A" w14:textId="77777777" w:rsidR="00591E50" w:rsidRPr="00591E50" w:rsidRDefault="00591E50" w:rsidP="006710CE">
                        <w:pPr>
                          <w:spacing w:line="270" w:lineRule="atLeast"/>
                          <w:jc w:val="center"/>
                          <w:rPr>
                            <w:b/>
                          </w:rPr>
                        </w:pPr>
                        <w:r w:rsidRPr="00591E50">
                          <w:rPr>
                            <w:b/>
                          </w:rPr>
                          <w:t>0</w:t>
                        </w:r>
                      </w:p>
                    </w:tc>
                    <w:tc>
                      <w:tcPr>
                        <w:tcW w:w="1495" w:type="dxa"/>
                        <w:tcBorders>
                          <w:top w:val="outset" w:sz="6" w:space="0" w:color="000000"/>
                          <w:left w:val="outset" w:sz="6" w:space="0" w:color="000000"/>
                          <w:bottom w:val="outset" w:sz="6" w:space="0" w:color="000000"/>
                          <w:right w:val="outset" w:sz="6" w:space="0" w:color="000000"/>
                        </w:tcBorders>
                      </w:tcPr>
                      <w:p w14:paraId="7B91AF1A" w14:textId="77777777" w:rsidR="00591E50" w:rsidRPr="00591E50" w:rsidRDefault="00591E50" w:rsidP="006710CE">
                        <w:pPr>
                          <w:spacing w:line="270" w:lineRule="atLeast"/>
                          <w:jc w:val="center"/>
                          <w:rPr>
                            <w:b/>
                          </w:rPr>
                        </w:pPr>
                        <w:r w:rsidRPr="00591E50">
                          <w:rPr>
                            <w:b/>
                          </w:rPr>
                          <w:t>0</w:t>
                        </w:r>
                      </w:p>
                    </w:tc>
                    <w:tc>
                      <w:tcPr>
                        <w:tcW w:w="1587" w:type="dxa"/>
                        <w:tcBorders>
                          <w:top w:val="outset" w:sz="6" w:space="0" w:color="000000"/>
                          <w:left w:val="outset" w:sz="6" w:space="0" w:color="000000"/>
                          <w:bottom w:val="outset" w:sz="6" w:space="0" w:color="000000"/>
                          <w:right w:val="outset" w:sz="6" w:space="0" w:color="000000"/>
                        </w:tcBorders>
                      </w:tcPr>
                      <w:p w14:paraId="1EF77BCC" w14:textId="77777777" w:rsidR="00591E50" w:rsidRPr="00591E50" w:rsidRDefault="00591E50" w:rsidP="006710CE">
                        <w:pPr>
                          <w:spacing w:line="270" w:lineRule="atLeast"/>
                          <w:jc w:val="center"/>
                          <w:rPr>
                            <w:b/>
                          </w:rPr>
                        </w:pPr>
                        <w:r w:rsidRPr="00591E50">
                          <w:rPr>
                            <w:b/>
                          </w:rPr>
                          <w:t>0</w:t>
                        </w:r>
                      </w:p>
                    </w:tc>
                  </w:tr>
                  <w:tr w:rsidR="00591E50" w:rsidRPr="00DF6E70" w14:paraId="1215B5AA"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339F147D" w14:textId="77777777" w:rsidR="00591E50" w:rsidRPr="00DF6E70" w:rsidRDefault="00591E50" w:rsidP="006710CE">
                        <w:pPr>
                          <w:spacing w:before="100" w:beforeAutospacing="1" w:after="100" w:afterAutospacing="1"/>
                          <w:ind w:firstLine="112"/>
                        </w:pPr>
                        <w:r w:rsidRPr="00DF6E70">
                          <w:t>5.1. valsts pamatbudžets</w:t>
                        </w:r>
                      </w:p>
                    </w:tc>
                    <w:tc>
                      <w:tcPr>
                        <w:tcW w:w="1805" w:type="dxa"/>
                        <w:vMerge/>
                        <w:tcBorders>
                          <w:top w:val="outset" w:sz="6" w:space="0" w:color="000000"/>
                          <w:left w:val="outset" w:sz="6" w:space="0" w:color="000000"/>
                          <w:bottom w:val="outset" w:sz="6" w:space="0" w:color="000000"/>
                          <w:right w:val="outset" w:sz="6" w:space="0" w:color="000000"/>
                        </w:tcBorders>
                        <w:vAlign w:val="center"/>
                      </w:tcPr>
                      <w:p w14:paraId="78E1D93F" w14:textId="77777777" w:rsidR="00591E50" w:rsidRPr="00DF6E70" w:rsidRDefault="00591E50" w:rsidP="006710CE"/>
                    </w:tc>
                    <w:tc>
                      <w:tcPr>
                        <w:tcW w:w="1058" w:type="dxa"/>
                        <w:tcBorders>
                          <w:top w:val="outset" w:sz="6" w:space="0" w:color="000000"/>
                          <w:left w:val="outset" w:sz="6" w:space="0" w:color="000000"/>
                          <w:bottom w:val="outset" w:sz="6" w:space="0" w:color="000000"/>
                          <w:right w:val="outset" w:sz="6" w:space="0" w:color="000000"/>
                        </w:tcBorders>
                      </w:tcPr>
                      <w:p w14:paraId="0B583DED" w14:textId="14FE8202" w:rsidR="00591E50" w:rsidRPr="00DF6E70" w:rsidRDefault="00591E50" w:rsidP="006710CE">
                        <w:pPr>
                          <w:spacing w:line="270" w:lineRule="atLeast"/>
                          <w:jc w:val="center"/>
                        </w:pPr>
                        <w:r>
                          <w:t>0</w:t>
                        </w:r>
                      </w:p>
                    </w:tc>
                    <w:tc>
                      <w:tcPr>
                        <w:tcW w:w="1357" w:type="dxa"/>
                        <w:tcBorders>
                          <w:top w:val="outset" w:sz="6" w:space="0" w:color="000000"/>
                          <w:left w:val="outset" w:sz="6" w:space="0" w:color="000000"/>
                          <w:bottom w:val="outset" w:sz="6" w:space="0" w:color="000000"/>
                          <w:right w:val="outset" w:sz="6" w:space="0" w:color="000000"/>
                        </w:tcBorders>
                      </w:tcPr>
                      <w:p w14:paraId="534C6046"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tcPr>
                      <w:p w14:paraId="34163998"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bottom w:val="outset" w:sz="6" w:space="0" w:color="000000"/>
                          <w:right w:val="outset" w:sz="6" w:space="0" w:color="000000"/>
                        </w:tcBorders>
                      </w:tcPr>
                      <w:p w14:paraId="53AC3FBA" w14:textId="77777777" w:rsidR="00591E50" w:rsidRPr="00DF6E70" w:rsidRDefault="00591E50" w:rsidP="006710CE">
                        <w:pPr>
                          <w:spacing w:line="270" w:lineRule="atLeast"/>
                          <w:jc w:val="center"/>
                        </w:pPr>
                        <w:r w:rsidRPr="00DF6E70">
                          <w:t>0</w:t>
                        </w:r>
                      </w:p>
                    </w:tc>
                  </w:tr>
                  <w:tr w:rsidR="00591E50" w:rsidRPr="00DF6E70" w14:paraId="561D0C1B"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65E6EE3B" w14:textId="77777777" w:rsidR="00591E50" w:rsidRPr="00DF6E70" w:rsidRDefault="00591E50" w:rsidP="006710CE">
                        <w:pPr>
                          <w:spacing w:before="100" w:beforeAutospacing="1" w:after="100" w:afterAutospacing="1"/>
                          <w:ind w:firstLine="112"/>
                        </w:pPr>
                        <w:r w:rsidRPr="00DF6E70">
                          <w:t>5.2. speciālais budžets</w:t>
                        </w:r>
                      </w:p>
                    </w:tc>
                    <w:tc>
                      <w:tcPr>
                        <w:tcW w:w="1805" w:type="dxa"/>
                        <w:vMerge/>
                        <w:tcBorders>
                          <w:top w:val="outset" w:sz="6" w:space="0" w:color="000000"/>
                          <w:left w:val="outset" w:sz="6" w:space="0" w:color="000000"/>
                          <w:bottom w:val="outset" w:sz="6" w:space="0" w:color="000000"/>
                          <w:right w:val="outset" w:sz="6" w:space="0" w:color="000000"/>
                        </w:tcBorders>
                        <w:vAlign w:val="center"/>
                      </w:tcPr>
                      <w:p w14:paraId="674E4577" w14:textId="77777777" w:rsidR="00591E50" w:rsidRPr="00DF6E70" w:rsidRDefault="00591E50" w:rsidP="006710CE"/>
                    </w:tc>
                    <w:tc>
                      <w:tcPr>
                        <w:tcW w:w="1058" w:type="dxa"/>
                        <w:tcBorders>
                          <w:top w:val="outset" w:sz="6" w:space="0" w:color="000000"/>
                          <w:left w:val="outset" w:sz="6" w:space="0" w:color="000000"/>
                          <w:bottom w:val="outset" w:sz="6" w:space="0" w:color="000000"/>
                          <w:right w:val="outset" w:sz="6" w:space="0" w:color="000000"/>
                        </w:tcBorders>
                      </w:tcPr>
                      <w:p w14:paraId="40CBE5FC" w14:textId="68EB6327" w:rsidR="00591E50" w:rsidRPr="00DF6E70" w:rsidRDefault="00591E50" w:rsidP="006710CE">
                        <w:pPr>
                          <w:spacing w:line="270" w:lineRule="atLeast"/>
                          <w:jc w:val="center"/>
                        </w:pPr>
                        <w:r>
                          <w:t>0</w:t>
                        </w:r>
                      </w:p>
                    </w:tc>
                    <w:tc>
                      <w:tcPr>
                        <w:tcW w:w="1357" w:type="dxa"/>
                        <w:tcBorders>
                          <w:top w:val="outset" w:sz="6" w:space="0" w:color="000000"/>
                          <w:left w:val="outset" w:sz="6" w:space="0" w:color="000000"/>
                          <w:bottom w:val="outset" w:sz="6" w:space="0" w:color="000000"/>
                          <w:right w:val="outset" w:sz="6" w:space="0" w:color="000000"/>
                        </w:tcBorders>
                      </w:tcPr>
                      <w:p w14:paraId="6942C2C5"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tcPr>
                      <w:p w14:paraId="4136F1AF"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bottom w:val="outset" w:sz="6" w:space="0" w:color="000000"/>
                          <w:right w:val="outset" w:sz="6" w:space="0" w:color="000000"/>
                        </w:tcBorders>
                      </w:tcPr>
                      <w:p w14:paraId="73E2928C" w14:textId="77777777" w:rsidR="00591E50" w:rsidRPr="00DF6E70" w:rsidRDefault="00591E50" w:rsidP="006710CE">
                        <w:pPr>
                          <w:spacing w:line="270" w:lineRule="atLeast"/>
                          <w:jc w:val="center"/>
                        </w:pPr>
                        <w:r w:rsidRPr="00DF6E70">
                          <w:t>0</w:t>
                        </w:r>
                      </w:p>
                    </w:tc>
                  </w:tr>
                  <w:tr w:rsidR="00591E50" w:rsidRPr="00DF6E70" w14:paraId="050416DB"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33663C67" w14:textId="77777777" w:rsidR="00591E50" w:rsidRPr="00DF6E70" w:rsidRDefault="00591E50" w:rsidP="006710CE">
                        <w:pPr>
                          <w:spacing w:before="100" w:beforeAutospacing="1" w:after="100" w:afterAutospacing="1"/>
                          <w:ind w:firstLine="112"/>
                        </w:pPr>
                        <w:r w:rsidRPr="00DF6E70">
                          <w:t>5.3. pašvaldību budžets</w:t>
                        </w:r>
                      </w:p>
                    </w:tc>
                    <w:tc>
                      <w:tcPr>
                        <w:tcW w:w="1805" w:type="dxa"/>
                        <w:vMerge/>
                        <w:tcBorders>
                          <w:top w:val="outset" w:sz="6" w:space="0" w:color="000000"/>
                          <w:left w:val="outset" w:sz="6" w:space="0" w:color="000000"/>
                          <w:bottom w:val="outset" w:sz="6" w:space="0" w:color="000000"/>
                          <w:right w:val="outset" w:sz="6" w:space="0" w:color="000000"/>
                        </w:tcBorders>
                        <w:vAlign w:val="center"/>
                      </w:tcPr>
                      <w:p w14:paraId="74281807" w14:textId="77777777" w:rsidR="00591E50" w:rsidRPr="00DF6E70" w:rsidRDefault="00591E50" w:rsidP="006710CE"/>
                    </w:tc>
                    <w:tc>
                      <w:tcPr>
                        <w:tcW w:w="1058" w:type="dxa"/>
                        <w:tcBorders>
                          <w:top w:val="outset" w:sz="6" w:space="0" w:color="000000"/>
                          <w:left w:val="outset" w:sz="6" w:space="0" w:color="000000"/>
                          <w:bottom w:val="outset" w:sz="6" w:space="0" w:color="000000"/>
                          <w:right w:val="outset" w:sz="6" w:space="0" w:color="000000"/>
                        </w:tcBorders>
                      </w:tcPr>
                      <w:p w14:paraId="412EB1DD" w14:textId="00C8C705" w:rsidR="00591E50" w:rsidRPr="00DF6E70" w:rsidRDefault="00591E50" w:rsidP="006710CE">
                        <w:pPr>
                          <w:spacing w:line="270" w:lineRule="atLeast"/>
                          <w:jc w:val="center"/>
                        </w:pPr>
                        <w:r>
                          <w:t>0</w:t>
                        </w:r>
                      </w:p>
                    </w:tc>
                    <w:tc>
                      <w:tcPr>
                        <w:tcW w:w="1357" w:type="dxa"/>
                        <w:tcBorders>
                          <w:top w:val="outset" w:sz="6" w:space="0" w:color="000000"/>
                          <w:left w:val="outset" w:sz="6" w:space="0" w:color="000000"/>
                          <w:bottom w:val="outset" w:sz="6" w:space="0" w:color="000000"/>
                          <w:right w:val="outset" w:sz="6" w:space="0" w:color="000000"/>
                        </w:tcBorders>
                      </w:tcPr>
                      <w:p w14:paraId="376A45B9" w14:textId="77777777" w:rsidR="00591E50" w:rsidRPr="00DF6E70" w:rsidRDefault="00591E50" w:rsidP="006710CE">
                        <w:pPr>
                          <w:spacing w:line="270" w:lineRule="atLeast"/>
                          <w:jc w:val="center"/>
                        </w:pPr>
                        <w:r w:rsidRPr="00DF6E70">
                          <w:t>0</w:t>
                        </w:r>
                      </w:p>
                    </w:tc>
                    <w:tc>
                      <w:tcPr>
                        <w:tcW w:w="1495" w:type="dxa"/>
                        <w:tcBorders>
                          <w:top w:val="outset" w:sz="6" w:space="0" w:color="000000"/>
                          <w:left w:val="outset" w:sz="6" w:space="0" w:color="000000"/>
                          <w:bottom w:val="outset" w:sz="6" w:space="0" w:color="000000"/>
                          <w:right w:val="outset" w:sz="6" w:space="0" w:color="000000"/>
                        </w:tcBorders>
                      </w:tcPr>
                      <w:p w14:paraId="0301AD44" w14:textId="77777777" w:rsidR="00591E50" w:rsidRPr="00DF6E70" w:rsidRDefault="00591E50" w:rsidP="006710CE">
                        <w:pPr>
                          <w:spacing w:line="270" w:lineRule="atLeast"/>
                          <w:jc w:val="center"/>
                        </w:pPr>
                        <w:r w:rsidRPr="00DF6E70">
                          <w:t>0</w:t>
                        </w:r>
                      </w:p>
                    </w:tc>
                    <w:tc>
                      <w:tcPr>
                        <w:tcW w:w="1587" w:type="dxa"/>
                        <w:tcBorders>
                          <w:top w:val="outset" w:sz="6" w:space="0" w:color="000000"/>
                          <w:left w:val="outset" w:sz="6" w:space="0" w:color="000000"/>
                          <w:bottom w:val="outset" w:sz="6" w:space="0" w:color="000000"/>
                          <w:right w:val="outset" w:sz="6" w:space="0" w:color="000000"/>
                        </w:tcBorders>
                      </w:tcPr>
                      <w:p w14:paraId="7260C21F" w14:textId="77777777" w:rsidR="00591E50" w:rsidRPr="00DF6E70" w:rsidRDefault="00591E50" w:rsidP="006710CE">
                        <w:pPr>
                          <w:spacing w:line="270" w:lineRule="atLeast"/>
                          <w:jc w:val="center"/>
                        </w:pPr>
                        <w:r w:rsidRPr="00DF6E70">
                          <w:t>0</w:t>
                        </w:r>
                      </w:p>
                    </w:tc>
                  </w:tr>
                  <w:tr w:rsidR="00591E50" w:rsidRPr="00DF6E70" w14:paraId="5C5B2FEE"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6581D8A2" w14:textId="77777777" w:rsidR="00591E50" w:rsidRPr="00591E50" w:rsidRDefault="00591E50" w:rsidP="00591E50">
                        <w:pPr>
                          <w:spacing w:before="100" w:beforeAutospacing="1" w:after="100" w:afterAutospacing="1"/>
                          <w:ind w:firstLine="112"/>
                        </w:pPr>
                        <w:r w:rsidRPr="00DF6E70">
                          <w:t xml:space="preserve">6. Detalizēts ieņēmumu un izdevumu aprēķins (ja nepieciešams, detalizētu ieņēmumu un izdevumu aprēķinu var pievienot anotācijas </w:t>
                        </w:r>
                        <w:r w:rsidRPr="00591E50">
                          <w:t>pielikumā):</w:t>
                        </w:r>
                      </w:p>
                      <w:p w14:paraId="7271B072" w14:textId="6427CA1E" w:rsidR="00591E50" w:rsidRPr="00591E50" w:rsidRDefault="00591E50" w:rsidP="00591E50">
                        <w:pPr>
                          <w:spacing w:before="100" w:beforeAutospacing="1" w:after="100" w:afterAutospacing="1"/>
                        </w:pPr>
                        <w:r w:rsidRPr="00591E50">
                          <w:t>6.1. detalizēts ieņēmumu aprēķins</w:t>
                        </w:r>
                      </w:p>
                      <w:p w14:paraId="08ED6FDB" w14:textId="57ED3F85" w:rsidR="00591E50" w:rsidRPr="00DF6E70" w:rsidRDefault="00591E50" w:rsidP="00591E50">
                        <w:pPr>
                          <w:spacing w:before="100" w:beforeAutospacing="1" w:after="100" w:afterAutospacing="1"/>
                        </w:pPr>
                        <w:r w:rsidRPr="00591E50">
                          <w:t xml:space="preserve">6.2. detalizēts </w:t>
                        </w:r>
                        <w:proofErr w:type="spellStart"/>
                        <w:r w:rsidRPr="00591E50">
                          <w:t>izdevumumu</w:t>
                        </w:r>
                        <w:proofErr w:type="spellEnd"/>
                        <w:r w:rsidRPr="00591E50">
                          <w:t xml:space="preserve"> aprēķins</w:t>
                        </w:r>
                      </w:p>
                    </w:tc>
                    <w:tc>
                      <w:tcPr>
                        <w:tcW w:w="7302" w:type="dxa"/>
                        <w:gridSpan w:val="5"/>
                        <w:tcBorders>
                          <w:top w:val="single" w:sz="4" w:space="0" w:color="auto"/>
                          <w:left w:val="outset" w:sz="6" w:space="0" w:color="000000"/>
                          <w:bottom w:val="outset" w:sz="6" w:space="0" w:color="000000"/>
                          <w:right w:val="outset" w:sz="6" w:space="0" w:color="000000"/>
                        </w:tcBorders>
                      </w:tcPr>
                      <w:p w14:paraId="17E8E30D" w14:textId="77777777" w:rsidR="00591E50" w:rsidRPr="00DF6E70" w:rsidRDefault="00591E50" w:rsidP="006710CE">
                        <w:r w:rsidRPr="00DF6E70">
                          <w:rPr>
                            <w:sz w:val="22"/>
                            <w:szCs w:val="22"/>
                          </w:rPr>
                          <w:t>Projekts šo jomu neskar.</w:t>
                        </w:r>
                      </w:p>
                    </w:tc>
                  </w:tr>
                  <w:tr w:rsidR="00591E50" w:rsidRPr="00DF6E70" w14:paraId="149F7312" w14:textId="77777777" w:rsidTr="00591E50">
                    <w:tc>
                      <w:tcPr>
                        <w:tcW w:w="2471" w:type="dxa"/>
                        <w:tcBorders>
                          <w:top w:val="outset" w:sz="6" w:space="0" w:color="000000"/>
                          <w:left w:val="outset" w:sz="6" w:space="0" w:color="000000"/>
                          <w:bottom w:val="outset" w:sz="6" w:space="0" w:color="000000"/>
                          <w:right w:val="outset" w:sz="6" w:space="0" w:color="000000"/>
                        </w:tcBorders>
                      </w:tcPr>
                      <w:p w14:paraId="314A9EDE" w14:textId="77777777" w:rsidR="00591E50" w:rsidRPr="00DF6E70" w:rsidRDefault="00591E50" w:rsidP="006710CE">
                        <w:pPr>
                          <w:spacing w:before="100" w:beforeAutospacing="1" w:after="100" w:afterAutospacing="1"/>
                          <w:ind w:firstLine="112"/>
                        </w:pPr>
                        <w:r w:rsidRPr="00DF6E70">
                          <w:t>7. Cita informācija</w:t>
                        </w:r>
                      </w:p>
                    </w:tc>
                    <w:tc>
                      <w:tcPr>
                        <w:tcW w:w="7302" w:type="dxa"/>
                        <w:gridSpan w:val="5"/>
                        <w:tcBorders>
                          <w:top w:val="outset" w:sz="6" w:space="0" w:color="000000"/>
                          <w:left w:val="outset" w:sz="6" w:space="0" w:color="000000"/>
                          <w:bottom w:val="outset" w:sz="6" w:space="0" w:color="000000"/>
                          <w:right w:val="outset" w:sz="6" w:space="0" w:color="000000"/>
                        </w:tcBorders>
                      </w:tcPr>
                      <w:p w14:paraId="0D4FFF10" w14:textId="77777777" w:rsidR="00591E50" w:rsidRPr="00DB01E3" w:rsidRDefault="00591E50" w:rsidP="00591E50">
                        <w:pPr>
                          <w:pStyle w:val="naisnod"/>
                          <w:spacing w:before="0" w:after="0"/>
                          <w:jc w:val="both"/>
                          <w:rPr>
                            <w:b w:val="0"/>
                          </w:rPr>
                        </w:pPr>
                        <w:r w:rsidRPr="007F0A58">
                          <w:rPr>
                            <w:b w:val="0"/>
                          </w:rPr>
                          <w:t xml:space="preserve">Likumprojekts satur </w:t>
                        </w:r>
                        <w:r w:rsidRPr="007F0A58">
                          <w:rPr>
                            <w:i/>
                            <w:u w:val="single"/>
                          </w:rPr>
                          <w:t>gadskārtējā valsts budžeta likumprojekta sagatavošanas procesu un gadskārtējā valsts budžeta likuma izpildes procesu regulējošās normas</w:t>
                        </w:r>
                        <w:r w:rsidRPr="007F0A58">
                          <w:rPr>
                            <w:b w:val="0"/>
                          </w:rPr>
                          <w:t xml:space="preserve">. Likumprojektā noteiktās normas uzsāks darboties jaunajā budžeta ciklā līdz ar kārtējā budžeta gada uzsākšanos – 2018.gada 1.janvārī, </w:t>
                        </w:r>
                        <w:r w:rsidRPr="00762882">
                          <w:rPr>
                            <w:i/>
                            <w:u w:val="single"/>
                          </w:rPr>
                          <w:t>līdz ar to likumprojekts tiek virzīts budžeta likumprojektu paketē</w:t>
                        </w:r>
                        <w:r w:rsidRPr="007F0A58">
                          <w:rPr>
                            <w:b w:val="0"/>
                          </w:rPr>
                          <w:t xml:space="preserve"> kopā ar likumprojektu “Par valsts budžetu 2018.gadam” un likumprojektu “</w:t>
                        </w:r>
                        <w:r w:rsidRPr="007F0A58">
                          <w:rPr>
                            <w:b w:val="0"/>
                            <w:bCs w:val="0"/>
                          </w:rPr>
                          <w:t>Par vidēja termiņa budžeta ietvaru 2018., 2019. un 2020.gadam”</w:t>
                        </w:r>
                        <w:r w:rsidRPr="007F0A58">
                          <w:rPr>
                            <w:b w:val="0"/>
                          </w:rPr>
                          <w:t>.</w:t>
                        </w:r>
                      </w:p>
                      <w:p w14:paraId="50F8B3E5" w14:textId="77777777" w:rsidR="00591E50" w:rsidRPr="00DB01E3" w:rsidRDefault="00591E50" w:rsidP="00591E50">
                        <w:pPr>
                          <w:jc w:val="both"/>
                        </w:pPr>
                        <w:r w:rsidRPr="007F0A58">
                          <w:t>Likumprojektam nav finansiālās ietekmes uz</w:t>
                        </w:r>
                        <w:r>
                          <w:t xml:space="preserve"> valsts un pašvaldību budžetiem, tas nosaka izmaiņas administratīvās procedūrās un pienākumos budžeta ciklā un uzskaites pilnveidošanā.</w:t>
                        </w:r>
                      </w:p>
                      <w:p w14:paraId="701A4309" w14:textId="77777777" w:rsidR="00591E50" w:rsidRPr="00760E0A" w:rsidRDefault="00591E50" w:rsidP="00591E50">
                        <w:pPr>
                          <w:jc w:val="both"/>
                        </w:pPr>
                        <w:r w:rsidRPr="00327B1D">
                          <w:t xml:space="preserve">Likumprojekts paredz </w:t>
                        </w:r>
                        <w:r>
                          <w:t xml:space="preserve">arī </w:t>
                        </w:r>
                        <w:r w:rsidRPr="00327B1D">
                          <w:t>noteikt VID jaunu pi</w:t>
                        </w:r>
                        <w:r>
                          <w:t xml:space="preserve">enākumu ar 2021.gada 1.janvāri </w:t>
                        </w:r>
                        <w:r w:rsidRPr="00327B1D">
                          <w:t xml:space="preserve">veikt VID administrēto valsts budžeta ieņēmumu </w:t>
                        </w:r>
                        <w:r w:rsidRPr="00FB0229">
                          <w:t>grāmatvedības uzskaiti</w:t>
                        </w:r>
                        <w:r w:rsidRPr="00327B1D">
                          <w:t xml:space="preserve">. </w:t>
                        </w:r>
                        <w:r>
                          <w:t xml:space="preserve">Tādējādi ir nepieciešams savlaicīgi uzsākt darbu pie apjomīgās normatīvās bāzes izstrādes, balstoties uz kuru </w:t>
                        </w:r>
                        <w:r w:rsidRPr="00327B1D">
                          <w:t>VID</w:t>
                        </w:r>
                        <w:r>
                          <w:t xml:space="preserve">, atbilstoši </w:t>
                        </w:r>
                        <w:r w:rsidRPr="00327B1D">
                          <w:t xml:space="preserve"> </w:t>
                        </w:r>
                        <w:r>
                          <w:t>Ministru kabineta 05.01.2016. sēdē lemtajam,</w:t>
                        </w:r>
                        <w:r w:rsidRPr="00327B1D">
                          <w:t xml:space="preserve"> </w:t>
                        </w:r>
                        <w:r>
                          <w:t>veiks sagatavošanās darbus</w:t>
                        </w:r>
                        <w:r w:rsidRPr="00327B1D">
                          <w:t xml:space="preserve">, </w:t>
                        </w:r>
                        <w:r>
                          <w:t>kuru ietvaros</w:t>
                        </w:r>
                        <w:r w:rsidRPr="00327B1D">
                          <w:t> jānodrošina informācijas sistēmas atbalsts minētās uzskaites veikšanai</w:t>
                        </w:r>
                        <w:r>
                          <w:t xml:space="preserve">, </w:t>
                        </w:r>
                        <w:r w:rsidRPr="00327B1D">
                          <w:t xml:space="preserve">t.i., jānodrošina maksājumu administrēšanas informācijas sistēmas (turpmāk – MAIS) </w:t>
                        </w:r>
                        <w:r>
                          <w:t xml:space="preserve">grāmatvedības uzskaites funkcionalitātes </w:t>
                        </w:r>
                        <w:r w:rsidRPr="00327B1D">
                          <w:t>izstrāde</w:t>
                        </w:r>
                        <w:r>
                          <w:t>,</w:t>
                        </w:r>
                        <w:r w:rsidRPr="00327B1D">
                          <w:t xml:space="preserve"> un VID administrēto valsts budžeta ieņēmumu grāmatvedības uzskaites kārtības noteikšana atbilstoši uzkrāšanas principam.</w:t>
                        </w:r>
                        <w:r w:rsidRPr="00760E0A">
                          <w:t xml:space="preserve"> </w:t>
                        </w:r>
                      </w:p>
                      <w:p w14:paraId="3A8AB139" w14:textId="77777777" w:rsidR="00591E50" w:rsidRPr="00760E0A" w:rsidRDefault="00591E50" w:rsidP="00591E50">
                        <w:pPr>
                          <w:pStyle w:val="CommentText"/>
                          <w:jc w:val="both"/>
                          <w:rPr>
                            <w:sz w:val="24"/>
                            <w:szCs w:val="24"/>
                          </w:rPr>
                        </w:pPr>
                        <w:r w:rsidRPr="005B1125">
                          <w:rPr>
                            <w:sz w:val="24"/>
                            <w:szCs w:val="24"/>
                          </w:rPr>
                          <w:t>Normatīvais regulējums ir pamats MAIS prasību detalizēšanai un tikai pēc normatīvā regulējuma izstrādes iespējams uzsākt MAIS izstrādi, savukārt MAIS ir jābūt izstrādātai līdz 2020.gada 31.decembrim, lai no 2021.gada 1.janvāra būtu iespējams</w:t>
                        </w:r>
                        <w:r w:rsidRPr="00760E0A">
                          <w:rPr>
                            <w:sz w:val="24"/>
                            <w:szCs w:val="24"/>
                          </w:rPr>
                          <w:t>:</w:t>
                        </w:r>
                      </w:p>
                      <w:p w14:paraId="75BDA268" w14:textId="7213FE30" w:rsidR="00591E50" w:rsidRPr="00760E0A" w:rsidRDefault="00591E50" w:rsidP="007D5F16">
                        <w:pPr>
                          <w:pStyle w:val="ListParagraph"/>
                          <w:numPr>
                            <w:ilvl w:val="1"/>
                            <w:numId w:val="17"/>
                          </w:numPr>
                          <w:spacing w:line="240" w:lineRule="auto"/>
                          <w:contextualSpacing w:val="0"/>
                          <w:rPr>
                            <w:szCs w:val="24"/>
                          </w:rPr>
                        </w:pPr>
                        <w:r w:rsidRPr="00760E0A">
                          <w:rPr>
                            <w:szCs w:val="24"/>
                          </w:rPr>
                          <w:lastRenderedPageBreak/>
                          <w:t xml:space="preserve"> VID administrēto</w:t>
                        </w:r>
                        <w:r>
                          <w:rPr>
                            <w:szCs w:val="24"/>
                          </w:rPr>
                          <w:t>s</w:t>
                        </w:r>
                        <w:r w:rsidRPr="00760E0A">
                          <w:rPr>
                            <w:szCs w:val="24"/>
                          </w:rPr>
                          <w:t xml:space="preserve"> valsts budžeta </w:t>
                        </w:r>
                        <w:r w:rsidR="007D5F16">
                          <w:rPr>
                            <w:szCs w:val="24"/>
                          </w:rPr>
                          <w:t xml:space="preserve">nodokļu un uzņēmējdarbības riska valsts nodevas </w:t>
                        </w:r>
                        <w:r w:rsidRPr="00760E0A">
                          <w:rPr>
                            <w:szCs w:val="24"/>
                          </w:rPr>
                          <w:t>ieņēmumu</w:t>
                        </w:r>
                        <w:r>
                          <w:rPr>
                            <w:szCs w:val="24"/>
                          </w:rPr>
                          <w:t>s</w:t>
                        </w:r>
                        <w:r w:rsidRPr="00760E0A">
                          <w:rPr>
                            <w:szCs w:val="24"/>
                          </w:rPr>
                          <w:t xml:space="preserve"> grāmatvedības uzskaitē</w:t>
                        </w:r>
                        <w:r>
                          <w:rPr>
                            <w:szCs w:val="24"/>
                          </w:rPr>
                          <w:t xml:space="preserve"> uzskaitīt atbilstoši </w:t>
                        </w:r>
                        <w:r w:rsidRPr="00760E0A">
                          <w:rPr>
                            <w:szCs w:val="24"/>
                          </w:rPr>
                          <w:t>u</w:t>
                        </w:r>
                        <w:r>
                          <w:rPr>
                            <w:szCs w:val="24"/>
                          </w:rPr>
                          <w:t>zkrāšanas principam;</w:t>
                        </w:r>
                      </w:p>
                      <w:p w14:paraId="070C73A9" w14:textId="29CBF7C9" w:rsidR="00591E50" w:rsidRDefault="00591E50" w:rsidP="00304FD5">
                        <w:pPr>
                          <w:pStyle w:val="ListParagraph"/>
                          <w:numPr>
                            <w:ilvl w:val="1"/>
                            <w:numId w:val="17"/>
                          </w:numPr>
                          <w:spacing w:line="240" w:lineRule="auto"/>
                          <w:contextualSpacing w:val="0"/>
                          <w:rPr>
                            <w:szCs w:val="24"/>
                          </w:rPr>
                        </w:pPr>
                        <w:r>
                          <w:rPr>
                            <w:szCs w:val="24"/>
                          </w:rPr>
                          <w:t xml:space="preserve">nodrošināt </w:t>
                        </w:r>
                        <w:r w:rsidRPr="00760E0A">
                          <w:rPr>
                            <w:szCs w:val="24"/>
                          </w:rPr>
                          <w:t xml:space="preserve">valsts budžeta ieņēmumu kontu skaita samazināšanu VID administrētajiem valsts budžeta ieņēmumiem (jeb vienotā konta </w:t>
                        </w:r>
                        <w:r>
                          <w:rPr>
                            <w:szCs w:val="24"/>
                          </w:rPr>
                          <w:t>ieviešanu</w:t>
                        </w:r>
                        <w:r w:rsidRPr="00760E0A">
                          <w:rPr>
                            <w:szCs w:val="24"/>
                          </w:rPr>
                          <w:t>)</w:t>
                        </w:r>
                        <w:r w:rsidR="00304FD5">
                          <w:rPr>
                            <w:szCs w:val="24"/>
                          </w:rPr>
                          <w:t>;</w:t>
                        </w:r>
                      </w:p>
                      <w:p w14:paraId="03BDC1E3" w14:textId="77777777" w:rsidR="00591E50" w:rsidRPr="00760E0A" w:rsidRDefault="00591E50" w:rsidP="00591E50">
                        <w:pPr>
                          <w:pStyle w:val="ListParagraph"/>
                          <w:numPr>
                            <w:ilvl w:val="1"/>
                            <w:numId w:val="17"/>
                          </w:numPr>
                          <w:spacing w:line="240" w:lineRule="auto"/>
                          <w:contextualSpacing w:val="0"/>
                          <w:rPr>
                            <w:szCs w:val="24"/>
                          </w:rPr>
                        </w:pPr>
                        <w:r>
                          <w:rPr>
                            <w:szCs w:val="24"/>
                          </w:rPr>
                          <w:t>nodrošināt j</w:t>
                        </w:r>
                        <w:r w:rsidRPr="005B1125">
                          <w:rPr>
                            <w:szCs w:val="24"/>
                          </w:rPr>
                          <w:t>aunas paaudzes informācijas sistēmas “Maksājumu administrēšana</w:t>
                        </w:r>
                        <w:r>
                          <w:rPr>
                            <w:szCs w:val="24"/>
                          </w:rPr>
                          <w:t>s informācijas sistēmas” izveidi</w:t>
                        </w:r>
                        <w:r w:rsidRPr="00760E0A">
                          <w:rPr>
                            <w:szCs w:val="24"/>
                          </w:rPr>
                          <w:t>.</w:t>
                        </w:r>
                      </w:p>
                      <w:p w14:paraId="21C3CA61" w14:textId="6A49F044" w:rsidR="00591E50" w:rsidRPr="00951D19" w:rsidRDefault="00591E50" w:rsidP="00591E50">
                        <w:pPr>
                          <w:pStyle w:val="CommentText"/>
                          <w:jc w:val="both"/>
                          <w:rPr>
                            <w:i/>
                            <w:sz w:val="24"/>
                            <w:szCs w:val="24"/>
                          </w:rPr>
                        </w:pPr>
                        <w:r w:rsidRPr="00760E0A">
                          <w:rPr>
                            <w:sz w:val="24"/>
                            <w:szCs w:val="24"/>
                          </w:rPr>
                          <w:t xml:space="preserve">Ņemot vērā ievērojamās izmaiņas, lai nodrošinātu, ka MAIS tiek izstrādāta plānotajos termiņos, t.i., līdz 2020.gada 31.decembrim, MAIS izstrāde ir jāuzsāk ne vēlāk kā 2018.gada 1.jūnijā. </w:t>
                        </w:r>
                        <w:r w:rsidRPr="00951D19">
                          <w:rPr>
                            <w:b/>
                            <w:i/>
                            <w:sz w:val="24"/>
                            <w:szCs w:val="24"/>
                            <w:u w:val="single"/>
                          </w:rPr>
                          <w:t xml:space="preserve">Ņemot vērā minēto, regulējums tiek virzīts apstiprināšanai </w:t>
                        </w:r>
                        <w:r w:rsidR="006E6776">
                          <w:rPr>
                            <w:b/>
                            <w:i/>
                            <w:sz w:val="24"/>
                            <w:szCs w:val="24"/>
                            <w:u w:val="single"/>
                          </w:rPr>
                          <w:t xml:space="preserve">valsts </w:t>
                        </w:r>
                        <w:r w:rsidRPr="00951D19">
                          <w:rPr>
                            <w:b/>
                            <w:i/>
                            <w:sz w:val="24"/>
                            <w:szCs w:val="24"/>
                            <w:u w:val="single"/>
                          </w:rPr>
                          <w:t xml:space="preserve">budžeta likumprojektu paketē, lai savlaicīgi </w:t>
                        </w:r>
                        <w:r w:rsidR="006E6776">
                          <w:rPr>
                            <w:b/>
                            <w:i/>
                            <w:sz w:val="24"/>
                            <w:szCs w:val="24"/>
                            <w:u w:val="single"/>
                          </w:rPr>
                          <w:t>sakārtotu normatīvo bāzi</w:t>
                        </w:r>
                        <w:r w:rsidRPr="00951D19">
                          <w:rPr>
                            <w:b/>
                            <w:i/>
                            <w:sz w:val="24"/>
                            <w:szCs w:val="24"/>
                            <w:u w:val="single"/>
                          </w:rPr>
                          <w:t xml:space="preserve"> VID administrēto valsts budžeta ieņēmumu grāmatvedības uzskaitei un būtu iespējams izstrādāt MAIS grāmatvedības uzskaites funkcionalitāti  plānotajos termiņos.</w:t>
                        </w:r>
                        <w:r w:rsidRPr="00951D19">
                          <w:rPr>
                            <w:i/>
                            <w:sz w:val="24"/>
                            <w:szCs w:val="24"/>
                          </w:rPr>
                          <w:t xml:space="preserve"> </w:t>
                        </w:r>
                      </w:p>
                      <w:p w14:paraId="790D771C" w14:textId="6F37A574" w:rsidR="00591E50" w:rsidRPr="00DF6E70" w:rsidRDefault="00591E50" w:rsidP="00591E50">
                        <w:pPr>
                          <w:jc w:val="both"/>
                        </w:pPr>
                        <w:r w:rsidRPr="00E637CD">
                          <w:t>MAIS izstrāde</w:t>
                        </w:r>
                        <w:r>
                          <w:t xml:space="preserve"> tiks īstenota</w:t>
                        </w:r>
                        <w:r w:rsidRPr="00E637CD">
                          <w:t xml:space="preserve"> E</w:t>
                        </w:r>
                        <w:r>
                          <w:t xml:space="preserve">iropas </w:t>
                        </w:r>
                        <w:r w:rsidRPr="00E637CD">
                          <w:t>R</w:t>
                        </w:r>
                        <w:r>
                          <w:t>eģionālās attīstības fonda (ER</w:t>
                        </w:r>
                        <w:r w:rsidRPr="00E637CD">
                          <w:t>AF</w:t>
                        </w:r>
                        <w:r>
                          <w:t>) līdzfinansētā</w:t>
                        </w:r>
                        <w:r w:rsidRPr="00E637CD">
                          <w:t xml:space="preserve"> projekta  “Nodokļu informācijas pakalpojumu modernizācija” </w:t>
                        </w:r>
                        <w:r>
                          <w:t>ietvaros.</w:t>
                        </w:r>
                      </w:p>
                    </w:tc>
                  </w:tr>
                </w:tbl>
                <w:p w14:paraId="440E43CB" w14:textId="77777777" w:rsidR="00591E50" w:rsidRPr="00DF6E70" w:rsidRDefault="00591E50" w:rsidP="006710CE">
                  <w:pPr>
                    <w:jc w:val="center"/>
                    <w:rPr>
                      <w:bCs/>
                      <w:i/>
                    </w:rPr>
                  </w:pPr>
                </w:p>
              </w:tc>
            </w:tr>
          </w:tbl>
          <w:p w14:paraId="59CB97C6" w14:textId="77777777" w:rsidR="00591E50" w:rsidRPr="00DF6E70" w:rsidRDefault="00591E50" w:rsidP="006710CE">
            <w:pPr>
              <w:jc w:val="center"/>
              <w:rPr>
                <w:bCs/>
                <w:i/>
              </w:rPr>
            </w:pPr>
          </w:p>
        </w:tc>
      </w:tr>
    </w:tbl>
    <w:p w14:paraId="242AF5BB" w14:textId="0DA36BA7" w:rsidR="00591E50" w:rsidRDefault="00591E50" w:rsidP="00014F75">
      <w:pPr>
        <w:pStyle w:val="naisf"/>
        <w:spacing w:before="0" w:after="0"/>
        <w:ind w:firstLine="0"/>
        <w:rPr>
          <w:sz w:val="28"/>
          <w:szCs w:val="28"/>
        </w:rPr>
      </w:pPr>
    </w:p>
    <w:tbl>
      <w:tblPr>
        <w:tblStyle w:val="TableGrid"/>
        <w:tblW w:w="9782" w:type="dxa"/>
        <w:tblInd w:w="-431" w:type="dxa"/>
        <w:tblLook w:val="04A0" w:firstRow="1" w:lastRow="0" w:firstColumn="1" w:lastColumn="0" w:noHBand="0" w:noVBand="1"/>
      </w:tblPr>
      <w:tblGrid>
        <w:gridCol w:w="426"/>
        <w:gridCol w:w="2552"/>
        <w:gridCol w:w="6804"/>
      </w:tblGrid>
      <w:tr w:rsidR="00772255" w:rsidRPr="003C3839" w14:paraId="41BAF2AB" w14:textId="77777777" w:rsidTr="00205471">
        <w:tc>
          <w:tcPr>
            <w:tcW w:w="9782" w:type="dxa"/>
            <w:gridSpan w:val="3"/>
          </w:tcPr>
          <w:p w14:paraId="07542277" w14:textId="77777777" w:rsidR="00772255" w:rsidRPr="003C3839" w:rsidRDefault="00772255" w:rsidP="00205471">
            <w:pPr>
              <w:pStyle w:val="naisf"/>
              <w:spacing w:before="0" w:after="0"/>
              <w:ind w:firstLine="0"/>
              <w:jc w:val="center"/>
            </w:pPr>
            <w:r w:rsidRPr="003C3839">
              <w:rPr>
                <w:b/>
                <w:bCs/>
              </w:rPr>
              <w:t>IV. Tiesību akta projekta ietekme uz spēkā esošo tiesību normu sistēmu</w:t>
            </w:r>
          </w:p>
        </w:tc>
      </w:tr>
      <w:tr w:rsidR="00772255" w:rsidRPr="003C3839" w14:paraId="53AD2475" w14:textId="77777777" w:rsidTr="00951D19">
        <w:tc>
          <w:tcPr>
            <w:tcW w:w="426" w:type="dxa"/>
          </w:tcPr>
          <w:p w14:paraId="3BFC4FE1" w14:textId="77777777" w:rsidR="00772255" w:rsidRPr="003C3839" w:rsidRDefault="00772255" w:rsidP="00205471">
            <w:pPr>
              <w:pStyle w:val="naisf"/>
              <w:spacing w:before="0" w:after="0"/>
              <w:ind w:firstLine="0"/>
            </w:pPr>
            <w:r w:rsidRPr="003C3839">
              <w:t>1.</w:t>
            </w:r>
          </w:p>
        </w:tc>
        <w:tc>
          <w:tcPr>
            <w:tcW w:w="2552" w:type="dxa"/>
          </w:tcPr>
          <w:p w14:paraId="599148B2" w14:textId="77777777" w:rsidR="00772255" w:rsidRPr="003C3839" w:rsidRDefault="00772255" w:rsidP="00205471">
            <w:r w:rsidRPr="003C3839">
              <w:t>Nepieciešamie saistītie tiesību aktu projekti</w:t>
            </w:r>
          </w:p>
        </w:tc>
        <w:tc>
          <w:tcPr>
            <w:tcW w:w="6804" w:type="dxa"/>
          </w:tcPr>
          <w:p w14:paraId="3A706503" w14:textId="2F6389AA" w:rsidR="00772255" w:rsidRDefault="008104E6" w:rsidP="00F300DD">
            <w:pPr>
              <w:pStyle w:val="naisf"/>
              <w:numPr>
                <w:ilvl w:val="0"/>
                <w:numId w:val="14"/>
              </w:numPr>
              <w:spacing w:before="0" w:after="0"/>
            </w:pPr>
            <w:r w:rsidRPr="0093200E">
              <w:t xml:space="preserve">Līdz ar LBFV 29.panta izteikšanu jaunā redakcijā, </w:t>
            </w:r>
            <w:r w:rsidR="00524BF1" w:rsidRPr="0093200E">
              <w:t xml:space="preserve">no 2018.gada 1.janvāra </w:t>
            </w:r>
            <w:r w:rsidRPr="0093200E">
              <w:t>zaudē spēku Ministru kabineta 2009.gada 15.decembra noteikumi Nr.1486 “Kārtība, kādā budžeta iestādes kārto grāmatvedības uzskaiti”, tomēr likumprojekts paredz papildināt LBFV ar Pārejas noteikumu 76.</w:t>
            </w:r>
            <w:r w:rsidR="0093200E" w:rsidRPr="0093200E">
              <w:t xml:space="preserve"> un 77.</w:t>
            </w:r>
            <w:r w:rsidRPr="0093200E">
              <w:t xml:space="preserve">punktu, kas nosaka, ka </w:t>
            </w:r>
            <w:r w:rsidR="00F300DD" w:rsidRPr="0093200E">
              <w:t>šos noteikumus vēl piemēro ne ilgāk kā līdz 2018.gada 31.decembrim un sagatavojot gada pārskatu par 2018.gadu, ciktāl tas nav pretrunā ar likumu</w:t>
            </w:r>
            <w:r w:rsidR="00772255" w:rsidRPr="0093200E">
              <w:t>.</w:t>
            </w:r>
            <w:r w:rsidR="00772255">
              <w:t xml:space="preserve"> Līdz 2018.gada 1.jūlijam </w:t>
            </w:r>
            <w:r w:rsidR="00772255" w:rsidRPr="009B00B9">
              <w:t>j</w:t>
            </w:r>
            <w:r w:rsidR="00772255" w:rsidRPr="00B574F4">
              <w:t xml:space="preserve">āizstrādā </w:t>
            </w:r>
            <w:r w:rsidR="00772255">
              <w:t>jauni</w:t>
            </w:r>
            <w:r w:rsidR="00772255" w:rsidRPr="00B574F4">
              <w:t xml:space="preserve"> </w:t>
            </w:r>
            <w:r w:rsidR="00772255" w:rsidRPr="009B00B9">
              <w:t xml:space="preserve">Ministru kabineta </w:t>
            </w:r>
            <w:r w:rsidR="00772255" w:rsidRPr="00B574F4">
              <w:t xml:space="preserve">noteikumi, kas nosaka grāmatvedības uzskaites kārtību ne tikai budžeta iestādēm, no valsts budžeta daļēji finansētām atvasinātām publiskām personām, budžeta nefinansētām iestādēm, bet arī </w:t>
            </w:r>
            <w:r w:rsidR="00FB0229">
              <w:t>VK</w:t>
            </w:r>
            <w:r w:rsidR="00772255" w:rsidRPr="00B574F4">
              <w:t xml:space="preserve"> – valsts budžeta finanšu uzskaitei un </w:t>
            </w:r>
            <w:r w:rsidR="00FB0229">
              <w:t>VID</w:t>
            </w:r>
            <w:r w:rsidR="00772255">
              <w:t xml:space="preserve"> </w:t>
            </w:r>
            <w:r w:rsidR="00772255" w:rsidRPr="00B574F4">
              <w:t>–</w:t>
            </w:r>
            <w:r w:rsidR="00772255" w:rsidRPr="009B00B9">
              <w:t xml:space="preserve"> </w:t>
            </w:r>
            <w:r w:rsidR="00772255">
              <w:t>tā</w:t>
            </w:r>
            <w:r w:rsidR="00772255" w:rsidRPr="009B00B9">
              <w:t xml:space="preserve"> administrēto valsts budžeta ieņēmumu</w:t>
            </w:r>
            <w:r w:rsidR="00772255" w:rsidRPr="00B574F4">
              <w:t xml:space="preserve"> </w:t>
            </w:r>
            <w:r w:rsidR="00772255">
              <w:t>g</w:t>
            </w:r>
            <w:r w:rsidR="00772255" w:rsidRPr="00B574F4">
              <w:t>rāmatvedības uzskaitei</w:t>
            </w:r>
            <w:r w:rsidR="00772255">
              <w:t xml:space="preserve">. Jauno noteikumu normas </w:t>
            </w:r>
            <w:r w:rsidR="00772255" w:rsidRPr="009B00B9">
              <w:t xml:space="preserve">attiecībā uz VID administrēto valsts budžeta ieņēmumu uzskaiti </w:t>
            </w:r>
            <w:r w:rsidR="00772255">
              <w:t xml:space="preserve">un </w:t>
            </w:r>
            <w:r w:rsidR="00FB0229">
              <w:t>VK</w:t>
            </w:r>
            <w:r w:rsidR="00772255" w:rsidRPr="009B00B9">
              <w:t xml:space="preserve"> valsts budžeta finanšu uzskaiti </w:t>
            </w:r>
            <w:r w:rsidR="00772255">
              <w:t>būs</w:t>
            </w:r>
            <w:r w:rsidR="00772255" w:rsidRPr="00B574F4">
              <w:t xml:space="preserve"> piemērojamas sākot ar 2021. gada 1. janvāri, savukārt attiecībā uz </w:t>
            </w:r>
            <w:r w:rsidR="00772255">
              <w:t>pārējiem</w:t>
            </w:r>
            <w:r w:rsidR="00772255" w:rsidRPr="009B00B9">
              <w:t xml:space="preserve"> subjektiem ar 2019.gada 1.janvāri.</w:t>
            </w:r>
          </w:p>
          <w:p w14:paraId="752BE2FF" w14:textId="0307F3D3" w:rsidR="00772255" w:rsidRDefault="00772255" w:rsidP="00772255">
            <w:pPr>
              <w:pStyle w:val="naisf"/>
              <w:numPr>
                <w:ilvl w:val="0"/>
                <w:numId w:val="14"/>
              </w:numPr>
              <w:spacing w:before="0" w:after="0"/>
            </w:pPr>
            <w:r w:rsidRPr="009B00B9">
              <w:t xml:space="preserve">jāatzīst </w:t>
            </w:r>
            <w:r w:rsidRPr="000310FD">
              <w:t>par spēku zaudējušiem Ministru kabineta 2013.gada 15.</w:t>
            </w:r>
            <w:r w:rsidRPr="00B574F4">
              <w:t>oktobra noteikumi Nr.1115 “Gada pārskata sagatavošanas kārtība”</w:t>
            </w:r>
            <w:r>
              <w:t xml:space="preserve">. Līdz </w:t>
            </w:r>
            <w:r w:rsidRPr="00951D19">
              <w:t>20</w:t>
            </w:r>
            <w:r w:rsidR="00951D19" w:rsidRPr="00951D19">
              <w:t>20.gada beigām</w:t>
            </w:r>
            <w:r>
              <w:t xml:space="preserve"> </w:t>
            </w:r>
            <w:r w:rsidRPr="009B00B9">
              <w:t xml:space="preserve">jāizstrādā </w:t>
            </w:r>
            <w:r>
              <w:t>jauni</w:t>
            </w:r>
            <w:r w:rsidRPr="009B00B9">
              <w:t xml:space="preserve"> Ministru kabineta</w:t>
            </w:r>
            <w:r w:rsidRPr="000310FD">
              <w:t xml:space="preserve"> noteikumi, kas nosaka </w:t>
            </w:r>
            <w:r w:rsidRPr="00B574F4">
              <w:t xml:space="preserve">gada pārskata sagatavošanas kārtību ne tikai budžeta iestāžu, no valsts budžeta daļēji finansētām atvasinātu publisku personu un budžeta nefinansētu iestāžu gada pārskatam, bet arī </w:t>
            </w:r>
            <w:r w:rsidR="00FB0229">
              <w:t>VK</w:t>
            </w:r>
            <w:r w:rsidRPr="00B574F4">
              <w:t xml:space="preserve"> – valsts budžeta finanšu uzskaites </w:t>
            </w:r>
            <w:r w:rsidR="00FB0229">
              <w:t>ikgadējam</w:t>
            </w:r>
            <w:r w:rsidRPr="00B574F4">
              <w:t xml:space="preserve"> pārskatam un </w:t>
            </w:r>
            <w:r w:rsidR="00FB0229">
              <w:t>VID</w:t>
            </w:r>
            <w:r>
              <w:t xml:space="preserve"> </w:t>
            </w:r>
            <w:r w:rsidRPr="00B574F4">
              <w:t xml:space="preserve">– </w:t>
            </w:r>
            <w:r w:rsidR="00FB0229">
              <w:t>tā</w:t>
            </w:r>
            <w:r w:rsidRPr="009B00B9">
              <w:t xml:space="preserve"> administrēto valsts budžeta ieņēmumu </w:t>
            </w:r>
            <w:r w:rsidR="00FB0229">
              <w:t>ikgadējam</w:t>
            </w:r>
            <w:r w:rsidRPr="00B574F4">
              <w:t xml:space="preserve"> pārskatam</w:t>
            </w:r>
            <w:r>
              <w:t>. Jauno noteikumu normas pirmo reizi piemēros, sagatavojot gada pārskatu par 2021.gadu.</w:t>
            </w:r>
          </w:p>
          <w:p w14:paraId="107F46CA" w14:textId="77777777" w:rsidR="00304FD5" w:rsidRDefault="000B0465" w:rsidP="00304FD5">
            <w:pPr>
              <w:pStyle w:val="naisf"/>
              <w:numPr>
                <w:ilvl w:val="0"/>
                <w:numId w:val="14"/>
              </w:numPr>
              <w:spacing w:before="0" w:after="0"/>
            </w:pPr>
            <w:r w:rsidRPr="00B574F4">
              <w:lastRenderedPageBreak/>
              <w:t xml:space="preserve">jāprecizē likuma “Par grāmatvedību” un Ministru kabineta 2003.gada 21.oktobra noteikumu </w:t>
            </w:r>
            <w:r>
              <w:t xml:space="preserve">Nr.585 </w:t>
            </w:r>
            <w:r w:rsidRPr="00B574F4">
              <w:t>“Noteikumi par grāmatvedības kārtošanu un organizāciju” normas attiecībā uz VID administrēto valsts budžeta ieņēmumu grāmatvedības organizēšanu un kārtošanu.</w:t>
            </w:r>
            <w:r>
              <w:t xml:space="preserve"> </w:t>
            </w:r>
            <w:r w:rsidRPr="000B0465">
              <w:t>Priekšlikumi grozījumie</w:t>
            </w:r>
            <w:r>
              <w:t>m likumā “Par grāmatvedību” tiek</w:t>
            </w:r>
            <w:r w:rsidRPr="000B0465">
              <w:t xml:space="preserve"> virzīti likumprojekta “Pa</w:t>
            </w:r>
            <w:r w:rsidR="004D1022">
              <w:t>r</w:t>
            </w:r>
            <w:r w:rsidRPr="000B0465">
              <w:t xml:space="preserve"> valsts budžetu 2018.gadam” paketē, </w:t>
            </w:r>
            <w:r>
              <w:t xml:space="preserve">savukārt </w:t>
            </w:r>
            <w:r w:rsidRPr="000B0465">
              <w:t xml:space="preserve">grozījumi MK noteikumos Nr.585 tiks iesniegti </w:t>
            </w:r>
            <w:r>
              <w:t xml:space="preserve">Ministru kabinetā </w:t>
            </w:r>
            <w:r w:rsidR="00304FD5">
              <w:t>līdz 31.12.2017;</w:t>
            </w:r>
          </w:p>
          <w:p w14:paraId="39AECBFB" w14:textId="1608E423" w:rsidR="00304FD5" w:rsidRDefault="00304FD5" w:rsidP="00304FD5">
            <w:pPr>
              <w:pStyle w:val="naisf"/>
              <w:numPr>
                <w:ilvl w:val="0"/>
                <w:numId w:val="14"/>
              </w:numPr>
              <w:spacing w:before="0" w:after="0"/>
            </w:pPr>
            <w:r>
              <w:t xml:space="preserve">jāprecizē Ministru kabineta 2010.gada 28.decembra noteikumu Nr.1220 “Asignējumu piešķiršanas un izpildes kārtība” normas attiecībā uz </w:t>
            </w:r>
            <w:proofErr w:type="spellStart"/>
            <w:r>
              <w:t>transferta</w:t>
            </w:r>
            <w:proofErr w:type="spellEnd"/>
            <w:r>
              <w:t xml:space="preserve"> atlikumu no ieņēmumiem par sniegtajiem maksas pakalpojumiem un citiem pašu ieņēmumiem (45., 45.</w:t>
            </w:r>
            <w:r w:rsidRPr="00304FD5">
              <w:rPr>
                <w:vertAlign w:val="superscript"/>
              </w:rPr>
              <w:t>1</w:t>
            </w:r>
            <w:r>
              <w:t xml:space="preserve"> punkts, 4.pielikums).</w:t>
            </w:r>
            <w:r w:rsidR="008F3625">
              <w:t xml:space="preserve"> Grozījumi MK noteikumos Nr.1220 tiks iesniegti Ministru kabinetā līdz 31.12.2018.</w:t>
            </w:r>
          </w:p>
          <w:p w14:paraId="2562A052" w14:textId="34584729" w:rsidR="00304FD5" w:rsidRPr="003C3839" w:rsidRDefault="00304FD5" w:rsidP="00304FD5">
            <w:pPr>
              <w:pStyle w:val="naisf"/>
              <w:spacing w:before="0" w:after="0"/>
              <w:ind w:left="720" w:firstLine="0"/>
            </w:pPr>
          </w:p>
        </w:tc>
      </w:tr>
      <w:tr w:rsidR="00772255" w:rsidRPr="003C3839" w14:paraId="3E4052A3" w14:textId="77777777" w:rsidTr="00951D19">
        <w:tc>
          <w:tcPr>
            <w:tcW w:w="426" w:type="dxa"/>
          </w:tcPr>
          <w:p w14:paraId="345C7EF6" w14:textId="77777777" w:rsidR="00772255" w:rsidRPr="003C3839" w:rsidRDefault="00772255" w:rsidP="00205471">
            <w:pPr>
              <w:pStyle w:val="naisf"/>
              <w:spacing w:before="0" w:after="0"/>
              <w:ind w:firstLine="0"/>
            </w:pPr>
            <w:r w:rsidRPr="003C3839">
              <w:lastRenderedPageBreak/>
              <w:t>2.</w:t>
            </w:r>
          </w:p>
        </w:tc>
        <w:tc>
          <w:tcPr>
            <w:tcW w:w="2552" w:type="dxa"/>
          </w:tcPr>
          <w:p w14:paraId="5B7F70C4" w14:textId="77777777" w:rsidR="00772255" w:rsidRPr="003C3839" w:rsidRDefault="00772255" w:rsidP="00205471">
            <w:pPr>
              <w:pStyle w:val="naisf"/>
              <w:spacing w:before="0" w:after="0"/>
              <w:ind w:firstLine="0"/>
            </w:pPr>
            <w:r w:rsidRPr="003C3839">
              <w:t>Atbildīgā institūcija</w:t>
            </w:r>
          </w:p>
        </w:tc>
        <w:tc>
          <w:tcPr>
            <w:tcW w:w="6804" w:type="dxa"/>
          </w:tcPr>
          <w:p w14:paraId="43160165" w14:textId="5A38C0C8" w:rsidR="00772255" w:rsidRPr="003C3839" w:rsidRDefault="00772255" w:rsidP="00FB0229">
            <w:pPr>
              <w:pStyle w:val="naisf"/>
              <w:spacing w:before="0" w:after="0"/>
              <w:ind w:firstLine="0"/>
            </w:pPr>
            <w:r w:rsidRPr="003C3839">
              <w:t>Finanšu ministrija</w:t>
            </w:r>
            <w:r w:rsidR="004D1022">
              <w:t xml:space="preserve"> (</w:t>
            </w:r>
            <w:r w:rsidR="00FB0229">
              <w:t>VK</w:t>
            </w:r>
            <w:r w:rsidR="004D1022">
              <w:t>)</w:t>
            </w:r>
          </w:p>
        </w:tc>
      </w:tr>
      <w:tr w:rsidR="00772255" w:rsidRPr="003C3839" w14:paraId="2A15B8C8" w14:textId="77777777" w:rsidTr="00951D19">
        <w:tc>
          <w:tcPr>
            <w:tcW w:w="426" w:type="dxa"/>
          </w:tcPr>
          <w:p w14:paraId="44AF13FA" w14:textId="77777777" w:rsidR="00772255" w:rsidRPr="003C3839" w:rsidRDefault="00772255" w:rsidP="00205471">
            <w:pPr>
              <w:pStyle w:val="naisf"/>
              <w:spacing w:before="0" w:after="0"/>
              <w:ind w:firstLine="0"/>
            </w:pPr>
            <w:r w:rsidRPr="003C3839">
              <w:t>3.</w:t>
            </w:r>
          </w:p>
        </w:tc>
        <w:tc>
          <w:tcPr>
            <w:tcW w:w="2552" w:type="dxa"/>
          </w:tcPr>
          <w:p w14:paraId="0B9E32B8" w14:textId="77777777" w:rsidR="00772255" w:rsidRPr="003C3839" w:rsidRDefault="00772255" w:rsidP="00205471">
            <w:pPr>
              <w:pStyle w:val="naisf"/>
              <w:spacing w:before="0" w:after="0"/>
              <w:ind w:firstLine="0"/>
            </w:pPr>
            <w:r w:rsidRPr="003C3839">
              <w:t>Cita informācija</w:t>
            </w:r>
          </w:p>
        </w:tc>
        <w:tc>
          <w:tcPr>
            <w:tcW w:w="6804" w:type="dxa"/>
          </w:tcPr>
          <w:p w14:paraId="4F0C689A" w14:textId="77777777" w:rsidR="00772255" w:rsidRPr="003C3839" w:rsidRDefault="00772255" w:rsidP="00205471">
            <w:pPr>
              <w:pStyle w:val="naisf"/>
              <w:spacing w:before="0" w:after="0"/>
              <w:ind w:firstLine="0"/>
            </w:pPr>
            <w:r w:rsidRPr="003C3839">
              <w:t>Nav</w:t>
            </w:r>
          </w:p>
        </w:tc>
      </w:tr>
    </w:tbl>
    <w:p w14:paraId="67148F5C" w14:textId="0C1331D8" w:rsidR="00772255" w:rsidRPr="00B24D7A" w:rsidRDefault="00772255" w:rsidP="00014F75">
      <w:pPr>
        <w:pStyle w:val="naisf"/>
        <w:spacing w:before="0" w:after="0"/>
        <w:ind w:firstLine="0"/>
        <w:rPr>
          <w:sz w:val="28"/>
          <w:szCs w:val="28"/>
        </w:rPr>
      </w:pPr>
    </w:p>
    <w:tbl>
      <w:tblPr>
        <w:tblW w:w="9924" w:type="dxa"/>
        <w:tblInd w:w="-43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924"/>
      </w:tblGrid>
      <w:tr w:rsidR="005856C1" w:rsidRPr="00840080" w14:paraId="34909045" w14:textId="77777777" w:rsidTr="005856C1">
        <w:tc>
          <w:tcPr>
            <w:tcW w:w="9924" w:type="dxa"/>
            <w:tcBorders>
              <w:top w:val="outset" w:sz="6" w:space="0" w:color="auto"/>
              <w:left w:val="outset" w:sz="6" w:space="0" w:color="auto"/>
              <w:bottom w:val="outset" w:sz="6" w:space="0" w:color="auto"/>
              <w:right w:val="outset" w:sz="6" w:space="0" w:color="auto"/>
            </w:tcBorders>
            <w:vAlign w:val="center"/>
          </w:tcPr>
          <w:p w14:paraId="707E33A7" w14:textId="77777777" w:rsidR="005856C1" w:rsidRPr="00840080" w:rsidRDefault="005856C1" w:rsidP="00205471">
            <w:pPr>
              <w:jc w:val="center"/>
              <w:rPr>
                <w:b/>
              </w:rPr>
            </w:pPr>
            <w:r w:rsidRPr="00840080">
              <w:rPr>
                <w:b/>
              </w:rPr>
              <w:t>V. Tiesību akta projekta atbilstība Latvijas Republikas starptautiskajām saistībām</w:t>
            </w:r>
          </w:p>
        </w:tc>
      </w:tr>
      <w:tr w:rsidR="005856C1" w:rsidRPr="00840080" w14:paraId="5142B056" w14:textId="77777777" w:rsidTr="005856C1">
        <w:tc>
          <w:tcPr>
            <w:tcW w:w="9924" w:type="dxa"/>
            <w:tcBorders>
              <w:top w:val="outset" w:sz="6" w:space="0" w:color="auto"/>
              <w:left w:val="outset" w:sz="6" w:space="0" w:color="auto"/>
              <w:bottom w:val="outset" w:sz="6" w:space="0" w:color="auto"/>
              <w:right w:val="outset" w:sz="6" w:space="0" w:color="auto"/>
            </w:tcBorders>
            <w:vAlign w:val="center"/>
          </w:tcPr>
          <w:p w14:paraId="28FB719F" w14:textId="4A236DBC" w:rsidR="005856C1" w:rsidRPr="00840080" w:rsidRDefault="00993B08" w:rsidP="00205471">
            <w:pPr>
              <w:jc w:val="center"/>
            </w:pPr>
            <w:r>
              <w:rPr>
                <w:i/>
              </w:rPr>
              <w:t>Likumprojekts šo jomu neskar</w:t>
            </w:r>
          </w:p>
        </w:tc>
      </w:tr>
    </w:tbl>
    <w:p w14:paraId="6B7B33C6" w14:textId="77777777" w:rsidR="005856C1" w:rsidRPr="00B24D7A" w:rsidRDefault="005856C1" w:rsidP="00014F75">
      <w:pPr>
        <w:pStyle w:val="naisf"/>
        <w:spacing w:before="0" w:after="0"/>
        <w:ind w:firstLine="0"/>
        <w:rPr>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515"/>
        <w:gridCol w:w="4841"/>
      </w:tblGrid>
      <w:tr w:rsidR="00976C25" w:rsidRPr="00B24D7A" w14:paraId="39F70961" w14:textId="77777777" w:rsidTr="00117A95">
        <w:tc>
          <w:tcPr>
            <w:tcW w:w="9782" w:type="dxa"/>
            <w:gridSpan w:val="3"/>
            <w:tcBorders>
              <w:top w:val="single" w:sz="4" w:space="0" w:color="auto"/>
            </w:tcBorders>
          </w:tcPr>
          <w:p w14:paraId="4E3A9F1D" w14:textId="6F17C2D3" w:rsidR="00976C25" w:rsidRPr="00B24D7A" w:rsidRDefault="00976C25" w:rsidP="00976C25">
            <w:pPr>
              <w:pStyle w:val="naisnod"/>
              <w:spacing w:before="0" w:after="0"/>
              <w:ind w:left="57" w:right="57"/>
            </w:pPr>
            <w:r w:rsidRPr="00B24D7A">
              <w:t>VI. Sabiedrības līdzdalība un komunikācijas aktivitātes</w:t>
            </w:r>
          </w:p>
        </w:tc>
      </w:tr>
      <w:tr w:rsidR="00976C25" w:rsidRPr="00B24D7A" w14:paraId="156CE199" w14:textId="77777777" w:rsidTr="00976C25">
        <w:trPr>
          <w:trHeight w:val="427"/>
        </w:trPr>
        <w:tc>
          <w:tcPr>
            <w:tcW w:w="426" w:type="dxa"/>
          </w:tcPr>
          <w:p w14:paraId="552FB304" w14:textId="1B062353" w:rsidR="00976C25" w:rsidRPr="00B24D7A" w:rsidRDefault="00976C25" w:rsidP="00976C25">
            <w:pPr>
              <w:pStyle w:val="naisnod"/>
              <w:spacing w:before="0" w:after="0"/>
              <w:ind w:left="57" w:right="57"/>
              <w:jc w:val="left"/>
              <w:rPr>
                <w:b w:val="0"/>
              </w:rPr>
            </w:pPr>
            <w:r w:rsidRPr="00B24D7A">
              <w:rPr>
                <w:b w:val="0"/>
              </w:rPr>
              <w:t>1.</w:t>
            </w:r>
          </w:p>
        </w:tc>
        <w:tc>
          <w:tcPr>
            <w:tcW w:w="4515" w:type="dxa"/>
          </w:tcPr>
          <w:p w14:paraId="21F3860F" w14:textId="5585FA8C" w:rsidR="00976C25" w:rsidRPr="00B24D7A" w:rsidRDefault="00976C25" w:rsidP="00976C25">
            <w:pPr>
              <w:pStyle w:val="naisf"/>
              <w:spacing w:before="0" w:after="0"/>
              <w:ind w:left="57" w:right="57" w:firstLine="0"/>
              <w:jc w:val="left"/>
            </w:pPr>
            <w:r w:rsidRPr="00B24D7A">
              <w:t>Plānotās sabiedrības līdzdalības un komunikācijas aktivitātes saistībā ar projektu</w:t>
            </w:r>
          </w:p>
        </w:tc>
        <w:tc>
          <w:tcPr>
            <w:tcW w:w="4841" w:type="dxa"/>
          </w:tcPr>
          <w:p w14:paraId="166AAC9E" w14:textId="1EDB8C20" w:rsidR="00976C25" w:rsidRPr="00B24D7A" w:rsidRDefault="00976C25" w:rsidP="005856C1">
            <w:pPr>
              <w:pStyle w:val="naisnod"/>
              <w:spacing w:before="0" w:after="0"/>
              <w:ind w:left="57" w:right="57"/>
              <w:jc w:val="both"/>
              <w:rPr>
                <w:b w:val="0"/>
              </w:rPr>
            </w:pPr>
            <w:r w:rsidRPr="00B24D7A">
              <w:rPr>
                <w:b w:val="0"/>
              </w:rPr>
              <w:t xml:space="preserve">Sabiedrības līdzdalības un komunikācijas aktivitātes </w:t>
            </w:r>
            <w:r w:rsidR="00644812" w:rsidRPr="00B24D7A">
              <w:rPr>
                <w:b w:val="0"/>
              </w:rPr>
              <w:t xml:space="preserve">atsevišķi </w:t>
            </w:r>
            <w:r w:rsidRPr="00B24D7A">
              <w:rPr>
                <w:b w:val="0"/>
              </w:rPr>
              <w:t xml:space="preserve">netika organizētas, jo projekts tieši sabiedrības intereses neskar. </w:t>
            </w:r>
          </w:p>
        </w:tc>
      </w:tr>
      <w:tr w:rsidR="00976C25" w:rsidRPr="00B24D7A" w14:paraId="18A7C1D3" w14:textId="77777777" w:rsidTr="0010277C">
        <w:trPr>
          <w:trHeight w:val="339"/>
        </w:trPr>
        <w:tc>
          <w:tcPr>
            <w:tcW w:w="426" w:type="dxa"/>
          </w:tcPr>
          <w:p w14:paraId="0D1766E7" w14:textId="5048BF1F" w:rsidR="00976C25" w:rsidRPr="00B24D7A" w:rsidRDefault="00976C25" w:rsidP="00976C25">
            <w:pPr>
              <w:pStyle w:val="naisnod"/>
              <w:spacing w:before="0" w:after="0"/>
              <w:ind w:left="57" w:right="57"/>
              <w:jc w:val="left"/>
              <w:rPr>
                <w:b w:val="0"/>
              </w:rPr>
            </w:pPr>
            <w:r w:rsidRPr="00B24D7A">
              <w:rPr>
                <w:b w:val="0"/>
              </w:rPr>
              <w:t>2.</w:t>
            </w:r>
          </w:p>
        </w:tc>
        <w:tc>
          <w:tcPr>
            <w:tcW w:w="4515" w:type="dxa"/>
          </w:tcPr>
          <w:p w14:paraId="55D367DC" w14:textId="11D8F656" w:rsidR="00976C25" w:rsidRPr="00B24D7A" w:rsidRDefault="00976C25" w:rsidP="00976C25">
            <w:pPr>
              <w:pStyle w:val="naisf"/>
              <w:spacing w:before="0" w:after="0"/>
              <w:ind w:left="57" w:right="57" w:firstLine="0"/>
              <w:jc w:val="left"/>
            </w:pPr>
            <w:r w:rsidRPr="00B24D7A">
              <w:t>Sabiedrības līdzdalība projekta izstrādē</w:t>
            </w:r>
          </w:p>
        </w:tc>
        <w:tc>
          <w:tcPr>
            <w:tcW w:w="4841" w:type="dxa"/>
          </w:tcPr>
          <w:p w14:paraId="2A4448C0" w14:textId="3BAF9A8F" w:rsidR="00976C25" w:rsidRPr="00BC2FF3" w:rsidRDefault="00BC2FF3" w:rsidP="00976C25">
            <w:pPr>
              <w:pStyle w:val="naisnod"/>
              <w:spacing w:before="0" w:after="0"/>
              <w:ind w:left="57" w:right="57"/>
              <w:jc w:val="both"/>
              <w:rPr>
                <w:b w:val="0"/>
              </w:rPr>
            </w:pPr>
            <w:r w:rsidRPr="00BC2FF3">
              <w:rPr>
                <w:b w:val="0"/>
              </w:rPr>
              <w:t>Likumprojekts šo jomu neskar.</w:t>
            </w:r>
          </w:p>
        </w:tc>
      </w:tr>
      <w:tr w:rsidR="00976C25" w:rsidRPr="00B24D7A" w14:paraId="20228027" w14:textId="77777777" w:rsidTr="0010277C">
        <w:trPr>
          <w:trHeight w:val="375"/>
        </w:trPr>
        <w:tc>
          <w:tcPr>
            <w:tcW w:w="426" w:type="dxa"/>
          </w:tcPr>
          <w:p w14:paraId="76C3677B" w14:textId="2DF88CDB" w:rsidR="00976C25" w:rsidRPr="00B24D7A" w:rsidRDefault="00976C25" w:rsidP="00976C25">
            <w:pPr>
              <w:pStyle w:val="naisnod"/>
              <w:spacing w:before="0" w:after="0"/>
              <w:ind w:left="57" w:right="57"/>
              <w:jc w:val="left"/>
              <w:rPr>
                <w:b w:val="0"/>
              </w:rPr>
            </w:pPr>
            <w:r w:rsidRPr="00B24D7A">
              <w:rPr>
                <w:b w:val="0"/>
              </w:rPr>
              <w:t>3.</w:t>
            </w:r>
          </w:p>
        </w:tc>
        <w:tc>
          <w:tcPr>
            <w:tcW w:w="4515" w:type="dxa"/>
          </w:tcPr>
          <w:p w14:paraId="7CE2F9EF" w14:textId="334081B4" w:rsidR="00976C25" w:rsidRPr="00B24D7A" w:rsidRDefault="00976C25" w:rsidP="00976C25">
            <w:pPr>
              <w:pStyle w:val="naisf"/>
              <w:spacing w:before="0" w:after="0"/>
              <w:ind w:left="57" w:right="57" w:firstLine="0"/>
              <w:jc w:val="left"/>
            </w:pPr>
            <w:r w:rsidRPr="00B24D7A">
              <w:t>Sabiedrības līdzdalības rezultāti</w:t>
            </w:r>
          </w:p>
        </w:tc>
        <w:tc>
          <w:tcPr>
            <w:tcW w:w="4841" w:type="dxa"/>
          </w:tcPr>
          <w:p w14:paraId="2A9B3A90" w14:textId="409B6C28" w:rsidR="00976C25" w:rsidRPr="00BC2FF3" w:rsidRDefault="00BC2FF3" w:rsidP="00644812">
            <w:pPr>
              <w:pStyle w:val="naisnod"/>
              <w:spacing w:before="0" w:after="0"/>
              <w:ind w:left="57" w:right="57"/>
              <w:jc w:val="both"/>
              <w:rPr>
                <w:b w:val="0"/>
              </w:rPr>
            </w:pPr>
            <w:r w:rsidRPr="00BC2FF3">
              <w:rPr>
                <w:b w:val="0"/>
              </w:rPr>
              <w:t>Likumprojekts šo jomu neskar.</w:t>
            </w:r>
          </w:p>
        </w:tc>
      </w:tr>
      <w:tr w:rsidR="00976C25" w:rsidRPr="00B24D7A" w14:paraId="7E6E9F89" w14:textId="77777777" w:rsidTr="0010277C">
        <w:trPr>
          <w:trHeight w:val="338"/>
        </w:trPr>
        <w:tc>
          <w:tcPr>
            <w:tcW w:w="426" w:type="dxa"/>
          </w:tcPr>
          <w:p w14:paraId="669B29D6" w14:textId="26A1C12F" w:rsidR="00976C25" w:rsidRPr="00B24D7A" w:rsidRDefault="00976C25" w:rsidP="00976C25">
            <w:pPr>
              <w:pStyle w:val="naiskr"/>
              <w:spacing w:before="0" w:after="0"/>
              <w:ind w:left="57" w:right="57"/>
            </w:pPr>
            <w:r w:rsidRPr="00B24D7A">
              <w:t>4.</w:t>
            </w:r>
          </w:p>
        </w:tc>
        <w:tc>
          <w:tcPr>
            <w:tcW w:w="4515" w:type="dxa"/>
          </w:tcPr>
          <w:p w14:paraId="69A0F67E" w14:textId="267CF2EE" w:rsidR="00976C25" w:rsidRPr="00B24D7A" w:rsidRDefault="00976C25" w:rsidP="00976C25">
            <w:pPr>
              <w:pStyle w:val="naiskr"/>
              <w:spacing w:before="0" w:after="0"/>
              <w:ind w:left="57" w:right="57"/>
            </w:pPr>
            <w:r w:rsidRPr="00B24D7A">
              <w:t>Cita informācija</w:t>
            </w:r>
          </w:p>
        </w:tc>
        <w:tc>
          <w:tcPr>
            <w:tcW w:w="4841" w:type="dxa"/>
          </w:tcPr>
          <w:p w14:paraId="5F1D345C" w14:textId="0BFC74BE" w:rsidR="00976C25" w:rsidRPr="00B24D7A" w:rsidRDefault="005856C1" w:rsidP="006E6776">
            <w:pPr>
              <w:pStyle w:val="naiskr"/>
              <w:spacing w:before="0" w:after="0"/>
              <w:ind w:left="57" w:right="57"/>
              <w:jc w:val="both"/>
            </w:pPr>
            <w:r w:rsidRPr="00840080">
              <w:t xml:space="preserve">Sabiedrība pēc normatīvā akta pieņemšanas tiks informēta ar publikāciju laikrakstā "Latvijas Vēstnesis" un bezmaksas normatīvo aktu datu bāzē </w:t>
            </w:r>
            <w:r w:rsidRPr="00840080">
              <w:rPr>
                <w:rFonts w:eastAsia="Calibri"/>
              </w:rPr>
              <w:t>www.likumi.lv</w:t>
            </w:r>
            <w:r w:rsidRPr="00840080">
              <w:t>.</w:t>
            </w:r>
          </w:p>
        </w:tc>
      </w:tr>
    </w:tbl>
    <w:p w14:paraId="4FF4C7A0" w14:textId="77777777" w:rsidR="00976C25" w:rsidRPr="00B24D7A" w:rsidRDefault="00976C25" w:rsidP="00014F75">
      <w:pPr>
        <w:pStyle w:val="naisf"/>
        <w:spacing w:before="0" w:after="0"/>
        <w:ind w:firstLine="0"/>
        <w:rPr>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402"/>
        <w:gridCol w:w="5954"/>
      </w:tblGrid>
      <w:tr w:rsidR="00DC689C" w:rsidRPr="00B24D7A" w14:paraId="554EA9D9" w14:textId="77777777" w:rsidTr="003F35BE">
        <w:tc>
          <w:tcPr>
            <w:tcW w:w="9782" w:type="dxa"/>
            <w:gridSpan w:val="3"/>
            <w:tcBorders>
              <w:top w:val="single" w:sz="4" w:space="0" w:color="auto"/>
            </w:tcBorders>
          </w:tcPr>
          <w:p w14:paraId="487F4389" w14:textId="77777777" w:rsidR="00DC689C" w:rsidRPr="00B24D7A" w:rsidRDefault="00DC689C" w:rsidP="0023237B">
            <w:pPr>
              <w:pStyle w:val="naisnod"/>
              <w:spacing w:before="0" w:after="0"/>
              <w:ind w:left="57" w:right="57"/>
            </w:pPr>
            <w:r w:rsidRPr="00B24D7A">
              <w:t>VII. Tiesību akta projekta izpildes nodrošināšana un tās ietekme uz institūcijām</w:t>
            </w:r>
          </w:p>
        </w:tc>
      </w:tr>
      <w:tr w:rsidR="00DC689C" w:rsidRPr="00B24D7A" w14:paraId="599A0E5D" w14:textId="77777777" w:rsidTr="00546610">
        <w:trPr>
          <w:trHeight w:val="427"/>
        </w:trPr>
        <w:tc>
          <w:tcPr>
            <w:tcW w:w="426" w:type="dxa"/>
          </w:tcPr>
          <w:p w14:paraId="45D6C3D2" w14:textId="77777777" w:rsidR="00DC689C" w:rsidRPr="00B24D7A" w:rsidRDefault="00DC689C" w:rsidP="0023237B">
            <w:pPr>
              <w:pStyle w:val="naisnod"/>
              <w:spacing w:before="0" w:after="0"/>
              <w:ind w:left="57" w:right="57"/>
              <w:jc w:val="left"/>
              <w:rPr>
                <w:b w:val="0"/>
              </w:rPr>
            </w:pPr>
            <w:r w:rsidRPr="00B24D7A">
              <w:rPr>
                <w:b w:val="0"/>
              </w:rPr>
              <w:t>1.</w:t>
            </w:r>
          </w:p>
        </w:tc>
        <w:tc>
          <w:tcPr>
            <w:tcW w:w="3402" w:type="dxa"/>
          </w:tcPr>
          <w:p w14:paraId="5B232EE5" w14:textId="77777777" w:rsidR="00DC689C" w:rsidRPr="00B24D7A" w:rsidRDefault="00DC689C" w:rsidP="0023237B">
            <w:pPr>
              <w:pStyle w:val="naisf"/>
              <w:spacing w:before="0" w:after="0"/>
              <w:ind w:left="57" w:right="57" w:firstLine="0"/>
              <w:jc w:val="left"/>
            </w:pPr>
            <w:r w:rsidRPr="00B24D7A">
              <w:t xml:space="preserve">Projekta izpildē iesaistītās institūcijas </w:t>
            </w:r>
          </w:p>
        </w:tc>
        <w:tc>
          <w:tcPr>
            <w:tcW w:w="5954" w:type="dxa"/>
          </w:tcPr>
          <w:p w14:paraId="6FCAFEB3" w14:textId="0595450A" w:rsidR="00DC689C" w:rsidRPr="00B24D7A" w:rsidRDefault="005856C1" w:rsidP="00FB0229">
            <w:pPr>
              <w:pStyle w:val="naisnod"/>
              <w:spacing w:before="0" w:after="0"/>
              <w:ind w:left="57" w:right="57"/>
              <w:jc w:val="both"/>
              <w:rPr>
                <w:b w:val="0"/>
              </w:rPr>
            </w:pPr>
            <w:r w:rsidRPr="005856C1">
              <w:rPr>
                <w:b w:val="0"/>
                <w:iCs/>
              </w:rPr>
              <w:t xml:space="preserve">Finanšu ministrija, citas </w:t>
            </w:r>
            <w:r w:rsidR="006E6776">
              <w:rPr>
                <w:b w:val="0"/>
                <w:iCs/>
              </w:rPr>
              <w:t>nozaru</w:t>
            </w:r>
            <w:r w:rsidR="009F4308">
              <w:rPr>
                <w:b w:val="0"/>
                <w:iCs/>
              </w:rPr>
              <w:t xml:space="preserve"> </w:t>
            </w:r>
            <w:r w:rsidRPr="005856C1">
              <w:rPr>
                <w:b w:val="0"/>
                <w:iCs/>
              </w:rPr>
              <w:t>ministrijas un citas centrālās valsts iestādes, Saeimas Budžet</w:t>
            </w:r>
            <w:r w:rsidR="00141151">
              <w:rPr>
                <w:b w:val="0"/>
                <w:iCs/>
              </w:rPr>
              <w:t xml:space="preserve">a un finanšu (nodokļu) komisija, </w:t>
            </w:r>
            <w:r w:rsidR="00FB0229">
              <w:rPr>
                <w:b w:val="0"/>
                <w:iCs/>
              </w:rPr>
              <w:t>VID</w:t>
            </w:r>
            <w:r w:rsidR="00141151">
              <w:rPr>
                <w:b w:val="0"/>
                <w:iCs/>
              </w:rPr>
              <w:t xml:space="preserve">, </w:t>
            </w:r>
            <w:r w:rsidR="00FB0229">
              <w:rPr>
                <w:b w:val="0"/>
                <w:iCs/>
              </w:rPr>
              <w:t>VK</w:t>
            </w:r>
            <w:r w:rsidR="00BC2FF3">
              <w:rPr>
                <w:b w:val="0"/>
                <w:iCs/>
              </w:rPr>
              <w:t>.</w:t>
            </w:r>
          </w:p>
        </w:tc>
      </w:tr>
      <w:tr w:rsidR="00DC689C" w:rsidRPr="00B24D7A" w14:paraId="3BC1EC0D" w14:textId="77777777" w:rsidTr="00546610">
        <w:trPr>
          <w:trHeight w:val="725"/>
        </w:trPr>
        <w:tc>
          <w:tcPr>
            <w:tcW w:w="426" w:type="dxa"/>
          </w:tcPr>
          <w:p w14:paraId="27FF4DCD" w14:textId="4D7369EB" w:rsidR="00DC689C" w:rsidRPr="00B24D7A" w:rsidRDefault="00AA6120" w:rsidP="0023237B">
            <w:pPr>
              <w:pStyle w:val="naisnod"/>
              <w:spacing w:before="0" w:after="0"/>
              <w:ind w:left="57" w:right="57"/>
              <w:jc w:val="left"/>
              <w:rPr>
                <w:b w:val="0"/>
              </w:rPr>
            </w:pPr>
            <w:r w:rsidRPr="00B24D7A">
              <w:rPr>
                <w:b w:val="0"/>
              </w:rPr>
              <w:t>2</w:t>
            </w:r>
            <w:r w:rsidR="00DC689C" w:rsidRPr="00B24D7A">
              <w:rPr>
                <w:b w:val="0"/>
              </w:rPr>
              <w:t>.</w:t>
            </w:r>
          </w:p>
        </w:tc>
        <w:tc>
          <w:tcPr>
            <w:tcW w:w="3402" w:type="dxa"/>
          </w:tcPr>
          <w:p w14:paraId="08588851" w14:textId="0BB83063" w:rsidR="00DC689C" w:rsidRPr="00B24D7A" w:rsidRDefault="00DC689C" w:rsidP="0023237B">
            <w:pPr>
              <w:pStyle w:val="naisf"/>
              <w:spacing w:before="0" w:after="0"/>
              <w:ind w:left="57" w:right="57" w:firstLine="0"/>
              <w:jc w:val="left"/>
            </w:pPr>
            <w:r w:rsidRPr="00B24D7A">
              <w:t>Projekta izpildes ietekme uz pārvaldes</w:t>
            </w:r>
            <w:r w:rsidR="00AA6120" w:rsidRPr="00B24D7A">
              <w:t xml:space="preserve"> funkcijām un</w:t>
            </w:r>
            <w:r w:rsidRPr="00B24D7A">
              <w:t xml:space="preserve"> institucionālo struktūru.</w:t>
            </w:r>
          </w:p>
          <w:p w14:paraId="477252E8" w14:textId="77777777" w:rsidR="00DC689C" w:rsidRPr="00B24D7A" w:rsidRDefault="00DC689C" w:rsidP="0023237B">
            <w:pPr>
              <w:pStyle w:val="naisf"/>
              <w:spacing w:before="0" w:after="0"/>
              <w:ind w:left="57" w:right="57" w:firstLine="0"/>
              <w:jc w:val="left"/>
            </w:pPr>
            <w:r w:rsidRPr="00B24D7A">
              <w:t>Jaunu institūciju izveide</w:t>
            </w:r>
            <w:r w:rsidR="00C90FFC" w:rsidRPr="00B24D7A">
              <w:t>, esošo institūciju likvidācija vai reorganizācija, to ietekme uz institūcijas cilvēkresursiem</w:t>
            </w:r>
          </w:p>
        </w:tc>
        <w:tc>
          <w:tcPr>
            <w:tcW w:w="5954" w:type="dxa"/>
          </w:tcPr>
          <w:p w14:paraId="36220974" w14:textId="47296645" w:rsidR="00546610" w:rsidRDefault="00546610" w:rsidP="00546610">
            <w:pPr>
              <w:jc w:val="both"/>
            </w:pPr>
            <w:r>
              <w:t>Ar l</w:t>
            </w:r>
            <w:r w:rsidRPr="00657EA4">
              <w:t>ikumprojektu VID tiek noteiktas jaunas funkcijas, kas ietver VID administrēto valsts budžeta ieņēmumu grāmatvedības uzskaites veikšanu</w:t>
            </w:r>
            <w:r>
              <w:t>,</w:t>
            </w:r>
            <w:r w:rsidRPr="00657EA4">
              <w:t xml:space="preserve"> finanšu pārskatu sagatavošanu, ikgadējā gada pārskata par VID administrētajiem valsts budžeta ieņēmumiem sagatavošanu iesniegšanai </w:t>
            </w:r>
            <w:r w:rsidR="00FB0229">
              <w:t>VK</w:t>
            </w:r>
            <w:r w:rsidRPr="00657EA4">
              <w:t>, tādējādi pieaug VID deleģēto uzdevumu apjoms</w:t>
            </w:r>
            <w:r w:rsidR="008A3D9E">
              <w:t>, kas tiks īstenots esošo</w:t>
            </w:r>
            <w:r w:rsidR="00951D19">
              <w:t xml:space="preserve"> finanšu un cilvēkresursu ietvaros</w:t>
            </w:r>
            <w:r w:rsidRPr="00657EA4">
              <w:t xml:space="preserve">. </w:t>
            </w:r>
          </w:p>
          <w:p w14:paraId="2898B4C1" w14:textId="0617FB94" w:rsidR="00546610" w:rsidRDefault="00546610" w:rsidP="00546610">
            <w:pPr>
              <w:pStyle w:val="naisnod"/>
              <w:spacing w:before="0" w:after="0"/>
              <w:ind w:left="57" w:right="57"/>
              <w:jc w:val="both"/>
            </w:pPr>
            <w:r w:rsidRPr="00546610">
              <w:rPr>
                <w:b w:val="0"/>
              </w:rPr>
              <w:t>Savukārt</w:t>
            </w:r>
            <w:r w:rsidR="006E6776">
              <w:rPr>
                <w:b w:val="0"/>
              </w:rPr>
              <w:t>,</w:t>
            </w:r>
            <w:r w:rsidRPr="00546610">
              <w:rPr>
                <w:b w:val="0"/>
              </w:rPr>
              <w:t xml:space="preserve"> </w:t>
            </w:r>
            <w:r w:rsidR="00FB0229">
              <w:rPr>
                <w:b w:val="0"/>
              </w:rPr>
              <w:t>VK</w:t>
            </w:r>
            <w:r w:rsidRPr="00546610">
              <w:rPr>
                <w:b w:val="0"/>
              </w:rPr>
              <w:t xml:space="preserve"> jau esošā LBFV 29.panta pirmajā daļā ir deleģēta funkcija veikt valsts budžeta finanšu uzskaiti, ko VK arī veic iekšējos normatīvajos aktos noteiktajā kārtībā, </w:t>
            </w:r>
            <w:r w:rsidRPr="00546610">
              <w:rPr>
                <w:b w:val="0"/>
              </w:rPr>
              <w:lastRenderedPageBreak/>
              <w:t>sekojoši</w:t>
            </w:r>
            <w:r>
              <w:rPr>
                <w:b w:val="0"/>
              </w:rPr>
              <w:t xml:space="preserve"> l</w:t>
            </w:r>
            <w:r w:rsidRPr="00546610">
              <w:rPr>
                <w:b w:val="0"/>
              </w:rPr>
              <w:t>ikumprojekta norma, kas paredz VK veikt valsts budžeta finanšu uzskaiti MK noteiktajā kārtībā (</w:t>
            </w:r>
            <w:r>
              <w:rPr>
                <w:b w:val="0"/>
              </w:rPr>
              <w:t xml:space="preserve">jaunā </w:t>
            </w:r>
            <w:r w:rsidRPr="00546610">
              <w:rPr>
                <w:b w:val="0"/>
              </w:rPr>
              <w:t xml:space="preserve">29.panta trešās daļas 2.punkts), </w:t>
            </w:r>
            <w:r>
              <w:rPr>
                <w:b w:val="0"/>
              </w:rPr>
              <w:t>ne</w:t>
            </w:r>
            <w:r w:rsidRPr="00546610">
              <w:rPr>
                <w:b w:val="0"/>
              </w:rPr>
              <w:t>radīs papildus administratīvo slogu VK veicamajām funkcijām.</w:t>
            </w:r>
            <w:r>
              <w:t xml:space="preserve"> </w:t>
            </w:r>
          </w:p>
          <w:p w14:paraId="6B24DD2F" w14:textId="055B108E" w:rsidR="00AA6120" w:rsidRPr="00B24D7A" w:rsidRDefault="00AA6120" w:rsidP="00546610">
            <w:pPr>
              <w:pStyle w:val="naisnod"/>
              <w:spacing w:before="0" w:after="0"/>
              <w:ind w:left="57" w:right="57"/>
              <w:jc w:val="both"/>
              <w:rPr>
                <w:b w:val="0"/>
              </w:rPr>
            </w:pPr>
            <w:r w:rsidRPr="00B24D7A">
              <w:rPr>
                <w:b w:val="0"/>
                <w:iCs/>
              </w:rPr>
              <w:t xml:space="preserve">Projekta izpilde neietekmē pārvaldes institucionālo struktūru, kā arī nav paredzēta jaunu </w:t>
            </w:r>
            <w:r w:rsidRPr="00B24D7A">
              <w:rPr>
                <w:b w:val="0"/>
              </w:rPr>
              <w:t>institūciju izveide, esošo institūciju likvidācija vai reorganizācija.</w:t>
            </w:r>
          </w:p>
          <w:p w14:paraId="07E37310" w14:textId="40138C0A" w:rsidR="00DC689C" w:rsidRPr="00B24D7A" w:rsidRDefault="00AA6120" w:rsidP="00AA6120">
            <w:pPr>
              <w:pStyle w:val="naisnod"/>
              <w:spacing w:before="0" w:after="0"/>
              <w:ind w:left="57" w:right="57"/>
              <w:jc w:val="left"/>
              <w:rPr>
                <w:b w:val="0"/>
              </w:rPr>
            </w:pPr>
            <w:r w:rsidRPr="00B24D7A">
              <w:rPr>
                <w:b w:val="0"/>
              </w:rPr>
              <w:t xml:space="preserve">Projekts tiks realizēts esošo cilvēkresursu </w:t>
            </w:r>
            <w:r w:rsidR="006E6776">
              <w:rPr>
                <w:b w:val="0"/>
              </w:rPr>
              <w:t xml:space="preserve">un finanšu </w:t>
            </w:r>
            <w:r w:rsidRPr="00B24D7A">
              <w:rPr>
                <w:b w:val="0"/>
              </w:rPr>
              <w:t>ietvaros.</w:t>
            </w:r>
          </w:p>
        </w:tc>
      </w:tr>
      <w:tr w:rsidR="00DC689C" w:rsidRPr="00B24D7A" w14:paraId="19BE460C" w14:textId="77777777" w:rsidTr="00546610">
        <w:trPr>
          <w:trHeight w:val="355"/>
        </w:trPr>
        <w:tc>
          <w:tcPr>
            <w:tcW w:w="426" w:type="dxa"/>
          </w:tcPr>
          <w:p w14:paraId="19899441" w14:textId="145924B2" w:rsidR="00DC689C" w:rsidRPr="00B24D7A" w:rsidRDefault="00AA6120" w:rsidP="0023237B">
            <w:pPr>
              <w:pStyle w:val="naiskr"/>
              <w:spacing w:before="0" w:after="0"/>
              <w:ind w:left="57" w:right="57"/>
            </w:pPr>
            <w:r w:rsidRPr="00B24D7A">
              <w:lastRenderedPageBreak/>
              <w:t>3</w:t>
            </w:r>
            <w:r w:rsidR="00DC689C" w:rsidRPr="00B24D7A">
              <w:t>.</w:t>
            </w:r>
          </w:p>
        </w:tc>
        <w:tc>
          <w:tcPr>
            <w:tcW w:w="3402" w:type="dxa"/>
          </w:tcPr>
          <w:p w14:paraId="4E0939CF" w14:textId="77777777" w:rsidR="00DC689C" w:rsidRPr="00B24D7A" w:rsidRDefault="00DC689C" w:rsidP="0023237B">
            <w:pPr>
              <w:pStyle w:val="naiskr"/>
              <w:spacing w:before="0" w:after="0"/>
              <w:ind w:left="57" w:right="57"/>
            </w:pPr>
            <w:r w:rsidRPr="00B24D7A">
              <w:t>Cita informācija</w:t>
            </w:r>
          </w:p>
        </w:tc>
        <w:tc>
          <w:tcPr>
            <w:tcW w:w="5954" w:type="dxa"/>
          </w:tcPr>
          <w:p w14:paraId="52FB9CE1" w14:textId="709A377F" w:rsidR="00DC689C" w:rsidRPr="00B24D7A" w:rsidRDefault="00BC2FF3" w:rsidP="0023237B">
            <w:pPr>
              <w:pStyle w:val="naiskr"/>
              <w:spacing w:before="0" w:after="0"/>
              <w:ind w:left="57" w:right="57"/>
            </w:pPr>
            <w:r>
              <w:t>Nav</w:t>
            </w:r>
          </w:p>
        </w:tc>
      </w:tr>
    </w:tbl>
    <w:p w14:paraId="039A040B" w14:textId="753825B0" w:rsidR="00FE0D4D" w:rsidRDefault="00FE0D4D" w:rsidP="00AE45A1">
      <w:pPr>
        <w:rPr>
          <w:sz w:val="28"/>
          <w:szCs w:val="28"/>
        </w:rPr>
      </w:pPr>
    </w:p>
    <w:p w14:paraId="14AAB74B" w14:textId="77777777" w:rsidR="004D0ED3" w:rsidRDefault="004D0ED3" w:rsidP="00AE45A1">
      <w:pPr>
        <w:rPr>
          <w:sz w:val="28"/>
          <w:szCs w:val="28"/>
        </w:rPr>
      </w:pPr>
    </w:p>
    <w:p w14:paraId="74468006" w14:textId="77777777" w:rsidR="004D0ED3" w:rsidRDefault="004D0ED3" w:rsidP="00AE45A1">
      <w:pPr>
        <w:rPr>
          <w:sz w:val="28"/>
          <w:szCs w:val="28"/>
        </w:rPr>
      </w:pPr>
    </w:p>
    <w:p w14:paraId="4FAA66D5" w14:textId="77777777" w:rsidR="004D0ED3" w:rsidRDefault="004D0ED3" w:rsidP="00AE45A1">
      <w:pPr>
        <w:rPr>
          <w:sz w:val="28"/>
          <w:szCs w:val="28"/>
        </w:rPr>
      </w:pPr>
    </w:p>
    <w:p w14:paraId="5737CE92" w14:textId="77777777" w:rsidR="004D0ED3" w:rsidRDefault="004D0ED3" w:rsidP="00AE45A1">
      <w:pPr>
        <w:rPr>
          <w:sz w:val="28"/>
          <w:szCs w:val="28"/>
        </w:rPr>
      </w:pPr>
    </w:p>
    <w:p w14:paraId="060AB5CB" w14:textId="77777777" w:rsidR="00591E50" w:rsidRPr="00B24D7A" w:rsidRDefault="00591E50" w:rsidP="00AE45A1">
      <w:pPr>
        <w:rPr>
          <w:sz w:val="28"/>
          <w:szCs w:val="28"/>
        </w:rPr>
      </w:pPr>
    </w:p>
    <w:p w14:paraId="06EE959A" w14:textId="7D69AB93" w:rsidR="00AE45A1" w:rsidRPr="00D46434" w:rsidRDefault="00AE45A1" w:rsidP="00AE45A1">
      <w:r w:rsidRPr="00D46434">
        <w:t>Finanšu ministr</w:t>
      </w:r>
      <w:r w:rsidR="0066220F" w:rsidRPr="00D46434">
        <w:t>e</w:t>
      </w:r>
      <w:r w:rsidRPr="00D46434">
        <w:t xml:space="preserve"> </w:t>
      </w:r>
      <w:r w:rsidRPr="00D46434">
        <w:tab/>
        <w:t xml:space="preserve">  </w:t>
      </w:r>
      <w:r w:rsidRPr="00D46434">
        <w:tab/>
      </w:r>
      <w:r w:rsidRPr="00D46434">
        <w:tab/>
      </w:r>
      <w:r w:rsidRPr="00D46434">
        <w:tab/>
      </w:r>
      <w:r w:rsidRPr="00D46434">
        <w:tab/>
      </w:r>
      <w:r w:rsidRPr="00D46434">
        <w:tab/>
      </w:r>
      <w:r w:rsidRPr="00D46434">
        <w:tab/>
      </w:r>
      <w:r w:rsidR="006E6776" w:rsidRPr="00D46434">
        <w:t xml:space="preserve">  </w:t>
      </w:r>
      <w:proofErr w:type="spellStart"/>
      <w:r w:rsidR="00D46434">
        <w:t>D.Reizniece</w:t>
      </w:r>
      <w:proofErr w:type="spellEnd"/>
      <w:r w:rsidR="00D46434">
        <w:t>-</w:t>
      </w:r>
      <w:r w:rsidR="0066220F" w:rsidRPr="00D46434">
        <w:t>Ozola</w:t>
      </w:r>
    </w:p>
    <w:p w14:paraId="09EDF709" w14:textId="77777777" w:rsidR="004264D8" w:rsidRPr="00B24D7A" w:rsidRDefault="004264D8" w:rsidP="00283D6B">
      <w:pPr>
        <w:jc w:val="both"/>
        <w:rPr>
          <w:sz w:val="18"/>
          <w:szCs w:val="18"/>
        </w:rPr>
      </w:pPr>
    </w:p>
    <w:p w14:paraId="641A8E89" w14:textId="77777777" w:rsidR="00A53E18" w:rsidRDefault="00A53E18" w:rsidP="00D66638">
      <w:pPr>
        <w:jc w:val="both"/>
        <w:rPr>
          <w:sz w:val="20"/>
          <w:szCs w:val="20"/>
        </w:rPr>
      </w:pPr>
    </w:p>
    <w:p w14:paraId="12FCA509" w14:textId="77777777" w:rsidR="004D0ED3" w:rsidRDefault="004D0ED3" w:rsidP="00D66638">
      <w:pPr>
        <w:jc w:val="both"/>
        <w:rPr>
          <w:sz w:val="20"/>
          <w:szCs w:val="20"/>
        </w:rPr>
      </w:pPr>
    </w:p>
    <w:p w14:paraId="015416A0" w14:textId="77777777" w:rsidR="004D0ED3" w:rsidRDefault="004D0ED3" w:rsidP="00D66638">
      <w:pPr>
        <w:jc w:val="both"/>
        <w:rPr>
          <w:sz w:val="20"/>
          <w:szCs w:val="20"/>
        </w:rPr>
      </w:pPr>
    </w:p>
    <w:p w14:paraId="11F4AF20" w14:textId="77777777" w:rsidR="004D0ED3" w:rsidRDefault="004D0ED3" w:rsidP="00D66638">
      <w:pPr>
        <w:jc w:val="both"/>
        <w:rPr>
          <w:sz w:val="20"/>
          <w:szCs w:val="20"/>
        </w:rPr>
      </w:pPr>
    </w:p>
    <w:p w14:paraId="72EF1E8A" w14:textId="77777777" w:rsidR="004D0ED3" w:rsidRDefault="004D0ED3" w:rsidP="00D66638">
      <w:pPr>
        <w:jc w:val="both"/>
        <w:rPr>
          <w:sz w:val="20"/>
          <w:szCs w:val="20"/>
        </w:rPr>
      </w:pPr>
    </w:p>
    <w:p w14:paraId="5A737726" w14:textId="77777777" w:rsidR="004D0ED3" w:rsidRDefault="004D0ED3" w:rsidP="00D66638">
      <w:pPr>
        <w:jc w:val="both"/>
        <w:rPr>
          <w:sz w:val="20"/>
          <w:szCs w:val="20"/>
        </w:rPr>
      </w:pPr>
    </w:p>
    <w:p w14:paraId="1AAEDB54" w14:textId="77777777" w:rsidR="004D0ED3" w:rsidRDefault="004D0ED3" w:rsidP="00D66638">
      <w:pPr>
        <w:jc w:val="both"/>
        <w:rPr>
          <w:sz w:val="20"/>
          <w:szCs w:val="20"/>
        </w:rPr>
      </w:pPr>
    </w:p>
    <w:p w14:paraId="4120D5EB" w14:textId="77777777" w:rsidR="004D0ED3" w:rsidRDefault="004D0ED3" w:rsidP="00D66638">
      <w:pPr>
        <w:jc w:val="both"/>
        <w:rPr>
          <w:sz w:val="20"/>
          <w:szCs w:val="20"/>
        </w:rPr>
      </w:pPr>
    </w:p>
    <w:p w14:paraId="23BB7F40" w14:textId="77777777" w:rsidR="004D0ED3" w:rsidRDefault="004D0ED3" w:rsidP="00D66638">
      <w:pPr>
        <w:jc w:val="both"/>
        <w:rPr>
          <w:sz w:val="20"/>
          <w:szCs w:val="20"/>
        </w:rPr>
      </w:pPr>
    </w:p>
    <w:p w14:paraId="6B0D7CC9" w14:textId="77777777" w:rsidR="004D0ED3" w:rsidRDefault="004D0ED3" w:rsidP="00D66638">
      <w:pPr>
        <w:jc w:val="both"/>
        <w:rPr>
          <w:sz w:val="20"/>
          <w:szCs w:val="20"/>
        </w:rPr>
      </w:pPr>
    </w:p>
    <w:p w14:paraId="7F79103E" w14:textId="77777777" w:rsidR="004D0ED3" w:rsidRDefault="004D0ED3" w:rsidP="00D66638">
      <w:pPr>
        <w:jc w:val="both"/>
        <w:rPr>
          <w:sz w:val="20"/>
          <w:szCs w:val="20"/>
        </w:rPr>
      </w:pPr>
    </w:p>
    <w:p w14:paraId="62712A02" w14:textId="77777777" w:rsidR="004D0ED3" w:rsidRDefault="004D0ED3" w:rsidP="00D66638">
      <w:pPr>
        <w:jc w:val="both"/>
        <w:rPr>
          <w:sz w:val="20"/>
          <w:szCs w:val="20"/>
        </w:rPr>
      </w:pPr>
    </w:p>
    <w:p w14:paraId="2A6588F0" w14:textId="77777777" w:rsidR="004D0ED3" w:rsidRDefault="004D0ED3" w:rsidP="00D66638">
      <w:pPr>
        <w:jc w:val="both"/>
        <w:rPr>
          <w:sz w:val="20"/>
          <w:szCs w:val="20"/>
        </w:rPr>
      </w:pPr>
    </w:p>
    <w:p w14:paraId="14431C7B" w14:textId="77777777" w:rsidR="004D0ED3" w:rsidRDefault="004D0ED3" w:rsidP="00D66638">
      <w:pPr>
        <w:jc w:val="both"/>
        <w:rPr>
          <w:sz w:val="20"/>
          <w:szCs w:val="20"/>
        </w:rPr>
      </w:pPr>
    </w:p>
    <w:p w14:paraId="6DA8647C" w14:textId="77777777" w:rsidR="004D0ED3" w:rsidRDefault="004D0ED3" w:rsidP="00D66638">
      <w:pPr>
        <w:jc w:val="both"/>
        <w:rPr>
          <w:sz w:val="20"/>
          <w:szCs w:val="20"/>
        </w:rPr>
      </w:pPr>
    </w:p>
    <w:p w14:paraId="7023E606" w14:textId="77777777" w:rsidR="004D0ED3" w:rsidRDefault="004D0ED3" w:rsidP="00D66638">
      <w:pPr>
        <w:jc w:val="both"/>
        <w:rPr>
          <w:sz w:val="20"/>
          <w:szCs w:val="20"/>
        </w:rPr>
      </w:pPr>
    </w:p>
    <w:p w14:paraId="2C3C737C" w14:textId="77777777" w:rsidR="004D0ED3" w:rsidRDefault="004D0ED3" w:rsidP="00D66638">
      <w:pPr>
        <w:jc w:val="both"/>
        <w:rPr>
          <w:sz w:val="20"/>
          <w:szCs w:val="20"/>
        </w:rPr>
      </w:pPr>
    </w:p>
    <w:p w14:paraId="262726E7" w14:textId="77777777" w:rsidR="004D0ED3" w:rsidRDefault="004D0ED3" w:rsidP="00D66638">
      <w:pPr>
        <w:jc w:val="both"/>
        <w:rPr>
          <w:sz w:val="20"/>
          <w:szCs w:val="20"/>
        </w:rPr>
      </w:pPr>
    </w:p>
    <w:p w14:paraId="470C3100" w14:textId="77777777" w:rsidR="004D0ED3" w:rsidRDefault="004D0ED3" w:rsidP="00D66638">
      <w:pPr>
        <w:jc w:val="both"/>
        <w:rPr>
          <w:sz w:val="20"/>
          <w:szCs w:val="20"/>
        </w:rPr>
      </w:pPr>
    </w:p>
    <w:p w14:paraId="39C0B8F9" w14:textId="77777777" w:rsidR="004D0ED3" w:rsidRDefault="004D0ED3" w:rsidP="00D66638">
      <w:pPr>
        <w:jc w:val="both"/>
        <w:rPr>
          <w:sz w:val="20"/>
          <w:szCs w:val="20"/>
        </w:rPr>
      </w:pPr>
    </w:p>
    <w:p w14:paraId="3184F87B" w14:textId="77777777" w:rsidR="004D0ED3" w:rsidRDefault="004D0ED3" w:rsidP="00D66638">
      <w:pPr>
        <w:jc w:val="both"/>
        <w:rPr>
          <w:sz w:val="20"/>
          <w:szCs w:val="20"/>
        </w:rPr>
      </w:pPr>
    </w:p>
    <w:p w14:paraId="553D6039" w14:textId="77777777" w:rsidR="004D0ED3" w:rsidRDefault="004D0ED3" w:rsidP="00D66638">
      <w:pPr>
        <w:jc w:val="both"/>
        <w:rPr>
          <w:sz w:val="20"/>
          <w:szCs w:val="20"/>
        </w:rPr>
      </w:pPr>
    </w:p>
    <w:p w14:paraId="2EA146DF" w14:textId="77777777" w:rsidR="004D0ED3" w:rsidRDefault="004D0ED3" w:rsidP="00D66638">
      <w:pPr>
        <w:jc w:val="both"/>
        <w:rPr>
          <w:sz w:val="20"/>
          <w:szCs w:val="20"/>
        </w:rPr>
      </w:pPr>
    </w:p>
    <w:p w14:paraId="7C289C85" w14:textId="77777777" w:rsidR="004D0ED3" w:rsidRDefault="004D0ED3" w:rsidP="00D66638">
      <w:pPr>
        <w:jc w:val="both"/>
        <w:rPr>
          <w:sz w:val="20"/>
          <w:szCs w:val="20"/>
        </w:rPr>
      </w:pPr>
    </w:p>
    <w:p w14:paraId="3D098D68" w14:textId="77777777" w:rsidR="004D0ED3" w:rsidRDefault="004D0ED3" w:rsidP="00D66638">
      <w:pPr>
        <w:jc w:val="both"/>
        <w:rPr>
          <w:sz w:val="20"/>
          <w:szCs w:val="20"/>
        </w:rPr>
      </w:pPr>
    </w:p>
    <w:p w14:paraId="3282A89F" w14:textId="77777777" w:rsidR="004D0ED3" w:rsidRDefault="004D0ED3" w:rsidP="00D66638">
      <w:pPr>
        <w:jc w:val="both"/>
        <w:rPr>
          <w:sz w:val="20"/>
          <w:szCs w:val="20"/>
        </w:rPr>
      </w:pPr>
    </w:p>
    <w:p w14:paraId="598BAD6F" w14:textId="77777777" w:rsidR="004D0ED3" w:rsidRDefault="004D0ED3" w:rsidP="00D66638">
      <w:pPr>
        <w:jc w:val="both"/>
        <w:rPr>
          <w:sz w:val="20"/>
          <w:szCs w:val="20"/>
        </w:rPr>
      </w:pPr>
      <w:bookmarkStart w:id="0" w:name="_GoBack"/>
      <w:bookmarkEnd w:id="0"/>
    </w:p>
    <w:p w14:paraId="3A37F182" w14:textId="77777777" w:rsidR="004D0ED3" w:rsidRDefault="004D0ED3" w:rsidP="00D66638">
      <w:pPr>
        <w:jc w:val="both"/>
        <w:rPr>
          <w:sz w:val="20"/>
          <w:szCs w:val="20"/>
        </w:rPr>
      </w:pPr>
    </w:p>
    <w:p w14:paraId="0F38D435" w14:textId="77777777" w:rsidR="004D0ED3" w:rsidRDefault="004D0ED3" w:rsidP="00D66638">
      <w:pPr>
        <w:jc w:val="both"/>
        <w:rPr>
          <w:sz w:val="20"/>
          <w:szCs w:val="20"/>
        </w:rPr>
      </w:pPr>
    </w:p>
    <w:p w14:paraId="1231AFC7" w14:textId="77777777" w:rsidR="004D0ED3" w:rsidRDefault="004D0ED3" w:rsidP="00D66638">
      <w:pPr>
        <w:jc w:val="both"/>
        <w:rPr>
          <w:sz w:val="20"/>
          <w:szCs w:val="20"/>
        </w:rPr>
      </w:pPr>
    </w:p>
    <w:p w14:paraId="17311374" w14:textId="77777777" w:rsidR="004D0ED3" w:rsidRDefault="004D0ED3" w:rsidP="00D66638">
      <w:pPr>
        <w:jc w:val="both"/>
        <w:rPr>
          <w:sz w:val="20"/>
          <w:szCs w:val="20"/>
        </w:rPr>
      </w:pPr>
    </w:p>
    <w:p w14:paraId="50C3F86B" w14:textId="77777777" w:rsidR="004D0ED3" w:rsidRDefault="004D0ED3" w:rsidP="00D66638">
      <w:pPr>
        <w:jc w:val="both"/>
        <w:rPr>
          <w:sz w:val="20"/>
          <w:szCs w:val="20"/>
        </w:rPr>
      </w:pPr>
    </w:p>
    <w:p w14:paraId="091E1251" w14:textId="77777777" w:rsidR="004D0ED3" w:rsidRPr="00B24D7A" w:rsidRDefault="004D0ED3" w:rsidP="00D66638">
      <w:pPr>
        <w:jc w:val="both"/>
        <w:rPr>
          <w:sz w:val="20"/>
          <w:szCs w:val="20"/>
        </w:rPr>
      </w:pPr>
    </w:p>
    <w:p w14:paraId="629DCD88" w14:textId="77777777" w:rsidR="00D31BC3" w:rsidRPr="00B24D7A" w:rsidRDefault="00D31BC3" w:rsidP="00D66638">
      <w:pPr>
        <w:jc w:val="both"/>
        <w:rPr>
          <w:sz w:val="20"/>
          <w:szCs w:val="20"/>
        </w:rPr>
      </w:pPr>
    </w:p>
    <w:p w14:paraId="34284443" w14:textId="7FA33F6B" w:rsidR="00FE0D4D" w:rsidRPr="00D46434" w:rsidRDefault="00EA424B" w:rsidP="00D66638">
      <w:pPr>
        <w:jc w:val="both"/>
        <w:rPr>
          <w:sz w:val="20"/>
          <w:szCs w:val="20"/>
        </w:rPr>
      </w:pPr>
      <w:r w:rsidRPr="00D46434">
        <w:rPr>
          <w:sz w:val="20"/>
          <w:szCs w:val="20"/>
        </w:rPr>
        <w:t>Jevčuka</w:t>
      </w:r>
      <w:r w:rsidR="00FE0D4D" w:rsidRPr="00D46434">
        <w:rPr>
          <w:sz w:val="20"/>
          <w:szCs w:val="20"/>
        </w:rPr>
        <w:t xml:space="preserve"> </w:t>
      </w:r>
      <w:r w:rsidR="00283D6B" w:rsidRPr="00D46434">
        <w:rPr>
          <w:sz w:val="20"/>
          <w:szCs w:val="20"/>
        </w:rPr>
        <w:t>67</w:t>
      </w:r>
      <w:r w:rsidR="00D66638" w:rsidRPr="00D46434">
        <w:rPr>
          <w:sz w:val="20"/>
          <w:szCs w:val="20"/>
        </w:rPr>
        <w:t>0954</w:t>
      </w:r>
      <w:r w:rsidRPr="00D46434">
        <w:rPr>
          <w:sz w:val="20"/>
          <w:szCs w:val="20"/>
        </w:rPr>
        <w:t>42</w:t>
      </w:r>
    </w:p>
    <w:p w14:paraId="7FD4433D" w14:textId="036E6996" w:rsidR="00073014" w:rsidRPr="00D46434" w:rsidRDefault="00591E50" w:rsidP="00D66638">
      <w:pPr>
        <w:jc w:val="both"/>
        <w:rPr>
          <w:sz w:val="20"/>
          <w:szCs w:val="20"/>
        </w:rPr>
      </w:pPr>
      <w:r w:rsidRPr="00D46434">
        <w:rPr>
          <w:sz w:val="20"/>
          <w:szCs w:val="20"/>
        </w:rPr>
        <w:t>Ludmila.J</w:t>
      </w:r>
      <w:r w:rsidR="00073014" w:rsidRPr="00D46434">
        <w:rPr>
          <w:sz w:val="20"/>
          <w:szCs w:val="20"/>
        </w:rPr>
        <w:t>evcuka@fm.gov.lv</w:t>
      </w:r>
    </w:p>
    <w:p w14:paraId="6C0D4BFF" w14:textId="77777777" w:rsidR="00D31BC3" w:rsidRPr="00D46434" w:rsidRDefault="00D31BC3" w:rsidP="00073014">
      <w:pPr>
        <w:jc w:val="both"/>
        <w:rPr>
          <w:sz w:val="20"/>
          <w:szCs w:val="20"/>
        </w:rPr>
      </w:pPr>
    </w:p>
    <w:p w14:paraId="265BC837" w14:textId="0A7600E7" w:rsidR="00073014" w:rsidRPr="00D46434" w:rsidRDefault="00073014" w:rsidP="00073014">
      <w:pPr>
        <w:jc w:val="both"/>
        <w:rPr>
          <w:sz w:val="20"/>
          <w:szCs w:val="20"/>
        </w:rPr>
      </w:pPr>
      <w:r w:rsidRPr="00D46434">
        <w:rPr>
          <w:sz w:val="20"/>
          <w:szCs w:val="20"/>
        </w:rPr>
        <w:t>Zvaigzne 67083976</w:t>
      </w:r>
    </w:p>
    <w:p w14:paraId="2A1CAC31" w14:textId="489E1DE4" w:rsidR="00073014" w:rsidRPr="00D46434" w:rsidRDefault="00591E50" w:rsidP="00073014">
      <w:pPr>
        <w:jc w:val="both"/>
        <w:rPr>
          <w:sz w:val="20"/>
          <w:szCs w:val="20"/>
        </w:rPr>
      </w:pPr>
      <w:r w:rsidRPr="00D46434">
        <w:rPr>
          <w:sz w:val="20"/>
          <w:szCs w:val="20"/>
        </w:rPr>
        <w:t>Zanete.Z</w:t>
      </w:r>
      <w:r w:rsidR="00073014" w:rsidRPr="00D46434">
        <w:rPr>
          <w:sz w:val="20"/>
          <w:szCs w:val="20"/>
        </w:rPr>
        <w:t>vaigzne@fm.gov.lv</w:t>
      </w:r>
    </w:p>
    <w:p w14:paraId="6ECC5B58" w14:textId="77777777" w:rsidR="00073014" w:rsidRPr="00591E50" w:rsidRDefault="00073014" w:rsidP="00D66638">
      <w:pPr>
        <w:jc w:val="both"/>
        <w:rPr>
          <w:sz w:val="22"/>
          <w:szCs w:val="22"/>
        </w:rPr>
      </w:pPr>
    </w:p>
    <w:sectPr w:rsidR="00073014" w:rsidRPr="00591E50" w:rsidSect="00A53E18">
      <w:footnotePr>
        <w:numFmt w:val="chicago"/>
      </w:footnotePr>
      <w:type w:val="continuous"/>
      <w:pgSz w:w="11906" w:h="16838" w:code="9"/>
      <w:pgMar w:top="1134" w:right="1134" w:bottom="993" w:left="1701" w:header="709"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619E3" w14:textId="77777777" w:rsidR="00704568" w:rsidRDefault="00704568" w:rsidP="00307F91">
      <w:r>
        <w:separator/>
      </w:r>
    </w:p>
  </w:endnote>
  <w:endnote w:type="continuationSeparator" w:id="0">
    <w:p w14:paraId="165C0505" w14:textId="77777777" w:rsidR="00704568" w:rsidRDefault="00704568"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7E029" w14:textId="119315F6" w:rsidR="006710CE" w:rsidRPr="00FE0D4D" w:rsidRDefault="006710CE" w:rsidP="002B57DA">
    <w:pPr>
      <w:pStyle w:val="Footer"/>
      <w:ind w:left="-284" w:right="-285"/>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31BC3">
      <w:rPr>
        <w:noProof/>
        <w:sz w:val="20"/>
        <w:szCs w:val="20"/>
      </w:rPr>
      <w:t>FMAnot_2408</w:t>
    </w:r>
    <w:r>
      <w:rPr>
        <w:noProof/>
        <w:sz w:val="20"/>
        <w:szCs w:val="20"/>
      </w:rPr>
      <w:t>2017_LBFV.docx</w:t>
    </w:r>
    <w:r>
      <w:rPr>
        <w:sz w:val="20"/>
        <w:szCs w:val="20"/>
      </w:rPr>
      <w:fldChar w:fldCharType="end"/>
    </w:r>
    <w:r w:rsidRPr="00FE0D4D">
      <w:rPr>
        <w:sz w:val="20"/>
        <w:szCs w:val="20"/>
      </w:rPr>
      <w:t xml:space="preserve"> </w:t>
    </w:r>
  </w:p>
  <w:p w14:paraId="6F3F57EA" w14:textId="77777777" w:rsidR="006710CE" w:rsidRPr="002B57DA" w:rsidRDefault="006710CE" w:rsidP="002B5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31683" w14:textId="16F5E80B" w:rsidR="006710CE" w:rsidRPr="00EA424B" w:rsidRDefault="006710CE" w:rsidP="00EA424B">
    <w:pPr>
      <w:pStyle w:val="Footer"/>
    </w:pPr>
    <w:r>
      <w:rPr>
        <w:sz w:val="20"/>
        <w:szCs w:val="20"/>
      </w:rPr>
      <w:fldChar w:fldCharType="begin"/>
    </w:r>
    <w:r>
      <w:rPr>
        <w:sz w:val="20"/>
        <w:szCs w:val="20"/>
      </w:rPr>
      <w:instrText xml:space="preserve"> FILENAME   \* MERGEFORMAT </w:instrText>
    </w:r>
    <w:r>
      <w:rPr>
        <w:sz w:val="20"/>
        <w:szCs w:val="20"/>
      </w:rPr>
      <w:fldChar w:fldCharType="separate"/>
    </w:r>
    <w:r w:rsidR="00D31BC3">
      <w:rPr>
        <w:noProof/>
        <w:sz w:val="20"/>
        <w:szCs w:val="20"/>
      </w:rPr>
      <w:t>FMAnot_2408</w:t>
    </w:r>
    <w:r>
      <w:rPr>
        <w:noProof/>
        <w:sz w:val="20"/>
        <w:szCs w:val="20"/>
      </w:rPr>
      <w:t>2017_LBFV.docx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B99FC" w14:textId="77777777" w:rsidR="00704568" w:rsidRDefault="00704568" w:rsidP="00307F91">
      <w:r>
        <w:separator/>
      </w:r>
    </w:p>
  </w:footnote>
  <w:footnote w:type="continuationSeparator" w:id="0">
    <w:p w14:paraId="79F66A01" w14:textId="77777777" w:rsidR="00704568" w:rsidRDefault="00704568" w:rsidP="00307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89F00" w14:textId="77777777" w:rsidR="006710CE" w:rsidRDefault="006710CE"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C8A3F5" w14:textId="77777777" w:rsidR="006710CE" w:rsidRDefault="00671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B84C" w14:textId="4C7A8CFC" w:rsidR="006710CE" w:rsidRDefault="006710CE"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1BE4">
      <w:rPr>
        <w:rStyle w:val="PageNumber"/>
        <w:noProof/>
      </w:rPr>
      <w:t>12</w:t>
    </w:r>
    <w:r>
      <w:rPr>
        <w:rStyle w:val="PageNumber"/>
      </w:rPr>
      <w:fldChar w:fldCharType="end"/>
    </w:r>
  </w:p>
  <w:p w14:paraId="4B270710" w14:textId="77777777" w:rsidR="006710CE" w:rsidRDefault="00671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B45"/>
    <w:multiLevelType w:val="hybridMultilevel"/>
    <w:tmpl w:val="BB7E7F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 w15:restartNumberingAfterBreak="0">
    <w:nsid w:val="09F53655"/>
    <w:multiLevelType w:val="hybridMultilevel"/>
    <w:tmpl w:val="B87E41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984279"/>
    <w:multiLevelType w:val="hybridMultilevel"/>
    <w:tmpl w:val="736ED09A"/>
    <w:lvl w:ilvl="0" w:tplc="4F386FEC">
      <w:start w:val="1"/>
      <w:numFmt w:val="decimal"/>
      <w:lvlText w:val="%1)"/>
      <w:lvlJc w:val="left"/>
      <w:pPr>
        <w:ind w:left="913" w:hanging="360"/>
      </w:pPr>
      <w:rPr>
        <w:rFonts w:ascii="Times New Roman" w:eastAsia="Calibri" w:hAnsi="Times New Roman" w:cstheme="minorBidi"/>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4" w15:restartNumberingAfterBreak="0">
    <w:nsid w:val="164514F1"/>
    <w:multiLevelType w:val="hybridMultilevel"/>
    <w:tmpl w:val="AED494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390EA0"/>
    <w:multiLevelType w:val="hybridMultilevel"/>
    <w:tmpl w:val="0D48032A"/>
    <w:lvl w:ilvl="0" w:tplc="04260011">
      <w:start w:val="1"/>
      <w:numFmt w:val="decimal"/>
      <w:lvlText w:val="%1)"/>
      <w:lvlJc w:val="left"/>
      <w:pPr>
        <w:ind w:left="720" w:hanging="36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9B443F"/>
    <w:multiLevelType w:val="hybridMultilevel"/>
    <w:tmpl w:val="BCAED7EA"/>
    <w:lvl w:ilvl="0" w:tplc="0426000D">
      <w:start w:val="1"/>
      <w:numFmt w:val="bullet"/>
      <w:lvlText w:val=""/>
      <w:lvlJc w:val="left"/>
      <w:pPr>
        <w:ind w:left="848" w:hanging="360"/>
      </w:pPr>
      <w:rPr>
        <w:rFonts w:ascii="Wingdings" w:hAnsi="Wingdings" w:hint="default"/>
      </w:rPr>
    </w:lvl>
    <w:lvl w:ilvl="1" w:tplc="04260003" w:tentative="1">
      <w:start w:val="1"/>
      <w:numFmt w:val="bullet"/>
      <w:lvlText w:val="o"/>
      <w:lvlJc w:val="left"/>
      <w:pPr>
        <w:ind w:left="1568" w:hanging="360"/>
      </w:pPr>
      <w:rPr>
        <w:rFonts w:ascii="Courier New" w:hAnsi="Courier New" w:cs="Courier New" w:hint="default"/>
      </w:rPr>
    </w:lvl>
    <w:lvl w:ilvl="2" w:tplc="04260005" w:tentative="1">
      <w:start w:val="1"/>
      <w:numFmt w:val="bullet"/>
      <w:lvlText w:val=""/>
      <w:lvlJc w:val="left"/>
      <w:pPr>
        <w:ind w:left="2288" w:hanging="360"/>
      </w:pPr>
      <w:rPr>
        <w:rFonts w:ascii="Wingdings" w:hAnsi="Wingdings" w:hint="default"/>
      </w:rPr>
    </w:lvl>
    <w:lvl w:ilvl="3" w:tplc="04260001" w:tentative="1">
      <w:start w:val="1"/>
      <w:numFmt w:val="bullet"/>
      <w:lvlText w:val=""/>
      <w:lvlJc w:val="left"/>
      <w:pPr>
        <w:ind w:left="3008" w:hanging="360"/>
      </w:pPr>
      <w:rPr>
        <w:rFonts w:ascii="Symbol" w:hAnsi="Symbol" w:hint="default"/>
      </w:rPr>
    </w:lvl>
    <w:lvl w:ilvl="4" w:tplc="04260003" w:tentative="1">
      <w:start w:val="1"/>
      <w:numFmt w:val="bullet"/>
      <w:lvlText w:val="o"/>
      <w:lvlJc w:val="left"/>
      <w:pPr>
        <w:ind w:left="3728" w:hanging="360"/>
      </w:pPr>
      <w:rPr>
        <w:rFonts w:ascii="Courier New" w:hAnsi="Courier New" w:cs="Courier New" w:hint="default"/>
      </w:rPr>
    </w:lvl>
    <w:lvl w:ilvl="5" w:tplc="04260005" w:tentative="1">
      <w:start w:val="1"/>
      <w:numFmt w:val="bullet"/>
      <w:lvlText w:val=""/>
      <w:lvlJc w:val="left"/>
      <w:pPr>
        <w:ind w:left="4448" w:hanging="360"/>
      </w:pPr>
      <w:rPr>
        <w:rFonts w:ascii="Wingdings" w:hAnsi="Wingdings" w:hint="default"/>
      </w:rPr>
    </w:lvl>
    <w:lvl w:ilvl="6" w:tplc="04260001" w:tentative="1">
      <w:start w:val="1"/>
      <w:numFmt w:val="bullet"/>
      <w:lvlText w:val=""/>
      <w:lvlJc w:val="left"/>
      <w:pPr>
        <w:ind w:left="5168" w:hanging="360"/>
      </w:pPr>
      <w:rPr>
        <w:rFonts w:ascii="Symbol" w:hAnsi="Symbol" w:hint="default"/>
      </w:rPr>
    </w:lvl>
    <w:lvl w:ilvl="7" w:tplc="04260003" w:tentative="1">
      <w:start w:val="1"/>
      <w:numFmt w:val="bullet"/>
      <w:lvlText w:val="o"/>
      <w:lvlJc w:val="left"/>
      <w:pPr>
        <w:ind w:left="5888" w:hanging="360"/>
      </w:pPr>
      <w:rPr>
        <w:rFonts w:ascii="Courier New" w:hAnsi="Courier New" w:cs="Courier New" w:hint="default"/>
      </w:rPr>
    </w:lvl>
    <w:lvl w:ilvl="8" w:tplc="04260005" w:tentative="1">
      <w:start w:val="1"/>
      <w:numFmt w:val="bullet"/>
      <w:lvlText w:val=""/>
      <w:lvlJc w:val="left"/>
      <w:pPr>
        <w:ind w:left="6608" w:hanging="360"/>
      </w:pPr>
      <w:rPr>
        <w:rFonts w:ascii="Wingdings" w:hAnsi="Wingdings" w:hint="default"/>
      </w:rPr>
    </w:lvl>
  </w:abstractNum>
  <w:abstractNum w:abstractNumId="8" w15:restartNumberingAfterBreak="0">
    <w:nsid w:val="2F760FC3"/>
    <w:multiLevelType w:val="hybridMultilevel"/>
    <w:tmpl w:val="D60E9814"/>
    <w:lvl w:ilvl="0" w:tplc="7CA8C114">
      <w:start w:val="1"/>
      <w:numFmt w:val="bullet"/>
      <w:lvlText w:val="-"/>
      <w:lvlJc w:val="left"/>
      <w:pPr>
        <w:ind w:left="913" w:hanging="360"/>
      </w:pPr>
      <w:rPr>
        <w:rFonts w:ascii="Times New Roman" w:eastAsia="Times New Roman" w:hAnsi="Times New Roman" w:cs="Times New Roman" w:hint="default"/>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abstractNum w:abstractNumId="9" w15:restartNumberingAfterBreak="0">
    <w:nsid w:val="39D851C9"/>
    <w:multiLevelType w:val="hybridMultilevel"/>
    <w:tmpl w:val="C22455D2"/>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0" w15:restartNumberingAfterBreak="0">
    <w:nsid w:val="53122567"/>
    <w:multiLevelType w:val="hybridMultilevel"/>
    <w:tmpl w:val="6B7E19B0"/>
    <w:lvl w:ilvl="0" w:tplc="B95ECA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57051FD7"/>
    <w:multiLevelType w:val="hybridMultilevel"/>
    <w:tmpl w:val="256CFC24"/>
    <w:lvl w:ilvl="0" w:tplc="0E7E3B70">
      <w:numFmt w:val="bullet"/>
      <w:lvlText w:val="-"/>
      <w:lvlJc w:val="left"/>
      <w:pPr>
        <w:ind w:left="1287" w:hanging="360"/>
      </w:pPr>
      <w:rPr>
        <w:rFonts w:ascii="Times New Roman" w:eastAsia="Times New Roman" w:hAnsi="Times New Roman" w:cs="Times New Roman" w:hint="default"/>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5A996112"/>
    <w:multiLevelType w:val="hybridMultilevel"/>
    <w:tmpl w:val="36DE3EB6"/>
    <w:lvl w:ilvl="0" w:tplc="BB8A0E76">
      <w:start w:val="1"/>
      <w:numFmt w:val="decimal"/>
      <w:lvlText w:val="%1."/>
      <w:lvlJc w:val="left"/>
      <w:pPr>
        <w:ind w:left="913" w:hanging="360"/>
      </w:pPr>
      <w:rPr>
        <w:rFonts w:hint="default"/>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13" w15:restartNumberingAfterBreak="0">
    <w:nsid w:val="646117DA"/>
    <w:multiLevelType w:val="hybridMultilevel"/>
    <w:tmpl w:val="E7AC38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15:restartNumberingAfterBreak="0">
    <w:nsid w:val="79F57950"/>
    <w:multiLevelType w:val="hybridMultilevel"/>
    <w:tmpl w:val="70F00BCE"/>
    <w:lvl w:ilvl="0" w:tplc="A3EAF096">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E513318"/>
    <w:multiLevelType w:val="hybridMultilevel"/>
    <w:tmpl w:val="ABB49B1C"/>
    <w:lvl w:ilvl="0" w:tplc="BCC08EBE">
      <w:start w:val="19"/>
      <w:numFmt w:val="bullet"/>
      <w:lvlText w:val="-"/>
      <w:lvlJc w:val="left"/>
      <w:pPr>
        <w:ind w:left="913" w:hanging="360"/>
      </w:pPr>
      <w:rPr>
        <w:rFonts w:ascii="Times New Roman" w:eastAsia="Times New Roman" w:hAnsi="Times New Roman" w:cs="Times New Roman" w:hint="default"/>
        <w:b w:val="0"/>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num w:numId="1">
    <w:abstractNumId w:val="6"/>
  </w:num>
  <w:num w:numId="2">
    <w:abstractNumId w:val="1"/>
  </w:num>
  <w:num w:numId="3">
    <w:abstractNumId w:val="14"/>
  </w:num>
  <w:num w:numId="4">
    <w:abstractNumId w:val="15"/>
  </w:num>
  <w:num w:numId="5">
    <w:abstractNumId w:val="2"/>
  </w:num>
  <w:num w:numId="6">
    <w:abstractNumId w:val="10"/>
  </w:num>
  <w:num w:numId="7">
    <w:abstractNumId w:val="3"/>
  </w:num>
  <w:num w:numId="8">
    <w:abstractNumId w:val="12"/>
  </w:num>
  <w:num w:numId="9">
    <w:abstractNumId w:val="4"/>
  </w:num>
  <w:num w:numId="10">
    <w:abstractNumId w:val="13"/>
  </w:num>
  <w:num w:numId="11">
    <w:abstractNumId w:val="7"/>
  </w:num>
  <w:num w:numId="12">
    <w:abstractNumId w:val="16"/>
  </w:num>
  <w:num w:numId="13">
    <w:abstractNumId w:val="8"/>
  </w:num>
  <w:num w:numId="14">
    <w:abstractNumId w:val="0"/>
  </w:num>
  <w:num w:numId="15">
    <w:abstractNumId w:val="9"/>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1832"/>
    <w:rsid w:val="00003492"/>
    <w:rsid w:val="00006C5A"/>
    <w:rsid w:val="00011FD8"/>
    <w:rsid w:val="00013754"/>
    <w:rsid w:val="00014F75"/>
    <w:rsid w:val="000223C1"/>
    <w:rsid w:val="00022DC3"/>
    <w:rsid w:val="00025D74"/>
    <w:rsid w:val="00027C22"/>
    <w:rsid w:val="000325F2"/>
    <w:rsid w:val="000334A9"/>
    <w:rsid w:val="000345B1"/>
    <w:rsid w:val="00041298"/>
    <w:rsid w:val="00041476"/>
    <w:rsid w:val="00041884"/>
    <w:rsid w:val="00041966"/>
    <w:rsid w:val="000452BD"/>
    <w:rsid w:val="00046858"/>
    <w:rsid w:val="00052664"/>
    <w:rsid w:val="0005443C"/>
    <w:rsid w:val="00055004"/>
    <w:rsid w:val="00055D18"/>
    <w:rsid w:val="00060085"/>
    <w:rsid w:val="00064157"/>
    <w:rsid w:val="0006462B"/>
    <w:rsid w:val="0006640F"/>
    <w:rsid w:val="00066834"/>
    <w:rsid w:val="00067B6A"/>
    <w:rsid w:val="00071337"/>
    <w:rsid w:val="00072749"/>
    <w:rsid w:val="00073014"/>
    <w:rsid w:val="00082662"/>
    <w:rsid w:val="00085C63"/>
    <w:rsid w:val="00087569"/>
    <w:rsid w:val="000A2476"/>
    <w:rsid w:val="000A3C7E"/>
    <w:rsid w:val="000A4B61"/>
    <w:rsid w:val="000A6768"/>
    <w:rsid w:val="000B0465"/>
    <w:rsid w:val="000B046B"/>
    <w:rsid w:val="000B3FD3"/>
    <w:rsid w:val="000C0D9C"/>
    <w:rsid w:val="000C4B6B"/>
    <w:rsid w:val="000C4C14"/>
    <w:rsid w:val="000D08B6"/>
    <w:rsid w:val="000D6D4B"/>
    <w:rsid w:val="000E1D49"/>
    <w:rsid w:val="000E2559"/>
    <w:rsid w:val="000E3269"/>
    <w:rsid w:val="000E57D3"/>
    <w:rsid w:val="000E59AC"/>
    <w:rsid w:val="000E6AFC"/>
    <w:rsid w:val="000F2C58"/>
    <w:rsid w:val="000F7A04"/>
    <w:rsid w:val="000F7E01"/>
    <w:rsid w:val="0010277C"/>
    <w:rsid w:val="0010377F"/>
    <w:rsid w:val="00104BDC"/>
    <w:rsid w:val="00115A42"/>
    <w:rsid w:val="00115E19"/>
    <w:rsid w:val="001160EE"/>
    <w:rsid w:val="00117A95"/>
    <w:rsid w:val="00120E17"/>
    <w:rsid w:val="00123439"/>
    <w:rsid w:val="00127768"/>
    <w:rsid w:val="00130B58"/>
    <w:rsid w:val="001372EC"/>
    <w:rsid w:val="00137E65"/>
    <w:rsid w:val="00137F0A"/>
    <w:rsid w:val="00141151"/>
    <w:rsid w:val="001427CB"/>
    <w:rsid w:val="00154ACB"/>
    <w:rsid w:val="001607EF"/>
    <w:rsid w:val="001630FC"/>
    <w:rsid w:val="00171770"/>
    <w:rsid w:val="00175D70"/>
    <w:rsid w:val="0018221F"/>
    <w:rsid w:val="00185D51"/>
    <w:rsid w:val="001873E0"/>
    <w:rsid w:val="001911B7"/>
    <w:rsid w:val="00191CBC"/>
    <w:rsid w:val="00192958"/>
    <w:rsid w:val="00193142"/>
    <w:rsid w:val="00193ACB"/>
    <w:rsid w:val="001A16C5"/>
    <w:rsid w:val="001A24A8"/>
    <w:rsid w:val="001A757D"/>
    <w:rsid w:val="001B01A2"/>
    <w:rsid w:val="001B6443"/>
    <w:rsid w:val="001C07FB"/>
    <w:rsid w:val="001C14BF"/>
    <w:rsid w:val="001C438A"/>
    <w:rsid w:val="001C5CA4"/>
    <w:rsid w:val="001C771A"/>
    <w:rsid w:val="001D6D43"/>
    <w:rsid w:val="001E141C"/>
    <w:rsid w:val="001E14FC"/>
    <w:rsid w:val="001E1F6D"/>
    <w:rsid w:val="001E4121"/>
    <w:rsid w:val="001E5481"/>
    <w:rsid w:val="001F0A58"/>
    <w:rsid w:val="001F0B08"/>
    <w:rsid w:val="001F3005"/>
    <w:rsid w:val="001F3AAA"/>
    <w:rsid w:val="001F3D07"/>
    <w:rsid w:val="001F6DAB"/>
    <w:rsid w:val="00200159"/>
    <w:rsid w:val="002004B3"/>
    <w:rsid w:val="002028C7"/>
    <w:rsid w:val="00205471"/>
    <w:rsid w:val="00210E56"/>
    <w:rsid w:val="00220137"/>
    <w:rsid w:val="00225CD4"/>
    <w:rsid w:val="00227665"/>
    <w:rsid w:val="00231EBA"/>
    <w:rsid w:val="0023237B"/>
    <w:rsid w:val="002345AA"/>
    <w:rsid w:val="00236B30"/>
    <w:rsid w:val="002379E0"/>
    <w:rsid w:val="00241575"/>
    <w:rsid w:val="00245C1C"/>
    <w:rsid w:val="0025068D"/>
    <w:rsid w:val="00254E1F"/>
    <w:rsid w:val="0025517E"/>
    <w:rsid w:val="00255ADD"/>
    <w:rsid w:val="002634CF"/>
    <w:rsid w:val="00263561"/>
    <w:rsid w:val="00265083"/>
    <w:rsid w:val="00272789"/>
    <w:rsid w:val="00274800"/>
    <w:rsid w:val="00275F03"/>
    <w:rsid w:val="00280295"/>
    <w:rsid w:val="00283D6B"/>
    <w:rsid w:val="0028549E"/>
    <w:rsid w:val="00286021"/>
    <w:rsid w:val="00286F46"/>
    <w:rsid w:val="002A096A"/>
    <w:rsid w:val="002A3415"/>
    <w:rsid w:val="002A4D03"/>
    <w:rsid w:val="002A6395"/>
    <w:rsid w:val="002B3ED8"/>
    <w:rsid w:val="002B57DA"/>
    <w:rsid w:val="002B6529"/>
    <w:rsid w:val="002C0678"/>
    <w:rsid w:val="002C28A4"/>
    <w:rsid w:val="002C2EE0"/>
    <w:rsid w:val="002C5D18"/>
    <w:rsid w:val="002C7253"/>
    <w:rsid w:val="002D351B"/>
    <w:rsid w:val="002D64E7"/>
    <w:rsid w:val="002D7349"/>
    <w:rsid w:val="002E1D26"/>
    <w:rsid w:val="002E2327"/>
    <w:rsid w:val="002E3013"/>
    <w:rsid w:val="002F31C6"/>
    <w:rsid w:val="002F751B"/>
    <w:rsid w:val="00303934"/>
    <w:rsid w:val="00304F43"/>
    <w:rsid w:val="00304FD5"/>
    <w:rsid w:val="00307F91"/>
    <w:rsid w:val="00312BD6"/>
    <w:rsid w:val="00316053"/>
    <w:rsid w:val="00320C04"/>
    <w:rsid w:val="0033105E"/>
    <w:rsid w:val="00331FC1"/>
    <w:rsid w:val="00334690"/>
    <w:rsid w:val="00334BCB"/>
    <w:rsid w:val="003354ED"/>
    <w:rsid w:val="00337BC3"/>
    <w:rsid w:val="00342870"/>
    <w:rsid w:val="0034490F"/>
    <w:rsid w:val="0034506E"/>
    <w:rsid w:val="003456DC"/>
    <w:rsid w:val="00346BE5"/>
    <w:rsid w:val="0035385D"/>
    <w:rsid w:val="00353CAF"/>
    <w:rsid w:val="003546A3"/>
    <w:rsid w:val="00360526"/>
    <w:rsid w:val="0037540B"/>
    <w:rsid w:val="00390903"/>
    <w:rsid w:val="00390B89"/>
    <w:rsid w:val="00393747"/>
    <w:rsid w:val="00393EB7"/>
    <w:rsid w:val="00394DAC"/>
    <w:rsid w:val="00396416"/>
    <w:rsid w:val="003A23C3"/>
    <w:rsid w:val="003A5C5F"/>
    <w:rsid w:val="003A6C5E"/>
    <w:rsid w:val="003B6D36"/>
    <w:rsid w:val="003B7B41"/>
    <w:rsid w:val="003B7FB3"/>
    <w:rsid w:val="003C16D7"/>
    <w:rsid w:val="003C2448"/>
    <w:rsid w:val="003C308C"/>
    <w:rsid w:val="003C44C3"/>
    <w:rsid w:val="003C6674"/>
    <w:rsid w:val="003D4480"/>
    <w:rsid w:val="003D46EE"/>
    <w:rsid w:val="003D4FA8"/>
    <w:rsid w:val="003D64EC"/>
    <w:rsid w:val="003D68C6"/>
    <w:rsid w:val="003E0413"/>
    <w:rsid w:val="003E0FE6"/>
    <w:rsid w:val="003E47EC"/>
    <w:rsid w:val="003E5AEB"/>
    <w:rsid w:val="003F01AF"/>
    <w:rsid w:val="003F08CA"/>
    <w:rsid w:val="003F2F09"/>
    <w:rsid w:val="003F35BE"/>
    <w:rsid w:val="003F4153"/>
    <w:rsid w:val="003F63CC"/>
    <w:rsid w:val="004021D4"/>
    <w:rsid w:val="00407969"/>
    <w:rsid w:val="00413666"/>
    <w:rsid w:val="0042237E"/>
    <w:rsid w:val="00423A8D"/>
    <w:rsid w:val="004264D8"/>
    <w:rsid w:val="0043045A"/>
    <w:rsid w:val="004306C4"/>
    <w:rsid w:val="004370BF"/>
    <w:rsid w:val="00440C2F"/>
    <w:rsid w:val="00450EC1"/>
    <w:rsid w:val="004511E2"/>
    <w:rsid w:val="00464265"/>
    <w:rsid w:val="004643F1"/>
    <w:rsid w:val="004660B4"/>
    <w:rsid w:val="00466914"/>
    <w:rsid w:val="00467B1E"/>
    <w:rsid w:val="00471BA0"/>
    <w:rsid w:val="00472E5B"/>
    <w:rsid w:val="00476ED8"/>
    <w:rsid w:val="0048297D"/>
    <w:rsid w:val="00482AE6"/>
    <w:rsid w:val="00482F9F"/>
    <w:rsid w:val="00486AD1"/>
    <w:rsid w:val="00487903"/>
    <w:rsid w:val="00495D42"/>
    <w:rsid w:val="00496027"/>
    <w:rsid w:val="004964F3"/>
    <w:rsid w:val="00497891"/>
    <w:rsid w:val="004A6F46"/>
    <w:rsid w:val="004A769B"/>
    <w:rsid w:val="004B0A81"/>
    <w:rsid w:val="004B46CC"/>
    <w:rsid w:val="004B6FE4"/>
    <w:rsid w:val="004B77DA"/>
    <w:rsid w:val="004C0B72"/>
    <w:rsid w:val="004C180B"/>
    <w:rsid w:val="004D0142"/>
    <w:rsid w:val="004D04BD"/>
    <w:rsid w:val="004D0ED3"/>
    <w:rsid w:val="004D1022"/>
    <w:rsid w:val="004D4536"/>
    <w:rsid w:val="004D5484"/>
    <w:rsid w:val="004E1CAD"/>
    <w:rsid w:val="004E565B"/>
    <w:rsid w:val="004E5F5B"/>
    <w:rsid w:val="004F122E"/>
    <w:rsid w:val="004F2D29"/>
    <w:rsid w:val="004F3A4C"/>
    <w:rsid w:val="004F543E"/>
    <w:rsid w:val="004F6862"/>
    <w:rsid w:val="00503E32"/>
    <w:rsid w:val="00504D5A"/>
    <w:rsid w:val="00510CE2"/>
    <w:rsid w:val="00512C42"/>
    <w:rsid w:val="00516534"/>
    <w:rsid w:val="00516E13"/>
    <w:rsid w:val="00521FB7"/>
    <w:rsid w:val="00524BF1"/>
    <w:rsid w:val="0052636A"/>
    <w:rsid w:val="00526B54"/>
    <w:rsid w:val="00531471"/>
    <w:rsid w:val="00531E88"/>
    <w:rsid w:val="00532B5A"/>
    <w:rsid w:val="00542EFC"/>
    <w:rsid w:val="00546610"/>
    <w:rsid w:val="00550B06"/>
    <w:rsid w:val="005553B8"/>
    <w:rsid w:val="00556558"/>
    <w:rsid w:val="00557597"/>
    <w:rsid w:val="00567D9D"/>
    <w:rsid w:val="005705C2"/>
    <w:rsid w:val="00571380"/>
    <w:rsid w:val="00574A93"/>
    <w:rsid w:val="0057678E"/>
    <w:rsid w:val="00577967"/>
    <w:rsid w:val="00584EEF"/>
    <w:rsid w:val="005856C1"/>
    <w:rsid w:val="005859FE"/>
    <w:rsid w:val="00591E50"/>
    <w:rsid w:val="00596199"/>
    <w:rsid w:val="005A4D87"/>
    <w:rsid w:val="005A4EDF"/>
    <w:rsid w:val="005B0B08"/>
    <w:rsid w:val="005B1D82"/>
    <w:rsid w:val="005B765E"/>
    <w:rsid w:val="005C738F"/>
    <w:rsid w:val="005D6FA3"/>
    <w:rsid w:val="005E2E43"/>
    <w:rsid w:val="005E4CF6"/>
    <w:rsid w:val="005F3333"/>
    <w:rsid w:val="005F4937"/>
    <w:rsid w:val="005F4E73"/>
    <w:rsid w:val="005F5A14"/>
    <w:rsid w:val="00601125"/>
    <w:rsid w:val="00606DEA"/>
    <w:rsid w:val="006070D4"/>
    <w:rsid w:val="006071D8"/>
    <w:rsid w:val="006071E6"/>
    <w:rsid w:val="0061018E"/>
    <w:rsid w:val="00611697"/>
    <w:rsid w:val="0061245C"/>
    <w:rsid w:val="006142BB"/>
    <w:rsid w:val="006160A0"/>
    <w:rsid w:val="00620281"/>
    <w:rsid w:val="0062261F"/>
    <w:rsid w:val="00622FC2"/>
    <w:rsid w:val="00631DC9"/>
    <w:rsid w:val="006342C2"/>
    <w:rsid w:val="0063747C"/>
    <w:rsid w:val="00640C2F"/>
    <w:rsid w:val="006429E1"/>
    <w:rsid w:val="00644812"/>
    <w:rsid w:val="00647835"/>
    <w:rsid w:val="00647CB3"/>
    <w:rsid w:val="00652ABE"/>
    <w:rsid w:val="00652F18"/>
    <w:rsid w:val="0065313C"/>
    <w:rsid w:val="00653D90"/>
    <w:rsid w:val="00653EEA"/>
    <w:rsid w:val="006568D1"/>
    <w:rsid w:val="006572D9"/>
    <w:rsid w:val="0066220F"/>
    <w:rsid w:val="00664078"/>
    <w:rsid w:val="00665425"/>
    <w:rsid w:val="00665E37"/>
    <w:rsid w:val="00666EDF"/>
    <w:rsid w:val="006710CE"/>
    <w:rsid w:val="006747EB"/>
    <w:rsid w:val="00681B59"/>
    <w:rsid w:val="00695EAB"/>
    <w:rsid w:val="00696871"/>
    <w:rsid w:val="006A22A4"/>
    <w:rsid w:val="006A2977"/>
    <w:rsid w:val="006A3B97"/>
    <w:rsid w:val="006A5605"/>
    <w:rsid w:val="006A576C"/>
    <w:rsid w:val="006B3082"/>
    <w:rsid w:val="006B53D5"/>
    <w:rsid w:val="006B6475"/>
    <w:rsid w:val="006C1CDD"/>
    <w:rsid w:val="006C5BAB"/>
    <w:rsid w:val="006D03EC"/>
    <w:rsid w:val="006D0F8E"/>
    <w:rsid w:val="006D28B4"/>
    <w:rsid w:val="006D73C8"/>
    <w:rsid w:val="006E018B"/>
    <w:rsid w:val="006E0721"/>
    <w:rsid w:val="006E0762"/>
    <w:rsid w:val="006E220B"/>
    <w:rsid w:val="006E4D1C"/>
    <w:rsid w:val="006E65A3"/>
    <w:rsid w:val="006E6776"/>
    <w:rsid w:val="006F18C1"/>
    <w:rsid w:val="006F2387"/>
    <w:rsid w:val="006F2A19"/>
    <w:rsid w:val="006F7EE0"/>
    <w:rsid w:val="00701527"/>
    <w:rsid w:val="00704568"/>
    <w:rsid w:val="007102E6"/>
    <w:rsid w:val="00716AFE"/>
    <w:rsid w:val="00724766"/>
    <w:rsid w:val="00726A39"/>
    <w:rsid w:val="00731030"/>
    <w:rsid w:val="0073699C"/>
    <w:rsid w:val="007400D4"/>
    <w:rsid w:val="007406A5"/>
    <w:rsid w:val="0074219B"/>
    <w:rsid w:val="007439A7"/>
    <w:rsid w:val="00743B6F"/>
    <w:rsid w:val="0074410F"/>
    <w:rsid w:val="0074445F"/>
    <w:rsid w:val="007518B4"/>
    <w:rsid w:val="00753574"/>
    <w:rsid w:val="007578EB"/>
    <w:rsid w:val="00762882"/>
    <w:rsid w:val="00762992"/>
    <w:rsid w:val="00763232"/>
    <w:rsid w:val="00763297"/>
    <w:rsid w:val="00763D77"/>
    <w:rsid w:val="00767BC3"/>
    <w:rsid w:val="00767E7B"/>
    <w:rsid w:val="00767EB7"/>
    <w:rsid w:val="00772255"/>
    <w:rsid w:val="00773040"/>
    <w:rsid w:val="00775869"/>
    <w:rsid w:val="00776B90"/>
    <w:rsid w:val="00776F0F"/>
    <w:rsid w:val="007804C8"/>
    <w:rsid w:val="007903F9"/>
    <w:rsid w:val="00790DC1"/>
    <w:rsid w:val="00791AE3"/>
    <w:rsid w:val="0079227F"/>
    <w:rsid w:val="00797DA2"/>
    <w:rsid w:val="00797DF5"/>
    <w:rsid w:val="007A06F3"/>
    <w:rsid w:val="007A1CE8"/>
    <w:rsid w:val="007A2DA8"/>
    <w:rsid w:val="007A40DB"/>
    <w:rsid w:val="007A44C1"/>
    <w:rsid w:val="007B062C"/>
    <w:rsid w:val="007B63E9"/>
    <w:rsid w:val="007C4C02"/>
    <w:rsid w:val="007C7409"/>
    <w:rsid w:val="007D1858"/>
    <w:rsid w:val="007D3D14"/>
    <w:rsid w:val="007D5BE7"/>
    <w:rsid w:val="007D5F16"/>
    <w:rsid w:val="007E0962"/>
    <w:rsid w:val="007E3B0F"/>
    <w:rsid w:val="007E3CB9"/>
    <w:rsid w:val="007E747A"/>
    <w:rsid w:val="007F09FC"/>
    <w:rsid w:val="007F0A58"/>
    <w:rsid w:val="007F0AF9"/>
    <w:rsid w:val="007F33B5"/>
    <w:rsid w:val="00801AFF"/>
    <w:rsid w:val="00801C99"/>
    <w:rsid w:val="00802B9C"/>
    <w:rsid w:val="008104E6"/>
    <w:rsid w:val="008146FD"/>
    <w:rsid w:val="0081608C"/>
    <w:rsid w:val="008200C5"/>
    <w:rsid w:val="00824A46"/>
    <w:rsid w:val="00824EC3"/>
    <w:rsid w:val="00826850"/>
    <w:rsid w:val="00832406"/>
    <w:rsid w:val="00835457"/>
    <w:rsid w:val="008363CD"/>
    <w:rsid w:val="00841793"/>
    <w:rsid w:val="00842780"/>
    <w:rsid w:val="00847881"/>
    <w:rsid w:val="008532CC"/>
    <w:rsid w:val="008546C6"/>
    <w:rsid w:val="00856969"/>
    <w:rsid w:val="008570CE"/>
    <w:rsid w:val="00857423"/>
    <w:rsid w:val="008578BF"/>
    <w:rsid w:val="00862322"/>
    <w:rsid w:val="00862AC2"/>
    <w:rsid w:val="00862BC1"/>
    <w:rsid w:val="008670FF"/>
    <w:rsid w:val="00870FC5"/>
    <w:rsid w:val="00881C86"/>
    <w:rsid w:val="0088670A"/>
    <w:rsid w:val="008907FA"/>
    <w:rsid w:val="008966DF"/>
    <w:rsid w:val="008A19EF"/>
    <w:rsid w:val="008A24ED"/>
    <w:rsid w:val="008A3D9E"/>
    <w:rsid w:val="008B2CCB"/>
    <w:rsid w:val="008C1E67"/>
    <w:rsid w:val="008C3B6B"/>
    <w:rsid w:val="008C40B7"/>
    <w:rsid w:val="008C5531"/>
    <w:rsid w:val="008C5700"/>
    <w:rsid w:val="008D0123"/>
    <w:rsid w:val="008D229C"/>
    <w:rsid w:val="008D2A2B"/>
    <w:rsid w:val="008D3058"/>
    <w:rsid w:val="008D3A5D"/>
    <w:rsid w:val="008D4493"/>
    <w:rsid w:val="008D4B2B"/>
    <w:rsid w:val="008E07C0"/>
    <w:rsid w:val="008E2419"/>
    <w:rsid w:val="008E4D69"/>
    <w:rsid w:val="008E732A"/>
    <w:rsid w:val="008F26D3"/>
    <w:rsid w:val="008F3625"/>
    <w:rsid w:val="008F77BA"/>
    <w:rsid w:val="00901378"/>
    <w:rsid w:val="009057F2"/>
    <w:rsid w:val="00907062"/>
    <w:rsid w:val="009073AB"/>
    <w:rsid w:val="00912DB4"/>
    <w:rsid w:val="00913CA2"/>
    <w:rsid w:val="00913F38"/>
    <w:rsid w:val="009176D2"/>
    <w:rsid w:val="00920581"/>
    <w:rsid w:val="00922CD6"/>
    <w:rsid w:val="0092300A"/>
    <w:rsid w:val="00924DD8"/>
    <w:rsid w:val="0093200E"/>
    <w:rsid w:val="00933E9E"/>
    <w:rsid w:val="0093631C"/>
    <w:rsid w:val="00936D99"/>
    <w:rsid w:val="0094230A"/>
    <w:rsid w:val="009423E3"/>
    <w:rsid w:val="00943288"/>
    <w:rsid w:val="009463A5"/>
    <w:rsid w:val="00946C15"/>
    <w:rsid w:val="00951293"/>
    <w:rsid w:val="00951D19"/>
    <w:rsid w:val="00951E12"/>
    <w:rsid w:val="0095453F"/>
    <w:rsid w:val="00961C42"/>
    <w:rsid w:val="00962326"/>
    <w:rsid w:val="00962889"/>
    <w:rsid w:val="00966967"/>
    <w:rsid w:val="00971D23"/>
    <w:rsid w:val="00974C5B"/>
    <w:rsid w:val="009769F1"/>
    <w:rsid w:val="00976C25"/>
    <w:rsid w:val="0098003D"/>
    <w:rsid w:val="00980382"/>
    <w:rsid w:val="009803F4"/>
    <w:rsid w:val="00993B08"/>
    <w:rsid w:val="009B3A31"/>
    <w:rsid w:val="009B3AB7"/>
    <w:rsid w:val="009D1172"/>
    <w:rsid w:val="009D1535"/>
    <w:rsid w:val="009D321E"/>
    <w:rsid w:val="009D7FCE"/>
    <w:rsid w:val="009E1A91"/>
    <w:rsid w:val="009E2E0C"/>
    <w:rsid w:val="009F4308"/>
    <w:rsid w:val="009F4C1C"/>
    <w:rsid w:val="00A0017A"/>
    <w:rsid w:val="00A04965"/>
    <w:rsid w:val="00A10FDE"/>
    <w:rsid w:val="00A137B3"/>
    <w:rsid w:val="00A142C6"/>
    <w:rsid w:val="00A14357"/>
    <w:rsid w:val="00A15F74"/>
    <w:rsid w:val="00A17F43"/>
    <w:rsid w:val="00A26C12"/>
    <w:rsid w:val="00A3508D"/>
    <w:rsid w:val="00A3584E"/>
    <w:rsid w:val="00A3632A"/>
    <w:rsid w:val="00A37FA4"/>
    <w:rsid w:val="00A43FE0"/>
    <w:rsid w:val="00A4711D"/>
    <w:rsid w:val="00A5107C"/>
    <w:rsid w:val="00A52582"/>
    <w:rsid w:val="00A53E18"/>
    <w:rsid w:val="00A54284"/>
    <w:rsid w:val="00A6515D"/>
    <w:rsid w:val="00A70B10"/>
    <w:rsid w:val="00A7137A"/>
    <w:rsid w:val="00A715EB"/>
    <w:rsid w:val="00A7385F"/>
    <w:rsid w:val="00A75371"/>
    <w:rsid w:val="00A75B3A"/>
    <w:rsid w:val="00A76F6E"/>
    <w:rsid w:val="00A82AE4"/>
    <w:rsid w:val="00A870E1"/>
    <w:rsid w:val="00A907D6"/>
    <w:rsid w:val="00A95682"/>
    <w:rsid w:val="00A95F0D"/>
    <w:rsid w:val="00A9688C"/>
    <w:rsid w:val="00A97F78"/>
    <w:rsid w:val="00AA1585"/>
    <w:rsid w:val="00AA1998"/>
    <w:rsid w:val="00AA1F45"/>
    <w:rsid w:val="00AA6120"/>
    <w:rsid w:val="00AB6321"/>
    <w:rsid w:val="00AC150D"/>
    <w:rsid w:val="00AC29AC"/>
    <w:rsid w:val="00AC3ECB"/>
    <w:rsid w:val="00AD2AE8"/>
    <w:rsid w:val="00AD45C6"/>
    <w:rsid w:val="00AD48B2"/>
    <w:rsid w:val="00AD78FC"/>
    <w:rsid w:val="00AE3AEF"/>
    <w:rsid w:val="00AE45A1"/>
    <w:rsid w:val="00AE4B87"/>
    <w:rsid w:val="00AF4384"/>
    <w:rsid w:val="00AF4C9E"/>
    <w:rsid w:val="00B028C1"/>
    <w:rsid w:val="00B031B8"/>
    <w:rsid w:val="00B0408F"/>
    <w:rsid w:val="00B044FB"/>
    <w:rsid w:val="00B0660D"/>
    <w:rsid w:val="00B07ED3"/>
    <w:rsid w:val="00B11354"/>
    <w:rsid w:val="00B1716F"/>
    <w:rsid w:val="00B232AA"/>
    <w:rsid w:val="00B235FE"/>
    <w:rsid w:val="00B24D7A"/>
    <w:rsid w:val="00B31298"/>
    <w:rsid w:val="00B33BAC"/>
    <w:rsid w:val="00B37B05"/>
    <w:rsid w:val="00B453AC"/>
    <w:rsid w:val="00B52BAE"/>
    <w:rsid w:val="00B54ADD"/>
    <w:rsid w:val="00B5571C"/>
    <w:rsid w:val="00B55733"/>
    <w:rsid w:val="00B6132A"/>
    <w:rsid w:val="00B64960"/>
    <w:rsid w:val="00B81BD3"/>
    <w:rsid w:val="00B844F6"/>
    <w:rsid w:val="00B84C3F"/>
    <w:rsid w:val="00B9570B"/>
    <w:rsid w:val="00B963A3"/>
    <w:rsid w:val="00BA0166"/>
    <w:rsid w:val="00BA6A29"/>
    <w:rsid w:val="00BA7031"/>
    <w:rsid w:val="00BB1397"/>
    <w:rsid w:val="00BB1789"/>
    <w:rsid w:val="00BB5CE6"/>
    <w:rsid w:val="00BB6172"/>
    <w:rsid w:val="00BB672E"/>
    <w:rsid w:val="00BC014A"/>
    <w:rsid w:val="00BC23BF"/>
    <w:rsid w:val="00BC2FF3"/>
    <w:rsid w:val="00BD070A"/>
    <w:rsid w:val="00BD265A"/>
    <w:rsid w:val="00BD2EB5"/>
    <w:rsid w:val="00BD43EC"/>
    <w:rsid w:val="00BD60E2"/>
    <w:rsid w:val="00BE1286"/>
    <w:rsid w:val="00BE194D"/>
    <w:rsid w:val="00BE1E95"/>
    <w:rsid w:val="00BE392C"/>
    <w:rsid w:val="00BE576C"/>
    <w:rsid w:val="00BE5986"/>
    <w:rsid w:val="00BE6455"/>
    <w:rsid w:val="00BF1ED8"/>
    <w:rsid w:val="00BF464E"/>
    <w:rsid w:val="00C04066"/>
    <w:rsid w:val="00C06F81"/>
    <w:rsid w:val="00C102D1"/>
    <w:rsid w:val="00C1051F"/>
    <w:rsid w:val="00C10A08"/>
    <w:rsid w:val="00C12375"/>
    <w:rsid w:val="00C22703"/>
    <w:rsid w:val="00C2427A"/>
    <w:rsid w:val="00C274FC"/>
    <w:rsid w:val="00C44328"/>
    <w:rsid w:val="00C45363"/>
    <w:rsid w:val="00C514D1"/>
    <w:rsid w:val="00C5294E"/>
    <w:rsid w:val="00C53ABF"/>
    <w:rsid w:val="00C57DDB"/>
    <w:rsid w:val="00C669BD"/>
    <w:rsid w:val="00C66A9B"/>
    <w:rsid w:val="00C70A31"/>
    <w:rsid w:val="00C71401"/>
    <w:rsid w:val="00C77757"/>
    <w:rsid w:val="00C87AF5"/>
    <w:rsid w:val="00C90FFC"/>
    <w:rsid w:val="00C95036"/>
    <w:rsid w:val="00C96569"/>
    <w:rsid w:val="00C96C5E"/>
    <w:rsid w:val="00CA2026"/>
    <w:rsid w:val="00CA2CD9"/>
    <w:rsid w:val="00CA3488"/>
    <w:rsid w:val="00CA555A"/>
    <w:rsid w:val="00CA6496"/>
    <w:rsid w:val="00CB1700"/>
    <w:rsid w:val="00CC0B44"/>
    <w:rsid w:val="00CC277D"/>
    <w:rsid w:val="00CD6ED4"/>
    <w:rsid w:val="00CE0946"/>
    <w:rsid w:val="00CE11CD"/>
    <w:rsid w:val="00CE63AF"/>
    <w:rsid w:val="00CE63F8"/>
    <w:rsid w:val="00CF5666"/>
    <w:rsid w:val="00CF76EC"/>
    <w:rsid w:val="00D00A19"/>
    <w:rsid w:val="00D0172C"/>
    <w:rsid w:val="00D06852"/>
    <w:rsid w:val="00D07DE6"/>
    <w:rsid w:val="00D14039"/>
    <w:rsid w:val="00D1695B"/>
    <w:rsid w:val="00D31BC3"/>
    <w:rsid w:val="00D34939"/>
    <w:rsid w:val="00D36D26"/>
    <w:rsid w:val="00D44AC1"/>
    <w:rsid w:val="00D46434"/>
    <w:rsid w:val="00D473E9"/>
    <w:rsid w:val="00D5084E"/>
    <w:rsid w:val="00D53895"/>
    <w:rsid w:val="00D55C74"/>
    <w:rsid w:val="00D61182"/>
    <w:rsid w:val="00D617AE"/>
    <w:rsid w:val="00D633B1"/>
    <w:rsid w:val="00D66638"/>
    <w:rsid w:val="00D6698A"/>
    <w:rsid w:val="00D67632"/>
    <w:rsid w:val="00D67EFF"/>
    <w:rsid w:val="00D7058A"/>
    <w:rsid w:val="00D73C50"/>
    <w:rsid w:val="00D81EE7"/>
    <w:rsid w:val="00D84A1A"/>
    <w:rsid w:val="00D86709"/>
    <w:rsid w:val="00D8761C"/>
    <w:rsid w:val="00D9029F"/>
    <w:rsid w:val="00DA1ADE"/>
    <w:rsid w:val="00DA3917"/>
    <w:rsid w:val="00DB01E3"/>
    <w:rsid w:val="00DB2033"/>
    <w:rsid w:val="00DC689C"/>
    <w:rsid w:val="00DE0812"/>
    <w:rsid w:val="00DE2959"/>
    <w:rsid w:val="00DE7621"/>
    <w:rsid w:val="00DF19A7"/>
    <w:rsid w:val="00DF26A2"/>
    <w:rsid w:val="00DF2792"/>
    <w:rsid w:val="00DF2A00"/>
    <w:rsid w:val="00DF3CF3"/>
    <w:rsid w:val="00DF7D4A"/>
    <w:rsid w:val="00E0016E"/>
    <w:rsid w:val="00E0232D"/>
    <w:rsid w:val="00E0669A"/>
    <w:rsid w:val="00E21FA7"/>
    <w:rsid w:val="00E226BA"/>
    <w:rsid w:val="00E231F4"/>
    <w:rsid w:val="00E271FB"/>
    <w:rsid w:val="00E276BB"/>
    <w:rsid w:val="00E31BE4"/>
    <w:rsid w:val="00E31ED5"/>
    <w:rsid w:val="00E33115"/>
    <w:rsid w:val="00E33BB8"/>
    <w:rsid w:val="00E36676"/>
    <w:rsid w:val="00E5107B"/>
    <w:rsid w:val="00E51617"/>
    <w:rsid w:val="00E53471"/>
    <w:rsid w:val="00E55632"/>
    <w:rsid w:val="00E6267E"/>
    <w:rsid w:val="00E63223"/>
    <w:rsid w:val="00E70200"/>
    <w:rsid w:val="00E752D9"/>
    <w:rsid w:val="00E92CFB"/>
    <w:rsid w:val="00E97898"/>
    <w:rsid w:val="00EA41F8"/>
    <w:rsid w:val="00EA424B"/>
    <w:rsid w:val="00EB50E3"/>
    <w:rsid w:val="00EB5218"/>
    <w:rsid w:val="00EB5517"/>
    <w:rsid w:val="00EC05D2"/>
    <w:rsid w:val="00EC0948"/>
    <w:rsid w:val="00EC1F09"/>
    <w:rsid w:val="00EC6090"/>
    <w:rsid w:val="00EC7696"/>
    <w:rsid w:val="00ED295B"/>
    <w:rsid w:val="00ED63F9"/>
    <w:rsid w:val="00EE6142"/>
    <w:rsid w:val="00EE7881"/>
    <w:rsid w:val="00EF2D62"/>
    <w:rsid w:val="00EF2F23"/>
    <w:rsid w:val="00F05152"/>
    <w:rsid w:val="00F06935"/>
    <w:rsid w:val="00F072B3"/>
    <w:rsid w:val="00F074ED"/>
    <w:rsid w:val="00F157B5"/>
    <w:rsid w:val="00F17E69"/>
    <w:rsid w:val="00F25BCF"/>
    <w:rsid w:val="00F300DD"/>
    <w:rsid w:val="00F3145A"/>
    <w:rsid w:val="00F33C16"/>
    <w:rsid w:val="00F441AC"/>
    <w:rsid w:val="00F51403"/>
    <w:rsid w:val="00F56C41"/>
    <w:rsid w:val="00F63200"/>
    <w:rsid w:val="00F64D7E"/>
    <w:rsid w:val="00F71D17"/>
    <w:rsid w:val="00F73DFF"/>
    <w:rsid w:val="00F753F7"/>
    <w:rsid w:val="00F77BFC"/>
    <w:rsid w:val="00F81F07"/>
    <w:rsid w:val="00F82D99"/>
    <w:rsid w:val="00F85CA7"/>
    <w:rsid w:val="00F86993"/>
    <w:rsid w:val="00F86B33"/>
    <w:rsid w:val="00F87C00"/>
    <w:rsid w:val="00F91EB5"/>
    <w:rsid w:val="00FA45C2"/>
    <w:rsid w:val="00FA4680"/>
    <w:rsid w:val="00FA7509"/>
    <w:rsid w:val="00FB0229"/>
    <w:rsid w:val="00FB04B2"/>
    <w:rsid w:val="00FB3BDD"/>
    <w:rsid w:val="00FB7C0B"/>
    <w:rsid w:val="00FC0B65"/>
    <w:rsid w:val="00FC2C34"/>
    <w:rsid w:val="00FC3551"/>
    <w:rsid w:val="00FC3D10"/>
    <w:rsid w:val="00FC5894"/>
    <w:rsid w:val="00FC6DF0"/>
    <w:rsid w:val="00FC71FC"/>
    <w:rsid w:val="00FD455B"/>
    <w:rsid w:val="00FD6482"/>
    <w:rsid w:val="00FE0D4D"/>
    <w:rsid w:val="00FE3EC5"/>
    <w:rsid w:val="00FE4B33"/>
    <w:rsid w:val="00FF08F9"/>
    <w:rsid w:val="00FF32DC"/>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4E21F"/>
  <w15:docId w15:val="{E45BFABA-C177-43B9-8615-A5C9EEFA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9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semiHidden/>
    <w:unhideWhenUsed/>
    <w:rsid w:val="00A75B3A"/>
    <w:rPr>
      <w:sz w:val="20"/>
      <w:szCs w:val="20"/>
    </w:rPr>
  </w:style>
  <w:style w:type="character" w:customStyle="1" w:styleId="CommentTextChar">
    <w:name w:val="Comment Text Char"/>
    <w:basedOn w:val="DefaultParagraphFont"/>
    <w:link w:val="CommentText"/>
    <w:uiPriority w:val="99"/>
    <w:semiHidden/>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table" w:styleId="TableGrid">
    <w:name w:val="Table Grid"/>
    <w:basedOn w:val="TableNormal"/>
    <w:uiPriority w:val="59"/>
    <w:rsid w:val="00A5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157B5"/>
    <w:rPr>
      <w:vertAlign w:val="superscript"/>
    </w:rPr>
  </w:style>
  <w:style w:type="paragraph" w:customStyle="1" w:styleId="Default">
    <w:name w:val="Default"/>
    <w:rsid w:val="00F157B5"/>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192958"/>
    <w:rPr>
      <w:color w:val="0000FF" w:themeColor="hyperlink"/>
      <w:u w:val="single"/>
    </w:rPr>
  </w:style>
  <w:style w:type="paragraph" w:styleId="NormalWeb">
    <w:name w:val="Normal (Web)"/>
    <w:basedOn w:val="Normal"/>
    <w:uiPriority w:val="99"/>
    <w:rsid w:val="00EA424B"/>
    <w:pPr>
      <w:spacing w:before="100" w:beforeAutospacing="1" w:after="100" w:afterAutospacing="1"/>
    </w:pPr>
    <w:rPr>
      <w:rFonts w:ascii="Arial Unicode MS" w:eastAsia="Arial Unicode MS" w:hAnsi="Arial Unicode MS" w:cs="Arial Unicode MS"/>
      <w:lang w:val="en-GB" w:eastAsia="en-US"/>
    </w:rPr>
  </w:style>
  <w:style w:type="character" w:styleId="FollowedHyperlink">
    <w:name w:val="FollowedHyperlink"/>
    <w:basedOn w:val="DefaultParagraphFont"/>
    <w:uiPriority w:val="99"/>
    <w:semiHidden/>
    <w:unhideWhenUsed/>
    <w:rsid w:val="00E978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9353">
      <w:bodyDiv w:val="1"/>
      <w:marLeft w:val="0"/>
      <w:marRight w:val="0"/>
      <w:marTop w:val="0"/>
      <w:marBottom w:val="0"/>
      <w:divBdr>
        <w:top w:val="none" w:sz="0" w:space="0" w:color="auto"/>
        <w:left w:val="none" w:sz="0" w:space="0" w:color="auto"/>
        <w:bottom w:val="none" w:sz="0" w:space="0" w:color="auto"/>
        <w:right w:val="none" w:sz="0" w:space="0" w:color="auto"/>
      </w:divBdr>
    </w:div>
    <w:div w:id="854078340">
      <w:bodyDiv w:val="1"/>
      <w:marLeft w:val="0"/>
      <w:marRight w:val="0"/>
      <w:marTop w:val="0"/>
      <w:marBottom w:val="0"/>
      <w:divBdr>
        <w:top w:val="none" w:sz="0" w:space="0" w:color="auto"/>
        <w:left w:val="none" w:sz="0" w:space="0" w:color="auto"/>
        <w:bottom w:val="none" w:sz="0" w:space="0" w:color="auto"/>
        <w:right w:val="none" w:sz="0" w:space="0" w:color="auto"/>
      </w:divBdr>
    </w:div>
    <w:div w:id="915557424">
      <w:bodyDiv w:val="1"/>
      <w:marLeft w:val="0"/>
      <w:marRight w:val="0"/>
      <w:marTop w:val="0"/>
      <w:marBottom w:val="0"/>
      <w:divBdr>
        <w:top w:val="none" w:sz="0" w:space="0" w:color="auto"/>
        <w:left w:val="none" w:sz="0" w:space="0" w:color="auto"/>
        <w:bottom w:val="none" w:sz="0" w:space="0" w:color="auto"/>
        <w:right w:val="none" w:sz="0" w:space="0" w:color="auto"/>
      </w:divBdr>
    </w:div>
    <w:div w:id="1396129484">
      <w:bodyDiv w:val="1"/>
      <w:marLeft w:val="0"/>
      <w:marRight w:val="0"/>
      <w:marTop w:val="0"/>
      <w:marBottom w:val="0"/>
      <w:divBdr>
        <w:top w:val="none" w:sz="0" w:space="0" w:color="auto"/>
        <w:left w:val="none" w:sz="0" w:space="0" w:color="auto"/>
        <w:bottom w:val="none" w:sz="0" w:space="0" w:color="auto"/>
        <w:right w:val="none" w:sz="0" w:space="0" w:color="auto"/>
      </w:divBdr>
    </w:div>
    <w:div w:id="1448038724">
      <w:bodyDiv w:val="1"/>
      <w:marLeft w:val="0"/>
      <w:marRight w:val="0"/>
      <w:marTop w:val="0"/>
      <w:marBottom w:val="0"/>
      <w:divBdr>
        <w:top w:val="none" w:sz="0" w:space="0" w:color="auto"/>
        <w:left w:val="none" w:sz="0" w:space="0" w:color="auto"/>
        <w:bottom w:val="none" w:sz="0" w:space="0" w:color="auto"/>
        <w:right w:val="none" w:sz="0" w:space="0" w:color="auto"/>
      </w:divBdr>
      <w:divsChild>
        <w:div w:id="345256482">
          <w:marLeft w:val="0"/>
          <w:marRight w:val="0"/>
          <w:marTop w:val="0"/>
          <w:marBottom w:val="0"/>
          <w:divBdr>
            <w:top w:val="none" w:sz="0" w:space="0" w:color="auto"/>
            <w:left w:val="none" w:sz="0" w:space="0" w:color="auto"/>
            <w:bottom w:val="none" w:sz="0" w:space="0" w:color="auto"/>
            <w:right w:val="none" w:sz="0" w:space="0" w:color="auto"/>
          </w:divBdr>
          <w:divsChild>
            <w:div w:id="1175651325">
              <w:marLeft w:val="0"/>
              <w:marRight w:val="0"/>
              <w:marTop w:val="0"/>
              <w:marBottom w:val="0"/>
              <w:divBdr>
                <w:top w:val="none" w:sz="0" w:space="0" w:color="auto"/>
                <w:left w:val="none" w:sz="0" w:space="0" w:color="auto"/>
                <w:bottom w:val="none" w:sz="0" w:space="0" w:color="auto"/>
                <w:right w:val="none" w:sz="0" w:space="0" w:color="auto"/>
              </w:divBdr>
              <w:divsChild>
                <w:div w:id="1101536480">
                  <w:marLeft w:val="0"/>
                  <w:marRight w:val="0"/>
                  <w:marTop w:val="0"/>
                  <w:marBottom w:val="0"/>
                  <w:divBdr>
                    <w:top w:val="none" w:sz="0" w:space="0" w:color="auto"/>
                    <w:left w:val="none" w:sz="0" w:space="0" w:color="auto"/>
                    <w:bottom w:val="none" w:sz="0" w:space="0" w:color="auto"/>
                    <w:right w:val="none" w:sz="0" w:space="0" w:color="auto"/>
                  </w:divBdr>
                  <w:divsChild>
                    <w:div w:id="1638335200">
                      <w:marLeft w:val="0"/>
                      <w:marRight w:val="0"/>
                      <w:marTop w:val="0"/>
                      <w:marBottom w:val="0"/>
                      <w:divBdr>
                        <w:top w:val="none" w:sz="0" w:space="0" w:color="auto"/>
                        <w:left w:val="none" w:sz="0" w:space="0" w:color="auto"/>
                        <w:bottom w:val="none" w:sz="0" w:space="0" w:color="auto"/>
                        <w:right w:val="none" w:sz="0" w:space="0" w:color="auto"/>
                      </w:divBdr>
                      <w:divsChild>
                        <w:div w:id="178392783">
                          <w:marLeft w:val="0"/>
                          <w:marRight w:val="0"/>
                          <w:marTop w:val="0"/>
                          <w:marBottom w:val="0"/>
                          <w:divBdr>
                            <w:top w:val="none" w:sz="0" w:space="0" w:color="auto"/>
                            <w:left w:val="none" w:sz="0" w:space="0" w:color="auto"/>
                            <w:bottom w:val="none" w:sz="0" w:space="0" w:color="auto"/>
                            <w:right w:val="none" w:sz="0" w:space="0" w:color="auto"/>
                          </w:divBdr>
                          <w:divsChild>
                            <w:div w:id="204112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 w:id="1954510435">
      <w:bodyDiv w:val="1"/>
      <w:marLeft w:val="0"/>
      <w:marRight w:val="0"/>
      <w:marTop w:val="0"/>
      <w:marBottom w:val="0"/>
      <w:divBdr>
        <w:top w:val="none" w:sz="0" w:space="0" w:color="auto"/>
        <w:left w:val="none" w:sz="0" w:space="0" w:color="auto"/>
        <w:bottom w:val="none" w:sz="0" w:space="0" w:color="auto"/>
        <w:right w:val="none" w:sz="0" w:space="0" w:color="auto"/>
      </w:divBdr>
    </w:div>
    <w:div w:id="21471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L.Jevčuka</Vad_x012b_t_x0101_js>
    <Kategorija xmlns="2e5bb04e-596e-45bd-9003-43ca78b1ba16">Anotācija</Kategorija>
    <DKP xmlns="2e5bb04e-596e-45bd-9003-43ca78b1ba16">463</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96D3-F1C0-47DF-84FD-01D246966911}">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69E3E756-FA49-4BBD-936F-82180B2E6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4.xml><?xml version="1.0" encoding="utf-8"?>
<ds:datastoreItem xmlns:ds="http://schemas.openxmlformats.org/officeDocument/2006/customXml" ds:itemID="{E2CEE125-038A-4DFB-834E-5F278EA7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13</Pages>
  <Words>22751</Words>
  <Characters>12969</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Likumprojekta "Grozījumi Likumā par budžetu un finanšu vadību" anotācija</vt:lpstr>
    </vt:vector>
  </TitlesOfParts>
  <Company>Finanšu ministrija</Company>
  <LinksUpToDate>false</LinksUpToDate>
  <CharactersWithSpaces>35649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budžetu un finanšu vadību" anotācija</dc:title>
  <dc:subject>Anotācija</dc:subject>
  <dc:creator>L.Jevčuka,Ž.Zvaigzne</dc:creator>
  <dc:description>67095442, ludmila.jevcuka@fm.gov.lv, zanete.zvaigzne@fm.gov.lv, 67083976</dc:description>
  <cp:lastModifiedBy>Ludmila Jevčuka</cp:lastModifiedBy>
  <cp:revision>19</cp:revision>
  <cp:lastPrinted>2017-03-29T06:15:00Z</cp:lastPrinted>
  <dcterms:created xsi:type="dcterms:W3CDTF">2017-08-22T10:43:00Z</dcterms:created>
  <dcterms:modified xsi:type="dcterms:W3CDTF">2017-09-12T12:41:00Z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