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9AC79" w14:textId="77777777" w:rsidR="0033637D" w:rsidRPr="0033637D" w:rsidRDefault="0033637D" w:rsidP="00926F8D">
      <w:pPr>
        <w:spacing w:after="40"/>
        <w:ind w:right="680"/>
        <w:jc w:val="center"/>
        <w:rPr>
          <w:b/>
          <w:bCs/>
        </w:rPr>
      </w:pPr>
    </w:p>
    <w:p w14:paraId="14CAA3C8" w14:textId="4D0F7D9A" w:rsidR="005879BA" w:rsidRPr="00D63C05" w:rsidRDefault="005879BA" w:rsidP="00674B13">
      <w:pPr>
        <w:spacing w:after="40"/>
        <w:ind w:right="-1"/>
        <w:jc w:val="center"/>
        <w:rPr>
          <w:b/>
          <w:bCs/>
        </w:rPr>
      </w:pPr>
      <w:r w:rsidRPr="0033637D">
        <w:rPr>
          <w:b/>
          <w:bCs/>
        </w:rPr>
        <w:t>Ministru kabineta rīkojuma projekta</w:t>
      </w:r>
      <w:r w:rsidR="00223B34">
        <w:rPr>
          <w:b/>
          <w:bCs/>
        </w:rPr>
        <w:t xml:space="preserve"> “Grozījums Ministru kabineta 2017.gada 24.maija rīkojumā Nr.246</w:t>
      </w:r>
      <w:r w:rsidR="008373A8">
        <w:rPr>
          <w:b/>
          <w:bCs/>
        </w:rPr>
        <w:t xml:space="preserve"> </w:t>
      </w:r>
      <w:r w:rsidR="00510641" w:rsidRPr="0033637D">
        <w:rPr>
          <w:b/>
          <w:bCs/>
        </w:rPr>
        <w:t>“</w:t>
      </w:r>
      <w:r w:rsidR="00D63C05" w:rsidRPr="00D63C05">
        <w:rPr>
          <w:b/>
          <w:bCs/>
        </w:rPr>
        <w:t xml:space="preserve">Par </w:t>
      </w:r>
      <w:r w:rsidR="00223B34">
        <w:rPr>
          <w:b/>
          <w:bCs/>
        </w:rPr>
        <w:t>P</w:t>
      </w:r>
      <w:r w:rsidR="00D63C05" w:rsidRPr="00D63C05">
        <w:rPr>
          <w:b/>
          <w:bCs/>
        </w:rPr>
        <w:t>asākumu plān</w:t>
      </w:r>
      <w:r w:rsidR="00223B34">
        <w:rPr>
          <w:b/>
          <w:bCs/>
        </w:rPr>
        <w:t>u</w:t>
      </w:r>
      <w:r w:rsidR="00D63C05" w:rsidRPr="00D63C05">
        <w:rPr>
          <w:b/>
          <w:bCs/>
        </w:rPr>
        <w:t xml:space="preserve"> noziedzīgi iegūtu līdzekļu legalizācijas un terorisma finansēšanas risku ierobežošanai 2017.-2019.gadam</w:t>
      </w:r>
      <w:r w:rsidR="00223B34">
        <w:rPr>
          <w:b/>
          <w:bCs/>
        </w:rPr>
        <w:t>”</w:t>
      </w:r>
      <w:r w:rsidR="00D63C05" w:rsidRPr="00D63C05">
        <w:rPr>
          <w:b/>
          <w:bCs/>
        </w:rPr>
        <w:t xml:space="preserve"> </w:t>
      </w:r>
    </w:p>
    <w:p w14:paraId="2565AD64" w14:textId="079A4E68" w:rsidR="001C7BA8" w:rsidRPr="0033637D" w:rsidRDefault="005879BA" w:rsidP="00CB0269">
      <w:pPr>
        <w:pStyle w:val="naisf"/>
        <w:spacing w:before="0" w:after="0"/>
        <w:ind w:right="-1"/>
        <w:jc w:val="center"/>
        <w:rPr>
          <w:b/>
        </w:rPr>
      </w:pPr>
      <w:r w:rsidRPr="0033637D">
        <w:rPr>
          <w:b/>
        </w:rPr>
        <w:t>sākotnējās ietekmes novērtējuma ziņojums (anotācija)</w:t>
      </w:r>
    </w:p>
    <w:p w14:paraId="48B9A640" w14:textId="77777777" w:rsidR="005879BA" w:rsidRPr="0033637D" w:rsidRDefault="005879BA" w:rsidP="005879BA">
      <w:pPr>
        <w:pStyle w:val="naisf"/>
        <w:spacing w:before="0" w:after="0"/>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6"/>
        <w:gridCol w:w="5811"/>
      </w:tblGrid>
      <w:tr w:rsidR="008E2D79" w:rsidRPr="0033637D" w14:paraId="4B4B9BA5" w14:textId="77777777" w:rsidTr="00CB0269">
        <w:tc>
          <w:tcPr>
            <w:tcW w:w="9327" w:type="dxa"/>
            <w:gridSpan w:val="2"/>
          </w:tcPr>
          <w:p w14:paraId="152BC5B0" w14:textId="77777777" w:rsidR="008E2D79" w:rsidRPr="0033637D" w:rsidRDefault="008E2D79" w:rsidP="00882B34">
            <w:pPr>
              <w:pStyle w:val="Heading1"/>
              <w:keepNext w:val="0"/>
              <w:widowControl w:val="0"/>
              <w:rPr>
                <w:sz w:val="24"/>
              </w:rPr>
            </w:pPr>
            <w:r w:rsidRPr="0033637D">
              <w:rPr>
                <w:sz w:val="24"/>
              </w:rPr>
              <w:t>I. Tiesību akta projekta izstrādes nepieciešamība</w:t>
            </w:r>
          </w:p>
        </w:tc>
      </w:tr>
      <w:tr w:rsidR="008E2D79" w:rsidRPr="0033637D" w14:paraId="609799F2" w14:textId="77777777" w:rsidTr="00CB0269">
        <w:tc>
          <w:tcPr>
            <w:tcW w:w="3516" w:type="dxa"/>
          </w:tcPr>
          <w:p w14:paraId="2E9EF750" w14:textId="77777777" w:rsidR="008E2D79" w:rsidRPr="0033637D" w:rsidRDefault="008E2D79" w:rsidP="00882B34">
            <w:pPr>
              <w:jc w:val="both"/>
            </w:pPr>
            <w:r w:rsidRPr="0033637D">
              <w:t>1. Pamatojums</w:t>
            </w:r>
          </w:p>
        </w:tc>
        <w:tc>
          <w:tcPr>
            <w:tcW w:w="5811" w:type="dxa"/>
          </w:tcPr>
          <w:p w14:paraId="72496D98" w14:textId="2C412E59" w:rsidR="005B1D86" w:rsidRDefault="004B4F5D" w:rsidP="00DF4A31">
            <w:pPr>
              <w:jc w:val="both"/>
            </w:pPr>
            <w:r w:rsidRPr="001C7BA8">
              <w:t xml:space="preserve">Ministru kabineta </w:t>
            </w:r>
            <w:r w:rsidR="00DF4A31" w:rsidRPr="001C7BA8">
              <w:rPr>
                <w:bCs/>
              </w:rPr>
              <w:t xml:space="preserve">2017.gada 24.maija rīkojuma Nr.246 “Par </w:t>
            </w:r>
            <w:r w:rsidR="00223B34">
              <w:rPr>
                <w:bCs/>
              </w:rPr>
              <w:t>P</w:t>
            </w:r>
            <w:r w:rsidR="00DF4A31" w:rsidRPr="001C7BA8">
              <w:rPr>
                <w:bCs/>
              </w:rPr>
              <w:t xml:space="preserve">asākumu plānu noziedzīgi iegūtu līdzekļu legalizācijas un terorisma finansēšanas risku ierobežošanai 2017.-2019.gadam” </w:t>
            </w:r>
            <w:r w:rsidR="00223B34">
              <w:rPr>
                <w:bCs/>
              </w:rPr>
              <w:t xml:space="preserve">(turpmāk – rīkojums Nr.246) </w:t>
            </w:r>
            <w:r w:rsidR="00DF4A31" w:rsidRPr="001C7BA8">
              <w:t>3</w:t>
            </w:r>
            <w:r w:rsidRPr="001C7BA8">
              <w:t>.punkts.</w:t>
            </w:r>
            <w:r w:rsidRPr="0033637D">
              <w:t xml:space="preserve"> </w:t>
            </w:r>
          </w:p>
          <w:p w14:paraId="238280E5" w14:textId="5B9BD7A2" w:rsidR="005B1D86" w:rsidRPr="005B1D86" w:rsidRDefault="005B1D86" w:rsidP="005B1D86">
            <w:pPr>
              <w:jc w:val="both"/>
            </w:pPr>
            <w:r w:rsidRPr="005B1D86">
              <w:t>Ar Ministru kabineta 2017.gada 21.marta rīkojumu Nr.126 apstiprinātā “Finanšu sektora attīstības plāna 2017.-2019.gadam”</w:t>
            </w:r>
            <w:r>
              <w:t xml:space="preserve"> (turpmāk – Finanšu sektora attīstības plāna)</w:t>
            </w:r>
            <w:r w:rsidRPr="005B1D86">
              <w:t xml:space="preserve"> uzdevuma 1.2.1. darbības rezultāta 2.punkts</w:t>
            </w:r>
            <w:r>
              <w:t>.</w:t>
            </w:r>
          </w:p>
        </w:tc>
      </w:tr>
      <w:tr w:rsidR="008E2D79" w:rsidRPr="0033637D" w14:paraId="77BB94BD" w14:textId="77777777" w:rsidTr="00CB0269">
        <w:tc>
          <w:tcPr>
            <w:tcW w:w="3516" w:type="dxa"/>
          </w:tcPr>
          <w:p w14:paraId="32F9C111" w14:textId="0C3898C5" w:rsidR="008E2D79" w:rsidRPr="0033637D" w:rsidRDefault="008E2D79" w:rsidP="00E342F9">
            <w:pPr>
              <w:jc w:val="both"/>
            </w:pPr>
            <w:r w:rsidRPr="0033637D">
              <w:t xml:space="preserve">2. </w:t>
            </w:r>
            <w:r w:rsidR="00E342F9" w:rsidRPr="0033637D">
              <w:t>Pašreizējā situācija un problēmas, kuru risināšanai tiesību akta projekts izstrādāts, tiesiskā regulējuma mērķis un būtība</w:t>
            </w:r>
          </w:p>
        </w:tc>
        <w:tc>
          <w:tcPr>
            <w:tcW w:w="5811" w:type="dxa"/>
            <w:shd w:val="clear" w:color="auto" w:fill="FFFFFF"/>
          </w:tcPr>
          <w:p w14:paraId="32706F16" w14:textId="77777777" w:rsidR="00FF7848" w:rsidRDefault="00006AED" w:rsidP="006C2EE9">
            <w:pPr>
              <w:jc w:val="both"/>
            </w:pPr>
            <w:r w:rsidRPr="0033637D">
              <w:t>A</w:t>
            </w:r>
            <w:r w:rsidR="00C21D1B" w:rsidRPr="0033637D">
              <w:t xml:space="preserve">r </w:t>
            </w:r>
            <w:r w:rsidRPr="0033637D">
              <w:t>rīkojumu</w:t>
            </w:r>
            <w:r w:rsidR="00223B34">
              <w:t xml:space="preserve"> Nr.246</w:t>
            </w:r>
            <w:r w:rsidR="00C21D1B" w:rsidRPr="0033637D">
              <w:t xml:space="preserve"> </w:t>
            </w:r>
            <w:r w:rsidRPr="0033637D">
              <w:t xml:space="preserve">ir apstiprināts </w:t>
            </w:r>
            <w:r w:rsidR="001B2954">
              <w:rPr>
                <w:bCs/>
              </w:rPr>
              <w:t>Pasākumu plāns</w:t>
            </w:r>
            <w:r w:rsidR="001B2954" w:rsidRPr="001B2954">
              <w:rPr>
                <w:bCs/>
              </w:rPr>
              <w:t xml:space="preserve"> noziedzīgi iegūtu līdzekļu legalizācijas un terorisma finansēšanas risku ierobežošanai 2017.-2019.gadam</w:t>
            </w:r>
            <w:r w:rsidR="001B2954" w:rsidRPr="001B2954">
              <w:t xml:space="preserve"> </w:t>
            </w:r>
            <w:r w:rsidR="004E7F87" w:rsidRPr="0033637D">
              <w:t xml:space="preserve">(turpmāk – </w:t>
            </w:r>
            <w:r w:rsidR="00223B34">
              <w:t xml:space="preserve">Pasākumu </w:t>
            </w:r>
            <w:r w:rsidR="004E7F87" w:rsidRPr="0033637D">
              <w:t>plāns)</w:t>
            </w:r>
            <w:r w:rsidRPr="0033637D">
              <w:t>.</w:t>
            </w:r>
            <w:r w:rsidR="004E7F87" w:rsidRPr="0033637D">
              <w:t xml:space="preserve"> </w:t>
            </w:r>
            <w:r w:rsidR="004A148A" w:rsidRPr="0033637D">
              <w:t xml:space="preserve"> </w:t>
            </w:r>
            <w:r w:rsidR="00223B34">
              <w:t>R</w:t>
            </w:r>
            <w:r w:rsidRPr="0033637D">
              <w:t>īkojuma</w:t>
            </w:r>
            <w:r w:rsidR="00223B34">
              <w:t xml:space="preserve"> Nr.246</w:t>
            </w:r>
            <w:r w:rsidRPr="0033637D">
              <w:t xml:space="preserve"> </w:t>
            </w:r>
            <w:r w:rsidR="001B2954">
              <w:t>3</w:t>
            </w:r>
            <w:r w:rsidR="00C21D1B" w:rsidRPr="0033637D">
              <w:t>.punkts no</w:t>
            </w:r>
            <w:r w:rsidR="00CD7FE2" w:rsidRPr="0033637D">
              <w:t>sak</w:t>
            </w:r>
            <w:r w:rsidR="00C21D1B" w:rsidRPr="0033637D">
              <w:t xml:space="preserve">a </w:t>
            </w:r>
            <w:r w:rsidR="001B2954">
              <w:t>f</w:t>
            </w:r>
            <w:r w:rsidR="001B2954" w:rsidRPr="001B2954">
              <w:t>inanšu ministram līdz 2017. gada 30. septembrim un 2018. gada 1. jūnijam iesniegt Ministru kabinetā informāciju par plānā iekļauto pasākumu īstenošanas gaitu un priekšlikumus par papildus plānā iekļaujamiem pasākumiem.</w:t>
            </w:r>
          </w:p>
          <w:p w14:paraId="635E1B10" w14:textId="5C969140" w:rsidR="005B1D86" w:rsidRPr="0033637D" w:rsidRDefault="005B1D86" w:rsidP="006C2EE9">
            <w:pPr>
              <w:jc w:val="both"/>
            </w:pPr>
            <w:r w:rsidRPr="005B1D86">
              <w:t xml:space="preserve">Ar Ministru kabineta 2017.gada 21.marta rīkojumu Nr.126 </w:t>
            </w:r>
            <w:r>
              <w:t>ir apstiprināts</w:t>
            </w:r>
            <w:r w:rsidRPr="005B1D86">
              <w:t xml:space="preserve"> </w:t>
            </w:r>
            <w:r>
              <w:t>Finanšu sektora attīstības plāns</w:t>
            </w:r>
            <w:r w:rsidRPr="005B1D86">
              <w:t xml:space="preserve"> </w:t>
            </w:r>
            <w:r>
              <w:t xml:space="preserve">un tā </w:t>
            </w:r>
            <w:r w:rsidRPr="005B1D86">
              <w:t>uzdevuma 1.2.1. “Atbilstoši starptautiskajiem standartiem un labākajai praksei izstrādāta noziedzīgi iegūtu līdzekļu legalizācijas un terorisma finansēšanas novēršanas riska pārvaldības sistēma un tās ieviešana publiskā un privātā sektora struktūrās” darbības rezultāta 2.p</w:t>
            </w:r>
            <w:r>
              <w:t xml:space="preserve">unkts </w:t>
            </w:r>
            <w:r w:rsidRPr="005B1D86">
              <w:t>nosaka Finanšu ministrijai līdz 2017.gada 30.septembrim iesniegt Ministru kabinetā ziņojumu par noziedzīgi iegūtu līdzekļu legalizācijas un terorisma finansēšanas riska novēr</w:t>
            </w:r>
            <w:r w:rsidR="00DD172B">
              <w:t>šanas pasākumu plāna īstenošanu.</w:t>
            </w:r>
          </w:p>
          <w:p w14:paraId="1E626487" w14:textId="1F749670" w:rsidR="001160E7" w:rsidRDefault="00006AED" w:rsidP="001160E7">
            <w:pPr>
              <w:jc w:val="both"/>
            </w:pPr>
            <w:r w:rsidRPr="0033637D">
              <w:t xml:space="preserve">Finanšu ministrija ir sagatavojusi </w:t>
            </w:r>
            <w:r w:rsidR="00223B34">
              <w:t xml:space="preserve">informatīvo </w:t>
            </w:r>
            <w:r w:rsidR="001B2954">
              <w:t xml:space="preserve">ziņojumu </w:t>
            </w:r>
            <w:r w:rsidR="00223B34" w:rsidRPr="00223B34">
              <w:t>“Par Pasākumu plāna noziedzīgi iegūtu līdzekļu legalizācijas un terorisma finansēšanas risku ierobežošanai 2017.-2019.gadam izpildi” (turpmāk – informatīvais ziņojums)</w:t>
            </w:r>
            <w:r w:rsidR="00223B34">
              <w:t>, kurā secināts, ka ir nepieciešams veikt grozījumu Pasākumu plāna septītā rīcības virziena “</w:t>
            </w:r>
            <w:r w:rsidR="00223B34" w:rsidRPr="00223B34">
              <w:t>Uzlabot datu apkopošanu un analīzi Nacionālā NILLTF risku novērtēšanas un citiem NILLTFN mērķiem</w:t>
            </w:r>
            <w:r w:rsidR="00223B34">
              <w:t>”</w:t>
            </w:r>
            <w:r w:rsidR="00223B34" w:rsidRPr="00223B34">
              <w:t xml:space="preserve"> </w:t>
            </w:r>
            <w:r w:rsidR="00223B34">
              <w:t>7.4.punktā grozot 2.</w:t>
            </w:r>
            <w:r w:rsidR="00223B34" w:rsidRPr="00223B34">
              <w:t>punkta</w:t>
            </w:r>
            <w:r w:rsidR="008373A8">
              <w:t xml:space="preserve"> izpildes termiņu</w:t>
            </w:r>
            <w:r w:rsidR="00223B34" w:rsidRPr="00223B34">
              <w:t xml:space="preserve"> no “2018.gada 1.febr</w:t>
            </w:r>
            <w:r w:rsidR="00223B34">
              <w:t xml:space="preserve">uāris” uz “2018.gada 1.augusts”, līdz ar to, </w:t>
            </w:r>
            <w:r w:rsidR="00223B34" w:rsidRPr="00223B34">
              <w:t xml:space="preserve"> </w:t>
            </w:r>
            <w:r w:rsidR="001B2954" w:rsidRPr="001B2954">
              <w:t xml:space="preserve">Finanšu ministrija ir sagatavojusi </w:t>
            </w:r>
            <w:r w:rsidRPr="0033637D">
              <w:t xml:space="preserve">Ministru kabineta rīkojuma projektu </w:t>
            </w:r>
            <w:r w:rsidR="001160E7" w:rsidRPr="001160E7">
              <w:t xml:space="preserve">“Grozījums Ministru kabineta 2017.gada 24.maija rīkojumā Nr.246 </w:t>
            </w:r>
            <w:r w:rsidRPr="00CC7A0A">
              <w:t>“</w:t>
            </w:r>
            <w:r w:rsidR="00CC7A0A" w:rsidRPr="00CC7A0A">
              <w:rPr>
                <w:bCs/>
              </w:rPr>
              <w:t xml:space="preserve">Par </w:t>
            </w:r>
            <w:r w:rsidR="001160E7">
              <w:rPr>
                <w:bCs/>
              </w:rPr>
              <w:t>P</w:t>
            </w:r>
            <w:r w:rsidR="00CC7A0A" w:rsidRPr="00CC7A0A">
              <w:rPr>
                <w:bCs/>
              </w:rPr>
              <w:t>asākumu plāna noziedzīgi iegūtu līdzekļu legalizācijas un terorisma finansēšanas risku ierobežošanai 2017.-2019.gadam</w:t>
            </w:r>
            <w:r w:rsidR="001160E7">
              <w:rPr>
                <w:bCs/>
              </w:rPr>
              <w:t>”</w:t>
            </w:r>
            <w:r w:rsidR="00CC7A0A" w:rsidRPr="00CC7A0A">
              <w:rPr>
                <w:bCs/>
              </w:rPr>
              <w:t xml:space="preserve"> </w:t>
            </w:r>
            <w:r w:rsidRPr="0033637D">
              <w:t>(t</w:t>
            </w:r>
            <w:r w:rsidR="002C1AE6">
              <w:t>urpmāk – rīkojuma projekts)</w:t>
            </w:r>
            <w:r w:rsidR="001160E7">
              <w:t>.</w:t>
            </w:r>
            <w:r w:rsidR="002C1AE6">
              <w:t xml:space="preserve"> </w:t>
            </w:r>
          </w:p>
          <w:p w14:paraId="3FB75819" w14:textId="6DF5BE81" w:rsidR="00D4047D" w:rsidRPr="00573FC0" w:rsidRDefault="00B1515D" w:rsidP="00CB0269">
            <w:pPr>
              <w:jc w:val="both"/>
              <w:rPr>
                <w:highlight w:val="yellow"/>
              </w:rPr>
            </w:pPr>
            <w:r>
              <w:lastRenderedPageBreak/>
              <w:t>Grozījum</w:t>
            </w:r>
            <w:r w:rsidR="00A00E78">
              <w:t>s</w:t>
            </w:r>
            <w:r>
              <w:t xml:space="preserve"> </w:t>
            </w:r>
            <w:r w:rsidR="001160E7">
              <w:t xml:space="preserve">rīkojumā Nr.246 </w:t>
            </w:r>
            <w:r w:rsidR="00A00E78">
              <w:t>veikts</w:t>
            </w:r>
            <w:r w:rsidR="001160E7">
              <w:t xml:space="preserve">, </w:t>
            </w:r>
            <w:r>
              <w:t xml:space="preserve">ņemot vērā Noziedzīgi iegūtu līdzekļu legalizācijas novēršanas dienesta lūgumu </w:t>
            </w:r>
            <w:r w:rsidRPr="008373A8">
              <w:t xml:space="preserve">pagarināt </w:t>
            </w:r>
            <w:r w:rsidR="00007F42" w:rsidRPr="008373A8">
              <w:t xml:space="preserve">izpildes termiņu uzdevumam sagatavot priekšlikumus nepieciešamajiem grozījumiem </w:t>
            </w:r>
            <w:r w:rsidR="00573FC0" w:rsidRPr="008373A8">
              <w:t>ar datu apkopošanu un analīzi</w:t>
            </w:r>
            <w:r w:rsidR="00CB0269">
              <w:t xml:space="preserve"> noziedzīgi iegūtu līdzekļu legalizācijas un terorisma finansēšanas novēršanas</w:t>
            </w:r>
            <w:r w:rsidR="00573FC0" w:rsidRPr="008373A8">
              <w:t xml:space="preserve"> mērķiem saistītajos </w:t>
            </w:r>
            <w:r w:rsidR="00007F42" w:rsidRPr="008373A8">
              <w:t>normatīvajos aktos</w:t>
            </w:r>
            <w:r w:rsidRPr="008373A8">
              <w:t>,</w:t>
            </w:r>
            <w:r w:rsidRPr="00B1515D">
              <w:t xml:space="preserve"> </w:t>
            </w:r>
            <w:r w:rsidR="009561A2">
              <w:t>pamatojoties uz izmaiņām</w:t>
            </w:r>
            <w:r w:rsidRPr="00B1515D">
              <w:t xml:space="preserve"> </w:t>
            </w:r>
            <w:r w:rsidR="001043B6" w:rsidRPr="001043B6">
              <w:t xml:space="preserve">Noziedzīgi iegūtu līdzekļu legalizēšanas un terorisma finansēšanas apkarošanas novērtēšanas ekspertu komitejas </w:t>
            </w:r>
            <w:proofErr w:type="spellStart"/>
            <w:r w:rsidR="001043B6" w:rsidRPr="00573FC0">
              <w:rPr>
                <w:i/>
              </w:rPr>
              <w:t>Moneyval</w:t>
            </w:r>
            <w:proofErr w:type="spellEnd"/>
            <w:r w:rsidR="001043B6" w:rsidRPr="001043B6">
              <w:t xml:space="preserve"> </w:t>
            </w:r>
            <w:r w:rsidRPr="00B1515D">
              <w:t>darba grafikā Latvijas novērtējumam</w:t>
            </w:r>
            <w:r w:rsidR="00FC1D5E">
              <w:t>. Ņ</w:t>
            </w:r>
            <w:r w:rsidR="00FC1D5E" w:rsidRPr="00FC1D5E">
              <w:t xml:space="preserve">emot vērā, ka pēc </w:t>
            </w:r>
            <w:proofErr w:type="spellStart"/>
            <w:r w:rsidR="00FC1D5E" w:rsidRPr="00573FC0">
              <w:rPr>
                <w:i/>
              </w:rPr>
              <w:t>Moneyval</w:t>
            </w:r>
            <w:proofErr w:type="spellEnd"/>
            <w:r w:rsidR="00FC1D5E" w:rsidRPr="00FC1D5E">
              <w:t xml:space="preserve"> sastādītā Latvijas pārbaudes grafika </w:t>
            </w:r>
            <w:r w:rsidR="00A00E78" w:rsidRPr="00A00E78">
              <w:t xml:space="preserve">ekspertu komisijai </w:t>
            </w:r>
            <w:r w:rsidR="00FC1D5E" w:rsidRPr="00FC1D5E">
              <w:t xml:space="preserve">ir plānots līdz 2018.gada jūlija vidum </w:t>
            </w:r>
            <w:r w:rsidR="00A00E78">
              <w:t>četras</w:t>
            </w:r>
            <w:r w:rsidR="00A00E78" w:rsidRPr="00FC1D5E">
              <w:t xml:space="preserve"> </w:t>
            </w:r>
            <w:r w:rsidR="00FC1D5E" w:rsidRPr="00FC1D5E">
              <w:t>reizes iesniegt sava ziņojuma projektus, kuros būs konkrētas rekomendācijas</w:t>
            </w:r>
            <w:r w:rsidR="00D4061A">
              <w:t xml:space="preserve">, </w:t>
            </w:r>
            <w:r w:rsidR="00FC1D5E" w:rsidRPr="00FC1D5E">
              <w:t>ir mērķtiecīgi jau šobrīd pagarināt šīs darba grupas uzdevuma izpildi līdz 2018.g</w:t>
            </w:r>
            <w:r w:rsidR="00D4061A">
              <w:t>ada</w:t>
            </w:r>
            <w:r w:rsidR="00FC1D5E" w:rsidRPr="00FC1D5E">
              <w:t xml:space="preserve"> 1.augustam. Jāņem vērā, ka </w:t>
            </w:r>
            <w:proofErr w:type="spellStart"/>
            <w:r w:rsidR="00573FC0" w:rsidRPr="00CB0269">
              <w:rPr>
                <w:i/>
              </w:rPr>
              <w:t>Moneyval</w:t>
            </w:r>
            <w:proofErr w:type="spellEnd"/>
            <w:r w:rsidR="00573FC0">
              <w:t xml:space="preserve"> </w:t>
            </w:r>
            <w:r w:rsidR="00D4061A">
              <w:t>z</w:t>
            </w:r>
            <w:r w:rsidR="00FC1D5E" w:rsidRPr="00FC1D5E">
              <w:t>iņojums par Latviju t</w:t>
            </w:r>
            <w:r w:rsidR="00FC1D5E">
              <w:t>iks</w:t>
            </w:r>
            <w:r w:rsidR="00FC1D5E" w:rsidRPr="00FC1D5E">
              <w:t xml:space="preserve"> izskatīts </w:t>
            </w:r>
            <w:proofErr w:type="spellStart"/>
            <w:r w:rsidR="00FC1D5E" w:rsidRPr="00573FC0">
              <w:rPr>
                <w:i/>
              </w:rPr>
              <w:t>Moneyval</w:t>
            </w:r>
            <w:proofErr w:type="spellEnd"/>
            <w:r w:rsidR="00FC1D5E" w:rsidRPr="00FC1D5E">
              <w:t xml:space="preserve"> 2018.gada septembra plenārsēdē, kurā būtu iespēja sniegt informāciju arī par darba grupas rezultātiem. </w:t>
            </w:r>
          </w:p>
        </w:tc>
        <w:bookmarkStart w:id="0" w:name="_GoBack"/>
        <w:bookmarkEnd w:id="0"/>
      </w:tr>
      <w:tr w:rsidR="008E2D79" w:rsidRPr="0033637D" w14:paraId="60CA4A7F" w14:textId="77777777" w:rsidTr="00CB0269">
        <w:tc>
          <w:tcPr>
            <w:tcW w:w="3516" w:type="dxa"/>
          </w:tcPr>
          <w:p w14:paraId="724618CF" w14:textId="77777777" w:rsidR="008E2D79" w:rsidRPr="0033637D" w:rsidRDefault="00E342F9" w:rsidP="00882B34">
            <w:pPr>
              <w:pStyle w:val="naisc"/>
              <w:spacing w:before="0" w:after="0"/>
              <w:jc w:val="left"/>
              <w:rPr>
                <w:sz w:val="24"/>
                <w:szCs w:val="24"/>
              </w:rPr>
            </w:pPr>
            <w:r w:rsidRPr="0033637D">
              <w:rPr>
                <w:sz w:val="24"/>
                <w:szCs w:val="24"/>
              </w:rPr>
              <w:lastRenderedPageBreak/>
              <w:t>3</w:t>
            </w:r>
            <w:r w:rsidR="008E2D79" w:rsidRPr="0033637D">
              <w:rPr>
                <w:sz w:val="24"/>
                <w:szCs w:val="24"/>
              </w:rPr>
              <w:t>. Projekta izstrādē iesaistītās institūcijas</w:t>
            </w:r>
          </w:p>
        </w:tc>
        <w:tc>
          <w:tcPr>
            <w:tcW w:w="5811" w:type="dxa"/>
          </w:tcPr>
          <w:p w14:paraId="0632AAAC" w14:textId="77777777" w:rsidR="008E2D79" w:rsidRPr="0033637D" w:rsidRDefault="00401C18" w:rsidP="004767A3">
            <w:pPr>
              <w:pStyle w:val="naisc"/>
              <w:spacing w:before="0" w:after="0"/>
              <w:jc w:val="both"/>
              <w:rPr>
                <w:sz w:val="24"/>
                <w:szCs w:val="24"/>
              </w:rPr>
            </w:pPr>
            <w:r w:rsidRPr="0033637D">
              <w:rPr>
                <w:sz w:val="24"/>
                <w:szCs w:val="24"/>
              </w:rPr>
              <w:t>Finanšu ministrija</w:t>
            </w:r>
            <w:r w:rsidR="001C7BA8">
              <w:rPr>
                <w:sz w:val="24"/>
                <w:szCs w:val="24"/>
              </w:rPr>
              <w:t xml:space="preserve">, </w:t>
            </w:r>
            <w:r w:rsidR="001C7BA8" w:rsidRPr="001C7BA8">
              <w:rPr>
                <w:sz w:val="24"/>
                <w:szCs w:val="24"/>
              </w:rPr>
              <w:t>Noziedzīgi iegūtu līdzekļu legalizācijas novēršanas dienest</w:t>
            </w:r>
            <w:r w:rsidR="001C7BA8">
              <w:rPr>
                <w:sz w:val="24"/>
                <w:szCs w:val="24"/>
              </w:rPr>
              <w:t>s.</w:t>
            </w:r>
          </w:p>
        </w:tc>
      </w:tr>
      <w:tr w:rsidR="008E2D79" w:rsidRPr="0033637D" w14:paraId="1332721F" w14:textId="77777777" w:rsidTr="00CB0269">
        <w:tc>
          <w:tcPr>
            <w:tcW w:w="3516" w:type="dxa"/>
          </w:tcPr>
          <w:p w14:paraId="4B98C4F3" w14:textId="77777777" w:rsidR="008E2D79" w:rsidRPr="0033637D" w:rsidRDefault="00E342F9" w:rsidP="00882B34">
            <w:pPr>
              <w:pStyle w:val="naisc"/>
              <w:spacing w:before="0" w:after="0"/>
              <w:jc w:val="left"/>
              <w:rPr>
                <w:sz w:val="24"/>
                <w:szCs w:val="24"/>
              </w:rPr>
            </w:pPr>
            <w:r w:rsidRPr="0033637D">
              <w:rPr>
                <w:sz w:val="24"/>
                <w:szCs w:val="24"/>
              </w:rPr>
              <w:t>4</w:t>
            </w:r>
            <w:r w:rsidR="008E2D79" w:rsidRPr="0033637D">
              <w:rPr>
                <w:sz w:val="24"/>
                <w:szCs w:val="24"/>
              </w:rPr>
              <w:t>. Cita informācija</w:t>
            </w:r>
          </w:p>
        </w:tc>
        <w:tc>
          <w:tcPr>
            <w:tcW w:w="5811" w:type="dxa"/>
          </w:tcPr>
          <w:p w14:paraId="3EC87DD0" w14:textId="77777777" w:rsidR="008E2D79" w:rsidRPr="0033637D" w:rsidRDefault="005C52EE" w:rsidP="006E689F">
            <w:pPr>
              <w:pStyle w:val="naisc"/>
              <w:spacing w:before="0" w:after="0"/>
              <w:jc w:val="both"/>
              <w:rPr>
                <w:sz w:val="24"/>
                <w:szCs w:val="24"/>
              </w:rPr>
            </w:pPr>
            <w:r w:rsidRPr="0033637D">
              <w:rPr>
                <w:sz w:val="24"/>
                <w:szCs w:val="24"/>
              </w:rPr>
              <w:t>Nav.</w:t>
            </w:r>
          </w:p>
          <w:p w14:paraId="2C8F5EBE" w14:textId="77777777" w:rsidR="00C110F0" w:rsidRPr="0033637D" w:rsidRDefault="00C110F0" w:rsidP="006E689F">
            <w:pPr>
              <w:pStyle w:val="naisc"/>
              <w:spacing w:before="0" w:after="0"/>
              <w:jc w:val="both"/>
              <w:rPr>
                <w:sz w:val="24"/>
                <w:szCs w:val="24"/>
              </w:rPr>
            </w:pPr>
          </w:p>
        </w:tc>
      </w:tr>
    </w:tbl>
    <w:p w14:paraId="1150D399" w14:textId="77777777" w:rsidR="009C2F87" w:rsidRDefault="009C2F87" w:rsidP="008E2D79"/>
    <w:tbl>
      <w:tblPr>
        <w:tblpPr w:leftFromText="180" w:rightFromText="180" w:vertAnchor="text" w:horzAnchor="margin" w:tblpXSpec="center" w:tblpY="1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9"/>
      </w:tblGrid>
      <w:tr w:rsidR="005C1378" w:rsidRPr="005C1378" w14:paraId="75E90DAA" w14:textId="77777777" w:rsidTr="00CB0269">
        <w:trPr>
          <w:trHeight w:val="444"/>
        </w:trPr>
        <w:tc>
          <w:tcPr>
            <w:tcW w:w="9209" w:type="dxa"/>
            <w:vAlign w:val="center"/>
          </w:tcPr>
          <w:p w14:paraId="64D2613B" w14:textId="77777777" w:rsidR="005C1378" w:rsidRPr="005C1378" w:rsidRDefault="005C1378" w:rsidP="005C1378">
            <w:pPr>
              <w:jc w:val="center"/>
              <w:rPr>
                <w:b/>
                <w:bCs/>
              </w:rPr>
            </w:pPr>
            <w:r w:rsidRPr="005C1378">
              <w:rPr>
                <w:b/>
                <w:bCs/>
              </w:rPr>
              <w:t>II. Tiesību akta projekta ietekme uz sabiedrību, tautsaimniecības attīstību un administratīvo slogu</w:t>
            </w:r>
          </w:p>
        </w:tc>
      </w:tr>
      <w:tr w:rsidR="005C1378" w:rsidRPr="005C1378" w14:paraId="031AA01A" w14:textId="77777777" w:rsidTr="00CB0269">
        <w:trPr>
          <w:trHeight w:val="234"/>
        </w:trPr>
        <w:tc>
          <w:tcPr>
            <w:tcW w:w="9209" w:type="dxa"/>
            <w:vAlign w:val="center"/>
          </w:tcPr>
          <w:p w14:paraId="08BE2EEB" w14:textId="77777777" w:rsidR="005C1378" w:rsidRPr="005C1378" w:rsidRDefault="005C1378" w:rsidP="005C1378">
            <w:pPr>
              <w:jc w:val="center"/>
              <w:rPr>
                <w:bCs/>
                <w:i/>
              </w:rPr>
            </w:pPr>
            <w:r w:rsidRPr="005C1378">
              <w:rPr>
                <w:bCs/>
                <w:i/>
              </w:rPr>
              <w:t>Projekts šo jomu neskar.</w:t>
            </w:r>
          </w:p>
        </w:tc>
      </w:tr>
    </w:tbl>
    <w:p w14:paraId="2F7CB7CC" w14:textId="77777777" w:rsidR="005C1378" w:rsidRPr="00D93BD0" w:rsidRDefault="005C1378" w:rsidP="005C1378">
      <w:pPr>
        <w:jc w:val="center"/>
      </w:pPr>
    </w:p>
    <w:tbl>
      <w:tblPr>
        <w:tblpPr w:leftFromText="180" w:rightFromText="180" w:vertAnchor="text" w:horzAnchor="margin" w:tblpXSpec="center" w:tblpY="1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9"/>
      </w:tblGrid>
      <w:tr w:rsidR="005C1378" w:rsidRPr="005C1378" w14:paraId="513BDCD0" w14:textId="77777777" w:rsidTr="00CB0269">
        <w:trPr>
          <w:trHeight w:val="453"/>
        </w:trPr>
        <w:tc>
          <w:tcPr>
            <w:tcW w:w="9209" w:type="dxa"/>
            <w:vAlign w:val="center"/>
          </w:tcPr>
          <w:p w14:paraId="5EA3E959" w14:textId="77777777" w:rsidR="005C1378" w:rsidRPr="005C1378" w:rsidRDefault="005C1378" w:rsidP="005C1378">
            <w:pPr>
              <w:jc w:val="center"/>
              <w:rPr>
                <w:b/>
                <w:bCs/>
              </w:rPr>
            </w:pPr>
            <w:r w:rsidRPr="005C1378">
              <w:rPr>
                <w:b/>
                <w:bCs/>
              </w:rPr>
              <w:t>III. Tiesību akta projekta ietekme uz valsts budžetu un pašvaldību budžetiem</w:t>
            </w:r>
          </w:p>
        </w:tc>
      </w:tr>
      <w:tr w:rsidR="005C1378" w:rsidRPr="005C1378" w14:paraId="22129945" w14:textId="77777777" w:rsidTr="00CB0269">
        <w:trPr>
          <w:trHeight w:val="239"/>
        </w:trPr>
        <w:tc>
          <w:tcPr>
            <w:tcW w:w="9209" w:type="dxa"/>
            <w:vAlign w:val="center"/>
          </w:tcPr>
          <w:p w14:paraId="0092FD78" w14:textId="77777777" w:rsidR="005C1378" w:rsidRPr="005C1378" w:rsidRDefault="005C1378" w:rsidP="005C1378">
            <w:pPr>
              <w:jc w:val="center"/>
              <w:rPr>
                <w:bCs/>
                <w:i/>
              </w:rPr>
            </w:pPr>
            <w:r w:rsidRPr="005C1378">
              <w:rPr>
                <w:bCs/>
                <w:i/>
              </w:rPr>
              <w:t>Projekts šo jomu neskar.</w:t>
            </w:r>
          </w:p>
        </w:tc>
      </w:tr>
    </w:tbl>
    <w:p w14:paraId="3E8EBA25" w14:textId="77777777" w:rsidR="00601F30" w:rsidRDefault="00601F30" w:rsidP="005C1378">
      <w:pPr>
        <w:jc w:val="center"/>
        <w:rPr>
          <w:bCs/>
          <w:sz w:val="28"/>
          <w:szCs w:val="28"/>
          <w:lang w:eastAsia="en-US"/>
        </w:rPr>
      </w:pPr>
    </w:p>
    <w:tbl>
      <w:tblPr>
        <w:tblpPr w:leftFromText="180" w:rightFromText="180" w:vertAnchor="text" w:horzAnchor="margin" w:tblpXSpec="center" w:tblpY="1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9"/>
      </w:tblGrid>
      <w:tr w:rsidR="005C1378" w:rsidRPr="005C1378" w14:paraId="6CAC8361" w14:textId="77777777" w:rsidTr="00CB0269">
        <w:trPr>
          <w:trHeight w:val="453"/>
        </w:trPr>
        <w:tc>
          <w:tcPr>
            <w:tcW w:w="9209" w:type="dxa"/>
            <w:vAlign w:val="center"/>
          </w:tcPr>
          <w:p w14:paraId="0487E6C3" w14:textId="77777777" w:rsidR="005C1378" w:rsidRPr="005C1378" w:rsidRDefault="005C1378" w:rsidP="005C1378">
            <w:pPr>
              <w:jc w:val="center"/>
              <w:rPr>
                <w:b/>
                <w:bCs/>
              </w:rPr>
            </w:pPr>
            <w:r w:rsidRPr="005C1378">
              <w:rPr>
                <w:b/>
                <w:color w:val="000000"/>
              </w:rPr>
              <w:t>IV. Tiesību akta projekta ietekme uz spēkā esošo tiesību normu sistēmu</w:t>
            </w:r>
          </w:p>
        </w:tc>
      </w:tr>
      <w:tr w:rsidR="005C1378" w:rsidRPr="005C1378" w14:paraId="76457050" w14:textId="77777777" w:rsidTr="00CB0269">
        <w:trPr>
          <w:trHeight w:val="239"/>
        </w:trPr>
        <w:tc>
          <w:tcPr>
            <w:tcW w:w="9209" w:type="dxa"/>
            <w:vAlign w:val="center"/>
          </w:tcPr>
          <w:p w14:paraId="31391773" w14:textId="77777777" w:rsidR="005C1378" w:rsidRPr="005C1378" w:rsidRDefault="005C1378" w:rsidP="005C1378">
            <w:pPr>
              <w:jc w:val="center"/>
              <w:rPr>
                <w:bCs/>
                <w:i/>
              </w:rPr>
            </w:pPr>
            <w:r w:rsidRPr="005C1378">
              <w:rPr>
                <w:bCs/>
                <w:i/>
              </w:rPr>
              <w:t>Projekts šo jomu neskar.</w:t>
            </w:r>
          </w:p>
        </w:tc>
      </w:tr>
    </w:tbl>
    <w:p w14:paraId="60F2AF96" w14:textId="77777777" w:rsidR="005C1378" w:rsidRDefault="005C1378" w:rsidP="005C1378">
      <w:pPr>
        <w:jc w:val="center"/>
        <w:rPr>
          <w:bCs/>
          <w:sz w:val="28"/>
          <w:szCs w:val="28"/>
          <w:lang w:eastAsia="en-US"/>
        </w:rPr>
      </w:pPr>
    </w:p>
    <w:tbl>
      <w:tblPr>
        <w:tblpPr w:leftFromText="180" w:rightFromText="180" w:vertAnchor="text" w:horzAnchor="margin" w:tblpXSpec="center" w:tblpY="1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9"/>
      </w:tblGrid>
      <w:tr w:rsidR="005C1378" w:rsidRPr="005C1378" w14:paraId="12925D9F" w14:textId="77777777" w:rsidTr="00CB0269">
        <w:trPr>
          <w:trHeight w:val="453"/>
        </w:trPr>
        <w:tc>
          <w:tcPr>
            <w:tcW w:w="9209" w:type="dxa"/>
            <w:vAlign w:val="center"/>
          </w:tcPr>
          <w:p w14:paraId="5946F784" w14:textId="77777777" w:rsidR="005C1378" w:rsidRPr="005C1378" w:rsidRDefault="005C1378" w:rsidP="006B28A2">
            <w:pPr>
              <w:ind w:right="-143"/>
              <w:jc w:val="center"/>
              <w:rPr>
                <w:b/>
                <w:bCs/>
              </w:rPr>
            </w:pPr>
            <w:r w:rsidRPr="005C1378">
              <w:rPr>
                <w:b/>
                <w:color w:val="000000"/>
              </w:rPr>
              <w:t>V. Tiesību akta projekta atbilstība Latvijas Republikas starptautiskajām saistībām</w:t>
            </w:r>
          </w:p>
        </w:tc>
      </w:tr>
      <w:tr w:rsidR="005C1378" w:rsidRPr="005C1378" w14:paraId="68BCD40E" w14:textId="77777777" w:rsidTr="00CB0269">
        <w:trPr>
          <w:trHeight w:val="239"/>
        </w:trPr>
        <w:tc>
          <w:tcPr>
            <w:tcW w:w="9209" w:type="dxa"/>
            <w:vAlign w:val="center"/>
          </w:tcPr>
          <w:p w14:paraId="141E4800" w14:textId="77777777" w:rsidR="005C1378" w:rsidRPr="005C1378" w:rsidRDefault="005C1378" w:rsidP="005C1378">
            <w:pPr>
              <w:jc w:val="center"/>
              <w:rPr>
                <w:bCs/>
                <w:i/>
              </w:rPr>
            </w:pPr>
            <w:r w:rsidRPr="005C1378">
              <w:rPr>
                <w:bCs/>
                <w:i/>
              </w:rPr>
              <w:t>Projekts šo jomu neskar.</w:t>
            </w:r>
          </w:p>
        </w:tc>
      </w:tr>
    </w:tbl>
    <w:p w14:paraId="2F2015CC" w14:textId="77777777" w:rsidR="005C1378" w:rsidRPr="005C1378" w:rsidRDefault="005C1378" w:rsidP="005C1378">
      <w:pPr>
        <w:jc w:val="center"/>
        <w:rPr>
          <w:b/>
          <w:bCs/>
          <w:sz w:val="28"/>
          <w:szCs w:val="28"/>
          <w:lang w:eastAsia="en-US"/>
        </w:rPr>
      </w:pPr>
    </w:p>
    <w:tbl>
      <w:tblPr>
        <w:tblpPr w:leftFromText="180" w:rightFromText="180" w:vertAnchor="text" w:horzAnchor="margin" w:tblpXSpec="center" w:tblpY="1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9"/>
      </w:tblGrid>
      <w:tr w:rsidR="005C1378" w:rsidRPr="005C1378" w14:paraId="445FD0E9" w14:textId="77777777" w:rsidTr="00CB0269">
        <w:trPr>
          <w:trHeight w:val="453"/>
        </w:trPr>
        <w:tc>
          <w:tcPr>
            <w:tcW w:w="9209" w:type="dxa"/>
            <w:vAlign w:val="center"/>
          </w:tcPr>
          <w:p w14:paraId="7CF0FE7C" w14:textId="77777777" w:rsidR="005C1378" w:rsidRPr="005C1378" w:rsidRDefault="005C1378" w:rsidP="005C1378">
            <w:pPr>
              <w:jc w:val="center"/>
              <w:rPr>
                <w:b/>
                <w:bCs/>
              </w:rPr>
            </w:pPr>
            <w:r w:rsidRPr="005C1378">
              <w:rPr>
                <w:b/>
                <w:color w:val="000000"/>
              </w:rPr>
              <w:t>VI. Sabiedrības līdzdalība un komunikācijas aktivitātes</w:t>
            </w:r>
          </w:p>
        </w:tc>
      </w:tr>
      <w:tr w:rsidR="005C1378" w:rsidRPr="005C1378" w14:paraId="2CC3BD16" w14:textId="77777777" w:rsidTr="00CB0269">
        <w:trPr>
          <w:trHeight w:val="239"/>
        </w:trPr>
        <w:tc>
          <w:tcPr>
            <w:tcW w:w="9209" w:type="dxa"/>
            <w:vAlign w:val="center"/>
          </w:tcPr>
          <w:p w14:paraId="2ADE49D8" w14:textId="77777777" w:rsidR="005C1378" w:rsidRPr="005C1378" w:rsidRDefault="005C1378" w:rsidP="005C1378">
            <w:pPr>
              <w:jc w:val="center"/>
              <w:rPr>
                <w:bCs/>
                <w:i/>
              </w:rPr>
            </w:pPr>
            <w:r w:rsidRPr="005C1378">
              <w:rPr>
                <w:bCs/>
                <w:i/>
              </w:rPr>
              <w:t>Projekts šo jomu neskar.</w:t>
            </w:r>
          </w:p>
        </w:tc>
      </w:tr>
    </w:tbl>
    <w:p w14:paraId="6C39B1C2" w14:textId="77777777" w:rsidR="005C1378" w:rsidRDefault="005C1378" w:rsidP="00E06E25">
      <w:pPr>
        <w:jc w:val="both"/>
        <w:rPr>
          <w:bCs/>
          <w:sz w:val="28"/>
          <w:szCs w:val="28"/>
          <w:lang w:eastAsia="en-US"/>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6"/>
        <w:gridCol w:w="5811"/>
      </w:tblGrid>
      <w:tr w:rsidR="005C1378" w:rsidRPr="007D157F" w14:paraId="541DB5AF" w14:textId="77777777" w:rsidTr="00CB0269">
        <w:tc>
          <w:tcPr>
            <w:tcW w:w="9327" w:type="dxa"/>
            <w:gridSpan w:val="2"/>
          </w:tcPr>
          <w:p w14:paraId="7C65453A" w14:textId="77777777" w:rsidR="005C1378" w:rsidRPr="007D157F" w:rsidRDefault="005C1378" w:rsidP="00B70D6C">
            <w:pPr>
              <w:jc w:val="center"/>
              <w:rPr>
                <w:b/>
                <w:bCs/>
              </w:rPr>
            </w:pPr>
            <w:r w:rsidRPr="007D157F">
              <w:rPr>
                <w:b/>
                <w:bCs/>
              </w:rPr>
              <w:t>VII. Tiesību akta projekta izpildes nodrošināšana un tās ietekme uz institūcijām</w:t>
            </w:r>
          </w:p>
        </w:tc>
      </w:tr>
      <w:tr w:rsidR="005C1378" w:rsidRPr="007D157F" w14:paraId="666C7ECB" w14:textId="77777777" w:rsidTr="00CB0269">
        <w:tc>
          <w:tcPr>
            <w:tcW w:w="3516" w:type="dxa"/>
          </w:tcPr>
          <w:p w14:paraId="12CFDEE8" w14:textId="77777777" w:rsidR="005C1378" w:rsidRPr="007D157F" w:rsidRDefault="005C1378" w:rsidP="00555ED5">
            <w:r w:rsidRPr="007D157F">
              <w:t>1. Projekta izpildē iesaistītās institūcijas</w:t>
            </w:r>
          </w:p>
        </w:tc>
        <w:tc>
          <w:tcPr>
            <w:tcW w:w="5811" w:type="dxa"/>
          </w:tcPr>
          <w:p w14:paraId="4BA72613" w14:textId="77777777" w:rsidR="005C1378" w:rsidRPr="007D157F" w:rsidRDefault="005C1378" w:rsidP="00555ED5">
            <w:r w:rsidRPr="007D157F">
              <w:t>Finanšu ministrija, Tieslietu ministrija, Noziedzīgi iegūtu līdzekļu legalizācijas novēršanas dienests.</w:t>
            </w:r>
          </w:p>
        </w:tc>
      </w:tr>
      <w:tr w:rsidR="005C1378" w:rsidRPr="007D157F" w14:paraId="31652B19" w14:textId="77777777" w:rsidTr="00CB0269">
        <w:tc>
          <w:tcPr>
            <w:tcW w:w="3516" w:type="dxa"/>
          </w:tcPr>
          <w:p w14:paraId="6B490E0E" w14:textId="77777777" w:rsidR="005C1378" w:rsidRPr="007D157F" w:rsidRDefault="005C1378" w:rsidP="00555ED5">
            <w:r w:rsidRPr="007D157F">
              <w:t>2. Projekta izpildes ietekme uz pārvaldes funkcijām un institucionālo struktūru.</w:t>
            </w:r>
          </w:p>
          <w:p w14:paraId="6CAD26E5" w14:textId="77777777" w:rsidR="005C1378" w:rsidRPr="007D157F" w:rsidRDefault="005C1378" w:rsidP="00555ED5">
            <w:r w:rsidRPr="007D157F">
              <w:lastRenderedPageBreak/>
              <w:t>Jaunu institūciju izveide, esošu institūciju likvidācija vai reorganizācija, to ietekme uz institūcijas cilvēkresursiem</w:t>
            </w:r>
          </w:p>
        </w:tc>
        <w:tc>
          <w:tcPr>
            <w:tcW w:w="5811" w:type="dxa"/>
          </w:tcPr>
          <w:p w14:paraId="49BA0A1D" w14:textId="77777777" w:rsidR="005C1378" w:rsidRPr="007D157F" w:rsidRDefault="005C1378" w:rsidP="00555ED5">
            <w:r w:rsidRPr="007D157F">
              <w:lastRenderedPageBreak/>
              <w:t>Rīkojuma projekta izpilde nemainīs pārvaldes funkcijas un institucionālo struktūru.</w:t>
            </w:r>
          </w:p>
          <w:p w14:paraId="0122DC2C" w14:textId="77777777" w:rsidR="005C1378" w:rsidRPr="007D157F" w:rsidRDefault="005C1378" w:rsidP="00555ED5">
            <w:r w:rsidRPr="007D157F">
              <w:lastRenderedPageBreak/>
              <w:t>Jaunas institūcijas veidotas netiks, kā arī esošās institūcijas netiks likvidētas vai reorganizētas.</w:t>
            </w:r>
          </w:p>
        </w:tc>
      </w:tr>
      <w:tr w:rsidR="005C1378" w:rsidRPr="007D157F" w14:paraId="00470B9A" w14:textId="77777777" w:rsidTr="00CB0269">
        <w:trPr>
          <w:trHeight w:val="70"/>
        </w:trPr>
        <w:tc>
          <w:tcPr>
            <w:tcW w:w="3516" w:type="dxa"/>
          </w:tcPr>
          <w:p w14:paraId="113330E2" w14:textId="77777777" w:rsidR="005C1378" w:rsidRPr="007D157F" w:rsidRDefault="005C1378" w:rsidP="00555ED5">
            <w:r w:rsidRPr="007D157F">
              <w:lastRenderedPageBreak/>
              <w:t>3. Cita informācija</w:t>
            </w:r>
          </w:p>
        </w:tc>
        <w:tc>
          <w:tcPr>
            <w:tcW w:w="5811" w:type="dxa"/>
          </w:tcPr>
          <w:p w14:paraId="73E70210" w14:textId="77777777" w:rsidR="005C1378" w:rsidRPr="007D157F" w:rsidRDefault="005C1378" w:rsidP="00555ED5">
            <w:pPr>
              <w:rPr>
                <w:rFonts w:eastAsia="Arial Unicode MS"/>
              </w:rPr>
            </w:pPr>
            <w:r w:rsidRPr="007D157F">
              <w:t>Nav.</w:t>
            </w:r>
          </w:p>
        </w:tc>
      </w:tr>
    </w:tbl>
    <w:p w14:paraId="4094BE7B" w14:textId="77777777" w:rsidR="005C1378" w:rsidRPr="00D93BD0" w:rsidRDefault="005C1378" w:rsidP="00E06E25">
      <w:pPr>
        <w:jc w:val="both"/>
        <w:rPr>
          <w:bCs/>
          <w:sz w:val="28"/>
          <w:szCs w:val="28"/>
          <w:lang w:eastAsia="en-US"/>
        </w:rPr>
      </w:pPr>
    </w:p>
    <w:p w14:paraId="45BEA2DB" w14:textId="77777777" w:rsidR="00CB0269" w:rsidRDefault="00CB0269" w:rsidP="00E06E25">
      <w:pPr>
        <w:jc w:val="both"/>
        <w:rPr>
          <w:bCs/>
          <w:lang w:eastAsia="en-US"/>
        </w:rPr>
      </w:pPr>
    </w:p>
    <w:p w14:paraId="41826068" w14:textId="77777777" w:rsidR="009B3714" w:rsidRDefault="009B3714" w:rsidP="00E06E25">
      <w:pPr>
        <w:jc w:val="both"/>
        <w:rPr>
          <w:bCs/>
          <w:lang w:eastAsia="en-US"/>
        </w:rPr>
      </w:pPr>
    </w:p>
    <w:p w14:paraId="255C3C9E" w14:textId="3DB3B9C7" w:rsidR="00E06E25" w:rsidRPr="003D5A02" w:rsidRDefault="00E06E25" w:rsidP="00E06E25">
      <w:pPr>
        <w:jc w:val="both"/>
        <w:rPr>
          <w:bCs/>
          <w:lang w:eastAsia="en-US"/>
        </w:rPr>
      </w:pPr>
      <w:r w:rsidRPr="003D5A02">
        <w:rPr>
          <w:bCs/>
          <w:lang w:eastAsia="en-US"/>
        </w:rPr>
        <w:t>Finanšu ministr</w:t>
      </w:r>
      <w:r w:rsidR="008F250E">
        <w:rPr>
          <w:bCs/>
          <w:lang w:eastAsia="en-US"/>
        </w:rPr>
        <w:t>e</w:t>
      </w:r>
      <w:r w:rsidRPr="003D5A02">
        <w:rPr>
          <w:bCs/>
          <w:lang w:eastAsia="en-US"/>
        </w:rPr>
        <w:t xml:space="preserve">   </w:t>
      </w:r>
      <w:r w:rsidR="0033637D" w:rsidRPr="003D5A02">
        <w:rPr>
          <w:bCs/>
          <w:lang w:eastAsia="en-US"/>
        </w:rPr>
        <w:tab/>
      </w:r>
      <w:r w:rsidR="0033637D" w:rsidRPr="003D5A02">
        <w:rPr>
          <w:bCs/>
          <w:lang w:eastAsia="en-US"/>
        </w:rPr>
        <w:tab/>
      </w:r>
      <w:r w:rsidR="0033637D" w:rsidRPr="003D5A02">
        <w:rPr>
          <w:bCs/>
          <w:lang w:eastAsia="en-US"/>
        </w:rPr>
        <w:tab/>
      </w:r>
      <w:r w:rsidR="0033637D" w:rsidRPr="003D5A02">
        <w:rPr>
          <w:bCs/>
          <w:lang w:eastAsia="en-US"/>
        </w:rPr>
        <w:tab/>
      </w:r>
      <w:r w:rsidR="0033637D" w:rsidRPr="003D5A02">
        <w:rPr>
          <w:bCs/>
          <w:lang w:eastAsia="en-US"/>
        </w:rPr>
        <w:tab/>
      </w:r>
      <w:r w:rsidR="0033637D" w:rsidRPr="003D5A02">
        <w:rPr>
          <w:bCs/>
          <w:lang w:eastAsia="en-US"/>
        </w:rPr>
        <w:tab/>
      </w:r>
      <w:r w:rsidR="0033637D" w:rsidRPr="003D5A02">
        <w:rPr>
          <w:bCs/>
          <w:lang w:eastAsia="en-US"/>
        </w:rPr>
        <w:tab/>
      </w:r>
      <w:r w:rsidR="00F429D0">
        <w:rPr>
          <w:bCs/>
          <w:lang w:eastAsia="en-US"/>
        </w:rPr>
        <w:t>Dana</w:t>
      </w:r>
      <w:r w:rsidR="008F250E">
        <w:rPr>
          <w:bCs/>
          <w:lang w:eastAsia="en-US"/>
        </w:rPr>
        <w:t xml:space="preserve"> Reizniece-Ozola</w:t>
      </w:r>
    </w:p>
    <w:p w14:paraId="5E8E49A5" w14:textId="77777777" w:rsidR="005879BA" w:rsidRPr="003D5A02" w:rsidRDefault="00E06E25" w:rsidP="00E06E25">
      <w:pPr>
        <w:jc w:val="both"/>
      </w:pPr>
      <w:r w:rsidRPr="003D5A02">
        <w:rPr>
          <w:bCs/>
          <w:lang w:eastAsia="en-US"/>
        </w:rPr>
        <w:t xml:space="preserve">                                                                           </w:t>
      </w:r>
    </w:p>
    <w:p w14:paraId="13AC2D64" w14:textId="77777777" w:rsidR="005879BA" w:rsidRPr="003D5A02" w:rsidRDefault="005879BA" w:rsidP="005879BA">
      <w:pPr>
        <w:jc w:val="both"/>
      </w:pPr>
    </w:p>
    <w:p w14:paraId="4F55FEC3" w14:textId="77777777" w:rsidR="005879BA" w:rsidRPr="003D5A02" w:rsidRDefault="005879BA" w:rsidP="005879BA">
      <w:pPr>
        <w:jc w:val="both"/>
      </w:pPr>
    </w:p>
    <w:p w14:paraId="41B9444E" w14:textId="77777777" w:rsidR="009B3714" w:rsidRDefault="009B3714" w:rsidP="005C645C">
      <w:pPr>
        <w:rPr>
          <w:sz w:val="20"/>
          <w:szCs w:val="20"/>
        </w:rPr>
      </w:pPr>
    </w:p>
    <w:p w14:paraId="7B7E4BF5" w14:textId="77777777" w:rsidR="009B3714" w:rsidRDefault="009B3714" w:rsidP="005C645C">
      <w:pPr>
        <w:rPr>
          <w:sz w:val="20"/>
          <w:szCs w:val="20"/>
        </w:rPr>
      </w:pPr>
    </w:p>
    <w:p w14:paraId="3734FE39" w14:textId="77777777" w:rsidR="009B3714" w:rsidRDefault="009B3714" w:rsidP="005C645C">
      <w:pPr>
        <w:rPr>
          <w:sz w:val="20"/>
          <w:szCs w:val="20"/>
        </w:rPr>
      </w:pPr>
    </w:p>
    <w:p w14:paraId="0709B33E" w14:textId="77777777" w:rsidR="009B3714" w:rsidRDefault="009B3714" w:rsidP="005C645C">
      <w:pPr>
        <w:rPr>
          <w:sz w:val="20"/>
          <w:szCs w:val="20"/>
        </w:rPr>
      </w:pPr>
    </w:p>
    <w:p w14:paraId="1A2DFF88" w14:textId="77777777" w:rsidR="009B3714" w:rsidRDefault="009B3714" w:rsidP="005C645C">
      <w:pPr>
        <w:rPr>
          <w:sz w:val="20"/>
          <w:szCs w:val="20"/>
        </w:rPr>
      </w:pPr>
    </w:p>
    <w:p w14:paraId="71B0CC1C" w14:textId="77777777" w:rsidR="009B3714" w:rsidRDefault="009B3714" w:rsidP="005C645C">
      <w:pPr>
        <w:rPr>
          <w:sz w:val="20"/>
          <w:szCs w:val="20"/>
        </w:rPr>
      </w:pPr>
    </w:p>
    <w:p w14:paraId="269347DB" w14:textId="77777777" w:rsidR="009B3714" w:rsidRDefault="009B3714" w:rsidP="005C645C">
      <w:pPr>
        <w:rPr>
          <w:sz w:val="20"/>
          <w:szCs w:val="20"/>
        </w:rPr>
      </w:pPr>
    </w:p>
    <w:p w14:paraId="7B3875CB" w14:textId="77777777" w:rsidR="009B3714" w:rsidRDefault="009B3714" w:rsidP="005C645C">
      <w:pPr>
        <w:rPr>
          <w:sz w:val="20"/>
          <w:szCs w:val="20"/>
        </w:rPr>
      </w:pPr>
    </w:p>
    <w:p w14:paraId="400BF9C3" w14:textId="77777777" w:rsidR="009B3714" w:rsidRDefault="009B3714" w:rsidP="005C645C">
      <w:pPr>
        <w:rPr>
          <w:sz w:val="20"/>
          <w:szCs w:val="20"/>
        </w:rPr>
      </w:pPr>
    </w:p>
    <w:p w14:paraId="267981FC" w14:textId="77777777" w:rsidR="009B3714" w:rsidRDefault="009B3714" w:rsidP="005C645C">
      <w:pPr>
        <w:rPr>
          <w:sz w:val="20"/>
          <w:szCs w:val="20"/>
        </w:rPr>
      </w:pPr>
    </w:p>
    <w:p w14:paraId="1E7C79B7" w14:textId="77777777" w:rsidR="009B3714" w:rsidRDefault="009B3714" w:rsidP="005C645C">
      <w:pPr>
        <w:rPr>
          <w:sz w:val="20"/>
          <w:szCs w:val="20"/>
        </w:rPr>
      </w:pPr>
    </w:p>
    <w:p w14:paraId="28561ACD" w14:textId="77777777" w:rsidR="009B3714" w:rsidRDefault="009B3714" w:rsidP="005C645C">
      <w:pPr>
        <w:rPr>
          <w:sz w:val="20"/>
          <w:szCs w:val="20"/>
        </w:rPr>
      </w:pPr>
    </w:p>
    <w:p w14:paraId="0A4F0298" w14:textId="77777777" w:rsidR="009B3714" w:rsidRDefault="009B3714" w:rsidP="005C645C">
      <w:pPr>
        <w:rPr>
          <w:sz w:val="20"/>
          <w:szCs w:val="20"/>
        </w:rPr>
      </w:pPr>
    </w:p>
    <w:p w14:paraId="142325B6" w14:textId="77777777" w:rsidR="009B3714" w:rsidRDefault="009B3714" w:rsidP="005C645C">
      <w:pPr>
        <w:rPr>
          <w:sz w:val="20"/>
          <w:szCs w:val="20"/>
        </w:rPr>
      </w:pPr>
    </w:p>
    <w:p w14:paraId="236A7C34" w14:textId="77777777" w:rsidR="009B3714" w:rsidRDefault="009B3714" w:rsidP="005C645C">
      <w:pPr>
        <w:rPr>
          <w:sz w:val="20"/>
          <w:szCs w:val="20"/>
        </w:rPr>
      </w:pPr>
    </w:p>
    <w:p w14:paraId="472B9C80" w14:textId="77777777" w:rsidR="009B3714" w:rsidRDefault="009B3714" w:rsidP="005C645C">
      <w:pPr>
        <w:rPr>
          <w:sz w:val="20"/>
          <w:szCs w:val="20"/>
        </w:rPr>
      </w:pPr>
    </w:p>
    <w:p w14:paraId="6F1FAA85" w14:textId="77777777" w:rsidR="009B3714" w:rsidRDefault="009B3714" w:rsidP="005C645C">
      <w:pPr>
        <w:rPr>
          <w:sz w:val="20"/>
          <w:szCs w:val="20"/>
        </w:rPr>
      </w:pPr>
    </w:p>
    <w:p w14:paraId="2CDDB038" w14:textId="77777777" w:rsidR="009B3714" w:rsidRDefault="009B3714" w:rsidP="005C645C">
      <w:pPr>
        <w:rPr>
          <w:sz w:val="20"/>
          <w:szCs w:val="20"/>
        </w:rPr>
      </w:pPr>
    </w:p>
    <w:p w14:paraId="4FBE3094" w14:textId="77777777" w:rsidR="009B3714" w:rsidRDefault="009B3714" w:rsidP="005C645C">
      <w:pPr>
        <w:rPr>
          <w:sz w:val="20"/>
          <w:szCs w:val="20"/>
        </w:rPr>
      </w:pPr>
    </w:p>
    <w:p w14:paraId="4E5A8E9B" w14:textId="77777777" w:rsidR="009B3714" w:rsidRDefault="009B3714" w:rsidP="005C645C">
      <w:pPr>
        <w:rPr>
          <w:sz w:val="20"/>
          <w:szCs w:val="20"/>
        </w:rPr>
      </w:pPr>
    </w:p>
    <w:p w14:paraId="031DBF48" w14:textId="77777777" w:rsidR="009B3714" w:rsidRDefault="009B3714" w:rsidP="005C645C">
      <w:pPr>
        <w:rPr>
          <w:sz w:val="20"/>
          <w:szCs w:val="20"/>
        </w:rPr>
      </w:pPr>
    </w:p>
    <w:p w14:paraId="273FE102" w14:textId="77777777" w:rsidR="009B3714" w:rsidRDefault="009B3714" w:rsidP="005C645C">
      <w:pPr>
        <w:rPr>
          <w:sz w:val="20"/>
          <w:szCs w:val="20"/>
        </w:rPr>
      </w:pPr>
    </w:p>
    <w:p w14:paraId="58A7D7E1" w14:textId="77777777" w:rsidR="009B3714" w:rsidRDefault="009B3714" w:rsidP="005C645C">
      <w:pPr>
        <w:rPr>
          <w:sz w:val="20"/>
          <w:szCs w:val="20"/>
        </w:rPr>
      </w:pPr>
    </w:p>
    <w:p w14:paraId="3A11AE87" w14:textId="77777777" w:rsidR="009B3714" w:rsidRDefault="009B3714" w:rsidP="005C645C">
      <w:pPr>
        <w:rPr>
          <w:sz w:val="20"/>
          <w:szCs w:val="20"/>
        </w:rPr>
      </w:pPr>
    </w:p>
    <w:p w14:paraId="53613813" w14:textId="77777777" w:rsidR="009B3714" w:rsidRDefault="009B3714" w:rsidP="005C645C">
      <w:pPr>
        <w:rPr>
          <w:sz w:val="20"/>
          <w:szCs w:val="20"/>
        </w:rPr>
      </w:pPr>
    </w:p>
    <w:p w14:paraId="53B1123C" w14:textId="77777777" w:rsidR="009B3714" w:rsidRDefault="009B3714" w:rsidP="005C645C">
      <w:pPr>
        <w:rPr>
          <w:sz w:val="20"/>
          <w:szCs w:val="20"/>
        </w:rPr>
      </w:pPr>
    </w:p>
    <w:p w14:paraId="4B155FC3" w14:textId="77777777" w:rsidR="009B3714" w:rsidRDefault="009B3714" w:rsidP="005C645C">
      <w:pPr>
        <w:rPr>
          <w:sz w:val="20"/>
          <w:szCs w:val="20"/>
        </w:rPr>
      </w:pPr>
    </w:p>
    <w:p w14:paraId="0E079F20" w14:textId="77777777" w:rsidR="009B3714" w:rsidRDefault="009B3714" w:rsidP="005C645C">
      <w:pPr>
        <w:rPr>
          <w:sz w:val="20"/>
          <w:szCs w:val="20"/>
        </w:rPr>
      </w:pPr>
    </w:p>
    <w:p w14:paraId="55703596" w14:textId="77777777" w:rsidR="009B3714" w:rsidRDefault="009B3714" w:rsidP="005C645C">
      <w:pPr>
        <w:rPr>
          <w:sz w:val="20"/>
          <w:szCs w:val="20"/>
        </w:rPr>
      </w:pPr>
    </w:p>
    <w:p w14:paraId="4CC4A6B7" w14:textId="77777777" w:rsidR="009B3714" w:rsidRDefault="009B3714" w:rsidP="005C645C">
      <w:pPr>
        <w:rPr>
          <w:sz w:val="20"/>
          <w:szCs w:val="20"/>
        </w:rPr>
      </w:pPr>
    </w:p>
    <w:p w14:paraId="2F3C918C" w14:textId="77777777" w:rsidR="009B3714" w:rsidRDefault="009B3714" w:rsidP="005C645C">
      <w:pPr>
        <w:rPr>
          <w:sz w:val="20"/>
          <w:szCs w:val="20"/>
        </w:rPr>
      </w:pPr>
    </w:p>
    <w:p w14:paraId="41A8843F" w14:textId="77777777" w:rsidR="009B3714" w:rsidRDefault="009B3714" w:rsidP="005C645C">
      <w:pPr>
        <w:rPr>
          <w:sz w:val="20"/>
          <w:szCs w:val="20"/>
        </w:rPr>
      </w:pPr>
    </w:p>
    <w:p w14:paraId="78E63D4D" w14:textId="77777777" w:rsidR="009B3714" w:rsidRDefault="009B3714" w:rsidP="005C645C">
      <w:pPr>
        <w:rPr>
          <w:sz w:val="20"/>
          <w:szCs w:val="20"/>
        </w:rPr>
      </w:pPr>
    </w:p>
    <w:p w14:paraId="33CA99B3" w14:textId="77777777" w:rsidR="009B3714" w:rsidRDefault="009B3714" w:rsidP="005C645C">
      <w:pPr>
        <w:rPr>
          <w:sz w:val="20"/>
          <w:szCs w:val="20"/>
        </w:rPr>
      </w:pPr>
    </w:p>
    <w:p w14:paraId="7E774310" w14:textId="77777777" w:rsidR="009B3714" w:rsidRDefault="009B3714" w:rsidP="005C645C">
      <w:pPr>
        <w:rPr>
          <w:sz w:val="20"/>
          <w:szCs w:val="20"/>
        </w:rPr>
      </w:pPr>
    </w:p>
    <w:p w14:paraId="4054B140" w14:textId="77777777" w:rsidR="009B3714" w:rsidRDefault="009B3714" w:rsidP="005C645C">
      <w:pPr>
        <w:rPr>
          <w:sz w:val="20"/>
          <w:szCs w:val="20"/>
        </w:rPr>
      </w:pPr>
    </w:p>
    <w:p w14:paraId="0C20C895" w14:textId="77777777" w:rsidR="009B3714" w:rsidRDefault="009B3714" w:rsidP="005C645C">
      <w:pPr>
        <w:rPr>
          <w:sz w:val="20"/>
          <w:szCs w:val="20"/>
        </w:rPr>
      </w:pPr>
    </w:p>
    <w:p w14:paraId="60BBB7EC" w14:textId="77777777" w:rsidR="009B3714" w:rsidRDefault="009B3714" w:rsidP="005C645C">
      <w:pPr>
        <w:rPr>
          <w:sz w:val="20"/>
          <w:szCs w:val="20"/>
        </w:rPr>
      </w:pPr>
    </w:p>
    <w:p w14:paraId="1C8BB0A1" w14:textId="77777777" w:rsidR="009B3714" w:rsidRDefault="009B3714" w:rsidP="005C645C">
      <w:pPr>
        <w:rPr>
          <w:sz w:val="20"/>
          <w:szCs w:val="20"/>
        </w:rPr>
      </w:pPr>
    </w:p>
    <w:p w14:paraId="3603C670" w14:textId="77777777" w:rsidR="009B3714" w:rsidRDefault="009B3714" w:rsidP="005C645C">
      <w:pPr>
        <w:rPr>
          <w:sz w:val="20"/>
          <w:szCs w:val="20"/>
        </w:rPr>
      </w:pPr>
    </w:p>
    <w:p w14:paraId="49E08822" w14:textId="77777777" w:rsidR="009B3714" w:rsidRDefault="009B3714" w:rsidP="005C645C">
      <w:pPr>
        <w:rPr>
          <w:sz w:val="20"/>
          <w:szCs w:val="20"/>
        </w:rPr>
      </w:pPr>
    </w:p>
    <w:p w14:paraId="45D36B33" w14:textId="77777777" w:rsidR="009B3714" w:rsidRDefault="009B3714" w:rsidP="005C645C">
      <w:pPr>
        <w:rPr>
          <w:sz w:val="20"/>
          <w:szCs w:val="20"/>
        </w:rPr>
      </w:pPr>
    </w:p>
    <w:p w14:paraId="5AC45E1D" w14:textId="77777777" w:rsidR="009B3714" w:rsidRDefault="009B3714" w:rsidP="005C645C">
      <w:pPr>
        <w:rPr>
          <w:sz w:val="20"/>
          <w:szCs w:val="20"/>
        </w:rPr>
      </w:pPr>
    </w:p>
    <w:p w14:paraId="3A5B6F87" w14:textId="77777777" w:rsidR="009B3714" w:rsidRDefault="009B3714" w:rsidP="005C645C">
      <w:pPr>
        <w:rPr>
          <w:sz w:val="20"/>
          <w:szCs w:val="20"/>
        </w:rPr>
      </w:pPr>
    </w:p>
    <w:p w14:paraId="60D26495" w14:textId="77777777" w:rsidR="009B3714" w:rsidRDefault="009B3714" w:rsidP="005C645C">
      <w:pPr>
        <w:rPr>
          <w:sz w:val="20"/>
          <w:szCs w:val="20"/>
        </w:rPr>
      </w:pPr>
    </w:p>
    <w:p w14:paraId="311B69D7" w14:textId="77777777" w:rsidR="005C645C" w:rsidRPr="00D93BD0" w:rsidRDefault="008F250E" w:rsidP="005C645C">
      <w:pPr>
        <w:rPr>
          <w:sz w:val="20"/>
          <w:szCs w:val="20"/>
        </w:rPr>
      </w:pPr>
      <w:r>
        <w:rPr>
          <w:sz w:val="20"/>
          <w:szCs w:val="20"/>
        </w:rPr>
        <w:t>R. Grīnbergs, 67083935</w:t>
      </w:r>
    </w:p>
    <w:p w14:paraId="03B81F45" w14:textId="77777777" w:rsidR="005C645C" w:rsidRPr="00D93BD0" w:rsidRDefault="008F250E" w:rsidP="005C645C">
      <w:pPr>
        <w:pStyle w:val="Header"/>
        <w:tabs>
          <w:tab w:val="clear" w:pos="4153"/>
          <w:tab w:val="clear" w:pos="8306"/>
        </w:tabs>
        <w:rPr>
          <w:sz w:val="20"/>
          <w:szCs w:val="20"/>
        </w:rPr>
      </w:pPr>
      <w:r>
        <w:rPr>
          <w:sz w:val="20"/>
          <w:szCs w:val="20"/>
        </w:rPr>
        <w:t>raimonds.grinbergs</w:t>
      </w:r>
      <w:r w:rsidR="005C645C" w:rsidRPr="00D93BD0">
        <w:rPr>
          <w:sz w:val="20"/>
          <w:szCs w:val="20"/>
        </w:rPr>
        <w:t>@fm.gov.lv</w:t>
      </w:r>
    </w:p>
    <w:sectPr w:rsidR="005C645C" w:rsidRPr="00D93BD0" w:rsidSect="00573FC0">
      <w:headerReference w:type="even" r:id="rId8"/>
      <w:headerReference w:type="default" r:id="rId9"/>
      <w:footerReference w:type="default" r:id="rId10"/>
      <w:footerReference w:type="first" r:id="rId11"/>
      <w:pgSz w:w="11906" w:h="16838" w:code="9"/>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DE4E5" w14:textId="77777777" w:rsidR="00397F8C" w:rsidRDefault="00397F8C">
      <w:r>
        <w:separator/>
      </w:r>
    </w:p>
  </w:endnote>
  <w:endnote w:type="continuationSeparator" w:id="0">
    <w:p w14:paraId="40954705" w14:textId="77777777" w:rsidR="00397F8C" w:rsidRDefault="0039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DCDF1" w14:textId="74E0F5E0" w:rsidR="00F92D6E" w:rsidRPr="008F250E" w:rsidRDefault="008F250E" w:rsidP="008F250E">
    <w:pPr>
      <w:pStyle w:val="Footer"/>
    </w:pPr>
    <w:r w:rsidRPr="008F250E">
      <w:rPr>
        <w:sz w:val="20"/>
        <w:lang w:val="en-GB" w:eastAsia="lv-LV"/>
      </w:rPr>
      <w:t>FM</w:t>
    </w:r>
    <w:r>
      <w:rPr>
        <w:sz w:val="20"/>
        <w:lang w:val="en-GB" w:eastAsia="lv-LV"/>
      </w:rPr>
      <w:t>Anot</w:t>
    </w:r>
    <w:r w:rsidRPr="008F250E">
      <w:rPr>
        <w:sz w:val="20"/>
        <w:lang w:val="en-GB" w:eastAsia="lv-LV"/>
      </w:rPr>
      <w:t>_26</w:t>
    </w:r>
    <w:r>
      <w:rPr>
        <w:sz w:val="20"/>
        <w:lang w:val="en-GB" w:eastAsia="lv-LV"/>
      </w:rPr>
      <w:t>0917_NI</w:t>
    </w:r>
    <w:r w:rsidRPr="008F250E">
      <w:rPr>
        <w:sz w:val="20"/>
        <w:lang w:val="en-GB" w:eastAsia="lv-LV"/>
      </w:rPr>
      <w:t>L</w:t>
    </w:r>
    <w:r w:rsidR="00410534">
      <w:rPr>
        <w:sz w:val="20"/>
        <w:lang w:val="en-GB" w:eastAsia="lv-LV"/>
      </w:rPr>
      <w:t>L</w:t>
    </w:r>
    <w:r w:rsidRPr="008F250E">
      <w:rPr>
        <w:sz w:val="20"/>
        <w:lang w:val="en-GB" w:eastAsia="lv-LV"/>
      </w:rPr>
      <w:t>TFN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675B9" w14:textId="77777777" w:rsidR="00F92D6E" w:rsidRPr="007877AA" w:rsidRDefault="00F92D6E" w:rsidP="007877AA">
    <w:pPr>
      <w:jc w:val="both"/>
      <w:rPr>
        <w:sz w:val="20"/>
        <w:szCs w:val="20"/>
      </w:rPr>
    </w:pPr>
    <w:r>
      <w:rPr>
        <w:sz w:val="20"/>
        <w:szCs w:val="20"/>
      </w:rPr>
      <w:t>VARAManot_070611</w:t>
    </w:r>
    <w:r w:rsidRPr="007877AA">
      <w:rPr>
        <w:sz w:val="20"/>
        <w:szCs w:val="20"/>
      </w:rPr>
      <w:t xml:space="preserve">_VIF; </w:t>
    </w:r>
    <w:r w:rsidRPr="007877AA">
      <w:rPr>
        <w:bCs/>
        <w:sz w:val="20"/>
        <w:szCs w:val="20"/>
      </w:rPr>
      <w:t xml:space="preserve">Ministru kabineta </w:t>
    </w:r>
    <w:r>
      <w:rPr>
        <w:bCs/>
        <w:sz w:val="20"/>
        <w:szCs w:val="20"/>
      </w:rPr>
      <w:t>rīkojuma</w:t>
    </w:r>
    <w:r w:rsidRPr="007877AA">
      <w:rPr>
        <w:bCs/>
        <w:sz w:val="20"/>
        <w:szCs w:val="20"/>
      </w:rPr>
      <w:t xml:space="preserve"> projekta „</w:t>
    </w:r>
    <w:r w:rsidRPr="007877AA">
      <w:rPr>
        <w:sz w:val="20"/>
        <w:szCs w:val="20"/>
      </w:rPr>
      <w:t>Par sabie</w:t>
    </w:r>
    <w:r>
      <w:rPr>
        <w:sz w:val="20"/>
        <w:szCs w:val="20"/>
      </w:rPr>
      <w:t>drības ar ierobežotu atbildību „Vides investīciju fonds” finanšu līguma Nr.</w:t>
    </w:r>
    <w:r w:rsidRPr="007877AA">
      <w:rPr>
        <w:sz w:val="20"/>
        <w:szCs w:val="20"/>
      </w:rPr>
      <w:t>LE9704.02.03/001</w:t>
    </w:r>
    <w:r>
      <w:rPr>
        <w:sz w:val="20"/>
        <w:szCs w:val="20"/>
      </w:rPr>
      <w:t>/MAIN</w:t>
    </w:r>
    <w:r w:rsidRPr="007877AA">
      <w:rPr>
        <w:sz w:val="20"/>
        <w:szCs w:val="20"/>
      </w:rPr>
      <w:t xml:space="preserve"> finanšu līdzekļu turpmāku izmantošanu” </w:t>
    </w:r>
    <w:r w:rsidRPr="007877AA">
      <w:rPr>
        <w:bCs/>
        <w:sz w:val="20"/>
        <w:szCs w:val="20"/>
      </w:rPr>
      <w:t>anotācija</w:t>
    </w:r>
    <w:r>
      <w:rPr>
        <w:b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F09C8" w14:textId="77777777" w:rsidR="00397F8C" w:rsidRDefault="00397F8C">
      <w:r>
        <w:separator/>
      </w:r>
    </w:p>
  </w:footnote>
  <w:footnote w:type="continuationSeparator" w:id="0">
    <w:p w14:paraId="6AB680A2" w14:textId="77777777" w:rsidR="00397F8C" w:rsidRDefault="00397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65231" w14:textId="77777777" w:rsidR="00F92D6E" w:rsidRDefault="00F92D6E" w:rsidP="005852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1BE923" w14:textId="77777777" w:rsidR="00F92D6E" w:rsidRDefault="00F92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109A6" w14:textId="65EE1A8C" w:rsidR="00F92D6E" w:rsidRDefault="00F92D6E" w:rsidP="005852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7F3E">
      <w:rPr>
        <w:rStyle w:val="PageNumber"/>
        <w:noProof/>
      </w:rPr>
      <w:t>3</w:t>
    </w:r>
    <w:r>
      <w:rPr>
        <w:rStyle w:val="PageNumber"/>
      </w:rPr>
      <w:fldChar w:fldCharType="end"/>
    </w:r>
  </w:p>
  <w:p w14:paraId="3FDBE3B8" w14:textId="77777777" w:rsidR="00F92D6E" w:rsidRDefault="00F92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2806"/>
    <w:multiLevelType w:val="multilevel"/>
    <w:tmpl w:val="094E4C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07143E91"/>
    <w:multiLevelType w:val="hybridMultilevel"/>
    <w:tmpl w:val="FBC8B47E"/>
    <w:lvl w:ilvl="0" w:tplc="0E6ED3CE">
      <w:start w:val="3"/>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08677876"/>
    <w:multiLevelType w:val="multilevel"/>
    <w:tmpl w:val="C9542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16B79DA"/>
    <w:multiLevelType w:val="hybridMultilevel"/>
    <w:tmpl w:val="D15EBF38"/>
    <w:lvl w:ilvl="0" w:tplc="A7CA5B3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2095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5">
    <w:nsid w:val="24A57F16"/>
    <w:multiLevelType w:val="multilevel"/>
    <w:tmpl w:val="C9542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6180D61"/>
    <w:multiLevelType w:val="multilevel"/>
    <w:tmpl w:val="0F00CA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BE795A"/>
    <w:multiLevelType w:val="multilevel"/>
    <w:tmpl w:val="C9542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A135257"/>
    <w:multiLevelType w:val="hybridMultilevel"/>
    <w:tmpl w:val="DF66C574"/>
    <w:lvl w:ilvl="0" w:tplc="9D00B15E">
      <w:start w:val="2"/>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2BB218BB"/>
    <w:multiLevelType w:val="multilevel"/>
    <w:tmpl w:val="D3CCD57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C2016A"/>
    <w:multiLevelType w:val="hybridMultilevel"/>
    <w:tmpl w:val="D54C5E58"/>
    <w:lvl w:ilvl="0" w:tplc="0E6ED3CE">
      <w:start w:val="3"/>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CA1D14"/>
    <w:multiLevelType w:val="multilevel"/>
    <w:tmpl w:val="6C2C53B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450753E3"/>
    <w:multiLevelType w:val="hybridMultilevel"/>
    <w:tmpl w:val="9BF6925A"/>
    <w:lvl w:ilvl="0" w:tplc="E4DEBB98">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4C6C1763"/>
    <w:multiLevelType w:val="hybridMultilevel"/>
    <w:tmpl w:val="9A62442C"/>
    <w:lvl w:ilvl="0" w:tplc="E4DEBB9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E31667"/>
    <w:multiLevelType w:val="hybridMultilevel"/>
    <w:tmpl w:val="4036D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4C96BF8"/>
    <w:multiLevelType w:val="hybridMultilevel"/>
    <w:tmpl w:val="B302EB08"/>
    <w:lvl w:ilvl="0" w:tplc="E4DEBB9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
    <w:nsid w:val="54FB71B0"/>
    <w:multiLevelType w:val="hybridMultilevel"/>
    <w:tmpl w:val="58E6EEB8"/>
    <w:lvl w:ilvl="0" w:tplc="E4DEBB98">
      <w:start w:val="3"/>
      <w:numFmt w:val="bullet"/>
      <w:lvlText w:val="-"/>
      <w:lvlJc w:val="left"/>
      <w:pPr>
        <w:ind w:left="4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566E7A6F"/>
    <w:multiLevelType w:val="hybridMultilevel"/>
    <w:tmpl w:val="AB8CC50A"/>
    <w:lvl w:ilvl="0" w:tplc="5DF6295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6C6027"/>
    <w:multiLevelType w:val="hybridMultilevel"/>
    <w:tmpl w:val="18E8BE9E"/>
    <w:lvl w:ilvl="0" w:tplc="0426000F">
      <w:start w:val="3"/>
      <w:numFmt w:val="bullet"/>
      <w:lvlText w:val="-"/>
      <w:lvlJc w:val="left"/>
      <w:pPr>
        <w:ind w:left="420" w:hanging="360"/>
      </w:pPr>
      <w:rPr>
        <w:rFonts w:ascii="Times New Roman" w:eastAsia="Times New Roman" w:hAnsi="Times New Roman" w:cs="Times New Roman"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19">
    <w:nsid w:val="74885EF3"/>
    <w:multiLevelType w:val="multilevel"/>
    <w:tmpl w:val="233E6C00"/>
    <w:lvl w:ilvl="0">
      <w:start w:val="1"/>
      <w:numFmt w:val="decimal"/>
      <w:lvlText w:val="%1)"/>
      <w:lvlJc w:val="left"/>
      <w:pPr>
        <w:ind w:left="360" w:hanging="360"/>
      </w:pPr>
      <w:rPr>
        <w:rFonts w:ascii="Times New Roman" w:eastAsia="Times New Roman" w:hAnsi="Times New Roman" w:cs="Times New Roman"/>
        <w:b w:val="0"/>
        <w:color w:val="auto"/>
        <w:sz w:val="28"/>
        <w:szCs w:val="28"/>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5"/>
  </w:num>
  <w:num w:numId="2">
    <w:abstractNumId w:val="8"/>
  </w:num>
  <w:num w:numId="3">
    <w:abstractNumId w:val="12"/>
  </w:num>
  <w:num w:numId="4">
    <w:abstractNumId w:val="3"/>
  </w:num>
  <w:num w:numId="5">
    <w:abstractNumId w:val="17"/>
  </w:num>
  <w:num w:numId="6">
    <w:abstractNumId w:val="1"/>
  </w:num>
  <w:num w:numId="7">
    <w:abstractNumId w:val="18"/>
  </w:num>
  <w:num w:numId="8">
    <w:abstractNumId w:val="16"/>
  </w:num>
  <w:num w:numId="9">
    <w:abstractNumId w:val="10"/>
  </w:num>
  <w:num w:numId="10">
    <w:abstractNumId w:val="7"/>
  </w:num>
  <w:num w:numId="11">
    <w:abstractNumId w:val="0"/>
  </w:num>
  <w:num w:numId="12">
    <w:abstractNumId w:val="5"/>
  </w:num>
  <w:num w:numId="13">
    <w:abstractNumId w:val="4"/>
  </w:num>
  <w:num w:numId="14">
    <w:abstractNumId w:val="11"/>
  </w:num>
  <w:num w:numId="15">
    <w:abstractNumId w:val="19"/>
  </w:num>
  <w:num w:numId="16">
    <w:abstractNumId w:val="2"/>
  </w:num>
  <w:num w:numId="17">
    <w:abstractNumId w:val="13"/>
  </w:num>
  <w:num w:numId="18">
    <w:abstractNumId w:val="6"/>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05"/>
    <w:rsid w:val="000053CB"/>
    <w:rsid w:val="00005C7A"/>
    <w:rsid w:val="00006AED"/>
    <w:rsid w:val="00007412"/>
    <w:rsid w:val="00007B97"/>
    <w:rsid w:val="00007F42"/>
    <w:rsid w:val="00010BDE"/>
    <w:rsid w:val="00012FEA"/>
    <w:rsid w:val="000148E3"/>
    <w:rsid w:val="00016B26"/>
    <w:rsid w:val="0002303A"/>
    <w:rsid w:val="00024AF8"/>
    <w:rsid w:val="0002722A"/>
    <w:rsid w:val="00027F27"/>
    <w:rsid w:val="0003334E"/>
    <w:rsid w:val="0003378C"/>
    <w:rsid w:val="00035264"/>
    <w:rsid w:val="0003607E"/>
    <w:rsid w:val="00037B82"/>
    <w:rsid w:val="00044BE5"/>
    <w:rsid w:val="00045A3C"/>
    <w:rsid w:val="00057864"/>
    <w:rsid w:val="000662D3"/>
    <w:rsid w:val="00067824"/>
    <w:rsid w:val="000767C2"/>
    <w:rsid w:val="00077FAE"/>
    <w:rsid w:val="00081D5A"/>
    <w:rsid w:val="000821B0"/>
    <w:rsid w:val="00082D20"/>
    <w:rsid w:val="0009143B"/>
    <w:rsid w:val="000A149A"/>
    <w:rsid w:val="000A3C18"/>
    <w:rsid w:val="000A6DF2"/>
    <w:rsid w:val="000B2ED9"/>
    <w:rsid w:val="000B2FE2"/>
    <w:rsid w:val="000C2818"/>
    <w:rsid w:val="000C3D0E"/>
    <w:rsid w:val="000C5918"/>
    <w:rsid w:val="000C7F08"/>
    <w:rsid w:val="000D6007"/>
    <w:rsid w:val="000E0A12"/>
    <w:rsid w:val="000E454D"/>
    <w:rsid w:val="000E68A7"/>
    <w:rsid w:val="000F43E2"/>
    <w:rsid w:val="001007BD"/>
    <w:rsid w:val="00100B8A"/>
    <w:rsid w:val="001043B6"/>
    <w:rsid w:val="00113DC2"/>
    <w:rsid w:val="0011516A"/>
    <w:rsid w:val="001154B4"/>
    <w:rsid w:val="001160E7"/>
    <w:rsid w:val="00116D99"/>
    <w:rsid w:val="0012657F"/>
    <w:rsid w:val="00132B0F"/>
    <w:rsid w:val="00136A25"/>
    <w:rsid w:val="00143A96"/>
    <w:rsid w:val="001516CE"/>
    <w:rsid w:val="00152422"/>
    <w:rsid w:val="001540F9"/>
    <w:rsid w:val="00154A36"/>
    <w:rsid w:val="00162C16"/>
    <w:rsid w:val="001630BE"/>
    <w:rsid w:val="001631C5"/>
    <w:rsid w:val="001668EC"/>
    <w:rsid w:val="00167246"/>
    <w:rsid w:val="00184265"/>
    <w:rsid w:val="00187E04"/>
    <w:rsid w:val="001957BD"/>
    <w:rsid w:val="00197FEB"/>
    <w:rsid w:val="001A0E1C"/>
    <w:rsid w:val="001A1E5A"/>
    <w:rsid w:val="001A3A49"/>
    <w:rsid w:val="001A6134"/>
    <w:rsid w:val="001B0D52"/>
    <w:rsid w:val="001B2954"/>
    <w:rsid w:val="001B37FD"/>
    <w:rsid w:val="001C156A"/>
    <w:rsid w:val="001C4F93"/>
    <w:rsid w:val="001C63FA"/>
    <w:rsid w:val="001C7BA8"/>
    <w:rsid w:val="001E1F47"/>
    <w:rsid w:val="001E423F"/>
    <w:rsid w:val="001E55B7"/>
    <w:rsid w:val="001F10FD"/>
    <w:rsid w:val="001F55CF"/>
    <w:rsid w:val="001F57B4"/>
    <w:rsid w:val="001F7672"/>
    <w:rsid w:val="00202DC7"/>
    <w:rsid w:val="0021035E"/>
    <w:rsid w:val="00210F21"/>
    <w:rsid w:val="00213C10"/>
    <w:rsid w:val="00214075"/>
    <w:rsid w:val="00220E00"/>
    <w:rsid w:val="00223B34"/>
    <w:rsid w:val="002307E4"/>
    <w:rsid w:val="00236802"/>
    <w:rsid w:val="00236C7F"/>
    <w:rsid w:val="00246BB3"/>
    <w:rsid w:val="00252AC6"/>
    <w:rsid w:val="00253080"/>
    <w:rsid w:val="00256BAC"/>
    <w:rsid w:val="002607AF"/>
    <w:rsid w:val="00261CC6"/>
    <w:rsid w:val="00276E6F"/>
    <w:rsid w:val="002820A9"/>
    <w:rsid w:val="00286324"/>
    <w:rsid w:val="002963C3"/>
    <w:rsid w:val="002A1A42"/>
    <w:rsid w:val="002A1B5C"/>
    <w:rsid w:val="002A5D22"/>
    <w:rsid w:val="002A7115"/>
    <w:rsid w:val="002B3423"/>
    <w:rsid w:val="002B391A"/>
    <w:rsid w:val="002B4D39"/>
    <w:rsid w:val="002C1AE6"/>
    <w:rsid w:val="002C2787"/>
    <w:rsid w:val="002D2699"/>
    <w:rsid w:val="002D4E88"/>
    <w:rsid w:val="002D53E1"/>
    <w:rsid w:val="002D5CDC"/>
    <w:rsid w:val="002D6264"/>
    <w:rsid w:val="002E19EB"/>
    <w:rsid w:val="002E663D"/>
    <w:rsid w:val="002F562B"/>
    <w:rsid w:val="00301059"/>
    <w:rsid w:val="00316C49"/>
    <w:rsid w:val="00320B04"/>
    <w:rsid w:val="003217FC"/>
    <w:rsid w:val="00327E3F"/>
    <w:rsid w:val="0033014C"/>
    <w:rsid w:val="00334BA8"/>
    <w:rsid w:val="0033637D"/>
    <w:rsid w:val="00346112"/>
    <w:rsid w:val="00351256"/>
    <w:rsid w:val="0035605C"/>
    <w:rsid w:val="003562AD"/>
    <w:rsid w:val="00361330"/>
    <w:rsid w:val="00365078"/>
    <w:rsid w:val="00366EE7"/>
    <w:rsid w:val="003704FC"/>
    <w:rsid w:val="00373345"/>
    <w:rsid w:val="003758D9"/>
    <w:rsid w:val="003822D5"/>
    <w:rsid w:val="00386858"/>
    <w:rsid w:val="00386ABA"/>
    <w:rsid w:val="003873A5"/>
    <w:rsid w:val="00390546"/>
    <w:rsid w:val="0039089D"/>
    <w:rsid w:val="00390F78"/>
    <w:rsid w:val="00397F8C"/>
    <w:rsid w:val="003A01AC"/>
    <w:rsid w:val="003A228E"/>
    <w:rsid w:val="003A381B"/>
    <w:rsid w:val="003A4851"/>
    <w:rsid w:val="003B0C4D"/>
    <w:rsid w:val="003B7218"/>
    <w:rsid w:val="003D0B9A"/>
    <w:rsid w:val="003D0CD9"/>
    <w:rsid w:val="003D5776"/>
    <w:rsid w:val="003D5995"/>
    <w:rsid w:val="003D5A02"/>
    <w:rsid w:val="003D6CA8"/>
    <w:rsid w:val="003E06B3"/>
    <w:rsid w:val="003E07FE"/>
    <w:rsid w:val="003E2D56"/>
    <w:rsid w:val="003E3F51"/>
    <w:rsid w:val="003F2C13"/>
    <w:rsid w:val="00400B2A"/>
    <w:rsid w:val="00401C18"/>
    <w:rsid w:val="00401CE2"/>
    <w:rsid w:val="0040309B"/>
    <w:rsid w:val="00404EFA"/>
    <w:rsid w:val="004066B1"/>
    <w:rsid w:val="00410534"/>
    <w:rsid w:val="00413439"/>
    <w:rsid w:val="00416606"/>
    <w:rsid w:val="00417510"/>
    <w:rsid w:val="00417BB3"/>
    <w:rsid w:val="00421224"/>
    <w:rsid w:val="00423014"/>
    <w:rsid w:val="0042578E"/>
    <w:rsid w:val="00426C15"/>
    <w:rsid w:val="00426D6A"/>
    <w:rsid w:val="00427EE2"/>
    <w:rsid w:val="0043609D"/>
    <w:rsid w:val="0044781F"/>
    <w:rsid w:val="0045441D"/>
    <w:rsid w:val="00456C64"/>
    <w:rsid w:val="0046063D"/>
    <w:rsid w:val="00461037"/>
    <w:rsid w:val="00461D37"/>
    <w:rsid w:val="00465FE8"/>
    <w:rsid w:val="00466856"/>
    <w:rsid w:val="004767A3"/>
    <w:rsid w:val="00480EE6"/>
    <w:rsid w:val="00481482"/>
    <w:rsid w:val="004849D3"/>
    <w:rsid w:val="00487359"/>
    <w:rsid w:val="00496361"/>
    <w:rsid w:val="004A148A"/>
    <w:rsid w:val="004A1EAD"/>
    <w:rsid w:val="004A28D6"/>
    <w:rsid w:val="004A3490"/>
    <w:rsid w:val="004A5075"/>
    <w:rsid w:val="004A5FE5"/>
    <w:rsid w:val="004A6F57"/>
    <w:rsid w:val="004B4F5D"/>
    <w:rsid w:val="004B61AB"/>
    <w:rsid w:val="004B6B98"/>
    <w:rsid w:val="004B7AB7"/>
    <w:rsid w:val="004B7B96"/>
    <w:rsid w:val="004C15B8"/>
    <w:rsid w:val="004C6B56"/>
    <w:rsid w:val="004E1D7F"/>
    <w:rsid w:val="004E2071"/>
    <w:rsid w:val="004E469F"/>
    <w:rsid w:val="004E789D"/>
    <w:rsid w:val="004E7CAD"/>
    <w:rsid w:val="004E7EEB"/>
    <w:rsid w:val="004E7F87"/>
    <w:rsid w:val="004F46AE"/>
    <w:rsid w:val="004F4D38"/>
    <w:rsid w:val="004F7F3C"/>
    <w:rsid w:val="0051055F"/>
    <w:rsid w:val="00510641"/>
    <w:rsid w:val="00512231"/>
    <w:rsid w:val="00512B83"/>
    <w:rsid w:val="0051525A"/>
    <w:rsid w:val="0052156B"/>
    <w:rsid w:val="00525FE2"/>
    <w:rsid w:val="00530964"/>
    <w:rsid w:val="00530F93"/>
    <w:rsid w:val="00531CA3"/>
    <w:rsid w:val="00532273"/>
    <w:rsid w:val="005358D1"/>
    <w:rsid w:val="00540FE9"/>
    <w:rsid w:val="00542D92"/>
    <w:rsid w:val="0054377E"/>
    <w:rsid w:val="00553AD2"/>
    <w:rsid w:val="00555ED5"/>
    <w:rsid w:val="005604F8"/>
    <w:rsid w:val="0056167F"/>
    <w:rsid w:val="005723E7"/>
    <w:rsid w:val="00572C8E"/>
    <w:rsid w:val="00573FC0"/>
    <w:rsid w:val="00577CDF"/>
    <w:rsid w:val="00577D6F"/>
    <w:rsid w:val="005835B8"/>
    <w:rsid w:val="00585205"/>
    <w:rsid w:val="00587556"/>
    <w:rsid w:val="005879BA"/>
    <w:rsid w:val="00587CDA"/>
    <w:rsid w:val="00587CF7"/>
    <w:rsid w:val="00587EFD"/>
    <w:rsid w:val="005920DB"/>
    <w:rsid w:val="00592689"/>
    <w:rsid w:val="00592910"/>
    <w:rsid w:val="00594DE9"/>
    <w:rsid w:val="005A3FB8"/>
    <w:rsid w:val="005A6B4B"/>
    <w:rsid w:val="005B1D86"/>
    <w:rsid w:val="005B3879"/>
    <w:rsid w:val="005B4797"/>
    <w:rsid w:val="005B59F5"/>
    <w:rsid w:val="005B6345"/>
    <w:rsid w:val="005B6D76"/>
    <w:rsid w:val="005B7BA0"/>
    <w:rsid w:val="005C1378"/>
    <w:rsid w:val="005C52EE"/>
    <w:rsid w:val="005C645C"/>
    <w:rsid w:val="005C6A79"/>
    <w:rsid w:val="005D1774"/>
    <w:rsid w:val="005E4393"/>
    <w:rsid w:val="005E67AC"/>
    <w:rsid w:val="005E70C3"/>
    <w:rsid w:val="005F245E"/>
    <w:rsid w:val="005F36E9"/>
    <w:rsid w:val="005F6D01"/>
    <w:rsid w:val="005F6F83"/>
    <w:rsid w:val="00601F30"/>
    <w:rsid w:val="00604C21"/>
    <w:rsid w:val="00613755"/>
    <w:rsid w:val="00621C23"/>
    <w:rsid w:val="006221CB"/>
    <w:rsid w:val="0062784C"/>
    <w:rsid w:val="00632D0E"/>
    <w:rsid w:val="00635511"/>
    <w:rsid w:val="00636699"/>
    <w:rsid w:val="00640E21"/>
    <w:rsid w:val="00642FB3"/>
    <w:rsid w:val="00650DD2"/>
    <w:rsid w:val="006553E7"/>
    <w:rsid w:val="00661945"/>
    <w:rsid w:val="00666B69"/>
    <w:rsid w:val="00667EC2"/>
    <w:rsid w:val="00671A46"/>
    <w:rsid w:val="006733D3"/>
    <w:rsid w:val="00674B13"/>
    <w:rsid w:val="00674D29"/>
    <w:rsid w:val="00674F55"/>
    <w:rsid w:val="00686621"/>
    <w:rsid w:val="00695C8B"/>
    <w:rsid w:val="006A25DB"/>
    <w:rsid w:val="006A70CC"/>
    <w:rsid w:val="006A7493"/>
    <w:rsid w:val="006A7EEA"/>
    <w:rsid w:val="006B2144"/>
    <w:rsid w:val="006B28A2"/>
    <w:rsid w:val="006C2EE9"/>
    <w:rsid w:val="006C5BE9"/>
    <w:rsid w:val="006C6B3E"/>
    <w:rsid w:val="006D074C"/>
    <w:rsid w:val="006D3208"/>
    <w:rsid w:val="006D5629"/>
    <w:rsid w:val="006D5A05"/>
    <w:rsid w:val="006E08C5"/>
    <w:rsid w:val="006E3218"/>
    <w:rsid w:val="006E689F"/>
    <w:rsid w:val="006F010B"/>
    <w:rsid w:val="006F5FE2"/>
    <w:rsid w:val="007005BB"/>
    <w:rsid w:val="00701F26"/>
    <w:rsid w:val="00705C63"/>
    <w:rsid w:val="0072046B"/>
    <w:rsid w:val="007267DC"/>
    <w:rsid w:val="00727C42"/>
    <w:rsid w:val="007314CC"/>
    <w:rsid w:val="00735E13"/>
    <w:rsid w:val="0073637F"/>
    <w:rsid w:val="00742E3E"/>
    <w:rsid w:val="007450A1"/>
    <w:rsid w:val="007473FA"/>
    <w:rsid w:val="007503B9"/>
    <w:rsid w:val="00750D18"/>
    <w:rsid w:val="00752E63"/>
    <w:rsid w:val="0076097B"/>
    <w:rsid w:val="0076261F"/>
    <w:rsid w:val="00764CD7"/>
    <w:rsid w:val="00776C0D"/>
    <w:rsid w:val="007816EE"/>
    <w:rsid w:val="007877AA"/>
    <w:rsid w:val="00797155"/>
    <w:rsid w:val="007B3572"/>
    <w:rsid w:val="007C04F9"/>
    <w:rsid w:val="007C2146"/>
    <w:rsid w:val="007C267A"/>
    <w:rsid w:val="007C5789"/>
    <w:rsid w:val="007E6AC1"/>
    <w:rsid w:val="007F7A43"/>
    <w:rsid w:val="008015B2"/>
    <w:rsid w:val="008033C9"/>
    <w:rsid w:val="00804B27"/>
    <w:rsid w:val="0081166D"/>
    <w:rsid w:val="0081353B"/>
    <w:rsid w:val="00813A15"/>
    <w:rsid w:val="00822CBB"/>
    <w:rsid w:val="00825FF0"/>
    <w:rsid w:val="00826248"/>
    <w:rsid w:val="008308C3"/>
    <w:rsid w:val="0083352B"/>
    <w:rsid w:val="008373A8"/>
    <w:rsid w:val="008405D8"/>
    <w:rsid w:val="00840DA6"/>
    <w:rsid w:val="0084770E"/>
    <w:rsid w:val="0085330F"/>
    <w:rsid w:val="008539A1"/>
    <w:rsid w:val="00854DF5"/>
    <w:rsid w:val="00877A5B"/>
    <w:rsid w:val="00882B34"/>
    <w:rsid w:val="0088370C"/>
    <w:rsid w:val="00886733"/>
    <w:rsid w:val="008A2A58"/>
    <w:rsid w:val="008A49C1"/>
    <w:rsid w:val="008A72C7"/>
    <w:rsid w:val="008B4821"/>
    <w:rsid w:val="008C40A0"/>
    <w:rsid w:val="008C6173"/>
    <w:rsid w:val="008D2F1F"/>
    <w:rsid w:val="008D5095"/>
    <w:rsid w:val="008E2D79"/>
    <w:rsid w:val="008E4510"/>
    <w:rsid w:val="008E4B7B"/>
    <w:rsid w:val="008F250E"/>
    <w:rsid w:val="008F4EBC"/>
    <w:rsid w:val="008F5311"/>
    <w:rsid w:val="00903D47"/>
    <w:rsid w:val="0091147F"/>
    <w:rsid w:val="00911624"/>
    <w:rsid w:val="009175F8"/>
    <w:rsid w:val="00923385"/>
    <w:rsid w:val="00924F98"/>
    <w:rsid w:val="00926F8D"/>
    <w:rsid w:val="00936B3C"/>
    <w:rsid w:val="00945ABE"/>
    <w:rsid w:val="00946F6F"/>
    <w:rsid w:val="00947737"/>
    <w:rsid w:val="00954DD0"/>
    <w:rsid w:val="009561A2"/>
    <w:rsid w:val="00970ECE"/>
    <w:rsid w:val="00972162"/>
    <w:rsid w:val="00976630"/>
    <w:rsid w:val="0098002D"/>
    <w:rsid w:val="0098310F"/>
    <w:rsid w:val="00984FE2"/>
    <w:rsid w:val="009909C7"/>
    <w:rsid w:val="009A405A"/>
    <w:rsid w:val="009B0491"/>
    <w:rsid w:val="009B2A13"/>
    <w:rsid w:val="009B3714"/>
    <w:rsid w:val="009B486D"/>
    <w:rsid w:val="009C2F87"/>
    <w:rsid w:val="009D0670"/>
    <w:rsid w:val="009D76C0"/>
    <w:rsid w:val="009E316C"/>
    <w:rsid w:val="009F352C"/>
    <w:rsid w:val="009F46DD"/>
    <w:rsid w:val="009F5791"/>
    <w:rsid w:val="009F719D"/>
    <w:rsid w:val="00A00E78"/>
    <w:rsid w:val="00A04560"/>
    <w:rsid w:val="00A0750D"/>
    <w:rsid w:val="00A10475"/>
    <w:rsid w:val="00A10ECE"/>
    <w:rsid w:val="00A14154"/>
    <w:rsid w:val="00A15A49"/>
    <w:rsid w:val="00A31050"/>
    <w:rsid w:val="00A33058"/>
    <w:rsid w:val="00A36F00"/>
    <w:rsid w:val="00A43B2A"/>
    <w:rsid w:val="00A472C5"/>
    <w:rsid w:val="00A51CEE"/>
    <w:rsid w:val="00A54CF5"/>
    <w:rsid w:val="00A55558"/>
    <w:rsid w:val="00A557FF"/>
    <w:rsid w:val="00A60604"/>
    <w:rsid w:val="00A64533"/>
    <w:rsid w:val="00A65DF6"/>
    <w:rsid w:val="00A800D9"/>
    <w:rsid w:val="00A81EA7"/>
    <w:rsid w:val="00A83860"/>
    <w:rsid w:val="00A87744"/>
    <w:rsid w:val="00A96C65"/>
    <w:rsid w:val="00AA0587"/>
    <w:rsid w:val="00AA0DE2"/>
    <w:rsid w:val="00AA291D"/>
    <w:rsid w:val="00AA68A5"/>
    <w:rsid w:val="00AA7B14"/>
    <w:rsid w:val="00AA7C2B"/>
    <w:rsid w:val="00AB517F"/>
    <w:rsid w:val="00AB6254"/>
    <w:rsid w:val="00AC48C8"/>
    <w:rsid w:val="00AC7872"/>
    <w:rsid w:val="00AC7AA7"/>
    <w:rsid w:val="00AC7B9C"/>
    <w:rsid w:val="00AC7D43"/>
    <w:rsid w:val="00AD5062"/>
    <w:rsid w:val="00AD5B42"/>
    <w:rsid w:val="00AD63F6"/>
    <w:rsid w:val="00AD6457"/>
    <w:rsid w:val="00AE0925"/>
    <w:rsid w:val="00AE1655"/>
    <w:rsid w:val="00AE3EB4"/>
    <w:rsid w:val="00AF3453"/>
    <w:rsid w:val="00AF4A73"/>
    <w:rsid w:val="00AF742F"/>
    <w:rsid w:val="00B03D2C"/>
    <w:rsid w:val="00B044AB"/>
    <w:rsid w:val="00B07431"/>
    <w:rsid w:val="00B1515D"/>
    <w:rsid w:val="00B20775"/>
    <w:rsid w:val="00B265BC"/>
    <w:rsid w:val="00B31F5F"/>
    <w:rsid w:val="00B349B0"/>
    <w:rsid w:val="00B36435"/>
    <w:rsid w:val="00B37A71"/>
    <w:rsid w:val="00B405C6"/>
    <w:rsid w:val="00B41737"/>
    <w:rsid w:val="00B4400E"/>
    <w:rsid w:val="00B47538"/>
    <w:rsid w:val="00B53344"/>
    <w:rsid w:val="00B536AC"/>
    <w:rsid w:val="00B53FBC"/>
    <w:rsid w:val="00B558EA"/>
    <w:rsid w:val="00B64733"/>
    <w:rsid w:val="00B647E6"/>
    <w:rsid w:val="00B703B1"/>
    <w:rsid w:val="00B70D6C"/>
    <w:rsid w:val="00B72CC1"/>
    <w:rsid w:val="00B757D3"/>
    <w:rsid w:val="00B8151A"/>
    <w:rsid w:val="00B82BEB"/>
    <w:rsid w:val="00B8324D"/>
    <w:rsid w:val="00B86BFA"/>
    <w:rsid w:val="00B87793"/>
    <w:rsid w:val="00B90828"/>
    <w:rsid w:val="00B92FD2"/>
    <w:rsid w:val="00B931C0"/>
    <w:rsid w:val="00B93523"/>
    <w:rsid w:val="00B95659"/>
    <w:rsid w:val="00BA5972"/>
    <w:rsid w:val="00BB7275"/>
    <w:rsid w:val="00BB7407"/>
    <w:rsid w:val="00BC0725"/>
    <w:rsid w:val="00BC13CD"/>
    <w:rsid w:val="00BC4616"/>
    <w:rsid w:val="00BD29D1"/>
    <w:rsid w:val="00BD3544"/>
    <w:rsid w:val="00BD46F9"/>
    <w:rsid w:val="00BD62B4"/>
    <w:rsid w:val="00BD70C7"/>
    <w:rsid w:val="00BE79B4"/>
    <w:rsid w:val="00BF13B9"/>
    <w:rsid w:val="00BF4D74"/>
    <w:rsid w:val="00BF525D"/>
    <w:rsid w:val="00C04523"/>
    <w:rsid w:val="00C10ABE"/>
    <w:rsid w:val="00C110F0"/>
    <w:rsid w:val="00C120F6"/>
    <w:rsid w:val="00C12B61"/>
    <w:rsid w:val="00C208DC"/>
    <w:rsid w:val="00C21D1B"/>
    <w:rsid w:val="00C21FF4"/>
    <w:rsid w:val="00C25846"/>
    <w:rsid w:val="00C3386B"/>
    <w:rsid w:val="00C41BFC"/>
    <w:rsid w:val="00C4686F"/>
    <w:rsid w:val="00C472A2"/>
    <w:rsid w:val="00C47390"/>
    <w:rsid w:val="00C4793F"/>
    <w:rsid w:val="00C626BB"/>
    <w:rsid w:val="00C62E9C"/>
    <w:rsid w:val="00C67DF8"/>
    <w:rsid w:val="00C903B9"/>
    <w:rsid w:val="00CA246F"/>
    <w:rsid w:val="00CA2D47"/>
    <w:rsid w:val="00CB0269"/>
    <w:rsid w:val="00CB09F8"/>
    <w:rsid w:val="00CB0BC9"/>
    <w:rsid w:val="00CB1A51"/>
    <w:rsid w:val="00CB2AB4"/>
    <w:rsid w:val="00CC4247"/>
    <w:rsid w:val="00CC5AE9"/>
    <w:rsid w:val="00CC6143"/>
    <w:rsid w:val="00CC6FB0"/>
    <w:rsid w:val="00CC7171"/>
    <w:rsid w:val="00CC7A0A"/>
    <w:rsid w:val="00CD7FE2"/>
    <w:rsid w:val="00CE127B"/>
    <w:rsid w:val="00CE4495"/>
    <w:rsid w:val="00CE596B"/>
    <w:rsid w:val="00CE5F41"/>
    <w:rsid w:val="00CE7605"/>
    <w:rsid w:val="00D01082"/>
    <w:rsid w:val="00D016B3"/>
    <w:rsid w:val="00D0337A"/>
    <w:rsid w:val="00D05B15"/>
    <w:rsid w:val="00D162AF"/>
    <w:rsid w:val="00D22D4D"/>
    <w:rsid w:val="00D30F81"/>
    <w:rsid w:val="00D34CAB"/>
    <w:rsid w:val="00D35EB8"/>
    <w:rsid w:val="00D36AC2"/>
    <w:rsid w:val="00D4047D"/>
    <w:rsid w:val="00D4061A"/>
    <w:rsid w:val="00D44563"/>
    <w:rsid w:val="00D474F3"/>
    <w:rsid w:val="00D5164A"/>
    <w:rsid w:val="00D5274A"/>
    <w:rsid w:val="00D573EA"/>
    <w:rsid w:val="00D57C02"/>
    <w:rsid w:val="00D6295C"/>
    <w:rsid w:val="00D63C05"/>
    <w:rsid w:val="00D669EB"/>
    <w:rsid w:val="00D72600"/>
    <w:rsid w:val="00D74F0B"/>
    <w:rsid w:val="00D84154"/>
    <w:rsid w:val="00D862B3"/>
    <w:rsid w:val="00D93BD0"/>
    <w:rsid w:val="00D97651"/>
    <w:rsid w:val="00D97740"/>
    <w:rsid w:val="00DA0CBF"/>
    <w:rsid w:val="00DA257C"/>
    <w:rsid w:val="00DB0A38"/>
    <w:rsid w:val="00DB181F"/>
    <w:rsid w:val="00DC0B5D"/>
    <w:rsid w:val="00DC7C97"/>
    <w:rsid w:val="00DD172B"/>
    <w:rsid w:val="00DD3B03"/>
    <w:rsid w:val="00DD53EE"/>
    <w:rsid w:val="00DD55B8"/>
    <w:rsid w:val="00DE151F"/>
    <w:rsid w:val="00DE1672"/>
    <w:rsid w:val="00DE4AD3"/>
    <w:rsid w:val="00DE6086"/>
    <w:rsid w:val="00DE7B87"/>
    <w:rsid w:val="00DF00EA"/>
    <w:rsid w:val="00DF18E2"/>
    <w:rsid w:val="00DF4A31"/>
    <w:rsid w:val="00E03AE5"/>
    <w:rsid w:val="00E06277"/>
    <w:rsid w:val="00E06E25"/>
    <w:rsid w:val="00E11BE6"/>
    <w:rsid w:val="00E15E83"/>
    <w:rsid w:val="00E16400"/>
    <w:rsid w:val="00E2110B"/>
    <w:rsid w:val="00E2156C"/>
    <w:rsid w:val="00E30413"/>
    <w:rsid w:val="00E31860"/>
    <w:rsid w:val="00E342F9"/>
    <w:rsid w:val="00E34F2A"/>
    <w:rsid w:val="00E356AA"/>
    <w:rsid w:val="00E37590"/>
    <w:rsid w:val="00E379BB"/>
    <w:rsid w:val="00E423AE"/>
    <w:rsid w:val="00E45C2A"/>
    <w:rsid w:val="00E46198"/>
    <w:rsid w:val="00E50349"/>
    <w:rsid w:val="00E521F0"/>
    <w:rsid w:val="00E5531B"/>
    <w:rsid w:val="00E567C1"/>
    <w:rsid w:val="00E66CA3"/>
    <w:rsid w:val="00E70B26"/>
    <w:rsid w:val="00E93587"/>
    <w:rsid w:val="00E96840"/>
    <w:rsid w:val="00EA31B0"/>
    <w:rsid w:val="00EA3E63"/>
    <w:rsid w:val="00EA586E"/>
    <w:rsid w:val="00EA59CB"/>
    <w:rsid w:val="00EB21E8"/>
    <w:rsid w:val="00EB7605"/>
    <w:rsid w:val="00EB7FAE"/>
    <w:rsid w:val="00EC22DC"/>
    <w:rsid w:val="00EC38B3"/>
    <w:rsid w:val="00EC5670"/>
    <w:rsid w:val="00EC6A7F"/>
    <w:rsid w:val="00EE4835"/>
    <w:rsid w:val="00EF03E1"/>
    <w:rsid w:val="00EF2DF4"/>
    <w:rsid w:val="00EF519F"/>
    <w:rsid w:val="00EF6E47"/>
    <w:rsid w:val="00F017EB"/>
    <w:rsid w:val="00F01A9A"/>
    <w:rsid w:val="00F02143"/>
    <w:rsid w:val="00F033D8"/>
    <w:rsid w:val="00F147FD"/>
    <w:rsid w:val="00F2063B"/>
    <w:rsid w:val="00F42470"/>
    <w:rsid w:val="00F429D0"/>
    <w:rsid w:val="00F43C1B"/>
    <w:rsid w:val="00F457CC"/>
    <w:rsid w:val="00F461A2"/>
    <w:rsid w:val="00F473AF"/>
    <w:rsid w:val="00F505EB"/>
    <w:rsid w:val="00F516A9"/>
    <w:rsid w:val="00F5277E"/>
    <w:rsid w:val="00F54F3B"/>
    <w:rsid w:val="00F55A77"/>
    <w:rsid w:val="00F56345"/>
    <w:rsid w:val="00F564F1"/>
    <w:rsid w:val="00F63D05"/>
    <w:rsid w:val="00F73741"/>
    <w:rsid w:val="00F73A4A"/>
    <w:rsid w:val="00F76069"/>
    <w:rsid w:val="00F80427"/>
    <w:rsid w:val="00F81570"/>
    <w:rsid w:val="00F82F7B"/>
    <w:rsid w:val="00F92D6E"/>
    <w:rsid w:val="00F969D3"/>
    <w:rsid w:val="00FB02F2"/>
    <w:rsid w:val="00FB46C0"/>
    <w:rsid w:val="00FB635B"/>
    <w:rsid w:val="00FB78F4"/>
    <w:rsid w:val="00FB7F3E"/>
    <w:rsid w:val="00FC07AF"/>
    <w:rsid w:val="00FC1D5E"/>
    <w:rsid w:val="00FC39F8"/>
    <w:rsid w:val="00FC6856"/>
    <w:rsid w:val="00FC76E8"/>
    <w:rsid w:val="00FD2505"/>
    <w:rsid w:val="00FE2D73"/>
    <w:rsid w:val="00FE2FDE"/>
    <w:rsid w:val="00FE48D2"/>
    <w:rsid w:val="00FF0F23"/>
    <w:rsid w:val="00FF440F"/>
    <w:rsid w:val="00FF4FBC"/>
    <w:rsid w:val="00FF78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02B98"/>
  <w15:chartTrackingRefBased/>
  <w15:docId w15:val="{398CA384-4610-4539-950E-AE1799D2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3C"/>
    <w:rPr>
      <w:sz w:val="24"/>
      <w:szCs w:val="24"/>
    </w:rPr>
  </w:style>
  <w:style w:type="paragraph" w:styleId="Heading1">
    <w:name w:val="heading 1"/>
    <w:basedOn w:val="Normal"/>
    <w:next w:val="Normal"/>
    <w:qFormat/>
    <w:rsid w:val="008E2D79"/>
    <w:pPr>
      <w:keepNext/>
      <w:jc w:val="center"/>
      <w:outlineLvl w:val="0"/>
    </w:pPr>
    <w:rPr>
      <w:b/>
      <w:bCs/>
      <w:sz w:val="28"/>
      <w:lang w:eastAsia="en-US"/>
    </w:rPr>
  </w:style>
  <w:style w:type="paragraph" w:styleId="Heading2">
    <w:name w:val="heading 2"/>
    <w:basedOn w:val="Normal"/>
    <w:next w:val="Normal"/>
    <w:qFormat/>
    <w:rsid w:val="008E2D79"/>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5205"/>
    <w:pPr>
      <w:spacing w:before="100" w:beforeAutospacing="1" w:after="100" w:afterAutospacing="1"/>
    </w:pPr>
  </w:style>
  <w:style w:type="paragraph" w:customStyle="1" w:styleId="naisf">
    <w:name w:val="naisf"/>
    <w:basedOn w:val="Normal"/>
    <w:rsid w:val="00585205"/>
    <w:pPr>
      <w:spacing w:before="75" w:after="75"/>
      <w:ind w:firstLine="375"/>
      <w:jc w:val="both"/>
    </w:pPr>
  </w:style>
  <w:style w:type="paragraph" w:customStyle="1" w:styleId="naisc">
    <w:name w:val="naisc"/>
    <w:basedOn w:val="Normal"/>
    <w:rsid w:val="00585205"/>
    <w:pPr>
      <w:spacing w:before="450" w:after="300"/>
      <w:jc w:val="center"/>
    </w:pPr>
    <w:rPr>
      <w:sz w:val="26"/>
      <w:szCs w:val="26"/>
    </w:rPr>
  </w:style>
  <w:style w:type="paragraph" w:customStyle="1" w:styleId="naislab">
    <w:name w:val="naislab"/>
    <w:basedOn w:val="Normal"/>
    <w:rsid w:val="00585205"/>
    <w:pPr>
      <w:spacing w:before="75" w:after="75"/>
      <w:jc w:val="right"/>
    </w:pPr>
  </w:style>
  <w:style w:type="character" w:styleId="Hyperlink">
    <w:name w:val="Hyperlink"/>
    <w:rsid w:val="00585205"/>
    <w:rPr>
      <w:color w:val="0000FF"/>
      <w:u w:val="single"/>
    </w:rPr>
  </w:style>
  <w:style w:type="paragraph" w:styleId="Footer">
    <w:name w:val="footer"/>
    <w:basedOn w:val="Normal"/>
    <w:link w:val="FooterChar"/>
    <w:rsid w:val="00585205"/>
    <w:pPr>
      <w:tabs>
        <w:tab w:val="center" w:pos="4153"/>
        <w:tab w:val="right" w:pos="8306"/>
      </w:tabs>
    </w:pPr>
    <w:rPr>
      <w:szCs w:val="20"/>
      <w:lang w:val="x-none" w:eastAsia="x-none"/>
    </w:rPr>
  </w:style>
  <w:style w:type="paragraph" w:styleId="Header">
    <w:name w:val="header"/>
    <w:basedOn w:val="Normal"/>
    <w:rsid w:val="00585205"/>
    <w:pPr>
      <w:tabs>
        <w:tab w:val="center" w:pos="4153"/>
        <w:tab w:val="right" w:pos="8306"/>
      </w:tabs>
    </w:pPr>
  </w:style>
  <w:style w:type="character" w:styleId="PageNumber">
    <w:name w:val="page number"/>
    <w:basedOn w:val="DefaultParagraphFont"/>
    <w:rsid w:val="00585205"/>
  </w:style>
  <w:style w:type="paragraph" w:customStyle="1" w:styleId="naiskr">
    <w:name w:val="naiskr"/>
    <w:basedOn w:val="Normal"/>
    <w:rsid w:val="00585205"/>
    <w:pPr>
      <w:spacing w:before="100" w:beforeAutospacing="1" w:after="100" w:afterAutospacing="1"/>
    </w:pPr>
  </w:style>
  <w:style w:type="paragraph" w:styleId="BodyTextIndent">
    <w:name w:val="Body Text Indent"/>
    <w:basedOn w:val="Normal"/>
    <w:semiHidden/>
    <w:rsid w:val="00585205"/>
    <w:pPr>
      <w:ind w:firstLine="720"/>
      <w:jc w:val="both"/>
    </w:pPr>
    <w:rPr>
      <w:sz w:val="28"/>
      <w:szCs w:val="20"/>
      <w:lang w:eastAsia="en-US"/>
    </w:rPr>
  </w:style>
  <w:style w:type="paragraph" w:styleId="BodyText">
    <w:name w:val="Body Text"/>
    <w:basedOn w:val="Normal"/>
    <w:rsid w:val="00585205"/>
    <w:pPr>
      <w:spacing w:after="120"/>
    </w:pPr>
  </w:style>
  <w:style w:type="paragraph" w:customStyle="1" w:styleId="CharChar2CharCharCharCharCharChar">
    <w:name w:val="Char Char2 Char Char Char Char Char Char"/>
    <w:basedOn w:val="Normal"/>
    <w:rsid w:val="00585205"/>
    <w:pPr>
      <w:spacing w:before="120" w:after="160" w:line="240" w:lineRule="exact"/>
      <w:ind w:firstLine="720"/>
      <w:jc w:val="both"/>
    </w:pPr>
    <w:rPr>
      <w:rFonts w:ascii="Verdana" w:hAnsi="Verdana"/>
      <w:sz w:val="20"/>
      <w:szCs w:val="20"/>
      <w:lang w:val="en-US" w:eastAsia="en-US"/>
    </w:rPr>
  </w:style>
  <w:style w:type="paragraph" w:styleId="BalloonText">
    <w:name w:val="Balloon Text"/>
    <w:basedOn w:val="Normal"/>
    <w:semiHidden/>
    <w:rsid w:val="00162C16"/>
    <w:rPr>
      <w:rFonts w:ascii="Tahoma" w:hAnsi="Tahoma" w:cs="Tahoma"/>
      <w:sz w:val="16"/>
      <w:szCs w:val="16"/>
    </w:rPr>
  </w:style>
  <w:style w:type="paragraph" w:customStyle="1" w:styleId="naisvisr">
    <w:name w:val="naisvisr"/>
    <w:basedOn w:val="Normal"/>
    <w:rsid w:val="00236C7F"/>
    <w:pPr>
      <w:spacing w:before="100" w:beforeAutospacing="1" w:after="100" w:afterAutospacing="1"/>
    </w:pPr>
    <w:rPr>
      <w:lang w:eastAsia="en-US"/>
    </w:rPr>
  </w:style>
  <w:style w:type="paragraph" w:customStyle="1" w:styleId="CharCharRakstzCharCharRakstzCharChar">
    <w:name w:val="Char Char Rakstz. Char Char Rakstz. Char Char"/>
    <w:basedOn w:val="Normal"/>
    <w:rsid w:val="00154A36"/>
    <w:pPr>
      <w:spacing w:before="40"/>
    </w:pPr>
    <w:rPr>
      <w:lang w:val="pl-PL" w:eastAsia="pl-PL"/>
    </w:rPr>
  </w:style>
  <w:style w:type="character" w:styleId="CommentReference">
    <w:name w:val="annotation reference"/>
    <w:rsid w:val="004C15B8"/>
    <w:rPr>
      <w:sz w:val="16"/>
      <w:szCs w:val="16"/>
    </w:rPr>
  </w:style>
  <w:style w:type="paragraph" w:styleId="CommentText">
    <w:name w:val="annotation text"/>
    <w:basedOn w:val="Normal"/>
    <w:link w:val="CommentTextChar"/>
    <w:rsid w:val="004C15B8"/>
    <w:rPr>
      <w:sz w:val="20"/>
      <w:szCs w:val="20"/>
    </w:rPr>
  </w:style>
  <w:style w:type="character" w:customStyle="1" w:styleId="CommentTextChar">
    <w:name w:val="Comment Text Char"/>
    <w:basedOn w:val="DefaultParagraphFont"/>
    <w:link w:val="CommentText"/>
    <w:rsid w:val="004C15B8"/>
  </w:style>
  <w:style w:type="paragraph" w:styleId="CommentSubject">
    <w:name w:val="annotation subject"/>
    <w:basedOn w:val="CommentText"/>
    <w:next w:val="CommentText"/>
    <w:link w:val="CommentSubjectChar"/>
    <w:rsid w:val="004C15B8"/>
    <w:rPr>
      <w:b/>
      <w:bCs/>
      <w:lang w:val="x-none" w:eastAsia="x-none"/>
    </w:rPr>
  </w:style>
  <w:style w:type="character" w:customStyle="1" w:styleId="CommentSubjectChar">
    <w:name w:val="Comment Subject Char"/>
    <w:link w:val="CommentSubject"/>
    <w:rsid w:val="004C15B8"/>
    <w:rPr>
      <w:b/>
      <w:bCs/>
    </w:rPr>
  </w:style>
  <w:style w:type="paragraph" w:styleId="DocumentMap">
    <w:name w:val="Document Map"/>
    <w:basedOn w:val="Normal"/>
    <w:semiHidden/>
    <w:rsid w:val="0044781F"/>
    <w:pPr>
      <w:shd w:val="clear" w:color="auto" w:fill="000080"/>
    </w:pPr>
    <w:rPr>
      <w:rFonts w:ascii="Tahoma" w:hAnsi="Tahoma" w:cs="Tahoma"/>
      <w:sz w:val="20"/>
      <w:szCs w:val="20"/>
    </w:rPr>
  </w:style>
  <w:style w:type="paragraph" w:styleId="ListParagraph">
    <w:name w:val="List Paragraph"/>
    <w:basedOn w:val="Normal"/>
    <w:uiPriority w:val="34"/>
    <w:qFormat/>
    <w:rsid w:val="00116D99"/>
    <w:pPr>
      <w:spacing w:after="160" w:line="259" w:lineRule="auto"/>
      <w:ind w:left="720"/>
      <w:contextualSpacing/>
    </w:pPr>
    <w:rPr>
      <w:rFonts w:ascii="Calibri" w:eastAsia="Calibri" w:hAnsi="Calibri"/>
      <w:sz w:val="22"/>
      <w:szCs w:val="22"/>
      <w:lang w:val="en-GB" w:eastAsia="en-US"/>
    </w:rPr>
  </w:style>
  <w:style w:type="character" w:customStyle="1" w:styleId="FooterChar">
    <w:name w:val="Footer Char"/>
    <w:link w:val="Footer"/>
    <w:rsid w:val="005106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362">
      <w:bodyDiv w:val="1"/>
      <w:marLeft w:val="0"/>
      <w:marRight w:val="0"/>
      <w:marTop w:val="0"/>
      <w:marBottom w:val="0"/>
      <w:divBdr>
        <w:top w:val="none" w:sz="0" w:space="0" w:color="auto"/>
        <w:left w:val="none" w:sz="0" w:space="0" w:color="auto"/>
        <w:bottom w:val="none" w:sz="0" w:space="0" w:color="auto"/>
        <w:right w:val="none" w:sz="0" w:space="0" w:color="auto"/>
      </w:divBdr>
    </w:div>
    <w:div w:id="127935768">
      <w:bodyDiv w:val="1"/>
      <w:marLeft w:val="0"/>
      <w:marRight w:val="0"/>
      <w:marTop w:val="0"/>
      <w:marBottom w:val="0"/>
      <w:divBdr>
        <w:top w:val="none" w:sz="0" w:space="0" w:color="auto"/>
        <w:left w:val="none" w:sz="0" w:space="0" w:color="auto"/>
        <w:bottom w:val="none" w:sz="0" w:space="0" w:color="auto"/>
        <w:right w:val="none" w:sz="0" w:space="0" w:color="auto"/>
      </w:divBdr>
    </w:div>
    <w:div w:id="608007012">
      <w:bodyDiv w:val="1"/>
      <w:marLeft w:val="0"/>
      <w:marRight w:val="0"/>
      <w:marTop w:val="0"/>
      <w:marBottom w:val="0"/>
      <w:divBdr>
        <w:top w:val="none" w:sz="0" w:space="0" w:color="auto"/>
        <w:left w:val="none" w:sz="0" w:space="0" w:color="auto"/>
        <w:bottom w:val="none" w:sz="0" w:space="0" w:color="auto"/>
        <w:right w:val="none" w:sz="0" w:space="0" w:color="auto"/>
      </w:divBdr>
    </w:div>
    <w:div w:id="739795027">
      <w:bodyDiv w:val="1"/>
      <w:marLeft w:val="0"/>
      <w:marRight w:val="0"/>
      <w:marTop w:val="0"/>
      <w:marBottom w:val="0"/>
      <w:divBdr>
        <w:top w:val="none" w:sz="0" w:space="0" w:color="auto"/>
        <w:left w:val="none" w:sz="0" w:space="0" w:color="auto"/>
        <w:bottom w:val="none" w:sz="0" w:space="0" w:color="auto"/>
        <w:right w:val="none" w:sz="0" w:space="0" w:color="auto"/>
      </w:divBdr>
    </w:div>
    <w:div w:id="852960560">
      <w:bodyDiv w:val="1"/>
      <w:marLeft w:val="0"/>
      <w:marRight w:val="0"/>
      <w:marTop w:val="0"/>
      <w:marBottom w:val="0"/>
      <w:divBdr>
        <w:top w:val="none" w:sz="0" w:space="0" w:color="auto"/>
        <w:left w:val="none" w:sz="0" w:space="0" w:color="auto"/>
        <w:bottom w:val="none" w:sz="0" w:space="0" w:color="auto"/>
        <w:right w:val="none" w:sz="0" w:space="0" w:color="auto"/>
      </w:divBdr>
    </w:div>
    <w:div w:id="970282244">
      <w:bodyDiv w:val="1"/>
      <w:marLeft w:val="0"/>
      <w:marRight w:val="0"/>
      <w:marTop w:val="0"/>
      <w:marBottom w:val="0"/>
      <w:divBdr>
        <w:top w:val="none" w:sz="0" w:space="0" w:color="auto"/>
        <w:left w:val="none" w:sz="0" w:space="0" w:color="auto"/>
        <w:bottom w:val="none" w:sz="0" w:space="0" w:color="auto"/>
        <w:right w:val="none" w:sz="0" w:space="0" w:color="auto"/>
      </w:divBdr>
    </w:div>
    <w:div w:id="985814472">
      <w:bodyDiv w:val="1"/>
      <w:marLeft w:val="0"/>
      <w:marRight w:val="0"/>
      <w:marTop w:val="0"/>
      <w:marBottom w:val="0"/>
      <w:divBdr>
        <w:top w:val="none" w:sz="0" w:space="0" w:color="auto"/>
        <w:left w:val="none" w:sz="0" w:space="0" w:color="auto"/>
        <w:bottom w:val="none" w:sz="0" w:space="0" w:color="auto"/>
        <w:right w:val="none" w:sz="0" w:space="0" w:color="auto"/>
      </w:divBdr>
    </w:div>
    <w:div w:id="1066994328">
      <w:bodyDiv w:val="1"/>
      <w:marLeft w:val="0"/>
      <w:marRight w:val="0"/>
      <w:marTop w:val="0"/>
      <w:marBottom w:val="0"/>
      <w:divBdr>
        <w:top w:val="none" w:sz="0" w:space="0" w:color="auto"/>
        <w:left w:val="none" w:sz="0" w:space="0" w:color="auto"/>
        <w:bottom w:val="none" w:sz="0" w:space="0" w:color="auto"/>
        <w:right w:val="none" w:sz="0" w:space="0" w:color="auto"/>
      </w:divBdr>
    </w:div>
    <w:div w:id="1149591804">
      <w:bodyDiv w:val="1"/>
      <w:marLeft w:val="0"/>
      <w:marRight w:val="0"/>
      <w:marTop w:val="0"/>
      <w:marBottom w:val="0"/>
      <w:divBdr>
        <w:top w:val="none" w:sz="0" w:space="0" w:color="auto"/>
        <w:left w:val="none" w:sz="0" w:space="0" w:color="auto"/>
        <w:bottom w:val="none" w:sz="0" w:space="0" w:color="auto"/>
        <w:right w:val="none" w:sz="0" w:space="0" w:color="auto"/>
      </w:divBdr>
    </w:div>
    <w:div w:id="1369261380">
      <w:bodyDiv w:val="1"/>
      <w:marLeft w:val="0"/>
      <w:marRight w:val="0"/>
      <w:marTop w:val="0"/>
      <w:marBottom w:val="0"/>
      <w:divBdr>
        <w:top w:val="none" w:sz="0" w:space="0" w:color="auto"/>
        <w:left w:val="none" w:sz="0" w:space="0" w:color="auto"/>
        <w:bottom w:val="none" w:sz="0" w:space="0" w:color="auto"/>
        <w:right w:val="none" w:sz="0" w:space="0" w:color="auto"/>
      </w:divBdr>
    </w:div>
    <w:div w:id="1599869753">
      <w:bodyDiv w:val="1"/>
      <w:marLeft w:val="0"/>
      <w:marRight w:val="0"/>
      <w:marTop w:val="0"/>
      <w:marBottom w:val="0"/>
      <w:divBdr>
        <w:top w:val="none" w:sz="0" w:space="0" w:color="auto"/>
        <w:left w:val="none" w:sz="0" w:space="0" w:color="auto"/>
        <w:bottom w:val="none" w:sz="0" w:space="0" w:color="auto"/>
        <w:right w:val="none" w:sz="0" w:space="0" w:color="auto"/>
      </w:divBdr>
    </w:div>
    <w:div w:id="1604728536">
      <w:bodyDiv w:val="1"/>
      <w:marLeft w:val="0"/>
      <w:marRight w:val="0"/>
      <w:marTop w:val="0"/>
      <w:marBottom w:val="0"/>
      <w:divBdr>
        <w:top w:val="none" w:sz="0" w:space="0" w:color="auto"/>
        <w:left w:val="none" w:sz="0" w:space="0" w:color="auto"/>
        <w:bottom w:val="none" w:sz="0" w:space="0" w:color="auto"/>
        <w:right w:val="none" w:sz="0" w:space="0" w:color="auto"/>
      </w:divBdr>
    </w:div>
    <w:div w:id="175277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06EED-F137-477D-A2F2-F4A1B769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602</Words>
  <Characters>4712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Ministru kabineta rīkojuma projekta “Grozījums Ministru kabineta 2017.gada 24.maija rīkojumā Nr.246“Par Pasākumu plānu noziedzīgi iegūtu līdzekļu legalizācijas un terorisma finansēšanas risku ierobežošanai 2017.-2019.gadam” īstenošanu”</vt:lpstr>
    </vt:vector>
  </TitlesOfParts>
  <Company>Finanšu ministrija</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2017.gada 24.maija rīkojumā Nr.246“Par Pasākumu plānu noziedzīgi iegūtu līdzekļu legalizācijas un terorisma finansēšanas risku ierobežošanai 2017.-2019.gadam” īstenošanu”</dc:title>
  <dc:subject>Anotācija</dc:subject>
  <dc:creator>raimonds.grinbergs@fm.gov.lv</dc:creator>
  <cp:keywords>Anotācija</cp:keywords>
  <dc:description>67083935, raimonds.grinbergs@fm.gov.lv</dc:description>
  <cp:lastModifiedBy>Raimonds Grīnbergs</cp:lastModifiedBy>
  <cp:revision>10</cp:revision>
  <cp:lastPrinted>2017-10-10T09:03:00Z</cp:lastPrinted>
  <dcterms:created xsi:type="dcterms:W3CDTF">2017-10-10T08:33:00Z</dcterms:created>
  <dcterms:modified xsi:type="dcterms:W3CDTF">2017-10-10T11:35:00Z</dcterms:modified>
</cp:coreProperties>
</file>