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1CD0" w14:textId="77777777" w:rsidR="00E77C85" w:rsidRPr="00042475" w:rsidRDefault="00E77C85" w:rsidP="007F7393">
      <w:pPr>
        <w:pStyle w:val="Title"/>
        <w:rPr>
          <w:sz w:val="30"/>
          <w:szCs w:val="30"/>
        </w:rPr>
      </w:pPr>
      <w:r w:rsidRPr="00042475">
        <w:rPr>
          <w:sz w:val="30"/>
          <w:szCs w:val="30"/>
        </w:rPr>
        <w:t>Likumprojekta</w:t>
      </w:r>
    </w:p>
    <w:p w14:paraId="276F4F99" w14:textId="77777777" w:rsidR="005C71B5" w:rsidRPr="00042475" w:rsidRDefault="00D45BCC" w:rsidP="007F7393">
      <w:pPr>
        <w:pStyle w:val="BodyText2"/>
        <w:tabs>
          <w:tab w:val="left" w:pos="1560"/>
        </w:tabs>
        <w:jc w:val="center"/>
        <w:rPr>
          <w:b/>
          <w:sz w:val="30"/>
          <w:szCs w:val="30"/>
          <w:lang w:eastAsia="zh-CN"/>
        </w:rPr>
      </w:pPr>
      <w:r w:rsidRPr="00042475">
        <w:rPr>
          <w:b/>
          <w:sz w:val="30"/>
          <w:szCs w:val="30"/>
        </w:rPr>
        <w:t>„</w:t>
      </w:r>
      <w:r w:rsidR="00F722ED" w:rsidRPr="00042475">
        <w:rPr>
          <w:b/>
          <w:sz w:val="30"/>
          <w:szCs w:val="30"/>
        </w:rPr>
        <w:t>Grozījumi likumā “Par nodokļiem un nodevām</w:t>
      </w:r>
      <w:r w:rsidRPr="00042475">
        <w:rPr>
          <w:b/>
          <w:sz w:val="30"/>
          <w:szCs w:val="30"/>
        </w:rPr>
        <w:t>”</w:t>
      </w:r>
      <w:r w:rsidR="009D1972" w:rsidRPr="00042475">
        <w:rPr>
          <w:b/>
          <w:sz w:val="30"/>
          <w:szCs w:val="30"/>
        </w:rPr>
        <w:t>”</w:t>
      </w:r>
      <w:r w:rsidRPr="00042475">
        <w:rPr>
          <w:b/>
          <w:sz w:val="30"/>
          <w:szCs w:val="30"/>
        </w:rPr>
        <w:t xml:space="preserve"> </w:t>
      </w:r>
      <w:r w:rsidR="00321672" w:rsidRPr="00042475">
        <w:rPr>
          <w:b/>
          <w:sz w:val="30"/>
          <w:szCs w:val="30"/>
        </w:rPr>
        <w:t xml:space="preserve">sākotnējās ietekmes novērtējuma ziņojums </w:t>
      </w:r>
      <w:r w:rsidR="005C71B5" w:rsidRPr="00042475">
        <w:rPr>
          <w:b/>
          <w:sz w:val="30"/>
          <w:szCs w:val="30"/>
        </w:rPr>
        <w:t>(anotācija)</w:t>
      </w:r>
    </w:p>
    <w:p w14:paraId="744D79F8" w14:textId="77777777" w:rsidR="00D35F28" w:rsidRPr="00042475" w:rsidRDefault="00D35F28" w:rsidP="00200870">
      <w:pPr>
        <w:rPr>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46"/>
        <w:gridCol w:w="6339"/>
      </w:tblGrid>
      <w:tr w:rsidR="00F17343" w:rsidRPr="00042475" w14:paraId="36F8EC54" w14:textId="77777777" w:rsidTr="007F7393">
        <w:trPr>
          <w:trHeight w:val="262"/>
        </w:trPr>
        <w:tc>
          <w:tcPr>
            <w:tcW w:w="9245" w:type="dxa"/>
            <w:gridSpan w:val="3"/>
            <w:hideMark/>
          </w:tcPr>
          <w:p w14:paraId="5B4D13AE" w14:textId="77777777" w:rsidR="00E77C85" w:rsidRPr="00042475" w:rsidRDefault="00E77C85" w:rsidP="00F93EFA">
            <w:pPr>
              <w:jc w:val="center"/>
              <w:rPr>
                <w:sz w:val="26"/>
                <w:szCs w:val="26"/>
                <w:lang w:eastAsia="lv-LV"/>
              </w:rPr>
            </w:pPr>
            <w:r w:rsidRPr="00042475">
              <w:rPr>
                <w:b/>
                <w:bCs/>
                <w:sz w:val="26"/>
                <w:szCs w:val="26"/>
                <w:lang w:eastAsia="lv-LV"/>
              </w:rPr>
              <w:t>I. Tiesību akta projekta izstrādes nepieciešamība</w:t>
            </w:r>
          </w:p>
        </w:tc>
      </w:tr>
      <w:tr w:rsidR="00E118C0" w:rsidRPr="00042475" w14:paraId="036E7F90" w14:textId="77777777" w:rsidTr="003B0C70">
        <w:trPr>
          <w:trHeight w:val="630"/>
        </w:trPr>
        <w:tc>
          <w:tcPr>
            <w:tcW w:w="0" w:type="auto"/>
            <w:hideMark/>
          </w:tcPr>
          <w:p w14:paraId="068F1E7F" w14:textId="77777777" w:rsidR="00E77C85" w:rsidRPr="00042475" w:rsidRDefault="00E77C85" w:rsidP="00C50D09">
            <w:pPr>
              <w:rPr>
                <w:sz w:val="26"/>
                <w:szCs w:val="26"/>
                <w:lang w:eastAsia="lv-LV"/>
              </w:rPr>
            </w:pPr>
            <w:r w:rsidRPr="00042475">
              <w:rPr>
                <w:sz w:val="26"/>
                <w:szCs w:val="26"/>
                <w:lang w:eastAsia="lv-LV"/>
              </w:rPr>
              <w:t> 1.</w:t>
            </w:r>
          </w:p>
        </w:tc>
        <w:tc>
          <w:tcPr>
            <w:tcW w:w="2261" w:type="dxa"/>
            <w:hideMark/>
          </w:tcPr>
          <w:p w14:paraId="3B91A8A8" w14:textId="77777777" w:rsidR="00E77C85" w:rsidRPr="00042475" w:rsidRDefault="00E77C85" w:rsidP="00C50D09">
            <w:pPr>
              <w:rPr>
                <w:sz w:val="26"/>
                <w:szCs w:val="26"/>
                <w:lang w:eastAsia="lv-LV"/>
              </w:rPr>
            </w:pPr>
            <w:r w:rsidRPr="00042475">
              <w:rPr>
                <w:sz w:val="26"/>
                <w:szCs w:val="26"/>
                <w:lang w:eastAsia="lv-LV"/>
              </w:rPr>
              <w:t>Pamatojums</w:t>
            </w:r>
            <w:bookmarkStart w:id="0" w:name="_GoBack"/>
            <w:bookmarkEnd w:id="0"/>
          </w:p>
        </w:tc>
        <w:tc>
          <w:tcPr>
            <w:tcW w:w="6443" w:type="dxa"/>
            <w:hideMark/>
          </w:tcPr>
          <w:p w14:paraId="5E00098D" w14:textId="77777777" w:rsidR="002E300F" w:rsidRPr="00042475" w:rsidRDefault="00F6247D" w:rsidP="0075729B">
            <w:pPr>
              <w:jc w:val="both"/>
              <w:rPr>
                <w:bCs/>
                <w:sz w:val="26"/>
                <w:szCs w:val="26"/>
              </w:rPr>
            </w:pPr>
            <w:r w:rsidRPr="00042475">
              <w:rPr>
                <w:bCs/>
                <w:sz w:val="26"/>
                <w:szCs w:val="26"/>
              </w:rPr>
              <w:t>Likumprojekts “Grozījumi liku</w:t>
            </w:r>
            <w:r w:rsidR="00A90C04">
              <w:rPr>
                <w:bCs/>
                <w:sz w:val="26"/>
                <w:szCs w:val="26"/>
              </w:rPr>
              <w:t>m</w:t>
            </w:r>
            <w:r w:rsidRPr="00042475">
              <w:rPr>
                <w:bCs/>
                <w:sz w:val="26"/>
                <w:szCs w:val="26"/>
              </w:rPr>
              <w:t>ā “Par nodokļiem un nodevām”” (turp</w:t>
            </w:r>
            <w:r w:rsidR="00C65F0B">
              <w:rPr>
                <w:bCs/>
                <w:sz w:val="26"/>
                <w:szCs w:val="26"/>
              </w:rPr>
              <w:t>māk- Likum</w:t>
            </w:r>
            <w:r w:rsidR="00A90C04">
              <w:rPr>
                <w:bCs/>
                <w:sz w:val="26"/>
                <w:szCs w:val="26"/>
              </w:rPr>
              <w:t>p</w:t>
            </w:r>
            <w:r w:rsidR="00C65F0B">
              <w:rPr>
                <w:bCs/>
                <w:sz w:val="26"/>
                <w:szCs w:val="26"/>
              </w:rPr>
              <w:t>rojekts) izstrādāts pēc</w:t>
            </w:r>
            <w:r w:rsidRPr="00042475">
              <w:rPr>
                <w:bCs/>
                <w:sz w:val="26"/>
                <w:szCs w:val="26"/>
              </w:rPr>
              <w:t xml:space="preserve"> Finanšu ministrijas iniciatīva</w:t>
            </w:r>
            <w:r w:rsidR="00C65F0B">
              <w:rPr>
                <w:bCs/>
                <w:sz w:val="26"/>
                <w:szCs w:val="26"/>
              </w:rPr>
              <w:t>s</w:t>
            </w:r>
            <w:r w:rsidRPr="00042475">
              <w:rPr>
                <w:bCs/>
                <w:sz w:val="26"/>
                <w:szCs w:val="26"/>
              </w:rPr>
              <w:t xml:space="preserve">, </w:t>
            </w:r>
            <w:r w:rsidR="00C65F0B">
              <w:rPr>
                <w:bCs/>
                <w:sz w:val="26"/>
                <w:szCs w:val="26"/>
              </w:rPr>
              <w:t xml:space="preserve">kā </w:t>
            </w:r>
            <w:r w:rsidR="002D4FC8" w:rsidRPr="00042475">
              <w:rPr>
                <w:bCs/>
                <w:sz w:val="26"/>
                <w:szCs w:val="26"/>
              </w:rPr>
              <w:t xml:space="preserve">arī </w:t>
            </w:r>
            <w:r w:rsidRPr="00042475">
              <w:rPr>
                <w:bCs/>
                <w:sz w:val="26"/>
                <w:szCs w:val="26"/>
              </w:rPr>
              <w:t>ņemot vērā:</w:t>
            </w:r>
          </w:p>
          <w:p w14:paraId="427B3BDE" w14:textId="77777777" w:rsidR="00F6247D" w:rsidRPr="00042475" w:rsidRDefault="002D4FC8" w:rsidP="00042475">
            <w:pPr>
              <w:pStyle w:val="ListParagraph"/>
              <w:numPr>
                <w:ilvl w:val="0"/>
                <w:numId w:val="14"/>
              </w:numPr>
              <w:jc w:val="both"/>
              <w:rPr>
                <w:bCs/>
                <w:sz w:val="26"/>
                <w:szCs w:val="26"/>
              </w:rPr>
            </w:pPr>
            <w:r w:rsidRPr="00042475">
              <w:rPr>
                <w:sz w:val="26"/>
                <w:szCs w:val="26"/>
              </w:rPr>
              <w:t>Ekonomiskās Sadarbības un Attīstības Organizācijas (turpmāk – OECD) Bāzes erozijas un peļņas novirzīšanas (turpmāk – BEPS) rīcības plāna 13.aktivitātes rezultātā pārskatīto standartu transfertcenu dokumentācijai;</w:t>
            </w:r>
          </w:p>
          <w:p w14:paraId="0CB47EBB" w14:textId="77777777" w:rsidR="00810AB2" w:rsidRPr="00042475" w:rsidRDefault="00A863B4" w:rsidP="00C65F0B">
            <w:pPr>
              <w:pStyle w:val="ListParagraph"/>
              <w:numPr>
                <w:ilvl w:val="0"/>
                <w:numId w:val="14"/>
              </w:numPr>
              <w:jc w:val="both"/>
              <w:rPr>
                <w:bCs/>
                <w:sz w:val="26"/>
                <w:szCs w:val="26"/>
              </w:rPr>
            </w:pPr>
            <w:r>
              <w:rPr>
                <w:sz w:val="26"/>
                <w:szCs w:val="26"/>
              </w:rPr>
              <w:t>n</w:t>
            </w:r>
            <w:r w:rsidR="002D4FC8" w:rsidRPr="00042475">
              <w:rPr>
                <w:sz w:val="26"/>
                <w:szCs w:val="26"/>
              </w:rPr>
              <w:t>epieciešamību saskaņot likuma “Par nodokļiem un nodevām” (turpmāk – likums) regulējumu ar Uzņēmumu ienākuma nodokļa likumu, kas stā</w:t>
            </w:r>
            <w:r w:rsidR="00C65F0B">
              <w:rPr>
                <w:sz w:val="26"/>
                <w:szCs w:val="26"/>
              </w:rPr>
              <w:t>sies</w:t>
            </w:r>
            <w:r w:rsidR="002D4FC8" w:rsidRPr="00042475">
              <w:rPr>
                <w:sz w:val="26"/>
                <w:szCs w:val="26"/>
              </w:rPr>
              <w:t xml:space="preserve"> spēkā 2018.gada 1.janvārī.</w:t>
            </w:r>
          </w:p>
        </w:tc>
      </w:tr>
      <w:tr w:rsidR="00E118C0" w:rsidRPr="00042475" w14:paraId="00A083E9" w14:textId="77777777" w:rsidTr="003B0C70">
        <w:trPr>
          <w:trHeight w:val="472"/>
        </w:trPr>
        <w:tc>
          <w:tcPr>
            <w:tcW w:w="0" w:type="auto"/>
            <w:hideMark/>
          </w:tcPr>
          <w:p w14:paraId="4120708F" w14:textId="77777777" w:rsidR="00E77C85" w:rsidRPr="00042475" w:rsidRDefault="0041760B" w:rsidP="00C50D09">
            <w:pPr>
              <w:rPr>
                <w:sz w:val="26"/>
                <w:szCs w:val="26"/>
                <w:lang w:eastAsia="lv-LV"/>
              </w:rPr>
            </w:pPr>
            <w:r w:rsidRPr="00042475">
              <w:rPr>
                <w:sz w:val="26"/>
                <w:szCs w:val="26"/>
                <w:lang w:eastAsia="lv-LV"/>
              </w:rPr>
              <w:t> 2.</w:t>
            </w:r>
          </w:p>
        </w:tc>
        <w:tc>
          <w:tcPr>
            <w:tcW w:w="2261" w:type="dxa"/>
            <w:hideMark/>
          </w:tcPr>
          <w:p w14:paraId="148AEF19" w14:textId="77777777" w:rsidR="00E77C85" w:rsidRPr="00042475" w:rsidRDefault="00145C48" w:rsidP="00C50D09">
            <w:pPr>
              <w:rPr>
                <w:sz w:val="26"/>
                <w:szCs w:val="26"/>
                <w:lang w:eastAsia="lv-LV"/>
              </w:rPr>
            </w:pPr>
            <w:r w:rsidRPr="00042475">
              <w:rPr>
                <w:sz w:val="26"/>
                <w:szCs w:val="26"/>
                <w:lang w:eastAsia="lv-LV"/>
              </w:rPr>
              <w:t>Pašreizējā situācija un problēmas, kuru risināšanai tiesību akta projekts izstrādāts, tiesiskā regulējuma mērķis un būtība</w:t>
            </w:r>
          </w:p>
        </w:tc>
        <w:tc>
          <w:tcPr>
            <w:tcW w:w="6443" w:type="dxa"/>
            <w:hideMark/>
          </w:tcPr>
          <w:p w14:paraId="3103610F" w14:textId="77777777" w:rsidR="001F15A4" w:rsidRPr="00042475" w:rsidRDefault="00EA20BD" w:rsidP="00E2080A">
            <w:pPr>
              <w:tabs>
                <w:tab w:val="left" w:pos="4455"/>
              </w:tabs>
              <w:jc w:val="both"/>
              <w:rPr>
                <w:b/>
                <w:sz w:val="26"/>
                <w:szCs w:val="26"/>
                <w:u w:val="single"/>
              </w:rPr>
            </w:pPr>
            <w:r w:rsidRPr="00042475">
              <w:rPr>
                <w:b/>
                <w:sz w:val="26"/>
                <w:szCs w:val="26"/>
                <w:u w:val="single"/>
              </w:rPr>
              <w:t>T</w:t>
            </w:r>
            <w:r w:rsidR="00E2080A" w:rsidRPr="00042475">
              <w:rPr>
                <w:b/>
                <w:sz w:val="26"/>
                <w:szCs w:val="26"/>
                <w:u w:val="single"/>
              </w:rPr>
              <w:t xml:space="preserve">ransfertcenu </w:t>
            </w:r>
            <w:r w:rsidR="001F15A4" w:rsidRPr="00042475">
              <w:rPr>
                <w:b/>
                <w:sz w:val="26"/>
                <w:szCs w:val="26"/>
                <w:u w:val="single"/>
              </w:rPr>
              <w:t>tiesiskā regulējuma grozījumi</w:t>
            </w:r>
          </w:p>
          <w:p w14:paraId="69AF4128" w14:textId="77777777" w:rsidR="001F15A4" w:rsidRPr="00042475" w:rsidRDefault="001F15A4" w:rsidP="00E2080A">
            <w:pPr>
              <w:tabs>
                <w:tab w:val="left" w:pos="4455"/>
              </w:tabs>
              <w:jc w:val="both"/>
              <w:rPr>
                <w:sz w:val="26"/>
                <w:szCs w:val="26"/>
                <w:u w:val="single"/>
              </w:rPr>
            </w:pPr>
          </w:p>
          <w:p w14:paraId="03638B07" w14:textId="77777777" w:rsidR="001F15A4" w:rsidRPr="00042475" w:rsidRDefault="001F15A4" w:rsidP="00E2080A">
            <w:pPr>
              <w:tabs>
                <w:tab w:val="left" w:pos="4455"/>
              </w:tabs>
              <w:jc w:val="both"/>
              <w:rPr>
                <w:sz w:val="26"/>
                <w:szCs w:val="26"/>
                <w:u w:val="single"/>
              </w:rPr>
            </w:pPr>
            <w:r w:rsidRPr="00042475">
              <w:rPr>
                <w:sz w:val="26"/>
                <w:szCs w:val="26"/>
                <w:u w:val="single"/>
              </w:rPr>
              <w:t>Transfertcenu dokumentācija</w:t>
            </w:r>
          </w:p>
          <w:p w14:paraId="1CD949D0" w14:textId="77777777" w:rsidR="00AD068B" w:rsidRPr="00042475" w:rsidRDefault="00572537" w:rsidP="00412678">
            <w:pPr>
              <w:jc w:val="both"/>
              <w:rPr>
                <w:sz w:val="26"/>
                <w:szCs w:val="26"/>
              </w:rPr>
            </w:pPr>
            <w:r w:rsidRPr="00042475">
              <w:rPr>
                <w:sz w:val="26"/>
                <w:szCs w:val="26"/>
              </w:rPr>
              <w:t xml:space="preserve">Šobrīd </w:t>
            </w:r>
            <w:r w:rsidR="00F7048C" w:rsidRPr="00042475">
              <w:rPr>
                <w:sz w:val="26"/>
                <w:szCs w:val="26"/>
              </w:rPr>
              <w:t>likums</w:t>
            </w:r>
            <w:r w:rsidR="001A79AF" w:rsidRPr="00042475">
              <w:rPr>
                <w:sz w:val="26"/>
                <w:szCs w:val="26"/>
              </w:rPr>
              <w:t xml:space="preserve"> uzliek </w:t>
            </w:r>
            <w:r w:rsidR="009C13C1" w:rsidRPr="00042475">
              <w:rPr>
                <w:sz w:val="26"/>
                <w:szCs w:val="26"/>
              </w:rPr>
              <w:t>nodokļu maksātājam pienākumu noteiktos gadījumos pamatot darījumu cenas (vērtības) atbilstību tirgus cenai (vērtībai), sagatavojot noteikta veida informāciju</w:t>
            </w:r>
            <w:r w:rsidR="005336C8" w:rsidRPr="00042475">
              <w:rPr>
                <w:sz w:val="26"/>
                <w:szCs w:val="26"/>
              </w:rPr>
              <w:t xml:space="preserve"> (tā saucamo transfertcenu dokumentāciju)</w:t>
            </w:r>
            <w:r w:rsidR="009C13C1" w:rsidRPr="00042475">
              <w:rPr>
                <w:sz w:val="26"/>
                <w:szCs w:val="26"/>
              </w:rPr>
              <w:t>.</w:t>
            </w:r>
            <w:r w:rsidR="00F86A11" w:rsidRPr="00042475">
              <w:rPr>
                <w:sz w:val="26"/>
                <w:szCs w:val="26"/>
              </w:rPr>
              <w:t xml:space="preserve"> </w:t>
            </w:r>
            <w:r w:rsidR="006D50EA" w:rsidRPr="00042475">
              <w:rPr>
                <w:sz w:val="26"/>
                <w:szCs w:val="26"/>
              </w:rPr>
              <w:t xml:space="preserve">Minētā prasība </w:t>
            </w:r>
            <w:r w:rsidR="00E53009" w:rsidRPr="00042475">
              <w:rPr>
                <w:sz w:val="26"/>
                <w:szCs w:val="26"/>
              </w:rPr>
              <w:t xml:space="preserve">nodrošina </w:t>
            </w:r>
            <w:r w:rsidR="00831FEF" w:rsidRPr="00042475">
              <w:rPr>
                <w:sz w:val="26"/>
                <w:szCs w:val="26"/>
              </w:rPr>
              <w:t xml:space="preserve">gan </w:t>
            </w:r>
            <w:r w:rsidR="00E27B9D" w:rsidRPr="00042475">
              <w:rPr>
                <w:sz w:val="26"/>
                <w:szCs w:val="26"/>
              </w:rPr>
              <w:t xml:space="preserve">tiesisko noteiktību nodokļu maksātājam, </w:t>
            </w:r>
            <w:r w:rsidR="00656539" w:rsidRPr="00042475">
              <w:rPr>
                <w:sz w:val="26"/>
                <w:szCs w:val="26"/>
              </w:rPr>
              <w:t xml:space="preserve">jo nodokļu maksātājam ir </w:t>
            </w:r>
            <w:r w:rsidR="00FF3C31" w:rsidRPr="00042475">
              <w:rPr>
                <w:sz w:val="26"/>
                <w:szCs w:val="26"/>
              </w:rPr>
              <w:t>zināms informācijas apjoms, kāds</w:t>
            </w:r>
            <w:r w:rsidR="00656539" w:rsidRPr="00042475">
              <w:rPr>
                <w:sz w:val="26"/>
                <w:szCs w:val="26"/>
              </w:rPr>
              <w:t xml:space="preserve"> nodokļu kontroles </w:t>
            </w:r>
            <w:r w:rsidR="00E74678" w:rsidRPr="00042475">
              <w:rPr>
                <w:sz w:val="26"/>
                <w:szCs w:val="26"/>
              </w:rPr>
              <w:t>pasākumu</w:t>
            </w:r>
            <w:r w:rsidR="000A2639" w:rsidRPr="00042475">
              <w:rPr>
                <w:sz w:val="26"/>
                <w:szCs w:val="26"/>
              </w:rPr>
              <w:t xml:space="preserve"> uzsākšanas</w:t>
            </w:r>
            <w:r w:rsidR="00E74678" w:rsidRPr="00042475">
              <w:rPr>
                <w:sz w:val="26"/>
                <w:szCs w:val="26"/>
              </w:rPr>
              <w:t xml:space="preserve"> </w:t>
            </w:r>
            <w:r w:rsidR="00656539" w:rsidRPr="00042475">
              <w:rPr>
                <w:sz w:val="26"/>
                <w:szCs w:val="26"/>
              </w:rPr>
              <w:t xml:space="preserve">gadījumā </w:t>
            </w:r>
            <w:r w:rsidR="00AD068B" w:rsidRPr="00042475">
              <w:rPr>
                <w:sz w:val="26"/>
                <w:szCs w:val="26"/>
              </w:rPr>
              <w:t>iesn</w:t>
            </w:r>
            <w:r w:rsidR="0023164C" w:rsidRPr="00042475">
              <w:rPr>
                <w:sz w:val="26"/>
                <w:szCs w:val="26"/>
              </w:rPr>
              <w:t>iedzams Valsts ieņēmumu dienestam</w:t>
            </w:r>
            <w:r w:rsidR="00AD068B" w:rsidRPr="00042475">
              <w:rPr>
                <w:sz w:val="26"/>
                <w:szCs w:val="26"/>
              </w:rPr>
              <w:t xml:space="preserve"> (turpmāk – VID), gan VID ar sākotnējo informāciju, lai </w:t>
            </w:r>
            <w:r w:rsidR="00AE0D42" w:rsidRPr="00042475">
              <w:rPr>
                <w:sz w:val="26"/>
                <w:szCs w:val="26"/>
              </w:rPr>
              <w:t>veiktu pārbaudi</w:t>
            </w:r>
            <w:r w:rsidR="00AD068B" w:rsidRPr="00042475">
              <w:rPr>
                <w:sz w:val="26"/>
                <w:szCs w:val="26"/>
              </w:rPr>
              <w:t>, vai attiecīgajos gadījumos nodokļu maksātājs</w:t>
            </w:r>
            <w:r w:rsidR="006D50EA" w:rsidRPr="00042475">
              <w:rPr>
                <w:sz w:val="26"/>
                <w:szCs w:val="26"/>
              </w:rPr>
              <w:t xml:space="preserve"> nav nepamatoti samazinājis </w:t>
            </w:r>
            <w:r w:rsidR="0006769B" w:rsidRPr="00042475">
              <w:rPr>
                <w:sz w:val="26"/>
                <w:szCs w:val="26"/>
              </w:rPr>
              <w:t>nodokļu slogu, veicot dar</w:t>
            </w:r>
            <w:r w:rsidR="0093573E" w:rsidRPr="00042475">
              <w:rPr>
                <w:sz w:val="26"/>
                <w:szCs w:val="26"/>
              </w:rPr>
              <w:t>ījumus, kuru cena (vērtība) neatbilst tirgus cenai (vērtībai).</w:t>
            </w:r>
          </w:p>
          <w:p w14:paraId="56F161DD" w14:textId="77777777" w:rsidR="00AD068B" w:rsidRPr="00042475" w:rsidRDefault="00EA6B3C" w:rsidP="00412678">
            <w:pPr>
              <w:jc w:val="both"/>
              <w:rPr>
                <w:sz w:val="26"/>
                <w:szCs w:val="26"/>
              </w:rPr>
            </w:pPr>
            <w:r w:rsidRPr="00042475">
              <w:rPr>
                <w:sz w:val="26"/>
                <w:szCs w:val="26"/>
              </w:rPr>
              <w:t xml:space="preserve">Transfertcenu dokumentācijas prasības ir izplatītas visā pasaulē, un viens no autoritatīvākajiem avotiem, kuru izmanto valstis, ieviešot </w:t>
            </w:r>
            <w:r w:rsidR="001B505E" w:rsidRPr="00042475">
              <w:rPr>
                <w:sz w:val="26"/>
                <w:szCs w:val="26"/>
              </w:rPr>
              <w:t xml:space="preserve">savos nacionālajos normatīvajos aktos </w:t>
            </w:r>
            <w:r w:rsidRPr="00042475">
              <w:rPr>
                <w:sz w:val="26"/>
                <w:szCs w:val="26"/>
              </w:rPr>
              <w:t>transfertcenu</w:t>
            </w:r>
            <w:r w:rsidR="007A7CCA" w:rsidRPr="00042475">
              <w:rPr>
                <w:sz w:val="26"/>
                <w:szCs w:val="26"/>
              </w:rPr>
              <w:t xml:space="preserve"> tiesisko regulējumu</w:t>
            </w:r>
            <w:r w:rsidRPr="00042475">
              <w:rPr>
                <w:sz w:val="26"/>
                <w:szCs w:val="26"/>
              </w:rPr>
              <w:t xml:space="preserve"> </w:t>
            </w:r>
            <w:r w:rsidR="007A7CCA" w:rsidRPr="00042475">
              <w:rPr>
                <w:sz w:val="26"/>
                <w:szCs w:val="26"/>
              </w:rPr>
              <w:t xml:space="preserve">(tajā skaitā, transfertcenu </w:t>
            </w:r>
            <w:r w:rsidRPr="00042475">
              <w:rPr>
                <w:sz w:val="26"/>
                <w:szCs w:val="26"/>
              </w:rPr>
              <w:t>dokumentācijas prasības</w:t>
            </w:r>
            <w:r w:rsidR="007A7CCA" w:rsidRPr="00042475">
              <w:rPr>
                <w:sz w:val="26"/>
                <w:szCs w:val="26"/>
              </w:rPr>
              <w:t>)</w:t>
            </w:r>
            <w:r w:rsidRPr="00042475">
              <w:rPr>
                <w:sz w:val="26"/>
                <w:szCs w:val="26"/>
              </w:rPr>
              <w:t>, ir</w:t>
            </w:r>
            <w:r w:rsidR="0031069F" w:rsidRPr="00042475">
              <w:rPr>
                <w:sz w:val="26"/>
                <w:szCs w:val="26"/>
              </w:rPr>
              <w:t xml:space="preserve"> OECD dokuments "Transfertcenu noteikšanas vadlīnijas daudznacionāliem uzņēmumiem un nodokļu administrācijām" (turpmāk – Transfertcenu vadlīnijas).</w:t>
            </w:r>
            <w:r w:rsidR="002D6F07" w:rsidRPr="00042475">
              <w:rPr>
                <w:sz w:val="26"/>
                <w:szCs w:val="26"/>
              </w:rPr>
              <w:t xml:space="preserve"> Transfertcenu vadlīnijās ietvertās atziņas tika izmantota</w:t>
            </w:r>
            <w:r w:rsidR="0098284A" w:rsidRPr="00042475">
              <w:rPr>
                <w:sz w:val="26"/>
                <w:szCs w:val="26"/>
              </w:rPr>
              <w:t>s, arī izstrādājot šobrīd likuma 15.</w:t>
            </w:r>
            <w:r w:rsidR="0098284A" w:rsidRPr="00042475">
              <w:rPr>
                <w:sz w:val="26"/>
                <w:szCs w:val="26"/>
                <w:vertAlign w:val="superscript"/>
              </w:rPr>
              <w:t xml:space="preserve">2 </w:t>
            </w:r>
            <w:r w:rsidR="0098284A" w:rsidRPr="00042475">
              <w:rPr>
                <w:sz w:val="26"/>
                <w:szCs w:val="26"/>
              </w:rPr>
              <w:t>panta otrajā daļā</w:t>
            </w:r>
            <w:r w:rsidR="002D6F07" w:rsidRPr="00042475">
              <w:rPr>
                <w:sz w:val="26"/>
                <w:szCs w:val="26"/>
              </w:rPr>
              <w:t xml:space="preserve"> spēkā esošās prasības</w:t>
            </w:r>
            <w:r w:rsidR="0098284A" w:rsidRPr="00042475">
              <w:rPr>
                <w:sz w:val="26"/>
                <w:szCs w:val="26"/>
              </w:rPr>
              <w:t xml:space="preserve"> pamatot</w:t>
            </w:r>
            <w:r w:rsidR="002D6F07" w:rsidRPr="00042475">
              <w:rPr>
                <w:sz w:val="26"/>
                <w:szCs w:val="26"/>
              </w:rPr>
              <w:t xml:space="preserve"> </w:t>
            </w:r>
            <w:r w:rsidR="0098284A" w:rsidRPr="00042475">
              <w:rPr>
                <w:sz w:val="26"/>
                <w:szCs w:val="26"/>
              </w:rPr>
              <w:t>darījumu cenas (vērtības) atbilstību tirgus cenai (vērtībai)</w:t>
            </w:r>
            <w:r w:rsidR="002D6F07" w:rsidRPr="00042475">
              <w:rPr>
                <w:sz w:val="26"/>
                <w:szCs w:val="26"/>
              </w:rPr>
              <w:t>.</w:t>
            </w:r>
          </w:p>
          <w:p w14:paraId="0544490F" w14:textId="77777777" w:rsidR="00FF7A9E" w:rsidRPr="00042475" w:rsidRDefault="00887517" w:rsidP="00412678">
            <w:pPr>
              <w:jc w:val="both"/>
              <w:rPr>
                <w:sz w:val="26"/>
                <w:szCs w:val="26"/>
              </w:rPr>
            </w:pPr>
            <w:r w:rsidRPr="00042475">
              <w:rPr>
                <w:sz w:val="26"/>
                <w:szCs w:val="26"/>
              </w:rPr>
              <w:lastRenderedPageBreak/>
              <w:t xml:space="preserve">Lai cīnītos pret BEPS, OECD ietvaros tapa BEPS </w:t>
            </w:r>
            <w:r w:rsidR="00D23C95" w:rsidRPr="00042475">
              <w:rPr>
                <w:sz w:val="26"/>
                <w:szCs w:val="26"/>
              </w:rPr>
              <w:t xml:space="preserve">rīcības </w:t>
            </w:r>
            <w:r w:rsidR="00A4358E" w:rsidRPr="00042475">
              <w:rPr>
                <w:sz w:val="26"/>
                <w:szCs w:val="26"/>
              </w:rPr>
              <w:t>plāns, kas ietver 15 pasākumus</w:t>
            </w:r>
            <w:r w:rsidR="001D433E" w:rsidRPr="00042475">
              <w:rPr>
                <w:sz w:val="26"/>
                <w:szCs w:val="26"/>
              </w:rPr>
              <w:t xml:space="preserve"> BEPS mazināšanai</w:t>
            </w:r>
            <w:r w:rsidR="00A4358E" w:rsidRPr="00042475">
              <w:rPr>
                <w:sz w:val="26"/>
                <w:szCs w:val="26"/>
              </w:rPr>
              <w:t xml:space="preserve">. </w:t>
            </w:r>
            <w:r w:rsidR="002425AC" w:rsidRPr="00042475">
              <w:rPr>
                <w:sz w:val="26"/>
                <w:szCs w:val="26"/>
              </w:rPr>
              <w:t xml:space="preserve">BEPS </w:t>
            </w:r>
            <w:r w:rsidR="00D23C95" w:rsidRPr="00042475">
              <w:rPr>
                <w:sz w:val="26"/>
                <w:szCs w:val="26"/>
              </w:rPr>
              <w:t xml:space="preserve">rīcības </w:t>
            </w:r>
            <w:r w:rsidR="002425AC" w:rsidRPr="00042475">
              <w:rPr>
                <w:sz w:val="26"/>
                <w:szCs w:val="26"/>
              </w:rPr>
              <w:t>plāna 13.pasākuma ietvaros tika pārskatīta Transfertcenu vadlīniju tran</w:t>
            </w:r>
            <w:r w:rsidR="002C4A84" w:rsidRPr="00042475">
              <w:rPr>
                <w:sz w:val="26"/>
                <w:szCs w:val="26"/>
              </w:rPr>
              <w:t>sfertcenu dokumentācijas sadaļa (</w:t>
            </w:r>
            <w:r w:rsidR="00E50B6A" w:rsidRPr="00042475">
              <w:rPr>
                <w:sz w:val="26"/>
                <w:szCs w:val="26"/>
              </w:rPr>
              <w:t xml:space="preserve">tika sagatavots </w:t>
            </w:r>
            <w:r w:rsidR="00D23C95" w:rsidRPr="00042475">
              <w:rPr>
                <w:sz w:val="26"/>
                <w:szCs w:val="26"/>
              </w:rPr>
              <w:t>OECD gala ziņojums par 13.aktivitāti: Transfertcenu dokumentācija un starptautiskas uzņēmumu grupas pārskats par katru valsti</w:t>
            </w:r>
            <w:r w:rsidR="000A2639" w:rsidRPr="00042475">
              <w:rPr>
                <w:sz w:val="26"/>
                <w:szCs w:val="26"/>
              </w:rPr>
              <w:t xml:space="preserve">, kas </w:t>
            </w:r>
            <w:r w:rsidR="00C057D1" w:rsidRPr="00042475">
              <w:rPr>
                <w:sz w:val="26"/>
                <w:szCs w:val="26"/>
              </w:rPr>
              <w:t>2017.gada jūlijā tika iestrādāts Transfertcenu vadlīniju tekstā</w:t>
            </w:r>
            <w:r w:rsidR="00D23C95" w:rsidRPr="00042475">
              <w:rPr>
                <w:sz w:val="26"/>
                <w:szCs w:val="26"/>
              </w:rPr>
              <w:t>)</w:t>
            </w:r>
            <w:r w:rsidR="0035513A" w:rsidRPr="00042475">
              <w:rPr>
                <w:sz w:val="26"/>
                <w:szCs w:val="26"/>
              </w:rPr>
              <w:t xml:space="preserve">. </w:t>
            </w:r>
            <w:r w:rsidR="001B2F52" w:rsidRPr="00042475">
              <w:rPr>
                <w:sz w:val="26"/>
                <w:szCs w:val="26"/>
              </w:rPr>
              <w:t>Pārskatītā transfertcenu dokumentācijas standarta ieviešana</w:t>
            </w:r>
            <w:r w:rsidR="005078C9" w:rsidRPr="00042475">
              <w:rPr>
                <w:sz w:val="26"/>
                <w:szCs w:val="26"/>
              </w:rPr>
              <w:t xml:space="preserve">s </w:t>
            </w:r>
            <w:r w:rsidR="00830453" w:rsidRPr="00042475">
              <w:rPr>
                <w:sz w:val="26"/>
                <w:szCs w:val="26"/>
              </w:rPr>
              <w:t xml:space="preserve">galvenais </w:t>
            </w:r>
            <w:r w:rsidR="005078C9" w:rsidRPr="00042475">
              <w:rPr>
                <w:sz w:val="26"/>
                <w:szCs w:val="26"/>
              </w:rPr>
              <w:t xml:space="preserve">mērķis </w:t>
            </w:r>
            <w:r w:rsidR="008F058A" w:rsidRPr="00042475">
              <w:rPr>
                <w:sz w:val="26"/>
                <w:szCs w:val="26"/>
              </w:rPr>
              <w:t>ir</w:t>
            </w:r>
            <w:r w:rsidR="0098284A" w:rsidRPr="00042475">
              <w:rPr>
                <w:sz w:val="26"/>
                <w:szCs w:val="26"/>
              </w:rPr>
              <w:t xml:space="preserve"> veicināt sabiedrības labklājību,</w:t>
            </w:r>
            <w:r w:rsidR="008F058A" w:rsidRPr="00042475">
              <w:rPr>
                <w:sz w:val="26"/>
                <w:szCs w:val="26"/>
              </w:rPr>
              <w:t xml:space="preserve"> mazin</w:t>
            </w:r>
            <w:r w:rsidR="0098284A" w:rsidRPr="00042475">
              <w:rPr>
                <w:sz w:val="26"/>
                <w:szCs w:val="26"/>
              </w:rPr>
              <w:t>o</w:t>
            </w:r>
            <w:r w:rsidR="008F058A" w:rsidRPr="00042475">
              <w:rPr>
                <w:sz w:val="26"/>
                <w:szCs w:val="26"/>
              </w:rPr>
              <w:t xml:space="preserve">t iespēju starptautisku uzņēmumu </w:t>
            </w:r>
            <w:r w:rsidR="00887F66" w:rsidRPr="00042475">
              <w:rPr>
                <w:sz w:val="26"/>
                <w:szCs w:val="26"/>
              </w:rPr>
              <w:t>grupām</w:t>
            </w:r>
            <w:r w:rsidR="008F058A" w:rsidRPr="00042475">
              <w:rPr>
                <w:sz w:val="26"/>
                <w:szCs w:val="26"/>
              </w:rPr>
              <w:t>, manipulējot ar transfe</w:t>
            </w:r>
            <w:r w:rsidR="00887F66" w:rsidRPr="00042475">
              <w:rPr>
                <w:sz w:val="26"/>
                <w:szCs w:val="26"/>
              </w:rPr>
              <w:t>r</w:t>
            </w:r>
            <w:r w:rsidR="008F058A" w:rsidRPr="00042475">
              <w:rPr>
                <w:sz w:val="26"/>
                <w:szCs w:val="26"/>
              </w:rPr>
              <w:t>tcenu, mākslīgi novirzīt</w:t>
            </w:r>
            <w:r w:rsidR="00C057D1" w:rsidRPr="00042475">
              <w:rPr>
                <w:sz w:val="26"/>
                <w:szCs w:val="26"/>
              </w:rPr>
              <w:t xml:space="preserve"> (no vietas</w:t>
            </w:r>
            <w:r w:rsidR="002714A3" w:rsidRPr="00042475">
              <w:rPr>
                <w:sz w:val="26"/>
                <w:szCs w:val="26"/>
              </w:rPr>
              <w:t>, kur peļņa tika radīta)</w:t>
            </w:r>
            <w:r w:rsidR="008F058A" w:rsidRPr="00042475">
              <w:rPr>
                <w:sz w:val="26"/>
                <w:szCs w:val="26"/>
              </w:rPr>
              <w:t xml:space="preserve"> </w:t>
            </w:r>
            <w:r w:rsidR="00887F66" w:rsidRPr="00042475">
              <w:rPr>
                <w:sz w:val="26"/>
                <w:szCs w:val="26"/>
              </w:rPr>
              <w:t xml:space="preserve">peļņu uz uzņēmumu grupas uzņēmumu, kuram ir mazāks nodokļu slogs (piemēram, atrodas valstī ar zemāku </w:t>
            </w:r>
            <w:r w:rsidR="001B505E" w:rsidRPr="00042475">
              <w:rPr>
                <w:sz w:val="26"/>
                <w:szCs w:val="26"/>
              </w:rPr>
              <w:t>uzņēmumu ienākuma</w:t>
            </w:r>
            <w:r w:rsidR="00887F66" w:rsidRPr="00042475">
              <w:rPr>
                <w:sz w:val="26"/>
                <w:szCs w:val="26"/>
              </w:rPr>
              <w:t xml:space="preserve"> nodokļa likmi; tam tiek piemēroti lielāki nodokļa atvieglojumi).</w:t>
            </w:r>
            <w:r w:rsidR="00830453" w:rsidRPr="00042475">
              <w:rPr>
                <w:sz w:val="26"/>
                <w:szCs w:val="26"/>
              </w:rPr>
              <w:t xml:space="preserve"> </w:t>
            </w:r>
            <w:r w:rsidR="00FF7A9E" w:rsidRPr="00042475">
              <w:rPr>
                <w:sz w:val="26"/>
                <w:szCs w:val="26"/>
              </w:rPr>
              <w:t xml:space="preserve">Turklāt, izstrādājot jaunas transfertcenu dokumentācijas prasības, ir ņemts </w:t>
            </w:r>
            <w:r w:rsidR="005F0B3A" w:rsidRPr="00042475">
              <w:rPr>
                <w:sz w:val="26"/>
                <w:szCs w:val="26"/>
              </w:rPr>
              <w:t xml:space="preserve">vērā </w:t>
            </w:r>
            <w:r w:rsidR="00FF7A9E" w:rsidRPr="00042475">
              <w:rPr>
                <w:sz w:val="26"/>
                <w:szCs w:val="26"/>
              </w:rPr>
              <w:t>apstāklis, ka globalizācijas un digitālās ekonomikas attīstības rezultātā</w:t>
            </w:r>
            <w:r w:rsidR="005F0B3A" w:rsidRPr="00042475">
              <w:rPr>
                <w:sz w:val="26"/>
                <w:szCs w:val="26"/>
              </w:rPr>
              <w:t>,</w:t>
            </w:r>
            <w:r w:rsidR="00FF7A9E" w:rsidRPr="00042475">
              <w:rPr>
                <w:sz w:val="26"/>
                <w:szCs w:val="26"/>
              </w:rPr>
              <w:t xml:space="preserve"> starptautisko uzņēmumu grupu saimnieciskajā darbībā pēdējo gadu laikā notika pārmaiņas</w:t>
            </w:r>
            <w:r w:rsidR="00EA20BD" w:rsidRPr="00042475">
              <w:rPr>
                <w:sz w:val="26"/>
                <w:szCs w:val="26"/>
              </w:rPr>
              <w:t>,</w:t>
            </w:r>
            <w:r w:rsidR="00FF7A9E" w:rsidRPr="00042475">
              <w:rPr>
                <w:sz w:val="26"/>
                <w:szCs w:val="26"/>
              </w:rPr>
              <w:t xml:space="preserve"> </w:t>
            </w:r>
            <w:r w:rsidR="005F0B3A" w:rsidRPr="00042475">
              <w:rPr>
                <w:sz w:val="26"/>
                <w:szCs w:val="26"/>
              </w:rPr>
              <w:t>virzoties no</w:t>
            </w:r>
            <w:r w:rsidR="00FF7A9E" w:rsidRPr="00042475">
              <w:rPr>
                <w:sz w:val="26"/>
                <w:szCs w:val="26"/>
              </w:rPr>
              <w:t xml:space="preserve"> modeļa, kad specifiskas operācijas tiek veiktas kādā noteiktā valstī uz tā saucamo “matricas” funkciju vadības modeli, kad vienas operācijas dažādas funkcijas tiek veiktas dažādās valstīs, līdz ar ko, lai izvērtētu, vai</w:t>
            </w:r>
            <w:r w:rsidR="005F0B3A" w:rsidRPr="00042475">
              <w:rPr>
                <w:sz w:val="26"/>
                <w:szCs w:val="26"/>
              </w:rPr>
              <w:t xml:space="preserve"> ir ievērots</w:t>
            </w:r>
            <w:r w:rsidR="00FF7A9E" w:rsidRPr="00042475">
              <w:rPr>
                <w:sz w:val="26"/>
                <w:szCs w:val="26"/>
              </w:rPr>
              <w:t xml:space="preserve"> </w:t>
            </w:r>
            <w:r w:rsidR="005F0B3A" w:rsidRPr="00042475">
              <w:rPr>
                <w:sz w:val="26"/>
                <w:szCs w:val="26"/>
              </w:rPr>
              <w:t>transfertcenu tiesiskais regulējums, nodokļu administrācijai arvien vairāk nepieciešama informācija par visas starptautiskās uzņēmumu grupas saimniecisko darbību.</w:t>
            </w:r>
          </w:p>
          <w:p w14:paraId="27B37BE6" w14:textId="77777777" w:rsidR="00E50B6A" w:rsidRPr="00042475" w:rsidRDefault="005F0B3A" w:rsidP="00412678">
            <w:pPr>
              <w:jc w:val="both"/>
              <w:rPr>
                <w:sz w:val="26"/>
                <w:szCs w:val="26"/>
              </w:rPr>
            </w:pPr>
            <w:r w:rsidRPr="00042475">
              <w:rPr>
                <w:sz w:val="26"/>
                <w:szCs w:val="26"/>
              </w:rPr>
              <w:t>Pārskatītās transfertcenu dokumentācijas prasības paredz</w:t>
            </w:r>
            <w:r w:rsidR="00C251FA" w:rsidRPr="00042475">
              <w:rPr>
                <w:sz w:val="26"/>
                <w:szCs w:val="26"/>
              </w:rPr>
              <w:t xml:space="preserve"> nodokļu administrācijām </w:t>
            </w:r>
            <w:r w:rsidR="00F17D34" w:rsidRPr="00042475">
              <w:rPr>
                <w:sz w:val="26"/>
                <w:szCs w:val="26"/>
              </w:rPr>
              <w:t xml:space="preserve">pieeju trīs līmeņu transfertcenu dokumentācijai, </w:t>
            </w:r>
            <w:r w:rsidRPr="00042475">
              <w:rPr>
                <w:sz w:val="26"/>
                <w:szCs w:val="26"/>
              </w:rPr>
              <w:t>kur</w:t>
            </w:r>
            <w:r w:rsidR="00F17D34" w:rsidRPr="00042475">
              <w:rPr>
                <w:sz w:val="26"/>
                <w:szCs w:val="26"/>
              </w:rPr>
              <w:t xml:space="preserve">, salīdzinot ar iepriekšēju standartu, būs pieejama plašāka informācija par visas uzņēmumu grupas globālajām operācijām. Atbilstoši jaunajam standartam, </w:t>
            </w:r>
            <w:r w:rsidR="002504B9" w:rsidRPr="00042475">
              <w:rPr>
                <w:sz w:val="26"/>
                <w:szCs w:val="26"/>
              </w:rPr>
              <w:t>transfertcenu dokumentācija sastāv no šādiem dokumentiem (līmeņiem):</w:t>
            </w:r>
          </w:p>
          <w:p w14:paraId="2BA4E9EB" w14:textId="77777777" w:rsidR="002504B9" w:rsidRPr="00042475" w:rsidRDefault="002504B9" w:rsidP="002504B9">
            <w:pPr>
              <w:pStyle w:val="ListParagraph"/>
              <w:numPr>
                <w:ilvl w:val="0"/>
                <w:numId w:val="12"/>
              </w:numPr>
              <w:jc w:val="both"/>
              <w:rPr>
                <w:sz w:val="26"/>
                <w:szCs w:val="26"/>
              </w:rPr>
            </w:pPr>
            <w:r w:rsidRPr="00042475">
              <w:rPr>
                <w:sz w:val="26"/>
                <w:szCs w:val="26"/>
              </w:rPr>
              <w:t xml:space="preserve">Starptautiskas uzņēmumu grupas </w:t>
            </w:r>
            <w:r w:rsidR="00D333D0" w:rsidRPr="00042475">
              <w:rPr>
                <w:sz w:val="26"/>
                <w:szCs w:val="26"/>
              </w:rPr>
              <w:t>pārskats par katru valsti</w:t>
            </w:r>
            <w:r w:rsidR="002714A3" w:rsidRPr="00042475">
              <w:rPr>
                <w:sz w:val="26"/>
                <w:szCs w:val="26"/>
              </w:rPr>
              <w:t xml:space="preserve"> (Country-by-Country report)</w:t>
            </w:r>
            <w:r w:rsidR="00E951A0" w:rsidRPr="00042475">
              <w:rPr>
                <w:sz w:val="26"/>
                <w:szCs w:val="26"/>
              </w:rPr>
              <w:t>, kas ietver augsta līmeņa datus par starptautiskas uzņēmumu grupas ienākumu,</w:t>
            </w:r>
            <w:r w:rsidR="002714A3" w:rsidRPr="00042475">
              <w:rPr>
                <w:sz w:val="26"/>
                <w:szCs w:val="26"/>
              </w:rPr>
              <w:t xml:space="preserve"> materiālo aktīvu, darbinieku,</w:t>
            </w:r>
            <w:r w:rsidR="00E951A0" w:rsidRPr="00042475">
              <w:rPr>
                <w:sz w:val="26"/>
                <w:szCs w:val="26"/>
              </w:rPr>
              <w:t xml:space="preserve"> nodokļu un citu ekonomisko indikatoru  </w:t>
            </w:r>
            <w:r w:rsidR="002714A3" w:rsidRPr="00042475">
              <w:rPr>
                <w:sz w:val="26"/>
                <w:szCs w:val="26"/>
              </w:rPr>
              <w:t xml:space="preserve">izvietojumu </w:t>
            </w:r>
            <w:r w:rsidR="00E951A0" w:rsidRPr="00042475">
              <w:rPr>
                <w:sz w:val="26"/>
                <w:szCs w:val="26"/>
              </w:rPr>
              <w:t>sadalījumā pa valstīm;</w:t>
            </w:r>
          </w:p>
          <w:p w14:paraId="70AE9B29" w14:textId="77777777" w:rsidR="00D333D0" w:rsidRPr="00042475" w:rsidRDefault="002714A3" w:rsidP="001C136F">
            <w:pPr>
              <w:pStyle w:val="ListParagraph"/>
              <w:numPr>
                <w:ilvl w:val="0"/>
                <w:numId w:val="12"/>
              </w:numPr>
              <w:jc w:val="both"/>
              <w:rPr>
                <w:sz w:val="26"/>
                <w:szCs w:val="26"/>
              </w:rPr>
            </w:pPr>
            <w:r w:rsidRPr="00042475">
              <w:rPr>
                <w:sz w:val="26"/>
                <w:szCs w:val="26"/>
              </w:rPr>
              <w:t>Globālā dokumentācija (Master file).</w:t>
            </w:r>
            <w:r w:rsidR="00F353F3" w:rsidRPr="00042475">
              <w:rPr>
                <w:sz w:val="26"/>
                <w:szCs w:val="26"/>
              </w:rPr>
              <w:t xml:space="preserve"> </w:t>
            </w:r>
            <w:r w:rsidRPr="00042475">
              <w:rPr>
                <w:sz w:val="26"/>
                <w:szCs w:val="26"/>
              </w:rPr>
              <w:t>Globāl</w:t>
            </w:r>
            <w:r w:rsidR="00EA20BD" w:rsidRPr="00042475">
              <w:rPr>
                <w:sz w:val="26"/>
                <w:szCs w:val="26"/>
              </w:rPr>
              <w:t>aj</w:t>
            </w:r>
            <w:r w:rsidRPr="00042475">
              <w:rPr>
                <w:sz w:val="26"/>
                <w:szCs w:val="26"/>
              </w:rPr>
              <w:t xml:space="preserve">ā </w:t>
            </w:r>
            <w:r w:rsidR="00AD6946" w:rsidRPr="00042475">
              <w:rPr>
                <w:sz w:val="26"/>
                <w:szCs w:val="26"/>
              </w:rPr>
              <w:t xml:space="preserve">dokumentācijā paredzēts ietvert </w:t>
            </w:r>
            <w:r w:rsidR="005D2C27" w:rsidRPr="00042475">
              <w:rPr>
                <w:sz w:val="26"/>
                <w:szCs w:val="26"/>
              </w:rPr>
              <w:t>informāciju</w:t>
            </w:r>
            <w:r w:rsidR="00AD6946" w:rsidRPr="00042475">
              <w:rPr>
                <w:sz w:val="26"/>
                <w:szCs w:val="26"/>
              </w:rPr>
              <w:t xml:space="preserve"> par </w:t>
            </w:r>
            <w:r w:rsidR="005D2C27" w:rsidRPr="00042475">
              <w:rPr>
                <w:sz w:val="26"/>
                <w:szCs w:val="26"/>
              </w:rPr>
              <w:t xml:space="preserve">visas </w:t>
            </w:r>
            <w:r w:rsidR="00AD6946" w:rsidRPr="00042475">
              <w:rPr>
                <w:sz w:val="26"/>
                <w:szCs w:val="26"/>
              </w:rPr>
              <w:t xml:space="preserve">starptautisko uzņēmumu grupas saimniecisko darbību, tajā skaitā, par saimnieciskās darbības būtību, vispārējo transfertcenu politiku, kā arī </w:t>
            </w:r>
            <w:r w:rsidR="00AD6946" w:rsidRPr="00042475">
              <w:rPr>
                <w:sz w:val="26"/>
                <w:szCs w:val="26"/>
              </w:rPr>
              <w:lastRenderedPageBreak/>
              <w:t>ien</w:t>
            </w:r>
            <w:r w:rsidR="005D2C27" w:rsidRPr="00042475">
              <w:rPr>
                <w:sz w:val="26"/>
                <w:szCs w:val="26"/>
              </w:rPr>
              <w:t>ākumu</w:t>
            </w:r>
            <w:r w:rsidR="00AD6946" w:rsidRPr="00042475">
              <w:rPr>
                <w:sz w:val="26"/>
                <w:szCs w:val="26"/>
              </w:rPr>
              <w:t xml:space="preserve"> un globālo operāciju izvietojumu</w:t>
            </w:r>
            <w:r w:rsidR="0031391E" w:rsidRPr="00042475">
              <w:rPr>
                <w:sz w:val="26"/>
                <w:szCs w:val="26"/>
              </w:rPr>
              <w:t xml:space="preserve">. Globālajā dokumentācijā ietveramo informāciju var iedalīt šādās piecās kategorijās: (1) </w:t>
            </w:r>
            <w:r w:rsidR="002E729B">
              <w:rPr>
                <w:sz w:val="26"/>
                <w:szCs w:val="26"/>
              </w:rPr>
              <w:t>starptautiska</w:t>
            </w:r>
            <w:r w:rsidR="00D2426E" w:rsidRPr="00042475">
              <w:rPr>
                <w:sz w:val="26"/>
                <w:szCs w:val="26"/>
              </w:rPr>
              <w:t xml:space="preserve">s uzņēmumu grupas organizatoriskā struktūra; (2) starptautiskās uzņēmumu grupas saimnieciskās darbības </w:t>
            </w:r>
            <w:r w:rsidR="007E3CD7" w:rsidRPr="00042475">
              <w:rPr>
                <w:sz w:val="26"/>
                <w:szCs w:val="26"/>
              </w:rPr>
              <w:t xml:space="preserve">veidu </w:t>
            </w:r>
            <w:r w:rsidR="00D2426E" w:rsidRPr="00042475">
              <w:rPr>
                <w:sz w:val="26"/>
                <w:szCs w:val="26"/>
              </w:rPr>
              <w:t>apraksts</w:t>
            </w:r>
            <w:r w:rsidR="007E3CD7" w:rsidRPr="00042475">
              <w:rPr>
                <w:sz w:val="26"/>
                <w:szCs w:val="26"/>
              </w:rPr>
              <w:t xml:space="preserve">; (3) </w:t>
            </w:r>
            <w:r w:rsidR="002E729B">
              <w:rPr>
                <w:sz w:val="26"/>
                <w:szCs w:val="26"/>
              </w:rPr>
              <w:t>starptautiska</w:t>
            </w:r>
            <w:r w:rsidR="007E3CD7" w:rsidRPr="00042475">
              <w:rPr>
                <w:sz w:val="26"/>
                <w:szCs w:val="26"/>
              </w:rPr>
              <w:t>s uzņēmumu grupas nemateri</w:t>
            </w:r>
            <w:r w:rsidR="002E729B">
              <w:rPr>
                <w:sz w:val="26"/>
                <w:szCs w:val="26"/>
              </w:rPr>
              <w:t>ālais īpašums; (4) starptautiska</w:t>
            </w:r>
            <w:r w:rsidR="007E3CD7" w:rsidRPr="00042475">
              <w:rPr>
                <w:sz w:val="26"/>
                <w:szCs w:val="26"/>
              </w:rPr>
              <w:t>s uzņēmumu grupas ietvaros veiktie fin</w:t>
            </w:r>
            <w:r w:rsidR="002E729B">
              <w:rPr>
                <w:sz w:val="26"/>
                <w:szCs w:val="26"/>
              </w:rPr>
              <w:t>anšu darījumi; (5) starptautiska</w:t>
            </w:r>
            <w:r w:rsidR="007E3CD7" w:rsidRPr="00042475">
              <w:rPr>
                <w:sz w:val="26"/>
                <w:szCs w:val="26"/>
              </w:rPr>
              <w:t>s uzņēmumu grupas finanšu un nodokļu posteņi;</w:t>
            </w:r>
          </w:p>
          <w:p w14:paraId="758355F9" w14:textId="77777777" w:rsidR="00D333D0" w:rsidRPr="00042475" w:rsidRDefault="002714A3" w:rsidP="001C136F">
            <w:pPr>
              <w:pStyle w:val="ListParagraph"/>
              <w:numPr>
                <w:ilvl w:val="0"/>
                <w:numId w:val="12"/>
              </w:numPr>
              <w:jc w:val="both"/>
              <w:rPr>
                <w:sz w:val="26"/>
                <w:szCs w:val="26"/>
              </w:rPr>
            </w:pPr>
            <w:r w:rsidRPr="00042475">
              <w:rPr>
                <w:sz w:val="26"/>
                <w:szCs w:val="26"/>
              </w:rPr>
              <w:t>Vietējā dokumentācija (Local file)</w:t>
            </w:r>
            <w:r w:rsidR="00212259" w:rsidRPr="00042475">
              <w:rPr>
                <w:sz w:val="26"/>
                <w:szCs w:val="26"/>
              </w:rPr>
              <w:t>, kas</w:t>
            </w:r>
            <w:r w:rsidR="002E729B">
              <w:rPr>
                <w:sz w:val="26"/>
                <w:szCs w:val="26"/>
              </w:rPr>
              <w:t xml:space="preserve"> </w:t>
            </w:r>
            <w:r w:rsidR="007E3CD7" w:rsidRPr="00042475">
              <w:rPr>
                <w:sz w:val="26"/>
                <w:szCs w:val="26"/>
              </w:rPr>
              <w:t>atšķirībā no globālās dokume</w:t>
            </w:r>
            <w:r w:rsidR="002E729B">
              <w:rPr>
                <w:sz w:val="26"/>
                <w:szCs w:val="26"/>
              </w:rPr>
              <w:t xml:space="preserve">ntācijas </w:t>
            </w:r>
            <w:r w:rsidR="007E3CD7" w:rsidRPr="00042475">
              <w:rPr>
                <w:sz w:val="26"/>
                <w:szCs w:val="26"/>
              </w:rPr>
              <w:t xml:space="preserve">ietver vispārīgu informāciju par visu starptautisko uzņēmumu grupu, </w:t>
            </w:r>
            <w:r w:rsidR="009939BD" w:rsidRPr="00042475">
              <w:rPr>
                <w:sz w:val="26"/>
                <w:szCs w:val="26"/>
              </w:rPr>
              <w:t>ietver detalizētāku informāciju galvenokārt par vietējā nodokļu maksātāja būtiskiem kontrolētiem darījumiem. Vietējā dokumentācijā ietvertā informācija papildina globālajā dok</w:t>
            </w:r>
            <w:r w:rsidR="002E729B">
              <w:rPr>
                <w:sz w:val="26"/>
                <w:szCs w:val="26"/>
              </w:rPr>
              <w:t>umentācijā ietverto informāciju</w:t>
            </w:r>
            <w:r w:rsidR="009939BD" w:rsidRPr="00042475">
              <w:rPr>
                <w:sz w:val="26"/>
                <w:szCs w:val="26"/>
              </w:rPr>
              <w:t xml:space="preserve"> un tās mērķis ir pamatot, ka kontrolētajā darījumā, kas ietekmē vietējā uzņēmuma nodokļa slogu, noteiktā cena (vērtība) atbilst tirgus cenai (vērtībai). Vietējā dokumentācija satur transfertcenu analīzi saistībā ar vietējā nodokļu maksātāja veikto kontrolēto darījumu, tajā skaitā, attiecīgo finanšu informāciju, salīdzināmības analīzi, </w:t>
            </w:r>
            <w:r w:rsidR="00E106DC" w:rsidRPr="00042475">
              <w:rPr>
                <w:sz w:val="26"/>
                <w:szCs w:val="26"/>
              </w:rPr>
              <w:t>pamatojumu transfertcenu metodes izvēlei.</w:t>
            </w:r>
          </w:p>
          <w:p w14:paraId="4A8628D1" w14:textId="77777777" w:rsidR="001C136F" w:rsidRPr="00042475" w:rsidRDefault="001B505E" w:rsidP="00412678">
            <w:pPr>
              <w:jc w:val="both"/>
              <w:rPr>
                <w:sz w:val="26"/>
                <w:szCs w:val="26"/>
              </w:rPr>
            </w:pPr>
            <w:r w:rsidRPr="00042475">
              <w:rPr>
                <w:sz w:val="26"/>
                <w:szCs w:val="26"/>
              </w:rPr>
              <w:t>Apstāklis, ka</w:t>
            </w:r>
            <w:r w:rsidR="0098284A" w:rsidRPr="00042475">
              <w:rPr>
                <w:sz w:val="26"/>
                <w:szCs w:val="26"/>
              </w:rPr>
              <w:t xml:space="preserve"> pārskatītās transfertcenu dokumentācijas standarta ieviešana notiks daudzās pasaules valstīs, kurās pārstāvēta starptautiska uzņēmumu grupa</w:t>
            </w:r>
            <w:r w:rsidR="00223D8E" w:rsidRPr="00042475">
              <w:rPr>
                <w:sz w:val="26"/>
                <w:szCs w:val="26"/>
              </w:rPr>
              <w:t>, kā arī apstāklis, ka daļa informācijas transfertcenu dokumentācijā ir noderīga visai starptautiskai uzņēmumu grupai, pārskatītās transfertcenu dokumentācijas ieviešana veicinās tiesisko noteiktību un mazinās administratīvo slogu nodokļu maksātājiem.</w:t>
            </w:r>
            <w:r w:rsidR="006A3701" w:rsidRPr="00042475">
              <w:rPr>
                <w:sz w:val="26"/>
                <w:szCs w:val="26"/>
              </w:rPr>
              <w:t xml:space="preserve"> Tā, piemēram, transfertcenu dokumentācijas prasības, kas sastāv no globālās dokumentācijas un vietējās dokumentācijas</w:t>
            </w:r>
            <w:r w:rsidR="00754FBC" w:rsidRPr="00042475">
              <w:rPr>
                <w:sz w:val="26"/>
                <w:szCs w:val="26"/>
              </w:rPr>
              <w:t>, ievērojot pārskatīto transfertcenu dokumentācijas standarta prasības,</w:t>
            </w:r>
            <w:r w:rsidR="006A3701" w:rsidRPr="00042475">
              <w:rPr>
                <w:sz w:val="26"/>
                <w:szCs w:val="26"/>
              </w:rPr>
              <w:t xml:space="preserve"> jau ieviesa vai šobrīd ievieš </w:t>
            </w:r>
            <w:r w:rsidR="00FF7A9E" w:rsidRPr="00042475">
              <w:rPr>
                <w:sz w:val="26"/>
                <w:szCs w:val="26"/>
              </w:rPr>
              <w:t>tādas valstis kā</w:t>
            </w:r>
            <w:r w:rsidR="00EC52A7" w:rsidRPr="00042475">
              <w:rPr>
                <w:sz w:val="26"/>
                <w:szCs w:val="26"/>
              </w:rPr>
              <w:t xml:space="preserve"> Argentīna, Austrālija, Austrija, Beļģija, </w:t>
            </w:r>
            <w:r w:rsidR="00754FBC" w:rsidRPr="00042475">
              <w:rPr>
                <w:sz w:val="26"/>
                <w:szCs w:val="26"/>
              </w:rPr>
              <w:t xml:space="preserve">Ķīna, Kolumbija, Dānija, Somija, Vācija, </w:t>
            </w:r>
            <w:r w:rsidR="00430303" w:rsidRPr="00042475">
              <w:rPr>
                <w:sz w:val="26"/>
                <w:szCs w:val="26"/>
              </w:rPr>
              <w:t>Honkonga, Indonēzija, Japāna, Koreja, Meksika, Nīderlande, Jaunzēlande, Peru, Polija, Krievija, Spānija, Zviedrija, Turcija, Ukraina u.c.</w:t>
            </w:r>
            <w:r w:rsidR="00FF7A9E" w:rsidRPr="00042475">
              <w:rPr>
                <w:sz w:val="26"/>
                <w:szCs w:val="26"/>
              </w:rPr>
              <w:t>, kā arī paredzams, ka tuvākajā laikā šādas prasības ieviesīs arī citas valstis, tajā skaitā, Lietuva.</w:t>
            </w:r>
          </w:p>
          <w:p w14:paraId="17D8C168" w14:textId="75D75704" w:rsidR="00223D8E" w:rsidRPr="00042475" w:rsidRDefault="00223D8E" w:rsidP="00412678">
            <w:pPr>
              <w:jc w:val="both"/>
              <w:rPr>
                <w:sz w:val="26"/>
                <w:szCs w:val="26"/>
              </w:rPr>
            </w:pPr>
            <w:r w:rsidRPr="00042475">
              <w:rPr>
                <w:sz w:val="26"/>
                <w:szCs w:val="26"/>
              </w:rPr>
              <w:t xml:space="preserve">Starptautiskas uzņēmumu grupas pārskata par katru valsti vienveidīgai ieviešanai Eiropas </w:t>
            </w:r>
            <w:r w:rsidR="001B505E" w:rsidRPr="00042475">
              <w:rPr>
                <w:sz w:val="26"/>
                <w:szCs w:val="26"/>
              </w:rPr>
              <w:t>Savienībā,</w:t>
            </w:r>
            <w:r w:rsidRPr="00042475">
              <w:rPr>
                <w:sz w:val="26"/>
                <w:szCs w:val="26"/>
              </w:rPr>
              <w:t xml:space="preserve"> Eiropas Savienības Padome</w:t>
            </w:r>
            <w:r w:rsidR="00A166F8">
              <w:rPr>
                <w:sz w:val="26"/>
                <w:szCs w:val="26"/>
              </w:rPr>
              <w:t xml:space="preserve"> 2016.gada 25.maijā</w:t>
            </w:r>
            <w:r w:rsidRPr="00042475">
              <w:rPr>
                <w:sz w:val="26"/>
                <w:szCs w:val="26"/>
              </w:rPr>
              <w:t xml:space="preserve"> pieņēma </w:t>
            </w:r>
            <w:r w:rsidR="00E72E84" w:rsidRPr="00042475">
              <w:rPr>
                <w:sz w:val="26"/>
                <w:szCs w:val="26"/>
              </w:rPr>
              <w:t xml:space="preserve">direktīvu </w:t>
            </w:r>
            <w:r w:rsidR="00E72E84" w:rsidRPr="00042475">
              <w:rPr>
                <w:sz w:val="26"/>
                <w:szCs w:val="26"/>
              </w:rPr>
              <w:lastRenderedPageBreak/>
              <w:t xml:space="preserve">2016/881, ar ko Direktīvu 2011/16/ES groza attiecībā uz obligātu automātisku informācijas apmaiņu nodokļu jomā. Savukārt OECD līmenī minētā pārskata ieviešana ir uzskatāma par minimālo standartu valstīm, kuras apņēmušās ieviest BEPS rīcības plānu. </w:t>
            </w:r>
            <w:r w:rsidR="005F0B3A" w:rsidRPr="00042475">
              <w:rPr>
                <w:sz w:val="26"/>
                <w:szCs w:val="26"/>
              </w:rPr>
              <w:t>Latvijā starptautiskas uzņēmumu grupas pārskata par katru valsti prasības ir ieviestas likuma 15.panta devī</w:t>
            </w:r>
            <w:r w:rsidR="00EA20BD" w:rsidRPr="00042475">
              <w:rPr>
                <w:sz w:val="26"/>
                <w:szCs w:val="26"/>
              </w:rPr>
              <w:t>t</w:t>
            </w:r>
            <w:r w:rsidR="005F0B3A" w:rsidRPr="00042475">
              <w:rPr>
                <w:sz w:val="26"/>
                <w:szCs w:val="26"/>
              </w:rPr>
              <w:t xml:space="preserve">ajā daļā un </w:t>
            </w:r>
            <w:r w:rsidR="00967A50" w:rsidRPr="00042475">
              <w:rPr>
                <w:sz w:val="26"/>
                <w:szCs w:val="26"/>
              </w:rPr>
              <w:t>Ministru kabineta 2017.gada 4.jūlija noteikumos Nr.397 “Noteikumi par starptautiskas uzņēmumu grupas pārskatu par katru valsti”.</w:t>
            </w:r>
          </w:p>
          <w:p w14:paraId="71806056" w14:textId="77777777" w:rsidR="008F058A" w:rsidRPr="00042475" w:rsidRDefault="002E0932" w:rsidP="00412678">
            <w:pPr>
              <w:jc w:val="both"/>
              <w:rPr>
                <w:sz w:val="26"/>
                <w:szCs w:val="26"/>
              </w:rPr>
            </w:pPr>
            <w:r w:rsidRPr="00042475">
              <w:rPr>
                <w:sz w:val="26"/>
                <w:szCs w:val="26"/>
              </w:rPr>
              <w:t xml:space="preserve">Savukārt, lai </w:t>
            </w:r>
            <w:r w:rsidR="001C2C1C" w:rsidRPr="00042475">
              <w:rPr>
                <w:sz w:val="26"/>
                <w:szCs w:val="26"/>
              </w:rPr>
              <w:t>ieviestu</w:t>
            </w:r>
            <w:r w:rsidRPr="00042475">
              <w:rPr>
                <w:sz w:val="26"/>
                <w:szCs w:val="26"/>
              </w:rPr>
              <w:t xml:space="preserve"> </w:t>
            </w:r>
            <w:r w:rsidR="001C2C1C" w:rsidRPr="00042475">
              <w:rPr>
                <w:sz w:val="26"/>
                <w:szCs w:val="26"/>
              </w:rPr>
              <w:t xml:space="preserve">transfertcenu dokumentācijas daļas – </w:t>
            </w:r>
            <w:r w:rsidR="00967A50" w:rsidRPr="00042475">
              <w:rPr>
                <w:sz w:val="26"/>
                <w:szCs w:val="26"/>
              </w:rPr>
              <w:t>globālo dokumentāciju</w:t>
            </w:r>
            <w:r w:rsidR="001C2C1C" w:rsidRPr="00042475">
              <w:rPr>
                <w:sz w:val="26"/>
                <w:szCs w:val="26"/>
              </w:rPr>
              <w:t xml:space="preserve"> un vietējo </w:t>
            </w:r>
            <w:r w:rsidR="00967A50" w:rsidRPr="00042475">
              <w:rPr>
                <w:sz w:val="26"/>
                <w:szCs w:val="26"/>
              </w:rPr>
              <w:t>dokumentāciju</w:t>
            </w:r>
            <w:r w:rsidR="001C2C1C" w:rsidRPr="00042475">
              <w:rPr>
                <w:sz w:val="26"/>
                <w:szCs w:val="26"/>
              </w:rPr>
              <w:t>, tika izst</w:t>
            </w:r>
            <w:r w:rsidR="00E30070" w:rsidRPr="00042475">
              <w:rPr>
                <w:sz w:val="26"/>
                <w:szCs w:val="26"/>
              </w:rPr>
              <w:t>rādāts Likumprojekts.</w:t>
            </w:r>
          </w:p>
          <w:p w14:paraId="64FCADDD" w14:textId="4534588D" w:rsidR="00E91040" w:rsidRPr="00042475" w:rsidRDefault="00E91040" w:rsidP="00412678">
            <w:pPr>
              <w:jc w:val="both"/>
              <w:rPr>
                <w:sz w:val="26"/>
                <w:szCs w:val="26"/>
              </w:rPr>
            </w:pPr>
            <w:r w:rsidRPr="00042475">
              <w:rPr>
                <w:sz w:val="26"/>
                <w:szCs w:val="26"/>
              </w:rPr>
              <w:t>Likumprojekt</w:t>
            </w:r>
            <w:r w:rsidR="00453DB6" w:rsidRPr="00042475">
              <w:rPr>
                <w:sz w:val="26"/>
                <w:szCs w:val="26"/>
              </w:rPr>
              <w:t>ā</w:t>
            </w:r>
            <w:r w:rsidRPr="00042475">
              <w:rPr>
                <w:sz w:val="26"/>
                <w:szCs w:val="26"/>
              </w:rPr>
              <w:t xml:space="preserve"> </w:t>
            </w:r>
            <w:r w:rsidR="00952452" w:rsidRPr="00042475">
              <w:rPr>
                <w:sz w:val="26"/>
                <w:szCs w:val="26"/>
              </w:rPr>
              <w:t>ir ietvertas šādas transfertcenu dokumentācij</w:t>
            </w:r>
            <w:r w:rsidR="00AF21FC">
              <w:rPr>
                <w:sz w:val="26"/>
                <w:szCs w:val="26"/>
              </w:rPr>
              <w:t>u</w:t>
            </w:r>
            <w:r w:rsidR="00952452" w:rsidRPr="00042475">
              <w:rPr>
                <w:sz w:val="26"/>
                <w:szCs w:val="26"/>
              </w:rPr>
              <w:t xml:space="preserve"> regulējošās tiesību normas</w:t>
            </w:r>
            <w:r w:rsidR="00793D48" w:rsidRPr="00042475">
              <w:rPr>
                <w:sz w:val="26"/>
                <w:szCs w:val="26"/>
              </w:rPr>
              <w:t>:</w:t>
            </w:r>
          </w:p>
          <w:p w14:paraId="4CA6E368" w14:textId="3E7189C5" w:rsidR="00952452" w:rsidRPr="00042475" w:rsidRDefault="00952452" w:rsidP="004F3FA5">
            <w:pPr>
              <w:pStyle w:val="ListParagraph"/>
              <w:numPr>
                <w:ilvl w:val="0"/>
                <w:numId w:val="13"/>
              </w:numPr>
              <w:jc w:val="both"/>
              <w:rPr>
                <w:sz w:val="26"/>
                <w:szCs w:val="26"/>
              </w:rPr>
            </w:pPr>
            <w:r w:rsidRPr="00042475">
              <w:rPr>
                <w:sz w:val="26"/>
                <w:szCs w:val="26"/>
              </w:rPr>
              <w:t xml:space="preserve">Noteikts subjekts, kam noteiktajos gadījumos ir pienākums sagatavot transfertcenu dokumentāciju. Minētais subjekts ir uzņēmumu ienākuma nodokļa maksātājs – rezidents vai pastāvīgā pārstāvniecība, ja tas veic darījumus ar likumā noteiktu personu. </w:t>
            </w:r>
            <w:r w:rsidR="00EC29AE">
              <w:rPr>
                <w:sz w:val="26"/>
                <w:szCs w:val="26"/>
              </w:rPr>
              <w:t>Pēc VID rīcībā esošās informācijas</w:t>
            </w:r>
            <w:r w:rsidR="00EC29AE" w:rsidRPr="00775E6C">
              <w:rPr>
                <w:sz w:val="26"/>
                <w:szCs w:val="26"/>
              </w:rPr>
              <w:t xml:space="preserve"> </w:t>
            </w:r>
            <w:r w:rsidR="00EC29AE" w:rsidRPr="00E94275">
              <w:rPr>
                <w:sz w:val="28"/>
                <w:szCs w:val="28"/>
              </w:rPr>
              <w:t>par uzņēmumu ienākuma nodokļa deklarācijas 2.pielikumā norādītajiem darījumu apjomiem par 2015.gadu var konstatēt, ka kopējais darījumu apjoms bija 14 478 899 616 EUR, no kuriem 8 525 232 993 jeb 59% bija darījumi ar saistītajiem nerezidentiem</w:t>
            </w:r>
            <w:r w:rsidR="00EC29AE" w:rsidRPr="00775E6C">
              <w:rPr>
                <w:sz w:val="28"/>
                <w:szCs w:val="28"/>
              </w:rPr>
              <w:t xml:space="preserve">, bet </w:t>
            </w:r>
            <w:r w:rsidR="00EC29AE">
              <w:rPr>
                <w:sz w:val="28"/>
                <w:szCs w:val="28"/>
              </w:rPr>
              <w:t xml:space="preserve">atlikusī daļa </w:t>
            </w:r>
            <w:r w:rsidR="00EC29AE" w:rsidRPr="00775E6C">
              <w:rPr>
                <w:sz w:val="28"/>
                <w:szCs w:val="28"/>
              </w:rPr>
              <w:t>5</w:t>
            </w:r>
            <w:r w:rsidR="00EC29AE">
              <w:rPr>
                <w:sz w:val="28"/>
                <w:szCs w:val="28"/>
              </w:rPr>
              <w:t xml:space="preserve"> </w:t>
            </w:r>
            <w:r w:rsidR="00EC29AE" w:rsidRPr="00775E6C">
              <w:rPr>
                <w:sz w:val="28"/>
                <w:szCs w:val="28"/>
              </w:rPr>
              <w:t>953</w:t>
            </w:r>
            <w:r w:rsidR="00EC29AE">
              <w:rPr>
                <w:sz w:val="28"/>
                <w:szCs w:val="28"/>
              </w:rPr>
              <w:t xml:space="preserve"> </w:t>
            </w:r>
            <w:r w:rsidR="00EC29AE" w:rsidRPr="00775E6C">
              <w:rPr>
                <w:sz w:val="28"/>
                <w:szCs w:val="28"/>
              </w:rPr>
              <w:t>666</w:t>
            </w:r>
            <w:r w:rsidR="00EC29AE">
              <w:rPr>
                <w:sz w:val="28"/>
                <w:szCs w:val="28"/>
              </w:rPr>
              <w:t xml:space="preserve"> </w:t>
            </w:r>
            <w:r w:rsidR="00EC29AE" w:rsidRPr="00775E6C">
              <w:rPr>
                <w:sz w:val="28"/>
                <w:szCs w:val="28"/>
              </w:rPr>
              <w:t>623</w:t>
            </w:r>
            <w:r w:rsidR="00EC29AE">
              <w:rPr>
                <w:sz w:val="28"/>
                <w:szCs w:val="28"/>
              </w:rPr>
              <w:t xml:space="preserve"> EUR jeb 41% bija darījumi ar saistītajiem iekšzemes uzņēmumiem. Līdz ar to Likumprojekta </w:t>
            </w:r>
            <w:r w:rsidR="00AF21FC">
              <w:rPr>
                <w:sz w:val="28"/>
                <w:szCs w:val="28"/>
              </w:rPr>
              <w:t xml:space="preserve">(likuma </w:t>
            </w:r>
            <w:r w:rsidR="00EC29AE">
              <w:rPr>
                <w:sz w:val="28"/>
                <w:szCs w:val="28"/>
              </w:rPr>
              <w:t>15.</w:t>
            </w:r>
            <w:r w:rsidR="00EC29AE">
              <w:rPr>
                <w:sz w:val="28"/>
                <w:szCs w:val="28"/>
                <w:vertAlign w:val="superscript"/>
              </w:rPr>
              <w:t>2</w:t>
            </w:r>
            <w:r w:rsidR="00EC29AE">
              <w:rPr>
                <w:sz w:val="28"/>
                <w:szCs w:val="28"/>
              </w:rPr>
              <w:t xml:space="preserve"> otrajā daļā</w:t>
            </w:r>
            <w:r w:rsidR="00AF21FC">
              <w:rPr>
                <w:sz w:val="28"/>
                <w:szCs w:val="28"/>
              </w:rPr>
              <w:t>) regulējumā</w:t>
            </w:r>
            <w:r w:rsidR="00EC29AE">
              <w:rPr>
                <w:sz w:val="28"/>
                <w:szCs w:val="28"/>
              </w:rPr>
              <w:t xml:space="preserve"> paredzēts, ka transfertcenu dokumentācija pēc nodokļu administrācijas pamatota pieprasījuma ir jāsagatavo arī par darījumu vismaz divu Latvijas rezidentu vai pastāvīgās pārstāvniecības un rezidenta starpā.</w:t>
            </w:r>
          </w:p>
          <w:p w14:paraId="396EEABE" w14:textId="77777777" w:rsidR="004F3FA5" w:rsidRPr="00042475" w:rsidRDefault="009E00E9" w:rsidP="003C5606">
            <w:pPr>
              <w:pStyle w:val="ListParagraph"/>
              <w:numPr>
                <w:ilvl w:val="0"/>
                <w:numId w:val="13"/>
              </w:numPr>
              <w:jc w:val="both"/>
              <w:rPr>
                <w:sz w:val="26"/>
                <w:szCs w:val="26"/>
              </w:rPr>
            </w:pPr>
            <w:r w:rsidRPr="00042475">
              <w:rPr>
                <w:sz w:val="26"/>
                <w:szCs w:val="26"/>
              </w:rPr>
              <w:t xml:space="preserve">Noteiktas robežvērtības (apgrozījums un darījuma vērtība), kuras pārsniedzot, nodokļu maksātājam rodas pienākums sagatavot transfertcenu dokumentāciju. Ņemot vērā atšķirīgu slogu globālās dokumentācijas un vietējās dokumentācijas sagatavošanai, abiem minētajiem transfertcenu dokumentācijas veidiem noteikts atšķirīgs robežvērtības lielums. Vietējai dokumentācijai, kuras sagatavošana, ņemot vērā informācijas pieejamību, nodokļu maksātājam ir vienkāršāka, </w:t>
            </w:r>
            <w:r w:rsidRPr="00042475">
              <w:rPr>
                <w:sz w:val="26"/>
                <w:szCs w:val="26"/>
              </w:rPr>
              <w:lastRenderedPageBreak/>
              <w:t>robežvērtība saglabāta līmenī, kāds ir noteikts transfertcenu dokumentācijai pirms Likumprojekta pieņemšanas.</w:t>
            </w:r>
            <w:r w:rsidR="003C5606" w:rsidRPr="00042475">
              <w:rPr>
                <w:sz w:val="26"/>
                <w:szCs w:val="26"/>
              </w:rPr>
              <w:t xml:space="preserve"> Savukārt attiecībā uz globālo dokumentāciju, lai samazinātu administratīvo slogu nodokļu maksātājam, ir paredzētas au</w:t>
            </w:r>
            <w:r w:rsidR="003270AA" w:rsidRPr="00042475">
              <w:rPr>
                <w:sz w:val="26"/>
                <w:szCs w:val="26"/>
              </w:rPr>
              <w:t>g</w:t>
            </w:r>
            <w:r w:rsidR="003C5606" w:rsidRPr="00042475">
              <w:rPr>
                <w:sz w:val="26"/>
                <w:szCs w:val="26"/>
              </w:rPr>
              <w:t>stākas robežvērtības, nekā vietējai dokumentācijai, izņemot gadījumu, ja nodokļu maksātāja (kontrolēta) darījuma partnerim ir pienākums sagatavot globālo dokumentāciju atbilstoši tā rezidences valsts normatīvajiem aktiem;</w:t>
            </w:r>
          </w:p>
          <w:p w14:paraId="6F304C51" w14:textId="77777777" w:rsidR="003C5606" w:rsidRPr="00042475" w:rsidRDefault="003C5606" w:rsidP="003C5606">
            <w:pPr>
              <w:pStyle w:val="ListParagraph"/>
              <w:numPr>
                <w:ilvl w:val="0"/>
                <w:numId w:val="13"/>
              </w:numPr>
              <w:jc w:val="both"/>
              <w:rPr>
                <w:sz w:val="26"/>
                <w:szCs w:val="26"/>
              </w:rPr>
            </w:pPr>
            <w:r w:rsidRPr="00042475">
              <w:rPr>
                <w:sz w:val="26"/>
                <w:szCs w:val="26"/>
              </w:rPr>
              <w:t>Noteikts informācijas apjoms, kāds norādāms globālajā dokumentācijā.</w:t>
            </w:r>
            <w:r w:rsidR="00762643" w:rsidRPr="00042475">
              <w:rPr>
                <w:sz w:val="26"/>
                <w:szCs w:val="26"/>
              </w:rPr>
              <w:t xml:space="preserve"> Ņemot vērā, ka globālā dokumentācija attiecas uz visu starptautisko uzņēmumu grupu kopumā,</w:t>
            </w:r>
            <w:r w:rsidR="005140D7" w:rsidRPr="00042475">
              <w:rPr>
                <w:sz w:val="26"/>
                <w:szCs w:val="26"/>
              </w:rPr>
              <w:t xml:space="preserve"> lai samazinātu nodokļu maksātājam administratīvo slogu un veicinātu situāciju, kad starptautiska uzņēmumu grupa sagatavo vienu globālās dokumentācijas komplektu visiem grupas uzņēmumiem, Likumprojektā paredzētais globālajā dokumentācijā norādāmās informācijas apjoms atbilst prasībām, kādas noteiktas Transfertcenu vadlīnijās, neparedzot atkāpes no minētajām prasībām;</w:t>
            </w:r>
          </w:p>
          <w:p w14:paraId="2AECC2B4" w14:textId="77777777" w:rsidR="005140D7" w:rsidRPr="00042475" w:rsidRDefault="005140D7" w:rsidP="0009679E">
            <w:pPr>
              <w:pStyle w:val="ListParagraph"/>
              <w:numPr>
                <w:ilvl w:val="0"/>
                <w:numId w:val="13"/>
              </w:numPr>
              <w:jc w:val="both"/>
              <w:rPr>
                <w:sz w:val="26"/>
                <w:szCs w:val="26"/>
              </w:rPr>
            </w:pPr>
            <w:r w:rsidRPr="00042475">
              <w:rPr>
                <w:sz w:val="26"/>
                <w:szCs w:val="26"/>
              </w:rPr>
              <w:t>Noteikts informācijas apjoms, kāds norādāms vietējā dokumentācijā. Minētās prasības atbilst prasībām, kādas noteiktas Transfertcenu vadlīnijās, jo vietējā dokumentācija</w:t>
            </w:r>
            <w:r w:rsidR="00C47F4B" w:rsidRPr="00042475">
              <w:rPr>
                <w:sz w:val="26"/>
                <w:szCs w:val="26"/>
              </w:rPr>
              <w:t xml:space="preserve"> ir saistīta ar globālo dokumentāciju, un abi minētie dokumentāciju veidi </w:t>
            </w:r>
            <w:r w:rsidR="00DB63E8" w:rsidRPr="00042475">
              <w:rPr>
                <w:sz w:val="26"/>
                <w:szCs w:val="26"/>
              </w:rPr>
              <w:t>tika</w:t>
            </w:r>
            <w:r w:rsidR="00C47F4B" w:rsidRPr="00042475">
              <w:rPr>
                <w:sz w:val="26"/>
                <w:szCs w:val="26"/>
              </w:rPr>
              <w:t xml:space="preserve"> izstrādāti OECD kā viens otru papildinoši.</w:t>
            </w:r>
            <w:r w:rsidR="00DB63E8" w:rsidRPr="00042475">
              <w:rPr>
                <w:sz w:val="26"/>
                <w:szCs w:val="26"/>
              </w:rPr>
              <w:t xml:space="preserve"> Turklāt </w:t>
            </w:r>
            <w:r w:rsidR="0009679E" w:rsidRPr="00042475">
              <w:rPr>
                <w:sz w:val="26"/>
                <w:szCs w:val="26"/>
              </w:rPr>
              <w:t>maksimāli vienveidīgu prasību ieviešana vietējai dokumentācijai veicinās vienveidīgāku izpratni par vietējās dokumentācijas sagatavošanu dažādās valstīs, līdz ar ko samazināsies administratīvais slogs nodokļu maksātājiem. Taču</w:t>
            </w:r>
            <w:r w:rsidR="00C47F4B" w:rsidRPr="00042475">
              <w:rPr>
                <w:sz w:val="26"/>
                <w:szCs w:val="26"/>
              </w:rPr>
              <w:t xml:space="preserve"> Likumprojektā iestrādāta atkāpe no Transfertcenu vadlīnijām attiecībā uz gadījumiem, kad nodokļu maksātājam ir pienākums sagatavot vietējo dokumentāciju</w:t>
            </w:r>
            <w:r w:rsidR="0009679E" w:rsidRPr="00042475">
              <w:rPr>
                <w:sz w:val="26"/>
                <w:szCs w:val="26"/>
              </w:rPr>
              <w:t xml:space="preserve">, bet robežvērtību dēļ nav pienākuma sagatavot globālo </w:t>
            </w:r>
            <w:r w:rsidR="00C86483" w:rsidRPr="00042475">
              <w:rPr>
                <w:sz w:val="26"/>
                <w:szCs w:val="26"/>
              </w:rPr>
              <w:t>dokumentāciju</w:t>
            </w:r>
            <w:r w:rsidR="0009679E" w:rsidRPr="00042475">
              <w:rPr>
                <w:sz w:val="26"/>
                <w:szCs w:val="26"/>
              </w:rPr>
              <w:t>.</w:t>
            </w:r>
            <w:r w:rsidR="00C47F4B" w:rsidRPr="00042475">
              <w:rPr>
                <w:sz w:val="26"/>
                <w:szCs w:val="26"/>
              </w:rPr>
              <w:t xml:space="preserve"> Šādā gadījumā </w:t>
            </w:r>
            <w:r w:rsidR="00C86483" w:rsidRPr="00042475">
              <w:rPr>
                <w:sz w:val="26"/>
                <w:szCs w:val="26"/>
              </w:rPr>
              <w:t xml:space="preserve">Likumprojekts paredz </w:t>
            </w:r>
            <w:r w:rsidR="00C47F4B" w:rsidRPr="00042475">
              <w:rPr>
                <w:sz w:val="26"/>
                <w:szCs w:val="26"/>
              </w:rPr>
              <w:t>vietējā dokumentācijā ietvert arī noteiktu transfertcenas pamatošanai būtisku informāciju, kas attiecas uz visu starptautisko uzņēmumu grupu kopum</w:t>
            </w:r>
            <w:r w:rsidR="00C86483" w:rsidRPr="00042475">
              <w:rPr>
                <w:sz w:val="26"/>
                <w:szCs w:val="26"/>
              </w:rPr>
              <w:t>ā;</w:t>
            </w:r>
          </w:p>
          <w:p w14:paraId="57F62FDB" w14:textId="77777777" w:rsidR="00C86483" w:rsidRPr="00042475" w:rsidRDefault="004C569E" w:rsidP="0009679E">
            <w:pPr>
              <w:pStyle w:val="ListParagraph"/>
              <w:numPr>
                <w:ilvl w:val="0"/>
                <w:numId w:val="13"/>
              </w:numPr>
              <w:jc w:val="both"/>
              <w:rPr>
                <w:sz w:val="26"/>
                <w:szCs w:val="26"/>
              </w:rPr>
            </w:pPr>
            <w:r w:rsidRPr="00042475">
              <w:rPr>
                <w:sz w:val="26"/>
                <w:szCs w:val="26"/>
              </w:rPr>
              <w:t>Noteiktas prasības attiecībā uz transfertcenu dokumentācijā ietvertās informācijas aktualitāti, kā arī dokumenta formātu;</w:t>
            </w:r>
          </w:p>
          <w:p w14:paraId="1A96D4CE" w14:textId="77777777" w:rsidR="00374EDD" w:rsidRDefault="00374EDD" w:rsidP="0009679E">
            <w:pPr>
              <w:pStyle w:val="ListParagraph"/>
              <w:numPr>
                <w:ilvl w:val="0"/>
                <w:numId w:val="13"/>
              </w:numPr>
              <w:jc w:val="both"/>
              <w:rPr>
                <w:sz w:val="26"/>
                <w:szCs w:val="26"/>
              </w:rPr>
            </w:pPr>
            <w:r>
              <w:rPr>
                <w:sz w:val="26"/>
                <w:szCs w:val="26"/>
              </w:rPr>
              <w:lastRenderedPageBreak/>
              <w:t>Noteikti gadījumi, kad transfertcenu dokumentācija iesniedzama vienlaikus ar uzņēmumu ienākuma nodokļa deklarāciju;</w:t>
            </w:r>
          </w:p>
          <w:p w14:paraId="276E9A0F" w14:textId="77777777" w:rsidR="00EB1AAF" w:rsidRPr="00042475" w:rsidRDefault="004C569E" w:rsidP="0009679E">
            <w:pPr>
              <w:pStyle w:val="ListParagraph"/>
              <w:numPr>
                <w:ilvl w:val="0"/>
                <w:numId w:val="13"/>
              </w:numPr>
              <w:jc w:val="both"/>
              <w:rPr>
                <w:sz w:val="26"/>
                <w:szCs w:val="26"/>
              </w:rPr>
            </w:pPr>
            <w:r w:rsidRPr="00042475">
              <w:rPr>
                <w:sz w:val="26"/>
                <w:szCs w:val="26"/>
              </w:rPr>
              <w:t xml:space="preserve">Paredzētas </w:t>
            </w:r>
            <w:r w:rsidR="00EB1AAF" w:rsidRPr="00042475">
              <w:rPr>
                <w:sz w:val="26"/>
                <w:szCs w:val="26"/>
              </w:rPr>
              <w:t xml:space="preserve">VID </w:t>
            </w:r>
            <w:r w:rsidRPr="00042475">
              <w:rPr>
                <w:sz w:val="26"/>
                <w:szCs w:val="26"/>
              </w:rPr>
              <w:t xml:space="preserve">tiesības </w:t>
            </w:r>
            <w:r w:rsidR="00AD2E5B" w:rsidRPr="00042475">
              <w:rPr>
                <w:sz w:val="26"/>
                <w:szCs w:val="26"/>
              </w:rPr>
              <w:t xml:space="preserve">pieprasīt no nodokļu maksātāja transfertcenu dokumentāciju, lai </w:t>
            </w:r>
            <w:r w:rsidR="00EB1AAF" w:rsidRPr="00042475">
              <w:rPr>
                <w:sz w:val="26"/>
                <w:szCs w:val="26"/>
              </w:rPr>
              <w:t>pārbaudītu transfertcenu korekciju riskus un konsultētu nodokļu maksātāju par iespējamiem transfertcenu korekciju riskiem. Minētais regulējums veicinātu tiesisko noteiktību, kā arī transfertcenu tiesiskā regulējuma pārkāpumu labprātīgu novēršanu. Šāds regulējums atbilst arī starptautiskai prakse</w:t>
            </w:r>
            <w:r w:rsidR="003270AA" w:rsidRPr="00042475">
              <w:rPr>
                <w:sz w:val="26"/>
                <w:szCs w:val="26"/>
              </w:rPr>
              <w:t>i</w:t>
            </w:r>
            <w:r w:rsidR="00EB1AAF" w:rsidRPr="00042475">
              <w:rPr>
                <w:sz w:val="26"/>
                <w:szCs w:val="26"/>
              </w:rPr>
              <w:t xml:space="preserve">, jo jau šobrīd vairākās valstīs ir noteikts pienākums regulāri iesniegt transfertcenu dokumentāciju nodokļu administrācijai (piemēram, Austrālijā, Argentīnā, Kolumbijā, Japānā, Korejā, Meksikā, Peru, Dienvidāfrikas Republikā un Urugvajā). Līdzīgi, vairākās valstīs nodokļu maksātājiem ir pienākums </w:t>
            </w:r>
            <w:r w:rsidR="007712AD" w:rsidRPr="00042475">
              <w:rPr>
                <w:sz w:val="26"/>
                <w:szCs w:val="26"/>
              </w:rPr>
              <w:t xml:space="preserve">ik gadu </w:t>
            </w:r>
            <w:r w:rsidR="00EB1AAF" w:rsidRPr="00042475">
              <w:rPr>
                <w:sz w:val="26"/>
                <w:szCs w:val="26"/>
              </w:rPr>
              <w:t xml:space="preserve">iesniegt (parasti vienlaikus ar nodokļa deklarāciju) </w:t>
            </w:r>
            <w:r w:rsidR="007712AD" w:rsidRPr="00042475">
              <w:rPr>
                <w:sz w:val="26"/>
                <w:szCs w:val="26"/>
              </w:rPr>
              <w:t xml:space="preserve">iepriekš definētu </w:t>
            </w:r>
            <w:r w:rsidR="00EB1AAF" w:rsidRPr="00042475">
              <w:rPr>
                <w:sz w:val="26"/>
                <w:szCs w:val="26"/>
              </w:rPr>
              <w:t>informāciju</w:t>
            </w:r>
            <w:r w:rsidR="007712AD" w:rsidRPr="00042475">
              <w:rPr>
                <w:sz w:val="26"/>
                <w:szCs w:val="26"/>
              </w:rPr>
              <w:t xml:space="preserve"> par kontrolētiem darījumiem, lai minēt</w:t>
            </w:r>
            <w:r w:rsidR="003270AA" w:rsidRPr="00042475">
              <w:rPr>
                <w:sz w:val="26"/>
                <w:szCs w:val="26"/>
              </w:rPr>
              <w:t>ā</w:t>
            </w:r>
            <w:r w:rsidR="007712AD" w:rsidRPr="00042475">
              <w:rPr>
                <w:sz w:val="26"/>
                <w:szCs w:val="26"/>
              </w:rPr>
              <w:t xml:space="preserve"> informācija tiktu izmantota transfertcenu riska analīzei (piemēram, Zviedrija, Somija, Norvēģija, Dānija, </w:t>
            </w:r>
            <w:r w:rsidR="0087315C" w:rsidRPr="00042475">
              <w:rPr>
                <w:sz w:val="26"/>
                <w:szCs w:val="26"/>
              </w:rPr>
              <w:t xml:space="preserve">Čehija, </w:t>
            </w:r>
            <w:r w:rsidR="007712AD" w:rsidRPr="00042475">
              <w:rPr>
                <w:sz w:val="26"/>
                <w:szCs w:val="26"/>
              </w:rPr>
              <w:t>Kanāda, Jaunzēland</w:t>
            </w:r>
            <w:r w:rsidR="003270AA" w:rsidRPr="00042475">
              <w:rPr>
                <w:sz w:val="26"/>
                <w:szCs w:val="26"/>
              </w:rPr>
              <w:t>e</w:t>
            </w:r>
            <w:r w:rsidR="007712AD" w:rsidRPr="00042475">
              <w:rPr>
                <w:sz w:val="26"/>
                <w:szCs w:val="26"/>
              </w:rPr>
              <w:t>, Gruzija, Krievija, Turcija</w:t>
            </w:r>
            <w:r w:rsidR="003568E4" w:rsidRPr="00042475">
              <w:rPr>
                <w:sz w:val="26"/>
                <w:szCs w:val="26"/>
              </w:rPr>
              <w:t>);</w:t>
            </w:r>
          </w:p>
          <w:p w14:paraId="59190644" w14:textId="77777777" w:rsidR="003568E4" w:rsidRPr="00042475" w:rsidRDefault="003568E4" w:rsidP="0009679E">
            <w:pPr>
              <w:pStyle w:val="ListParagraph"/>
              <w:numPr>
                <w:ilvl w:val="0"/>
                <w:numId w:val="13"/>
              </w:numPr>
              <w:jc w:val="both"/>
              <w:rPr>
                <w:sz w:val="26"/>
                <w:szCs w:val="26"/>
              </w:rPr>
            </w:pPr>
            <w:r w:rsidRPr="00042475">
              <w:rPr>
                <w:sz w:val="26"/>
                <w:szCs w:val="26"/>
              </w:rPr>
              <w:t>Paredzēta atbildība par transfertcenu dokumentācijas nesniegšanu. Atbildība par dokumentācijas nesniegšanu veicinās savlaicīgas un kvalitatīvas transfertcenu dokumentācijas sagatavošanu un iesniegšanu VID. Atbildības apmērs – līdz 2 procentiem no kontrolētā darījuma summas – ir samērīgs, jo atkarībā no kontrolētā darījuma summas ir atkarīgs nesamaksātā uzņēmumu ienākuma nodokļa summas risks, turklāt šāds soda apmērs atturētu nodokļu maksātāju no normatīvo aktu pārkāpuma;</w:t>
            </w:r>
          </w:p>
          <w:p w14:paraId="30125039" w14:textId="77777777" w:rsidR="0012150B" w:rsidRDefault="004C569E" w:rsidP="00793D48">
            <w:pPr>
              <w:pStyle w:val="ListParagraph"/>
              <w:numPr>
                <w:ilvl w:val="0"/>
                <w:numId w:val="13"/>
              </w:numPr>
              <w:jc w:val="both"/>
              <w:rPr>
                <w:sz w:val="26"/>
                <w:szCs w:val="26"/>
              </w:rPr>
            </w:pPr>
            <w:r w:rsidRPr="00042475">
              <w:rPr>
                <w:sz w:val="26"/>
                <w:szCs w:val="26"/>
              </w:rPr>
              <w:t>Nodefinēts termins “kontrolēts darījums”, ņemot vērā, ka šāds termins ir vairākas reizes lietots Likumprojektā, kā arī ir vispāratzīts starptautiski, tajā skaitā, lietots Transfertcenu vadlīnijās</w:t>
            </w:r>
            <w:r w:rsidR="0012150B">
              <w:rPr>
                <w:sz w:val="26"/>
                <w:szCs w:val="26"/>
              </w:rPr>
              <w:t>;</w:t>
            </w:r>
          </w:p>
          <w:p w14:paraId="499C554D" w14:textId="77777777" w:rsidR="003C5606" w:rsidRPr="00042475" w:rsidRDefault="0012150B" w:rsidP="008545BD">
            <w:pPr>
              <w:pStyle w:val="ListParagraph"/>
              <w:numPr>
                <w:ilvl w:val="0"/>
                <w:numId w:val="13"/>
              </w:numPr>
              <w:jc w:val="both"/>
              <w:rPr>
                <w:sz w:val="26"/>
                <w:szCs w:val="26"/>
              </w:rPr>
            </w:pPr>
            <w:r>
              <w:rPr>
                <w:sz w:val="26"/>
                <w:szCs w:val="26"/>
              </w:rPr>
              <w:t>Nodefinēts termins “</w:t>
            </w:r>
            <w:r w:rsidR="008545BD" w:rsidRPr="008545BD">
              <w:rPr>
                <w:sz w:val="26"/>
                <w:szCs w:val="26"/>
              </w:rPr>
              <w:t xml:space="preserve">ar nodokļu maksātāju saistīta </w:t>
            </w:r>
            <w:r>
              <w:rPr>
                <w:sz w:val="26"/>
                <w:szCs w:val="26"/>
              </w:rPr>
              <w:t>starptautiska uzņēmumu grupa” un termins “saistīts ārvalstu uzņēmums”, lai veicinātu tiesisko noteiktību transfertcenu dokumentācijas sagatavošanā</w:t>
            </w:r>
            <w:r w:rsidR="004C569E" w:rsidRPr="00042475">
              <w:rPr>
                <w:sz w:val="26"/>
                <w:szCs w:val="26"/>
              </w:rPr>
              <w:t>.</w:t>
            </w:r>
          </w:p>
          <w:p w14:paraId="0D814677" w14:textId="77777777" w:rsidR="00186B74" w:rsidRPr="00042475" w:rsidRDefault="00186B74" w:rsidP="00186B74">
            <w:pPr>
              <w:jc w:val="both"/>
              <w:rPr>
                <w:sz w:val="26"/>
                <w:szCs w:val="26"/>
              </w:rPr>
            </w:pPr>
          </w:p>
          <w:p w14:paraId="3378EE64" w14:textId="77777777" w:rsidR="00255C8E" w:rsidRPr="00042475" w:rsidRDefault="00AB1795" w:rsidP="00412678">
            <w:pPr>
              <w:jc w:val="both"/>
              <w:rPr>
                <w:sz w:val="26"/>
                <w:szCs w:val="26"/>
                <w:u w:val="single"/>
              </w:rPr>
            </w:pPr>
            <w:r w:rsidRPr="00042475">
              <w:rPr>
                <w:sz w:val="26"/>
                <w:szCs w:val="26"/>
                <w:u w:val="single"/>
              </w:rPr>
              <w:t>Atsauces uz likumu “Par uzņēmumu ienākuma nodokli”</w:t>
            </w:r>
          </w:p>
          <w:p w14:paraId="415E3DC8" w14:textId="77777777" w:rsidR="00572537" w:rsidRPr="00042475" w:rsidRDefault="00CA2B8B" w:rsidP="00412678">
            <w:pPr>
              <w:jc w:val="both"/>
              <w:rPr>
                <w:sz w:val="26"/>
                <w:szCs w:val="26"/>
              </w:rPr>
            </w:pPr>
            <w:r w:rsidRPr="00042475">
              <w:rPr>
                <w:sz w:val="26"/>
                <w:szCs w:val="26"/>
              </w:rPr>
              <w:lastRenderedPageBreak/>
              <w:t>Ņemot vē</w:t>
            </w:r>
            <w:r w:rsidR="002E729B">
              <w:rPr>
                <w:sz w:val="26"/>
                <w:szCs w:val="26"/>
              </w:rPr>
              <w:t>rā, ka 2018.gada 1.janvārī stāsie</w:t>
            </w:r>
            <w:r w:rsidRPr="00042475">
              <w:rPr>
                <w:sz w:val="26"/>
                <w:szCs w:val="26"/>
              </w:rPr>
              <w:t>s spē</w:t>
            </w:r>
            <w:r w:rsidR="003270AA" w:rsidRPr="00042475">
              <w:rPr>
                <w:sz w:val="26"/>
                <w:szCs w:val="26"/>
              </w:rPr>
              <w:t>k</w:t>
            </w:r>
            <w:r w:rsidRPr="00042475">
              <w:rPr>
                <w:sz w:val="26"/>
                <w:szCs w:val="26"/>
              </w:rPr>
              <w:t>ā Uzņēmumu ienākuma nodokļa likums, kas aizstāj likumu “Par uzņēmumu ienākuma nodokli”</w:t>
            </w:r>
            <w:r w:rsidR="00FC16E6" w:rsidRPr="00042475">
              <w:rPr>
                <w:sz w:val="26"/>
                <w:szCs w:val="26"/>
              </w:rPr>
              <w:t>, Likumprojektā ietvertas normas, ar kurām atsauces uz likumu “Par uzņēmumu ienākuma nodokli” aizstātas ar atsaucēm uz Uzņēmumu ienākuma nodokļa likumu</w:t>
            </w:r>
            <w:r w:rsidR="00AF21FC">
              <w:rPr>
                <w:sz w:val="26"/>
                <w:szCs w:val="26"/>
              </w:rPr>
              <w:t>, ja tas ir bijis iespējams, vai arī</w:t>
            </w:r>
            <w:r w:rsidR="00FD5803">
              <w:rPr>
                <w:sz w:val="26"/>
                <w:szCs w:val="26"/>
              </w:rPr>
              <w:t xml:space="preserve"> regulējums piemērots atbilstoši Uzņēmumu ienākuma nodokļa likumā noteiktajam</w:t>
            </w:r>
            <w:r w:rsidR="00FC16E6" w:rsidRPr="00042475">
              <w:rPr>
                <w:sz w:val="26"/>
                <w:szCs w:val="26"/>
              </w:rPr>
              <w:t>.</w:t>
            </w:r>
          </w:p>
          <w:p w14:paraId="5774F81F" w14:textId="77777777" w:rsidR="003568E4" w:rsidRPr="00042475" w:rsidRDefault="003568E4" w:rsidP="00412678">
            <w:pPr>
              <w:jc w:val="both"/>
              <w:rPr>
                <w:sz w:val="26"/>
                <w:szCs w:val="26"/>
              </w:rPr>
            </w:pPr>
          </w:p>
          <w:p w14:paraId="3D5FAEA1" w14:textId="77777777" w:rsidR="00AB1795" w:rsidRPr="00042475" w:rsidRDefault="00AB1795" w:rsidP="00412678">
            <w:pPr>
              <w:jc w:val="both"/>
              <w:rPr>
                <w:sz w:val="26"/>
                <w:szCs w:val="26"/>
                <w:u w:val="single"/>
              </w:rPr>
            </w:pPr>
            <w:r w:rsidRPr="00042475">
              <w:rPr>
                <w:sz w:val="26"/>
                <w:szCs w:val="26"/>
                <w:u w:val="single"/>
              </w:rPr>
              <w:t>Par laikposmu, kādā nodokļu maksātājam ir tiesības precizēt deklarāciju</w:t>
            </w:r>
          </w:p>
          <w:p w14:paraId="1ABB2983" w14:textId="77777777" w:rsidR="007712AD" w:rsidRPr="00042475" w:rsidRDefault="00AB1795" w:rsidP="00412678">
            <w:pPr>
              <w:jc w:val="both"/>
              <w:rPr>
                <w:sz w:val="26"/>
                <w:szCs w:val="26"/>
              </w:rPr>
            </w:pPr>
            <w:r w:rsidRPr="00042475">
              <w:rPr>
                <w:sz w:val="26"/>
                <w:szCs w:val="26"/>
              </w:rPr>
              <w:t>Šobrīd likums paredz nodokļu maksātājam tiesības precizēt nodokļu deklarāciju triju gadu laikā pēc konkrētajos likumos noteiktā maksāšanas termiņa. Minētais triju gadu periods ir saskaņots ar laikposmu, kādā nodokļu administrācija ir tiesīga veikt nodokļu revīziju (auditu) par konkrēto nodokli. Ņemot vērā, ka transfertcenu auditu nodokļu administrācija ir tiesīga veikt piecu gadu laikā pēc normatīvajos aktos noteiktā uzņēmumu ienākuma nodokļa maksāšanas termiņa, Likumprojekts paredz nodokļu maksātājam tiesības precizēt deklarāciju saistībā ar transfertcenu korekciju</w:t>
            </w:r>
            <w:r w:rsidR="00FD5803">
              <w:rPr>
                <w:sz w:val="26"/>
                <w:szCs w:val="26"/>
              </w:rPr>
              <w:t>,</w:t>
            </w:r>
            <w:r w:rsidRPr="00042475">
              <w:rPr>
                <w:sz w:val="26"/>
                <w:szCs w:val="26"/>
              </w:rPr>
              <w:t xml:space="preserve"> saskaņo</w:t>
            </w:r>
            <w:r w:rsidR="00FD5803">
              <w:rPr>
                <w:sz w:val="26"/>
                <w:szCs w:val="26"/>
              </w:rPr>
              <w:t>jo</w:t>
            </w:r>
            <w:r w:rsidRPr="00042475">
              <w:rPr>
                <w:sz w:val="26"/>
                <w:szCs w:val="26"/>
              </w:rPr>
              <w:t>t ar termiņu, kādā nodokļu administrācija ir tiesīga veikt nodokļu revīziju (auditu).</w:t>
            </w:r>
          </w:p>
          <w:p w14:paraId="193443F5" w14:textId="77777777" w:rsidR="00F477FD" w:rsidRPr="00042475" w:rsidRDefault="00F477FD" w:rsidP="00412678">
            <w:pPr>
              <w:jc w:val="both"/>
              <w:rPr>
                <w:sz w:val="26"/>
                <w:szCs w:val="26"/>
              </w:rPr>
            </w:pPr>
          </w:p>
          <w:p w14:paraId="051FDEC8" w14:textId="77777777" w:rsidR="00412678" w:rsidRPr="009036A5" w:rsidRDefault="00084980" w:rsidP="00412678">
            <w:pPr>
              <w:jc w:val="both"/>
              <w:rPr>
                <w:sz w:val="26"/>
                <w:szCs w:val="26"/>
                <w:u w:val="single"/>
              </w:rPr>
            </w:pPr>
            <w:r w:rsidRPr="009036A5">
              <w:rPr>
                <w:sz w:val="26"/>
                <w:szCs w:val="26"/>
                <w:u w:val="single"/>
              </w:rPr>
              <w:t>Par kompetento iestādi savstarpējās saskaņošanas procedūrai</w:t>
            </w:r>
          </w:p>
          <w:p w14:paraId="32B24ACA" w14:textId="77777777" w:rsidR="008D7B3C" w:rsidRPr="00042475" w:rsidRDefault="006F423B" w:rsidP="008D7B3C">
            <w:pPr>
              <w:ind w:firstLine="175"/>
              <w:jc w:val="both"/>
              <w:rPr>
                <w:sz w:val="26"/>
                <w:szCs w:val="26"/>
              </w:rPr>
            </w:pPr>
            <w:r w:rsidRPr="00042475">
              <w:rPr>
                <w:sz w:val="26"/>
                <w:szCs w:val="26"/>
              </w:rPr>
              <w:t>Sākot ar 1992.gadu</w:t>
            </w:r>
            <w:r w:rsidR="00421EE6" w:rsidRPr="00042475">
              <w:rPr>
                <w:sz w:val="26"/>
                <w:szCs w:val="26"/>
              </w:rPr>
              <w:t>,</w:t>
            </w:r>
            <w:r w:rsidRPr="00042475">
              <w:rPr>
                <w:sz w:val="26"/>
                <w:szCs w:val="26"/>
              </w:rPr>
              <w:t xml:space="preserve"> </w:t>
            </w:r>
            <w:r w:rsidR="008D7B3C" w:rsidRPr="00042475">
              <w:rPr>
                <w:sz w:val="26"/>
                <w:szCs w:val="26"/>
              </w:rPr>
              <w:t>Latvijai saistošajos starptautisk</w:t>
            </w:r>
            <w:r w:rsidR="00DA45BC" w:rsidRPr="00042475">
              <w:rPr>
                <w:sz w:val="26"/>
                <w:szCs w:val="26"/>
              </w:rPr>
              <w:t>ajo</w:t>
            </w:r>
            <w:r w:rsidR="008D7B3C" w:rsidRPr="00042475">
              <w:rPr>
                <w:sz w:val="26"/>
                <w:szCs w:val="26"/>
              </w:rPr>
              <w:t xml:space="preserve">s līgumos par nodokļu dubultās uzlikšanas un nodokļu nemaksāšanas novēršanu ir </w:t>
            </w:r>
            <w:r w:rsidR="00412678" w:rsidRPr="00042475">
              <w:rPr>
                <w:sz w:val="26"/>
                <w:szCs w:val="26"/>
              </w:rPr>
              <w:t>noteikts pienākums</w:t>
            </w:r>
            <w:r w:rsidRPr="00042475">
              <w:rPr>
                <w:sz w:val="26"/>
                <w:szCs w:val="26"/>
              </w:rPr>
              <w:t xml:space="preserve"> veikt </w:t>
            </w:r>
            <w:r w:rsidR="008D7B3C" w:rsidRPr="00042475">
              <w:rPr>
                <w:sz w:val="26"/>
                <w:szCs w:val="26"/>
              </w:rPr>
              <w:t>savstarpējās saskaņošanas procedūr</w:t>
            </w:r>
            <w:r w:rsidRPr="00042475">
              <w:rPr>
                <w:sz w:val="26"/>
                <w:szCs w:val="26"/>
              </w:rPr>
              <w:t>u</w:t>
            </w:r>
            <w:r w:rsidR="008D7B3C" w:rsidRPr="00042475">
              <w:rPr>
                <w:sz w:val="26"/>
                <w:szCs w:val="26"/>
              </w:rPr>
              <w:t xml:space="preserve">, kuras ietvaros </w:t>
            </w:r>
            <w:r w:rsidRPr="00042475">
              <w:rPr>
                <w:sz w:val="26"/>
                <w:szCs w:val="26"/>
              </w:rPr>
              <w:t xml:space="preserve">līgumslēdzēju </w:t>
            </w:r>
            <w:r w:rsidR="008D7B3C" w:rsidRPr="00042475">
              <w:rPr>
                <w:sz w:val="26"/>
                <w:szCs w:val="26"/>
              </w:rPr>
              <w:t>valstu kompetentās iestādes cenšas novērst dubulto aplikšanu ar nodokļiem vai tādu nodokļu uzlikšanu, kas neatbilst attiecīgajam starptautiskajam līgumam.</w:t>
            </w:r>
          </w:p>
          <w:p w14:paraId="7CEC00B2" w14:textId="77777777" w:rsidR="00FB4C34" w:rsidRPr="00042475" w:rsidRDefault="006F423B" w:rsidP="00FD74B9">
            <w:pPr>
              <w:ind w:firstLine="175"/>
              <w:jc w:val="both"/>
              <w:rPr>
                <w:sz w:val="26"/>
                <w:szCs w:val="26"/>
              </w:rPr>
            </w:pPr>
            <w:r w:rsidRPr="00042475">
              <w:rPr>
                <w:sz w:val="26"/>
                <w:szCs w:val="26"/>
              </w:rPr>
              <w:t>Ievērojami pieaugot minēto starptautisko līgumu skaitam (pēc stāvokļa uz</w:t>
            </w:r>
            <w:r w:rsidR="00FD74B9" w:rsidRPr="00042475">
              <w:rPr>
                <w:sz w:val="26"/>
                <w:szCs w:val="26"/>
              </w:rPr>
              <w:t xml:space="preserve"> 2017</w:t>
            </w:r>
            <w:r w:rsidRPr="00042475">
              <w:rPr>
                <w:sz w:val="26"/>
                <w:szCs w:val="26"/>
              </w:rPr>
              <w:t xml:space="preserve">.gada 1.janvāri </w:t>
            </w:r>
            <w:r w:rsidR="00421EE6" w:rsidRPr="00042475">
              <w:rPr>
                <w:sz w:val="26"/>
                <w:szCs w:val="26"/>
              </w:rPr>
              <w:t>–</w:t>
            </w:r>
            <w:r w:rsidRPr="00042475">
              <w:rPr>
                <w:sz w:val="26"/>
                <w:szCs w:val="26"/>
              </w:rPr>
              <w:t xml:space="preserve"> </w:t>
            </w:r>
            <w:r w:rsidR="00421EE6" w:rsidRPr="00042475">
              <w:rPr>
                <w:sz w:val="26"/>
                <w:szCs w:val="26"/>
              </w:rPr>
              <w:t>stājušās spēkā piemērošanai 59 nodokļu konvencijas</w:t>
            </w:r>
            <w:r w:rsidRPr="00042475">
              <w:rPr>
                <w:sz w:val="26"/>
                <w:szCs w:val="26"/>
              </w:rPr>
              <w:t>)</w:t>
            </w:r>
            <w:r w:rsidR="00421EE6" w:rsidRPr="00042475">
              <w:rPr>
                <w:sz w:val="26"/>
                <w:szCs w:val="26"/>
              </w:rPr>
              <w:t>,</w:t>
            </w:r>
            <w:r w:rsidRPr="00042475">
              <w:rPr>
                <w:sz w:val="26"/>
                <w:szCs w:val="26"/>
              </w:rPr>
              <w:t xml:space="preserve"> n</w:t>
            </w:r>
            <w:r w:rsidR="0023472B" w:rsidRPr="00042475">
              <w:rPr>
                <w:sz w:val="26"/>
                <w:szCs w:val="26"/>
              </w:rPr>
              <w:t>odokļu maksātāji arvien biežāk cenšas novērst dubulto aplikšanu ar nodokļiem, izmantojot savstarpējās saskaņošanas procedūru. Savukārt</w:t>
            </w:r>
            <w:r w:rsidR="00DA45BC" w:rsidRPr="00042475">
              <w:rPr>
                <w:sz w:val="26"/>
                <w:szCs w:val="26"/>
              </w:rPr>
              <w:t>,</w:t>
            </w:r>
            <w:r w:rsidR="0023472B" w:rsidRPr="00042475">
              <w:rPr>
                <w:sz w:val="26"/>
                <w:szCs w:val="26"/>
              </w:rPr>
              <w:t xml:space="preserve"> lai uzsāktu minēto procedūru, ar iesniegumu jāvēršas </w:t>
            </w:r>
            <w:r w:rsidRPr="00042475">
              <w:rPr>
                <w:sz w:val="26"/>
                <w:szCs w:val="26"/>
              </w:rPr>
              <w:t xml:space="preserve">attiecīgās līgumslēdzējas valsts </w:t>
            </w:r>
            <w:r w:rsidR="0023472B" w:rsidRPr="00042475">
              <w:rPr>
                <w:sz w:val="26"/>
                <w:szCs w:val="26"/>
              </w:rPr>
              <w:t>kompetent</w:t>
            </w:r>
            <w:r w:rsidRPr="00042475">
              <w:rPr>
                <w:sz w:val="26"/>
                <w:szCs w:val="26"/>
              </w:rPr>
              <w:t>aj</w:t>
            </w:r>
            <w:r w:rsidR="0023472B" w:rsidRPr="00042475">
              <w:rPr>
                <w:sz w:val="26"/>
                <w:szCs w:val="26"/>
              </w:rPr>
              <w:t xml:space="preserve">ā iestādē. </w:t>
            </w:r>
            <w:r w:rsidR="00D614C1" w:rsidRPr="00042475">
              <w:rPr>
                <w:sz w:val="26"/>
                <w:szCs w:val="26"/>
              </w:rPr>
              <w:t>Lai nodokļu maksātājiem būtu nepārprotami skaidrs, kur</w:t>
            </w:r>
            <w:r w:rsidR="00DA45BC" w:rsidRPr="00042475">
              <w:rPr>
                <w:sz w:val="26"/>
                <w:szCs w:val="26"/>
              </w:rPr>
              <w:t>a</w:t>
            </w:r>
            <w:r w:rsidR="00D614C1" w:rsidRPr="00042475">
              <w:rPr>
                <w:sz w:val="26"/>
                <w:szCs w:val="26"/>
              </w:rPr>
              <w:t xml:space="preserve"> iestāde </w:t>
            </w:r>
            <w:r w:rsidRPr="00042475">
              <w:rPr>
                <w:sz w:val="26"/>
                <w:szCs w:val="26"/>
              </w:rPr>
              <w:t xml:space="preserve">minēto līgumu ietvaros </w:t>
            </w:r>
            <w:r w:rsidR="00D614C1" w:rsidRPr="00042475">
              <w:rPr>
                <w:sz w:val="26"/>
                <w:szCs w:val="26"/>
              </w:rPr>
              <w:t>ir kompetenta veikt savstarpējās saskaņošanas procedūru, nepieciešams veikt grozījumu likumā, pa</w:t>
            </w:r>
            <w:r w:rsidR="00412678" w:rsidRPr="00042475">
              <w:rPr>
                <w:sz w:val="26"/>
                <w:szCs w:val="26"/>
              </w:rPr>
              <w:t>skaidrojot</w:t>
            </w:r>
            <w:r w:rsidR="00D614C1" w:rsidRPr="00042475">
              <w:rPr>
                <w:sz w:val="26"/>
                <w:szCs w:val="26"/>
              </w:rPr>
              <w:t xml:space="preserve">, ka </w:t>
            </w:r>
            <w:r w:rsidR="00820F3C" w:rsidRPr="00042475">
              <w:rPr>
                <w:sz w:val="26"/>
                <w:szCs w:val="26"/>
              </w:rPr>
              <w:lastRenderedPageBreak/>
              <w:t xml:space="preserve">viens no </w:t>
            </w:r>
            <w:r w:rsidR="00D614C1" w:rsidRPr="00042475">
              <w:rPr>
                <w:sz w:val="26"/>
                <w:szCs w:val="26"/>
              </w:rPr>
              <w:t>nodokļu administr</w:t>
            </w:r>
            <w:r w:rsidR="00820F3C" w:rsidRPr="00042475">
              <w:rPr>
                <w:sz w:val="26"/>
                <w:szCs w:val="26"/>
              </w:rPr>
              <w:t xml:space="preserve">ācijas pienākumiem ir atbilstoši Latvijas Republikai saistošajiem starptautiskajiem līgumiem veikt </w:t>
            </w:r>
            <w:r w:rsidRPr="00042475">
              <w:rPr>
                <w:sz w:val="26"/>
                <w:szCs w:val="26"/>
              </w:rPr>
              <w:t xml:space="preserve">savstarpējās </w:t>
            </w:r>
            <w:r w:rsidR="00FB4C34" w:rsidRPr="00042475">
              <w:rPr>
                <w:sz w:val="26"/>
                <w:szCs w:val="26"/>
              </w:rPr>
              <w:t>saskaņošanas procedūru, tai skaitā, lai novērstu nodokļu dubulto uzlikšanu vai tādu nodokļu uzlikšanu, kas ir pretrunā ar attiecīgo starptautisko līgumu.</w:t>
            </w:r>
            <w:r w:rsidRPr="00042475">
              <w:rPr>
                <w:sz w:val="26"/>
                <w:szCs w:val="26"/>
              </w:rPr>
              <w:t xml:space="preserve"> Ar minēto skaidrojumu tiek nodrošināts, ka savstarpējās saskaņošanas procedūras veikšanai minēto līgumu ietvaros Latvijas Republikas kompetentā iestād</w:t>
            </w:r>
            <w:r w:rsidR="00416647" w:rsidRPr="00042475">
              <w:rPr>
                <w:sz w:val="26"/>
                <w:szCs w:val="26"/>
              </w:rPr>
              <w:t xml:space="preserve">e ir </w:t>
            </w:r>
            <w:r w:rsidR="00376DD5">
              <w:rPr>
                <w:sz w:val="26"/>
                <w:szCs w:val="26"/>
              </w:rPr>
              <w:t>VID</w:t>
            </w:r>
            <w:r w:rsidR="00416647" w:rsidRPr="00042475">
              <w:rPr>
                <w:sz w:val="26"/>
                <w:szCs w:val="26"/>
              </w:rPr>
              <w:t>.</w:t>
            </w:r>
          </w:p>
          <w:p w14:paraId="04E39A4A" w14:textId="77777777" w:rsidR="00573200" w:rsidRPr="00042475" w:rsidRDefault="00573200" w:rsidP="00573200">
            <w:pPr>
              <w:ind w:firstLine="175"/>
              <w:jc w:val="both"/>
              <w:rPr>
                <w:sz w:val="26"/>
                <w:szCs w:val="26"/>
              </w:rPr>
            </w:pPr>
          </w:p>
          <w:p w14:paraId="66256686" w14:textId="77777777" w:rsidR="009651E8" w:rsidRPr="00042475" w:rsidRDefault="009651E8" w:rsidP="001716B7">
            <w:pPr>
              <w:ind w:firstLine="175"/>
              <w:jc w:val="both"/>
              <w:rPr>
                <w:sz w:val="26"/>
                <w:szCs w:val="26"/>
              </w:rPr>
            </w:pPr>
          </w:p>
          <w:p w14:paraId="43DB18D7" w14:textId="77777777" w:rsidR="005625E3" w:rsidRPr="009036A5" w:rsidRDefault="005625E3" w:rsidP="001716B7">
            <w:pPr>
              <w:ind w:firstLine="175"/>
              <w:jc w:val="both"/>
              <w:rPr>
                <w:b/>
                <w:sz w:val="26"/>
                <w:szCs w:val="26"/>
              </w:rPr>
            </w:pPr>
            <w:r w:rsidRPr="009036A5">
              <w:rPr>
                <w:b/>
                <w:sz w:val="26"/>
                <w:szCs w:val="26"/>
              </w:rPr>
              <w:t>Par nodokļu revīzijas (audita) termiņu transfertcenu auditā</w:t>
            </w:r>
          </w:p>
          <w:p w14:paraId="4754DB1A" w14:textId="77777777" w:rsidR="0031280C" w:rsidRPr="00042475" w:rsidRDefault="00376DD5" w:rsidP="002815C9">
            <w:pPr>
              <w:jc w:val="both"/>
              <w:rPr>
                <w:sz w:val="26"/>
                <w:szCs w:val="26"/>
              </w:rPr>
            </w:pPr>
            <w:r>
              <w:rPr>
                <w:sz w:val="26"/>
                <w:szCs w:val="26"/>
              </w:rPr>
              <w:t>VID</w:t>
            </w:r>
            <w:r w:rsidR="00D83684" w:rsidRPr="00042475">
              <w:rPr>
                <w:sz w:val="26"/>
                <w:szCs w:val="26"/>
              </w:rPr>
              <w:t>, veicot nodokļu auditus, kuros tiek pārbaudīta transfertcena, sastopas ar situācijām, kad starptautiskie pārrobežu darījumi tiek strukturēti sarežģīti, iesaistot nemateriālo īpašumu, pārgrozot darījumu juridisko būtību u.c.</w:t>
            </w:r>
            <w:r w:rsidR="0031280C" w:rsidRPr="00042475">
              <w:rPr>
                <w:sz w:val="26"/>
                <w:szCs w:val="26"/>
              </w:rPr>
              <w:t xml:space="preserve"> Turklāt globalizācijas un digitālās ekonomikas attīstības rezultātā, starptautisko uzņēmumu grupu saimnieciskajā darbībā pēdējo gadu laikā notika pārmaiņas</w:t>
            </w:r>
            <w:r w:rsidR="00F35D42" w:rsidRPr="00042475">
              <w:rPr>
                <w:sz w:val="26"/>
                <w:szCs w:val="26"/>
              </w:rPr>
              <w:t>,</w:t>
            </w:r>
            <w:r w:rsidR="0031280C" w:rsidRPr="00042475">
              <w:rPr>
                <w:sz w:val="26"/>
                <w:szCs w:val="26"/>
              </w:rPr>
              <w:t xml:space="preserve"> virzoties no modeļa, kad specifiskas operācijas tiek veiktas kādā noteiktā valstī uz tā saucamo “matricas” funkciju vadības modeli, kad vienas operācijas dažādas funkcijas tiek veiktas dažādās valstīs, </w:t>
            </w:r>
            <w:r w:rsidR="00953AE3" w:rsidRPr="00042475">
              <w:rPr>
                <w:sz w:val="26"/>
                <w:szCs w:val="26"/>
              </w:rPr>
              <w:t>tādējādi</w:t>
            </w:r>
            <w:r w:rsidR="0031280C" w:rsidRPr="00042475">
              <w:rPr>
                <w:sz w:val="26"/>
                <w:szCs w:val="26"/>
              </w:rPr>
              <w:t xml:space="preserve">, </w:t>
            </w:r>
            <w:r w:rsidR="00A14662" w:rsidRPr="00042475">
              <w:rPr>
                <w:sz w:val="26"/>
                <w:szCs w:val="26"/>
              </w:rPr>
              <w:t>transfertcenu audits kļūst arvien sarežģītāks.</w:t>
            </w:r>
          </w:p>
          <w:p w14:paraId="1D665CF9" w14:textId="77777777" w:rsidR="00953AE3" w:rsidRPr="00042475" w:rsidRDefault="00953AE3" w:rsidP="002815C9">
            <w:pPr>
              <w:jc w:val="both"/>
              <w:rPr>
                <w:sz w:val="26"/>
                <w:szCs w:val="26"/>
              </w:rPr>
            </w:pPr>
            <w:r w:rsidRPr="00042475">
              <w:rPr>
                <w:sz w:val="26"/>
                <w:szCs w:val="26"/>
              </w:rPr>
              <w:t>Ievērojot minēto, notiek apjomīga informācijas analīze, pārbaude un vērtējums, kur</w:t>
            </w:r>
            <w:r w:rsidR="00F35D42" w:rsidRPr="00042475">
              <w:rPr>
                <w:sz w:val="26"/>
                <w:szCs w:val="26"/>
              </w:rPr>
              <w:t>a</w:t>
            </w:r>
            <w:r w:rsidRPr="00042475">
              <w:rPr>
                <w:sz w:val="26"/>
                <w:szCs w:val="26"/>
              </w:rPr>
              <w:t xml:space="preserve"> laikā no nodokļa maksātāja tiek pieprasīti paskaidrojumi, papildus informācija un argumenti gan par identificētā darījuma apstākļiem, gan par darījuma tirgus vērtības noteikšanai veikto salīdzināmo analīzi.</w:t>
            </w:r>
          </w:p>
          <w:p w14:paraId="7B097ED7" w14:textId="77777777" w:rsidR="0031280C" w:rsidRPr="00042475" w:rsidRDefault="000C3F2E" w:rsidP="002815C9">
            <w:pPr>
              <w:jc w:val="both"/>
              <w:rPr>
                <w:sz w:val="26"/>
                <w:szCs w:val="26"/>
              </w:rPr>
            </w:pPr>
            <w:r w:rsidRPr="00042475">
              <w:rPr>
                <w:sz w:val="26"/>
                <w:szCs w:val="26"/>
              </w:rPr>
              <w:t xml:space="preserve">Tā kā starptautisko uzņēmumu grupas darījumos stratēģiskus lēmumus par darījumu strukturēšanu lielākoties pieņem ārvalstu saistītie uzņēmumi, nevis Latvijā reģistrētie uzņēmumi, informācijas un viedokļu apmaiņas process starp </w:t>
            </w:r>
            <w:r w:rsidR="00376DD5">
              <w:rPr>
                <w:sz w:val="26"/>
                <w:szCs w:val="26"/>
              </w:rPr>
              <w:t>VID</w:t>
            </w:r>
            <w:r w:rsidR="00376DD5" w:rsidRPr="00042475">
              <w:rPr>
                <w:sz w:val="26"/>
                <w:szCs w:val="26"/>
              </w:rPr>
              <w:t xml:space="preserve"> </w:t>
            </w:r>
            <w:r w:rsidRPr="00042475">
              <w:rPr>
                <w:sz w:val="26"/>
                <w:szCs w:val="26"/>
              </w:rPr>
              <w:t>un nodokļu maksātāju auditā ievērojami paildzinās.</w:t>
            </w:r>
          </w:p>
          <w:p w14:paraId="3653FBC3" w14:textId="77777777" w:rsidR="00A80C0F" w:rsidRPr="00042475" w:rsidRDefault="00A80C0F" w:rsidP="002815C9">
            <w:pPr>
              <w:jc w:val="both"/>
              <w:rPr>
                <w:sz w:val="26"/>
                <w:szCs w:val="26"/>
              </w:rPr>
            </w:pPr>
            <w:r w:rsidRPr="00042475">
              <w:rPr>
                <w:sz w:val="26"/>
                <w:szCs w:val="26"/>
              </w:rPr>
              <w:t>Mēdz būt situācijas, kad nodokļu maksātājs iesniedz papildu informāciju un pierādījumus, kad ir izsmeltas nodokļu audita pagarinājuma iespējas un kvalitatīvai izvērtēšanai neatliek laika, līdz ar to, ja tiek pieņemts nodokļu maksātājam nelabvēlīgs lēmums</w:t>
            </w:r>
            <w:r w:rsidR="00F35D42" w:rsidRPr="00042475">
              <w:rPr>
                <w:sz w:val="26"/>
                <w:szCs w:val="26"/>
              </w:rPr>
              <w:t>,</w:t>
            </w:r>
            <w:r w:rsidRPr="00042475">
              <w:rPr>
                <w:sz w:val="26"/>
                <w:szCs w:val="26"/>
              </w:rPr>
              <w:t xml:space="preserve"> šīs informācijas vērtēšanas pienākums pāriet uz apstrīdēšanas procesu.</w:t>
            </w:r>
          </w:p>
          <w:p w14:paraId="4EEE32D8" w14:textId="5DFD8BB0" w:rsidR="00274F24" w:rsidRPr="00042475" w:rsidRDefault="006740D1" w:rsidP="002815C9">
            <w:pPr>
              <w:jc w:val="both"/>
              <w:rPr>
                <w:sz w:val="26"/>
                <w:szCs w:val="26"/>
              </w:rPr>
            </w:pPr>
            <w:r w:rsidRPr="00042475">
              <w:rPr>
                <w:sz w:val="26"/>
                <w:szCs w:val="26"/>
              </w:rPr>
              <w:t xml:space="preserve">Tāpat jāņem vērā tas, ka ilgtermiņa darījumos, kuru </w:t>
            </w:r>
            <w:r w:rsidR="00042475" w:rsidRPr="00042475">
              <w:rPr>
                <w:sz w:val="26"/>
                <w:szCs w:val="26"/>
              </w:rPr>
              <w:t xml:space="preserve">sekas </w:t>
            </w:r>
            <w:r w:rsidRPr="00042475">
              <w:rPr>
                <w:sz w:val="26"/>
                <w:szCs w:val="26"/>
              </w:rPr>
              <w:t xml:space="preserve"> </w:t>
            </w:r>
            <w:r w:rsidR="00042475" w:rsidRPr="00042475">
              <w:rPr>
                <w:sz w:val="26"/>
                <w:szCs w:val="26"/>
              </w:rPr>
              <w:t>rodas arī</w:t>
            </w:r>
            <w:r w:rsidRPr="00042475">
              <w:rPr>
                <w:sz w:val="26"/>
                <w:szCs w:val="26"/>
              </w:rPr>
              <w:t xml:space="preserve"> vēlāk, bet darījuma cenas noteikšanas cēloņi ir meklējami iepriekšējos 5-10 gados, lai iegūtu pierādījumus, </w:t>
            </w:r>
            <w:r w:rsidRPr="00042475">
              <w:rPr>
                <w:sz w:val="26"/>
                <w:szCs w:val="26"/>
              </w:rPr>
              <w:lastRenderedPageBreak/>
              <w:t>auditējamā nodokļa periods ir paplašināms uz iepriekšējiem gadiem (pašreiz ir iespējams veikt nodokļu auditu par iepriekšējiem pieciem gadiem) un ir nepieciešams pietiekošs laiks, lai veiktu kvalitatīvu informācijas vērtējumu un pieņemtu tiesisku, pamatotu lēmumu. Ar to izskaidrojams</w:t>
            </w:r>
            <w:r w:rsidR="008316BE" w:rsidRPr="00042475">
              <w:rPr>
                <w:sz w:val="26"/>
                <w:szCs w:val="26"/>
              </w:rPr>
              <w:t xml:space="preserve"> zemāk aprakstītais</w:t>
            </w:r>
            <w:r w:rsidRPr="00042475">
              <w:rPr>
                <w:sz w:val="26"/>
                <w:szCs w:val="26"/>
              </w:rPr>
              <w:t xml:space="preserve"> citās valstīs noteiktais termiņš nodokļu administrācijai auditēt ārvalstu saistīto uzņēmumu darījumus</w:t>
            </w:r>
            <w:r w:rsidR="00274F24" w:rsidRPr="00042475">
              <w:rPr>
                <w:sz w:val="26"/>
                <w:szCs w:val="26"/>
              </w:rPr>
              <w:t>, kā arī taksācijas periodu skaits, kādos nodokļu administrācijai ir tiesības veikt nodokļu uzrēķinu.</w:t>
            </w:r>
          </w:p>
          <w:p w14:paraId="23215B7E" w14:textId="77777777" w:rsidR="00274F24" w:rsidRPr="00042475" w:rsidRDefault="00274F24" w:rsidP="002815C9">
            <w:pPr>
              <w:jc w:val="both"/>
              <w:rPr>
                <w:sz w:val="26"/>
                <w:szCs w:val="26"/>
              </w:rPr>
            </w:pPr>
            <w:r w:rsidRPr="00042475">
              <w:rPr>
                <w:sz w:val="26"/>
                <w:szCs w:val="26"/>
              </w:rPr>
              <w:t xml:space="preserve">Piemēram, Vācijā, Beļģijā, Igaunijā, </w:t>
            </w:r>
            <w:r w:rsidR="003A4E4F" w:rsidRPr="00042475">
              <w:rPr>
                <w:sz w:val="26"/>
                <w:szCs w:val="26"/>
              </w:rPr>
              <w:t>Horvātijā, Zviedrijā un Grieķijā</w:t>
            </w:r>
            <w:r w:rsidRPr="00042475">
              <w:rPr>
                <w:sz w:val="26"/>
                <w:szCs w:val="26"/>
              </w:rPr>
              <w:t xml:space="preserve"> nav noteikts audita veikšanas termiņ</w:t>
            </w:r>
            <w:r w:rsidR="005202AC" w:rsidRPr="00042475">
              <w:rPr>
                <w:sz w:val="26"/>
                <w:szCs w:val="26"/>
              </w:rPr>
              <w:t>a ierobežojums</w:t>
            </w:r>
            <w:r w:rsidR="003A4E4F" w:rsidRPr="00042475">
              <w:rPr>
                <w:sz w:val="26"/>
                <w:szCs w:val="26"/>
              </w:rPr>
              <w:t>. Bieži vien šādos gadījumos audita termiņu ierobežo noilguma termiņš attiecībā uz tiesībām veikt nodokļu uzrēķinu</w:t>
            </w:r>
            <w:r w:rsidR="00302147" w:rsidRPr="00042475">
              <w:rPr>
                <w:sz w:val="26"/>
                <w:szCs w:val="26"/>
              </w:rPr>
              <w:t>, vai arī vispārējie tiesību principi attiecībā uz saprātīgu termiņu</w:t>
            </w:r>
            <w:r w:rsidR="003A4E4F" w:rsidRPr="00042475">
              <w:rPr>
                <w:sz w:val="26"/>
                <w:szCs w:val="26"/>
              </w:rPr>
              <w:t>.</w:t>
            </w:r>
            <w:r w:rsidR="00270453" w:rsidRPr="00042475">
              <w:rPr>
                <w:sz w:val="26"/>
                <w:szCs w:val="26"/>
              </w:rPr>
              <w:t xml:space="preserve"> </w:t>
            </w:r>
            <w:r w:rsidR="009C6145" w:rsidRPr="00042475">
              <w:rPr>
                <w:sz w:val="26"/>
                <w:szCs w:val="26"/>
              </w:rPr>
              <w:t>Spānijā transfertcenu audits jāpabeidz 27 mēnešu laikā, turklāt šo termiņu var pagarināt, bet nokavējuma gadījumā nav tiesību piemērot soda naudu. Portugālē transfertcenu audits jāpabeidz 6 mēnešu laikā, taču šo termiņu var pagarināt līdz gadam.</w:t>
            </w:r>
          </w:p>
          <w:p w14:paraId="51BFAE24" w14:textId="77777777" w:rsidR="001716B7" w:rsidRPr="00042475" w:rsidRDefault="009C6145" w:rsidP="002815C9">
            <w:pPr>
              <w:jc w:val="both"/>
              <w:rPr>
                <w:sz w:val="26"/>
                <w:szCs w:val="26"/>
              </w:rPr>
            </w:pPr>
            <w:r w:rsidRPr="00042475">
              <w:rPr>
                <w:sz w:val="26"/>
                <w:szCs w:val="26"/>
              </w:rPr>
              <w:t>Arī noilguma termiņi, kādos nodokļu administrācijai ir tiesības veikt uzrēķinu transfertcenu auditā, pārsvarā ir garāki, nekā noteikt</w:t>
            </w:r>
            <w:r w:rsidR="008B5A56" w:rsidRPr="00042475">
              <w:rPr>
                <w:sz w:val="26"/>
                <w:szCs w:val="26"/>
              </w:rPr>
              <w:t>s</w:t>
            </w:r>
            <w:r w:rsidRPr="00042475">
              <w:rPr>
                <w:sz w:val="26"/>
                <w:szCs w:val="26"/>
              </w:rPr>
              <w:t xml:space="preserve"> Latvijas normatīvajos aktos</w:t>
            </w:r>
            <w:r w:rsidR="006740D1" w:rsidRPr="00042475">
              <w:rPr>
                <w:sz w:val="26"/>
                <w:szCs w:val="26"/>
              </w:rPr>
              <w:t>. Piemēram, Austrijā transfertcenu auditu drīkst veikt 5-10 gados atkarībā no apstākļiem, Čehijā – no 3 līdz 17 gadiem, Francijā – līdz 10 gadiem, Vācijā un Luksemburgā – 10 gados nodokļu izvairīšanās gadījumā, Nīderlandē – 12 gados ārvalstu darījumos, No</w:t>
            </w:r>
            <w:r w:rsidRPr="00042475">
              <w:rPr>
                <w:sz w:val="26"/>
                <w:szCs w:val="26"/>
              </w:rPr>
              <w:t>rvēģijā un Slovākijā – 10 gados</w:t>
            </w:r>
            <w:r w:rsidR="006740D1" w:rsidRPr="00042475">
              <w:rPr>
                <w:sz w:val="26"/>
                <w:szCs w:val="26"/>
              </w:rPr>
              <w:t>.</w:t>
            </w:r>
            <w:r w:rsidR="006740D1" w:rsidRPr="00042475">
              <w:rPr>
                <w:rStyle w:val="FootnoteReference"/>
                <w:sz w:val="26"/>
                <w:szCs w:val="26"/>
              </w:rPr>
              <w:footnoteReference w:id="2"/>
            </w:r>
          </w:p>
          <w:p w14:paraId="41886BDA" w14:textId="77777777" w:rsidR="0024751C" w:rsidRPr="00042475" w:rsidRDefault="00130197" w:rsidP="002815C9">
            <w:pPr>
              <w:jc w:val="both"/>
              <w:rPr>
                <w:sz w:val="26"/>
                <w:szCs w:val="26"/>
              </w:rPr>
            </w:pPr>
            <w:r w:rsidRPr="00042475">
              <w:rPr>
                <w:sz w:val="26"/>
                <w:szCs w:val="26"/>
              </w:rPr>
              <w:t>Turklāt, ņemot</w:t>
            </w:r>
            <w:r w:rsidR="0024751C" w:rsidRPr="00042475">
              <w:rPr>
                <w:sz w:val="26"/>
                <w:szCs w:val="26"/>
              </w:rPr>
              <w:t xml:space="preserve"> vērā BEPS rīcības plāna ietvaros pārskatītās Transfertcenu vadlīnijas, VID turpmāk būs jāveic vēl detalizētāka auditējamā darījuma pārbaude.</w:t>
            </w:r>
          </w:p>
          <w:p w14:paraId="299E5CB1" w14:textId="77777777" w:rsidR="00274F24" w:rsidRPr="00042475" w:rsidRDefault="00130197" w:rsidP="00274F24">
            <w:pPr>
              <w:jc w:val="both"/>
              <w:rPr>
                <w:sz w:val="26"/>
                <w:szCs w:val="26"/>
              </w:rPr>
            </w:pPr>
            <w:r w:rsidRPr="00042475">
              <w:rPr>
                <w:sz w:val="26"/>
                <w:szCs w:val="26"/>
              </w:rPr>
              <w:t>Vērā ņemams</w:t>
            </w:r>
            <w:r w:rsidR="00CD2B23" w:rsidRPr="00042475">
              <w:rPr>
                <w:sz w:val="26"/>
                <w:szCs w:val="26"/>
              </w:rPr>
              <w:t xml:space="preserve"> arī apstāklis, ka Administratīvā procesa likumā nav noteikti strikti termiņi administratīvā akta izdošanai, ja administratīvais process uzsākts pēc iestādes iniciat</w:t>
            </w:r>
            <w:r w:rsidR="0024751C" w:rsidRPr="00042475">
              <w:rPr>
                <w:sz w:val="26"/>
                <w:szCs w:val="26"/>
              </w:rPr>
              <w:t>īvas. Šādos gadījumos iestādes procesuālās dar</w:t>
            </w:r>
            <w:r w:rsidR="005A0663" w:rsidRPr="00042475">
              <w:rPr>
                <w:sz w:val="26"/>
                <w:szCs w:val="26"/>
              </w:rPr>
              <w:t>bības jāveic saprātīgā termiņā.</w:t>
            </w:r>
          </w:p>
          <w:p w14:paraId="3B56CB9E" w14:textId="62E4BCE5" w:rsidR="005A0663" w:rsidRPr="00042475" w:rsidRDefault="005A0663" w:rsidP="00274F24">
            <w:pPr>
              <w:jc w:val="both"/>
              <w:rPr>
                <w:sz w:val="26"/>
                <w:szCs w:val="26"/>
              </w:rPr>
            </w:pPr>
            <w:r w:rsidRPr="00042475">
              <w:rPr>
                <w:sz w:val="26"/>
                <w:szCs w:val="26"/>
              </w:rPr>
              <w:t>Turklāt jau šobrīd likumā nav strikti noteikts termiņš nodokļu kopī</w:t>
            </w:r>
            <w:r w:rsidR="00FD5803">
              <w:rPr>
                <w:sz w:val="26"/>
                <w:szCs w:val="26"/>
              </w:rPr>
              <w:t>g</w:t>
            </w:r>
            <w:r w:rsidRPr="00042475">
              <w:rPr>
                <w:sz w:val="26"/>
                <w:szCs w:val="26"/>
              </w:rPr>
              <w:t>as starpvalstu pārbaudes veikšanai.</w:t>
            </w:r>
          </w:p>
          <w:p w14:paraId="0BCE33A9" w14:textId="77777777" w:rsidR="00B01C97" w:rsidRPr="00042475" w:rsidRDefault="00130197" w:rsidP="00042475">
            <w:pPr>
              <w:jc w:val="both"/>
              <w:rPr>
                <w:b/>
                <w:sz w:val="26"/>
                <w:szCs w:val="26"/>
              </w:rPr>
            </w:pPr>
            <w:r w:rsidRPr="00042475">
              <w:rPr>
                <w:sz w:val="26"/>
                <w:szCs w:val="26"/>
              </w:rPr>
              <w:t>Ņemot vērā iepriekš minēto, lai</w:t>
            </w:r>
            <w:r w:rsidRPr="00042475">
              <w:t xml:space="preserve"> </w:t>
            </w:r>
            <w:r w:rsidRPr="00042475">
              <w:rPr>
                <w:sz w:val="26"/>
                <w:szCs w:val="26"/>
              </w:rPr>
              <w:t>optimizētu transfertcenu audita veikšanas procesu un nodrošinātu iespēju transfertcenu auditu veikt saprātīgā laikā,</w:t>
            </w:r>
            <w:r w:rsidR="005A0663" w:rsidRPr="00042475">
              <w:rPr>
                <w:sz w:val="26"/>
                <w:szCs w:val="26"/>
              </w:rPr>
              <w:t xml:space="preserve"> tādējādi veicinot arī pamatojuma principa ievērošanu,</w:t>
            </w:r>
            <w:r w:rsidRPr="00042475">
              <w:rPr>
                <w:sz w:val="26"/>
                <w:szCs w:val="26"/>
              </w:rPr>
              <w:t xml:space="preserve"> Likumprojektā </w:t>
            </w:r>
            <w:r w:rsidR="005A0663" w:rsidRPr="00042475">
              <w:rPr>
                <w:sz w:val="26"/>
                <w:szCs w:val="26"/>
              </w:rPr>
              <w:t xml:space="preserve">paredzēts, ka uz gadījumiem, kad nodokļu revīzijā (auditā) </w:t>
            </w:r>
            <w:r w:rsidR="005A0663" w:rsidRPr="00042475">
              <w:rPr>
                <w:sz w:val="26"/>
                <w:szCs w:val="26"/>
              </w:rPr>
              <w:lastRenderedPageBreak/>
              <w:t>tiek pārbaudīta transfertcena, neattiecas likuma regulējums par audita termiņiem.</w:t>
            </w:r>
          </w:p>
        </w:tc>
      </w:tr>
      <w:tr w:rsidR="00E118C0" w:rsidRPr="00042475" w14:paraId="600632DD" w14:textId="77777777" w:rsidTr="003B0C70">
        <w:trPr>
          <w:trHeight w:val="289"/>
        </w:trPr>
        <w:tc>
          <w:tcPr>
            <w:tcW w:w="0" w:type="auto"/>
            <w:hideMark/>
          </w:tcPr>
          <w:p w14:paraId="28F126E3" w14:textId="77777777" w:rsidR="00E77C85" w:rsidRPr="00042475" w:rsidRDefault="0041760B" w:rsidP="00145C48">
            <w:pPr>
              <w:rPr>
                <w:sz w:val="26"/>
                <w:szCs w:val="26"/>
                <w:lang w:eastAsia="lv-LV"/>
              </w:rPr>
            </w:pPr>
            <w:r w:rsidRPr="00042475">
              <w:rPr>
                <w:sz w:val="26"/>
                <w:szCs w:val="26"/>
                <w:lang w:eastAsia="lv-LV"/>
              </w:rPr>
              <w:lastRenderedPageBreak/>
              <w:t> </w:t>
            </w:r>
            <w:r w:rsidR="00145C48" w:rsidRPr="00042475">
              <w:rPr>
                <w:sz w:val="26"/>
                <w:szCs w:val="26"/>
                <w:lang w:eastAsia="lv-LV"/>
              </w:rPr>
              <w:t>3</w:t>
            </w:r>
            <w:r w:rsidRPr="00042475">
              <w:rPr>
                <w:sz w:val="26"/>
                <w:szCs w:val="26"/>
                <w:lang w:eastAsia="lv-LV"/>
              </w:rPr>
              <w:t>.</w:t>
            </w:r>
          </w:p>
        </w:tc>
        <w:tc>
          <w:tcPr>
            <w:tcW w:w="2261" w:type="dxa"/>
            <w:hideMark/>
          </w:tcPr>
          <w:p w14:paraId="466D9082" w14:textId="77777777" w:rsidR="00D82F66" w:rsidRPr="00042475" w:rsidRDefault="0041760B" w:rsidP="00934D1A">
            <w:pPr>
              <w:rPr>
                <w:sz w:val="26"/>
                <w:szCs w:val="26"/>
                <w:lang w:eastAsia="lv-LV"/>
              </w:rPr>
            </w:pPr>
            <w:r w:rsidRPr="00042475">
              <w:rPr>
                <w:sz w:val="26"/>
                <w:szCs w:val="26"/>
                <w:lang w:eastAsia="lv-LV"/>
              </w:rPr>
              <w:t>Projekta izstrādē iesaistītās institūcijas</w:t>
            </w:r>
          </w:p>
        </w:tc>
        <w:tc>
          <w:tcPr>
            <w:tcW w:w="6443" w:type="dxa"/>
            <w:hideMark/>
          </w:tcPr>
          <w:p w14:paraId="744D997C" w14:textId="77777777" w:rsidR="00E77C85" w:rsidRPr="00042475" w:rsidRDefault="00C65F0B" w:rsidP="00376DD5">
            <w:pPr>
              <w:jc w:val="both"/>
              <w:rPr>
                <w:sz w:val="26"/>
                <w:szCs w:val="26"/>
                <w:lang w:eastAsia="lv-LV"/>
              </w:rPr>
            </w:pPr>
            <w:r>
              <w:rPr>
                <w:sz w:val="26"/>
                <w:szCs w:val="26"/>
                <w:lang w:eastAsia="lv-LV"/>
              </w:rPr>
              <w:t>Finanšu ministrija,</w:t>
            </w:r>
            <w:r w:rsidR="00376DD5">
              <w:rPr>
                <w:sz w:val="26"/>
                <w:szCs w:val="26"/>
                <w:lang w:eastAsia="lv-LV"/>
              </w:rPr>
              <w:t xml:space="preserve"> VID</w:t>
            </w:r>
            <w:r>
              <w:rPr>
                <w:sz w:val="26"/>
                <w:szCs w:val="26"/>
                <w:lang w:eastAsia="lv-LV"/>
              </w:rPr>
              <w:t>.</w:t>
            </w:r>
          </w:p>
        </w:tc>
      </w:tr>
      <w:tr w:rsidR="00E118C0" w:rsidRPr="00042475" w14:paraId="6935ECC9" w14:textId="77777777" w:rsidTr="003B0C70">
        <w:tc>
          <w:tcPr>
            <w:tcW w:w="0" w:type="auto"/>
            <w:hideMark/>
          </w:tcPr>
          <w:p w14:paraId="68DA3C32" w14:textId="77777777" w:rsidR="00D92292" w:rsidRPr="00042475" w:rsidRDefault="00D92292" w:rsidP="00145C48">
            <w:pPr>
              <w:rPr>
                <w:sz w:val="26"/>
                <w:szCs w:val="26"/>
                <w:lang w:eastAsia="lv-LV"/>
              </w:rPr>
            </w:pPr>
            <w:r w:rsidRPr="00042475">
              <w:rPr>
                <w:sz w:val="26"/>
                <w:szCs w:val="26"/>
                <w:lang w:eastAsia="lv-LV"/>
              </w:rPr>
              <w:t> </w:t>
            </w:r>
            <w:r w:rsidR="00145C48" w:rsidRPr="00042475">
              <w:rPr>
                <w:sz w:val="26"/>
                <w:szCs w:val="26"/>
                <w:lang w:eastAsia="lv-LV"/>
              </w:rPr>
              <w:t>4</w:t>
            </w:r>
            <w:r w:rsidRPr="00042475">
              <w:rPr>
                <w:sz w:val="26"/>
                <w:szCs w:val="26"/>
                <w:lang w:eastAsia="lv-LV"/>
              </w:rPr>
              <w:t>.</w:t>
            </w:r>
          </w:p>
        </w:tc>
        <w:tc>
          <w:tcPr>
            <w:tcW w:w="2261" w:type="dxa"/>
            <w:hideMark/>
          </w:tcPr>
          <w:p w14:paraId="17444A4B" w14:textId="77777777" w:rsidR="00D92292" w:rsidRPr="00042475" w:rsidRDefault="00D92292" w:rsidP="00C50D09">
            <w:pPr>
              <w:rPr>
                <w:sz w:val="26"/>
                <w:szCs w:val="26"/>
                <w:lang w:eastAsia="lv-LV"/>
              </w:rPr>
            </w:pPr>
            <w:r w:rsidRPr="00042475">
              <w:rPr>
                <w:sz w:val="26"/>
                <w:szCs w:val="26"/>
                <w:lang w:eastAsia="lv-LV"/>
              </w:rPr>
              <w:t>Cita informācija</w:t>
            </w:r>
          </w:p>
        </w:tc>
        <w:tc>
          <w:tcPr>
            <w:tcW w:w="6443" w:type="dxa"/>
            <w:hideMark/>
          </w:tcPr>
          <w:p w14:paraId="31E2E9F3" w14:textId="68162AF7" w:rsidR="001D030B" w:rsidRPr="00042475" w:rsidRDefault="00614A9D" w:rsidP="00017B3B">
            <w:pPr>
              <w:jc w:val="both"/>
              <w:rPr>
                <w:sz w:val="26"/>
                <w:szCs w:val="26"/>
                <w:lang w:eastAsia="lv-LV"/>
              </w:rPr>
            </w:pPr>
            <w:r w:rsidRPr="00042475">
              <w:rPr>
                <w:sz w:val="26"/>
                <w:szCs w:val="26"/>
                <w:lang w:eastAsia="lv-LV"/>
              </w:rPr>
              <w:t>Nav</w:t>
            </w:r>
            <w:r w:rsidR="009F5235">
              <w:rPr>
                <w:sz w:val="26"/>
                <w:szCs w:val="26"/>
                <w:lang w:eastAsia="lv-LV"/>
              </w:rPr>
              <w:t>.</w:t>
            </w:r>
          </w:p>
        </w:tc>
      </w:tr>
    </w:tbl>
    <w:p w14:paraId="54C9CF3B" w14:textId="77777777" w:rsidR="00D35F28" w:rsidRPr="00042475" w:rsidRDefault="00D35F28">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83"/>
        <w:gridCol w:w="6302"/>
      </w:tblGrid>
      <w:tr w:rsidR="00F17343" w:rsidRPr="00042475" w14:paraId="2FAF931F" w14:textId="77777777" w:rsidTr="00F93EFA">
        <w:tc>
          <w:tcPr>
            <w:tcW w:w="0" w:type="auto"/>
            <w:gridSpan w:val="3"/>
            <w:hideMark/>
          </w:tcPr>
          <w:p w14:paraId="5D200012" w14:textId="77777777" w:rsidR="00E77C85" w:rsidRPr="00042475" w:rsidRDefault="00E77C85" w:rsidP="00F93EFA">
            <w:pPr>
              <w:jc w:val="center"/>
              <w:rPr>
                <w:b/>
                <w:sz w:val="26"/>
                <w:szCs w:val="26"/>
                <w:lang w:eastAsia="lv-LV"/>
              </w:rPr>
            </w:pPr>
            <w:r w:rsidRPr="00042475">
              <w:rPr>
                <w:sz w:val="26"/>
                <w:szCs w:val="26"/>
                <w:lang w:eastAsia="lv-LV"/>
              </w:rPr>
              <w:t> </w:t>
            </w:r>
            <w:r w:rsidRPr="00042475">
              <w:rPr>
                <w:b/>
                <w:sz w:val="26"/>
                <w:szCs w:val="26"/>
                <w:lang w:eastAsia="lv-LV"/>
              </w:rPr>
              <w:t>II. Tiesību akta projekta ietekme uz sabiedrību</w:t>
            </w:r>
            <w:r w:rsidR="00145C48" w:rsidRPr="00042475">
              <w:rPr>
                <w:b/>
                <w:sz w:val="26"/>
                <w:szCs w:val="26"/>
                <w:lang w:eastAsia="lv-LV"/>
              </w:rPr>
              <w:t xml:space="preserve">, </w:t>
            </w:r>
            <w:r w:rsidR="00145C48" w:rsidRPr="00042475">
              <w:rPr>
                <w:b/>
                <w:bCs/>
                <w:sz w:val="26"/>
                <w:szCs w:val="26"/>
                <w:lang w:eastAsia="lv-LV"/>
              </w:rPr>
              <w:t>tautsaimniecības attīstību un administratīvo slogu</w:t>
            </w:r>
          </w:p>
        </w:tc>
      </w:tr>
      <w:tr w:rsidR="002F068B" w:rsidRPr="00042475" w14:paraId="5B201646" w14:textId="77777777" w:rsidTr="0011600E">
        <w:trPr>
          <w:trHeight w:val="467"/>
        </w:trPr>
        <w:tc>
          <w:tcPr>
            <w:tcW w:w="0" w:type="auto"/>
            <w:hideMark/>
          </w:tcPr>
          <w:p w14:paraId="7DABEB44" w14:textId="77777777" w:rsidR="00E77C85" w:rsidRPr="00042475" w:rsidRDefault="00E77C85" w:rsidP="00C50D09">
            <w:pPr>
              <w:rPr>
                <w:sz w:val="26"/>
                <w:szCs w:val="26"/>
                <w:lang w:eastAsia="lv-LV"/>
              </w:rPr>
            </w:pPr>
            <w:r w:rsidRPr="00042475">
              <w:rPr>
                <w:sz w:val="26"/>
                <w:szCs w:val="26"/>
                <w:lang w:eastAsia="lv-LV"/>
              </w:rPr>
              <w:t> 1.</w:t>
            </w:r>
          </w:p>
        </w:tc>
        <w:tc>
          <w:tcPr>
            <w:tcW w:w="2042" w:type="dxa"/>
            <w:hideMark/>
          </w:tcPr>
          <w:p w14:paraId="476D9C32" w14:textId="77777777" w:rsidR="00E77C85" w:rsidRPr="00042475" w:rsidRDefault="00145C48" w:rsidP="00C50D09">
            <w:pPr>
              <w:rPr>
                <w:sz w:val="26"/>
                <w:szCs w:val="26"/>
                <w:lang w:eastAsia="lv-LV"/>
              </w:rPr>
            </w:pPr>
            <w:r w:rsidRPr="00042475">
              <w:rPr>
                <w:sz w:val="26"/>
                <w:szCs w:val="26"/>
              </w:rPr>
              <w:t>Sabiedrības mērķgrupas, kuras tiesiskais regulējums ietekmē vai varētu ietekmēt</w:t>
            </w:r>
          </w:p>
        </w:tc>
        <w:tc>
          <w:tcPr>
            <w:tcW w:w="6769" w:type="dxa"/>
            <w:hideMark/>
          </w:tcPr>
          <w:p w14:paraId="530DF3D1" w14:textId="77777777" w:rsidR="002F068B" w:rsidRPr="00042475" w:rsidRDefault="002F068B" w:rsidP="00FA50D9">
            <w:pPr>
              <w:jc w:val="both"/>
              <w:rPr>
                <w:sz w:val="26"/>
                <w:szCs w:val="26"/>
                <w:lang w:eastAsia="lv-LV"/>
              </w:rPr>
            </w:pPr>
            <w:r w:rsidRPr="00042475">
              <w:rPr>
                <w:sz w:val="26"/>
                <w:szCs w:val="26"/>
                <w:lang w:eastAsia="lv-LV"/>
              </w:rPr>
              <w:t>Likumprojektā ietvertie grozījumi transfertcenu dokumentācijas tiesiskajā regulējumā attieksies galvenokārt uz uzņēmumiem, kuri sastāv starptautiskajā uzņēmumu grupā un veic darījumus ar to grupā esošajiem ārvalstu uzņēmumiem.</w:t>
            </w:r>
          </w:p>
          <w:p w14:paraId="594F87F8" w14:textId="77777777" w:rsidR="00D82F66" w:rsidRPr="00042475" w:rsidRDefault="002F068B" w:rsidP="002F068B">
            <w:pPr>
              <w:jc w:val="both"/>
              <w:rPr>
                <w:sz w:val="26"/>
                <w:szCs w:val="26"/>
                <w:lang w:eastAsia="lv-LV"/>
              </w:rPr>
            </w:pPr>
            <w:r w:rsidRPr="00042475">
              <w:rPr>
                <w:sz w:val="26"/>
                <w:szCs w:val="26"/>
                <w:lang w:eastAsia="lv-LV"/>
              </w:rPr>
              <w:t>Grozījumi nodokļu revīzijas (audita) termiņa tiesiskajā regulējumā attieksies uz nodokļu maksātājiem, kuriem VID veiks nodokļu revīziju (auditu).</w:t>
            </w:r>
          </w:p>
        </w:tc>
      </w:tr>
      <w:tr w:rsidR="002F068B" w:rsidRPr="00042475" w14:paraId="3FDF5323" w14:textId="77777777" w:rsidTr="0011600E">
        <w:trPr>
          <w:trHeight w:val="467"/>
        </w:trPr>
        <w:tc>
          <w:tcPr>
            <w:tcW w:w="0" w:type="auto"/>
          </w:tcPr>
          <w:p w14:paraId="79036BD2" w14:textId="77777777" w:rsidR="00FD36E9" w:rsidRPr="00042475" w:rsidRDefault="00FD36E9" w:rsidP="00C50D09">
            <w:pPr>
              <w:rPr>
                <w:sz w:val="26"/>
                <w:szCs w:val="26"/>
                <w:lang w:eastAsia="lv-LV"/>
              </w:rPr>
            </w:pPr>
            <w:r w:rsidRPr="00042475">
              <w:rPr>
                <w:sz w:val="26"/>
                <w:szCs w:val="26"/>
                <w:lang w:eastAsia="lv-LV"/>
              </w:rPr>
              <w:t>2.</w:t>
            </w:r>
          </w:p>
        </w:tc>
        <w:tc>
          <w:tcPr>
            <w:tcW w:w="2042" w:type="dxa"/>
          </w:tcPr>
          <w:p w14:paraId="134C42D0" w14:textId="77777777" w:rsidR="00FD36E9" w:rsidRPr="00042475" w:rsidRDefault="00FD36E9" w:rsidP="00C50D09">
            <w:pPr>
              <w:rPr>
                <w:sz w:val="26"/>
                <w:szCs w:val="26"/>
              </w:rPr>
            </w:pPr>
            <w:r w:rsidRPr="00042475">
              <w:rPr>
                <w:sz w:val="26"/>
                <w:szCs w:val="26"/>
              </w:rPr>
              <w:t>Tiesiskā regulējuma ietekme uz tautsaimniecību un administratīvo slogu</w:t>
            </w:r>
          </w:p>
        </w:tc>
        <w:tc>
          <w:tcPr>
            <w:tcW w:w="6769" w:type="dxa"/>
          </w:tcPr>
          <w:p w14:paraId="6FABF236" w14:textId="77777777" w:rsidR="00256A52" w:rsidRPr="00042475" w:rsidRDefault="002F068B" w:rsidP="00D61937">
            <w:pPr>
              <w:jc w:val="both"/>
              <w:rPr>
                <w:sz w:val="26"/>
                <w:szCs w:val="26"/>
              </w:rPr>
            </w:pPr>
            <w:r w:rsidRPr="00042475">
              <w:rPr>
                <w:sz w:val="26"/>
                <w:szCs w:val="26"/>
              </w:rPr>
              <w:t xml:space="preserve">Grozījumi transfertcenu dokumentācijas tiesiskajā regulējumā </w:t>
            </w:r>
            <w:r w:rsidR="00D61937" w:rsidRPr="00042475">
              <w:rPr>
                <w:sz w:val="26"/>
                <w:szCs w:val="26"/>
              </w:rPr>
              <w:t>apgrūtinās starptautisko uzņēmumu grupām iespēju mākslīgi novirzīt peļņu uz valst</w:t>
            </w:r>
            <w:r w:rsidR="00C65F0B">
              <w:rPr>
                <w:sz w:val="26"/>
                <w:szCs w:val="26"/>
              </w:rPr>
              <w:t>īm, kur nodokļu slogs ir zemāks</w:t>
            </w:r>
            <w:r w:rsidR="00D61937" w:rsidRPr="00042475">
              <w:rPr>
                <w:sz w:val="26"/>
                <w:szCs w:val="26"/>
              </w:rPr>
              <w:t xml:space="preserve"> nekā Latvijā. Tāpat regulējums uzlabos VID iespēju veikt transfertcenu riska analīzi un atvieglos transfertcenu audita veikšanu. </w:t>
            </w:r>
            <w:r w:rsidR="002C11B9" w:rsidRPr="00042475">
              <w:rPr>
                <w:sz w:val="26"/>
                <w:szCs w:val="26"/>
              </w:rPr>
              <w:t>Līdz ar to Likumprojekts veicinās nodokļu nomaksu un pozitīvi ietekmēs tautsaimniecību.</w:t>
            </w:r>
          </w:p>
          <w:p w14:paraId="3277FADA" w14:textId="77777777" w:rsidR="002C11B9" w:rsidRPr="00042475" w:rsidRDefault="002C11B9" w:rsidP="002C11B9">
            <w:pPr>
              <w:jc w:val="both"/>
              <w:rPr>
                <w:spacing w:val="-4"/>
                <w:sz w:val="26"/>
                <w:szCs w:val="26"/>
              </w:rPr>
            </w:pPr>
            <w:r w:rsidRPr="00042475">
              <w:rPr>
                <w:sz w:val="26"/>
                <w:szCs w:val="26"/>
              </w:rPr>
              <w:t>Savukārt administratīvais slogs nodokļu maksātājiem būtiski nemainīsies, jo transfertcenu dokumentācija jāsagatavo jau šobrīd. Turklāt, ņemot vērā, ka līdzīgas Likumprojektā ietvertajām transfertcenu dokumentācijas prasības jau ir ieviestas vai tiek ieviestas daudzās pasaules valstīs, vienotu standartu piemērošana visas starptautisko uzņēmumu grupas uzņēmumu uzņēmumiem atvieglos transfertcenu dokumentācijas sagatavošanu.</w:t>
            </w:r>
          </w:p>
        </w:tc>
      </w:tr>
      <w:tr w:rsidR="002F068B" w:rsidRPr="00042475" w14:paraId="06A61CBB" w14:textId="77777777" w:rsidTr="0011600E">
        <w:trPr>
          <w:trHeight w:val="531"/>
        </w:trPr>
        <w:tc>
          <w:tcPr>
            <w:tcW w:w="0" w:type="auto"/>
            <w:hideMark/>
          </w:tcPr>
          <w:p w14:paraId="75854CAA" w14:textId="77777777" w:rsidR="00E77C85" w:rsidRPr="00042475" w:rsidRDefault="009D0F6E" w:rsidP="00C50D09">
            <w:pPr>
              <w:rPr>
                <w:sz w:val="26"/>
                <w:szCs w:val="26"/>
                <w:lang w:eastAsia="lv-LV"/>
              </w:rPr>
            </w:pPr>
            <w:r w:rsidRPr="00042475">
              <w:rPr>
                <w:sz w:val="26"/>
                <w:szCs w:val="26"/>
                <w:lang w:eastAsia="lv-LV"/>
              </w:rPr>
              <w:t> 3</w:t>
            </w:r>
            <w:r w:rsidR="00330256" w:rsidRPr="00042475">
              <w:rPr>
                <w:sz w:val="26"/>
                <w:szCs w:val="26"/>
                <w:lang w:eastAsia="lv-LV"/>
              </w:rPr>
              <w:t>.</w:t>
            </w:r>
          </w:p>
        </w:tc>
        <w:tc>
          <w:tcPr>
            <w:tcW w:w="2042" w:type="dxa"/>
          </w:tcPr>
          <w:p w14:paraId="15DB05A1" w14:textId="77777777" w:rsidR="00D82F66" w:rsidRPr="00042475" w:rsidRDefault="009D0F6E" w:rsidP="00C50D09">
            <w:pPr>
              <w:rPr>
                <w:sz w:val="26"/>
                <w:szCs w:val="26"/>
                <w:lang w:eastAsia="lv-LV"/>
              </w:rPr>
            </w:pPr>
            <w:r w:rsidRPr="00042475">
              <w:rPr>
                <w:sz w:val="26"/>
                <w:szCs w:val="26"/>
                <w:lang w:eastAsia="lv-LV"/>
              </w:rPr>
              <w:t>Administratīvo izmaksu monetārs novērtējums</w:t>
            </w:r>
          </w:p>
        </w:tc>
        <w:tc>
          <w:tcPr>
            <w:tcW w:w="6769" w:type="dxa"/>
            <w:hideMark/>
          </w:tcPr>
          <w:p w14:paraId="0E73AC4F" w14:textId="77777777" w:rsidR="00E74B64" w:rsidRPr="00042475" w:rsidRDefault="00A14841" w:rsidP="00242BB7">
            <w:pPr>
              <w:jc w:val="both"/>
              <w:rPr>
                <w:sz w:val="26"/>
                <w:szCs w:val="26"/>
                <w:lang w:eastAsia="lv-LV"/>
              </w:rPr>
            </w:pPr>
            <w:r w:rsidRPr="00042475">
              <w:rPr>
                <w:sz w:val="26"/>
                <w:szCs w:val="26"/>
                <w:lang w:eastAsia="lv-LV"/>
              </w:rPr>
              <w:t>Projekts šo jomu neskar</w:t>
            </w:r>
            <w:r w:rsidR="00C924E7" w:rsidRPr="00042475">
              <w:rPr>
                <w:sz w:val="26"/>
                <w:szCs w:val="26"/>
                <w:lang w:eastAsia="lv-LV"/>
              </w:rPr>
              <w:t>.</w:t>
            </w:r>
          </w:p>
        </w:tc>
      </w:tr>
      <w:tr w:rsidR="002F068B" w:rsidRPr="00042475" w14:paraId="3998AE81" w14:textId="77777777" w:rsidTr="0011600E">
        <w:trPr>
          <w:trHeight w:val="70"/>
        </w:trPr>
        <w:tc>
          <w:tcPr>
            <w:tcW w:w="0" w:type="auto"/>
            <w:hideMark/>
          </w:tcPr>
          <w:p w14:paraId="2DA8F718" w14:textId="77777777" w:rsidR="00E77C85" w:rsidRPr="00042475" w:rsidRDefault="009D0F6E" w:rsidP="00C50D09">
            <w:pPr>
              <w:rPr>
                <w:sz w:val="26"/>
                <w:szCs w:val="26"/>
                <w:lang w:eastAsia="lv-LV"/>
              </w:rPr>
            </w:pPr>
            <w:r w:rsidRPr="00042475">
              <w:rPr>
                <w:sz w:val="26"/>
                <w:szCs w:val="26"/>
                <w:lang w:eastAsia="lv-LV"/>
              </w:rPr>
              <w:t> 4</w:t>
            </w:r>
            <w:r w:rsidR="00330256" w:rsidRPr="00042475">
              <w:rPr>
                <w:sz w:val="26"/>
                <w:szCs w:val="26"/>
                <w:lang w:eastAsia="lv-LV"/>
              </w:rPr>
              <w:t>.</w:t>
            </w:r>
          </w:p>
        </w:tc>
        <w:tc>
          <w:tcPr>
            <w:tcW w:w="2042" w:type="dxa"/>
            <w:hideMark/>
          </w:tcPr>
          <w:p w14:paraId="461C204C" w14:textId="77777777" w:rsidR="00E77C85" w:rsidRPr="00042475" w:rsidRDefault="00330256" w:rsidP="00C50D09">
            <w:pPr>
              <w:rPr>
                <w:sz w:val="26"/>
                <w:szCs w:val="26"/>
                <w:lang w:eastAsia="lv-LV"/>
              </w:rPr>
            </w:pPr>
            <w:r w:rsidRPr="00042475">
              <w:rPr>
                <w:sz w:val="26"/>
                <w:szCs w:val="26"/>
                <w:lang w:eastAsia="lv-LV"/>
              </w:rPr>
              <w:t> Cita informācija</w:t>
            </w:r>
          </w:p>
        </w:tc>
        <w:tc>
          <w:tcPr>
            <w:tcW w:w="6769" w:type="dxa"/>
            <w:hideMark/>
          </w:tcPr>
          <w:p w14:paraId="400FCF83" w14:textId="7ED6206D" w:rsidR="00E77C85" w:rsidRPr="00042475" w:rsidRDefault="00330256" w:rsidP="00C50D09">
            <w:pPr>
              <w:rPr>
                <w:sz w:val="26"/>
                <w:szCs w:val="26"/>
                <w:lang w:eastAsia="lv-LV"/>
              </w:rPr>
            </w:pPr>
            <w:r w:rsidRPr="00042475">
              <w:rPr>
                <w:sz w:val="26"/>
                <w:szCs w:val="26"/>
                <w:lang w:eastAsia="lv-LV"/>
              </w:rPr>
              <w:t>Nav</w:t>
            </w:r>
            <w:r w:rsidR="009F5235">
              <w:rPr>
                <w:sz w:val="26"/>
                <w:szCs w:val="26"/>
                <w:lang w:eastAsia="lv-LV"/>
              </w:rPr>
              <w:t>.</w:t>
            </w:r>
          </w:p>
        </w:tc>
      </w:tr>
    </w:tbl>
    <w:p w14:paraId="316B6381" w14:textId="080F7206" w:rsidR="00916860" w:rsidRDefault="00916860">
      <w:pPr>
        <w:rPr>
          <w:sz w:val="26"/>
          <w:szCs w:val="26"/>
        </w:rPr>
      </w:pPr>
    </w:p>
    <w:p w14:paraId="53961770" w14:textId="77777777" w:rsidR="00A50ACF" w:rsidRPr="00042475" w:rsidRDefault="00A50ACF">
      <w:pPr>
        <w:rPr>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6A6DE0" w:rsidRPr="00042475" w14:paraId="2E64E3F4" w14:textId="77777777" w:rsidTr="004D347E">
        <w:trPr>
          <w:trHeight w:val="316"/>
          <w:jc w:val="center"/>
        </w:trPr>
        <w:tc>
          <w:tcPr>
            <w:tcW w:w="9313" w:type="dxa"/>
          </w:tcPr>
          <w:p w14:paraId="7FD52121" w14:textId="77777777" w:rsidR="006A6DE0" w:rsidRPr="00042475" w:rsidRDefault="006A6DE0" w:rsidP="006A6DE0">
            <w:pPr>
              <w:jc w:val="center"/>
              <w:rPr>
                <w:b/>
                <w:bCs/>
                <w:i/>
                <w:sz w:val="26"/>
                <w:szCs w:val="26"/>
                <w:lang w:eastAsia="lv-LV"/>
              </w:rPr>
            </w:pPr>
            <w:r w:rsidRPr="00042475">
              <w:rPr>
                <w:b/>
                <w:bCs/>
                <w:sz w:val="26"/>
                <w:szCs w:val="26"/>
                <w:lang w:eastAsia="lv-LV"/>
              </w:rPr>
              <w:br w:type="page"/>
              <w:t>III. Tiesību akta projekta ietekme uz valsts budžetu un pašvaldību budžetiem</w:t>
            </w:r>
          </w:p>
        </w:tc>
      </w:tr>
      <w:tr w:rsidR="007F7393" w:rsidRPr="00042475" w14:paraId="14FB5B9F" w14:textId="77777777" w:rsidTr="004D347E">
        <w:trPr>
          <w:trHeight w:val="316"/>
          <w:jc w:val="center"/>
        </w:trPr>
        <w:tc>
          <w:tcPr>
            <w:tcW w:w="9313" w:type="dxa"/>
          </w:tcPr>
          <w:p w14:paraId="6F89CFF2" w14:textId="77777777" w:rsidR="007F7393" w:rsidRPr="00042475" w:rsidRDefault="007F7393" w:rsidP="006A6DE0">
            <w:pPr>
              <w:jc w:val="center"/>
              <w:rPr>
                <w:b/>
                <w:bCs/>
                <w:sz w:val="26"/>
                <w:szCs w:val="26"/>
                <w:lang w:eastAsia="lv-LV"/>
              </w:rPr>
            </w:pPr>
            <w:r w:rsidRPr="00042475">
              <w:rPr>
                <w:sz w:val="26"/>
                <w:szCs w:val="26"/>
                <w:lang w:eastAsia="lv-LV"/>
              </w:rPr>
              <w:t>Projekts šo jomu neskar.</w:t>
            </w:r>
          </w:p>
        </w:tc>
      </w:tr>
    </w:tbl>
    <w:p w14:paraId="09F69B09" w14:textId="025317A2" w:rsidR="006A6DE0" w:rsidRDefault="006A6DE0">
      <w:pPr>
        <w:rPr>
          <w:sz w:val="26"/>
          <w:szCs w:val="2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265"/>
      </w:tblGrid>
      <w:tr w:rsidR="00A26F23" w:rsidRPr="00A26F23" w14:paraId="1C6C3D0D" w14:textId="77777777" w:rsidTr="003A28D6">
        <w:tc>
          <w:tcPr>
            <w:tcW w:w="9067" w:type="dxa"/>
            <w:gridSpan w:val="3"/>
            <w:tcBorders>
              <w:top w:val="single" w:sz="4" w:space="0" w:color="000000"/>
              <w:left w:val="single" w:sz="4" w:space="0" w:color="000000"/>
              <w:bottom w:val="single" w:sz="4" w:space="0" w:color="000000"/>
              <w:right w:val="single" w:sz="4" w:space="0" w:color="000000"/>
            </w:tcBorders>
            <w:hideMark/>
          </w:tcPr>
          <w:p w14:paraId="76B51825" w14:textId="77777777" w:rsidR="00A26F23" w:rsidRPr="00A26F23" w:rsidRDefault="00A26F23" w:rsidP="00A26F23">
            <w:pPr>
              <w:jc w:val="center"/>
              <w:rPr>
                <w:b/>
                <w:sz w:val="26"/>
                <w:szCs w:val="26"/>
                <w:lang w:eastAsia="lv-LV"/>
              </w:rPr>
            </w:pPr>
            <w:r w:rsidRPr="00A26F23">
              <w:rPr>
                <w:b/>
                <w:sz w:val="26"/>
                <w:szCs w:val="26"/>
                <w:lang w:eastAsia="lv-LV"/>
              </w:rPr>
              <w:t>IV. Tiesību akta projekta ietekme uz spēkā esošo tiesību normu sistēmu</w:t>
            </w:r>
          </w:p>
        </w:tc>
      </w:tr>
      <w:tr w:rsidR="00A26F23" w:rsidRPr="00A26F23" w14:paraId="0E706C25" w14:textId="77777777" w:rsidTr="003A28D6">
        <w:tc>
          <w:tcPr>
            <w:tcW w:w="534" w:type="dxa"/>
            <w:tcBorders>
              <w:top w:val="single" w:sz="4" w:space="0" w:color="000000"/>
              <w:left w:val="single" w:sz="4" w:space="0" w:color="000000"/>
              <w:bottom w:val="single" w:sz="4" w:space="0" w:color="000000"/>
              <w:right w:val="single" w:sz="4" w:space="0" w:color="000000"/>
            </w:tcBorders>
            <w:hideMark/>
          </w:tcPr>
          <w:p w14:paraId="7F6EEE11" w14:textId="77777777" w:rsidR="00A26F23" w:rsidRPr="00A26F23" w:rsidRDefault="00A26F23" w:rsidP="00A26F23">
            <w:pPr>
              <w:rPr>
                <w:sz w:val="26"/>
                <w:szCs w:val="26"/>
                <w:lang w:eastAsia="lv-LV"/>
              </w:rPr>
            </w:pPr>
            <w:r w:rsidRPr="00A26F23">
              <w:rPr>
                <w:sz w:val="26"/>
                <w:szCs w:val="26"/>
                <w:lang w:eastAsia="lv-LV"/>
              </w:rPr>
              <w:t>1.</w:t>
            </w:r>
          </w:p>
        </w:tc>
        <w:tc>
          <w:tcPr>
            <w:tcW w:w="2268" w:type="dxa"/>
            <w:tcBorders>
              <w:top w:val="single" w:sz="4" w:space="0" w:color="000000"/>
              <w:left w:val="single" w:sz="4" w:space="0" w:color="000000"/>
              <w:bottom w:val="single" w:sz="4" w:space="0" w:color="000000"/>
              <w:right w:val="single" w:sz="4" w:space="0" w:color="000000"/>
            </w:tcBorders>
            <w:hideMark/>
          </w:tcPr>
          <w:p w14:paraId="5DAFF3EA" w14:textId="77777777" w:rsidR="00A26F23" w:rsidRPr="00A26F23" w:rsidRDefault="00A26F23" w:rsidP="00A26F23">
            <w:pPr>
              <w:rPr>
                <w:sz w:val="26"/>
                <w:szCs w:val="26"/>
                <w:lang w:eastAsia="lv-LV"/>
              </w:rPr>
            </w:pPr>
            <w:r w:rsidRPr="00A26F23">
              <w:rPr>
                <w:sz w:val="26"/>
                <w:szCs w:val="26"/>
                <w:lang w:eastAsia="lv-LV"/>
              </w:rPr>
              <w:t>Nepieciešamie saistītie tiesību akti</w:t>
            </w:r>
          </w:p>
        </w:tc>
        <w:tc>
          <w:tcPr>
            <w:tcW w:w="6265" w:type="dxa"/>
            <w:tcBorders>
              <w:top w:val="single" w:sz="4" w:space="0" w:color="000000"/>
              <w:left w:val="single" w:sz="4" w:space="0" w:color="000000"/>
              <w:bottom w:val="single" w:sz="4" w:space="0" w:color="000000"/>
              <w:right w:val="single" w:sz="4" w:space="0" w:color="000000"/>
            </w:tcBorders>
            <w:hideMark/>
          </w:tcPr>
          <w:p w14:paraId="36615C7A" w14:textId="77777777" w:rsidR="00A26F23" w:rsidRDefault="00520AEA" w:rsidP="00A26F23">
            <w:pPr>
              <w:jc w:val="both"/>
              <w:rPr>
                <w:rFonts w:eastAsia="Calibri"/>
                <w:sz w:val="26"/>
                <w:szCs w:val="26"/>
              </w:rPr>
            </w:pPr>
            <w:r w:rsidRPr="00520AEA">
              <w:rPr>
                <w:rFonts w:eastAsia="Calibri"/>
                <w:sz w:val="26"/>
                <w:szCs w:val="26"/>
              </w:rPr>
              <w:t xml:space="preserve">Nepieciešams izstrādāt Ministru kabineta noteikumus, paredzot VID iespēju ierosināt uzsākt iepriekšējas </w:t>
            </w:r>
            <w:r w:rsidRPr="00520AEA">
              <w:rPr>
                <w:rFonts w:eastAsia="Calibri"/>
                <w:sz w:val="26"/>
                <w:szCs w:val="26"/>
              </w:rPr>
              <w:lastRenderedPageBreak/>
              <w:t>vienošanās procedūru par darījuma cenas (vērtības) atbilstību tirgus cenai (vērtībai) par iepriekšējiem.</w:t>
            </w:r>
          </w:p>
          <w:p w14:paraId="5F16F2E0" w14:textId="735CFC7B" w:rsidR="00520AEA" w:rsidRPr="00A26F23" w:rsidRDefault="00520AEA" w:rsidP="00520AEA">
            <w:pPr>
              <w:jc w:val="both"/>
              <w:rPr>
                <w:rFonts w:ascii="Calibri" w:eastAsia="Calibri" w:hAnsi="Calibri"/>
                <w:sz w:val="22"/>
                <w:szCs w:val="22"/>
                <w:lang w:eastAsia="lv-LV"/>
              </w:rPr>
            </w:pPr>
            <w:r>
              <w:rPr>
                <w:rFonts w:eastAsia="Calibri"/>
                <w:sz w:val="26"/>
                <w:szCs w:val="26"/>
              </w:rPr>
              <w:t>Minētajiem noteikumiem jāstājas spēkā 2018.gada 1.jūnijā.</w:t>
            </w:r>
          </w:p>
        </w:tc>
      </w:tr>
      <w:tr w:rsidR="00A26F23" w:rsidRPr="00A26F23" w14:paraId="72F47083" w14:textId="77777777" w:rsidTr="003A28D6">
        <w:tc>
          <w:tcPr>
            <w:tcW w:w="534" w:type="dxa"/>
            <w:tcBorders>
              <w:top w:val="single" w:sz="4" w:space="0" w:color="000000"/>
              <w:left w:val="single" w:sz="4" w:space="0" w:color="000000"/>
              <w:bottom w:val="single" w:sz="4" w:space="0" w:color="000000"/>
              <w:right w:val="single" w:sz="4" w:space="0" w:color="000000"/>
            </w:tcBorders>
            <w:hideMark/>
          </w:tcPr>
          <w:p w14:paraId="09F18915" w14:textId="77777777" w:rsidR="00A26F23" w:rsidRPr="00A26F23" w:rsidRDefault="00A26F23" w:rsidP="00A26F23">
            <w:pPr>
              <w:jc w:val="center"/>
              <w:rPr>
                <w:sz w:val="26"/>
                <w:szCs w:val="26"/>
                <w:lang w:eastAsia="lv-LV"/>
              </w:rPr>
            </w:pPr>
            <w:r w:rsidRPr="00A26F23">
              <w:rPr>
                <w:sz w:val="26"/>
                <w:szCs w:val="26"/>
                <w:lang w:eastAsia="lv-LV"/>
              </w:rPr>
              <w:lastRenderedPageBreak/>
              <w:t>2.</w:t>
            </w:r>
          </w:p>
        </w:tc>
        <w:tc>
          <w:tcPr>
            <w:tcW w:w="2268" w:type="dxa"/>
            <w:tcBorders>
              <w:top w:val="single" w:sz="4" w:space="0" w:color="000000"/>
              <w:left w:val="single" w:sz="4" w:space="0" w:color="000000"/>
              <w:bottom w:val="single" w:sz="4" w:space="0" w:color="000000"/>
              <w:right w:val="single" w:sz="4" w:space="0" w:color="000000"/>
            </w:tcBorders>
            <w:hideMark/>
          </w:tcPr>
          <w:p w14:paraId="1224A29A" w14:textId="77777777" w:rsidR="00A26F23" w:rsidRPr="00A26F23" w:rsidRDefault="00A26F23" w:rsidP="00A26F23">
            <w:pPr>
              <w:rPr>
                <w:sz w:val="26"/>
                <w:szCs w:val="26"/>
                <w:lang w:eastAsia="lv-LV"/>
              </w:rPr>
            </w:pPr>
            <w:r w:rsidRPr="00A26F23">
              <w:rPr>
                <w:sz w:val="26"/>
                <w:szCs w:val="26"/>
                <w:lang w:eastAsia="lv-LV"/>
              </w:rPr>
              <w:t>Atbildīgā institūcija</w:t>
            </w:r>
          </w:p>
        </w:tc>
        <w:tc>
          <w:tcPr>
            <w:tcW w:w="6265" w:type="dxa"/>
            <w:tcBorders>
              <w:top w:val="single" w:sz="4" w:space="0" w:color="000000"/>
              <w:left w:val="single" w:sz="4" w:space="0" w:color="000000"/>
              <w:bottom w:val="single" w:sz="4" w:space="0" w:color="000000"/>
              <w:right w:val="single" w:sz="4" w:space="0" w:color="000000"/>
            </w:tcBorders>
            <w:hideMark/>
          </w:tcPr>
          <w:p w14:paraId="227EBBB9" w14:textId="77777777" w:rsidR="00A26F23" w:rsidRPr="00A26F23" w:rsidRDefault="00A26F23" w:rsidP="00A26F23">
            <w:pPr>
              <w:rPr>
                <w:sz w:val="26"/>
                <w:szCs w:val="26"/>
                <w:lang w:eastAsia="lv-LV"/>
              </w:rPr>
            </w:pPr>
            <w:r w:rsidRPr="00A26F23">
              <w:rPr>
                <w:sz w:val="26"/>
                <w:szCs w:val="26"/>
                <w:lang w:eastAsia="lv-LV"/>
              </w:rPr>
              <w:t>Finanšu ministrija</w:t>
            </w:r>
          </w:p>
        </w:tc>
      </w:tr>
      <w:tr w:rsidR="00A26F23" w:rsidRPr="00A26F23" w14:paraId="32C07227" w14:textId="77777777" w:rsidTr="003A28D6">
        <w:trPr>
          <w:trHeight w:val="248"/>
        </w:trPr>
        <w:tc>
          <w:tcPr>
            <w:tcW w:w="534" w:type="dxa"/>
            <w:tcBorders>
              <w:top w:val="single" w:sz="4" w:space="0" w:color="000000"/>
              <w:left w:val="single" w:sz="4" w:space="0" w:color="000000"/>
              <w:bottom w:val="single" w:sz="4" w:space="0" w:color="000000"/>
              <w:right w:val="single" w:sz="4" w:space="0" w:color="000000"/>
            </w:tcBorders>
            <w:hideMark/>
          </w:tcPr>
          <w:p w14:paraId="268D364C" w14:textId="77777777" w:rsidR="00A26F23" w:rsidRPr="00A26F23" w:rsidRDefault="00A26F23" w:rsidP="00A26F23">
            <w:pPr>
              <w:autoSpaceDE w:val="0"/>
              <w:autoSpaceDN w:val="0"/>
              <w:jc w:val="center"/>
              <w:rPr>
                <w:rFonts w:eastAsia="Calibri"/>
                <w:color w:val="000000"/>
                <w:sz w:val="26"/>
                <w:szCs w:val="26"/>
                <w:lang w:eastAsia="lv-LV"/>
              </w:rPr>
            </w:pPr>
            <w:r w:rsidRPr="00A26F23">
              <w:rPr>
                <w:rFonts w:eastAsia="Calibri"/>
                <w:color w:val="000000"/>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14:paraId="1268B9E2" w14:textId="77777777" w:rsidR="00A26F23" w:rsidRPr="00A26F23" w:rsidRDefault="00A26F23" w:rsidP="00A26F23">
            <w:pPr>
              <w:autoSpaceDE w:val="0"/>
              <w:autoSpaceDN w:val="0"/>
              <w:jc w:val="both"/>
              <w:rPr>
                <w:rFonts w:eastAsia="Calibri"/>
                <w:color w:val="000000"/>
                <w:sz w:val="26"/>
                <w:szCs w:val="26"/>
                <w:lang w:eastAsia="lv-LV"/>
              </w:rPr>
            </w:pPr>
            <w:r w:rsidRPr="00A26F23">
              <w:rPr>
                <w:rFonts w:eastAsia="Calibri"/>
                <w:color w:val="000000"/>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14:paraId="56AFD663" w14:textId="77777777" w:rsidR="00A26F23" w:rsidRPr="00A26F23" w:rsidRDefault="00A26F23" w:rsidP="00A26F23">
            <w:pPr>
              <w:autoSpaceDE w:val="0"/>
              <w:autoSpaceDN w:val="0"/>
              <w:jc w:val="both"/>
              <w:rPr>
                <w:rFonts w:eastAsia="Calibri"/>
                <w:color w:val="000000"/>
                <w:sz w:val="26"/>
                <w:szCs w:val="26"/>
                <w:lang w:eastAsia="lv-LV"/>
              </w:rPr>
            </w:pPr>
            <w:r w:rsidRPr="00A26F23">
              <w:rPr>
                <w:rFonts w:eastAsia="Calibri"/>
                <w:color w:val="000000"/>
                <w:sz w:val="26"/>
                <w:szCs w:val="26"/>
                <w:lang w:eastAsia="lv-LV"/>
              </w:rPr>
              <w:t>Nav</w:t>
            </w:r>
          </w:p>
        </w:tc>
      </w:tr>
    </w:tbl>
    <w:p w14:paraId="6100917D" w14:textId="55C849AA" w:rsidR="003E3732" w:rsidRPr="00042475" w:rsidRDefault="003E3732"/>
    <w:tbl>
      <w:tblPr>
        <w:tblW w:w="935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gridCol w:w="61"/>
      </w:tblGrid>
      <w:tr w:rsidR="00C50D09" w:rsidRPr="00042475" w14:paraId="6AF28E7C" w14:textId="77777777" w:rsidTr="00C65F0B">
        <w:trPr>
          <w:gridAfter w:val="1"/>
          <w:wAfter w:w="61" w:type="dxa"/>
        </w:trPr>
        <w:tc>
          <w:tcPr>
            <w:tcW w:w="9291" w:type="dxa"/>
            <w:hideMark/>
          </w:tcPr>
          <w:p w14:paraId="6DDA4E16" w14:textId="77777777" w:rsidR="00C50D09" w:rsidRPr="00042475" w:rsidRDefault="00C50D09" w:rsidP="00F93EFA">
            <w:pPr>
              <w:jc w:val="center"/>
              <w:rPr>
                <w:b/>
                <w:sz w:val="26"/>
                <w:szCs w:val="26"/>
                <w:lang w:eastAsia="lv-LV"/>
              </w:rPr>
            </w:pPr>
            <w:r w:rsidRPr="00042475">
              <w:rPr>
                <w:sz w:val="26"/>
                <w:szCs w:val="26"/>
                <w:lang w:eastAsia="lv-LV"/>
              </w:rPr>
              <w:t> </w:t>
            </w:r>
            <w:r w:rsidRPr="00042475">
              <w:rPr>
                <w:b/>
                <w:sz w:val="26"/>
                <w:szCs w:val="26"/>
                <w:lang w:eastAsia="lv-LV"/>
              </w:rPr>
              <w:t>V. Tiesību akta projekta atbilstība Latvijas Republikas starptautiskajām saistībām</w:t>
            </w:r>
          </w:p>
        </w:tc>
      </w:tr>
      <w:tr w:rsidR="00C65F0B" w:rsidRPr="00042475" w14:paraId="230C06F7" w14:textId="77777777" w:rsidTr="00C65F0B">
        <w:trPr>
          <w:trHeight w:val="299"/>
        </w:trPr>
        <w:tc>
          <w:tcPr>
            <w:tcW w:w="9352" w:type="dxa"/>
            <w:gridSpan w:val="2"/>
          </w:tcPr>
          <w:p w14:paraId="76512BD8" w14:textId="77777777" w:rsidR="00C65F0B" w:rsidRPr="00042475" w:rsidRDefault="00C65F0B" w:rsidP="00C65F0B">
            <w:pPr>
              <w:jc w:val="center"/>
              <w:rPr>
                <w:sz w:val="26"/>
                <w:szCs w:val="26"/>
                <w:lang w:eastAsia="lv-LV"/>
              </w:rPr>
            </w:pPr>
            <w:r w:rsidRPr="00042475">
              <w:rPr>
                <w:sz w:val="26"/>
                <w:szCs w:val="26"/>
                <w:lang w:eastAsia="lv-LV"/>
              </w:rPr>
              <w:t>Projekts šo jomu neskar.</w:t>
            </w:r>
          </w:p>
        </w:tc>
      </w:tr>
    </w:tbl>
    <w:p w14:paraId="1F73F132" w14:textId="77777777" w:rsidR="006D1317" w:rsidRPr="00042475" w:rsidRDefault="006D1317"/>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1"/>
        <w:gridCol w:w="5918"/>
      </w:tblGrid>
      <w:tr w:rsidR="006921BD" w:rsidRPr="00042475" w14:paraId="0F98D2FF" w14:textId="77777777" w:rsidTr="00852C5E">
        <w:tc>
          <w:tcPr>
            <w:tcW w:w="9287" w:type="dxa"/>
            <w:gridSpan w:val="3"/>
            <w:hideMark/>
          </w:tcPr>
          <w:p w14:paraId="3DF8DF3C" w14:textId="77777777" w:rsidR="006921BD" w:rsidRPr="00042475" w:rsidRDefault="006921BD" w:rsidP="00852C5E">
            <w:pPr>
              <w:jc w:val="center"/>
              <w:rPr>
                <w:sz w:val="26"/>
                <w:szCs w:val="26"/>
                <w:lang w:eastAsia="lv-LV"/>
              </w:rPr>
            </w:pPr>
            <w:r w:rsidRPr="00042475">
              <w:rPr>
                <w:b/>
                <w:bCs/>
                <w:sz w:val="26"/>
                <w:szCs w:val="26"/>
                <w:lang w:eastAsia="lv-LV"/>
              </w:rPr>
              <w:t>VI. Sabiedrības līdzdalība un komunikācijas aktivitātes</w:t>
            </w:r>
          </w:p>
        </w:tc>
      </w:tr>
      <w:tr w:rsidR="006921BD" w:rsidRPr="00042475" w14:paraId="25E37302" w14:textId="77777777" w:rsidTr="00AC00B3">
        <w:trPr>
          <w:trHeight w:val="427"/>
        </w:trPr>
        <w:tc>
          <w:tcPr>
            <w:tcW w:w="538" w:type="dxa"/>
            <w:hideMark/>
          </w:tcPr>
          <w:p w14:paraId="74E33E13" w14:textId="77777777" w:rsidR="006921BD" w:rsidRPr="00042475" w:rsidRDefault="006921BD" w:rsidP="00852C5E">
            <w:pPr>
              <w:rPr>
                <w:sz w:val="26"/>
                <w:szCs w:val="26"/>
                <w:lang w:eastAsia="lv-LV"/>
              </w:rPr>
            </w:pPr>
            <w:r w:rsidRPr="00042475">
              <w:rPr>
                <w:sz w:val="26"/>
                <w:szCs w:val="26"/>
                <w:lang w:eastAsia="lv-LV"/>
              </w:rPr>
              <w:t> 1.</w:t>
            </w:r>
          </w:p>
        </w:tc>
        <w:tc>
          <w:tcPr>
            <w:tcW w:w="2831" w:type="dxa"/>
          </w:tcPr>
          <w:p w14:paraId="4CD15D02" w14:textId="77777777" w:rsidR="006921BD" w:rsidRPr="00042475" w:rsidRDefault="006921BD" w:rsidP="00852C5E">
            <w:pPr>
              <w:rPr>
                <w:sz w:val="26"/>
                <w:szCs w:val="26"/>
                <w:lang w:eastAsia="lv-LV"/>
              </w:rPr>
            </w:pPr>
            <w:r w:rsidRPr="00042475">
              <w:rPr>
                <w:sz w:val="26"/>
                <w:szCs w:val="26"/>
                <w:lang w:eastAsia="lv-LV"/>
              </w:rPr>
              <w:t>Plānotās sabiedrības līdzdalības un komunikācijas aktivitātes saistībā ar projektu</w:t>
            </w:r>
          </w:p>
        </w:tc>
        <w:tc>
          <w:tcPr>
            <w:tcW w:w="5918" w:type="dxa"/>
          </w:tcPr>
          <w:p w14:paraId="6FA6CA31" w14:textId="7637AB20" w:rsidR="00CF049F" w:rsidRDefault="00CF049F" w:rsidP="00492740">
            <w:pPr>
              <w:jc w:val="both"/>
              <w:rPr>
                <w:sz w:val="26"/>
                <w:szCs w:val="26"/>
              </w:rPr>
            </w:pPr>
            <w:r>
              <w:rPr>
                <w:sz w:val="26"/>
                <w:szCs w:val="26"/>
              </w:rPr>
              <w:t>Uzziņa par likumprojekta izstrādi 2017.gada 16.martā tika publicēta Finanšu ministrijas tīmekļa vietnē sadaļā “Sabiedrības līdzdalība”.</w:t>
            </w:r>
          </w:p>
          <w:p w14:paraId="16E9E42E" w14:textId="03B8FBB4" w:rsidR="00CF049F" w:rsidRPr="00042475" w:rsidRDefault="00C65F0B">
            <w:pPr>
              <w:jc w:val="both"/>
              <w:rPr>
                <w:sz w:val="26"/>
                <w:szCs w:val="26"/>
              </w:rPr>
            </w:pPr>
            <w:r>
              <w:rPr>
                <w:sz w:val="26"/>
                <w:szCs w:val="26"/>
              </w:rPr>
              <w:t>Pirms Likumprojekta izstrādes</w:t>
            </w:r>
            <w:r w:rsidR="00492740" w:rsidRPr="00042475">
              <w:rPr>
                <w:sz w:val="26"/>
                <w:szCs w:val="26"/>
              </w:rPr>
              <w:t xml:space="preserve"> saistībā ar nepieciešamību veikt grozījumus tran</w:t>
            </w:r>
            <w:r>
              <w:rPr>
                <w:sz w:val="26"/>
                <w:szCs w:val="26"/>
              </w:rPr>
              <w:t>sfertcenu tiesiskajā regulējumā</w:t>
            </w:r>
            <w:r w:rsidR="00492740" w:rsidRPr="00042475">
              <w:rPr>
                <w:sz w:val="26"/>
                <w:szCs w:val="26"/>
              </w:rPr>
              <w:t xml:space="preserve"> tika rīkotas publiskas konsultācijas. To ietvaros vairākas institūcijas (tajā skaitā biedrības, nodokļu konsultāciju uzņēmumi u.c.) sniedza viedokli, ka būtu jāpārskata transfertcenu dokumentācijas prasības, tās saskaņojot ar veiktajiem grozījumiem Transfertcenu vadlīnijās.</w:t>
            </w:r>
            <w:r w:rsidR="00CF049F">
              <w:rPr>
                <w:sz w:val="26"/>
                <w:szCs w:val="26"/>
              </w:rPr>
              <w:t xml:space="preserve"> </w:t>
            </w:r>
          </w:p>
        </w:tc>
      </w:tr>
      <w:tr w:rsidR="006921BD" w:rsidRPr="00042475" w14:paraId="08B38078" w14:textId="77777777" w:rsidTr="00AC00B3">
        <w:trPr>
          <w:trHeight w:val="463"/>
        </w:trPr>
        <w:tc>
          <w:tcPr>
            <w:tcW w:w="538" w:type="dxa"/>
            <w:hideMark/>
          </w:tcPr>
          <w:p w14:paraId="21BFD358" w14:textId="77777777" w:rsidR="006921BD" w:rsidRPr="00042475" w:rsidRDefault="006921BD" w:rsidP="00852C5E">
            <w:pPr>
              <w:rPr>
                <w:sz w:val="26"/>
                <w:szCs w:val="26"/>
                <w:lang w:eastAsia="lv-LV"/>
              </w:rPr>
            </w:pPr>
            <w:r w:rsidRPr="00042475">
              <w:rPr>
                <w:sz w:val="26"/>
                <w:szCs w:val="26"/>
                <w:lang w:eastAsia="lv-LV"/>
              </w:rPr>
              <w:t> 2.</w:t>
            </w:r>
          </w:p>
        </w:tc>
        <w:tc>
          <w:tcPr>
            <w:tcW w:w="2831" w:type="dxa"/>
          </w:tcPr>
          <w:p w14:paraId="571B929C" w14:textId="77777777" w:rsidR="006921BD" w:rsidRPr="00042475" w:rsidRDefault="006921BD" w:rsidP="00852C5E">
            <w:pPr>
              <w:rPr>
                <w:sz w:val="26"/>
                <w:szCs w:val="26"/>
                <w:lang w:eastAsia="lv-LV"/>
              </w:rPr>
            </w:pPr>
            <w:r w:rsidRPr="00042475">
              <w:rPr>
                <w:sz w:val="26"/>
                <w:szCs w:val="26"/>
                <w:lang w:eastAsia="lv-LV"/>
              </w:rPr>
              <w:t>Sabiedrības līdzdalība projekta izstrādē</w:t>
            </w:r>
          </w:p>
        </w:tc>
        <w:tc>
          <w:tcPr>
            <w:tcW w:w="5918" w:type="dxa"/>
          </w:tcPr>
          <w:p w14:paraId="57D45AFD" w14:textId="42D980D2" w:rsidR="006921BD" w:rsidRPr="00042475" w:rsidRDefault="008339CC">
            <w:pPr>
              <w:jc w:val="both"/>
              <w:rPr>
                <w:sz w:val="26"/>
                <w:szCs w:val="26"/>
                <w:lang w:eastAsia="lv-LV"/>
              </w:rPr>
            </w:pPr>
            <w:r w:rsidRPr="00042475">
              <w:rPr>
                <w:sz w:val="26"/>
                <w:szCs w:val="26"/>
                <w:lang w:eastAsia="lv-LV"/>
              </w:rPr>
              <w:t>Saistībā ar publiskajām konsultācijām par nepieciešamību veikt grozījumus tran</w:t>
            </w:r>
            <w:r w:rsidR="00C65F0B">
              <w:rPr>
                <w:sz w:val="26"/>
                <w:szCs w:val="26"/>
                <w:lang w:eastAsia="lv-LV"/>
              </w:rPr>
              <w:t>sfertcenu tiesiskajā regulējumā</w:t>
            </w:r>
            <w:r w:rsidRPr="00042475">
              <w:rPr>
                <w:sz w:val="26"/>
                <w:szCs w:val="26"/>
                <w:lang w:eastAsia="lv-LV"/>
              </w:rPr>
              <w:t xml:space="preserve"> ir saņemts viedoklis no </w:t>
            </w:r>
            <w:r w:rsidR="008545BD">
              <w:rPr>
                <w:sz w:val="26"/>
                <w:szCs w:val="26"/>
                <w:lang w:eastAsia="lv-LV"/>
              </w:rPr>
              <w:t xml:space="preserve">Latvijas Tirdzniecības un rūpniecības kameras, Latvijas Komercbanku asociācijas, Latvijas nodokļu konsultantu asociācijas, Ārvalstu investoru padomes, Latvijas Darba devēju konfederācijas, </w:t>
            </w:r>
            <w:r w:rsidR="00CF049F" w:rsidRPr="008545BD">
              <w:rPr>
                <w:sz w:val="26"/>
                <w:szCs w:val="26"/>
                <w:lang w:eastAsia="lv-LV"/>
              </w:rPr>
              <w:t xml:space="preserve">SIA </w:t>
            </w:r>
            <w:r w:rsidR="008545BD" w:rsidRPr="008545BD">
              <w:rPr>
                <w:sz w:val="26"/>
                <w:szCs w:val="26"/>
                <w:lang w:eastAsia="lv-LV"/>
              </w:rPr>
              <w:t xml:space="preserve">Ernst &amp; Young Baltic, </w:t>
            </w:r>
            <w:r w:rsidR="008545BD">
              <w:rPr>
                <w:sz w:val="26"/>
                <w:szCs w:val="26"/>
                <w:lang w:eastAsia="lv-LV"/>
              </w:rPr>
              <w:t xml:space="preserve">ZAB Sorainen, </w:t>
            </w:r>
            <w:r w:rsidR="008545BD" w:rsidRPr="008545BD">
              <w:rPr>
                <w:sz w:val="26"/>
                <w:szCs w:val="26"/>
                <w:lang w:eastAsia="lv-LV"/>
              </w:rPr>
              <w:t>KPMG Baltics SIA</w:t>
            </w:r>
            <w:r w:rsidR="008545BD">
              <w:rPr>
                <w:sz w:val="26"/>
                <w:szCs w:val="26"/>
                <w:lang w:eastAsia="lv-LV"/>
              </w:rPr>
              <w:t>,</w:t>
            </w:r>
            <w:r w:rsidR="008545BD">
              <w:t xml:space="preserve"> </w:t>
            </w:r>
            <w:r w:rsidR="008545BD" w:rsidRPr="008545BD">
              <w:rPr>
                <w:sz w:val="26"/>
                <w:szCs w:val="26"/>
                <w:lang w:eastAsia="lv-LV"/>
              </w:rPr>
              <w:t>PricewaterhouseCoopers SIA</w:t>
            </w:r>
            <w:r w:rsidR="008545BD">
              <w:rPr>
                <w:sz w:val="26"/>
                <w:szCs w:val="26"/>
                <w:lang w:eastAsia="lv-LV"/>
              </w:rPr>
              <w:t xml:space="preserve">, </w:t>
            </w:r>
            <w:r w:rsidR="008545BD" w:rsidRPr="008545BD">
              <w:rPr>
                <w:sz w:val="26"/>
                <w:szCs w:val="26"/>
                <w:lang w:eastAsia="lv-LV"/>
              </w:rPr>
              <w:t>AAT SIA</w:t>
            </w:r>
            <w:r w:rsidR="008545BD">
              <w:rPr>
                <w:sz w:val="26"/>
                <w:szCs w:val="26"/>
                <w:lang w:eastAsia="lv-LV"/>
              </w:rPr>
              <w:t xml:space="preserve">, </w:t>
            </w:r>
            <w:r w:rsidR="00171043">
              <w:rPr>
                <w:sz w:val="26"/>
                <w:szCs w:val="26"/>
                <w:lang w:eastAsia="lv-LV"/>
              </w:rPr>
              <w:t>VAS “</w:t>
            </w:r>
            <w:r w:rsidR="008545BD" w:rsidRPr="008545BD">
              <w:rPr>
                <w:sz w:val="26"/>
                <w:szCs w:val="26"/>
                <w:lang w:eastAsia="lv-LV"/>
              </w:rPr>
              <w:t>Latvijas dzelzceļš</w:t>
            </w:r>
            <w:r w:rsidR="00171043">
              <w:rPr>
                <w:sz w:val="26"/>
                <w:szCs w:val="26"/>
                <w:lang w:eastAsia="lv-LV"/>
              </w:rPr>
              <w:t xml:space="preserve">” , </w:t>
            </w:r>
            <w:r w:rsidR="008545BD" w:rsidRPr="008545BD">
              <w:rPr>
                <w:sz w:val="26"/>
                <w:szCs w:val="26"/>
                <w:lang w:eastAsia="lv-LV"/>
              </w:rPr>
              <w:t>Grant Thornton Baltic SIA</w:t>
            </w:r>
            <w:r w:rsidR="008545BD">
              <w:rPr>
                <w:sz w:val="26"/>
                <w:szCs w:val="26"/>
                <w:lang w:eastAsia="lv-LV"/>
              </w:rPr>
              <w:t xml:space="preserve">, </w:t>
            </w:r>
            <w:r w:rsidR="008545BD" w:rsidRPr="008545BD">
              <w:rPr>
                <w:sz w:val="26"/>
                <w:szCs w:val="26"/>
                <w:lang w:eastAsia="lv-LV"/>
              </w:rPr>
              <w:t xml:space="preserve">Deloitte Latvia </w:t>
            </w:r>
            <w:r w:rsidR="008545BD">
              <w:rPr>
                <w:sz w:val="26"/>
                <w:szCs w:val="26"/>
                <w:lang w:eastAsia="lv-LV"/>
              </w:rPr>
              <w:t>SIA</w:t>
            </w:r>
            <w:r w:rsidRPr="00042475">
              <w:rPr>
                <w:sz w:val="26"/>
                <w:szCs w:val="26"/>
                <w:lang w:eastAsia="lv-LV"/>
              </w:rPr>
              <w:t xml:space="preserve">. </w:t>
            </w:r>
            <w:r w:rsidR="00CF049F">
              <w:rPr>
                <w:sz w:val="26"/>
                <w:szCs w:val="26"/>
              </w:rPr>
              <w:t>Citu sabiedrības pārstāvju iebildumi un priekšlikumi netika saņemti.</w:t>
            </w:r>
          </w:p>
        </w:tc>
      </w:tr>
      <w:tr w:rsidR="006921BD" w:rsidRPr="00042475" w14:paraId="3B0FFE37" w14:textId="77777777" w:rsidTr="00AC00B3">
        <w:trPr>
          <w:trHeight w:val="381"/>
        </w:trPr>
        <w:tc>
          <w:tcPr>
            <w:tcW w:w="538" w:type="dxa"/>
            <w:hideMark/>
          </w:tcPr>
          <w:p w14:paraId="695425ED" w14:textId="77777777" w:rsidR="006921BD" w:rsidRPr="00042475" w:rsidRDefault="006921BD" w:rsidP="00852C5E">
            <w:pPr>
              <w:rPr>
                <w:sz w:val="26"/>
                <w:szCs w:val="26"/>
                <w:lang w:eastAsia="lv-LV"/>
              </w:rPr>
            </w:pPr>
            <w:r w:rsidRPr="00042475">
              <w:rPr>
                <w:sz w:val="26"/>
                <w:szCs w:val="26"/>
                <w:lang w:eastAsia="lv-LV"/>
              </w:rPr>
              <w:t> 3.</w:t>
            </w:r>
          </w:p>
        </w:tc>
        <w:tc>
          <w:tcPr>
            <w:tcW w:w="2831" w:type="dxa"/>
          </w:tcPr>
          <w:p w14:paraId="5C3FE6FD" w14:textId="77777777" w:rsidR="006921BD" w:rsidRPr="00042475" w:rsidRDefault="006921BD" w:rsidP="00852C5E">
            <w:pPr>
              <w:rPr>
                <w:sz w:val="26"/>
                <w:szCs w:val="26"/>
                <w:lang w:eastAsia="lv-LV"/>
              </w:rPr>
            </w:pPr>
            <w:r w:rsidRPr="00042475">
              <w:rPr>
                <w:sz w:val="26"/>
                <w:szCs w:val="26"/>
                <w:lang w:eastAsia="lv-LV"/>
              </w:rPr>
              <w:t>Sabiedrības līdzdalības rezultāti</w:t>
            </w:r>
          </w:p>
        </w:tc>
        <w:tc>
          <w:tcPr>
            <w:tcW w:w="5918" w:type="dxa"/>
          </w:tcPr>
          <w:p w14:paraId="1A8D5559" w14:textId="2D2FC6AA" w:rsidR="006921BD" w:rsidRPr="00042475" w:rsidRDefault="002815C9">
            <w:pPr>
              <w:jc w:val="both"/>
              <w:rPr>
                <w:sz w:val="26"/>
                <w:szCs w:val="26"/>
                <w:lang w:eastAsia="lv-LV"/>
              </w:rPr>
            </w:pPr>
            <w:r w:rsidRPr="00042475">
              <w:rPr>
                <w:sz w:val="26"/>
                <w:szCs w:val="26"/>
                <w:lang w:eastAsia="lv-LV"/>
              </w:rPr>
              <w:t>Likumprojektā ņemti vērā</w:t>
            </w:r>
            <w:r w:rsidR="00171043">
              <w:rPr>
                <w:sz w:val="26"/>
                <w:szCs w:val="26"/>
                <w:lang w:eastAsia="lv-LV"/>
              </w:rPr>
              <w:t xml:space="preserve"> vairāki </w:t>
            </w:r>
            <w:r w:rsidRPr="00042475">
              <w:rPr>
                <w:sz w:val="26"/>
                <w:szCs w:val="26"/>
                <w:lang w:eastAsia="lv-LV"/>
              </w:rPr>
              <w:t xml:space="preserve"> </w:t>
            </w:r>
            <w:r w:rsidR="00171043">
              <w:rPr>
                <w:sz w:val="26"/>
                <w:szCs w:val="26"/>
                <w:lang w:eastAsia="lv-LV"/>
              </w:rPr>
              <w:t xml:space="preserve">šīs sadaļas 2.punktā minēto </w:t>
            </w:r>
            <w:r w:rsidRPr="00042475">
              <w:rPr>
                <w:sz w:val="26"/>
                <w:szCs w:val="26"/>
                <w:lang w:eastAsia="lv-LV"/>
              </w:rPr>
              <w:t>institūciju ieteikumi</w:t>
            </w:r>
            <w:r w:rsidR="00583951">
              <w:rPr>
                <w:sz w:val="26"/>
                <w:szCs w:val="26"/>
                <w:lang w:eastAsia="lv-LV"/>
              </w:rPr>
              <w:t xml:space="preserve"> ieviest transfertcenu dokumentāciju globālās dokumentācijas un vietējās dokumen</w:t>
            </w:r>
            <w:r w:rsidR="00FD5803">
              <w:rPr>
                <w:sz w:val="26"/>
                <w:szCs w:val="26"/>
                <w:lang w:eastAsia="lv-LV"/>
              </w:rPr>
              <w:t>t</w:t>
            </w:r>
            <w:r w:rsidR="00583951">
              <w:rPr>
                <w:sz w:val="26"/>
                <w:szCs w:val="26"/>
                <w:lang w:eastAsia="lv-LV"/>
              </w:rPr>
              <w:t>ācijas formā</w:t>
            </w:r>
            <w:r w:rsidR="00FD5803">
              <w:rPr>
                <w:sz w:val="26"/>
                <w:szCs w:val="26"/>
                <w:lang w:eastAsia="lv-LV"/>
              </w:rPr>
              <w:t>.</w:t>
            </w:r>
          </w:p>
        </w:tc>
      </w:tr>
      <w:tr w:rsidR="006921BD" w:rsidRPr="00042475" w14:paraId="1DE62F44" w14:textId="77777777" w:rsidTr="00AC00B3">
        <w:trPr>
          <w:trHeight w:val="187"/>
        </w:trPr>
        <w:tc>
          <w:tcPr>
            <w:tcW w:w="538" w:type="dxa"/>
            <w:hideMark/>
          </w:tcPr>
          <w:p w14:paraId="6F985760" w14:textId="77777777" w:rsidR="006921BD" w:rsidRPr="00042475" w:rsidRDefault="006921BD" w:rsidP="00852C5E">
            <w:pPr>
              <w:rPr>
                <w:sz w:val="26"/>
                <w:szCs w:val="26"/>
                <w:lang w:eastAsia="lv-LV"/>
              </w:rPr>
            </w:pPr>
            <w:r w:rsidRPr="00042475">
              <w:rPr>
                <w:sz w:val="26"/>
                <w:szCs w:val="26"/>
                <w:lang w:eastAsia="lv-LV"/>
              </w:rPr>
              <w:t> 4.</w:t>
            </w:r>
          </w:p>
        </w:tc>
        <w:tc>
          <w:tcPr>
            <w:tcW w:w="2831" w:type="dxa"/>
            <w:hideMark/>
          </w:tcPr>
          <w:p w14:paraId="425CDE15" w14:textId="77777777" w:rsidR="006921BD" w:rsidRPr="00042475" w:rsidRDefault="006921BD" w:rsidP="00852C5E">
            <w:pPr>
              <w:rPr>
                <w:sz w:val="26"/>
                <w:szCs w:val="26"/>
                <w:lang w:eastAsia="lv-LV"/>
              </w:rPr>
            </w:pPr>
            <w:r w:rsidRPr="00042475">
              <w:rPr>
                <w:sz w:val="26"/>
                <w:szCs w:val="26"/>
                <w:lang w:eastAsia="lv-LV"/>
              </w:rPr>
              <w:t> Cita informācija</w:t>
            </w:r>
          </w:p>
        </w:tc>
        <w:tc>
          <w:tcPr>
            <w:tcW w:w="5918" w:type="dxa"/>
            <w:hideMark/>
          </w:tcPr>
          <w:p w14:paraId="7FC0AE28" w14:textId="52D0C2A7" w:rsidR="006921BD" w:rsidRPr="00042475" w:rsidRDefault="006921BD" w:rsidP="00852C5E">
            <w:pPr>
              <w:rPr>
                <w:sz w:val="26"/>
                <w:szCs w:val="26"/>
                <w:lang w:eastAsia="lv-LV"/>
              </w:rPr>
            </w:pPr>
            <w:r w:rsidRPr="00042475">
              <w:rPr>
                <w:sz w:val="26"/>
                <w:szCs w:val="26"/>
                <w:lang w:eastAsia="lv-LV"/>
              </w:rPr>
              <w:t> Nav</w:t>
            </w:r>
            <w:r w:rsidR="00171043">
              <w:rPr>
                <w:sz w:val="26"/>
                <w:szCs w:val="26"/>
                <w:lang w:eastAsia="lv-LV"/>
              </w:rPr>
              <w:t>.</w:t>
            </w:r>
          </w:p>
        </w:tc>
      </w:tr>
    </w:tbl>
    <w:p w14:paraId="22B00B90" w14:textId="77777777" w:rsidR="00F379B6" w:rsidRPr="00042475" w:rsidRDefault="00F379B6"/>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1"/>
        <w:gridCol w:w="5918"/>
      </w:tblGrid>
      <w:tr w:rsidR="00F17343" w:rsidRPr="00042475" w14:paraId="779D1840" w14:textId="77777777" w:rsidTr="00D3063D">
        <w:tc>
          <w:tcPr>
            <w:tcW w:w="9287" w:type="dxa"/>
            <w:gridSpan w:val="3"/>
            <w:hideMark/>
          </w:tcPr>
          <w:p w14:paraId="56B84E35" w14:textId="77777777" w:rsidR="00E77C85" w:rsidRPr="00042475" w:rsidRDefault="00E77C85" w:rsidP="00C50D09">
            <w:pPr>
              <w:jc w:val="center"/>
              <w:rPr>
                <w:sz w:val="26"/>
                <w:szCs w:val="26"/>
                <w:lang w:eastAsia="lv-LV"/>
              </w:rPr>
            </w:pPr>
            <w:r w:rsidRPr="00042475">
              <w:rPr>
                <w:sz w:val="26"/>
                <w:szCs w:val="26"/>
                <w:lang w:eastAsia="lv-LV"/>
              </w:rPr>
              <w:t> </w:t>
            </w:r>
            <w:r w:rsidRPr="00042475">
              <w:rPr>
                <w:b/>
                <w:bCs/>
                <w:sz w:val="26"/>
                <w:szCs w:val="26"/>
                <w:lang w:eastAsia="lv-LV"/>
              </w:rPr>
              <w:t>VII. Tiesību akta projekta izpildes nodrošināšana un tās ietekme uz institūcijām</w:t>
            </w:r>
          </w:p>
        </w:tc>
      </w:tr>
      <w:tr w:rsidR="00F17343" w:rsidRPr="00042475" w14:paraId="60C9B5C0" w14:textId="77777777" w:rsidTr="0011600E">
        <w:trPr>
          <w:trHeight w:val="427"/>
        </w:trPr>
        <w:tc>
          <w:tcPr>
            <w:tcW w:w="538" w:type="dxa"/>
            <w:hideMark/>
          </w:tcPr>
          <w:p w14:paraId="60B836A6" w14:textId="77777777" w:rsidR="00E77C85" w:rsidRPr="00042475" w:rsidRDefault="0087364D" w:rsidP="00C50D09">
            <w:pPr>
              <w:rPr>
                <w:sz w:val="26"/>
                <w:szCs w:val="26"/>
                <w:lang w:eastAsia="lv-LV"/>
              </w:rPr>
            </w:pPr>
            <w:r w:rsidRPr="00042475">
              <w:rPr>
                <w:sz w:val="26"/>
                <w:szCs w:val="26"/>
                <w:lang w:eastAsia="lv-LV"/>
              </w:rPr>
              <w:t> 1.</w:t>
            </w:r>
          </w:p>
        </w:tc>
        <w:tc>
          <w:tcPr>
            <w:tcW w:w="2831" w:type="dxa"/>
            <w:hideMark/>
          </w:tcPr>
          <w:p w14:paraId="1615719F" w14:textId="77777777" w:rsidR="00E77C85" w:rsidRPr="00042475" w:rsidRDefault="0087364D" w:rsidP="00C50D09">
            <w:pPr>
              <w:rPr>
                <w:sz w:val="26"/>
                <w:szCs w:val="26"/>
                <w:lang w:eastAsia="lv-LV"/>
              </w:rPr>
            </w:pPr>
            <w:r w:rsidRPr="00042475">
              <w:rPr>
                <w:sz w:val="26"/>
                <w:szCs w:val="26"/>
                <w:lang w:eastAsia="lv-LV"/>
              </w:rPr>
              <w:t>Projekta izpildē iesaistītās institūcijas</w:t>
            </w:r>
          </w:p>
        </w:tc>
        <w:tc>
          <w:tcPr>
            <w:tcW w:w="5918" w:type="dxa"/>
            <w:hideMark/>
          </w:tcPr>
          <w:p w14:paraId="4FB4A924" w14:textId="77777777" w:rsidR="00665B90" w:rsidRPr="00042475" w:rsidRDefault="00376DD5" w:rsidP="00DA45BC">
            <w:pPr>
              <w:jc w:val="both"/>
              <w:rPr>
                <w:sz w:val="26"/>
                <w:szCs w:val="26"/>
              </w:rPr>
            </w:pPr>
            <w:r>
              <w:rPr>
                <w:sz w:val="26"/>
                <w:szCs w:val="26"/>
              </w:rPr>
              <w:t>VID</w:t>
            </w:r>
            <w:r w:rsidR="002815C9" w:rsidRPr="00042475">
              <w:rPr>
                <w:sz w:val="26"/>
                <w:szCs w:val="26"/>
              </w:rPr>
              <w:t>.</w:t>
            </w:r>
          </w:p>
        </w:tc>
      </w:tr>
      <w:tr w:rsidR="00F17343" w:rsidRPr="00042475" w14:paraId="53695246" w14:textId="77777777" w:rsidTr="0011600E">
        <w:trPr>
          <w:trHeight w:val="463"/>
        </w:trPr>
        <w:tc>
          <w:tcPr>
            <w:tcW w:w="538" w:type="dxa"/>
            <w:hideMark/>
          </w:tcPr>
          <w:p w14:paraId="354E6144" w14:textId="77777777" w:rsidR="00E77C85" w:rsidRPr="00042475" w:rsidRDefault="00E77C85" w:rsidP="00C4659C">
            <w:pPr>
              <w:jc w:val="both"/>
              <w:rPr>
                <w:sz w:val="26"/>
                <w:szCs w:val="26"/>
                <w:lang w:eastAsia="lv-LV"/>
              </w:rPr>
            </w:pPr>
            <w:r w:rsidRPr="00042475">
              <w:rPr>
                <w:sz w:val="26"/>
                <w:szCs w:val="26"/>
                <w:lang w:eastAsia="lv-LV"/>
              </w:rPr>
              <w:lastRenderedPageBreak/>
              <w:t> 2.</w:t>
            </w:r>
          </w:p>
        </w:tc>
        <w:tc>
          <w:tcPr>
            <w:tcW w:w="2831" w:type="dxa"/>
            <w:hideMark/>
          </w:tcPr>
          <w:p w14:paraId="1AF6315E" w14:textId="77777777" w:rsidR="006921BD" w:rsidRPr="00042475" w:rsidRDefault="00E77C85" w:rsidP="00C4659C">
            <w:pPr>
              <w:jc w:val="both"/>
              <w:rPr>
                <w:sz w:val="26"/>
                <w:szCs w:val="26"/>
                <w:lang w:eastAsia="lv-LV"/>
              </w:rPr>
            </w:pPr>
            <w:r w:rsidRPr="00042475">
              <w:rPr>
                <w:sz w:val="26"/>
                <w:szCs w:val="26"/>
                <w:lang w:eastAsia="lv-LV"/>
              </w:rPr>
              <w:t> </w:t>
            </w:r>
            <w:r w:rsidR="006921BD" w:rsidRPr="00042475">
              <w:rPr>
                <w:sz w:val="26"/>
                <w:szCs w:val="26"/>
                <w:lang w:eastAsia="lv-LV"/>
              </w:rPr>
              <w:t>Projekta izpildes ietekme uz pārvaldes funkcijām un institucionālo struktūru.</w:t>
            </w:r>
          </w:p>
          <w:p w14:paraId="71D09772" w14:textId="77777777" w:rsidR="00D82F66" w:rsidRPr="00042475" w:rsidRDefault="006921BD" w:rsidP="00C4659C">
            <w:pPr>
              <w:jc w:val="both"/>
              <w:rPr>
                <w:sz w:val="26"/>
                <w:szCs w:val="26"/>
                <w:lang w:eastAsia="lv-LV"/>
              </w:rPr>
            </w:pPr>
            <w:r w:rsidRPr="00042475">
              <w:rPr>
                <w:sz w:val="26"/>
                <w:szCs w:val="26"/>
                <w:lang w:eastAsia="lv-LV"/>
              </w:rPr>
              <w:t>Jaunu institūciju izveide, esošu institūciju likvidācija vai reorganizācija, to ietekme uz institūcijas cilvēkresursiem</w:t>
            </w:r>
          </w:p>
        </w:tc>
        <w:tc>
          <w:tcPr>
            <w:tcW w:w="5918" w:type="dxa"/>
            <w:hideMark/>
          </w:tcPr>
          <w:p w14:paraId="6A4EE85F" w14:textId="77777777" w:rsidR="00F55D27" w:rsidRDefault="00F55D27" w:rsidP="00C4659C">
            <w:pPr>
              <w:jc w:val="both"/>
              <w:rPr>
                <w:sz w:val="26"/>
                <w:szCs w:val="26"/>
                <w:lang w:eastAsia="lv-LV"/>
              </w:rPr>
            </w:pPr>
            <w:r w:rsidRPr="00042475">
              <w:rPr>
                <w:sz w:val="26"/>
                <w:szCs w:val="26"/>
                <w:lang w:eastAsia="lv-LV"/>
              </w:rPr>
              <w:t>Likumprojekts neparedz veidot jaunas institūcijas, reorganizēt vai likvidēt esošās institūcijas.</w:t>
            </w:r>
          </w:p>
          <w:p w14:paraId="70357D5E" w14:textId="77777777" w:rsidR="006E1093" w:rsidRPr="00042475" w:rsidRDefault="006E1093" w:rsidP="00C4659C">
            <w:pPr>
              <w:jc w:val="both"/>
              <w:rPr>
                <w:sz w:val="26"/>
                <w:szCs w:val="26"/>
                <w:lang w:eastAsia="lv-LV"/>
              </w:rPr>
            </w:pPr>
            <w:r>
              <w:rPr>
                <w:sz w:val="26"/>
                <w:szCs w:val="26"/>
                <w:lang w:eastAsia="lv-LV"/>
              </w:rPr>
              <w:t>Tāpat esošajām institūcijām netiek ne paplašinātas, ne sašaurinātas funkcijas.</w:t>
            </w:r>
          </w:p>
          <w:p w14:paraId="4F177ED3" w14:textId="77777777" w:rsidR="006E1093" w:rsidRPr="00042475" w:rsidRDefault="00F55D27" w:rsidP="006E1093">
            <w:pPr>
              <w:jc w:val="both"/>
              <w:rPr>
                <w:sz w:val="26"/>
                <w:szCs w:val="26"/>
                <w:lang w:eastAsia="lv-LV"/>
              </w:rPr>
            </w:pPr>
            <w:r w:rsidRPr="00042475">
              <w:rPr>
                <w:sz w:val="26"/>
                <w:szCs w:val="26"/>
                <w:lang w:eastAsia="lv-LV"/>
              </w:rPr>
              <w:t>Likumprojekta izpilde tiks nodrošināta esošo cilvēkresursu ietvaros.</w:t>
            </w:r>
          </w:p>
        </w:tc>
      </w:tr>
      <w:tr w:rsidR="00F17343" w:rsidRPr="00042475" w14:paraId="46031EFB" w14:textId="77777777" w:rsidTr="0011600E">
        <w:trPr>
          <w:trHeight w:val="70"/>
        </w:trPr>
        <w:tc>
          <w:tcPr>
            <w:tcW w:w="538" w:type="dxa"/>
            <w:hideMark/>
          </w:tcPr>
          <w:p w14:paraId="0A86174F" w14:textId="77777777" w:rsidR="00E77C85" w:rsidRPr="00042475" w:rsidRDefault="006921BD" w:rsidP="00C50D09">
            <w:pPr>
              <w:rPr>
                <w:sz w:val="26"/>
                <w:szCs w:val="26"/>
                <w:lang w:eastAsia="lv-LV"/>
              </w:rPr>
            </w:pPr>
            <w:r w:rsidRPr="00042475">
              <w:rPr>
                <w:sz w:val="26"/>
                <w:szCs w:val="26"/>
                <w:lang w:eastAsia="lv-LV"/>
              </w:rPr>
              <w:t> 3</w:t>
            </w:r>
            <w:r w:rsidR="00E77C85" w:rsidRPr="00042475">
              <w:rPr>
                <w:sz w:val="26"/>
                <w:szCs w:val="26"/>
                <w:lang w:eastAsia="lv-LV"/>
              </w:rPr>
              <w:t>.</w:t>
            </w:r>
          </w:p>
        </w:tc>
        <w:tc>
          <w:tcPr>
            <w:tcW w:w="2831" w:type="dxa"/>
            <w:hideMark/>
          </w:tcPr>
          <w:p w14:paraId="5538D6F0" w14:textId="77777777" w:rsidR="00D82F66" w:rsidRPr="00042475" w:rsidRDefault="00E77C85" w:rsidP="00D82F66">
            <w:pPr>
              <w:rPr>
                <w:sz w:val="26"/>
                <w:szCs w:val="26"/>
                <w:lang w:eastAsia="lv-LV"/>
              </w:rPr>
            </w:pPr>
            <w:r w:rsidRPr="00042475">
              <w:rPr>
                <w:sz w:val="26"/>
                <w:szCs w:val="26"/>
                <w:lang w:eastAsia="lv-LV"/>
              </w:rPr>
              <w:t> Cita informācija</w:t>
            </w:r>
          </w:p>
        </w:tc>
        <w:tc>
          <w:tcPr>
            <w:tcW w:w="5918" w:type="dxa"/>
            <w:hideMark/>
          </w:tcPr>
          <w:p w14:paraId="009A9998" w14:textId="261A398F" w:rsidR="00E77C85" w:rsidRPr="00042475" w:rsidRDefault="00E77C85" w:rsidP="00C50D09">
            <w:pPr>
              <w:rPr>
                <w:sz w:val="26"/>
                <w:szCs w:val="26"/>
                <w:lang w:eastAsia="lv-LV"/>
              </w:rPr>
            </w:pPr>
            <w:r w:rsidRPr="00042475">
              <w:rPr>
                <w:sz w:val="26"/>
                <w:szCs w:val="26"/>
                <w:lang w:eastAsia="lv-LV"/>
              </w:rPr>
              <w:t> </w:t>
            </w:r>
            <w:r w:rsidR="00D3063D" w:rsidRPr="00042475">
              <w:rPr>
                <w:sz w:val="26"/>
                <w:szCs w:val="26"/>
                <w:lang w:eastAsia="lv-LV"/>
              </w:rPr>
              <w:t>Nav</w:t>
            </w:r>
            <w:r w:rsidR="009F5235">
              <w:rPr>
                <w:sz w:val="26"/>
                <w:szCs w:val="26"/>
                <w:lang w:eastAsia="lv-LV"/>
              </w:rPr>
              <w:t>.</w:t>
            </w:r>
          </w:p>
        </w:tc>
      </w:tr>
    </w:tbl>
    <w:p w14:paraId="00C856F5" w14:textId="77777777" w:rsidR="00D92292" w:rsidRPr="00042475" w:rsidRDefault="00D92292" w:rsidP="00DC6A07">
      <w:pPr>
        <w:tabs>
          <w:tab w:val="left" w:pos="709"/>
          <w:tab w:val="left" w:pos="7088"/>
          <w:tab w:val="left" w:pos="7371"/>
        </w:tabs>
        <w:rPr>
          <w:sz w:val="28"/>
          <w:szCs w:val="28"/>
          <w:lang w:eastAsia="lv-LV"/>
        </w:rPr>
      </w:pPr>
    </w:p>
    <w:p w14:paraId="20BCB6CB" w14:textId="77777777" w:rsidR="0092194A" w:rsidRPr="00042475" w:rsidRDefault="0092194A" w:rsidP="00DC6A07">
      <w:pPr>
        <w:tabs>
          <w:tab w:val="left" w:pos="709"/>
          <w:tab w:val="left" w:pos="7088"/>
          <w:tab w:val="left" w:pos="7371"/>
        </w:tabs>
        <w:rPr>
          <w:sz w:val="28"/>
          <w:szCs w:val="28"/>
          <w:lang w:eastAsia="lv-LV"/>
        </w:rPr>
      </w:pPr>
    </w:p>
    <w:p w14:paraId="02BD4FA9" w14:textId="77777777" w:rsidR="0053440A" w:rsidRPr="00042475" w:rsidRDefault="00093619" w:rsidP="0097759D">
      <w:pPr>
        <w:tabs>
          <w:tab w:val="left" w:pos="709"/>
          <w:tab w:val="left" w:pos="6521"/>
          <w:tab w:val="left" w:pos="7371"/>
        </w:tabs>
        <w:rPr>
          <w:sz w:val="20"/>
          <w:szCs w:val="20"/>
          <w:lang w:eastAsia="lv-LV"/>
        </w:rPr>
      </w:pPr>
      <w:r w:rsidRPr="00042475">
        <w:rPr>
          <w:sz w:val="28"/>
          <w:szCs w:val="28"/>
          <w:lang w:eastAsia="lv-LV"/>
        </w:rPr>
        <w:t>Fina</w:t>
      </w:r>
      <w:r w:rsidR="0097759D" w:rsidRPr="00042475">
        <w:rPr>
          <w:sz w:val="28"/>
          <w:szCs w:val="28"/>
          <w:lang w:eastAsia="lv-LV"/>
        </w:rPr>
        <w:t>nšu ministre</w:t>
      </w:r>
      <w:r w:rsidR="00217B3F" w:rsidRPr="00042475">
        <w:rPr>
          <w:sz w:val="28"/>
          <w:szCs w:val="28"/>
          <w:lang w:eastAsia="lv-LV"/>
        </w:rPr>
        <w:tab/>
      </w:r>
      <w:r w:rsidR="0097759D" w:rsidRPr="00042475">
        <w:rPr>
          <w:sz w:val="28"/>
          <w:szCs w:val="28"/>
          <w:lang w:eastAsia="lv-LV"/>
        </w:rPr>
        <w:t>D.Reizniece-Ozola</w:t>
      </w:r>
    </w:p>
    <w:p w14:paraId="33A5B111" w14:textId="77777777" w:rsidR="00C0692D" w:rsidRPr="00042475" w:rsidRDefault="00C0692D" w:rsidP="00C50D09">
      <w:pPr>
        <w:jc w:val="both"/>
        <w:rPr>
          <w:sz w:val="20"/>
          <w:szCs w:val="20"/>
          <w:lang w:eastAsia="lv-LV"/>
        </w:rPr>
      </w:pPr>
    </w:p>
    <w:p w14:paraId="7686B0E1" w14:textId="77777777" w:rsidR="00BD7B5B" w:rsidRPr="00042475" w:rsidRDefault="00BD7B5B" w:rsidP="00C50D09">
      <w:pPr>
        <w:jc w:val="both"/>
        <w:rPr>
          <w:sz w:val="20"/>
          <w:szCs w:val="20"/>
          <w:lang w:eastAsia="lv-LV"/>
        </w:rPr>
      </w:pPr>
    </w:p>
    <w:p w14:paraId="283C9CD1" w14:textId="77777777" w:rsidR="0097759D" w:rsidRDefault="0097759D" w:rsidP="00C50D09">
      <w:pPr>
        <w:jc w:val="both"/>
        <w:rPr>
          <w:sz w:val="28"/>
          <w:szCs w:val="28"/>
          <w:lang w:eastAsia="lv-LV"/>
        </w:rPr>
      </w:pPr>
    </w:p>
    <w:p w14:paraId="3858BD8A" w14:textId="77777777" w:rsidR="00C65F0B" w:rsidRDefault="00C65F0B" w:rsidP="00C50D09">
      <w:pPr>
        <w:jc w:val="both"/>
        <w:rPr>
          <w:sz w:val="28"/>
          <w:szCs w:val="28"/>
          <w:lang w:eastAsia="lv-LV"/>
        </w:rPr>
      </w:pPr>
    </w:p>
    <w:p w14:paraId="3F6C3924" w14:textId="77777777" w:rsidR="00C65F0B" w:rsidRDefault="00C65F0B" w:rsidP="00C50D09">
      <w:pPr>
        <w:jc w:val="both"/>
        <w:rPr>
          <w:sz w:val="28"/>
          <w:szCs w:val="28"/>
          <w:lang w:eastAsia="lv-LV"/>
        </w:rPr>
      </w:pPr>
    </w:p>
    <w:p w14:paraId="35D8E409" w14:textId="77777777" w:rsidR="00C65F0B" w:rsidRDefault="00C65F0B" w:rsidP="00C50D09">
      <w:pPr>
        <w:jc w:val="both"/>
        <w:rPr>
          <w:sz w:val="28"/>
          <w:szCs w:val="28"/>
          <w:lang w:eastAsia="lv-LV"/>
        </w:rPr>
      </w:pPr>
    </w:p>
    <w:p w14:paraId="5CB0EB75" w14:textId="77777777" w:rsidR="00C65F0B" w:rsidRDefault="00C65F0B" w:rsidP="00C50D09">
      <w:pPr>
        <w:jc w:val="both"/>
        <w:rPr>
          <w:sz w:val="28"/>
          <w:szCs w:val="28"/>
          <w:lang w:eastAsia="lv-LV"/>
        </w:rPr>
      </w:pPr>
    </w:p>
    <w:p w14:paraId="0A45DE92" w14:textId="77777777" w:rsidR="00C65F0B" w:rsidRDefault="00C65F0B" w:rsidP="00C50D09">
      <w:pPr>
        <w:jc w:val="both"/>
        <w:rPr>
          <w:sz w:val="28"/>
          <w:szCs w:val="28"/>
          <w:lang w:eastAsia="lv-LV"/>
        </w:rPr>
      </w:pPr>
    </w:p>
    <w:p w14:paraId="35782C34" w14:textId="77777777" w:rsidR="00C65F0B" w:rsidRDefault="00C65F0B" w:rsidP="00C50D09">
      <w:pPr>
        <w:jc w:val="both"/>
        <w:rPr>
          <w:sz w:val="28"/>
          <w:szCs w:val="28"/>
          <w:lang w:eastAsia="lv-LV"/>
        </w:rPr>
      </w:pPr>
    </w:p>
    <w:p w14:paraId="5E44A453" w14:textId="77777777" w:rsidR="00C65F0B" w:rsidRPr="00042475" w:rsidRDefault="00C65F0B" w:rsidP="00C50D09">
      <w:pPr>
        <w:jc w:val="both"/>
        <w:rPr>
          <w:sz w:val="20"/>
          <w:szCs w:val="20"/>
          <w:lang w:eastAsia="lv-LV"/>
        </w:rPr>
      </w:pPr>
    </w:p>
    <w:p w14:paraId="0A60F167" w14:textId="77777777" w:rsidR="00B11F04" w:rsidRPr="00C65F0B" w:rsidRDefault="002815C9" w:rsidP="00C50D09">
      <w:pPr>
        <w:jc w:val="both"/>
        <w:rPr>
          <w:sz w:val="20"/>
          <w:szCs w:val="20"/>
        </w:rPr>
      </w:pPr>
      <w:r w:rsidRPr="00C65F0B">
        <w:rPr>
          <w:sz w:val="20"/>
          <w:szCs w:val="20"/>
        </w:rPr>
        <w:t>Auziņš</w:t>
      </w:r>
      <w:r w:rsidR="00C65F0B" w:rsidRPr="00C65F0B">
        <w:rPr>
          <w:sz w:val="20"/>
          <w:szCs w:val="20"/>
        </w:rPr>
        <w:t>, 67083919</w:t>
      </w:r>
    </w:p>
    <w:p w14:paraId="4419A973" w14:textId="77777777" w:rsidR="00916860" w:rsidRPr="00C65F0B" w:rsidRDefault="00C83CA6" w:rsidP="00AD4A16">
      <w:pPr>
        <w:pStyle w:val="Footer"/>
        <w:tabs>
          <w:tab w:val="clear" w:pos="4153"/>
          <w:tab w:val="clear" w:pos="8306"/>
        </w:tabs>
        <w:rPr>
          <w:rFonts w:ascii="Times New Roman" w:hAnsi="Times New Roman"/>
          <w:sz w:val="20"/>
        </w:rPr>
      </w:pPr>
      <w:hyperlink r:id="rId12" w:history="1">
        <w:r w:rsidR="002815C9" w:rsidRPr="00C65F0B">
          <w:rPr>
            <w:rStyle w:val="Hyperlink"/>
            <w:rFonts w:ascii="Times New Roman" w:hAnsi="Times New Roman"/>
            <w:color w:val="auto"/>
            <w:sz w:val="20"/>
          </w:rPr>
          <w:t>Roberts.Auzins@fm.gov.lv</w:t>
        </w:r>
      </w:hyperlink>
    </w:p>
    <w:sectPr w:rsidR="00916860" w:rsidRPr="00C65F0B" w:rsidSect="00821BCC">
      <w:headerReference w:type="default" r:id="rId13"/>
      <w:footerReference w:type="default" r:id="rId14"/>
      <w:footerReference w:type="first" r:id="rId15"/>
      <w:pgSz w:w="11906" w:h="16838"/>
      <w:pgMar w:top="1134" w:right="1134" w:bottom="15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7B45" w14:textId="77777777" w:rsidR="00C83CA6" w:rsidRDefault="00C83CA6" w:rsidP="00F17343">
      <w:r>
        <w:separator/>
      </w:r>
    </w:p>
  </w:endnote>
  <w:endnote w:type="continuationSeparator" w:id="0">
    <w:p w14:paraId="1D961029" w14:textId="77777777" w:rsidR="00C83CA6" w:rsidRDefault="00C83CA6" w:rsidP="00F17343">
      <w:r>
        <w:continuationSeparator/>
      </w:r>
    </w:p>
  </w:endnote>
  <w:endnote w:type="continuationNotice" w:id="1">
    <w:p w14:paraId="3599E8A9" w14:textId="77777777" w:rsidR="00C83CA6" w:rsidRDefault="00C83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08E3" w14:textId="77777777" w:rsidR="00130197" w:rsidRPr="0075536D" w:rsidRDefault="00130197" w:rsidP="0075536D">
    <w:pPr>
      <w:pStyle w:val="Footer"/>
      <w:rPr>
        <w:b/>
        <w:sz w:val="20"/>
      </w:rPr>
    </w:pPr>
    <w:r w:rsidRPr="002815C9">
      <w:rPr>
        <w:sz w:val="20"/>
      </w:rPr>
      <w:fldChar w:fldCharType="begin"/>
    </w:r>
    <w:r w:rsidRPr="002815C9">
      <w:rPr>
        <w:sz w:val="20"/>
      </w:rPr>
      <w:instrText xml:space="preserve"> FILENAME   \* MERGEFORMAT </w:instrText>
    </w:r>
    <w:r w:rsidRPr="002815C9">
      <w:rPr>
        <w:sz w:val="20"/>
      </w:rPr>
      <w:fldChar w:fldCharType="separate"/>
    </w:r>
    <w:r w:rsidR="00C65F0B">
      <w:rPr>
        <w:noProof/>
        <w:sz w:val="20"/>
      </w:rPr>
      <w:t>FMAnot_290917_NN.</w:t>
    </w:r>
    <w:r w:rsidR="002815C9" w:rsidRPr="002815C9">
      <w:rPr>
        <w:noProof/>
        <w:sz w:val="20"/>
      </w:rPr>
      <w:t>docx</w:t>
    </w:r>
    <w:r w:rsidRPr="002815C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AAFB" w14:textId="77777777" w:rsidR="00130197" w:rsidRPr="005271A7" w:rsidRDefault="00130197" w:rsidP="005271A7">
    <w:pPr>
      <w:pStyle w:val="Title"/>
      <w:jc w:val="both"/>
      <w:rPr>
        <w:sz w:val="20"/>
      </w:rPr>
    </w:pPr>
    <w:r w:rsidRPr="002815C9">
      <w:rPr>
        <w:b w:val="0"/>
        <w:sz w:val="20"/>
        <w:szCs w:val="20"/>
      </w:rPr>
      <w:fldChar w:fldCharType="begin"/>
    </w:r>
    <w:r w:rsidRPr="002815C9">
      <w:rPr>
        <w:b w:val="0"/>
        <w:sz w:val="20"/>
        <w:szCs w:val="20"/>
      </w:rPr>
      <w:instrText xml:space="preserve"> FILENAME   \* MERGEFORMAT </w:instrText>
    </w:r>
    <w:r w:rsidRPr="002815C9">
      <w:rPr>
        <w:b w:val="0"/>
        <w:sz w:val="20"/>
        <w:szCs w:val="20"/>
      </w:rPr>
      <w:fldChar w:fldCharType="separate"/>
    </w:r>
    <w:r w:rsidR="00C65F0B">
      <w:rPr>
        <w:b w:val="0"/>
        <w:noProof/>
        <w:sz w:val="20"/>
        <w:szCs w:val="20"/>
      </w:rPr>
      <w:t>FMAnot_290917_NNL</w:t>
    </w:r>
    <w:r w:rsidR="002815C9" w:rsidRPr="002815C9">
      <w:rPr>
        <w:b w:val="0"/>
        <w:noProof/>
        <w:sz w:val="20"/>
        <w:szCs w:val="20"/>
      </w:rPr>
      <w:t>.docx</w:t>
    </w:r>
    <w:r w:rsidRPr="002815C9">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C509" w14:textId="77777777" w:rsidR="00C83CA6" w:rsidRDefault="00C83CA6" w:rsidP="00F17343">
      <w:r>
        <w:separator/>
      </w:r>
    </w:p>
  </w:footnote>
  <w:footnote w:type="continuationSeparator" w:id="0">
    <w:p w14:paraId="4FA86061" w14:textId="77777777" w:rsidR="00C83CA6" w:rsidRDefault="00C83CA6" w:rsidP="00F17343">
      <w:r>
        <w:continuationSeparator/>
      </w:r>
    </w:p>
  </w:footnote>
  <w:footnote w:type="continuationNotice" w:id="1">
    <w:p w14:paraId="02575EF2" w14:textId="77777777" w:rsidR="00C83CA6" w:rsidRDefault="00C83CA6"/>
  </w:footnote>
  <w:footnote w:id="2">
    <w:p w14:paraId="7300A5E0" w14:textId="77777777" w:rsidR="00130197" w:rsidRDefault="00130197">
      <w:pPr>
        <w:pStyle w:val="FootnoteText"/>
      </w:pPr>
      <w:r>
        <w:rPr>
          <w:rStyle w:val="FootnoteReference"/>
        </w:rPr>
        <w:footnoteRef/>
      </w:r>
      <w:r>
        <w:t xml:space="preserve"> </w:t>
      </w:r>
      <w:r w:rsidRPr="006740D1">
        <w:t>The 2015 Global Transfer Pricing Guide (Deloitte)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A7BD" w14:textId="738BA5C1" w:rsidR="00130197" w:rsidRDefault="00130197">
    <w:pPr>
      <w:pStyle w:val="Header"/>
      <w:jc w:val="center"/>
    </w:pPr>
    <w:r>
      <w:fldChar w:fldCharType="begin"/>
    </w:r>
    <w:r>
      <w:instrText xml:space="preserve"> PAGE   \* MERGEFORMAT </w:instrText>
    </w:r>
    <w:r>
      <w:fldChar w:fldCharType="separate"/>
    </w:r>
    <w:r w:rsidR="009036A5">
      <w:rPr>
        <w:noProof/>
      </w:rPr>
      <w:t>2</w:t>
    </w:r>
    <w:r>
      <w:fldChar w:fldCharType="end"/>
    </w:r>
  </w:p>
  <w:p w14:paraId="27BBF27A" w14:textId="77777777" w:rsidR="00130197" w:rsidRDefault="0013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B87"/>
    <w:multiLevelType w:val="hybridMultilevel"/>
    <w:tmpl w:val="34C6DD00"/>
    <w:lvl w:ilvl="0" w:tplc="2640A980">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15:restartNumberingAfterBreak="0">
    <w:nsid w:val="190C246B"/>
    <w:multiLevelType w:val="hybridMultilevel"/>
    <w:tmpl w:val="D20A43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65E52"/>
    <w:multiLevelType w:val="hybridMultilevel"/>
    <w:tmpl w:val="F0E42294"/>
    <w:lvl w:ilvl="0" w:tplc="BD469B50">
      <w:start w:val="3"/>
      <w:numFmt w:val="decimal"/>
      <w:lvlText w:val="%1)"/>
      <w:lvlJc w:val="left"/>
      <w:pPr>
        <w:ind w:left="568" w:hanging="360"/>
      </w:pPr>
      <w:rPr>
        <w:rFonts w:hint="default"/>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abstractNum w:abstractNumId="3" w15:restartNumberingAfterBreak="0">
    <w:nsid w:val="21CA0368"/>
    <w:multiLevelType w:val="singleLevel"/>
    <w:tmpl w:val="93DE5444"/>
    <w:lvl w:ilvl="0">
      <w:start w:val="1"/>
      <w:numFmt w:val="lowerLetter"/>
      <w:lvlText w:val="%1)"/>
      <w:lvlJc w:val="left"/>
      <w:pPr>
        <w:tabs>
          <w:tab w:val="num" w:pos="510"/>
        </w:tabs>
        <w:ind w:left="510" w:hanging="510"/>
      </w:pPr>
      <w:rPr>
        <w:rFonts w:hint="default"/>
      </w:rPr>
    </w:lvl>
  </w:abstractNum>
  <w:abstractNum w:abstractNumId="4" w15:restartNumberingAfterBreak="0">
    <w:nsid w:val="25394063"/>
    <w:multiLevelType w:val="hybridMultilevel"/>
    <w:tmpl w:val="3662B65E"/>
    <w:lvl w:ilvl="0" w:tplc="50CE632E">
      <w:start w:val="1"/>
      <w:numFmt w:val="decimal"/>
      <w:lvlText w:val="%1)"/>
      <w:lvlJc w:val="left"/>
      <w:pPr>
        <w:ind w:left="1211"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31677BBF"/>
    <w:multiLevelType w:val="hybridMultilevel"/>
    <w:tmpl w:val="0AF6F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F2AF5"/>
    <w:multiLevelType w:val="singleLevel"/>
    <w:tmpl w:val="0C090017"/>
    <w:lvl w:ilvl="0">
      <w:start w:val="1"/>
      <w:numFmt w:val="lowerLetter"/>
      <w:lvlText w:val="%1)"/>
      <w:lvlJc w:val="left"/>
      <w:pPr>
        <w:tabs>
          <w:tab w:val="num" w:pos="360"/>
        </w:tabs>
        <w:ind w:left="360" w:hanging="360"/>
      </w:pPr>
      <w:rPr>
        <w:rFonts w:hint="default"/>
      </w:rPr>
    </w:lvl>
  </w:abstractNum>
  <w:abstractNum w:abstractNumId="7" w15:restartNumberingAfterBreak="0">
    <w:nsid w:val="36F16F77"/>
    <w:multiLevelType w:val="hybridMultilevel"/>
    <w:tmpl w:val="8B4A0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A24E1C"/>
    <w:multiLevelType w:val="hybridMultilevel"/>
    <w:tmpl w:val="2DB49F12"/>
    <w:lvl w:ilvl="0" w:tplc="4F54D04A">
      <w:start w:val="1"/>
      <w:numFmt w:val="decimal"/>
      <w:lvlText w:val="%1)"/>
      <w:lvlJc w:val="left"/>
      <w:pPr>
        <w:ind w:left="6172"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9" w15:restartNumberingAfterBreak="0">
    <w:nsid w:val="45DC594B"/>
    <w:multiLevelType w:val="hybridMultilevel"/>
    <w:tmpl w:val="B7F84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DD7CF7"/>
    <w:multiLevelType w:val="hybridMultilevel"/>
    <w:tmpl w:val="90AE0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23598B"/>
    <w:multiLevelType w:val="hybridMultilevel"/>
    <w:tmpl w:val="57886912"/>
    <w:lvl w:ilvl="0" w:tplc="7016996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E85070"/>
    <w:multiLevelType w:val="hybridMultilevel"/>
    <w:tmpl w:val="3288D7AA"/>
    <w:lvl w:ilvl="0" w:tplc="953A5792">
      <w:start w:val="201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7DD64F37"/>
    <w:multiLevelType w:val="hybridMultilevel"/>
    <w:tmpl w:val="AD32FED0"/>
    <w:lvl w:ilvl="0" w:tplc="BAFCC3B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11"/>
  </w:num>
  <w:num w:numId="6">
    <w:abstractNumId w:val="7"/>
  </w:num>
  <w:num w:numId="7">
    <w:abstractNumId w:val="12"/>
  </w:num>
  <w:num w:numId="8">
    <w:abstractNumId w:val="4"/>
  </w:num>
  <w:num w:numId="9">
    <w:abstractNumId w:val="8"/>
  </w:num>
  <w:num w:numId="10">
    <w:abstractNumId w:val="10"/>
  </w:num>
  <w:num w:numId="11">
    <w:abstractNumId w:val="2"/>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85"/>
    <w:rsid w:val="00000F6A"/>
    <w:rsid w:val="00001E37"/>
    <w:rsid w:val="00005952"/>
    <w:rsid w:val="00007D36"/>
    <w:rsid w:val="00007F44"/>
    <w:rsid w:val="00010226"/>
    <w:rsid w:val="00014BA5"/>
    <w:rsid w:val="00015EF6"/>
    <w:rsid w:val="0001651D"/>
    <w:rsid w:val="00016B20"/>
    <w:rsid w:val="00017B3B"/>
    <w:rsid w:val="00021A15"/>
    <w:rsid w:val="00022245"/>
    <w:rsid w:val="00024A11"/>
    <w:rsid w:val="00025469"/>
    <w:rsid w:val="00030A63"/>
    <w:rsid w:val="00030C41"/>
    <w:rsid w:val="00037BED"/>
    <w:rsid w:val="00040CBD"/>
    <w:rsid w:val="00042475"/>
    <w:rsid w:val="0004402E"/>
    <w:rsid w:val="0004564C"/>
    <w:rsid w:val="00050060"/>
    <w:rsid w:val="00050705"/>
    <w:rsid w:val="0005172E"/>
    <w:rsid w:val="00053211"/>
    <w:rsid w:val="00056421"/>
    <w:rsid w:val="00056756"/>
    <w:rsid w:val="000603D8"/>
    <w:rsid w:val="00061604"/>
    <w:rsid w:val="00061FE8"/>
    <w:rsid w:val="00064532"/>
    <w:rsid w:val="00064F93"/>
    <w:rsid w:val="00065219"/>
    <w:rsid w:val="00065326"/>
    <w:rsid w:val="000663FA"/>
    <w:rsid w:val="0006769B"/>
    <w:rsid w:val="00067CD0"/>
    <w:rsid w:val="000706D6"/>
    <w:rsid w:val="00072868"/>
    <w:rsid w:val="0007494C"/>
    <w:rsid w:val="0007719B"/>
    <w:rsid w:val="00081B09"/>
    <w:rsid w:val="00084980"/>
    <w:rsid w:val="0009021E"/>
    <w:rsid w:val="00090360"/>
    <w:rsid w:val="00091A29"/>
    <w:rsid w:val="00092DC0"/>
    <w:rsid w:val="00092ED2"/>
    <w:rsid w:val="00093619"/>
    <w:rsid w:val="0009429A"/>
    <w:rsid w:val="00094626"/>
    <w:rsid w:val="00094A62"/>
    <w:rsid w:val="0009581A"/>
    <w:rsid w:val="00095D0D"/>
    <w:rsid w:val="0009679E"/>
    <w:rsid w:val="000A130E"/>
    <w:rsid w:val="000A2639"/>
    <w:rsid w:val="000A4A4D"/>
    <w:rsid w:val="000A5459"/>
    <w:rsid w:val="000A66A9"/>
    <w:rsid w:val="000B1057"/>
    <w:rsid w:val="000B1BC5"/>
    <w:rsid w:val="000B2486"/>
    <w:rsid w:val="000B5B9B"/>
    <w:rsid w:val="000B6F12"/>
    <w:rsid w:val="000B7456"/>
    <w:rsid w:val="000C07B9"/>
    <w:rsid w:val="000C1E80"/>
    <w:rsid w:val="000C23C8"/>
    <w:rsid w:val="000C3F2E"/>
    <w:rsid w:val="000C484D"/>
    <w:rsid w:val="000C57F4"/>
    <w:rsid w:val="000C5E52"/>
    <w:rsid w:val="000D005B"/>
    <w:rsid w:val="000D0DEE"/>
    <w:rsid w:val="000D0F39"/>
    <w:rsid w:val="000D1811"/>
    <w:rsid w:val="000D28B4"/>
    <w:rsid w:val="000D464F"/>
    <w:rsid w:val="000D47FA"/>
    <w:rsid w:val="000D4DF7"/>
    <w:rsid w:val="000D738B"/>
    <w:rsid w:val="000E1E6E"/>
    <w:rsid w:val="000E2419"/>
    <w:rsid w:val="000E3828"/>
    <w:rsid w:val="000F05DC"/>
    <w:rsid w:val="000F3C12"/>
    <w:rsid w:val="000F74F2"/>
    <w:rsid w:val="001026A1"/>
    <w:rsid w:val="00102A5E"/>
    <w:rsid w:val="00103D31"/>
    <w:rsid w:val="001042E3"/>
    <w:rsid w:val="0010471C"/>
    <w:rsid w:val="00104D51"/>
    <w:rsid w:val="00105F52"/>
    <w:rsid w:val="00106A33"/>
    <w:rsid w:val="001079C2"/>
    <w:rsid w:val="00112A73"/>
    <w:rsid w:val="001146EE"/>
    <w:rsid w:val="0011514A"/>
    <w:rsid w:val="00115979"/>
    <w:rsid w:val="00115EF9"/>
    <w:rsid w:val="0011600E"/>
    <w:rsid w:val="00116402"/>
    <w:rsid w:val="001179AA"/>
    <w:rsid w:val="0012150B"/>
    <w:rsid w:val="0012237B"/>
    <w:rsid w:val="00123A40"/>
    <w:rsid w:val="00124C4E"/>
    <w:rsid w:val="00127F4C"/>
    <w:rsid w:val="00130197"/>
    <w:rsid w:val="001338D1"/>
    <w:rsid w:val="00134DFF"/>
    <w:rsid w:val="00137D06"/>
    <w:rsid w:val="00140A8A"/>
    <w:rsid w:val="00144528"/>
    <w:rsid w:val="00144B69"/>
    <w:rsid w:val="0014524C"/>
    <w:rsid w:val="00145C48"/>
    <w:rsid w:val="0015123F"/>
    <w:rsid w:val="00151648"/>
    <w:rsid w:val="00151984"/>
    <w:rsid w:val="00151E95"/>
    <w:rsid w:val="001558BE"/>
    <w:rsid w:val="0016021B"/>
    <w:rsid w:val="001604F3"/>
    <w:rsid w:val="00160969"/>
    <w:rsid w:val="00161729"/>
    <w:rsid w:val="001627E0"/>
    <w:rsid w:val="00165047"/>
    <w:rsid w:val="0016599F"/>
    <w:rsid w:val="00166A88"/>
    <w:rsid w:val="00170A33"/>
    <w:rsid w:val="00171043"/>
    <w:rsid w:val="0017119E"/>
    <w:rsid w:val="001716B7"/>
    <w:rsid w:val="00171998"/>
    <w:rsid w:val="00173EC1"/>
    <w:rsid w:val="00184D3D"/>
    <w:rsid w:val="001861E2"/>
    <w:rsid w:val="001867A7"/>
    <w:rsid w:val="001867CE"/>
    <w:rsid w:val="00186B74"/>
    <w:rsid w:val="00186CDA"/>
    <w:rsid w:val="00187306"/>
    <w:rsid w:val="001923BD"/>
    <w:rsid w:val="00192AA0"/>
    <w:rsid w:val="00194A4E"/>
    <w:rsid w:val="00195209"/>
    <w:rsid w:val="00197B20"/>
    <w:rsid w:val="00197B8F"/>
    <w:rsid w:val="00197C1C"/>
    <w:rsid w:val="001A2045"/>
    <w:rsid w:val="001A236E"/>
    <w:rsid w:val="001A2E81"/>
    <w:rsid w:val="001A3231"/>
    <w:rsid w:val="001A3297"/>
    <w:rsid w:val="001A5141"/>
    <w:rsid w:val="001A6E90"/>
    <w:rsid w:val="001A79AF"/>
    <w:rsid w:val="001A7D4E"/>
    <w:rsid w:val="001B1C92"/>
    <w:rsid w:val="001B24FE"/>
    <w:rsid w:val="001B2F52"/>
    <w:rsid w:val="001B505E"/>
    <w:rsid w:val="001C136F"/>
    <w:rsid w:val="001C2C1C"/>
    <w:rsid w:val="001C4B38"/>
    <w:rsid w:val="001C53CB"/>
    <w:rsid w:val="001D030B"/>
    <w:rsid w:val="001D06BB"/>
    <w:rsid w:val="001D433E"/>
    <w:rsid w:val="001D4BAE"/>
    <w:rsid w:val="001D7DA1"/>
    <w:rsid w:val="001E01C6"/>
    <w:rsid w:val="001E4C74"/>
    <w:rsid w:val="001E7D70"/>
    <w:rsid w:val="001F117B"/>
    <w:rsid w:val="001F12CB"/>
    <w:rsid w:val="001F15A4"/>
    <w:rsid w:val="001F252B"/>
    <w:rsid w:val="001F26B8"/>
    <w:rsid w:val="001F363F"/>
    <w:rsid w:val="001F6E3E"/>
    <w:rsid w:val="00200870"/>
    <w:rsid w:val="00201AE3"/>
    <w:rsid w:val="002044FB"/>
    <w:rsid w:val="0020553F"/>
    <w:rsid w:val="00207391"/>
    <w:rsid w:val="00210915"/>
    <w:rsid w:val="00210E66"/>
    <w:rsid w:val="0021114C"/>
    <w:rsid w:val="00212259"/>
    <w:rsid w:val="00212B7A"/>
    <w:rsid w:val="002130FF"/>
    <w:rsid w:val="00217B3F"/>
    <w:rsid w:val="00223284"/>
    <w:rsid w:val="00223D8E"/>
    <w:rsid w:val="002247A3"/>
    <w:rsid w:val="0022658A"/>
    <w:rsid w:val="00230579"/>
    <w:rsid w:val="00230F14"/>
    <w:rsid w:val="0023164C"/>
    <w:rsid w:val="00232C33"/>
    <w:rsid w:val="00233581"/>
    <w:rsid w:val="00234298"/>
    <w:rsid w:val="0023472B"/>
    <w:rsid w:val="002349BD"/>
    <w:rsid w:val="00235D6F"/>
    <w:rsid w:val="002365A7"/>
    <w:rsid w:val="00237AA1"/>
    <w:rsid w:val="002425AC"/>
    <w:rsid w:val="00242BB7"/>
    <w:rsid w:val="00243126"/>
    <w:rsid w:val="0024575D"/>
    <w:rsid w:val="0024751C"/>
    <w:rsid w:val="002504B9"/>
    <w:rsid w:val="00250D01"/>
    <w:rsid w:val="00252B47"/>
    <w:rsid w:val="002538C4"/>
    <w:rsid w:val="00253D27"/>
    <w:rsid w:val="002548AA"/>
    <w:rsid w:val="00255215"/>
    <w:rsid w:val="00255C8E"/>
    <w:rsid w:val="00256A52"/>
    <w:rsid w:val="00260061"/>
    <w:rsid w:val="002608D2"/>
    <w:rsid w:val="0026172D"/>
    <w:rsid w:val="00261EF0"/>
    <w:rsid w:val="0026364B"/>
    <w:rsid w:val="002643AC"/>
    <w:rsid w:val="002661A2"/>
    <w:rsid w:val="002665AB"/>
    <w:rsid w:val="00267A3F"/>
    <w:rsid w:val="00270453"/>
    <w:rsid w:val="002714A3"/>
    <w:rsid w:val="002746AE"/>
    <w:rsid w:val="00274F24"/>
    <w:rsid w:val="00275D9F"/>
    <w:rsid w:val="00280C04"/>
    <w:rsid w:val="002815C9"/>
    <w:rsid w:val="00282046"/>
    <w:rsid w:val="00283DA3"/>
    <w:rsid w:val="00284B15"/>
    <w:rsid w:val="00285ACE"/>
    <w:rsid w:val="00290E0D"/>
    <w:rsid w:val="002922E6"/>
    <w:rsid w:val="00292924"/>
    <w:rsid w:val="00294C3B"/>
    <w:rsid w:val="0029621B"/>
    <w:rsid w:val="002A0BC4"/>
    <w:rsid w:val="002A107F"/>
    <w:rsid w:val="002A1101"/>
    <w:rsid w:val="002A53E6"/>
    <w:rsid w:val="002A5558"/>
    <w:rsid w:val="002B1EF4"/>
    <w:rsid w:val="002C0B03"/>
    <w:rsid w:val="002C0D8E"/>
    <w:rsid w:val="002C11B9"/>
    <w:rsid w:val="002C168B"/>
    <w:rsid w:val="002C3EE5"/>
    <w:rsid w:val="002C4124"/>
    <w:rsid w:val="002C47C0"/>
    <w:rsid w:val="002C4A84"/>
    <w:rsid w:val="002C4C5E"/>
    <w:rsid w:val="002C737D"/>
    <w:rsid w:val="002D04AF"/>
    <w:rsid w:val="002D372E"/>
    <w:rsid w:val="002D4FC8"/>
    <w:rsid w:val="002D52F5"/>
    <w:rsid w:val="002D6C85"/>
    <w:rsid w:val="002D6F07"/>
    <w:rsid w:val="002D75F1"/>
    <w:rsid w:val="002E0932"/>
    <w:rsid w:val="002E300F"/>
    <w:rsid w:val="002E3488"/>
    <w:rsid w:val="002E6BE4"/>
    <w:rsid w:val="002E729B"/>
    <w:rsid w:val="002F068B"/>
    <w:rsid w:val="002F178E"/>
    <w:rsid w:val="00302147"/>
    <w:rsid w:val="00302CA7"/>
    <w:rsid w:val="003035A6"/>
    <w:rsid w:val="003077BA"/>
    <w:rsid w:val="00307EC4"/>
    <w:rsid w:val="0031069F"/>
    <w:rsid w:val="0031073D"/>
    <w:rsid w:val="0031280C"/>
    <w:rsid w:val="0031391E"/>
    <w:rsid w:val="003157E7"/>
    <w:rsid w:val="00321672"/>
    <w:rsid w:val="00323CAE"/>
    <w:rsid w:val="003241D2"/>
    <w:rsid w:val="00325FBA"/>
    <w:rsid w:val="003270AA"/>
    <w:rsid w:val="00330256"/>
    <w:rsid w:val="003346DD"/>
    <w:rsid w:val="00335895"/>
    <w:rsid w:val="0033661A"/>
    <w:rsid w:val="00340C49"/>
    <w:rsid w:val="0034372C"/>
    <w:rsid w:val="003479D7"/>
    <w:rsid w:val="00352615"/>
    <w:rsid w:val="0035513A"/>
    <w:rsid w:val="003568E4"/>
    <w:rsid w:val="00360018"/>
    <w:rsid w:val="0036218E"/>
    <w:rsid w:val="00362F1F"/>
    <w:rsid w:val="00366BF3"/>
    <w:rsid w:val="0036767C"/>
    <w:rsid w:val="00370A15"/>
    <w:rsid w:val="00374E80"/>
    <w:rsid w:val="00374EDD"/>
    <w:rsid w:val="0037668D"/>
    <w:rsid w:val="00376DD5"/>
    <w:rsid w:val="00380A1F"/>
    <w:rsid w:val="00385125"/>
    <w:rsid w:val="00386331"/>
    <w:rsid w:val="003864B8"/>
    <w:rsid w:val="00386DF6"/>
    <w:rsid w:val="00393C63"/>
    <w:rsid w:val="003A2376"/>
    <w:rsid w:val="003A3B68"/>
    <w:rsid w:val="003A4E4F"/>
    <w:rsid w:val="003A5B6C"/>
    <w:rsid w:val="003A5FF7"/>
    <w:rsid w:val="003A6FC6"/>
    <w:rsid w:val="003A7F39"/>
    <w:rsid w:val="003B0C70"/>
    <w:rsid w:val="003B19D9"/>
    <w:rsid w:val="003B34BE"/>
    <w:rsid w:val="003B4705"/>
    <w:rsid w:val="003B4D51"/>
    <w:rsid w:val="003B73D4"/>
    <w:rsid w:val="003C35CC"/>
    <w:rsid w:val="003C5606"/>
    <w:rsid w:val="003C64B3"/>
    <w:rsid w:val="003C7A9B"/>
    <w:rsid w:val="003C7FFD"/>
    <w:rsid w:val="003D1B4E"/>
    <w:rsid w:val="003D370F"/>
    <w:rsid w:val="003D3BAF"/>
    <w:rsid w:val="003D3D1D"/>
    <w:rsid w:val="003E0094"/>
    <w:rsid w:val="003E3213"/>
    <w:rsid w:val="003E3732"/>
    <w:rsid w:val="003E3E98"/>
    <w:rsid w:val="003E4395"/>
    <w:rsid w:val="003E5D31"/>
    <w:rsid w:val="003E5DDE"/>
    <w:rsid w:val="003E7F61"/>
    <w:rsid w:val="003F0126"/>
    <w:rsid w:val="003F2203"/>
    <w:rsid w:val="003F5AC4"/>
    <w:rsid w:val="003F5F85"/>
    <w:rsid w:val="003F72BB"/>
    <w:rsid w:val="003F7441"/>
    <w:rsid w:val="00400947"/>
    <w:rsid w:val="00400BDD"/>
    <w:rsid w:val="00402C22"/>
    <w:rsid w:val="004046AD"/>
    <w:rsid w:val="004059E2"/>
    <w:rsid w:val="004061E6"/>
    <w:rsid w:val="00407832"/>
    <w:rsid w:val="0041227D"/>
    <w:rsid w:val="00412678"/>
    <w:rsid w:val="004127DC"/>
    <w:rsid w:val="00415B3D"/>
    <w:rsid w:val="00416647"/>
    <w:rsid w:val="0041760B"/>
    <w:rsid w:val="00420563"/>
    <w:rsid w:val="00420B5C"/>
    <w:rsid w:val="00421EE6"/>
    <w:rsid w:val="00423E6D"/>
    <w:rsid w:val="004265A6"/>
    <w:rsid w:val="00430303"/>
    <w:rsid w:val="00432369"/>
    <w:rsid w:val="00436437"/>
    <w:rsid w:val="0044008B"/>
    <w:rsid w:val="00443ADC"/>
    <w:rsid w:val="0044407D"/>
    <w:rsid w:val="00445799"/>
    <w:rsid w:val="0044680A"/>
    <w:rsid w:val="00451615"/>
    <w:rsid w:val="00452ECF"/>
    <w:rsid w:val="0045397C"/>
    <w:rsid w:val="00453DB6"/>
    <w:rsid w:val="00456142"/>
    <w:rsid w:val="004603E9"/>
    <w:rsid w:val="00461225"/>
    <w:rsid w:val="0046244B"/>
    <w:rsid w:val="00463E84"/>
    <w:rsid w:val="00465BFF"/>
    <w:rsid w:val="00471070"/>
    <w:rsid w:val="004732C2"/>
    <w:rsid w:val="0047687F"/>
    <w:rsid w:val="00477ECE"/>
    <w:rsid w:val="00483B60"/>
    <w:rsid w:val="004844DA"/>
    <w:rsid w:val="00486827"/>
    <w:rsid w:val="00490D8B"/>
    <w:rsid w:val="004910CE"/>
    <w:rsid w:val="00491B45"/>
    <w:rsid w:val="00492740"/>
    <w:rsid w:val="0049287B"/>
    <w:rsid w:val="00494FA7"/>
    <w:rsid w:val="00495B1A"/>
    <w:rsid w:val="00496F6D"/>
    <w:rsid w:val="004A09A6"/>
    <w:rsid w:val="004A3F15"/>
    <w:rsid w:val="004A40FE"/>
    <w:rsid w:val="004B0E6A"/>
    <w:rsid w:val="004B60AD"/>
    <w:rsid w:val="004C1309"/>
    <w:rsid w:val="004C1B99"/>
    <w:rsid w:val="004C20E8"/>
    <w:rsid w:val="004C3A81"/>
    <w:rsid w:val="004C5345"/>
    <w:rsid w:val="004C569E"/>
    <w:rsid w:val="004D29F1"/>
    <w:rsid w:val="004D2F5E"/>
    <w:rsid w:val="004D347E"/>
    <w:rsid w:val="004D44B3"/>
    <w:rsid w:val="004D5928"/>
    <w:rsid w:val="004D6077"/>
    <w:rsid w:val="004D75F2"/>
    <w:rsid w:val="004D795F"/>
    <w:rsid w:val="004D79A2"/>
    <w:rsid w:val="004E2478"/>
    <w:rsid w:val="004E3BF6"/>
    <w:rsid w:val="004F02A0"/>
    <w:rsid w:val="004F3FA5"/>
    <w:rsid w:val="004F508D"/>
    <w:rsid w:val="004F70F7"/>
    <w:rsid w:val="00501C63"/>
    <w:rsid w:val="0050527B"/>
    <w:rsid w:val="0050679E"/>
    <w:rsid w:val="0050762B"/>
    <w:rsid w:val="005076A7"/>
    <w:rsid w:val="005078C9"/>
    <w:rsid w:val="005140D7"/>
    <w:rsid w:val="00517D01"/>
    <w:rsid w:val="005202AC"/>
    <w:rsid w:val="00520AEA"/>
    <w:rsid w:val="0052234D"/>
    <w:rsid w:val="00522CB6"/>
    <w:rsid w:val="005271A7"/>
    <w:rsid w:val="00531FD3"/>
    <w:rsid w:val="005336C8"/>
    <w:rsid w:val="005339D4"/>
    <w:rsid w:val="0053440A"/>
    <w:rsid w:val="00535A99"/>
    <w:rsid w:val="00537F10"/>
    <w:rsid w:val="005404B2"/>
    <w:rsid w:val="00541228"/>
    <w:rsid w:val="0054153F"/>
    <w:rsid w:val="00543BC9"/>
    <w:rsid w:val="005447E5"/>
    <w:rsid w:val="005452D8"/>
    <w:rsid w:val="00545DDF"/>
    <w:rsid w:val="005474AF"/>
    <w:rsid w:val="00551281"/>
    <w:rsid w:val="00553F61"/>
    <w:rsid w:val="00555172"/>
    <w:rsid w:val="00555AC0"/>
    <w:rsid w:val="0055607D"/>
    <w:rsid w:val="0055785D"/>
    <w:rsid w:val="0056022B"/>
    <w:rsid w:val="0056127D"/>
    <w:rsid w:val="00561D2C"/>
    <w:rsid w:val="00561E33"/>
    <w:rsid w:val="005625E3"/>
    <w:rsid w:val="00562F46"/>
    <w:rsid w:val="00564337"/>
    <w:rsid w:val="00564922"/>
    <w:rsid w:val="00566285"/>
    <w:rsid w:val="005663FF"/>
    <w:rsid w:val="00570D7E"/>
    <w:rsid w:val="005714F0"/>
    <w:rsid w:val="00572537"/>
    <w:rsid w:val="00572CDD"/>
    <w:rsid w:val="00573200"/>
    <w:rsid w:val="0057472D"/>
    <w:rsid w:val="00583951"/>
    <w:rsid w:val="005844CF"/>
    <w:rsid w:val="00584C49"/>
    <w:rsid w:val="00585C6E"/>
    <w:rsid w:val="00586240"/>
    <w:rsid w:val="0058715D"/>
    <w:rsid w:val="00587E3B"/>
    <w:rsid w:val="0059089A"/>
    <w:rsid w:val="005941CA"/>
    <w:rsid w:val="0059651D"/>
    <w:rsid w:val="00596B74"/>
    <w:rsid w:val="005A0663"/>
    <w:rsid w:val="005A3EED"/>
    <w:rsid w:val="005A5727"/>
    <w:rsid w:val="005B0A00"/>
    <w:rsid w:val="005B1DE3"/>
    <w:rsid w:val="005B38E4"/>
    <w:rsid w:val="005B47E9"/>
    <w:rsid w:val="005C1511"/>
    <w:rsid w:val="005C24B3"/>
    <w:rsid w:val="005C71B5"/>
    <w:rsid w:val="005C770F"/>
    <w:rsid w:val="005D03CB"/>
    <w:rsid w:val="005D0B4D"/>
    <w:rsid w:val="005D2C27"/>
    <w:rsid w:val="005D3516"/>
    <w:rsid w:val="005D6331"/>
    <w:rsid w:val="005E060D"/>
    <w:rsid w:val="005E1F8C"/>
    <w:rsid w:val="005E39D1"/>
    <w:rsid w:val="005E4676"/>
    <w:rsid w:val="005E4D03"/>
    <w:rsid w:val="005E70B4"/>
    <w:rsid w:val="005F0B3A"/>
    <w:rsid w:val="005F1F69"/>
    <w:rsid w:val="005F24F2"/>
    <w:rsid w:val="005F3AE2"/>
    <w:rsid w:val="00603EAD"/>
    <w:rsid w:val="00604B9D"/>
    <w:rsid w:val="00605F76"/>
    <w:rsid w:val="00614A9D"/>
    <w:rsid w:val="0062061B"/>
    <w:rsid w:val="00620731"/>
    <w:rsid w:val="00620FA9"/>
    <w:rsid w:val="00622C2A"/>
    <w:rsid w:val="00625093"/>
    <w:rsid w:val="006261B3"/>
    <w:rsid w:val="006278F3"/>
    <w:rsid w:val="006317DF"/>
    <w:rsid w:val="0063189F"/>
    <w:rsid w:val="00632EB0"/>
    <w:rsid w:val="006343E9"/>
    <w:rsid w:val="006359A2"/>
    <w:rsid w:val="006415C9"/>
    <w:rsid w:val="006420B9"/>
    <w:rsid w:val="0064492A"/>
    <w:rsid w:val="006474FB"/>
    <w:rsid w:val="0065208E"/>
    <w:rsid w:val="00652153"/>
    <w:rsid w:val="00652AA5"/>
    <w:rsid w:val="006534D4"/>
    <w:rsid w:val="006548D2"/>
    <w:rsid w:val="006558CD"/>
    <w:rsid w:val="00656539"/>
    <w:rsid w:val="0066148A"/>
    <w:rsid w:val="00662A12"/>
    <w:rsid w:val="00663912"/>
    <w:rsid w:val="0066405D"/>
    <w:rsid w:val="00665B90"/>
    <w:rsid w:val="00670F56"/>
    <w:rsid w:val="006732D3"/>
    <w:rsid w:val="006740D1"/>
    <w:rsid w:val="00677783"/>
    <w:rsid w:val="00680C3C"/>
    <w:rsid w:val="006832FA"/>
    <w:rsid w:val="00684114"/>
    <w:rsid w:val="006848C7"/>
    <w:rsid w:val="006861A2"/>
    <w:rsid w:val="00686F9F"/>
    <w:rsid w:val="006921BD"/>
    <w:rsid w:val="006930CD"/>
    <w:rsid w:val="0069363D"/>
    <w:rsid w:val="00694A7E"/>
    <w:rsid w:val="00695EAF"/>
    <w:rsid w:val="006A0266"/>
    <w:rsid w:val="006A1AE5"/>
    <w:rsid w:val="006A1CFA"/>
    <w:rsid w:val="006A3701"/>
    <w:rsid w:val="006A696E"/>
    <w:rsid w:val="006A6DE0"/>
    <w:rsid w:val="006A7A08"/>
    <w:rsid w:val="006B1FD5"/>
    <w:rsid w:val="006B67E4"/>
    <w:rsid w:val="006C33C9"/>
    <w:rsid w:val="006C59A9"/>
    <w:rsid w:val="006C66D0"/>
    <w:rsid w:val="006D1317"/>
    <w:rsid w:val="006D33CC"/>
    <w:rsid w:val="006D50EA"/>
    <w:rsid w:val="006D70A1"/>
    <w:rsid w:val="006D76C0"/>
    <w:rsid w:val="006E1093"/>
    <w:rsid w:val="006E6EA6"/>
    <w:rsid w:val="006E7D42"/>
    <w:rsid w:val="006F05F2"/>
    <w:rsid w:val="006F3CBE"/>
    <w:rsid w:val="006F3FC6"/>
    <w:rsid w:val="006F423B"/>
    <w:rsid w:val="006F51C5"/>
    <w:rsid w:val="006F6320"/>
    <w:rsid w:val="006F644E"/>
    <w:rsid w:val="006F6596"/>
    <w:rsid w:val="007036E1"/>
    <w:rsid w:val="007048D1"/>
    <w:rsid w:val="00707574"/>
    <w:rsid w:val="00707BF1"/>
    <w:rsid w:val="00713397"/>
    <w:rsid w:val="007136D6"/>
    <w:rsid w:val="00713747"/>
    <w:rsid w:val="007137E6"/>
    <w:rsid w:val="00713A41"/>
    <w:rsid w:val="007160A3"/>
    <w:rsid w:val="007229F3"/>
    <w:rsid w:val="0072346A"/>
    <w:rsid w:val="00723802"/>
    <w:rsid w:val="00724728"/>
    <w:rsid w:val="00726F6A"/>
    <w:rsid w:val="00727728"/>
    <w:rsid w:val="0073180C"/>
    <w:rsid w:val="00731CB6"/>
    <w:rsid w:val="007343D3"/>
    <w:rsid w:val="007351F2"/>
    <w:rsid w:val="00735601"/>
    <w:rsid w:val="00735B5A"/>
    <w:rsid w:val="0073617F"/>
    <w:rsid w:val="00736970"/>
    <w:rsid w:val="007374BF"/>
    <w:rsid w:val="00740740"/>
    <w:rsid w:val="0074198F"/>
    <w:rsid w:val="00745DA0"/>
    <w:rsid w:val="0074650B"/>
    <w:rsid w:val="00746865"/>
    <w:rsid w:val="00751E9F"/>
    <w:rsid w:val="007532FE"/>
    <w:rsid w:val="0075470D"/>
    <w:rsid w:val="00754FBC"/>
    <w:rsid w:val="0075536D"/>
    <w:rsid w:val="0075729B"/>
    <w:rsid w:val="00757927"/>
    <w:rsid w:val="00762643"/>
    <w:rsid w:val="00762663"/>
    <w:rsid w:val="00766162"/>
    <w:rsid w:val="00770FA8"/>
    <w:rsid w:val="007712AD"/>
    <w:rsid w:val="0077288E"/>
    <w:rsid w:val="007845C4"/>
    <w:rsid w:val="00785C23"/>
    <w:rsid w:val="0079360E"/>
    <w:rsid w:val="007938BE"/>
    <w:rsid w:val="00793D48"/>
    <w:rsid w:val="007A04C0"/>
    <w:rsid w:val="007A18C4"/>
    <w:rsid w:val="007A4851"/>
    <w:rsid w:val="007A7CCA"/>
    <w:rsid w:val="007B32A5"/>
    <w:rsid w:val="007B394F"/>
    <w:rsid w:val="007B4905"/>
    <w:rsid w:val="007B5033"/>
    <w:rsid w:val="007B7B6C"/>
    <w:rsid w:val="007C2090"/>
    <w:rsid w:val="007C2758"/>
    <w:rsid w:val="007D056C"/>
    <w:rsid w:val="007D3370"/>
    <w:rsid w:val="007D3530"/>
    <w:rsid w:val="007D36AD"/>
    <w:rsid w:val="007D5D20"/>
    <w:rsid w:val="007D69C4"/>
    <w:rsid w:val="007D6B43"/>
    <w:rsid w:val="007D744E"/>
    <w:rsid w:val="007E0255"/>
    <w:rsid w:val="007E205A"/>
    <w:rsid w:val="007E3CD7"/>
    <w:rsid w:val="007E5637"/>
    <w:rsid w:val="007E77C8"/>
    <w:rsid w:val="007F1E57"/>
    <w:rsid w:val="007F3E77"/>
    <w:rsid w:val="007F5ACE"/>
    <w:rsid w:val="007F7393"/>
    <w:rsid w:val="00800FAB"/>
    <w:rsid w:val="008045DE"/>
    <w:rsid w:val="00805571"/>
    <w:rsid w:val="008061F4"/>
    <w:rsid w:val="00807354"/>
    <w:rsid w:val="00807995"/>
    <w:rsid w:val="00810227"/>
    <w:rsid w:val="00810AB2"/>
    <w:rsid w:val="008134CE"/>
    <w:rsid w:val="008136FC"/>
    <w:rsid w:val="00820F3C"/>
    <w:rsid w:val="00821BCC"/>
    <w:rsid w:val="00821FE0"/>
    <w:rsid w:val="00825DAC"/>
    <w:rsid w:val="008265E6"/>
    <w:rsid w:val="008271BD"/>
    <w:rsid w:val="00830453"/>
    <w:rsid w:val="008316BE"/>
    <w:rsid w:val="00831AB9"/>
    <w:rsid w:val="00831FEF"/>
    <w:rsid w:val="00832167"/>
    <w:rsid w:val="008339CC"/>
    <w:rsid w:val="00834E70"/>
    <w:rsid w:val="0083614D"/>
    <w:rsid w:val="008376F0"/>
    <w:rsid w:val="0084035C"/>
    <w:rsid w:val="0084058B"/>
    <w:rsid w:val="008444CF"/>
    <w:rsid w:val="00844AD5"/>
    <w:rsid w:val="00850D11"/>
    <w:rsid w:val="00851367"/>
    <w:rsid w:val="00852C5E"/>
    <w:rsid w:val="008539AF"/>
    <w:rsid w:val="008545BD"/>
    <w:rsid w:val="00854CF2"/>
    <w:rsid w:val="0086027A"/>
    <w:rsid w:val="008633D1"/>
    <w:rsid w:val="008646FA"/>
    <w:rsid w:val="00864AF4"/>
    <w:rsid w:val="00866628"/>
    <w:rsid w:val="00866937"/>
    <w:rsid w:val="00866D63"/>
    <w:rsid w:val="00870DE4"/>
    <w:rsid w:val="0087315C"/>
    <w:rsid w:val="0087364D"/>
    <w:rsid w:val="008739ED"/>
    <w:rsid w:val="00875C95"/>
    <w:rsid w:val="00876775"/>
    <w:rsid w:val="00877AFC"/>
    <w:rsid w:val="008802CA"/>
    <w:rsid w:val="00884026"/>
    <w:rsid w:val="008852B6"/>
    <w:rsid w:val="008854D8"/>
    <w:rsid w:val="00885715"/>
    <w:rsid w:val="00886F3A"/>
    <w:rsid w:val="00887517"/>
    <w:rsid w:val="00887F66"/>
    <w:rsid w:val="008917DB"/>
    <w:rsid w:val="00892DAD"/>
    <w:rsid w:val="00893433"/>
    <w:rsid w:val="008A0488"/>
    <w:rsid w:val="008A2C4D"/>
    <w:rsid w:val="008B5565"/>
    <w:rsid w:val="008B5A56"/>
    <w:rsid w:val="008B622E"/>
    <w:rsid w:val="008C4223"/>
    <w:rsid w:val="008C49DD"/>
    <w:rsid w:val="008C54D9"/>
    <w:rsid w:val="008D05B2"/>
    <w:rsid w:val="008D26CD"/>
    <w:rsid w:val="008D3C1B"/>
    <w:rsid w:val="008D4CD9"/>
    <w:rsid w:val="008D583A"/>
    <w:rsid w:val="008D5C56"/>
    <w:rsid w:val="008D7B3C"/>
    <w:rsid w:val="008D7F03"/>
    <w:rsid w:val="008E3059"/>
    <w:rsid w:val="008E56E7"/>
    <w:rsid w:val="008F058A"/>
    <w:rsid w:val="008F2322"/>
    <w:rsid w:val="008F5BB5"/>
    <w:rsid w:val="008F7DB8"/>
    <w:rsid w:val="008F7FE3"/>
    <w:rsid w:val="00900095"/>
    <w:rsid w:val="009036A5"/>
    <w:rsid w:val="00903D1F"/>
    <w:rsid w:val="00903F03"/>
    <w:rsid w:val="00904185"/>
    <w:rsid w:val="00907875"/>
    <w:rsid w:val="0091062F"/>
    <w:rsid w:val="0091356D"/>
    <w:rsid w:val="00915361"/>
    <w:rsid w:val="0091649C"/>
    <w:rsid w:val="00916860"/>
    <w:rsid w:val="00921412"/>
    <w:rsid w:val="0092194A"/>
    <w:rsid w:val="00921DC8"/>
    <w:rsid w:val="00922743"/>
    <w:rsid w:val="00923D11"/>
    <w:rsid w:val="0092461C"/>
    <w:rsid w:val="00924F1D"/>
    <w:rsid w:val="00927D4A"/>
    <w:rsid w:val="00931DC6"/>
    <w:rsid w:val="00932CBE"/>
    <w:rsid w:val="009344CC"/>
    <w:rsid w:val="00934D1A"/>
    <w:rsid w:val="0093573E"/>
    <w:rsid w:val="00936281"/>
    <w:rsid w:val="00940F2F"/>
    <w:rsid w:val="00941986"/>
    <w:rsid w:val="00941B3C"/>
    <w:rsid w:val="00943319"/>
    <w:rsid w:val="00944B24"/>
    <w:rsid w:val="00945726"/>
    <w:rsid w:val="00946DA5"/>
    <w:rsid w:val="009501C7"/>
    <w:rsid w:val="00951612"/>
    <w:rsid w:val="00952452"/>
    <w:rsid w:val="0095323A"/>
    <w:rsid w:val="00953AE3"/>
    <w:rsid w:val="00957906"/>
    <w:rsid w:val="00963B38"/>
    <w:rsid w:val="009651E8"/>
    <w:rsid w:val="00966AD7"/>
    <w:rsid w:val="00967259"/>
    <w:rsid w:val="00967685"/>
    <w:rsid w:val="00967A50"/>
    <w:rsid w:val="00972D86"/>
    <w:rsid w:val="009738EE"/>
    <w:rsid w:val="00973E7A"/>
    <w:rsid w:val="00973E9C"/>
    <w:rsid w:val="009757F7"/>
    <w:rsid w:val="009773E3"/>
    <w:rsid w:val="0097759D"/>
    <w:rsid w:val="009804FB"/>
    <w:rsid w:val="00980A93"/>
    <w:rsid w:val="009811BB"/>
    <w:rsid w:val="0098284A"/>
    <w:rsid w:val="0098591F"/>
    <w:rsid w:val="00986089"/>
    <w:rsid w:val="009872C7"/>
    <w:rsid w:val="0098760F"/>
    <w:rsid w:val="00990322"/>
    <w:rsid w:val="0099148D"/>
    <w:rsid w:val="00991FD4"/>
    <w:rsid w:val="00992AD6"/>
    <w:rsid w:val="00992D16"/>
    <w:rsid w:val="009939BD"/>
    <w:rsid w:val="00994930"/>
    <w:rsid w:val="00997782"/>
    <w:rsid w:val="009A29FD"/>
    <w:rsid w:val="009A2C5F"/>
    <w:rsid w:val="009A30E9"/>
    <w:rsid w:val="009A54B2"/>
    <w:rsid w:val="009B5EE2"/>
    <w:rsid w:val="009B6B51"/>
    <w:rsid w:val="009C06A7"/>
    <w:rsid w:val="009C107D"/>
    <w:rsid w:val="009C13C1"/>
    <w:rsid w:val="009C3D86"/>
    <w:rsid w:val="009C55AE"/>
    <w:rsid w:val="009C6145"/>
    <w:rsid w:val="009C7EDF"/>
    <w:rsid w:val="009D0CA0"/>
    <w:rsid w:val="009D0F6E"/>
    <w:rsid w:val="009D1972"/>
    <w:rsid w:val="009D54EC"/>
    <w:rsid w:val="009D6025"/>
    <w:rsid w:val="009D7BBE"/>
    <w:rsid w:val="009E00E9"/>
    <w:rsid w:val="009E3263"/>
    <w:rsid w:val="009F09C9"/>
    <w:rsid w:val="009F5235"/>
    <w:rsid w:val="00A01D16"/>
    <w:rsid w:val="00A04070"/>
    <w:rsid w:val="00A0453B"/>
    <w:rsid w:val="00A04E4A"/>
    <w:rsid w:val="00A05B08"/>
    <w:rsid w:val="00A05D84"/>
    <w:rsid w:val="00A10FAC"/>
    <w:rsid w:val="00A12A3E"/>
    <w:rsid w:val="00A13F0C"/>
    <w:rsid w:val="00A14240"/>
    <w:rsid w:val="00A14662"/>
    <w:rsid w:val="00A14841"/>
    <w:rsid w:val="00A166F8"/>
    <w:rsid w:val="00A208D7"/>
    <w:rsid w:val="00A21480"/>
    <w:rsid w:val="00A26F23"/>
    <w:rsid w:val="00A30B12"/>
    <w:rsid w:val="00A31F43"/>
    <w:rsid w:val="00A320A5"/>
    <w:rsid w:val="00A36BDF"/>
    <w:rsid w:val="00A40295"/>
    <w:rsid w:val="00A41755"/>
    <w:rsid w:val="00A428DC"/>
    <w:rsid w:val="00A4358E"/>
    <w:rsid w:val="00A44291"/>
    <w:rsid w:val="00A460AE"/>
    <w:rsid w:val="00A50ACF"/>
    <w:rsid w:val="00A517B0"/>
    <w:rsid w:val="00A54F10"/>
    <w:rsid w:val="00A562DE"/>
    <w:rsid w:val="00A606B6"/>
    <w:rsid w:val="00A6243C"/>
    <w:rsid w:val="00A62F42"/>
    <w:rsid w:val="00A647E4"/>
    <w:rsid w:val="00A6645C"/>
    <w:rsid w:val="00A66544"/>
    <w:rsid w:val="00A7209F"/>
    <w:rsid w:val="00A7332B"/>
    <w:rsid w:val="00A74411"/>
    <w:rsid w:val="00A80AE7"/>
    <w:rsid w:val="00A80C0F"/>
    <w:rsid w:val="00A80E2A"/>
    <w:rsid w:val="00A82CC5"/>
    <w:rsid w:val="00A82F95"/>
    <w:rsid w:val="00A84FE4"/>
    <w:rsid w:val="00A863B4"/>
    <w:rsid w:val="00A87E8B"/>
    <w:rsid w:val="00A90C04"/>
    <w:rsid w:val="00A95D7C"/>
    <w:rsid w:val="00A96102"/>
    <w:rsid w:val="00A97048"/>
    <w:rsid w:val="00AA1709"/>
    <w:rsid w:val="00AA266B"/>
    <w:rsid w:val="00AA31BD"/>
    <w:rsid w:val="00AA4D19"/>
    <w:rsid w:val="00AA7717"/>
    <w:rsid w:val="00AB11A4"/>
    <w:rsid w:val="00AB1795"/>
    <w:rsid w:val="00AB5FAE"/>
    <w:rsid w:val="00AC00B3"/>
    <w:rsid w:val="00AC06CE"/>
    <w:rsid w:val="00AC0DD4"/>
    <w:rsid w:val="00AC2DBB"/>
    <w:rsid w:val="00AC3638"/>
    <w:rsid w:val="00AC542F"/>
    <w:rsid w:val="00AC59AE"/>
    <w:rsid w:val="00AC5A9E"/>
    <w:rsid w:val="00AD0424"/>
    <w:rsid w:val="00AD068B"/>
    <w:rsid w:val="00AD29E9"/>
    <w:rsid w:val="00AD2E5B"/>
    <w:rsid w:val="00AD4A16"/>
    <w:rsid w:val="00AD6946"/>
    <w:rsid w:val="00AD6FE5"/>
    <w:rsid w:val="00AD789D"/>
    <w:rsid w:val="00AE074C"/>
    <w:rsid w:val="00AE0D42"/>
    <w:rsid w:val="00AE2AAF"/>
    <w:rsid w:val="00AE2D03"/>
    <w:rsid w:val="00AE3802"/>
    <w:rsid w:val="00AE6AE7"/>
    <w:rsid w:val="00AE6FAC"/>
    <w:rsid w:val="00AF1198"/>
    <w:rsid w:val="00AF21FC"/>
    <w:rsid w:val="00AF4892"/>
    <w:rsid w:val="00AF5298"/>
    <w:rsid w:val="00AF634C"/>
    <w:rsid w:val="00AF64AB"/>
    <w:rsid w:val="00AF6506"/>
    <w:rsid w:val="00AF6975"/>
    <w:rsid w:val="00AF6D1D"/>
    <w:rsid w:val="00B008B4"/>
    <w:rsid w:val="00B01352"/>
    <w:rsid w:val="00B01C97"/>
    <w:rsid w:val="00B02D48"/>
    <w:rsid w:val="00B07FC6"/>
    <w:rsid w:val="00B11D15"/>
    <w:rsid w:val="00B11F04"/>
    <w:rsid w:val="00B154E0"/>
    <w:rsid w:val="00B16992"/>
    <w:rsid w:val="00B1773A"/>
    <w:rsid w:val="00B177CE"/>
    <w:rsid w:val="00B20374"/>
    <w:rsid w:val="00B21295"/>
    <w:rsid w:val="00B233DB"/>
    <w:rsid w:val="00B23F13"/>
    <w:rsid w:val="00B24289"/>
    <w:rsid w:val="00B24611"/>
    <w:rsid w:val="00B24F67"/>
    <w:rsid w:val="00B27B7B"/>
    <w:rsid w:val="00B27C44"/>
    <w:rsid w:val="00B34981"/>
    <w:rsid w:val="00B35576"/>
    <w:rsid w:val="00B37C28"/>
    <w:rsid w:val="00B405B1"/>
    <w:rsid w:val="00B43F66"/>
    <w:rsid w:val="00B46EBF"/>
    <w:rsid w:val="00B50507"/>
    <w:rsid w:val="00B51DA4"/>
    <w:rsid w:val="00B539FC"/>
    <w:rsid w:val="00B5630A"/>
    <w:rsid w:val="00B63A47"/>
    <w:rsid w:val="00B644D6"/>
    <w:rsid w:val="00B66EE2"/>
    <w:rsid w:val="00B7070E"/>
    <w:rsid w:val="00B71C58"/>
    <w:rsid w:val="00B722FD"/>
    <w:rsid w:val="00B728E7"/>
    <w:rsid w:val="00B736A8"/>
    <w:rsid w:val="00B73B92"/>
    <w:rsid w:val="00B7616D"/>
    <w:rsid w:val="00B80E49"/>
    <w:rsid w:val="00B82A09"/>
    <w:rsid w:val="00B85A38"/>
    <w:rsid w:val="00B867D7"/>
    <w:rsid w:val="00B87001"/>
    <w:rsid w:val="00B90728"/>
    <w:rsid w:val="00B93099"/>
    <w:rsid w:val="00B94DD3"/>
    <w:rsid w:val="00B96293"/>
    <w:rsid w:val="00B974D0"/>
    <w:rsid w:val="00BA4271"/>
    <w:rsid w:val="00BA592A"/>
    <w:rsid w:val="00BB0D7B"/>
    <w:rsid w:val="00BB1A18"/>
    <w:rsid w:val="00BB42C4"/>
    <w:rsid w:val="00BC2BF8"/>
    <w:rsid w:val="00BC397C"/>
    <w:rsid w:val="00BC6C20"/>
    <w:rsid w:val="00BD2006"/>
    <w:rsid w:val="00BD2B2F"/>
    <w:rsid w:val="00BD4682"/>
    <w:rsid w:val="00BD7B5B"/>
    <w:rsid w:val="00BE0076"/>
    <w:rsid w:val="00BE1124"/>
    <w:rsid w:val="00BE35AF"/>
    <w:rsid w:val="00BE37B7"/>
    <w:rsid w:val="00BE613A"/>
    <w:rsid w:val="00BE6D3E"/>
    <w:rsid w:val="00BF1365"/>
    <w:rsid w:val="00BF3A80"/>
    <w:rsid w:val="00BF5E53"/>
    <w:rsid w:val="00C057D1"/>
    <w:rsid w:val="00C0692D"/>
    <w:rsid w:val="00C12667"/>
    <w:rsid w:val="00C13726"/>
    <w:rsid w:val="00C1423D"/>
    <w:rsid w:val="00C1546D"/>
    <w:rsid w:val="00C226EC"/>
    <w:rsid w:val="00C2401E"/>
    <w:rsid w:val="00C251FA"/>
    <w:rsid w:val="00C257AA"/>
    <w:rsid w:val="00C32B36"/>
    <w:rsid w:val="00C35F54"/>
    <w:rsid w:val="00C40739"/>
    <w:rsid w:val="00C41DE2"/>
    <w:rsid w:val="00C46166"/>
    <w:rsid w:val="00C4659C"/>
    <w:rsid w:val="00C47D82"/>
    <w:rsid w:val="00C47F4B"/>
    <w:rsid w:val="00C50D09"/>
    <w:rsid w:val="00C527FC"/>
    <w:rsid w:val="00C52B41"/>
    <w:rsid w:val="00C57FC1"/>
    <w:rsid w:val="00C605E4"/>
    <w:rsid w:val="00C61628"/>
    <w:rsid w:val="00C617BC"/>
    <w:rsid w:val="00C6344A"/>
    <w:rsid w:val="00C64D62"/>
    <w:rsid w:val="00C658F0"/>
    <w:rsid w:val="00C65F0B"/>
    <w:rsid w:val="00C672C6"/>
    <w:rsid w:val="00C7038B"/>
    <w:rsid w:val="00C7279B"/>
    <w:rsid w:val="00C73E83"/>
    <w:rsid w:val="00C74363"/>
    <w:rsid w:val="00C7640C"/>
    <w:rsid w:val="00C81F7C"/>
    <w:rsid w:val="00C83215"/>
    <w:rsid w:val="00C83CA6"/>
    <w:rsid w:val="00C83F42"/>
    <w:rsid w:val="00C84AA3"/>
    <w:rsid w:val="00C86252"/>
    <w:rsid w:val="00C86483"/>
    <w:rsid w:val="00C878B5"/>
    <w:rsid w:val="00C879EB"/>
    <w:rsid w:val="00C9104B"/>
    <w:rsid w:val="00C924E7"/>
    <w:rsid w:val="00C96C25"/>
    <w:rsid w:val="00CA108F"/>
    <w:rsid w:val="00CA2B8B"/>
    <w:rsid w:val="00CA34C9"/>
    <w:rsid w:val="00CA4D2E"/>
    <w:rsid w:val="00CA5C9C"/>
    <w:rsid w:val="00CB05F5"/>
    <w:rsid w:val="00CB5F14"/>
    <w:rsid w:val="00CC30F2"/>
    <w:rsid w:val="00CC3F6E"/>
    <w:rsid w:val="00CC545D"/>
    <w:rsid w:val="00CC7BA8"/>
    <w:rsid w:val="00CD1D7D"/>
    <w:rsid w:val="00CD2B23"/>
    <w:rsid w:val="00CD3DB8"/>
    <w:rsid w:val="00CD4D7B"/>
    <w:rsid w:val="00CD6C4D"/>
    <w:rsid w:val="00CE25DA"/>
    <w:rsid w:val="00CE3B66"/>
    <w:rsid w:val="00CE3B8E"/>
    <w:rsid w:val="00CE467B"/>
    <w:rsid w:val="00CE65C7"/>
    <w:rsid w:val="00CF049F"/>
    <w:rsid w:val="00CF1B44"/>
    <w:rsid w:val="00CF26D7"/>
    <w:rsid w:val="00CF2F39"/>
    <w:rsid w:val="00CF3B21"/>
    <w:rsid w:val="00CF4CA6"/>
    <w:rsid w:val="00CF6B03"/>
    <w:rsid w:val="00D036C9"/>
    <w:rsid w:val="00D07682"/>
    <w:rsid w:val="00D13BA8"/>
    <w:rsid w:val="00D14BB7"/>
    <w:rsid w:val="00D213EA"/>
    <w:rsid w:val="00D2329C"/>
    <w:rsid w:val="00D232F6"/>
    <w:rsid w:val="00D23C95"/>
    <w:rsid w:val="00D2426E"/>
    <w:rsid w:val="00D24DE3"/>
    <w:rsid w:val="00D256AD"/>
    <w:rsid w:val="00D269E9"/>
    <w:rsid w:val="00D3063D"/>
    <w:rsid w:val="00D3170E"/>
    <w:rsid w:val="00D326CE"/>
    <w:rsid w:val="00D333D0"/>
    <w:rsid w:val="00D34BB0"/>
    <w:rsid w:val="00D35F28"/>
    <w:rsid w:val="00D41C31"/>
    <w:rsid w:val="00D43FB1"/>
    <w:rsid w:val="00D451A8"/>
    <w:rsid w:val="00D459DB"/>
    <w:rsid w:val="00D45BCC"/>
    <w:rsid w:val="00D464EB"/>
    <w:rsid w:val="00D46B1A"/>
    <w:rsid w:val="00D47F77"/>
    <w:rsid w:val="00D540E6"/>
    <w:rsid w:val="00D546F3"/>
    <w:rsid w:val="00D55A7C"/>
    <w:rsid w:val="00D578D9"/>
    <w:rsid w:val="00D614C1"/>
    <w:rsid w:val="00D61892"/>
    <w:rsid w:val="00D61937"/>
    <w:rsid w:val="00D63E0A"/>
    <w:rsid w:val="00D65249"/>
    <w:rsid w:val="00D70E20"/>
    <w:rsid w:val="00D713F4"/>
    <w:rsid w:val="00D71FA4"/>
    <w:rsid w:val="00D82F66"/>
    <w:rsid w:val="00D83684"/>
    <w:rsid w:val="00D83E64"/>
    <w:rsid w:val="00D84040"/>
    <w:rsid w:val="00D84786"/>
    <w:rsid w:val="00D87118"/>
    <w:rsid w:val="00D9104D"/>
    <w:rsid w:val="00D910F1"/>
    <w:rsid w:val="00D92292"/>
    <w:rsid w:val="00D92E06"/>
    <w:rsid w:val="00D95E31"/>
    <w:rsid w:val="00DA2058"/>
    <w:rsid w:val="00DA3D85"/>
    <w:rsid w:val="00DA45BC"/>
    <w:rsid w:val="00DA4D45"/>
    <w:rsid w:val="00DA59AB"/>
    <w:rsid w:val="00DB63E8"/>
    <w:rsid w:val="00DC0275"/>
    <w:rsid w:val="00DC3A22"/>
    <w:rsid w:val="00DC47C8"/>
    <w:rsid w:val="00DC5E3B"/>
    <w:rsid w:val="00DC6A07"/>
    <w:rsid w:val="00DC7A89"/>
    <w:rsid w:val="00DD2386"/>
    <w:rsid w:val="00DD23B2"/>
    <w:rsid w:val="00DD3DA1"/>
    <w:rsid w:val="00DD60F7"/>
    <w:rsid w:val="00DE3C42"/>
    <w:rsid w:val="00DE559F"/>
    <w:rsid w:val="00DE78FA"/>
    <w:rsid w:val="00DF0159"/>
    <w:rsid w:val="00DF063D"/>
    <w:rsid w:val="00DF2716"/>
    <w:rsid w:val="00DF7504"/>
    <w:rsid w:val="00E00C83"/>
    <w:rsid w:val="00E02825"/>
    <w:rsid w:val="00E033B3"/>
    <w:rsid w:val="00E03459"/>
    <w:rsid w:val="00E0371D"/>
    <w:rsid w:val="00E05349"/>
    <w:rsid w:val="00E06515"/>
    <w:rsid w:val="00E0774C"/>
    <w:rsid w:val="00E106DC"/>
    <w:rsid w:val="00E10901"/>
    <w:rsid w:val="00E118C0"/>
    <w:rsid w:val="00E127EA"/>
    <w:rsid w:val="00E1786A"/>
    <w:rsid w:val="00E2080A"/>
    <w:rsid w:val="00E22C11"/>
    <w:rsid w:val="00E22E7C"/>
    <w:rsid w:val="00E234C5"/>
    <w:rsid w:val="00E23575"/>
    <w:rsid w:val="00E23E93"/>
    <w:rsid w:val="00E27B9D"/>
    <w:rsid w:val="00E30070"/>
    <w:rsid w:val="00E30A7D"/>
    <w:rsid w:val="00E31A22"/>
    <w:rsid w:val="00E329A0"/>
    <w:rsid w:val="00E350CF"/>
    <w:rsid w:val="00E35AC9"/>
    <w:rsid w:val="00E43C57"/>
    <w:rsid w:val="00E448C1"/>
    <w:rsid w:val="00E50B6A"/>
    <w:rsid w:val="00E53009"/>
    <w:rsid w:val="00E53183"/>
    <w:rsid w:val="00E559A0"/>
    <w:rsid w:val="00E57E29"/>
    <w:rsid w:val="00E61076"/>
    <w:rsid w:val="00E620F6"/>
    <w:rsid w:val="00E64B02"/>
    <w:rsid w:val="00E663F3"/>
    <w:rsid w:val="00E674C4"/>
    <w:rsid w:val="00E67B48"/>
    <w:rsid w:val="00E72341"/>
    <w:rsid w:val="00E72E84"/>
    <w:rsid w:val="00E73B91"/>
    <w:rsid w:val="00E74678"/>
    <w:rsid w:val="00E74B64"/>
    <w:rsid w:val="00E77C85"/>
    <w:rsid w:val="00E83302"/>
    <w:rsid w:val="00E87C6B"/>
    <w:rsid w:val="00E91040"/>
    <w:rsid w:val="00E9122C"/>
    <w:rsid w:val="00E951A0"/>
    <w:rsid w:val="00EA090B"/>
    <w:rsid w:val="00EA20BD"/>
    <w:rsid w:val="00EA23EB"/>
    <w:rsid w:val="00EA5069"/>
    <w:rsid w:val="00EA5E1D"/>
    <w:rsid w:val="00EA6410"/>
    <w:rsid w:val="00EA6B3C"/>
    <w:rsid w:val="00EA7598"/>
    <w:rsid w:val="00EB01CA"/>
    <w:rsid w:val="00EB1AAF"/>
    <w:rsid w:val="00EB3715"/>
    <w:rsid w:val="00EB691C"/>
    <w:rsid w:val="00EB7673"/>
    <w:rsid w:val="00EC29AE"/>
    <w:rsid w:val="00EC2D0F"/>
    <w:rsid w:val="00EC4F11"/>
    <w:rsid w:val="00EC52A7"/>
    <w:rsid w:val="00ED4451"/>
    <w:rsid w:val="00ED49C8"/>
    <w:rsid w:val="00EE123B"/>
    <w:rsid w:val="00EE310F"/>
    <w:rsid w:val="00EE6113"/>
    <w:rsid w:val="00EE7878"/>
    <w:rsid w:val="00EF18FA"/>
    <w:rsid w:val="00EF20DE"/>
    <w:rsid w:val="00EF33C9"/>
    <w:rsid w:val="00EF549E"/>
    <w:rsid w:val="00EF7514"/>
    <w:rsid w:val="00F01C37"/>
    <w:rsid w:val="00F02124"/>
    <w:rsid w:val="00F056AD"/>
    <w:rsid w:val="00F057CC"/>
    <w:rsid w:val="00F14CD7"/>
    <w:rsid w:val="00F17196"/>
    <w:rsid w:val="00F17343"/>
    <w:rsid w:val="00F17D34"/>
    <w:rsid w:val="00F23BFA"/>
    <w:rsid w:val="00F24177"/>
    <w:rsid w:val="00F24AB5"/>
    <w:rsid w:val="00F32CA1"/>
    <w:rsid w:val="00F346DF"/>
    <w:rsid w:val="00F34CE7"/>
    <w:rsid w:val="00F353F3"/>
    <w:rsid w:val="00F35D42"/>
    <w:rsid w:val="00F3724C"/>
    <w:rsid w:val="00F379B6"/>
    <w:rsid w:val="00F4030B"/>
    <w:rsid w:val="00F417AB"/>
    <w:rsid w:val="00F4216E"/>
    <w:rsid w:val="00F4260B"/>
    <w:rsid w:val="00F4422A"/>
    <w:rsid w:val="00F44E96"/>
    <w:rsid w:val="00F46AE7"/>
    <w:rsid w:val="00F477FD"/>
    <w:rsid w:val="00F50221"/>
    <w:rsid w:val="00F50BB8"/>
    <w:rsid w:val="00F5133C"/>
    <w:rsid w:val="00F537E0"/>
    <w:rsid w:val="00F54C56"/>
    <w:rsid w:val="00F55D27"/>
    <w:rsid w:val="00F56CF7"/>
    <w:rsid w:val="00F60252"/>
    <w:rsid w:val="00F60EB8"/>
    <w:rsid w:val="00F612F9"/>
    <w:rsid w:val="00F6247D"/>
    <w:rsid w:val="00F653FD"/>
    <w:rsid w:val="00F660AD"/>
    <w:rsid w:val="00F669ED"/>
    <w:rsid w:val="00F677B0"/>
    <w:rsid w:val="00F7048C"/>
    <w:rsid w:val="00F722ED"/>
    <w:rsid w:val="00F72726"/>
    <w:rsid w:val="00F73412"/>
    <w:rsid w:val="00F73BF3"/>
    <w:rsid w:val="00F753EB"/>
    <w:rsid w:val="00F80C9A"/>
    <w:rsid w:val="00F811B1"/>
    <w:rsid w:val="00F818B9"/>
    <w:rsid w:val="00F820B3"/>
    <w:rsid w:val="00F82311"/>
    <w:rsid w:val="00F82479"/>
    <w:rsid w:val="00F86A11"/>
    <w:rsid w:val="00F91B9D"/>
    <w:rsid w:val="00F92B8A"/>
    <w:rsid w:val="00F93419"/>
    <w:rsid w:val="00F93EFA"/>
    <w:rsid w:val="00F94623"/>
    <w:rsid w:val="00F97A47"/>
    <w:rsid w:val="00FA18D2"/>
    <w:rsid w:val="00FA1EB5"/>
    <w:rsid w:val="00FA22F4"/>
    <w:rsid w:val="00FA3D71"/>
    <w:rsid w:val="00FA3F50"/>
    <w:rsid w:val="00FA50D9"/>
    <w:rsid w:val="00FA52D4"/>
    <w:rsid w:val="00FA5D64"/>
    <w:rsid w:val="00FA65D2"/>
    <w:rsid w:val="00FB2121"/>
    <w:rsid w:val="00FB21BB"/>
    <w:rsid w:val="00FB4C34"/>
    <w:rsid w:val="00FB4D53"/>
    <w:rsid w:val="00FB4DE7"/>
    <w:rsid w:val="00FB6035"/>
    <w:rsid w:val="00FC1082"/>
    <w:rsid w:val="00FC16E6"/>
    <w:rsid w:val="00FC3786"/>
    <w:rsid w:val="00FC56A0"/>
    <w:rsid w:val="00FC5BF9"/>
    <w:rsid w:val="00FC64E8"/>
    <w:rsid w:val="00FC7603"/>
    <w:rsid w:val="00FD0437"/>
    <w:rsid w:val="00FD1833"/>
    <w:rsid w:val="00FD36E9"/>
    <w:rsid w:val="00FD5803"/>
    <w:rsid w:val="00FD67BC"/>
    <w:rsid w:val="00FD6AD8"/>
    <w:rsid w:val="00FD74B9"/>
    <w:rsid w:val="00FE3A92"/>
    <w:rsid w:val="00FE54A6"/>
    <w:rsid w:val="00FF3C31"/>
    <w:rsid w:val="00FF55E9"/>
    <w:rsid w:val="00FF7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6D8F"/>
  <w15:chartTrackingRefBased/>
  <w15:docId w15:val="{83084016-3047-4029-AC63-665D7042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8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C85"/>
    <w:pPr>
      <w:jc w:val="center"/>
    </w:pPr>
    <w:rPr>
      <w:b/>
    </w:rPr>
  </w:style>
  <w:style w:type="character" w:customStyle="1" w:styleId="TitleChar">
    <w:name w:val="Title Char"/>
    <w:link w:val="Title"/>
    <w:rsid w:val="00E77C85"/>
    <w:rPr>
      <w:rFonts w:eastAsia="Times New Roman" w:cs="Times New Roman"/>
      <w:b/>
      <w:sz w:val="24"/>
      <w:szCs w:val="24"/>
    </w:rPr>
  </w:style>
  <w:style w:type="paragraph" w:customStyle="1" w:styleId="naisc">
    <w:name w:val="naisc"/>
    <w:basedOn w:val="Normal"/>
    <w:rsid w:val="00E77C85"/>
    <w:pPr>
      <w:spacing w:before="100" w:beforeAutospacing="1" w:after="100" w:afterAutospacing="1"/>
    </w:pPr>
    <w:rPr>
      <w:lang w:eastAsia="lv-LV"/>
    </w:rPr>
  </w:style>
  <w:style w:type="paragraph" w:customStyle="1" w:styleId="naiskr">
    <w:name w:val="naiskr"/>
    <w:basedOn w:val="Normal"/>
    <w:rsid w:val="00E77C85"/>
    <w:pPr>
      <w:spacing w:before="100" w:beforeAutospacing="1" w:after="100" w:afterAutospacing="1"/>
    </w:pPr>
    <w:rPr>
      <w:lang w:eastAsia="lv-LV"/>
    </w:rPr>
  </w:style>
  <w:style w:type="paragraph" w:customStyle="1" w:styleId="naislab">
    <w:name w:val="naislab"/>
    <w:basedOn w:val="Normal"/>
    <w:rsid w:val="00E77C85"/>
    <w:pPr>
      <w:spacing w:before="100" w:beforeAutospacing="1" w:after="100" w:afterAutospacing="1"/>
    </w:pPr>
    <w:rPr>
      <w:lang w:eastAsia="lv-LV"/>
    </w:rPr>
  </w:style>
  <w:style w:type="paragraph" w:customStyle="1" w:styleId="naisf">
    <w:name w:val="naisf"/>
    <w:basedOn w:val="Normal"/>
    <w:rsid w:val="00E77C85"/>
    <w:pPr>
      <w:spacing w:before="100" w:beforeAutospacing="1" w:after="100" w:afterAutospacing="1"/>
    </w:pPr>
    <w:rPr>
      <w:lang w:eastAsia="lv-LV"/>
    </w:rPr>
  </w:style>
  <w:style w:type="paragraph" w:customStyle="1" w:styleId="naisnod">
    <w:name w:val="naisnod"/>
    <w:basedOn w:val="Normal"/>
    <w:rsid w:val="00E77C85"/>
    <w:pPr>
      <w:spacing w:before="100" w:beforeAutospacing="1" w:after="100" w:afterAutospacing="1"/>
    </w:pPr>
    <w:rPr>
      <w:lang w:eastAsia="lv-LV"/>
    </w:rPr>
  </w:style>
  <w:style w:type="table" w:styleId="TableGrid">
    <w:name w:val="Table Grid"/>
    <w:basedOn w:val="TableNormal"/>
    <w:uiPriority w:val="59"/>
    <w:rsid w:val="00E77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60B"/>
    <w:pPr>
      <w:ind w:left="720"/>
      <w:contextualSpacing/>
    </w:pPr>
  </w:style>
  <w:style w:type="paragraph" w:styleId="Footer">
    <w:name w:val="footer"/>
    <w:basedOn w:val="Normal"/>
    <w:link w:val="FooterChar"/>
    <w:uiPriority w:val="99"/>
    <w:rsid w:val="0041760B"/>
    <w:pPr>
      <w:tabs>
        <w:tab w:val="center" w:pos="4153"/>
        <w:tab w:val="right" w:pos="8306"/>
      </w:tabs>
    </w:pPr>
    <w:rPr>
      <w:rFonts w:ascii="RimTimes" w:hAnsi="RimTimes"/>
      <w:snapToGrid w:val="0"/>
      <w:sz w:val="28"/>
      <w:szCs w:val="20"/>
    </w:rPr>
  </w:style>
  <w:style w:type="character" w:customStyle="1" w:styleId="FooterChar">
    <w:name w:val="Footer Char"/>
    <w:link w:val="Footer"/>
    <w:uiPriority w:val="99"/>
    <w:rsid w:val="0041760B"/>
    <w:rPr>
      <w:rFonts w:ascii="RimTimes" w:eastAsia="Times New Roman" w:hAnsi="RimTimes" w:cs="Times New Roman"/>
      <w:snapToGrid w:val="0"/>
      <w:szCs w:val="20"/>
    </w:rPr>
  </w:style>
  <w:style w:type="character" w:styleId="Hyperlink">
    <w:name w:val="Hyperlink"/>
    <w:rsid w:val="00D3063D"/>
    <w:rPr>
      <w:color w:val="0000FF"/>
      <w:u w:val="single"/>
    </w:rPr>
  </w:style>
  <w:style w:type="paragraph" w:styleId="Header">
    <w:name w:val="header"/>
    <w:basedOn w:val="Normal"/>
    <w:link w:val="HeaderChar"/>
    <w:uiPriority w:val="99"/>
    <w:unhideWhenUsed/>
    <w:rsid w:val="00F17343"/>
    <w:pPr>
      <w:tabs>
        <w:tab w:val="center" w:pos="4153"/>
        <w:tab w:val="right" w:pos="8306"/>
      </w:tabs>
    </w:pPr>
  </w:style>
  <w:style w:type="character" w:customStyle="1" w:styleId="HeaderChar">
    <w:name w:val="Header Char"/>
    <w:link w:val="Header"/>
    <w:uiPriority w:val="99"/>
    <w:rsid w:val="00F17343"/>
    <w:rPr>
      <w:rFonts w:eastAsia="Times New Roman"/>
      <w:sz w:val="24"/>
      <w:szCs w:val="24"/>
      <w:lang w:eastAsia="en-US"/>
    </w:rPr>
  </w:style>
  <w:style w:type="paragraph" w:styleId="BalloonText">
    <w:name w:val="Balloon Text"/>
    <w:basedOn w:val="Normal"/>
    <w:link w:val="BalloonTextChar"/>
    <w:uiPriority w:val="99"/>
    <w:semiHidden/>
    <w:unhideWhenUsed/>
    <w:rsid w:val="005452D8"/>
    <w:rPr>
      <w:rFonts w:ascii="Tahoma" w:hAnsi="Tahoma" w:cs="Tahoma"/>
      <w:sz w:val="16"/>
      <w:szCs w:val="16"/>
    </w:rPr>
  </w:style>
  <w:style w:type="character" w:customStyle="1" w:styleId="BalloonTextChar">
    <w:name w:val="Balloon Text Char"/>
    <w:link w:val="BalloonText"/>
    <w:uiPriority w:val="99"/>
    <w:semiHidden/>
    <w:rsid w:val="005452D8"/>
    <w:rPr>
      <w:rFonts w:ascii="Tahoma" w:eastAsia="Times New Roman" w:hAnsi="Tahoma" w:cs="Tahoma"/>
      <w:sz w:val="16"/>
      <w:szCs w:val="16"/>
      <w:lang w:eastAsia="en-US"/>
    </w:rPr>
  </w:style>
  <w:style w:type="paragraph" w:styleId="NormalWeb">
    <w:name w:val="Normal (Web)"/>
    <w:basedOn w:val="Normal"/>
    <w:uiPriority w:val="99"/>
    <w:unhideWhenUsed/>
    <w:rsid w:val="00CF2F39"/>
    <w:pPr>
      <w:spacing w:before="75" w:after="75"/>
      <w:ind w:firstLine="375"/>
      <w:jc w:val="both"/>
    </w:pPr>
    <w:rPr>
      <w:rFonts w:eastAsia="Calibri"/>
      <w:lang w:val="en-US"/>
    </w:rPr>
  </w:style>
  <w:style w:type="character" w:styleId="CommentReference">
    <w:name w:val="annotation reference"/>
    <w:uiPriority w:val="99"/>
    <w:semiHidden/>
    <w:unhideWhenUsed/>
    <w:rsid w:val="008A2C4D"/>
    <w:rPr>
      <w:sz w:val="16"/>
      <w:szCs w:val="16"/>
    </w:rPr>
  </w:style>
  <w:style w:type="paragraph" w:styleId="CommentText">
    <w:name w:val="annotation text"/>
    <w:basedOn w:val="Normal"/>
    <w:link w:val="CommentTextChar"/>
    <w:uiPriority w:val="99"/>
    <w:semiHidden/>
    <w:unhideWhenUsed/>
    <w:rsid w:val="008A2C4D"/>
    <w:rPr>
      <w:sz w:val="20"/>
      <w:szCs w:val="20"/>
    </w:rPr>
  </w:style>
  <w:style w:type="character" w:customStyle="1" w:styleId="CommentTextChar">
    <w:name w:val="Comment Text Char"/>
    <w:link w:val="CommentText"/>
    <w:uiPriority w:val="99"/>
    <w:semiHidden/>
    <w:rsid w:val="008A2C4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A2C4D"/>
    <w:rPr>
      <w:b/>
      <w:bCs/>
    </w:rPr>
  </w:style>
  <w:style w:type="character" w:customStyle="1" w:styleId="CommentSubjectChar">
    <w:name w:val="Comment Subject Char"/>
    <w:link w:val="CommentSubject"/>
    <w:uiPriority w:val="99"/>
    <w:semiHidden/>
    <w:rsid w:val="008A2C4D"/>
    <w:rPr>
      <w:rFonts w:eastAsia="Times New Roman"/>
      <w:b/>
      <w:bCs/>
      <w:lang w:eastAsia="en-US"/>
    </w:rPr>
  </w:style>
  <w:style w:type="paragraph" w:styleId="BodyTextIndent">
    <w:name w:val="Body Text Indent"/>
    <w:basedOn w:val="Normal"/>
    <w:link w:val="BodyTextIndentChar"/>
    <w:rsid w:val="008D4CD9"/>
    <w:pPr>
      <w:spacing w:before="240"/>
      <w:ind w:firstLine="720"/>
    </w:pPr>
    <w:rPr>
      <w:sz w:val="28"/>
      <w:szCs w:val="20"/>
    </w:rPr>
  </w:style>
  <w:style w:type="character" w:customStyle="1" w:styleId="BodyTextIndentChar">
    <w:name w:val="Body Text Indent Char"/>
    <w:link w:val="BodyTextIndent"/>
    <w:rsid w:val="008D4CD9"/>
    <w:rPr>
      <w:rFonts w:eastAsia="Times New Roman"/>
      <w:sz w:val="28"/>
      <w:lang w:eastAsia="en-US"/>
    </w:rPr>
  </w:style>
  <w:style w:type="paragraph" w:styleId="BodyText2">
    <w:name w:val="Body Text 2"/>
    <w:basedOn w:val="Normal"/>
    <w:link w:val="BodyText2Char"/>
    <w:rsid w:val="008D4CD9"/>
    <w:pPr>
      <w:jc w:val="both"/>
    </w:pPr>
    <w:rPr>
      <w:sz w:val="28"/>
      <w:szCs w:val="20"/>
    </w:rPr>
  </w:style>
  <w:style w:type="character" w:customStyle="1" w:styleId="BodyText2Char">
    <w:name w:val="Body Text 2 Char"/>
    <w:link w:val="BodyText2"/>
    <w:rsid w:val="008D4CD9"/>
    <w:rPr>
      <w:rFonts w:eastAsia="Times New Roman"/>
      <w:sz w:val="28"/>
      <w:lang w:eastAsia="en-US"/>
    </w:rPr>
  </w:style>
  <w:style w:type="paragraph" w:styleId="BodyText">
    <w:name w:val="Body Text"/>
    <w:basedOn w:val="Normal"/>
    <w:link w:val="BodyTextChar"/>
    <w:uiPriority w:val="99"/>
    <w:semiHidden/>
    <w:unhideWhenUsed/>
    <w:rsid w:val="005C71B5"/>
    <w:pPr>
      <w:spacing w:after="120"/>
    </w:pPr>
  </w:style>
  <w:style w:type="character" w:customStyle="1" w:styleId="BodyTextChar">
    <w:name w:val="Body Text Char"/>
    <w:link w:val="BodyText"/>
    <w:uiPriority w:val="99"/>
    <w:semiHidden/>
    <w:rsid w:val="005C71B5"/>
    <w:rPr>
      <w:rFonts w:eastAsia="Times New Roman"/>
      <w:sz w:val="24"/>
      <w:szCs w:val="24"/>
      <w:lang w:eastAsia="en-US"/>
    </w:rPr>
  </w:style>
  <w:style w:type="paragraph" w:customStyle="1" w:styleId="tvhtml">
    <w:name w:val="tv_html"/>
    <w:basedOn w:val="Normal"/>
    <w:rsid w:val="00D92292"/>
    <w:pPr>
      <w:spacing w:before="100" w:beforeAutospacing="1" w:after="100" w:afterAutospacing="1"/>
    </w:pPr>
    <w:rPr>
      <w:rFonts w:ascii="Verdana" w:hAnsi="Verdana"/>
      <w:sz w:val="18"/>
      <w:szCs w:val="18"/>
      <w:lang w:eastAsia="lv-LV"/>
    </w:rPr>
  </w:style>
  <w:style w:type="paragraph" w:customStyle="1" w:styleId="Default">
    <w:name w:val="Default"/>
    <w:basedOn w:val="Normal"/>
    <w:rsid w:val="00024A11"/>
    <w:pPr>
      <w:autoSpaceDE w:val="0"/>
      <w:autoSpaceDN w:val="0"/>
    </w:pPr>
    <w:rPr>
      <w:rFonts w:eastAsia="Calibri"/>
      <w:color w:val="000000"/>
    </w:rPr>
  </w:style>
  <w:style w:type="character" w:customStyle="1" w:styleId="FootnoteTextChar">
    <w:name w:val="Footnote Text Char"/>
    <w:link w:val="FootnoteText"/>
    <w:rsid w:val="00622C2A"/>
    <w:rPr>
      <w:rFonts w:eastAsia="Times New Roman"/>
      <w:lang w:eastAsia="lv-LV"/>
    </w:rPr>
  </w:style>
  <w:style w:type="paragraph" w:styleId="FootnoteText">
    <w:name w:val="footnote text"/>
    <w:basedOn w:val="Normal"/>
    <w:link w:val="FootnoteTextChar"/>
    <w:rsid w:val="00622C2A"/>
    <w:rPr>
      <w:sz w:val="20"/>
      <w:szCs w:val="20"/>
      <w:lang w:eastAsia="lv-LV"/>
    </w:rPr>
  </w:style>
  <w:style w:type="character" w:customStyle="1" w:styleId="FootnoteTextChar1">
    <w:name w:val="Footnote Text Char1"/>
    <w:uiPriority w:val="99"/>
    <w:semiHidden/>
    <w:rsid w:val="00622C2A"/>
    <w:rPr>
      <w:rFonts w:eastAsia="Times New Roman"/>
      <w:lang w:eastAsia="en-US"/>
    </w:rPr>
  </w:style>
  <w:style w:type="character" w:styleId="FootnoteReference">
    <w:name w:val="footnote reference"/>
    <w:uiPriority w:val="99"/>
    <w:semiHidden/>
    <w:unhideWhenUsed/>
    <w:rsid w:val="00736970"/>
    <w:rPr>
      <w:vertAlign w:val="superscript"/>
    </w:rPr>
  </w:style>
  <w:style w:type="table" w:styleId="TableGridLight">
    <w:name w:val="Grid Table Light"/>
    <w:basedOn w:val="TableNormal"/>
    <w:uiPriority w:val="40"/>
    <w:rsid w:val="0080557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7D69C4"/>
    <w:rPr>
      <w:rFonts w:eastAsia="Times New Roman"/>
      <w:sz w:val="24"/>
      <w:szCs w:val="24"/>
      <w:lang w:eastAsia="en-US"/>
    </w:rPr>
  </w:style>
  <w:style w:type="paragraph" w:styleId="Revision">
    <w:name w:val="Revision"/>
    <w:hidden/>
    <w:uiPriority w:val="99"/>
    <w:semiHidden/>
    <w:rsid w:val="0076266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197">
      <w:bodyDiv w:val="1"/>
      <w:marLeft w:val="0"/>
      <w:marRight w:val="0"/>
      <w:marTop w:val="0"/>
      <w:marBottom w:val="0"/>
      <w:divBdr>
        <w:top w:val="none" w:sz="0" w:space="0" w:color="auto"/>
        <w:left w:val="none" w:sz="0" w:space="0" w:color="auto"/>
        <w:bottom w:val="none" w:sz="0" w:space="0" w:color="auto"/>
        <w:right w:val="none" w:sz="0" w:space="0" w:color="auto"/>
      </w:divBdr>
      <w:divsChild>
        <w:div w:id="816654242">
          <w:marLeft w:val="0"/>
          <w:marRight w:val="0"/>
          <w:marTop w:val="0"/>
          <w:marBottom w:val="0"/>
          <w:divBdr>
            <w:top w:val="none" w:sz="0" w:space="0" w:color="auto"/>
            <w:left w:val="none" w:sz="0" w:space="0" w:color="auto"/>
            <w:bottom w:val="none" w:sz="0" w:space="0" w:color="auto"/>
            <w:right w:val="none" w:sz="0" w:space="0" w:color="auto"/>
          </w:divBdr>
          <w:divsChild>
            <w:div w:id="1941521494">
              <w:marLeft w:val="0"/>
              <w:marRight w:val="0"/>
              <w:marTop w:val="0"/>
              <w:marBottom w:val="0"/>
              <w:divBdr>
                <w:top w:val="none" w:sz="0" w:space="0" w:color="auto"/>
                <w:left w:val="none" w:sz="0" w:space="0" w:color="auto"/>
                <w:bottom w:val="none" w:sz="0" w:space="0" w:color="auto"/>
                <w:right w:val="none" w:sz="0" w:space="0" w:color="auto"/>
              </w:divBdr>
              <w:divsChild>
                <w:div w:id="2023508246">
                  <w:marLeft w:val="0"/>
                  <w:marRight w:val="0"/>
                  <w:marTop w:val="0"/>
                  <w:marBottom w:val="0"/>
                  <w:divBdr>
                    <w:top w:val="none" w:sz="0" w:space="0" w:color="auto"/>
                    <w:left w:val="none" w:sz="0" w:space="0" w:color="auto"/>
                    <w:bottom w:val="none" w:sz="0" w:space="0" w:color="auto"/>
                    <w:right w:val="none" w:sz="0" w:space="0" w:color="auto"/>
                  </w:divBdr>
                  <w:divsChild>
                    <w:div w:id="2072850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20622741">
      <w:bodyDiv w:val="1"/>
      <w:marLeft w:val="0"/>
      <w:marRight w:val="0"/>
      <w:marTop w:val="0"/>
      <w:marBottom w:val="0"/>
      <w:divBdr>
        <w:top w:val="none" w:sz="0" w:space="0" w:color="auto"/>
        <w:left w:val="none" w:sz="0" w:space="0" w:color="auto"/>
        <w:bottom w:val="none" w:sz="0" w:space="0" w:color="auto"/>
        <w:right w:val="none" w:sz="0" w:space="0" w:color="auto"/>
      </w:divBdr>
    </w:div>
    <w:div w:id="495149399">
      <w:bodyDiv w:val="1"/>
      <w:marLeft w:val="0"/>
      <w:marRight w:val="0"/>
      <w:marTop w:val="0"/>
      <w:marBottom w:val="0"/>
      <w:divBdr>
        <w:top w:val="none" w:sz="0" w:space="0" w:color="auto"/>
        <w:left w:val="none" w:sz="0" w:space="0" w:color="auto"/>
        <w:bottom w:val="none" w:sz="0" w:space="0" w:color="auto"/>
        <w:right w:val="none" w:sz="0" w:space="0" w:color="auto"/>
      </w:divBdr>
      <w:divsChild>
        <w:div w:id="1919904272">
          <w:marLeft w:val="0"/>
          <w:marRight w:val="0"/>
          <w:marTop w:val="0"/>
          <w:marBottom w:val="0"/>
          <w:divBdr>
            <w:top w:val="none" w:sz="0" w:space="0" w:color="auto"/>
            <w:left w:val="none" w:sz="0" w:space="0" w:color="auto"/>
            <w:bottom w:val="none" w:sz="0" w:space="0" w:color="auto"/>
            <w:right w:val="none" w:sz="0" w:space="0" w:color="auto"/>
          </w:divBdr>
          <w:divsChild>
            <w:div w:id="495877325">
              <w:marLeft w:val="0"/>
              <w:marRight w:val="0"/>
              <w:marTop w:val="0"/>
              <w:marBottom w:val="0"/>
              <w:divBdr>
                <w:top w:val="none" w:sz="0" w:space="0" w:color="auto"/>
                <w:left w:val="none" w:sz="0" w:space="0" w:color="auto"/>
                <w:bottom w:val="none" w:sz="0" w:space="0" w:color="auto"/>
                <w:right w:val="none" w:sz="0" w:space="0" w:color="auto"/>
              </w:divBdr>
              <w:divsChild>
                <w:div w:id="1545216186">
                  <w:marLeft w:val="0"/>
                  <w:marRight w:val="0"/>
                  <w:marTop w:val="0"/>
                  <w:marBottom w:val="0"/>
                  <w:divBdr>
                    <w:top w:val="none" w:sz="0" w:space="0" w:color="auto"/>
                    <w:left w:val="none" w:sz="0" w:space="0" w:color="auto"/>
                    <w:bottom w:val="none" w:sz="0" w:space="0" w:color="auto"/>
                    <w:right w:val="none" w:sz="0" w:space="0" w:color="auto"/>
                  </w:divBdr>
                  <w:divsChild>
                    <w:div w:id="819887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29479263">
      <w:bodyDiv w:val="1"/>
      <w:marLeft w:val="0"/>
      <w:marRight w:val="0"/>
      <w:marTop w:val="0"/>
      <w:marBottom w:val="0"/>
      <w:divBdr>
        <w:top w:val="none" w:sz="0" w:space="0" w:color="auto"/>
        <w:left w:val="none" w:sz="0" w:space="0" w:color="auto"/>
        <w:bottom w:val="none" w:sz="0" w:space="0" w:color="auto"/>
        <w:right w:val="none" w:sz="0" w:space="0" w:color="auto"/>
      </w:divBdr>
      <w:divsChild>
        <w:div w:id="977763187">
          <w:marLeft w:val="0"/>
          <w:marRight w:val="0"/>
          <w:marTop w:val="0"/>
          <w:marBottom w:val="0"/>
          <w:divBdr>
            <w:top w:val="none" w:sz="0" w:space="0" w:color="auto"/>
            <w:left w:val="none" w:sz="0" w:space="0" w:color="auto"/>
            <w:bottom w:val="none" w:sz="0" w:space="0" w:color="auto"/>
            <w:right w:val="none" w:sz="0" w:space="0" w:color="auto"/>
          </w:divBdr>
          <w:divsChild>
            <w:div w:id="1803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0423">
      <w:bodyDiv w:val="1"/>
      <w:marLeft w:val="0"/>
      <w:marRight w:val="0"/>
      <w:marTop w:val="0"/>
      <w:marBottom w:val="0"/>
      <w:divBdr>
        <w:top w:val="none" w:sz="0" w:space="0" w:color="auto"/>
        <w:left w:val="none" w:sz="0" w:space="0" w:color="auto"/>
        <w:bottom w:val="none" w:sz="0" w:space="0" w:color="auto"/>
        <w:right w:val="none" w:sz="0" w:space="0" w:color="auto"/>
      </w:divBdr>
    </w:div>
    <w:div w:id="1474130353">
      <w:bodyDiv w:val="1"/>
      <w:marLeft w:val="0"/>
      <w:marRight w:val="0"/>
      <w:marTop w:val="0"/>
      <w:marBottom w:val="0"/>
      <w:divBdr>
        <w:top w:val="none" w:sz="0" w:space="0" w:color="auto"/>
        <w:left w:val="none" w:sz="0" w:space="0" w:color="auto"/>
        <w:bottom w:val="none" w:sz="0" w:space="0" w:color="auto"/>
        <w:right w:val="none" w:sz="0" w:space="0" w:color="auto"/>
      </w:divBdr>
    </w:div>
    <w:div w:id="1672640874">
      <w:bodyDiv w:val="1"/>
      <w:marLeft w:val="0"/>
      <w:marRight w:val="0"/>
      <w:marTop w:val="0"/>
      <w:marBottom w:val="0"/>
      <w:divBdr>
        <w:top w:val="none" w:sz="0" w:space="0" w:color="auto"/>
        <w:left w:val="none" w:sz="0" w:space="0" w:color="auto"/>
        <w:bottom w:val="none" w:sz="0" w:space="0" w:color="auto"/>
        <w:right w:val="none" w:sz="0" w:space="0" w:color="auto"/>
      </w:divBdr>
      <w:divsChild>
        <w:div w:id="834613764">
          <w:marLeft w:val="0"/>
          <w:marRight w:val="0"/>
          <w:marTop w:val="0"/>
          <w:marBottom w:val="0"/>
          <w:divBdr>
            <w:top w:val="none" w:sz="0" w:space="0" w:color="auto"/>
            <w:left w:val="none" w:sz="0" w:space="0" w:color="auto"/>
            <w:bottom w:val="none" w:sz="0" w:space="0" w:color="auto"/>
            <w:right w:val="none" w:sz="0" w:space="0" w:color="auto"/>
          </w:divBdr>
          <w:divsChild>
            <w:div w:id="1072660240">
              <w:marLeft w:val="0"/>
              <w:marRight w:val="0"/>
              <w:marTop w:val="0"/>
              <w:marBottom w:val="0"/>
              <w:divBdr>
                <w:top w:val="none" w:sz="0" w:space="0" w:color="auto"/>
                <w:left w:val="none" w:sz="0" w:space="0" w:color="auto"/>
                <w:bottom w:val="none" w:sz="0" w:space="0" w:color="auto"/>
                <w:right w:val="none" w:sz="0" w:space="0" w:color="auto"/>
              </w:divBdr>
              <w:divsChild>
                <w:div w:id="1189686754">
                  <w:marLeft w:val="0"/>
                  <w:marRight w:val="0"/>
                  <w:marTop w:val="0"/>
                  <w:marBottom w:val="0"/>
                  <w:divBdr>
                    <w:top w:val="none" w:sz="0" w:space="0" w:color="auto"/>
                    <w:left w:val="none" w:sz="0" w:space="0" w:color="auto"/>
                    <w:bottom w:val="none" w:sz="0" w:space="0" w:color="auto"/>
                    <w:right w:val="none" w:sz="0" w:space="0" w:color="auto"/>
                  </w:divBdr>
                  <w:divsChild>
                    <w:div w:id="625744926">
                      <w:marLeft w:val="0"/>
                      <w:marRight w:val="0"/>
                      <w:marTop w:val="0"/>
                      <w:marBottom w:val="0"/>
                      <w:divBdr>
                        <w:top w:val="none" w:sz="0" w:space="0" w:color="auto"/>
                        <w:left w:val="none" w:sz="0" w:space="0" w:color="auto"/>
                        <w:bottom w:val="none" w:sz="0" w:space="0" w:color="auto"/>
                        <w:right w:val="none" w:sz="0" w:space="0" w:color="auto"/>
                      </w:divBdr>
                      <w:divsChild>
                        <w:div w:id="472138359">
                          <w:marLeft w:val="0"/>
                          <w:marRight w:val="0"/>
                          <w:marTop w:val="0"/>
                          <w:marBottom w:val="0"/>
                          <w:divBdr>
                            <w:top w:val="none" w:sz="0" w:space="0" w:color="auto"/>
                            <w:left w:val="none" w:sz="0" w:space="0" w:color="auto"/>
                            <w:bottom w:val="none" w:sz="0" w:space="0" w:color="auto"/>
                            <w:right w:val="none" w:sz="0" w:space="0" w:color="auto"/>
                          </w:divBdr>
                          <w:divsChild>
                            <w:div w:id="19976095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71892">
      <w:bodyDiv w:val="1"/>
      <w:marLeft w:val="0"/>
      <w:marRight w:val="0"/>
      <w:marTop w:val="0"/>
      <w:marBottom w:val="0"/>
      <w:divBdr>
        <w:top w:val="none" w:sz="0" w:space="0" w:color="auto"/>
        <w:left w:val="none" w:sz="0" w:space="0" w:color="auto"/>
        <w:bottom w:val="none" w:sz="0" w:space="0" w:color="auto"/>
        <w:right w:val="none" w:sz="0" w:space="0" w:color="auto"/>
      </w:divBdr>
    </w:div>
    <w:div w:id="1773933342">
      <w:bodyDiv w:val="1"/>
      <w:marLeft w:val="0"/>
      <w:marRight w:val="0"/>
      <w:marTop w:val="0"/>
      <w:marBottom w:val="0"/>
      <w:divBdr>
        <w:top w:val="none" w:sz="0" w:space="0" w:color="auto"/>
        <w:left w:val="none" w:sz="0" w:space="0" w:color="auto"/>
        <w:bottom w:val="none" w:sz="0" w:space="0" w:color="auto"/>
        <w:right w:val="none" w:sz="0" w:space="0" w:color="auto"/>
      </w:divBdr>
      <w:divsChild>
        <w:div w:id="1678842197">
          <w:marLeft w:val="0"/>
          <w:marRight w:val="0"/>
          <w:marTop w:val="0"/>
          <w:marBottom w:val="0"/>
          <w:divBdr>
            <w:top w:val="none" w:sz="0" w:space="0" w:color="auto"/>
            <w:left w:val="none" w:sz="0" w:space="0" w:color="auto"/>
            <w:bottom w:val="none" w:sz="0" w:space="0" w:color="auto"/>
            <w:right w:val="none" w:sz="0" w:space="0" w:color="auto"/>
          </w:divBdr>
          <w:divsChild>
            <w:div w:id="246773064">
              <w:marLeft w:val="0"/>
              <w:marRight w:val="0"/>
              <w:marTop w:val="0"/>
              <w:marBottom w:val="0"/>
              <w:divBdr>
                <w:top w:val="none" w:sz="0" w:space="0" w:color="auto"/>
                <w:left w:val="none" w:sz="0" w:space="0" w:color="auto"/>
                <w:bottom w:val="none" w:sz="0" w:space="0" w:color="auto"/>
                <w:right w:val="none" w:sz="0" w:space="0" w:color="auto"/>
              </w:divBdr>
              <w:divsChild>
                <w:div w:id="1039597688">
                  <w:marLeft w:val="0"/>
                  <w:marRight w:val="0"/>
                  <w:marTop w:val="0"/>
                  <w:marBottom w:val="0"/>
                  <w:divBdr>
                    <w:top w:val="none" w:sz="0" w:space="0" w:color="auto"/>
                    <w:left w:val="none" w:sz="0" w:space="0" w:color="auto"/>
                    <w:bottom w:val="none" w:sz="0" w:space="0" w:color="auto"/>
                    <w:right w:val="none" w:sz="0" w:space="0" w:color="auto"/>
                  </w:divBdr>
                  <w:divsChild>
                    <w:div w:id="2044280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7480882">
      <w:bodyDiv w:val="1"/>
      <w:marLeft w:val="0"/>
      <w:marRight w:val="0"/>
      <w:marTop w:val="0"/>
      <w:marBottom w:val="0"/>
      <w:divBdr>
        <w:top w:val="none" w:sz="0" w:space="0" w:color="auto"/>
        <w:left w:val="none" w:sz="0" w:space="0" w:color="auto"/>
        <w:bottom w:val="none" w:sz="0" w:space="0" w:color="auto"/>
        <w:right w:val="none" w:sz="0" w:space="0" w:color="auto"/>
      </w:divBdr>
    </w:div>
    <w:div w:id="1949966773">
      <w:bodyDiv w:val="1"/>
      <w:marLeft w:val="0"/>
      <w:marRight w:val="0"/>
      <w:marTop w:val="0"/>
      <w:marBottom w:val="0"/>
      <w:divBdr>
        <w:top w:val="none" w:sz="0" w:space="0" w:color="auto"/>
        <w:left w:val="none" w:sz="0" w:space="0" w:color="auto"/>
        <w:bottom w:val="none" w:sz="0" w:space="0" w:color="auto"/>
        <w:right w:val="none" w:sz="0" w:space="0" w:color="auto"/>
      </w:divBdr>
    </w:div>
    <w:div w:id="2003506827">
      <w:bodyDiv w:val="1"/>
      <w:marLeft w:val="0"/>
      <w:marRight w:val="0"/>
      <w:marTop w:val="0"/>
      <w:marBottom w:val="0"/>
      <w:divBdr>
        <w:top w:val="none" w:sz="0" w:space="0" w:color="auto"/>
        <w:left w:val="none" w:sz="0" w:space="0" w:color="auto"/>
        <w:bottom w:val="none" w:sz="0" w:space="0" w:color="auto"/>
        <w:right w:val="none" w:sz="0" w:space="0" w:color="auto"/>
      </w:divBdr>
    </w:div>
    <w:div w:id="2078084801">
      <w:bodyDiv w:val="1"/>
      <w:marLeft w:val="0"/>
      <w:marRight w:val="0"/>
      <w:marTop w:val="0"/>
      <w:marBottom w:val="0"/>
      <w:divBdr>
        <w:top w:val="none" w:sz="0" w:space="0" w:color="auto"/>
        <w:left w:val="none" w:sz="0" w:space="0" w:color="auto"/>
        <w:bottom w:val="none" w:sz="0" w:space="0" w:color="auto"/>
        <w:right w:val="none" w:sz="0" w:space="0" w:color="auto"/>
      </w:divBdr>
      <w:divsChild>
        <w:div w:id="391853246">
          <w:marLeft w:val="0"/>
          <w:marRight w:val="0"/>
          <w:marTop w:val="0"/>
          <w:marBottom w:val="0"/>
          <w:divBdr>
            <w:top w:val="none" w:sz="0" w:space="0" w:color="auto"/>
            <w:left w:val="none" w:sz="0" w:space="0" w:color="auto"/>
            <w:bottom w:val="none" w:sz="0" w:space="0" w:color="auto"/>
            <w:right w:val="none" w:sz="0" w:space="0" w:color="auto"/>
          </w:divBdr>
          <w:divsChild>
            <w:div w:id="482821035">
              <w:marLeft w:val="0"/>
              <w:marRight w:val="0"/>
              <w:marTop w:val="0"/>
              <w:marBottom w:val="0"/>
              <w:divBdr>
                <w:top w:val="none" w:sz="0" w:space="0" w:color="auto"/>
                <w:left w:val="none" w:sz="0" w:space="0" w:color="auto"/>
                <w:bottom w:val="none" w:sz="0" w:space="0" w:color="auto"/>
                <w:right w:val="none" w:sz="0" w:space="0" w:color="auto"/>
              </w:divBdr>
              <w:divsChild>
                <w:div w:id="228686874">
                  <w:marLeft w:val="0"/>
                  <w:marRight w:val="0"/>
                  <w:marTop w:val="0"/>
                  <w:marBottom w:val="0"/>
                  <w:divBdr>
                    <w:top w:val="none" w:sz="0" w:space="0" w:color="auto"/>
                    <w:left w:val="none" w:sz="0" w:space="0" w:color="auto"/>
                    <w:bottom w:val="none" w:sz="0" w:space="0" w:color="auto"/>
                    <w:right w:val="none" w:sz="0" w:space="0" w:color="auto"/>
                  </w:divBdr>
                  <w:divsChild>
                    <w:div w:id="347106188">
                      <w:marLeft w:val="0"/>
                      <w:marRight w:val="0"/>
                      <w:marTop w:val="0"/>
                      <w:marBottom w:val="0"/>
                      <w:divBdr>
                        <w:top w:val="none" w:sz="0" w:space="0" w:color="auto"/>
                        <w:left w:val="none" w:sz="0" w:space="0" w:color="auto"/>
                        <w:bottom w:val="none" w:sz="0" w:space="0" w:color="auto"/>
                        <w:right w:val="none" w:sz="0" w:space="0" w:color="auto"/>
                      </w:divBdr>
                      <w:divsChild>
                        <w:div w:id="1907260717">
                          <w:marLeft w:val="0"/>
                          <w:marRight w:val="0"/>
                          <w:marTop w:val="0"/>
                          <w:marBottom w:val="0"/>
                          <w:divBdr>
                            <w:top w:val="none" w:sz="0" w:space="0" w:color="auto"/>
                            <w:left w:val="none" w:sz="0" w:space="0" w:color="auto"/>
                            <w:bottom w:val="none" w:sz="0" w:space="0" w:color="auto"/>
                            <w:right w:val="none" w:sz="0" w:space="0" w:color="auto"/>
                          </w:divBdr>
                          <w:divsChild>
                            <w:div w:id="1155997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s.Auzins@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DKP xmlns="2e5bb04e-596e-45bd-9003-43ca78b1ba16">208</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7DBE615-1FC6-4CF7-A9B7-9A6E9F8D6024}"/>
</file>

<file path=customXml/itemProps2.xml><?xml version="1.0" encoding="utf-8"?>
<ds:datastoreItem xmlns:ds="http://schemas.openxmlformats.org/officeDocument/2006/customXml" ds:itemID="{B943BE2B-92AD-4573-B4E2-88306C87224C}"/>
</file>

<file path=customXml/itemProps3.xml><?xml version="1.0" encoding="utf-8"?>
<ds:datastoreItem xmlns:ds="http://schemas.openxmlformats.org/officeDocument/2006/customXml" ds:itemID="{736F821A-ADA8-42BD-A10C-9037E0504495}"/>
</file>

<file path=customXml/itemProps4.xml><?xml version="1.0" encoding="utf-8"?>
<ds:datastoreItem xmlns:ds="http://schemas.openxmlformats.org/officeDocument/2006/customXml" ds:itemID="{BCD7E4CF-42D7-4182-890E-CF27D3E23ADA}"/>
</file>

<file path=customXml/itemProps5.xml><?xml version="1.0" encoding="utf-8"?>
<ds:datastoreItem xmlns:ds="http://schemas.openxmlformats.org/officeDocument/2006/customXml" ds:itemID="{EEE8882A-F148-4C30-B21A-7192BB1FB33D}"/>
</file>

<file path=docProps/app.xml><?xml version="1.0" encoding="utf-8"?>
<Properties xmlns="http://schemas.openxmlformats.org/officeDocument/2006/extended-properties" xmlns:vt="http://schemas.openxmlformats.org/officeDocument/2006/docPropsVTypes">
  <Template>Normal.dotm</Template>
  <TotalTime>48</TotalTime>
  <Pages>12</Pages>
  <Words>15535</Words>
  <Characters>8855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24342</CharactersWithSpaces>
  <SharedDoc>false</SharedDoc>
  <HLinks>
    <vt:vector size="6" baseType="variant">
      <vt:variant>
        <vt:i4>1507364</vt:i4>
      </vt:variant>
      <vt:variant>
        <vt:i4>0</vt:i4>
      </vt:variant>
      <vt:variant>
        <vt:i4>0</vt:i4>
      </vt:variant>
      <vt:variant>
        <vt:i4>5</vt:i4>
      </vt:variant>
      <vt:variant>
        <vt:lpwstr>mailto:Anete.Gaike@fm.gov.lv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sakotnējais ietekmes izvērtējums (anotācija)</dc:title>
  <dc:subject>anotācija</dc:subject>
  <dc:creator>R.Auziņš</dc:creator>
  <cp:keywords>Transfertcenas</cp:keywords>
  <dc:description>Tel.Nr.67083919_x000d_
Roberts.Auzins@fm.gov.lv</dc:description>
  <cp:lastModifiedBy>Roberts Auziņš</cp:lastModifiedBy>
  <cp:revision>10</cp:revision>
  <cp:lastPrinted>2017-02-16T12:49:00Z</cp:lastPrinted>
  <dcterms:created xsi:type="dcterms:W3CDTF">2017-10-18T07:46:00Z</dcterms:created>
  <dcterms:modified xsi:type="dcterms:W3CDTF">2017-10-19T07:11:00Z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0x01010065CEC490659089428AB81EE8480BC673</vt:lpwstr>
  </property>
</Properties>
</file>