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E7" w:rsidRDefault="00A719E7" w:rsidP="00A719E7">
      <w:pPr>
        <w:pStyle w:val="NormalWeb"/>
        <w:spacing w:before="0" w:after="0"/>
        <w:jc w:val="center"/>
        <w:rPr>
          <w:b/>
          <w:color w:val="000000" w:themeColor="text1"/>
          <w:sz w:val="28"/>
          <w:szCs w:val="28"/>
        </w:rPr>
      </w:pPr>
      <w:r>
        <w:rPr>
          <w:b/>
          <w:bCs/>
          <w:color w:val="000000" w:themeColor="text1"/>
          <w:sz w:val="28"/>
          <w:szCs w:val="28"/>
        </w:rPr>
        <w:t>Likumprojekta</w:t>
      </w:r>
      <w:r w:rsidR="00894C55" w:rsidRPr="00AE5843">
        <w:rPr>
          <w:b/>
          <w:bCs/>
          <w:color w:val="000000" w:themeColor="text1"/>
          <w:sz w:val="28"/>
          <w:szCs w:val="28"/>
        </w:rPr>
        <w:t xml:space="preserve"> </w:t>
      </w:r>
      <w:r w:rsidR="00AE5843" w:rsidRPr="00AE5843">
        <w:rPr>
          <w:b/>
          <w:color w:val="000000" w:themeColor="text1"/>
          <w:sz w:val="28"/>
          <w:szCs w:val="28"/>
        </w:rPr>
        <w:t xml:space="preserve">“Grozījumi </w:t>
      </w:r>
      <w:hyperlink r:id="rId8" w:tgtFrame="_blank" w:history="1">
        <w:r w:rsidR="00AE5843" w:rsidRPr="00AE5843">
          <w:rPr>
            <w:b/>
            <w:color w:val="000000" w:themeColor="text1"/>
            <w:sz w:val="28"/>
            <w:szCs w:val="28"/>
          </w:rPr>
          <w:t>Azartspēļu un izložu likumā</w:t>
        </w:r>
      </w:hyperlink>
      <w:r w:rsidR="00AE5843" w:rsidRPr="00AE5843">
        <w:rPr>
          <w:b/>
          <w:color w:val="000000" w:themeColor="text1"/>
          <w:sz w:val="28"/>
          <w:szCs w:val="28"/>
        </w:rPr>
        <w:t xml:space="preserve">” </w:t>
      </w:r>
    </w:p>
    <w:p w:rsidR="00A719E7" w:rsidRPr="00A719E7" w:rsidRDefault="00A719E7" w:rsidP="00A719E7">
      <w:pPr>
        <w:pStyle w:val="NormalWeb"/>
        <w:spacing w:before="0" w:after="0"/>
        <w:jc w:val="center"/>
        <w:rPr>
          <w:b/>
          <w:bCs/>
          <w:color w:val="000000" w:themeColor="text1"/>
          <w:sz w:val="28"/>
          <w:szCs w:val="28"/>
        </w:rPr>
      </w:pPr>
      <w:r w:rsidRPr="00A719E7">
        <w:rPr>
          <w:b/>
          <w:bCs/>
          <w:color w:val="000000" w:themeColor="text1"/>
          <w:sz w:val="28"/>
          <w:szCs w:val="28"/>
        </w:rPr>
        <w:t>sākotnējās ietekmes novērtējuma ziņojums (anotācija)</w:t>
      </w:r>
    </w:p>
    <w:p w:rsidR="00A719E7" w:rsidRPr="00AE5843" w:rsidRDefault="00A719E7" w:rsidP="004506F2">
      <w:pPr>
        <w:pStyle w:val="NormalWeb"/>
        <w:spacing w:before="0" w:after="0"/>
        <w:jc w:val="center"/>
        <w:rPr>
          <w:b/>
          <w:bCs/>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242A1C" w:rsidRPr="003259B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259B2"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5"/>
                <w:szCs w:val="25"/>
                <w:lang w:eastAsia="lv-LV"/>
              </w:rPr>
            </w:pPr>
            <w:r w:rsidRPr="003259B2">
              <w:rPr>
                <w:rFonts w:ascii="Times New Roman" w:eastAsia="Times New Roman" w:hAnsi="Times New Roman" w:cs="Times New Roman"/>
                <w:b/>
                <w:bCs/>
                <w:color w:val="000000" w:themeColor="text1"/>
                <w:sz w:val="25"/>
                <w:szCs w:val="25"/>
                <w:lang w:eastAsia="lv-LV"/>
              </w:rPr>
              <w:t>I.</w:t>
            </w:r>
            <w:r w:rsidR="0050178F" w:rsidRPr="003259B2">
              <w:rPr>
                <w:rFonts w:ascii="Times New Roman" w:eastAsia="Times New Roman" w:hAnsi="Times New Roman" w:cs="Times New Roman"/>
                <w:b/>
                <w:bCs/>
                <w:color w:val="000000" w:themeColor="text1"/>
                <w:sz w:val="25"/>
                <w:szCs w:val="25"/>
                <w:lang w:eastAsia="lv-LV"/>
              </w:rPr>
              <w:t> </w:t>
            </w:r>
            <w:r w:rsidRPr="003259B2">
              <w:rPr>
                <w:rFonts w:ascii="Times New Roman" w:eastAsia="Times New Roman" w:hAnsi="Times New Roman" w:cs="Times New Roman"/>
                <w:b/>
                <w:bCs/>
                <w:color w:val="000000" w:themeColor="text1"/>
                <w:sz w:val="25"/>
                <w:szCs w:val="25"/>
                <w:lang w:eastAsia="lv-LV"/>
              </w:rPr>
              <w:t>Tiesību akta projekta izstrādes nepieciešamība</w:t>
            </w:r>
          </w:p>
        </w:tc>
      </w:tr>
      <w:tr w:rsidR="00242A1C" w:rsidRPr="003259B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259B2"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259B2" w:rsidRDefault="00894C55" w:rsidP="00894C55">
            <w:pPr>
              <w:spacing w:after="0" w:line="240" w:lineRule="auto"/>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A7296" w:rsidRPr="003259B2" w:rsidRDefault="007A7296" w:rsidP="003D51F8">
            <w:pPr>
              <w:spacing w:after="0" w:line="240" w:lineRule="auto"/>
              <w:jc w:val="both"/>
              <w:rPr>
                <w:rFonts w:ascii="Times New Roman" w:hAnsi="Times New Roman" w:cs="Times New Roman"/>
                <w:color w:val="000000" w:themeColor="text1"/>
                <w:sz w:val="25"/>
                <w:szCs w:val="25"/>
              </w:rPr>
            </w:pPr>
            <w:r w:rsidRPr="003259B2">
              <w:rPr>
                <w:rFonts w:ascii="Times New Roman" w:hAnsi="Times New Roman" w:cs="Times New Roman"/>
                <w:color w:val="000000" w:themeColor="text1"/>
                <w:sz w:val="25"/>
                <w:szCs w:val="25"/>
              </w:rPr>
              <w:t xml:space="preserve">Likumprojekta izstrāde ir nepieciešama: </w:t>
            </w:r>
          </w:p>
          <w:p w:rsidR="00767F97" w:rsidRPr="003259B2" w:rsidRDefault="007A7296" w:rsidP="003F3B49">
            <w:pPr>
              <w:spacing w:after="0" w:line="240" w:lineRule="auto"/>
              <w:jc w:val="both"/>
              <w:rPr>
                <w:rFonts w:ascii="Times New Roman" w:hAnsi="Times New Roman" w:cs="Times New Roman"/>
                <w:color w:val="000000" w:themeColor="text1"/>
                <w:sz w:val="25"/>
                <w:szCs w:val="25"/>
              </w:rPr>
            </w:pPr>
            <w:r w:rsidRPr="003259B2">
              <w:rPr>
                <w:rFonts w:ascii="Times New Roman" w:hAnsi="Times New Roman" w:cs="Times New Roman"/>
                <w:color w:val="000000" w:themeColor="text1"/>
                <w:sz w:val="25"/>
                <w:szCs w:val="25"/>
              </w:rPr>
              <w:t xml:space="preserve">- saistībā </w:t>
            </w:r>
            <w:r w:rsidR="00BF6A1D" w:rsidRPr="003259B2">
              <w:rPr>
                <w:rFonts w:ascii="Times New Roman" w:hAnsi="Times New Roman" w:cs="Times New Roman"/>
                <w:color w:val="000000" w:themeColor="text1"/>
                <w:sz w:val="25"/>
                <w:szCs w:val="25"/>
              </w:rPr>
              <w:t xml:space="preserve">ar </w:t>
            </w:r>
            <w:r w:rsidR="00314D66" w:rsidRPr="003259B2">
              <w:rPr>
                <w:rFonts w:ascii="Times New Roman" w:hAnsi="Times New Roman" w:cs="Times New Roman"/>
                <w:color w:val="000000" w:themeColor="text1"/>
                <w:sz w:val="25"/>
                <w:szCs w:val="25"/>
              </w:rPr>
              <w:t>Saeimā 201</w:t>
            </w:r>
            <w:r w:rsidR="00040A58" w:rsidRPr="003259B2">
              <w:rPr>
                <w:rFonts w:ascii="Times New Roman" w:hAnsi="Times New Roman" w:cs="Times New Roman"/>
                <w:color w:val="000000" w:themeColor="text1"/>
                <w:sz w:val="25"/>
                <w:szCs w:val="25"/>
              </w:rPr>
              <w:t>7</w:t>
            </w:r>
            <w:r w:rsidR="00314D66" w:rsidRPr="003259B2">
              <w:rPr>
                <w:rFonts w:ascii="Times New Roman" w:hAnsi="Times New Roman" w:cs="Times New Roman"/>
                <w:color w:val="000000" w:themeColor="text1"/>
                <w:sz w:val="25"/>
                <w:szCs w:val="25"/>
              </w:rPr>
              <w:t>.g</w:t>
            </w:r>
            <w:r w:rsidR="00040A58" w:rsidRPr="003259B2">
              <w:rPr>
                <w:rFonts w:ascii="Times New Roman" w:hAnsi="Times New Roman" w:cs="Times New Roman"/>
                <w:color w:val="000000" w:themeColor="text1"/>
                <w:sz w:val="25"/>
                <w:szCs w:val="25"/>
              </w:rPr>
              <w:t>ada 27.jūlijā</w:t>
            </w:r>
            <w:r w:rsidR="00903B01" w:rsidRPr="003259B2">
              <w:rPr>
                <w:rFonts w:ascii="Times New Roman" w:hAnsi="Times New Roman" w:cs="Times New Roman"/>
                <w:color w:val="000000" w:themeColor="text1"/>
                <w:sz w:val="25"/>
                <w:szCs w:val="25"/>
              </w:rPr>
              <w:t xml:space="preserve"> pieņemto</w:t>
            </w:r>
            <w:r w:rsidR="00040A58" w:rsidRPr="003259B2">
              <w:rPr>
                <w:rFonts w:ascii="Times New Roman" w:hAnsi="Times New Roman" w:cs="Times New Roman"/>
                <w:color w:val="000000" w:themeColor="text1"/>
                <w:sz w:val="25"/>
                <w:szCs w:val="25"/>
              </w:rPr>
              <w:t xml:space="preserve"> likum</w:t>
            </w:r>
            <w:r w:rsidR="00903B01" w:rsidRPr="003259B2">
              <w:rPr>
                <w:rFonts w:ascii="Times New Roman" w:hAnsi="Times New Roman" w:cs="Times New Roman"/>
                <w:color w:val="000000" w:themeColor="text1"/>
                <w:sz w:val="25"/>
                <w:szCs w:val="25"/>
              </w:rPr>
              <w:t>u</w:t>
            </w:r>
            <w:r w:rsidR="00040A58" w:rsidRPr="003259B2">
              <w:rPr>
                <w:rFonts w:ascii="Times New Roman" w:hAnsi="Times New Roman" w:cs="Times New Roman"/>
                <w:color w:val="000000" w:themeColor="text1"/>
                <w:sz w:val="25"/>
                <w:szCs w:val="25"/>
              </w:rPr>
              <w:t xml:space="preserve"> </w:t>
            </w:r>
            <w:r w:rsidR="00040A58" w:rsidRPr="003259B2">
              <w:rPr>
                <w:rFonts w:ascii="Times New Roman" w:hAnsi="Times New Roman" w:cs="Times New Roman"/>
                <w:i/>
                <w:color w:val="000000" w:themeColor="text1"/>
                <w:sz w:val="25"/>
                <w:szCs w:val="25"/>
              </w:rPr>
              <w:t>Grozījumi likumā "Par izložu un azartspēļu nodevu un nodokli"</w:t>
            </w:r>
            <w:r w:rsidR="00AC7381" w:rsidRPr="003259B2">
              <w:rPr>
                <w:rFonts w:ascii="Times New Roman" w:hAnsi="Times New Roman" w:cs="Times New Roman"/>
                <w:color w:val="000000" w:themeColor="text1"/>
                <w:sz w:val="25"/>
                <w:szCs w:val="25"/>
              </w:rPr>
              <w:t xml:space="preserve"> (stājas spēkā 01.01.2018),</w:t>
            </w:r>
            <w:r w:rsidR="00CD13C2" w:rsidRPr="003259B2">
              <w:rPr>
                <w:rFonts w:ascii="Times New Roman" w:hAnsi="Times New Roman" w:cs="Times New Roman"/>
                <w:color w:val="000000" w:themeColor="text1"/>
                <w:sz w:val="25"/>
                <w:szCs w:val="25"/>
              </w:rPr>
              <w:t xml:space="preserve"> kura </w:t>
            </w:r>
            <w:r w:rsidR="005657E6" w:rsidRPr="003259B2">
              <w:rPr>
                <w:rFonts w:ascii="Times New Roman" w:hAnsi="Times New Roman" w:cs="Times New Roman"/>
                <w:color w:val="000000" w:themeColor="text1"/>
                <w:sz w:val="25"/>
                <w:szCs w:val="25"/>
              </w:rPr>
              <w:t>1. pants</w:t>
            </w:r>
            <w:r w:rsidR="003A0C6E" w:rsidRPr="003259B2">
              <w:rPr>
                <w:rFonts w:ascii="Times New Roman" w:hAnsi="Times New Roman" w:cs="Times New Roman"/>
                <w:color w:val="000000" w:themeColor="text1"/>
                <w:sz w:val="25"/>
                <w:szCs w:val="25"/>
              </w:rPr>
              <w:t xml:space="preserve"> </w:t>
            </w:r>
            <w:r w:rsidR="005657E6" w:rsidRPr="003259B2">
              <w:rPr>
                <w:rFonts w:ascii="Times New Roman" w:hAnsi="Times New Roman" w:cs="Times New Roman"/>
                <w:color w:val="000000" w:themeColor="text1"/>
                <w:sz w:val="25"/>
                <w:szCs w:val="25"/>
              </w:rPr>
              <w:t xml:space="preserve">nosaka, ka azartspēļu nodokli </w:t>
            </w:r>
            <w:r w:rsidR="00903B01" w:rsidRPr="003259B2">
              <w:rPr>
                <w:rFonts w:ascii="Times New Roman" w:hAnsi="Times New Roman" w:cs="Times New Roman"/>
                <w:color w:val="000000" w:themeColor="text1"/>
                <w:sz w:val="25"/>
                <w:szCs w:val="25"/>
              </w:rPr>
              <w:t xml:space="preserve">maksā </w:t>
            </w:r>
            <w:r w:rsidR="005657E6" w:rsidRPr="003259B2">
              <w:rPr>
                <w:rFonts w:ascii="Times New Roman" w:hAnsi="Times New Roman" w:cs="Times New Roman"/>
                <w:color w:val="000000" w:themeColor="text1"/>
                <w:sz w:val="25"/>
                <w:szCs w:val="25"/>
              </w:rPr>
              <w:t xml:space="preserve">arī </w:t>
            </w:r>
            <w:r w:rsidR="00CD13C2" w:rsidRPr="003259B2">
              <w:rPr>
                <w:rFonts w:ascii="Times New Roman" w:hAnsi="Times New Roman" w:cs="Times New Roman"/>
                <w:color w:val="000000" w:themeColor="text1"/>
                <w:sz w:val="25"/>
                <w:szCs w:val="25"/>
              </w:rPr>
              <w:t>kapitālsabiedrība, kas īsteno video filmēšanu, reālā laikā un vietā izspēlētai azartspēlei, izmantojot azartspēļu aprīkojumu - kāršu, kauliņu spēles un ruletes (cilindriskās spēles) galdus, sniedzot programmēšanas un datu straumēšanas pakalpojumus, nodrošinot vide</w:t>
            </w:r>
            <w:r w:rsidR="00903B01" w:rsidRPr="003259B2">
              <w:rPr>
                <w:rFonts w:ascii="Times New Roman" w:hAnsi="Times New Roman" w:cs="Times New Roman"/>
                <w:color w:val="000000" w:themeColor="text1"/>
                <w:sz w:val="25"/>
                <w:szCs w:val="25"/>
              </w:rPr>
              <w:t>o tiešsaisti trešajām personām</w:t>
            </w:r>
            <w:r w:rsidR="00767F97" w:rsidRPr="003259B2">
              <w:rPr>
                <w:rFonts w:ascii="Times New Roman" w:hAnsi="Times New Roman" w:cs="Times New Roman"/>
                <w:color w:val="000000" w:themeColor="text1"/>
                <w:sz w:val="25"/>
                <w:szCs w:val="25"/>
              </w:rPr>
              <w:t xml:space="preserve">. Lai nodrošinātu  saskaņošanu ar </w:t>
            </w:r>
            <w:r w:rsidR="003D51F8" w:rsidRPr="003259B2">
              <w:rPr>
                <w:rFonts w:ascii="Times New Roman" w:hAnsi="Times New Roman" w:cs="Times New Roman"/>
                <w:color w:val="000000" w:themeColor="text1"/>
                <w:sz w:val="25"/>
                <w:szCs w:val="25"/>
              </w:rPr>
              <w:t>iepriekš</w:t>
            </w:r>
            <w:r w:rsidR="00767F97" w:rsidRPr="003259B2">
              <w:rPr>
                <w:rFonts w:ascii="Times New Roman" w:hAnsi="Times New Roman" w:cs="Times New Roman"/>
                <w:color w:val="000000" w:themeColor="text1"/>
                <w:sz w:val="25"/>
                <w:szCs w:val="25"/>
              </w:rPr>
              <w:t xml:space="preserve">minētajiem </w:t>
            </w:r>
            <w:r w:rsidR="003D51F8" w:rsidRPr="003259B2">
              <w:rPr>
                <w:rFonts w:ascii="Times New Roman" w:hAnsi="Times New Roman" w:cs="Times New Roman"/>
                <w:color w:val="000000" w:themeColor="text1"/>
                <w:sz w:val="25"/>
                <w:szCs w:val="25"/>
              </w:rPr>
              <w:t>g</w:t>
            </w:r>
            <w:r w:rsidR="00767F97" w:rsidRPr="003259B2">
              <w:rPr>
                <w:rFonts w:ascii="Times New Roman" w:hAnsi="Times New Roman" w:cs="Times New Roman"/>
                <w:color w:val="000000" w:themeColor="text1"/>
                <w:sz w:val="25"/>
                <w:szCs w:val="25"/>
              </w:rPr>
              <w:t>rozījumiem likumā "Par izložu un azartspēļu nodevu un nodokli" un nodrošinātu plānotos bu</w:t>
            </w:r>
            <w:r w:rsidR="003D51F8" w:rsidRPr="003259B2">
              <w:rPr>
                <w:rFonts w:ascii="Times New Roman" w:hAnsi="Times New Roman" w:cs="Times New Roman"/>
                <w:color w:val="000000" w:themeColor="text1"/>
                <w:sz w:val="25"/>
                <w:szCs w:val="25"/>
              </w:rPr>
              <w:t>dž</w:t>
            </w:r>
            <w:r w:rsidR="00767F97" w:rsidRPr="003259B2">
              <w:rPr>
                <w:rFonts w:ascii="Times New Roman" w:hAnsi="Times New Roman" w:cs="Times New Roman"/>
                <w:color w:val="000000" w:themeColor="text1"/>
                <w:sz w:val="25"/>
                <w:szCs w:val="25"/>
              </w:rPr>
              <w:t xml:space="preserve">eta </w:t>
            </w:r>
            <w:r w:rsidR="003D51F8" w:rsidRPr="003259B2">
              <w:rPr>
                <w:rFonts w:ascii="Times New Roman" w:hAnsi="Times New Roman" w:cs="Times New Roman"/>
                <w:color w:val="000000" w:themeColor="text1"/>
                <w:sz w:val="25"/>
                <w:szCs w:val="25"/>
              </w:rPr>
              <w:t>ieņēmumus,</w:t>
            </w:r>
            <w:r w:rsidR="00767F97" w:rsidRPr="003259B2">
              <w:rPr>
                <w:rFonts w:ascii="Times New Roman" w:hAnsi="Times New Roman" w:cs="Times New Roman"/>
                <w:color w:val="000000" w:themeColor="text1"/>
                <w:sz w:val="25"/>
                <w:szCs w:val="25"/>
              </w:rPr>
              <w:t xml:space="preserve"> nepieciešams sakārtot </w:t>
            </w:r>
            <w:r w:rsidR="003D51F8" w:rsidRPr="003259B2">
              <w:rPr>
                <w:rFonts w:ascii="Times New Roman" w:hAnsi="Times New Roman" w:cs="Times New Roman"/>
                <w:color w:val="000000" w:themeColor="text1"/>
                <w:sz w:val="25"/>
                <w:szCs w:val="25"/>
              </w:rPr>
              <w:t>normatīvo</w:t>
            </w:r>
            <w:r w:rsidR="00767F97" w:rsidRPr="003259B2">
              <w:rPr>
                <w:rFonts w:ascii="Times New Roman" w:hAnsi="Times New Roman" w:cs="Times New Roman"/>
                <w:color w:val="000000" w:themeColor="text1"/>
                <w:sz w:val="25"/>
                <w:szCs w:val="25"/>
              </w:rPr>
              <w:t xml:space="preserve"> regulējumu abos minētajos likumos</w:t>
            </w:r>
            <w:r w:rsidR="005A733B" w:rsidRPr="003259B2">
              <w:rPr>
                <w:rFonts w:ascii="Times New Roman" w:hAnsi="Times New Roman" w:cs="Times New Roman"/>
                <w:color w:val="000000" w:themeColor="text1"/>
                <w:sz w:val="25"/>
                <w:szCs w:val="25"/>
              </w:rPr>
              <w:t>;</w:t>
            </w:r>
          </w:p>
          <w:p w:rsidR="00040A58" w:rsidRPr="003259B2" w:rsidRDefault="00903B01" w:rsidP="003F3B49">
            <w:pPr>
              <w:pStyle w:val="ListParagraph"/>
              <w:numPr>
                <w:ilvl w:val="0"/>
                <w:numId w:val="1"/>
              </w:numPr>
              <w:spacing w:after="0" w:line="240" w:lineRule="auto"/>
              <w:ind w:left="0" w:firstLine="360"/>
              <w:jc w:val="both"/>
              <w:rPr>
                <w:rFonts w:ascii="Times New Roman" w:eastAsia="Times New Roman" w:hAnsi="Times New Roman" w:cs="Times New Roman"/>
                <w:color w:val="000000" w:themeColor="text1"/>
                <w:sz w:val="25"/>
                <w:szCs w:val="25"/>
                <w:lang w:eastAsia="lv-LV"/>
              </w:rPr>
            </w:pPr>
            <w:r w:rsidRPr="003259B2">
              <w:rPr>
                <w:rFonts w:ascii="Times New Roman" w:hAnsi="Times New Roman" w:cs="Times New Roman"/>
                <w:color w:val="000000" w:themeColor="text1"/>
                <w:sz w:val="25"/>
                <w:szCs w:val="25"/>
              </w:rPr>
              <w:t>saistībā</w:t>
            </w:r>
            <w:r w:rsidR="00A74711" w:rsidRPr="003259B2">
              <w:rPr>
                <w:rFonts w:ascii="Times New Roman" w:hAnsi="Times New Roman" w:cs="Times New Roman"/>
                <w:color w:val="000000" w:themeColor="text1"/>
                <w:sz w:val="25"/>
                <w:szCs w:val="25"/>
              </w:rPr>
              <w:t xml:space="preserve"> ar </w:t>
            </w:r>
            <w:r w:rsidR="00751321" w:rsidRPr="003259B2">
              <w:rPr>
                <w:rFonts w:ascii="Times New Roman" w:hAnsi="Times New Roman" w:cs="Times New Roman"/>
                <w:color w:val="000000" w:themeColor="text1"/>
                <w:sz w:val="25"/>
                <w:szCs w:val="25"/>
              </w:rPr>
              <w:t>Ministru kabineta noteikumu projektu</w:t>
            </w:r>
            <w:r w:rsidR="00D540DC" w:rsidRPr="003259B2">
              <w:rPr>
                <w:rFonts w:ascii="Times New Roman" w:hAnsi="Times New Roman" w:cs="Times New Roman"/>
                <w:color w:val="000000" w:themeColor="text1"/>
                <w:sz w:val="25"/>
                <w:szCs w:val="25"/>
              </w:rPr>
              <w:t xml:space="preserve"> (Ministru kabineta noteikumu projekts </w:t>
            </w:r>
            <w:r w:rsidR="00D540DC" w:rsidRPr="003259B2">
              <w:rPr>
                <w:rFonts w:ascii="Times New Roman" w:hAnsi="Times New Roman" w:cs="Times New Roman"/>
                <w:bCs/>
                <w:i/>
                <w:color w:val="000000" w:themeColor="text1"/>
                <w:sz w:val="25"/>
                <w:szCs w:val="25"/>
              </w:rPr>
              <w:t>"Kārtība, kādā iesniedzama informācija par interaktīvo azartspēļu un interaktīvo izložu organizēšanā izmantojamām programmām, paredzētajiem drošības un fizisko personu datu aizsardzības pasākumiem"</w:t>
            </w:r>
            <w:r w:rsidR="00D540DC" w:rsidRPr="003259B2">
              <w:rPr>
                <w:rFonts w:ascii="Times New Roman" w:hAnsi="Times New Roman" w:cs="Times New Roman"/>
                <w:bCs/>
                <w:color w:val="000000" w:themeColor="text1"/>
                <w:sz w:val="25"/>
                <w:szCs w:val="25"/>
              </w:rPr>
              <w:t xml:space="preserve"> (VSS-762) un Ministru kabineta noteikumu projektu </w:t>
            </w:r>
            <w:r w:rsidR="00D540DC" w:rsidRPr="003259B2">
              <w:rPr>
                <w:rFonts w:ascii="Times New Roman" w:hAnsi="Times New Roman" w:cs="Times New Roman"/>
                <w:bCs/>
                <w:i/>
                <w:color w:val="000000" w:themeColor="text1"/>
                <w:sz w:val="25"/>
                <w:szCs w:val="25"/>
              </w:rPr>
              <w:t>"Interaktīvo azartspēļu un interaktīvo izložu spēlētāju reģistrācijas un identitātes pārbaudes kārtība"</w:t>
            </w:r>
            <w:r w:rsidR="00D540DC" w:rsidRPr="003259B2">
              <w:rPr>
                <w:rFonts w:ascii="Times New Roman" w:hAnsi="Times New Roman" w:cs="Times New Roman"/>
                <w:bCs/>
                <w:color w:val="000000" w:themeColor="text1"/>
                <w:sz w:val="25"/>
                <w:szCs w:val="25"/>
              </w:rPr>
              <w:t xml:space="preserve"> (VSS-481))</w:t>
            </w:r>
            <w:r w:rsidR="00751321" w:rsidRPr="003259B2">
              <w:rPr>
                <w:rFonts w:ascii="Times New Roman" w:hAnsi="Times New Roman" w:cs="Times New Roman"/>
                <w:color w:val="000000" w:themeColor="text1"/>
                <w:sz w:val="25"/>
                <w:szCs w:val="25"/>
              </w:rPr>
              <w:t xml:space="preserve"> </w:t>
            </w:r>
            <w:r w:rsidR="00475DB2" w:rsidRPr="003259B2">
              <w:rPr>
                <w:rFonts w:ascii="Times New Roman" w:hAnsi="Times New Roman" w:cs="Times New Roman"/>
                <w:color w:val="000000" w:themeColor="text1"/>
                <w:sz w:val="25"/>
                <w:szCs w:val="25"/>
              </w:rPr>
              <w:t>saskaņošanas procesā izteiktajiem Tieslietu ministrijas iebildumiem</w:t>
            </w:r>
            <w:r w:rsidR="00751321" w:rsidRPr="003259B2">
              <w:rPr>
                <w:rFonts w:ascii="Times New Roman" w:hAnsi="Times New Roman" w:cs="Times New Roman"/>
                <w:color w:val="000000" w:themeColor="text1"/>
                <w:sz w:val="25"/>
                <w:szCs w:val="25"/>
              </w:rPr>
              <w:t xml:space="preserve"> par pašreizējā to deleģējuma neatbilstību projektu saturam, kaut gan šie Ministru kabineta noteikumu projekti tiek </w:t>
            </w:r>
            <w:proofErr w:type="spellStart"/>
            <w:r w:rsidR="00751321" w:rsidRPr="003259B2">
              <w:rPr>
                <w:rFonts w:ascii="Times New Roman" w:hAnsi="Times New Roman" w:cs="Times New Roman"/>
                <w:color w:val="000000" w:themeColor="text1"/>
                <w:sz w:val="25"/>
                <w:szCs w:val="25"/>
              </w:rPr>
              <w:t>pārizdoti</w:t>
            </w:r>
            <w:proofErr w:type="spellEnd"/>
            <w:r w:rsidR="00751321" w:rsidRPr="003259B2">
              <w:rPr>
                <w:rFonts w:ascii="Times New Roman" w:hAnsi="Times New Roman" w:cs="Times New Roman"/>
                <w:color w:val="000000" w:themeColor="text1"/>
                <w:sz w:val="25"/>
                <w:szCs w:val="25"/>
              </w:rPr>
              <w:t xml:space="preserve"> (pēc būtības saglabājot jau esošo regulējumu vai arī būtiski </w:t>
            </w:r>
            <w:r w:rsidR="006660FE" w:rsidRPr="003259B2">
              <w:rPr>
                <w:rFonts w:ascii="Times New Roman" w:hAnsi="Times New Roman" w:cs="Times New Roman"/>
                <w:color w:val="000000" w:themeColor="text1"/>
                <w:sz w:val="25"/>
                <w:szCs w:val="25"/>
              </w:rPr>
              <w:t xml:space="preserve">ir </w:t>
            </w:r>
            <w:r w:rsidR="00751321" w:rsidRPr="003259B2">
              <w:rPr>
                <w:rFonts w:ascii="Times New Roman" w:hAnsi="Times New Roman" w:cs="Times New Roman"/>
                <w:color w:val="000000" w:themeColor="text1"/>
                <w:sz w:val="25"/>
                <w:szCs w:val="25"/>
              </w:rPr>
              <w:t>nepieciešam</w:t>
            </w:r>
            <w:r w:rsidR="006660FE" w:rsidRPr="003259B2">
              <w:rPr>
                <w:rFonts w:ascii="Times New Roman" w:hAnsi="Times New Roman" w:cs="Times New Roman"/>
                <w:color w:val="000000" w:themeColor="text1"/>
                <w:sz w:val="25"/>
                <w:szCs w:val="25"/>
              </w:rPr>
              <w:t>s</w:t>
            </w:r>
            <w:r w:rsidR="00751321" w:rsidRPr="003259B2">
              <w:rPr>
                <w:rFonts w:ascii="Times New Roman" w:hAnsi="Times New Roman" w:cs="Times New Roman"/>
                <w:color w:val="000000" w:themeColor="text1"/>
                <w:sz w:val="25"/>
                <w:szCs w:val="25"/>
              </w:rPr>
              <w:t xml:space="preserve"> noregul</w:t>
            </w:r>
            <w:r w:rsidR="006660FE" w:rsidRPr="003259B2">
              <w:rPr>
                <w:rFonts w:ascii="Times New Roman" w:hAnsi="Times New Roman" w:cs="Times New Roman"/>
                <w:color w:val="000000" w:themeColor="text1"/>
                <w:sz w:val="25"/>
                <w:szCs w:val="25"/>
              </w:rPr>
              <w:t xml:space="preserve">ēt </w:t>
            </w:r>
            <w:r w:rsidR="00751321" w:rsidRPr="003259B2">
              <w:rPr>
                <w:rFonts w:ascii="Times New Roman" w:hAnsi="Times New Roman" w:cs="Times New Roman"/>
                <w:color w:val="000000" w:themeColor="text1"/>
                <w:sz w:val="25"/>
                <w:szCs w:val="25"/>
              </w:rPr>
              <w:t>atsevišķas normas</w:t>
            </w:r>
            <w:r w:rsidR="006660FE" w:rsidRPr="003259B2">
              <w:rPr>
                <w:rFonts w:ascii="Times New Roman" w:hAnsi="Times New Roman" w:cs="Times New Roman"/>
                <w:color w:val="000000" w:themeColor="text1"/>
                <w:sz w:val="25"/>
                <w:szCs w:val="25"/>
              </w:rPr>
              <w:t>, kas izriet no Ministru kabineta noteikumu projekta konteksta</w:t>
            </w:r>
            <w:r w:rsidR="00751321" w:rsidRPr="003259B2">
              <w:rPr>
                <w:rFonts w:ascii="Times New Roman" w:hAnsi="Times New Roman" w:cs="Times New Roman"/>
                <w:color w:val="000000" w:themeColor="text1"/>
                <w:sz w:val="25"/>
                <w:szCs w:val="25"/>
              </w:rPr>
              <w:t xml:space="preserve">), </w:t>
            </w:r>
            <w:r w:rsidR="006660FE" w:rsidRPr="003259B2">
              <w:rPr>
                <w:rFonts w:ascii="Times New Roman" w:hAnsi="Times New Roman" w:cs="Times New Roman"/>
                <w:color w:val="000000" w:themeColor="text1"/>
                <w:sz w:val="25"/>
                <w:szCs w:val="25"/>
              </w:rPr>
              <w:t>ir nepieciešams precizēt šo Ministru kabineta noteikumu projektu deleģējumus, lai tajos noteiktās normas, kuru liela daļa jau pašreiz tiek piemērotas, būtu leģitīmas</w:t>
            </w:r>
            <w:r w:rsidR="00776B78" w:rsidRPr="003259B2">
              <w:rPr>
                <w:rFonts w:ascii="Times New Roman" w:hAnsi="Times New Roman" w:cs="Times New Roman"/>
                <w:color w:val="000000" w:themeColor="text1"/>
                <w:sz w:val="25"/>
                <w:szCs w:val="25"/>
              </w:rPr>
              <w:t>, kā arī attiecīgie Ministru kabineta noteikumi varētu s</w:t>
            </w:r>
            <w:r w:rsidR="00EB185A" w:rsidRPr="003259B2">
              <w:rPr>
                <w:rFonts w:ascii="Times New Roman" w:hAnsi="Times New Roman" w:cs="Times New Roman"/>
                <w:color w:val="000000" w:themeColor="text1"/>
                <w:sz w:val="25"/>
                <w:szCs w:val="25"/>
              </w:rPr>
              <w:t>tāties spēkā 2018.gada 1.janvārī</w:t>
            </w:r>
            <w:r w:rsidR="00776B78" w:rsidRPr="003259B2">
              <w:rPr>
                <w:rFonts w:ascii="Times New Roman" w:hAnsi="Times New Roman" w:cs="Times New Roman"/>
                <w:color w:val="000000" w:themeColor="text1"/>
                <w:sz w:val="25"/>
                <w:szCs w:val="25"/>
              </w:rPr>
              <w:t>,</w:t>
            </w:r>
            <w:r w:rsidR="003F3B49" w:rsidRPr="003259B2">
              <w:rPr>
                <w:rFonts w:ascii="Times New Roman" w:hAnsi="Times New Roman" w:cs="Times New Roman"/>
                <w:color w:val="000000" w:themeColor="text1"/>
                <w:sz w:val="25"/>
                <w:szCs w:val="25"/>
              </w:rPr>
              <w:t xml:space="preserve"> lai tiktu nodrošināts tiesiskais regulējums, t.sk. uz interaktīvajām izlozēm.</w:t>
            </w:r>
          </w:p>
        </w:tc>
      </w:tr>
      <w:tr w:rsidR="00242A1C" w:rsidRPr="003259B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259B2"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03FC0" w:rsidRPr="003259B2" w:rsidRDefault="00894C55" w:rsidP="00894C55">
            <w:pPr>
              <w:spacing w:after="0" w:line="240" w:lineRule="auto"/>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 xml:space="preserve">Pašreizējā situācija un problēmas, kuru risināšanai tiesību akta projekts izstrādāts, </w:t>
            </w:r>
            <w:r w:rsidRPr="003259B2">
              <w:rPr>
                <w:rFonts w:ascii="Times New Roman" w:eastAsia="Times New Roman" w:hAnsi="Times New Roman" w:cs="Times New Roman"/>
                <w:color w:val="000000" w:themeColor="text1"/>
                <w:sz w:val="25"/>
                <w:szCs w:val="25"/>
                <w:lang w:eastAsia="lv-LV"/>
              </w:rPr>
              <w:lastRenderedPageBreak/>
              <w:t>tiesiskā regulējuma mērķis un būtība</w:t>
            </w:r>
          </w:p>
          <w:p w:rsidR="00803FC0" w:rsidRPr="003259B2" w:rsidRDefault="00803FC0" w:rsidP="00803FC0">
            <w:pPr>
              <w:rPr>
                <w:rFonts w:ascii="Times New Roman" w:eastAsia="Times New Roman" w:hAnsi="Times New Roman" w:cs="Times New Roman"/>
                <w:sz w:val="25"/>
                <w:szCs w:val="25"/>
                <w:lang w:eastAsia="lv-LV"/>
              </w:rPr>
            </w:pPr>
          </w:p>
          <w:p w:rsidR="00803FC0" w:rsidRPr="003259B2" w:rsidRDefault="00803FC0" w:rsidP="00803FC0">
            <w:pPr>
              <w:rPr>
                <w:rFonts w:ascii="Times New Roman" w:eastAsia="Times New Roman" w:hAnsi="Times New Roman" w:cs="Times New Roman"/>
                <w:sz w:val="25"/>
                <w:szCs w:val="25"/>
                <w:lang w:eastAsia="lv-LV"/>
              </w:rPr>
            </w:pPr>
          </w:p>
          <w:p w:rsidR="00803FC0" w:rsidRPr="003259B2" w:rsidRDefault="00803FC0" w:rsidP="00803FC0">
            <w:pPr>
              <w:rPr>
                <w:rFonts w:ascii="Times New Roman" w:eastAsia="Times New Roman" w:hAnsi="Times New Roman" w:cs="Times New Roman"/>
                <w:sz w:val="25"/>
                <w:szCs w:val="25"/>
                <w:lang w:eastAsia="lv-LV"/>
              </w:rPr>
            </w:pPr>
          </w:p>
          <w:p w:rsidR="00803FC0" w:rsidRPr="003259B2" w:rsidRDefault="00803FC0" w:rsidP="00803FC0">
            <w:pPr>
              <w:rPr>
                <w:rFonts w:ascii="Times New Roman" w:eastAsia="Times New Roman" w:hAnsi="Times New Roman" w:cs="Times New Roman"/>
                <w:sz w:val="25"/>
                <w:szCs w:val="25"/>
                <w:lang w:eastAsia="lv-LV"/>
              </w:rPr>
            </w:pPr>
          </w:p>
          <w:p w:rsidR="00803FC0" w:rsidRPr="003259B2" w:rsidRDefault="00803FC0" w:rsidP="00803FC0">
            <w:pPr>
              <w:rPr>
                <w:rFonts w:ascii="Times New Roman" w:eastAsia="Times New Roman" w:hAnsi="Times New Roman" w:cs="Times New Roman"/>
                <w:sz w:val="25"/>
                <w:szCs w:val="25"/>
                <w:lang w:eastAsia="lv-LV"/>
              </w:rPr>
            </w:pPr>
          </w:p>
          <w:p w:rsidR="00803FC0" w:rsidRPr="003259B2" w:rsidRDefault="00803FC0" w:rsidP="00803FC0">
            <w:pPr>
              <w:rPr>
                <w:rFonts w:ascii="Times New Roman" w:eastAsia="Times New Roman" w:hAnsi="Times New Roman" w:cs="Times New Roman"/>
                <w:sz w:val="25"/>
                <w:szCs w:val="25"/>
                <w:lang w:eastAsia="lv-LV"/>
              </w:rPr>
            </w:pPr>
          </w:p>
          <w:p w:rsidR="00803FC0" w:rsidRPr="003259B2" w:rsidRDefault="00803FC0" w:rsidP="00803FC0">
            <w:pPr>
              <w:rPr>
                <w:rFonts w:ascii="Times New Roman" w:eastAsia="Times New Roman" w:hAnsi="Times New Roman" w:cs="Times New Roman"/>
                <w:sz w:val="25"/>
                <w:szCs w:val="25"/>
                <w:lang w:eastAsia="lv-LV"/>
              </w:rPr>
            </w:pPr>
          </w:p>
          <w:p w:rsidR="00894C55" w:rsidRPr="003259B2" w:rsidRDefault="00894C55" w:rsidP="00803FC0">
            <w:pPr>
              <w:rPr>
                <w:rFonts w:ascii="Times New Roman" w:eastAsia="Times New Roman" w:hAnsi="Times New Roman" w:cs="Times New Roman"/>
                <w:sz w:val="25"/>
                <w:szCs w:val="25"/>
                <w:lang w:val="en-US"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A528D7" w:rsidRPr="003259B2" w:rsidRDefault="00767F97" w:rsidP="003F3B49">
            <w:pPr>
              <w:jc w:val="both"/>
              <w:rPr>
                <w:rFonts w:ascii="Times New Roman" w:eastAsia="Times New Roman" w:hAnsi="Times New Roman" w:cs="Times New Roman"/>
                <w:sz w:val="25"/>
                <w:szCs w:val="25"/>
                <w:shd w:val="clear" w:color="auto" w:fill="FFFFFF"/>
                <w:lang w:eastAsia="lv-LV"/>
              </w:rPr>
            </w:pPr>
            <w:r w:rsidRPr="003259B2">
              <w:rPr>
                <w:rFonts w:ascii="Times New Roman" w:eastAsia="Times New Roman" w:hAnsi="Times New Roman" w:cs="Times New Roman"/>
                <w:sz w:val="25"/>
                <w:szCs w:val="25"/>
                <w:shd w:val="clear" w:color="auto" w:fill="FFFFFF"/>
                <w:lang w:eastAsia="lv-LV"/>
              </w:rPr>
              <w:lastRenderedPageBreak/>
              <w:t>Ņemot vērā, ka atbilstoši Azartspēļu un izložu likumā</w:t>
            </w:r>
            <w:r w:rsidR="0037342B" w:rsidRPr="003259B2">
              <w:rPr>
                <w:rFonts w:ascii="Times New Roman" w:eastAsia="Times New Roman" w:hAnsi="Times New Roman" w:cs="Times New Roman"/>
                <w:sz w:val="25"/>
                <w:szCs w:val="25"/>
                <w:shd w:val="clear" w:color="auto" w:fill="FFFFFF"/>
                <w:lang w:eastAsia="lv-LV"/>
              </w:rPr>
              <w:t xml:space="preserve"> (turpmāk – Likumā)</w:t>
            </w:r>
            <w:r w:rsidRPr="003259B2">
              <w:rPr>
                <w:rFonts w:ascii="Times New Roman" w:eastAsia="Times New Roman" w:hAnsi="Times New Roman" w:cs="Times New Roman"/>
                <w:sz w:val="25"/>
                <w:szCs w:val="25"/>
                <w:shd w:val="clear" w:color="auto" w:fill="FFFFFF"/>
                <w:lang w:eastAsia="lv-LV"/>
              </w:rPr>
              <w:t xml:space="preserve"> noteiktajam termini “azartspēle” un “azartspēļu organizētājs” ir definēti kā vairāku elementu kopums, bet jauno</w:t>
            </w:r>
            <w:r w:rsidRPr="003259B2">
              <w:rPr>
                <w:rFonts w:ascii="Times New Roman" w:eastAsia="Times New Roman" w:hAnsi="Times New Roman" w:cs="Times New Roman"/>
                <w:sz w:val="25"/>
                <w:szCs w:val="25"/>
                <w:lang w:eastAsia="ru-RU"/>
              </w:rPr>
              <w:t xml:space="preserve"> azartspēļu nodokļa objektu </w:t>
            </w:r>
            <w:r w:rsidRPr="003259B2">
              <w:rPr>
                <w:rFonts w:ascii="Times New Roman" w:eastAsia="Times New Roman" w:hAnsi="Times New Roman" w:cs="Times New Roman"/>
                <w:sz w:val="25"/>
                <w:szCs w:val="25"/>
                <w:lang w:eastAsia="ru-RU"/>
              </w:rPr>
              <w:lastRenderedPageBreak/>
              <w:t xml:space="preserve">ir paredzēts piemērot personām, kuras Latvijā neorganizē azartspēles, bet nodrošina vienu azartspēļu elementu azartspēļu organizētājiem, ir nepieciešams radīt regulējumu, kas nošķir azartspēļu organizētāju un </w:t>
            </w:r>
            <w:r w:rsidRPr="003259B2">
              <w:rPr>
                <w:rFonts w:ascii="Times New Roman" w:eastAsia="Times New Roman" w:hAnsi="Times New Roman" w:cs="Times New Roman"/>
                <w:sz w:val="25"/>
                <w:szCs w:val="25"/>
                <w:shd w:val="clear" w:color="auto" w:fill="FFFFFF"/>
                <w:lang w:eastAsia="lv-LV"/>
              </w:rPr>
              <w:t xml:space="preserve">azartspēļu pakalpojumu sniedzēju, kas azartspēles pats pilnībā neorganizē. Šobrīd </w:t>
            </w:r>
            <w:r w:rsidR="008104EC" w:rsidRPr="003259B2">
              <w:rPr>
                <w:rFonts w:ascii="Times New Roman" w:eastAsia="Times New Roman" w:hAnsi="Times New Roman" w:cs="Times New Roman"/>
                <w:sz w:val="25"/>
                <w:szCs w:val="25"/>
                <w:shd w:val="clear" w:color="auto" w:fill="FFFFFF"/>
                <w:lang w:eastAsia="lv-LV"/>
              </w:rPr>
              <w:t>L</w:t>
            </w:r>
            <w:r w:rsidRPr="003259B2">
              <w:rPr>
                <w:rFonts w:ascii="Times New Roman" w:eastAsia="Times New Roman" w:hAnsi="Times New Roman" w:cs="Times New Roman"/>
                <w:sz w:val="25"/>
                <w:szCs w:val="25"/>
                <w:shd w:val="clear" w:color="auto" w:fill="FFFFFF"/>
                <w:lang w:eastAsia="lv-LV"/>
              </w:rPr>
              <w:t>ikumā nav tiesiskā regulējuma šādu azartspēļu pakalpojumu sniegšanai. Tādējādi paredzēts izstrādāt likumprojektu “Grozījumi Azartspēļu un izložu likumā”</w:t>
            </w:r>
            <w:r w:rsidR="008104EC" w:rsidRPr="003259B2">
              <w:rPr>
                <w:rFonts w:ascii="Times New Roman" w:eastAsia="Times New Roman" w:hAnsi="Times New Roman" w:cs="Times New Roman"/>
                <w:sz w:val="25"/>
                <w:szCs w:val="25"/>
                <w:shd w:val="clear" w:color="auto" w:fill="FFFFFF"/>
                <w:lang w:eastAsia="lv-LV"/>
              </w:rPr>
              <w:t xml:space="preserve"> (turpmāk – likumprojekts)</w:t>
            </w:r>
            <w:r w:rsidRPr="003259B2">
              <w:rPr>
                <w:rFonts w:ascii="Times New Roman" w:eastAsia="Times New Roman" w:hAnsi="Times New Roman" w:cs="Times New Roman"/>
                <w:sz w:val="25"/>
                <w:szCs w:val="25"/>
                <w:shd w:val="clear" w:color="auto" w:fill="FFFFFF"/>
                <w:lang w:eastAsia="lv-LV"/>
              </w:rPr>
              <w:t xml:space="preserve">, kas paredzētu tiesisko regulējumu azartspēļu pakalpojumu sniegšanai. Likumprojektā paredzēts definēt terminus “azartspēļu pakalpojumu sniegšana”, “azartspēļu pakalpojumu sniedzējs” un “azartspēļu pakalpojumu radīšanas vieta”, lai radītu iespēju saņemt plānotos ieņēmumus no jaunā azartspēļu nodokļa objekta. </w:t>
            </w:r>
          </w:p>
          <w:p w:rsidR="0037342B" w:rsidRPr="003259B2" w:rsidRDefault="0037342B" w:rsidP="007776FC">
            <w:pPr>
              <w:spacing w:after="0" w:line="240" w:lineRule="auto"/>
              <w:jc w:val="both"/>
              <w:rPr>
                <w:rFonts w:ascii="Times New Roman" w:eastAsia="Times New Roman" w:hAnsi="Times New Roman" w:cs="Times New Roman"/>
                <w:sz w:val="25"/>
                <w:szCs w:val="25"/>
                <w:u w:val="single"/>
                <w:shd w:val="clear" w:color="auto" w:fill="FFFFFF"/>
                <w:lang w:eastAsia="lv-LV"/>
              </w:rPr>
            </w:pPr>
            <w:r w:rsidRPr="003259B2">
              <w:rPr>
                <w:rFonts w:ascii="Times New Roman" w:eastAsia="Times New Roman" w:hAnsi="Times New Roman" w:cs="Times New Roman"/>
                <w:sz w:val="25"/>
                <w:szCs w:val="25"/>
                <w:shd w:val="clear" w:color="auto" w:fill="FFFFFF"/>
                <w:lang w:eastAsia="lv-LV"/>
              </w:rPr>
              <w:t>Tādējādi Likumā paredzēt</w:t>
            </w:r>
            <w:r w:rsidR="00810F9F" w:rsidRPr="003259B2">
              <w:rPr>
                <w:rFonts w:ascii="Times New Roman" w:eastAsia="Times New Roman" w:hAnsi="Times New Roman" w:cs="Times New Roman"/>
                <w:sz w:val="25"/>
                <w:szCs w:val="25"/>
                <w:shd w:val="clear" w:color="auto" w:fill="FFFFFF"/>
                <w:lang w:eastAsia="lv-LV"/>
              </w:rPr>
              <w:t>o grozījumu</w:t>
            </w:r>
            <w:r w:rsidR="00931FE9" w:rsidRPr="003259B2">
              <w:rPr>
                <w:rFonts w:ascii="Times New Roman" w:eastAsia="Times New Roman" w:hAnsi="Times New Roman" w:cs="Times New Roman"/>
                <w:sz w:val="25"/>
                <w:szCs w:val="25"/>
                <w:shd w:val="clear" w:color="auto" w:fill="FFFFFF"/>
                <w:lang w:eastAsia="lv-LV"/>
              </w:rPr>
              <w:t xml:space="preserve"> galven</w:t>
            </w:r>
            <w:r w:rsidR="00810F9F" w:rsidRPr="003259B2">
              <w:rPr>
                <w:rFonts w:ascii="Times New Roman" w:eastAsia="Times New Roman" w:hAnsi="Times New Roman" w:cs="Times New Roman"/>
                <w:sz w:val="25"/>
                <w:szCs w:val="25"/>
                <w:shd w:val="clear" w:color="auto" w:fill="FFFFFF"/>
                <w:lang w:eastAsia="lv-LV"/>
              </w:rPr>
              <w:t>ie mērķi ir šādi</w:t>
            </w:r>
            <w:r w:rsidRPr="003259B2">
              <w:rPr>
                <w:rFonts w:ascii="Times New Roman" w:eastAsia="Times New Roman" w:hAnsi="Times New Roman" w:cs="Times New Roman"/>
                <w:sz w:val="25"/>
                <w:szCs w:val="25"/>
                <w:shd w:val="clear" w:color="auto" w:fill="FFFFFF"/>
                <w:lang w:eastAsia="lv-LV"/>
              </w:rPr>
              <w:t>:</w:t>
            </w:r>
          </w:p>
          <w:p w:rsidR="00767F97" w:rsidRPr="003259B2" w:rsidRDefault="00810F9F" w:rsidP="007776FC">
            <w:pPr>
              <w:pStyle w:val="ListParagraph"/>
              <w:numPr>
                <w:ilvl w:val="0"/>
                <w:numId w:val="5"/>
              </w:numPr>
              <w:tabs>
                <w:tab w:val="left" w:pos="394"/>
              </w:tabs>
              <w:spacing w:after="0" w:line="240" w:lineRule="auto"/>
              <w:ind w:left="0"/>
              <w:rPr>
                <w:rFonts w:ascii="Times New Roman" w:hAnsi="Times New Roman" w:cs="Times New Roman"/>
                <w:i/>
                <w:sz w:val="25"/>
                <w:szCs w:val="25"/>
                <w:u w:val="single"/>
                <w:shd w:val="clear" w:color="auto" w:fill="FFFFFF"/>
                <w:lang w:eastAsia="lv-LV"/>
              </w:rPr>
            </w:pPr>
            <w:r w:rsidRPr="003259B2">
              <w:rPr>
                <w:rFonts w:ascii="Times New Roman" w:hAnsi="Times New Roman" w:cs="Times New Roman"/>
                <w:i/>
                <w:sz w:val="25"/>
                <w:szCs w:val="25"/>
                <w:u w:val="single"/>
                <w:shd w:val="clear" w:color="auto" w:fill="FFFFFF"/>
                <w:lang w:eastAsia="lv-LV"/>
              </w:rPr>
              <w:t>paredzēt j</w:t>
            </w:r>
            <w:r w:rsidR="00A528D7" w:rsidRPr="003259B2">
              <w:rPr>
                <w:rFonts w:ascii="Times New Roman" w:hAnsi="Times New Roman" w:cs="Times New Roman"/>
                <w:i/>
                <w:sz w:val="25"/>
                <w:szCs w:val="25"/>
                <w:u w:val="single"/>
                <w:shd w:val="clear" w:color="auto" w:fill="FFFFFF"/>
                <w:lang w:eastAsia="lv-LV"/>
              </w:rPr>
              <w:t>aun</w:t>
            </w:r>
            <w:r w:rsidRPr="003259B2">
              <w:rPr>
                <w:rFonts w:ascii="Times New Roman" w:hAnsi="Times New Roman" w:cs="Times New Roman"/>
                <w:i/>
                <w:sz w:val="25"/>
                <w:szCs w:val="25"/>
                <w:u w:val="single"/>
                <w:shd w:val="clear" w:color="auto" w:fill="FFFFFF"/>
                <w:lang w:eastAsia="lv-LV"/>
              </w:rPr>
              <w:t>us</w:t>
            </w:r>
            <w:r w:rsidR="00A77456" w:rsidRPr="003259B2">
              <w:rPr>
                <w:rFonts w:ascii="Times New Roman" w:hAnsi="Times New Roman" w:cs="Times New Roman"/>
                <w:i/>
                <w:sz w:val="25"/>
                <w:szCs w:val="25"/>
                <w:u w:val="single"/>
                <w:shd w:val="clear" w:color="auto" w:fill="FFFFFF"/>
                <w:lang w:eastAsia="lv-LV"/>
              </w:rPr>
              <w:t xml:space="preserve"> Likum</w:t>
            </w:r>
            <w:r w:rsidRPr="003259B2">
              <w:rPr>
                <w:rFonts w:ascii="Times New Roman" w:hAnsi="Times New Roman" w:cs="Times New Roman"/>
                <w:i/>
                <w:sz w:val="25"/>
                <w:szCs w:val="25"/>
                <w:u w:val="single"/>
                <w:shd w:val="clear" w:color="auto" w:fill="FFFFFF"/>
                <w:lang w:eastAsia="lv-LV"/>
              </w:rPr>
              <w:t>ā lietotos terminus</w:t>
            </w:r>
            <w:r w:rsidR="0037342B" w:rsidRPr="003259B2">
              <w:rPr>
                <w:rFonts w:ascii="Times New Roman" w:hAnsi="Times New Roman" w:cs="Times New Roman"/>
                <w:i/>
                <w:sz w:val="25"/>
                <w:szCs w:val="25"/>
                <w:u w:val="single"/>
                <w:shd w:val="clear" w:color="auto" w:fill="FFFFFF"/>
                <w:lang w:eastAsia="lv-LV"/>
              </w:rPr>
              <w:t xml:space="preserve"> </w:t>
            </w:r>
            <w:r w:rsidR="00A528D7" w:rsidRPr="003259B2">
              <w:rPr>
                <w:rFonts w:ascii="Times New Roman" w:hAnsi="Times New Roman" w:cs="Times New Roman"/>
                <w:i/>
                <w:sz w:val="25"/>
                <w:szCs w:val="25"/>
                <w:u w:val="single"/>
                <w:shd w:val="clear" w:color="auto" w:fill="FFFFFF"/>
                <w:lang w:eastAsia="lv-LV"/>
              </w:rPr>
              <w:t>(</w:t>
            </w:r>
            <w:r w:rsidR="0084493F" w:rsidRPr="003259B2">
              <w:rPr>
                <w:rFonts w:ascii="Times New Roman" w:hAnsi="Times New Roman" w:cs="Times New Roman"/>
                <w:i/>
                <w:sz w:val="25"/>
                <w:szCs w:val="25"/>
                <w:u w:val="single"/>
                <w:shd w:val="clear" w:color="auto" w:fill="FFFFFF"/>
                <w:lang w:eastAsia="lv-LV"/>
              </w:rPr>
              <w:t xml:space="preserve">Likuma </w:t>
            </w:r>
            <w:r w:rsidR="00A528D7" w:rsidRPr="003259B2">
              <w:rPr>
                <w:rFonts w:ascii="Times New Roman" w:hAnsi="Times New Roman" w:cs="Times New Roman"/>
                <w:i/>
                <w:sz w:val="25"/>
                <w:szCs w:val="25"/>
                <w:u w:val="single"/>
                <w:shd w:val="clear" w:color="auto" w:fill="FFFFFF"/>
                <w:lang w:eastAsia="lv-LV"/>
              </w:rPr>
              <w:t>1.panta 20.</w:t>
            </w:r>
            <w:r w:rsidR="00A77456" w:rsidRPr="003259B2">
              <w:rPr>
                <w:rFonts w:ascii="Times New Roman" w:hAnsi="Times New Roman" w:cs="Times New Roman"/>
                <w:i/>
                <w:sz w:val="25"/>
                <w:szCs w:val="25"/>
                <w:u w:val="single"/>
                <w:shd w:val="clear" w:color="auto" w:fill="FFFFFF"/>
                <w:lang w:eastAsia="lv-LV"/>
              </w:rPr>
              <w:t>,</w:t>
            </w:r>
            <w:r w:rsidR="00A528D7" w:rsidRPr="003259B2">
              <w:rPr>
                <w:rFonts w:ascii="Times New Roman" w:hAnsi="Times New Roman" w:cs="Times New Roman"/>
                <w:i/>
                <w:sz w:val="25"/>
                <w:szCs w:val="25"/>
                <w:u w:val="single"/>
                <w:shd w:val="clear" w:color="auto" w:fill="FFFFFF"/>
                <w:lang w:eastAsia="lv-LV"/>
              </w:rPr>
              <w:t xml:space="preserve"> 21. un 22. punkts)</w:t>
            </w:r>
            <w:r w:rsidR="00A77456" w:rsidRPr="003259B2">
              <w:rPr>
                <w:rFonts w:ascii="Times New Roman" w:hAnsi="Times New Roman" w:cs="Times New Roman"/>
                <w:i/>
                <w:sz w:val="25"/>
                <w:szCs w:val="25"/>
                <w:u w:val="single"/>
                <w:shd w:val="clear" w:color="auto" w:fill="FFFFFF"/>
                <w:lang w:eastAsia="lv-LV"/>
              </w:rPr>
              <w:t>.</w:t>
            </w:r>
          </w:p>
          <w:p w:rsidR="00A528D7" w:rsidRPr="003259B2" w:rsidRDefault="00A77456" w:rsidP="007776FC">
            <w:pPr>
              <w:tabs>
                <w:tab w:val="left" w:pos="394"/>
              </w:tabs>
              <w:spacing w:after="0" w:line="240" w:lineRule="auto"/>
              <w:jc w:val="both"/>
              <w:rPr>
                <w:rFonts w:ascii="Times New Roman" w:eastAsia="Times New Roman" w:hAnsi="Times New Roman" w:cs="Times New Roman"/>
                <w:sz w:val="25"/>
                <w:szCs w:val="25"/>
                <w:shd w:val="clear" w:color="auto" w:fill="FFFFFF"/>
                <w:lang w:eastAsia="lv-LV"/>
              </w:rPr>
            </w:pPr>
            <w:r w:rsidRPr="003259B2">
              <w:rPr>
                <w:rFonts w:ascii="Times New Roman" w:eastAsia="Times New Roman" w:hAnsi="Times New Roman" w:cs="Times New Roman"/>
                <w:sz w:val="25"/>
                <w:szCs w:val="25"/>
                <w:shd w:val="clear" w:color="auto" w:fill="FFFFFF"/>
                <w:lang w:eastAsia="lv-LV"/>
              </w:rPr>
              <w:t xml:space="preserve">Ņemot vērā to, ka jaunais azartspēļu nodokļa objekts nav piemērojams azartspēļu organizētajam, tad nepieciešams nodalīt azartspēļu pakalpojumu no azartspēļu organizēšanas. Jauni termini nepieciešami, lai nodalītu azartspēļu organizēšanu un azartspēļu pakalpojumu sniegšanu un definētu azartspēļu pakalpojumu radīšanas vietu; </w:t>
            </w:r>
          </w:p>
          <w:p w:rsidR="00A528D7" w:rsidRPr="003259B2" w:rsidRDefault="00810F9F" w:rsidP="007776FC">
            <w:pPr>
              <w:pStyle w:val="ListParagraph"/>
              <w:numPr>
                <w:ilvl w:val="0"/>
                <w:numId w:val="5"/>
              </w:numPr>
              <w:tabs>
                <w:tab w:val="left" w:pos="394"/>
              </w:tabs>
              <w:spacing w:after="0" w:line="240" w:lineRule="auto"/>
              <w:ind w:left="0"/>
              <w:jc w:val="both"/>
              <w:rPr>
                <w:rFonts w:ascii="Times New Roman" w:eastAsia="Times New Roman" w:hAnsi="Times New Roman" w:cs="Times New Roman"/>
                <w:i/>
                <w:sz w:val="25"/>
                <w:szCs w:val="25"/>
                <w:u w:val="single"/>
                <w:shd w:val="clear" w:color="auto" w:fill="FFFFFF"/>
                <w:lang w:eastAsia="lv-LV"/>
              </w:rPr>
            </w:pPr>
            <w:r w:rsidRPr="003259B2">
              <w:rPr>
                <w:rFonts w:ascii="Times New Roman" w:eastAsia="Times New Roman" w:hAnsi="Times New Roman" w:cs="Times New Roman"/>
                <w:i/>
                <w:sz w:val="25"/>
                <w:szCs w:val="25"/>
                <w:u w:val="single"/>
                <w:shd w:val="clear" w:color="auto" w:fill="FFFFFF"/>
                <w:lang w:eastAsia="lv-LV"/>
              </w:rPr>
              <w:t>paredzēt jaunu a</w:t>
            </w:r>
            <w:r w:rsidR="00A528D7" w:rsidRPr="003259B2">
              <w:rPr>
                <w:rFonts w:ascii="Times New Roman" w:eastAsia="Times New Roman" w:hAnsi="Times New Roman" w:cs="Times New Roman"/>
                <w:i/>
                <w:sz w:val="25"/>
                <w:szCs w:val="25"/>
                <w:u w:val="single"/>
                <w:shd w:val="clear" w:color="auto" w:fill="FFFFFF"/>
                <w:lang w:eastAsia="lv-LV"/>
              </w:rPr>
              <w:t>zartspēļu pakalpojumu sniegšanas licenc</w:t>
            </w:r>
            <w:r w:rsidRPr="003259B2">
              <w:rPr>
                <w:rFonts w:ascii="Times New Roman" w:eastAsia="Times New Roman" w:hAnsi="Times New Roman" w:cs="Times New Roman"/>
                <w:i/>
                <w:sz w:val="25"/>
                <w:szCs w:val="25"/>
                <w:u w:val="single"/>
                <w:shd w:val="clear" w:color="auto" w:fill="FFFFFF"/>
                <w:lang w:eastAsia="lv-LV"/>
              </w:rPr>
              <w:t>i</w:t>
            </w:r>
            <w:r w:rsidR="007776FC" w:rsidRPr="003259B2">
              <w:rPr>
                <w:rFonts w:ascii="Times New Roman" w:eastAsia="Times New Roman" w:hAnsi="Times New Roman" w:cs="Times New Roman"/>
                <w:i/>
                <w:sz w:val="25"/>
                <w:szCs w:val="25"/>
                <w:u w:val="single"/>
                <w:shd w:val="clear" w:color="auto" w:fill="FFFFFF"/>
                <w:lang w:eastAsia="lv-LV"/>
              </w:rPr>
              <w:t xml:space="preserve"> (</w:t>
            </w:r>
            <w:r w:rsidR="009B1CDE" w:rsidRPr="003259B2">
              <w:rPr>
                <w:rFonts w:ascii="Times New Roman" w:eastAsia="Times New Roman" w:hAnsi="Times New Roman" w:cs="Times New Roman"/>
                <w:i/>
                <w:sz w:val="25"/>
                <w:szCs w:val="25"/>
                <w:u w:val="single"/>
                <w:shd w:val="clear" w:color="auto" w:fill="FFFFFF"/>
                <w:lang w:eastAsia="lv-LV"/>
              </w:rPr>
              <w:t xml:space="preserve">likumprojekta </w:t>
            </w:r>
            <w:r w:rsidR="007776FC" w:rsidRPr="003259B2">
              <w:rPr>
                <w:rFonts w:ascii="Times New Roman" w:eastAsia="Times New Roman" w:hAnsi="Times New Roman" w:cs="Times New Roman"/>
                <w:i/>
                <w:sz w:val="25"/>
                <w:szCs w:val="25"/>
                <w:u w:val="single"/>
                <w:shd w:val="clear" w:color="auto" w:fill="FFFFFF"/>
                <w:lang w:eastAsia="lv-LV"/>
              </w:rPr>
              <w:t>12.pants)</w:t>
            </w:r>
            <w:r w:rsidR="008104EC" w:rsidRPr="003259B2">
              <w:rPr>
                <w:rFonts w:ascii="Times New Roman" w:eastAsia="Times New Roman" w:hAnsi="Times New Roman" w:cs="Times New Roman"/>
                <w:i/>
                <w:sz w:val="25"/>
                <w:szCs w:val="25"/>
                <w:u w:val="single"/>
                <w:shd w:val="clear" w:color="auto" w:fill="FFFFFF"/>
                <w:lang w:eastAsia="lv-LV"/>
              </w:rPr>
              <w:t>.</w:t>
            </w:r>
          </w:p>
          <w:p w:rsidR="00A528D7" w:rsidRPr="003259B2" w:rsidRDefault="00A528D7" w:rsidP="007776FC">
            <w:pPr>
              <w:spacing w:after="0" w:line="240" w:lineRule="auto"/>
              <w:jc w:val="both"/>
              <w:rPr>
                <w:rFonts w:ascii="Times New Roman" w:hAnsi="Times New Roman" w:cs="Times New Roman"/>
                <w:sz w:val="25"/>
                <w:szCs w:val="25"/>
              </w:rPr>
            </w:pPr>
            <w:r w:rsidRPr="003259B2">
              <w:rPr>
                <w:rFonts w:ascii="Times New Roman" w:eastAsia="Times New Roman" w:hAnsi="Times New Roman" w:cs="Times New Roman"/>
                <w:sz w:val="25"/>
                <w:szCs w:val="25"/>
                <w:shd w:val="clear" w:color="auto" w:fill="FFFFFF"/>
                <w:lang w:eastAsia="lv-LV"/>
              </w:rPr>
              <w:t>Likumprojektā paredzēts azartspēļu pakalpojumu sniegšanu licencēt, lai nodrošinātu vienveidīgu regulējumu personām, kuras maksā azartspēļu nodokli</w:t>
            </w:r>
            <w:r w:rsidR="00976328" w:rsidRPr="003259B2">
              <w:rPr>
                <w:rFonts w:ascii="Times New Roman" w:eastAsia="Times New Roman" w:hAnsi="Times New Roman" w:cs="Times New Roman"/>
                <w:sz w:val="25"/>
                <w:szCs w:val="25"/>
                <w:shd w:val="clear" w:color="auto" w:fill="FFFFFF"/>
                <w:lang w:eastAsia="lv-LV"/>
              </w:rPr>
              <w:t>,</w:t>
            </w:r>
            <w:r w:rsidRPr="003259B2">
              <w:rPr>
                <w:rFonts w:ascii="Times New Roman" w:eastAsia="Times New Roman" w:hAnsi="Times New Roman" w:cs="Times New Roman"/>
                <w:sz w:val="25"/>
                <w:szCs w:val="25"/>
                <w:shd w:val="clear" w:color="auto" w:fill="FFFFFF"/>
                <w:lang w:eastAsia="lv-LV"/>
              </w:rPr>
              <w:t xml:space="preserve"> un būtu iespējams tās regulāri identificēt un uzraudzīt. Plānots paredzēt, ka azartspēļu pakalpojumu sniegšanas licence dod tiesības tās saņēmējam sniegt azartspēļu pakalpojumu, kā arī to, ka azartspēļu licenci</w:t>
            </w:r>
            <w:r w:rsidR="006C3304" w:rsidRPr="003259B2">
              <w:rPr>
                <w:rFonts w:ascii="Times New Roman" w:eastAsia="Times New Roman" w:hAnsi="Times New Roman" w:cs="Times New Roman"/>
                <w:sz w:val="25"/>
                <w:szCs w:val="25"/>
                <w:shd w:val="clear" w:color="auto" w:fill="FFFFFF"/>
                <w:lang w:eastAsia="lv-LV"/>
              </w:rPr>
              <w:t>, par kuru tiek samaksāta valsts nodeva,</w:t>
            </w:r>
            <w:r w:rsidRPr="003259B2">
              <w:rPr>
                <w:rFonts w:ascii="Times New Roman" w:eastAsia="Times New Roman" w:hAnsi="Times New Roman" w:cs="Times New Roman"/>
                <w:sz w:val="25"/>
                <w:szCs w:val="25"/>
                <w:shd w:val="clear" w:color="auto" w:fill="FFFFFF"/>
                <w:lang w:eastAsia="lv-LV"/>
              </w:rPr>
              <w:t xml:space="preserve"> izsniedz uz nenoteiktu laiku, un katru gadu tā būs jāpārreģistrē Izložu</w:t>
            </w:r>
            <w:r w:rsidRPr="003259B2">
              <w:rPr>
                <w:rFonts w:ascii="Times New Roman" w:hAnsi="Times New Roman" w:cs="Times New Roman"/>
                <w:sz w:val="25"/>
                <w:szCs w:val="25"/>
              </w:rPr>
              <w:t xml:space="preserve"> un azartspēļu uzraudzības inspekcijā.</w:t>
            </w:r>
          </w:p>
          <w:p w:rsidR="00A528D7" w:rsidRPr="003259B2" w:rsidRDefault="006C3304" w:rsidP="007776FC">
            <w:pPr>
              <w:spacing w:after="0" w:line="240" w:lineRule="auto"/>
              <w:jc w:val="both"/>
              <w:rPr>
                <w:rFonts w:ascii="Times New Roman" w:eastAsia="Times New Roman" w:hAnsi="Times New Roman" w:cs="Times New Roman"/>
                <w:i/>
                <w:sz w:val="25"/>
                <w:szCs w:val="25"/>
                <w:u w:val="single"/>
                <w:shd w:val="clear" w:color="auto" w:fill="FFFFFF"/>
                <w:lang w:eastAsia="lv-LV"/>
              </w:rPr>
            </w:pPr>
            <w:r w:rsidRPr="003259B2">
              <w:rPr>
                <w:rFonts w:ascii="Times New Roman" w:eastAsia="Times New Roman" w:hAnsi="Times New Roman" w:cs="Times New Roman"/>
                <w:i/>
                <w:sz w:val="25"/>
                <w:szCs w:val="25"/>
                <w:u w:val="single"/>
                <w:shd w:val="clear" w:color="auto" w:fill="FFFFFF"/>
                <w:lang w:eastAsia="lv-LV"/>
              </w:rPr>
              <w:t>3)</w:t>
            </w:r>
            <w:r w:rsidR="00810F9F" w:rsidRPr="003259B2">
              <w:rPr>
                <w:rFonts w:ascii="Times New Roman" w:eastAsia="Times New Roman" w:hAnsi="Times New Roman" w:cs="Times New Roman"/>
                <w:i/>
                <w:sz w:val="25"/>
                <w:szCs w:val="25"/>
                <w:u w:val="single"/>
                <w:shd w:val="clear" w:color="auto" w:fill="FFFFFF"/>
                <w:lang w:eastAsia="lv-LV"/>
              </w:rPr>
              <w:t xml:space="preserve"> </w:t>
            </w:r>
            <w:r w:rsidRPr="003259B2">
              <w:rPr>
                <w:rFonts w:ascii="Times New Roman" w:eastAsia="Times New Roman" w:hAnsi="Times New Roman" w:cs="Times New Roman"/>
                <w:i/>
                <w:sz w:val="25"/>
                <w:szCs w:val="25"/>
                <w:u w:val="single"/>
                <w:shd w:val="clear" w:color="auto" w:fill="FFFFFF"/>
                <w:lang w:eastAsia="lv-LV"/>
              </w:rPr>
              <w:t>p</w:t>
            </w:r>
            <w:r w:rsidR="00A528D7" w:rsidRPr="003259B2">
              <w:rPr>
                <w:rFonts w:ascii="Times New Roman" w:eastAsia="Times New Roman" w:hAnsi="Times New Roman" w:cs="Times New Roman"/>
                <w:i/>
                <w:sz w:val="25"/>
                <w:szCs w:val="25"/>
                <w:u w:val="single"/>
                <w:shd w:val="clear" w:color="auto" w:fill="FFFFFF"/>
                <w:lang w:eastAsia="lv-LV"/>
              </w:rPr>
              <w:t>recizēt deleģējum</w:t>
            </w:r>
            <w:r w:rsidRPr="003259B2">
              <w:rPr>
                <w:rFonts w:ascii="Times New Roman" w:eastAsia="Times New Roman" w:hAnsi="Times New Roman" w:cs="Times New Roman"/>
                <w:i/>
                <w:sz w:val="25"/>
                <w:szCs w:val="25"/>
                <w:u w:val="single"/>
                <w:shd w:val="clear" w:color="auto" w:fill="FFFFFF"/>
                <w:lang w:eastAsia="lv-LV"/>
              </w:rPr>
              <w:t>us</w:t>
            </w:r>
            <w:r w:rsidR="00A528D7" w:rsidRPr="003259B2">
              <w:rPr>
                <w:rFonts w:ascii="Times New Roman" w:eastAsia="Times New Roman" w:hAnsi="Times New Roman" w:cs="Times New Roman"/>
                <w:i/>
                <w:sz w:val="25"/>
                <w:szCs w:val="25"/>
                <w:u w:val="single"/>
                <w:shd w:val="clear" w:color="auto" w:fill="FFFFFF"/>
                <w:lang w:eastAsia="lv-LV"/>
              </w:rPr>
              <w:t xml:space="preserve"> M</w:t>
            </w:r>
            <w:r w:rsidRPr="003259B2">
              <w:rPr>
                <w:rFonts w:ascii="Times New Roman" w:eastAsia="Times New Roman" w:hAnsi="Times New Roman" w:cs="Times New Roman"/>
                <w:i/>
                <w:sz w:val="25"/>
                <w:szCs w:val="25"/>
                <w:u w:val="single"/>
                <w:shd w:val="clear" w:color="auto" w:fill="FFFFFF"/>
                <w:lang w:eastAsia="lv-LV"/>
              </w:rPr>
              <w:t>inistru kabineta</w:t>
            </w:r>
            <w:r w:rsidR="007776FC" w:rsidRPr="003259B2">
              <w:rPr>
                <w:rFonts w:ascii="Times New Roman" w:eastAsia="Times New Roman" w:hAnsi="Times New Roman" w:cs="Times New Roman"/>
                <w:i/>
                <w:sz w:val="25"/>
                <w:szCs w:val="25"/>
                <w:u w:val="single"/>
                <w:shd w:val="clear" w:color="auto" w:fill="FFFFFF"/>
                <w:lang w:eastAsia="lv-LV"/>
              </w:rPr>
              <w:t xml:space="preserve"> noteikumu projektiem, kas ir</w:t>
            </w:r>
            <w:r w:rsidRPr="003259B2">
              <w:rPr>
                <w:rFonts w:ascii="Times New Roman" w:eastAsia="Times New Roman" w:hAnsi="Times New Roman" w:cs="Times New Roman"/>
                <w:i/>
                <w:sz w:val="25"/>
                <w:szCs w:val="25"/>
                <w:u w:val="single"/>
                <w:shd w:val="clear" w:color="auto" w:fill="FFFFFF"/>
                <w:lang w:eastAsia="lv-LV"/>
              </w:rPr>
              <w:t xml:space="preserve"> izsludināti Valsts sekretār</w:t>
            </w:r>
            <w:r w:rsidR="007776FC" w:rsidRPr="003259B2">
              <w:rPr>
                <w:rFonts w:ascii="Times New Roman" w:eastAsia="Times New Roman" w:hAnsi="Times New Roman" w:cs="Times New Roman"/>
                <w:i/>
                <w:sz w:val="25"/>
                <w:szCs w:val="25"/>
                <w:u w:val="single"/>
                <w:shd w:val="clear" w:color="auto" w:fill="FFFFFF"/>
                <w:lang w:eastAsia="lv-LV"/>
              </w:rPr>
              <w:t xml:space="preserve">u sanāksmē </w:t>
            </w:r>
            <w:r w:rsidR="007776FC" w:rsidRPr="003259B2">
              <w:rPr>
                <w:rFonts w:ascii="Times New Roman" w:eastAsia="Times New Roman" w:hAnsi="Times New Roman" w:cs="Times New Roman"/>
                <w:sz w:val="25"/>
                <w:szCs w:val="25"/>
                <w:u w:val="single"/>
                <w:shd w:val="clear" w:color="auto" w:fill="FFFFFF"/>
                <w:lang w:eastAsia="lv-LV"/>
              </w:rPr>
              <w:t>(</w:t>
            </w:r>
            <w:r w:rsidR="007776FC" w:rsidRPr="003259B2">
              <w:rPr>
                <w:rFonts w:ascii="Times New Roman" w:hAnsi="Times New Roman" w:cs="Times New Roman"/>
                <w:bCs/>
                <w:color w:val="000000" w:themeColor="text1"/>
                <w:sz w:val="25"/>
                <w:szCs w:val="25"/>
              </w:rPr>
              <w:t>VSS-762 unVSS-481</w:t>
            </w:r>
            <w:r w:rsidR="007776FC" w:rsidRPr="003259B2">
              <w:rPr>
                <w:rFonts w:ascii="Times New Roman" w:hAnsi="Times New Roman" w:cs="Times New Roman"/>
                <w:bCs/>
                <w:i/>
                <w:color w:val="000000" w:themeColor="text1"/>
                <w:sz w:val="25"/>
                <w:szCs w:val="25"/>
              </w:rPr>
              <w:t>) (</w:t>
            </w:r>
            <w:r w:rsidR="009B1CDE" w:rsidRPr="003259B2">
              <w:rPr>
                <w:rFonts w:ascii="Times New Roman" w:hAnsi="Times New Roman" w:cs="Times New Roman"/>
                <w:bCs/>
                <w:i/>
                <w:color w:val="000000" w:themeColor="text1"/>
                <w:sz w:val="25"/>
                <w:szCs w:val="25"/>
              </w:rPr>
              <w:t xml:space="preserve">likumprojekta </w:t>
            </w:r>
            <w:r w:rsidR="007776FC" w:rsidRPr="003259B2">
              <w:rPr>
                <w:rFonts w:ascii="Times New Roman" w:hAnsi="Times New Roman" w:cs="Times New Roman"/>
                <w:bCs/>
                <w:i/>
                <w:color w:val="000000" w:themeColor="text1"/>
                <w:sz w:val="25"/>
                <w:szCs w:val="25"/>
              </w:rPr>
              <w:t xml:space="preserve">3. – 11.pants, </w:t>
            </w:r>
            <w:r w:rsidR="00975148" w:rsidRPr="003259B2">
              <w:rPr>
                <w:rFonts w:ascii="Times New Roman" w:hAnsi="Times New Roman" w:cs="Times New Roman"/>
                <w:bCs/>
                <w:i/>
                <w:color w:val="000000" w:themeColor="text1"/>
                <w:sz w:val="25"/>
                <w:szCs w:val="25"/>
              </w:rPr>
              <w:t>15.pants)</w:t>
            </w:r>
          </w:p>
          <w:p w:rsidR="007776FC" w:rsidRPr="003259B2" w:rsidRDefault="00A528D7" w:rsidP="007776FC">
            <w:pPr>
              <w:spacing w:after="0" w:line="240" w:lineRule="auto"/>
              <w:jc w:val="both"/>
              <w:rPr>
                <w:rFonts w:ascii="Times New Roman" w:eastAsia="Times New Roman" w:hAnsi="Times New Roman" w:cs="Times New Roman"/>
                <w:sz w:val="25"/>
                <w:szCs w:val="25"/>
                <w:shd w:val="clear" w:color="auto" w:fill="FFFFFF"/>
                <w:lang w:eastAsia="lv-LV"/>
              </w:rPr>
            </w:pPr>
            <w:r w:rsidRPr="003259B2">
              <w:rPr>
                <w:rFonts w:ascii="Times New Roman" w:eastAsia="Times New Roman" w:hAnsi="Times New Roman" w:cs="Times New Roman"/>
                <w:sz w:val="25"/>
                <w:szCs w:val="25"/>
                <w:shd w:val="clear" w:color="auto" w:fill="FFFFFF"/>
                <w:lang w:eastAsia="lv-LV"/>
              </w:rPr>
              <w:t>Ņemot vērā, ka sagatavojot jaunus M</w:t>
            </w:r>
            <w:r w:rsidR="007776FC" w:rsidRPr="003259B2">
              <w:rPr>
                <w:rFonts w:ascii="Times New Roman" w:eastAsia="Times New Roman" w:hAnsi="Times New Roman" w:cs="Times New Roman"/>
                <w:sz w:val="25"/>
                <w:szCs w:val="25"/>
                <w:shd w:val="clear" w:color="auto" w:fill="FFFFFF"/>
                <w:lang w:eastAsia="lv-LV"/>
              </w:rPr>
              <w:t xml:space="preserve">inistru </w:t>
            </w:r>
            <w:r w:rsidR="00BD1517" w:rsidRPr="003259B2">
              <w:rPr>
                <w:rFonts w:ascii="Times New Roman" w:eastAsia="Times New Roman" w:hAnsi="Times New Roman" w:cs="Times New Roman"/>
                <w:sz w:val="25"/>
                <w:szCs w:val="25"/>
                <w:shd w:val="clear" w:color="auto" w:fill="FFFFFF"/>
                <w:lang w:eastAsia="lv-LV"/>
              </w:rPr>
              <w:t>k</w:t>
            </w:r>
            <w:r w:rsidR="007776FC" w:rsidRPr="003259B2">
              <w:rPr>
                <w:rFonts w:ascii="Times New Roman" w:eastAsia="Times New Roman" w:hAnsi="Times New Roman" w:cs="Times New Roman"/>
                <w:sz w:val="25"/>
                <w:szCs w:val="25"/>
                <w:shd w:val="clear" w:color="auto" w:fill="FFFFFF"/>
                <w:lang w:eastAsia="lv-LV"/>
              </w:rPr>
              <w:t>abineta</w:t>
            </w:r>
            <w:r w:rsidRPr="003259B2">
              <w:rPr>
                <w:rFonts w:ascii="Times New Roman" w:eastAsia="Times New Roman" w:hAnsi="Times New Roman" w:cs="Times New Roman"/>
                <w:sz w:val="25"/>
                <w:szCs w:val="25"/>
                <w:shd w:val="clear" w:color="auto" w:fill="FFFFFF"/>
                <w:lang w:eastAsia="lv-LV"/>
              </w:rPr>
              <w:t xml:space="preserve"> noteikumus, pamatojoties uz līdzšinējo </w:t>
            </w:r>
            <w:r w:rsidR="007776FC" w:rsidRPr="003259B2">
              <w:rPr>
                <w:rFonts w:ascii="Times New Roman" w:eastAsia="Times New Roman" w:hAnsi="Times New Roman" w:cs="Times New Roman"/>
                <w:sz w:val="25"/>
                <w:szCs w:val="25"/>
                <w:shd w:val="clear" w:color="auto" w:fill="FFFFFF"/>
                <w:lang w:eastAsia="lv-LV"/>
              </w:rPr>
              <w:t xml:space="preserve">Likumā </w:t>
            </w:r>
            <w:r w:rsidR="007776FC" w:rsidRPr="003259B2">
              <w:rPr>
                <w:rFonts w:ascii="Times New Roman" w:eastAsia="Times New Roman" w:hAnsi="Times New Roman" w:cs="Times New Roman"/>
                <w:sz w:val="25"/>
                <w:szCs w:val="25"/>
                <w:shd w:val="clear" w:color="auto" w:fill="FFFFFF"/>
                <w:lang w:eastAsia="lv-LV"/>
              </w:rPr>
              <w:lastRenderedPageBreak/>
              <w:t xml:space="preserve">noteikto </w:t>
            </w:r>
            <w:r w:rsidRPr="003259B2">
              <w:rPr>
                <w:rFonts w:ascii="Times New Roman" w:eastAsia="Times New Roman" w:hAnsi="Times New Roman" w:cs="Times New Roman"/>
                <w:sz w:val="25"/>
                <w:szCs w:val="25"/>
                <w:shd w:val="clear" w:color="auto" w:fill="FFFFFF"/>
                <w:lang w:eastAsia="lv-LV"/>
              </w:rPr>
              <w:t>deleģējumu</w:t>
            </w:r>
            <w:r w:rsidR="007776FC" w:rsidRPr="003259B2">
              <w:rPr>
                <w:rFonts w:ascii="Times New Roman" w:eastAsia="Times New Roman" w:hAnsi="Times New Roman" w:cs="Times New Roman"/>
                <w:sz w:val="25"/>
                <w:szCs w:val="25"/>
                <w:shd w:val="clear" w:color="auto" w:fill="FFFFFF"/>
                <w:lang w:eastAsia="lv-LV"/>
              </w:rPr>
              <w:t>,</w:t>
            </w:r>
            <w:r w:rsidRPr="003259B2">
              <w:rPr>
                <w:rFonts w:ascii="Times New Roman" w:eastAsia="Times New Roman" w:hAnsi="Times New Roman" w:cs="Times New Roman"/>
                <w:sz w:val="25"/>
                <w:szCs w:val="25"/>
                <w:shd w:val="clear" w:color="auto" w:fill="FFFFFF"/>
                <w:lang w:eastAsia="lv-LV"/>
              </w:rPr>
              <w:t xml:space="preserve"> </w:t>
            </w:r>
            <w:r w:rsidR="007776FC" w:rsidRPr="003259B2">
              <w:rPr>
                <w:rFonts w:ascii="Times New Roman" w:eastAsia="Times New Roman" w:hAnsi="Times New Roman" w:cs="Times New Roman"/>
                <w:sz w:val="25"/>
                <w:szCs w:val="25"/>
                <w:shd w:val="clear" w:color="auto" w:fill="FFFFFF"/>
                <w:lang w:eastAsia="lv-LV"/>
              </w:rPr>
              <w:t>Tieslietu ministrija</w:t>
            </w:r>
            <w:r w:rsidRPr="003259B2">
              <w:rPr>
                <w:rFonts w:ascii="Times New Roman" w:eastAsia="Times New Roman" w:hAnsi="Times New Roman" w:cs="Times New Roman"/>
                <w:sz w:val="25"/>
                <w:szCs w:val="25"/>
                <w:shd w:val="clear" w:color="auto" w:fill="FFFFFF"/>
                <w:lang w:eastAsia="lv-LV"/>
              </w:rPr>
              <w:t xml:space="preserve"> savos </w:t>
            </w:r>
            <w:r w:rsidR="007776FC" w:rsidRPr="003259B2">
              <w:rPr>
                <w:rFonts w:ascii="Times New Roman" w:eastAsia="Times New Roman" w:hAnsi="Times New Roman" w:cs="Times New Roman"/>
                <w:sz w:val="25"/>
                <w:szCs w:val="25"/>
                <w:shd w:val="clear" w:color="auto" w:fill="FFFFFF"/>
                <w:lang w:eastAsia="lv-LV"/>
              </w:rPr>
              <w:t>atzinumos</w:t>
            </w:r>
            <w:r w:rsidRPr="003259B2">
              <w:rPr>
                <w:rFonts w:ascii="Times New Roman" w:eastAsia="Times New Roman" w:hAnsi="Times New Roman" w:cs="Times New Roman"/>
                <w:sz w:val="25"/>
                <w:szCs w:val="25"/>
                <w:shd w:val="clear" w:color="auto" w:fill="FFFFFF"/>
                <w:lang w:eastAsia="lv-LV"/>
              </w:rPr>
              <w:t xml:space="preserve"> norāda, ka esošo </w:t>
            </w:r>
            <w:r w:rsidR="007776FC" w:rsidRPr="003259B2">
              <w:rPr>
                <w:rFonts w:ascii="Times New Roman" w:eastAsia="Times New Roman" w:hAnsi="Times New Roman" w:cs="Times New Roman"/>
                <w:sz w:val="25"/>
                <w:szCs w:val="25"/>
                <w:shd w:val="clear" w:color="auto" w:fill="FFFFFF"/>
                <w:lang w:eastAsia="lv-LV"/>
              </w:rPr>
              <w:t xml:space="preserve">Ministru </w:t>
            </w:r>
            <w:r w:rsidR="00BD1517" w:rsidRPr="003259B2">
              <w:rPr>
                <w:rFonts w:ascii="Times New Roman" w:eastAsia="Times New Roman" w:hAnsi="Times New Roman" w:cs="Times New Roman"/>
                <w:sz w:val="25"/>
                <w:szCs w:val="25"/>
                <w:shd w:val="clear" w:color="auto" w:fill="FFFFFF"/>
                <w:lang w:eastAsia="lv-LV"/>
              </w:rPr>
              <w:t>k</w:t>
            </w:r>
            <w:r w:rsidR="007776FC" w:rsidRPr="003259B2">
              <w:rPr>
                <w:rFonts w:ascii="Times New Roman" w:eastAsia="Times New Roman" w:hAnsi="Times New Roman" w:cs="Times New Roman"/>
                <w:sz w:val="25"/>
                <w:szCs w:val="25"/>
                <w:shd w:val="clear" w:color="auto" w:fill="FFFFFF"/>
                <w:lang w:eastAsia="lv-LV"/>
              </w:rPr>
              <w:t>abineta</w:t>
            </w:r>
            <w:r w:rsidRPr="003259B2">
              <w:rPr>
                <w:rFonts w:ascii="Times New Roman" w:eastAsia="Times New Roman" w:hAnsi="Times New Roman" w:cs="Times New Roman"/>
                <w:sz w:val="25"/>
                <w:szCs w:val="25"/>
                <w:shd w:val="clear" w:color="auto" w:fill="FFFFFF"/>
                <w:lang w:eastAsia="lv-LV"/>
              </w:rPr>
              <w:t xml:space="preserve"> noteikumu normu </w:t>
            </w:r>
            <w:proofErr w:type="spellStart"/>
            <w:r w:rsidRPr="003259B2">
              <w:rPr>
                <w:rFonts w:ascii="Times New Roman" w:eastAsia="Times New Roman" w:hAnsi="Times New Roman" w:cs="Times New Roman"/>
                <w:sz w:val="25"/>
                <w:szCs w:val="25"/>
                <w:shd w:val="clear" w:color="auto" w:fill="FFFFFF"/>
                <w:lang w:eastAsia="lv-LV"/>
              </w:rPr>
              <w:t>pār</w:t>
            </w:r>
            <w:r w:rsidR="006A39CA" w:rsidRPr="003259B2">
              <w:rPr>
                <w:rFonts w:ascii="Times New Roman" w:eastAsia="Times New Roman" w:hAnsi="Times New Roman" w:cs="Times New Roman"/>
                <w:sz w:val="25"/>
                <w:szCs w:val="25"/>
                <w:shd w:val="clear" w:color="auto" w:fill="FFFFFF"/>
                <w:lang w:eastAsia="lv-LV"/>
              </w:rPr>
              <w:t>iz</w:t>
            </w:r>
            <w:r w:rsidRPr="003259B2">
              <w:rPr>
                <w:rFonts w:ascii="Times New Roman" w:eastAsia="Times New Roman" w:hAnsi="Times New Roman" w:cs="Times New Roman"/>
                <w:sz w:val="25"/>
                <w:szCs w:val="25"/>
                <w:shd w:val="clear" w:color="auto" w:fill="FFFFFF"/>
                <w:lang w:eastAsia="lv-LV"/>
              </w:rPr>
              <w:t>došan</w:t>
            </w:r>
            <w:r w:rsidR="007776FC" w:rsidRPr="003259B2">
              <w:rPr>
                <w:rFonts w:ascii="Times New Roman" w:eastAsia="Times New Roman" w:hAnsi="Times New Roman" w:cs="Times New Roman"/>
                <w:sz w:val="25"/>
                <w:szCs w:val="25"/>
                <w:shd w:val="clear" w:color="auto" w:fill="FFFFFF"/>
                <w:lang w:eastAsia="lv-LV"/>
              </w:rPr>
              <w:t>a</w:t>
            </w:r>
            <w:proofErr w:type="spellEnd"/>
            <w:r w:rsidRPr="003259B2">
              <w:rPr>
                <w:rFonts w:ascii="Times New Roman" w:eastAsia="Times New Roman" w:hAnsi="Times New Roman" w:cs="Times New Roman"/>
                <w:sz w:val="25"/>
                <w:szCs w:val="25"/>
                <w:shd w:val="clear" w:color="auto" w:fill="FFFFFF"/>
                <w:lang w:eastAsia="lv-LV"/>
              </w:rPr>
              <w:t xml:space="preserve"> jaunos </w:t>
            </w:r>
            <w:r w:rsidR="007776FC" w:rsidRPr="003259B2">
              <w:rPr>
                <w:rFonts w:ascii="Times New Roman" w:eastAsia="Times New Roman" w:hAnsi="Times New Roman" w:cs="Times New Roman"/>
                <w:sz w:val="25"/>
                <w:szCs w:val="25"/>
                <w:shd w:val="clear" w:color="auto" w:fill="FFFFFF"/>
                <w:lang w:eastAsia="lv-LV"/>
              </w:rPr>
              <w:t xml:space="preserve">Ministru </w:t>
            </w:r>
            <w:r w:rsidR="00BD1517" w:rsidRPr="003259B2">
              <w:rPr>
                <w:rFonts w:ascii="Times New Roman" w:eastAsia="Times New Roman" w:hAnsi="Times New Roman" w:cs="Times New Roman"/>
                <w:sz w:val="25"/>
                <w:szCs w:val="25"/>
                <w:shd w:val="clear" w:color="auto" w:fill="FFFFFF"/>
                <w:lang w:eastAsia="lv-LV"/>
              </w:rPr>
              <w:t>k</w:t>
            </w:r>
            <w:r w:rsidR="007776FC" w:rsidRPr="003259B2">
              <w:rPr>
                <w:rFonts w:ascii="Times New Roman" w:eastAsia="Times New Roman" w:hAnsi="Times New Roman" w:cs="Times New Roman"/>
                <w:sz w:val="25"/>
                <w:szCs w:val="25"/>
                <w:shd w:val="clear" w:color="auto" w:fill="FFFFFF"/>
                <w:lang w:eastAsia="lv-LV"/>
              </w:rPr>
              <w:t>abineta</w:t>
            </w:r>
            <w:r w:rsidRPr="003259B2">
              <w:rPr>
                <w:rFonts w:ascii="Times New Roman" w:eastAsia="Times New Roman" w:hAnsi="Times New Roman" w:cs="Times New Roman"/>
                <w:sz w:val="25"/>
                <w:szCs w:val="25"/>
                <w:shd w:val="clear" w:color="auto" w:fill="FFFFFF"/>
                <w:lang w:eastAsia="lv-LV"/>
              </w:rPr>
              <w:t xml:space="preserve"> noteikumos ir neleģitīma, ņemot vē</w:t>
            </w:r>
            <w:r w:rsidR="00975148" w:rsidRPr="003259B2">
              <w:rPr>
                <w:rFonts w:ascii="Times New Roman" w:eastAsia="Times New Roman" w:hAnsi="Times New Roman" w:cs="Times New Roman"/>
                <w:sz w:val="25"/>
                <w:szCs w:val="25"/>
                <w:shd w:val="clear" w:color="auto" w:fill="FFFFFF"/>
                <w:lang w:eastAsia="lv-LV"/>
              </w:rPr>
              <w:t>rā</w:t>
            </w:r>
            <w:r w:rsidRPr="003259B2">
              <w:rPr>
                <w:rFonts w:ascii="Times New Roman" w:eastAsia="Times New Roman" w:hAnsi="Times New Roman" w:cs="Times New Roman"/>
                <w:sz w:val="25"/>
                <w:szCs w:val="25"/>
                <w:shd w:val="clear" w:color="auto" w:fill="FFFFFF"/>
                <w:lang w:eastAsia="lv-LV"/>
              </w:rPr>
              <w:t xml:space="preserve"> ierobežoto deleģējumu, </w:t>
            </w:r>
            <w:r w:rsidR="00975148" w:rsidRPr="003259B2">
              <w:rPr>
                <w:rFonts w:ascii="Times New Roman" w:eastAsia="Times New Roman" w:hAnsi="Times New Roman" w:cs="Times New Roman"/>
                <w:sz w:val="25"/>
                <w:szCs w:val="25"/>
                <w:shd w:val="clear" w:color="auto" w:fill="FFFFFF"/>
                <w:lang w:eastAsia="lv-LV"/>
              </w:rPr>
              <w:t xml:space="preserve">tādējādi, </w:t>
            </w:r>
            <w:r w:rsidRPr="003259B2">
              <w:rPr>
                <w:rFonts w:ascii="Times New Roman" w:eastAsia="Times New Roman" w:hAnsi="Times New Roman" w:cs="Times New Roman"/>
                <w:sz w:val="25"/>
                <w:szCs w:val="25"/>
                <w:shd w:val="clear" w:color="auto" w:fill="FFFFFF"/>
                <w:lang w:eastAsia="lv-LV"/>
              </w:rPr>
              <w:t xml:space="preserve">lai nodrošinātu </w:t>
            </w:r>
            <w:r w:rsidR="00975148" w:rsidRPr="003259B2">
              <w:rPr>
                <w:rFonts w:ascii="Times New Roman" w:eastAsia="Times New Roman" w:hAnsi="Times New Roman" w:cs="Times New Roman"/>
                <w:sz w:val="25"/>
                <w:szCs w:val="25"/>
                <w:shd w:val="clear" w:color="auto" w:fill="FFFFFF"/>
                <w:lang w:eastAsia="lv-LV"/>
              </w:rPr>
              <w:t>L</w:t>
            </w:r>
            <w:r w:rsidRPr="003259B2">
              <w:rPr>
                <w:rFonts w:ascii="Times New Roman" w:eastAsia="Times New Roman" w:hAnsi="Times New Roman" w:cs="Times New Roman"/>
                <w:sz w:val="25"/>
                <w:szCs w:val="25"/>
                <w:shd w:val="clear" w:color="auto" w:fill="FFFFFF"/>
                <w:lang w:eastAsia="lv-LV"/>
              </w:rPr>
              <w:t xml:space="preserve">ikuma normu </w:t>
            </w:r>
            <w:r w:rsidR="007776FC" w:rsidRPr="003259B2">
              <w:rPr>
                <w:rFonts w:ascii="Times New Roman" w:eastAsia="Times New Roman" w:hAnsi="Times New Roman" w:cs="Times New Roman"/>
                <w:sz w:val="25"/>
                <w:szCs w:val="25"/>
                <w:shd w:val="clear" w:color="auto" w:fill="FFFFFF"/>
                <w:lang w:eastAsia="lv-LV"/>
              </w:rPr>
              <w:t>piemērošanu</w:t>
            </w:r>
            <w:r w:rsidR="00975148" w:rsidRPr="003259B2">
              <w:rPr>
                <w:rFonts w:ascii="Times New Roman" w:eastAsia="Times New Roman" w:hAnsi="Times New Roman" w:cs="Times New Roman"/>
                <w:sz w:val="25"/>
                <w:szCs w:val="25"/>
                <w:shd w:val="clear" w:color="auto" w:fill="FFFFFF"/>
                <w:lang w:eastAsia="lv-LV"/>
              </w:rPr>
              <w:t>,</w:t>
            </w:r>
            <w:r w:rsidRPr="003259B2">
              <w:rPr>
                <w:rFonts w:ascii="Times New Roman" w:eastAsia="Times New Roman" w:hAnsi="Times New Roman" w:cs="Times New Roman"/>
                <w:sz w:val="25"/>
                <w:szCs w:val="25"/>
                <w:shd w:val="clear" w:color="auto" w:fill="FFFFFF"/>
                <w:lang w:eastAsia="lv-LV"/>
              </w:rPr>
              <w:t xml:space="preserve"> ir nepieciešams </w:t>
            </w:r>
            <w:r w:rsidR="00975148" w:rsidRPr="003259B2">
              <w:rPr>
                <w:rFonts w:ascii="Times New Roman" w:eastAsia="Times New Roman" w:hAnsi="Times New Roman" w:cs="Times New Roman"/>
                <w:sz w:val="25"/>
                <w:szCs w:val="25"/>
                <w:shd w:val="clear" w:color="auto" w:fill="FFFFFF"/>
                <w:lang w:eastAsia="lv-LV"/>
              </w:rPr>
              <w:t xml:space="preserve">Likumā </w:t>
            </w:r>
            <w:r w:rsidRPr="003259B2">
              <w:rPr>
                <w:rFonts w:ascii="Times New Roman" w:eastAsia="Times New Roman" w:hAnsi="Times New Roman" w:cs="Times New Roman"/>
                <w:sz w:val="25"/>
                <w:szCs w:val="25"/>
                <w:shd w:val="clear" w:color="auto" w:fill="FFFFFF"/>
                <w:lang w:eastAsia="lv-LV"/>
              </w:rPr>
              <w:t>pre</w:t>
            </w:r>
            <w:r w:rsidR="007776FC" w:rsidRPr="003259B2">
              <w:rPr>
                <w:rFonts w:ascii="Times New Roman" w:eastAsia="Times New Roman" w:hAnsi="Times New Roman" w:cs="Times New Roman"/>
                <w:sz w:val="25"/>
                <w:szCs w:val="25"/>
                <w:shd w:val="clear" w:color="auto" w:fill="FFFFFF"/>
                <w:lang w:eastAsia="lv-LV"/>
              </w:rPr>
              <w:t>cizēt</w:t>
            </w:r>
            <w:r w:rsidRPr="003259B2">
              <w:rPr>
                <w:rFonts w:ascii="Times New Roman" w:eastAsia="Times New Roman" w:hAnsi="Times New Roman" w:cs="Times New Roman"/>
                <w:sz w:val="25"/>
                <w:szCs w:val="25"/>
                <w:shd w:val="clear" w:color="auto" w:fill="FFFFFF"/>
                <w:lang w:eastAsia="lv-LV"/>
              </w:rPr>
              <w:t xml:space="preserve"> </w:t>
            </w:r>
            <w:r w:rsidR="007776FC" w:rsidRPr="003259B2">
              <w:rPr>
                <w:rFonts w:ascii="Times New Roman" w:eastAsia="Times New Roman" w:hAnsi="Times New Roman" w:cs="Times New Roman"/>
                <w:sz w:val="25"/>
                <w:szCs w:val="25"/>
                <w:shd w:val="clear" w:color="auto" w:fill="FFFFFF"/>
                <w:lang w:eastAsia="lv-LV"/>
              </w:rPr>
              <w:t xml:space="preserve">Ministru </w:t>
            </w:r>
            <w:r w:rsidR="00BD1517" w:rsidRPr="003259B2">
              <w:rPr>
                <w:rFonts w:ascii="Times New Roman" w:eastAsia="Times New Roman" w:hAnsi="Times New Roman" w:cs="Times New Roman"/>
                <w:sz w:val="25"/>
                <w:szCs w:val="25"/>
                <w:shd w:val="clear" w:color="auto" w:fill="FFFFFF"/>
                <w:lang w:eastAsia="lv-LV"/>
              </w:rPr>
              <w:t>k</w:t>
            </w:r>
            <w:r w:rsidR="007776FC" w:rsidRPr="003259B2">
              <w:rPr>
                <w:rFonts w:ascii="Times New Roman" w:eastAsia="Times New Roman" w:hAnsi="Times New Roman" w:cs="Times New Roman"/>
                <w:sz w:val="25"/>
                <w:szCs w:val="25"/>
                <w:shd w:val="clear" w:color="auto" w:fill="FFFFFF"/>
                <w:lang w:eastAsia="lv-LV"/>
              </w:rPr>
              <w:t>abinetam</w:t>
            </w:r>
            <w:r w:rsidRPr="003259B2">
              <w:rPr>
                <w:rFonts w:ascii="Times New Roman" w:eastAsia="Times New Roman" w:hAnsi="Times New Roman" w:cs="Times New Roman"/>
                <w:sz w:val="25"/>
                <w:szCs w:val="25"/>
                <w:shd w:val="clear" w:color="auto" w:fill="FFFFFF"/>
                <w:lang w:eastAsia="lv-LV"/>
              </w:rPr>
              <w:t xml:space="preserve"> dotos deleģējumus</w:t>
            </w:r>
            <w:r w:rsidR="007776FC" w:rsidRPr="003259B2">
              <w:rPr>
                <w:rFonts w:ascii="Times New Roman" w:eastAsia="Times New Roman" w:hAnsi="Times New Roman" w:cs="Times New Roman"/>
                <w:sz w:val="25"/>
                <w:szCs w:val="25"/>
                <w:shd w:val="clear" w:color="auto" w:fill="FFFFFF"/>
                <w:lang w:eastAsia="lv-LV"/>
              </w:rPr>
              <w:t>.</w:t>
            </w:r>
          </w:p>
          <w:p w:rsidR="00810F9F" w:rsidRPr="003259B2" w:rsidRDefault="00810F9F" w:rsidP="007776FC">
            <w:pPr>
              <w:spacing w:after="0" w:line="240" w:lineRule="auto"/>
              <w:jc w:val="both"/>
              <w:rPr>
                <w:rFonts w:ascii="Times New Roman" w:eastAsia="Times New Roman" w:hAnsi="Times New Roman" w:cs="Times New Roman"/>
                <w:sz w:val="25"/>
                <w:szCs w:val="25"/>
                <w:shd w:val="clear" w:color="auto" w:fill="FFFFFF"/>
                <w:lang w:eastAsia="lv-LV"/>
              </w:rPr>
            </w:pPr>
          </w:p>
          <w:p w:rsidR="00931FE9" w:rsidRPr="003259B2" w:rsidRDefault="00810F9F" w:rsidP="007776FC">
            <w:pPr>
              <w:spacing w:after="0" w:line="240" w:lineRule="auto"/>
              <w:jc w:val="both"/>
              <w:rPr>
                <w:rFonts w:ascii="Times New Roman" w:eastAsia="Times New Roman" w:hAnsi="Times New Roman" w:cs="Times New Roman"/>
                <w:sz w:val="25"/>
                <w:szCs w:val="25"/>
                <w:shd w:val="clear" w:color="auto" w:fill="FFFFFF"/>
                <w:lang w:eastAsia="lv-LV"/>
              </w:rPr>
            </w:pPr>
            <w:r w:rsidRPr="003259B2">
              <w:rPr>
                <w:rFonts w:ascii="Times New Roman" w:eastAsia="Times New Roman" w:hAnsi="Times New Roman" w:cs="Times New Roman"/>
                <w:sz w:val="25"/>
                <w:szCs w:val="25"/>
                <w:shd w:val="clear" w:color="auto" w:fill="FFFFFF"/>
                <w:lang w:eastAsia="lv-LV"/>
              </w:rPr>
              <w:t>Likumprojekt</w:t>
            </w:r>
            <w:r w:rsidR="00B66582" w:rsidRPr="003259B2">
              <w:rPr>
                <w:rFonts w:ascii="Times New Roman" w:eastAsia="Times New Roman" w:hAnsi="Times New Roman" w:cs="Times New Roman"/>
                <w:sz w:val="25"/>
                <w:szCs w:val="25"/>
                <w:shd w:val="clear" w:color="auto" w:fill="FFFFFF"/>
                <w:lang w:eastAsia="lv-LV"/>
              </w:rPr>
              <w:t>a normu</w:t>
            </w:r>
            <w:r w:rsidRPr="003259B2">
              <w:rPr>
                <w:rFonts w:ascii="Times New Roman" w:eastAsia="Times New Roman" w:hAnsi="Times New Roman" w:cs="Times New Roman"/>
                <w:sz w:val="25"/>
                <w:szCs w:val="25"/>
                <w:shd w:val="clear" w:color="auto" w:fill="FFFFFF"/>
                <w:lang w:eastAsia="lv-LV"/>
              </w:rPr>
              <w:t xml:space="preserve"> pamatojums, ņemot vērā iepriekšminētos Likumā paredzēto grozījumu galvenos mērķus</w:t>
            </w:r>
            <w:r w:rsidR="00191F0C" w:rsidRPr="003259B2">
              <w:rPr>
                <w:rFonts w:ascii="Times New Roman" w:eastAsia="Times New Roman" w:hAnsi="Times New Roman" w:cs="Times New Roman"/>
                <w:sz w:val="25"/>
                <w:szCs w:val="25"/>
                <w:shd w:val="clear" w:color="auto" w:fill="FFFFFF"/>
                <w:lang w:eastAsia="lv-LV"/>
              </w:rPr>
              <w:t>,</w:t>
            </w:r>
            <w:r w:rsidRPr="003259B2">
              <w:rPr>
                <w:rFonts w:ascii="Times New Roman" w:eastAsia="Times New Roman" w:hAnsi="Times New Roman" w:cs="Times New Roman"/>
                <w:sz w:val="25"/>
                <w:szCs w:val="25"/>
                <w:shd w:val="clear" w:color="auto" w:fill="FFFFFF"/>
                <w:lang w:eastAsia="lv-LV"/>
              </w:rPr>
              <w:t xml:space="preserve"> ir </w:t>
            </w:r>
            <w:r w:rsidR="00931FE9" w:rsidRPr="003259B2">
              <w:rPr>
                <w:rFonts w:ascii="Times New Roman" w:eastAsia="Times New Roman" w:hAnsi="Times New Roman" w:cs="Times New Roman"/>
                <w:sz w:val="25"/>
                <w:szCs w:val="25"/>
                <w:shd w:val="clear" w:color="auto" w:fill="FFFFFF"/>
                <w:lang w:eastAsia="lv-LV"/>
              </w:rPr>
              <w:t>sekojoš</w:t>
            </w:r>
            <w:r w:rsidRPr="003259B2">
              <w:rPr>
                <w:rFonts w:ascii="Times New Roman" w:eastAsia="Times New Roman" w:hAnsi="Times New Roman" w:cs="Times New Roman"/>
                <w:sz w:val="25"/>
                <w:szCs w:val="25"/>
                <w:shd w:val="clear" w:color="auto" w:fill="FFFFFF"/>
                <w:lang w:eastAsia="lv-LV"/>
              </w:rPr>
              <w:t>s</w:t>
            </w:r>
            <w:r w:rsidR="00931FE9" w:rsidRPr="003259B2">
              <w:rPr>
                <w:rFonts w:ascii="Times New Roman" w:eastAsia="Times New Roman" w:hAnsi="Times New Roman" w:cs="Times New Roman"/>
                <w:sz w:val="25"/>
                <w:szCs w:val="25"/>
                <w:shd w:val="clear" w:color="auto" w:fill="FFFFFF"/>
                <w:lang w:eastAsia="lv-LV"/>
              </w:rPr>
              <w:t>.</w:t>
            </w:r>
          </w:p>
          <w:p w:rsidR="00A528D7" w:rsidRPr="003259B2" w:rsidRDefault="00810F9F" w:rsidP="00810F9F">
            <w:pPr>
              <w:pStyle w:val="ListParagraph"/>
              <w:numPr>
                <w:ilvl w:val="0"/>
                <w:numId w:val="6"/>
              </w:numPr>
              <w:spacing w:after="0" w:line="240" w:lineRule="auto"/>
              <w:jc w:val="both"/>
              <w:rPr>
                <w:rFonts w:ascii="Times New Roman" w:hAnsi="Times New Roman" w:cs="Times New Roman"/>
                <w:i/>
                <w:sz w:val="25"/>
                <w:szCs w:val="25"/>
                <w:u w:val="single"/>
                <w:shd w:val="clear" w:color="auto" w:fill="FFFFFF"/>
                <w:lang w:eastAsia="lv-LV"/>
              </w:rPr>
            </w:pPr>
            <w:r w:rsidRPr="003259B2">
              <w:rPr>
                <w:rFonts w:ascii="Times New Roman" w:hAnsi="Times New Roman" w:cs="Times New Roman"/>
                <w:i/>
                <w:sz w:val="25"/>
                <w:szCs w:val="25"/>
                <w:u w:val="single"/>
                <w:shd w:val="clear" w:color="auto" w:fill="FFFFFF"/>
                <w:lang w:eastAsia="lv-LV"/>
              </w:rPr>
              <w:t>Par jauniem Likumā lietotiem terminiem.</w:t>
            </w:r>
          </w:p>
          <w:p w:rsidR="00752E26" w:rsidRPr="003259B2" w:rsidRDefault="00752E26" w:rsidP="00F95D60">
            <w:pPr>
              <w:tabs>
                <w:tab w:val="center" w:pos="4680"/>
                <w:tab w:val="right" w:pos="9360"/>
              </w:tabs>
              <w:spacing w:after="0" w:line="240" w:lineRule="auto"/>
              <w:jc w:val="both"/>
              <w:rPr>
                <w:rFonts w:ascii="Times New Roman" w:hAnsi="Times New Roman" w:cs="Times New Roman"/>
                <w:color w:val="000000" w:themeColor="text1"/>
                <w:sz w:val="25"/>
                <w:szCs w:val="25"/>
              </w:rPr>
            </w:pPr>
            <w:r w:rsidRPr="003259B2">
              <w:rPr>
                <w:rFonts w:ascii="Times New Roman" w:eastAsia="Times New Roman" w:hAnsi="Times New Roman" w:cs="Times New Roman"/>
                <w:color w:val="000000" w:themeColor="text1"/>
                <w:spacing w:val="-4"/>
                <w:sz w:val="25"/>
                <w:szCs w:val="25"/>
              </w:rPr>
              <w:t xml:space="preserve">Saistībā ar </w:t>
            </w:r>
            <w:r w:rsidRPr="003259B2">
              <w:rPr>
                <w:rFonts w:ascii="Times New Roman" w:hAnsi="Times New Roman" w:cs="Times New Roman"/>
                <w:color w:val="000000" w:themeColor="text1"/>
                <w:sz w:val="25"/>
                <w:szCs w:val="25"/>
              </w:rPr>
              <w:t xml:space="preserve">Saeimā 2017.gada 27.jūlijā pieņemto likumu </w:t>
            </w:r>
            <w:r w:rsidRPr="003259B2">
              <w:rPr>
                <w:rFonts w:ascii="Times New Roman" w:hAnsi="Times New Roman" w:cs="Times New Roman"/>
                <w:i/>
                <w:color w:val="000000" w:themeColor="text1"/>
                <w:sz w:val="25"/>
                <w:szCs w:val="25"/>
              </w:rPr>
              <w:t>Grozījumi likumā "Par izložu un azartspēļu nodevu un nodokli"</w:t>
            </w:r>
            <w:r w:rsidRPr="003259B2">
              <w:rPr>
                <w:rFonts w:ascii="Times New Roman" w:hAnsi="Times New Roman" w:cs="Times New Roman"/>
                <w:color w:val="000000" w:themeColor="text1"/>
                <w:sz w:val="25"/>
                <w:szCs w:val="25"/>
              </w:rPr>
              <w:t xml:space="preserve">, </w:t>
            </w:r>
            <w:r w:rsidR="002C2997" w:rsidRPr="003259B2">
              <w:rPr>
                <w:rFonts w:ascii="Times New Roman" w:hAnsi="Times New Roman" w:cs="Times New Roman"/>
                <w:color w:val="000000" w:themeColor="text1"/>
                <w:sz w:val="25"/>
                <w:szCs w:val="25"/>
              </w:rPr>
              <w:t>ir jānosaka</w:t>
            </w:r>
            <w:r w:rsidR="003A5FE1" w:rsidRPr="003259B2">
              <w:rPr>
                <w:rFonts w:ascii="Times New Roman" w:hAnsi="Times New Roman" w:cs="Times New Roman"/>
                <w:color w:val="000000" w:themeColor="text1"/>
                <w:sz w:val="25"/>
                <w:szCs w:val="25"/>
              </w:rPr>
              <w:t xml:space="preserve"> vēl vien</w:t>
            </w:r>
            <w:r w:rsidR="003D7733" w:rsidRPr="003259B2">
              <w:rPr>
                <w:rFonts w:ascii="Times New Roman" w:hAnsi="Times New Roman" w:cs="Times New Roman"/>
                <w:color w:val="000000" w:themeColor="text1"/>
                <w:sz w:val="25"/>
                <w:szCs w:val="25"/>
              </w:rPr>
              <w:t>s tiesību subjekts, kas maksās</w:t>
            </w:r>
            <w:r w:rsidRPr="003259B2">
              <w:rPr>
                <w:rFonts w:ascii="Times New Roman" w:hAnsi="Times New Roman" w:cs="Times New Roman"/>
                <w:color w:val="000000" w:themeColor="text1"/>
                <w:sz w:val="25"/>
                <w:szCs w:val="25"/>
              </w:rPr>
              <w:t xml:space="preserve"> azartspēļu nodokli</w:t>
            </w:r>
            <w:r w:rsidR="003D7733" w:rsidRPr="003259B2">
              <w:rPr>
                <w:rFonts w:ascii="Times New Roman" w:hAnsi="Times New Roman" w:cs="Times New Roman"/>
                <w:color w:val="000000" w:themeColor="text1"/>
                <w:sz w:val="25"/>
                <w:szCs w:val="25"/>
              </w:rPr>
              <w:t xml:space="preserve">, </w:t>
            </w:r>
            <w:r w:rsidR="00191F0C" w:rsidRPr="003259B2">
              <w:rPr>
                <w:rFonts w:ascii="Times New Roman" w:hAnsi="Times New Roman" w:cs="Times New Roman"/>
                <w:color w:val="000000" w:themeColor="text1"/>
                <w:sz w:val="25"/>
                <w:szCs w:val="25"/>
              </w:rPr>
              <w:t xml:space="preserve">līdz ar to </w:t>
            </w:r>
            <w:r w:rsidR="003D7733" w:rsidRPr="003259B2">
              <w:rPr>
                <w:rFonts w:ascii="Times New Roman" w:hAnsi="Times New Roman" w:cs="Times New Roman"/>
                <w:color w:val="000000" w:themeColor="text1"/>
                <w:sz w:val="25"/>
                <w:szCs w:val="25"/>
              </w:rPr>
              <w:t xml:space="preserve">ir nepieciešams veikt attiecīgus grozījumus </w:t>
            </w:r>
            <w:r w:rsidR="003E411F" w:rsidRPr="003259B2">
              <w:rPr>
                <w:rFonts w:ascii="Times New Roman" w:hAnsi="Times New Roman" w:cs="Times New Roman"/>
                <w:color w:val="000000" w:themeColor="text1"/>
                <w:sz w:val="25"/>
                <w:szCs w:val="25"/>
              </w:rPr>
              <w:t>Likumā</w:t>
            </w:r>
            <w:r w:rsidR="003F09BB" w:rsidRPr="003259B2">
              <w:rPr>
                <w:rFonts w:ascii="Times New Roman" w:hAnsi="Times New Roman" w:cs="Times New Roman"/>
                <w:color w:val="000000" w:themeColor="text1"/>
                <w:sz w:val="25"/>
                <w:szCs w:val="25"/>
              </w:rPr>
              <w:t>.</w:t>
            </w:r>
            <w:r w:rsidR="002C2997" w:rsidRPr="003259B2">
              <w:rPr>
                <w:rFonts w:ascii="Times New Roman" w:hAnsi="Times New Roman" w:cs="Times New Roman"/>
                <w:color w:val="000000" w:themeColor="text1"/>
                <w:sz w:val="25"/>
                <w:szCs w:val="25"/>
              </w:rPr>
              <w:t xml:space="preserve"> Savukārt, lai nodrošinātu nodokļa iekasēšanu, tiek paredzēts, ka nodokļa maksātajiem</w:t>
            </w:r>
            <w:r w:rsidR="00191F0C" w:rsidRPr="003259B2">
              <w:rPr>
                <w:rFonts w:ascii="Times New Roman" w:hAnsi="Times New Roman" w:cs="Times New Roman"/>
                <w:color w:val="000000" w:themeColor="text1"/>
                <w:sz w:val="25"/>
                <w:szCs w:val="25"/>
              </w:rPr>
              <w:t>,</w:t>
            </w:r>
            <w:r w:rsidR="002C2997" w:rsidRPr="003259B2">
              <w:rPr>
                <w:rFonts w:ascii="Times New Roman" w:hAnsi="Times New Roman" w:cs="Times New Roman"/>
                <w:color w:val="000000" w:themeColor="text1"/>
                <w:sz w:val="25"/>
                <w:szCs w:val="25"/>
              </w:rPr>
              <w:t xml:space="preserve"> līdzīgi kā azartspēļu organiz</w:t>
            </w:r>
            <w:r w:rsidR="00191F0C" w:rsidRPr="003259B2">
              <w:rPr>
                <w:rFonts w:ascii="Times New Roman" w:hAnsi="Times New Roman" w:cs="Times New Roman"/>
                <w:color w:val="000000" w:themeColor="text1"/>
                <w:sz w:val="25"/>
                <w:szCs w:val="25"/>
              </w:rPr>
              <w:t>ētājiem</w:t>
            </w:r>
            <w:r w:rsidR="002C2997" w:rsidRPr="003259B2">
              <w:rPr>
                <w:rFonts w:ascii="Times New Roman" w:hAnsi="Times New Roman" w:cs="Times New Roman"/>
                <w:color w:val="000000" w:themeColor="text1"/>
                <w:sz w:val="25"/>
                <w:szCs w:val="25"/>
              </w:rPr>
              <w:t xml:space="preserve"> Latvijā</w:t>
            </w:r>
            <w:r w:rsidR="00191F0C" w:rsidRPr="003259B2">
              <w:rPr>
                <w:rFonts w:ascii="Times New Roman" w:hAnsi="Times New Roman" w:cs="Times New Roman"/>
                <w:color w:val="000000" w:themeColor="text1"/>
                <w:sz w:val="25"/>
                <w:szCs w:val="25"/>
              </w:rPr>
              <w:t>,</w:t>
            </w:r>
            <w:r w:rsidR="002C2997" w:rsidRPr="003259B2">
              <w:rPr>
                <w:rFonts w:ascii="Times New Roman" w:hAnsi="Times New Roman" w:cs="Times New Roman"/>
                <w:color w:val="000000" w:themeColor="text1"/>
                <w:sz w:val="25"/>
                <w:szCs w:val="25"/>
              </w:rPr>
              <w:t xml:space="preserve"> jāsaņem azartspēļu pakalpojumu sniegšanas licence.</w:t>
            </w:r>
            <w:r w:rsidR="003D7733" w:rsidRPr="003259B2">
              <w:rPr>
                <w:rFonts w:ascii="Times New Roman" w:hAnsi="Times New Roman" w:cs="Times New Roman"/>
                <w:color w:val="000000" w:themeColor="text1"/>
                <w:sz w:val="25"/>
                <w:szCs w:val="25"/>
              </w:rPr>
              <w:t xml:space="preserve"> </w:t>
            </w:r>
            <w:r w:rsidRPr="003259B2">
              <w:rPr>
                <w:rFonts w:ascii="Times New Roman" w:hAnsi="Times New Roman" w:cs="Times New Roman"/>
                <w:color w:val="000000" w:themeColor="text1"/>
                <w:sz w:val="25"/>
                <w:szCs w:val="25"/>
              </w:rPr>
              <w:t xml:space="preserve"> </w:t>
            </w:r>
          </w:p>
          <w:p w:rsidR="00D669B7" w:rsidRPr="003259B2" w:rsidRDefault="00D669B7" w:rsidP="00F95D60">
            <w:pPr>
              <w:tabs>
                <w:tab w:val="center" w:pos="4680"/>
                <w:tab w:val="right" w:pos="9360"/>
              </w:tabs>
              <w:spacing w:after="0" w:line="240" w:lineRule="auto"/>
              <w:jc w:val="both"/>
              <w:rPr>
                <w:rFonts w:ascii="Times New Roman" w:hAnsi="Times New Roman" w:cs="Times New Roman"/>
                <w:color w:val="000000" w:themeColor="text1"/>
                <w:sz w:val="25"/>
                <w:szCs w:val="25"/>
                <w:highlight w:val="yellow"/>
              </w:rPr>
            </w:pPr>
          </w:p>
          <w:p w:rsidR="000A1B86" w:rsidRPr="003259B2" w:rsidRDefault="00262BA6" w:rsidP="005E2599">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5"/>
                <w:szCs w:val="25"/>
              </w:rPr>
            </w:pPr>
            <w:r w:rsidRPr="003259B2">
              <w:rPr>
                <w:rFonts w:ascii="Times New Roman" w:eastAsia="Times New Roman" w:hAnsi="Times New Roman" w:cs="Times New Roman"/>
                <w:color w:val="000000" w:themeColor="text1"/>
                <w:spacing w:val="-4"/>
                <w:sz w:val="25"/>
                <w:szCs w:val="25"/>
              </w:rPr>
              <w:t xml:space="preserve">Tādējādi </w:t>
            </w:r>
            <w:r w:rsidR="003E411F" w:rsidRPr="003259B2">
              <w:rPr>
                <w:rFonts w:ascii="Times New Roman" w:eastAsia="Times New Roman" w:hAnsi="Times New Roman" w:cs="Times New Roman"/>
                <w:color w:val="000000" w:themeColor="text1"/>
                <w:spacing w:val="-4"/>
                <w:sz w:val="25"/>
                <w:szCs w:val="25"/>
              </w:rPr>
              <w:t xml:space="preserve">ar </w:t>
            </w:r>
            <w:r w:rsidR="00854548" w:rsidRPr="003259B2">
              <w:rPr>
                <w:rFonts w:ascii="Times New Roman" w:eastAsia="Times New Roman" w:hAnsi="Times New Roman" w:cs="Times New Roman"/>
                <w:color w:val="000000" w:themeColor="text1"/>
                <w:spacing w:val="-4"/>
                <w:sz w:val="25"/>
                <w:szCs w:val="25"/>
              </w:rPr>
              <w:t>likumprojekta</w:t>
            </w:r>
            <w:r w:rsidR="000A1B86" w:rsidRPr="003259B2">
              <w:rPr>
                <w:rFonts w:ascii="Times New Roman" w:eastAsia="Times New Roman" w:hAnsi="Times New Roman" w:cs="Times New Roman"/>
                <w:color w:val="000000" w:themeColor="text1"/>
                <w:spacing w:val="-4"/>
                <w:sz w:val="25"/>
                <w:szCs w:val="25"/>
              </w:rPr>
              <w:t>:</w:t>
            </w:r>
          </w:p>
          <w:p w:rsidR="00262BA6" w:rsidRPr="003259B2" w:rsidRDefault="000A1B86" w:rsidP="007A7296">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eastAsia="Times New Roman" w:hAnsi="Times New Roman" w:cs="Times New Roman"/>
                <w:color w:val="000000" w:themeColor="text1"/>
                <w:spacing w:val="-4"/>
                <w:sz w:val="25"/>
                <w:szCs w:val="25"/>
              </w:rPr>
              <w:t>-</w:t>
            </w:r>
            <w:r w:rsidR="00854548" w:rsidRPr="003259B2">
              <w:rPr>
                <w:rFonts w:ascii="Times New Roman" w:eastAsia="Times New Roman" w:hAnsi="Times New Roman" w:cs="Times New Roman"/>
                <w:color w:val="000000" w:themeColor="text1"/>
                <w:spacing w:val="-4"/>
                <w:sz w:val="25"/>
                <w:szCs w:val="25"/>
              </w:rPr>
              <w:t xml:space="preserve"> 1.pant</w:t>
            </w:r>
            <w:r w:rsidR="003E411F" w:rsidRPr="003259B2">
              <w:rPr>
                <w:rFonts w:ascii="Times New Roman" w:eastAsia="Times New Roman" w:hAnsi="Times New Roman" w:cs="Times New Roman"/>
                <w:color w:val="000000" w:themeColor="text1"/>
                <w:spacing w:val="-4"/>
                <w:sz w:val="25"/>
                <w:szCs w:val="25"/>
              </w:rPr>
              <w:t>u</w:t>
            </w:r>
            <w:r w:rsidR="00854548" w:rsidRPr="003259B2">
              <w:rPr>
                <w:rFonts w:ascii="Times New Roman" w:eastAsia="Times New Roman" w:hAnsi="Times New Roman" w:cs="Times New Roman"/>
                <w:color w:val="000000" w:themeColor="text1"/>
                <w:spacing w:val="-4"/>
                <w:sz w:val="25"/>
                <w:szCs w:val="25"/>
              </w:rPr>
              <w:t xml:space="preserve"> tiek</w:t>
            </w:r>
            <w:r w:rsidR="003E411F" w:rsidRPr="003259B2">
              <w:rPr>
                <w:rFonts w:ascii="Times New Roman" w:eastAsia="Times New Roman" w:hAnsi="Times New Roman" w:cs="Times New Roman"/>
                <w:color w:val="000000" w:themeColor="text1"/>
                <w:spacing w:val="-4"/>
                <w:sz w:val="25"/>
                <w:szCs w:val="25"/>
              </w:rPr>
              <w:t xml:space="preserve"> papildin</w:t>
            </w:r>
            <w:r w:rsidR="00BE59E9" w:rsidRPr="003259B2">
              <w:rPr>
                <w:rFonts w:ascii="Times New Roman" w:eastAsia="Times New Roman" w:hAnsi="Times New Roman" w:cs="Times New Roman"/>
                <w:color w:val="000000" w:themeColor="text1"/>
                <w:spacing w:val="-4"/>
                <w:sz w:val="25"/>
                <w:szCs w:val="25"/>
              </w:rPr>
              <w:t>āti</w:t>
            </w:r>
            <w:r w:rsidR="00854548" w:rsidRPr="003259B2">
              <w:rPr>
                <w:rFonts w:ascii="Times New Roman" w:eastAsia="Times New Roman" w:hAnsi="Times New Roman" w:cs="Times New Roman"/>
                <w:color w:val="000000" w:themeColor="text1"/>
                <w:spacing w:val="-4"/>
                <w:sz w:val="25"/>
                <w:szCs w:val="25"/>
              </w:rPr>
              <w:t xml:space="preserve"> </w:t>
            </w:r>
            <w:r w:rsidR="00B653A7" w:rsidRPr="003259B2">
              <w:rPr>
                <w:rFonts w:ascii="Times New Roman" w:eastAsia="Times New Roman" w:hAnsi="Times New Roman" w:cs="Times New Roman"/>
                <w:color w:val="000000" w:themeColor="text1"/>
                <w:spacing w:val="-4"/>
                <w:sz w:val="25"/>
                <w:szCs w:val="25"/>
              </w:rPr>
              <w:t>Likuma 1.pantā</w:t>
            </w:r>
            <w:r w:rsidR="005E2599" w:rsidRPr="003259B2">
              <w:rPr>
                <w:rFonts w:ascii="Times New Roman" w:eastAsia="Times New Roman" w:hAnsi="Times New Roman" w:cs="Times New Roman"/>
                <w:color w:val="000000" w:themeColor="text1"/>
                <w:spacing w:val="-4"/>
                <w:sz w:val="25"/>
                <w:szCs w:val="25"/>
              </w:rPr>
              <w:t xml:space="preserve"> lietotie termini - kas ir azartspēļu pakalpojumu sniegšana</w:t>
            </w:r>
            <w:r w:rsidR="008A5810" w:rsidRPr="003259B2">
              <w:rPr>
                <w:rFonts w:ascii="Times New Roman" w:eastAsia="Times New Roman" w:hAnsi="Times New Roman" w:cs="Times New Roman"/>
                <w:color w:val="000000" w:themeColor="text1"/>
                <w:spacing w:val="-4"/>
                <w:sz w:val="25"/>
                <w:szCs w:val="25"/>
              </w:rPr>
              <w:t>,</w:t>
            </w:r>
            <w:r w:rsidR="005E2599" w:rsidRPr="003259B2">
              <w:rPr>
                <w:rFonts w:ascii="Times New Roman" w:eastAsia="Times New Roman" w:hAnsi="Times New Roman" w:cs="Times New Roman"/>
                <w:color w:val="000000" w:themeColor="text1"/>
                <w:spacing w:val="-4"/>
                <w:sz w:val="25"/>
                <w:szCs w:val="25"/>
              </w:rPr>
              <w:t xml:space="preserve"> azartspēļu pakalpojumu sniedz</w:t>
            </w:r>
            <w:r w:rsidRPr="003259B2">
              <w:rPr>
                <w:rFonts w:ascii="Times New Roman" w:eastAsia="Times New Roman" w:hAnsi="Times New Roman" w:cs="Times New Roman"/>
                <w:color w:val="000000" w:themeColor="text1"/>
                <w:spacing w:val="-4"/>
                <w:sz w:val="25"/>
                <w:szCs w:val="25"/>
              </w:rPr>
              <w:t>ējs</w:t>
            </w:r>
            <w:r w:rsidR="008A5810" w:rsidRPr="003259B2">
              <w:rPr>
                <w:rFonts w:ascii="Times New Roman" w:eastAsia="Times New Roman" w:hAnsi="Times New Roman" w:cs="Times New Roman"/>
                <w:color w:val="000000" w:themeColor="text1"/>
                <w:spacing w:val="-4"/>
                <w:sz w:val="25"/>
                <w:szCs w:val="25"/>
              </w:rPr>
              <w:t xml:space="preserve"> un </w:t>
            </w:r>
            <w:r w:rsidR="008A5810" w:rsidRPr="003259B2">
              <w:rPr>
                <w:rFonts w:ascii="Times New Roman" w:hAnsi="Times New Roman" w:cs="Times New Roman"/>
                <w:sz w:val="25"/>
                <w:szCs w:val="25"/>
              </w:rPr>
              <w:t>azartspēļu pakalpojumu radīšanas vieta</w:t>
            </w:r>
            <w:r w:rsidR="007A7296" w:rsidRPr="003259B2">
              <w:rPr>
                <w:rFonts w:ascii="Times New Roman" w:hAnsi="Times New Roman" w:cs="Times New Roman"/>
                <w:sz w:val="25"/>
                <w:szCs w:val="25"/>
              </w:rPr>
              <w:t>. Termini nepieciešami</w:t>
            </w:r>
            <w:r w:rsidR="008F0101" w:rsidRPr="003259B2">
              <w:rPr>
                <w:rFonts w:ascii="Times New Roman" w:hAnsi="Times New Roman" w:cs="Times New Roman"/>
                <w:sz w:val="25"/>
                <w:szCs w:val="25"/>
              </w:rPr>
              <w:t xml:space="preserve">, </w:t>
            </w:r>
            <w:r w:rsidR="007A7296" w:rsidRPr="003259B2">
              <w:rPr>
                <w:rFonts w:ascii="Times New Roman" w:hAnsi="Times New Roman" w:cs="Times New Roman"/>
                <w:sz w:val="25"/>
                <w:szCs w:val="25"/>
              </w:rPr>
              <w:t xml:space="preserve">lai nodrošinātu </w:t>
            </w:r>
            <w:r w:rsidR="005236E0" w:rsidRPr="003259B2">
              <w:rPr>
                <w:rFonts w:ascii="Times New Roman" w:hAnsi="Times New Roman" w:cs="Times New Roman"/>
                <w:sz w:val="25"/>
                <w:szCs w:val="25"/>
              </w:rPr>
              <w:t xml:space="preserve">jaunā </w:t>
            </w:r>
            <w:r w:rsidR="007A7296" w:rsidRPr="003259B2">
              <w:rPr>
                <w:rFonts w:ascii="Times New Roman" w:hAnsi="Times New Roman" w:cs="Times New Roman"/>
                <w:sz w:val="25"/>
                <w:szCs w:val="25"/>
              </w:rPr>
              <w:t xml:space="preserve">azartspēļu nodokļa objekta piemērošanu, kā arī </w:t>
            </w:r>
            <w:r w:rsidR="007445BB" w:rsidRPr="003259B2">
              <w:rPr>
                <w:rFonts w:ascii="Times New Roman" w:hAnsi="Times New Roman" w:cs="Times New Roman"/>
                <w:sz w:val="25"/>
                <w:szCs w:val="25"/>
              </w:rPr>
              <w:t>nodrošinātu sistēmisku  pieeju saistība ar</w:t>
            </w:r>
            <w:r w:rsidR="007A7296" w:rsidRPr="003259B2">
              <w:rPr>
                <w:rFonts w:ascii="Times New Roman" w:hAnsi="Times New Roman" w:cs="Times New Roman"/>
                <w:sz w:val="25"/>
                <w:szCs w:val="25"/>
              </w:rPr>
              <w:t xml:space="preserve"> izstrādātajiem grozījumiem likumā “Par izložu un azartspēļu nodevu un nodokli”, kas virzāmi vienotā paketē ar Azartspēļu un izložu likumu</w:t>
            </w:r>
            <w:r w:rsidR="00733C94" w:rsidRPr="003259B2">
              <w:rPr>
                <w:rFonts w:ascii="Times New Roman" w:hAnsi="Times New Roman" w:cs="Times New Roman"/>
                <w:sz w:val="25"/>
                <w:szCs w:val="25"/>
              </w:rPr>
              <w:t>. Saskaņā ar Azartspēļu un izložu likumu azartspēļu organizētājam, cita starpā, ir jābūt  Latvijas Republikā reģistrētai kapitālsabiedrībai. Savukārt, atbilstoši likumprojektā “Grozījumi Azartspēļu un izložu likumā” paredzētajam attiecībā uz azartspēļu pakalpojumu sniedzēja kā komersanta juridisko formu netiek paredzēti ierobežojumi.</w:t>
            </w:r>
            <w:r w:rsidR="00D669B7" w:rsidRPr="003259B2">
              <w:rPr>
                <w:rFonts w:ascii="Times New Roman" w:hAnsi="Times New Roman" w:cs="Times New Roman"/>
                <w:sz w:val="25"/>
                <w:szCs w:val="25"/>
              </w:rPr>
              <w:t>;</w:t>
            </w:r>
          </w:p>
          <w:p w:rsidR="00D669B7" w:rsidRPr="003259B2" w:rsidRDefault="00D669B7" w:rsidP="007A7296">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5"/>
                <w:szCs w:val="25"/>
              </w:rPr>
            </w:pPr>
          </w:p>
          <w:p w:rsidR="000A1B86" w:rsidRPr="003259B2" w:rsidRDefault="00BE59E9" w:rsidP="00BE59E9">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5"/>
                <w:szCs w:val="25"/>
              </w:rPr>
            </w:pPr>
            <w:r w:rsidRPr="003259B2">
              <w:rPr>
                <w:rFonts w:ascii="Times New Roman" w:eastAsia="Times New Roman" w:hAnsi="Times New Roman" w:cs="Times New Roman"/>
                <w:color w:val="000000" w:themeColor="text1"/>
                <w:spacing w:val="-4"/>
                <w:sz w:val="25"/>
                <w:szCs w:val="25"/>
              </w:rPr>
              <w:t xml:space="preserve">- 2.pantu </w:t>
            </w:r>
            <w:r w:rsidR="000A1B86" w:rsidRPr="003259B2">
              <w:rPr>
                <w:rFonts w:ascii="Times New Roman" w:eastAsia="Times New Roman" w:hAnsi="Times New Roman" w:cs="Times New Roman"/>
                <w:color w:val="000000" w:themeColor="text1"/>
                <w:spacing w:val="-4"/>
                <w:sz w:val="25"/>
                <w:szCs w:val="25"/>
              </w:rPr>
              <w:t>tiek papildināta Likuma 2.panta otrā daļa</w:t>
            </w:r>
            <w:r w:rsidRPr="003259B2">
              <w:rPr>
                <w:rFonts w:ascii="Times New Roman" w:eastAsia="Times New Roman" w:hAnsi="Times New Roman" w:cs="Times New Roman"/>
                <w:color w:val="000000" w:themeColor="text1"/>
                <w:spacing w:val="-4"/>
                <w:sz w:val="25"/>
                <w:szCs w:val="25"/>
              </w:rPr>
              <w:t xml:space="preserve">, minot, ka Likums nosaka arī azartspēļu pakalpojumu sniegšanas kārtību un reglamentē azartspēļu pakalpojumu sniedzēja darbību; </w:t>
            </w:r>
          </w:p>
          <w:p w:rsidR="00D669B7" w:rsidRPr="003259B2" w:rsidRDefault="00D669B7" w:rsidP="00BE59E9">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5"/>
                <w:szCs w:val="25"/>
              </w:rPr>
            </w:pPr>
          </w:p>
          <w:p w:rsidR="005C7F5E" w:rsidRPr="003259B2" w:rsidRDefault="00BE59E9" w:rsidP="005C7F5E">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eastAsia="Times New Roman" w:hAnsi="Times New Roman" w:cs="Times New Roman"/>
                <w:color w:val="000000" w:themeColor="text1"/>
                <w:spacing w:val="-4"/>
                <w:sz w:val="25"/>
                <w:szCs w:val="25"/>
              </w:rPr>
              <w:t>-</w:t>
            </w:r>
            <w:r w:rsidR="005C7F5E" w:rsidRPr="003259B2">
              <w:rPr>
                <w:rFonts w:ascii="Times New Roman" w:hAnsi="Times New Roman" w:cs="Times New Roman"/>
                <w:sz w:val="25"/>
                <w:szCs w:val="25"/>
              </w:rPr>
              <w:t xml:space="preserve"> </w:t>
            </w:r>
            <w:r w:rsidR="00B653A7" w:rsidRPr="003259B2">
              <w:rPr>
                <w:rFonts w:ascii="Times New Roman" w:hAnsi="Times New Roman" w:cs="Times New Roman"/>
                <w:sz w:val="25"/>
                <w:szCs w:val="25"/>
              </w:rPr>
              <w:t>1</w:t>
            </w:r>
            <w:r w:rsidR="003F19C4" w:rsidRPr="003259B2">
              <w:rPr>
                <w:rFonts w:ascii="Times New Roman" w:hAnsi="Times New Roman" w:cs="Times New Roman"/>
                <w:sz w:val="25"/>
                <w:szCs w:val="25"/>
              </w:rPr>
              <w:t>3</w:t>
            </w:r>
            <w:r w:rsidR="005C7F5E" w:rsidRPr="003259B2">
              <w:rPr>
                <w:rFonts w:ascii="Times New Roman" w:hAnsi="Times New Roman" w:cs="Times New Roman"/>
                <w:sz w:val="25"/>
                <w:szCs w:val="25"/>
              </w:rPr>
              <w:t>.pantu tiek papildināta Likuma 82.panta otrā daļa ar 7.punktu, atbilstoši kurai Izložu un azartspēļu uzraudzības inspekcijas uzdevums ir veikt arī azartspēļu pakalpojumu sniedzēju licencēšanu, uzraudzību un kontroli;</w:t>
            </w:r>
          </w:p>
          <w:p w:rsidR="00D669B7" w:rsidRPr="003259B2" w:rsidRDefault="00D669B7" w:rsidP="005C7F5E">
            <w:pPr>
              <w:tabs>
                <w:tab w:val="center" w:pos="4680"/>
                <w:tab w:val="right" w:pos="9360"/>
              </w:tabs>
              <w:spacing w:after="0" w:line="240" w:lineRule="auto"/>
              <w:jc w:val="both"/>
              <w:rPr>
                <w:rFonts w:ascii="Times New Roman" w:hAnsi="Times New Roman" w:cs="Times New Roman"/>
                <w:sz w:val="25"/>
                <w:szCs w:val="25"/>
              </w:rPr>
            </w:pPr>
          </w:p>
          <w:p w:rsidR="005C7F5E" w:rsidRPr="003259B2" w:rsidRDefault="005C7F5E" w:rsidP="00671F4B">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- 1</w:t>
            </w:r>
            <w:r w:rsidR="00180507" w:rsidRPr="003259B2">
              <w:rPr>
                <w:rFonts w:ascii="Times New Roman" w:hAnsi="Times New Roman" w:cs="Times New Roman"/>
                <w:sz w:val="25"/>
                <w:szCs w:val="25"/>
              </w:rPr>
              <w:t>4</w:t>
            </w:r>
            <w:r w:rsidRPr="003259B2">
              <w:rPr>
                <w:rFonts w:ascii="Times New Roman" w:hAnsi="Times New Roman" w:cs="Times New Roman"/>
                <w:sz w:val="25"/>
                <w:szCs w:val="25"/>
              </w:rPr>
              <w:t>.pantu tiek papildināts Likums ar 87.</w:t>
            </w:r>
            <w:r w:rsidRPr="003259B2">
              <w:rPr>
                <w:rFonts w:ascii="Times New Roman" w:hAnsi="Times New Roman" w:cs="Times New Roman"/>
                <w:sz w:val="25"/>
                <w:szCs w:val="25"/>
                <w:vertAlign w:val="superscript"/>
              </w:rPr>
              <w:t>1</w:t>
            </w:r>
            <w:r w:rsidRPr="003259B2">
              <w:rPr>
                <w:rFonts w:ascii="Times New Roman" w:hAnsi="Times New Roman" w:cs="Times New Roman"/>
                <w:sz w:val="25"/>
                <w:szCs w:val="25"/>
              </w:rPr>
              <w:t>pantu</w:t>
            </w:r>
            <w:r w:rsidR="00671F4B" w:rsidRPr="003259B2">
              <w:rPr>
                <w:rFonts w:ascii="Times New Roman" w:hAnsi="Times New Roman" w:cs="Times New Roman"/>
                <w:sz w:val="25"/>
                <w:szCs w:val="25"/>
              </w:rPr>
              <w:t>, kurā minēti nosacījumi (no tiem jāpastāv vismaz vienam), kad Izložu un azartspēļu uzraudzības inspekcijai ir tiesības anulēt a</w:t>
            </w:r>
            <w:r w:rsidRPr="003259B2">
              <w:rPr>
                <w:rFonts w:ascii="Times New Roman" w:hAnsi="Times New Roman" w:cs="Times New Roman"/>
                <w:sz w:val="25"/>
                <w:szCs w:val="25"/>
              </w:rPr>
              <w:t xml:space="preserve">zartspēļu </w:t>
            </w:r>
            <w:r w:rsidR="00671F4B" w:rsidRPr="003259B2">
              <w:rPr>
                <w:rFonts w:ascii="Times New Roman" w:hAnsi="Times New Roman" w:cs="Times New Roman"/>
                <w:sz w:val="25"/>
                <w:szCs w:val="25"/>
              </w:rPr>
              <w:t>pakalpojumu sniegšanas licenci, kā arī noteikts, ka par azartspēļu pakalpojumu sniegšanas licenci samaksātā valsts nodeva netiek atmaksāta, ja attiecīgā licence tiek anulēta;</w:t>
            </w:r>
          </w:p>
          <w:p w:rsidR="00D669B7" w:rsidRPr="003259B2" w:rsidRDefault="00D669B7" w:rsidP="00671F4B">
            <w:pPr>
              <w:tabs>
                <w:tab w:val="center" w:pos="4680"/>
                <w:tab w:val="right" w:pos="9360"/>
              </w:tabs>
              <w:spacing w:after="0" w:line="240" w:lineRule="auto"/>
              <w:jc w:val="both"/>
              <w:rPr>
                <w:rFonts w:ascii="Times New Roman" w:hAnsi="Times New Roman" w:cs="Times New Roman"/>
                <w:sz w:val="25"/>
                <w:szCs w:val="25"/>
              </w:rPr>
            </w:pPr>
          </w:p>
          <w:p w:rsidR="0083563D" w:rsidRPr="003259B2" w:rsidRDefault="00671F4B" w:rsidP="00671F4B">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- 1</w:t>
            </w:r>
            <w:r w:rsidR="005D3E99" w:rsidRPr="003259B2">
              <w:rPr>
                <w:rFonts w:ascii="Times New Roman" w:hAnsi="Times New Roman" w:cs="Times New Roman"/>
                <w:sz w:val="25"/>
                <w:szCs w:val="25"/>
              </w:rPr>
              <w:t>5</w:t>
            </w:r>
            <w:r w:rsidRPr="003259B2">
              <w:rPr>
                <w:rFonts w:ascii="Times New Roman" w:hAnsi="Times New Roman" w:cs="Times New Roman"/>
                <w:sz w:val="25"/>
                <w:szCs w:val="25"/>
              </w:rPr>
              <w:t>.pantu tiek papildināti Likuma pārejas noteikumi ar</w:t>
            </w:r>
            <w:r w:rsidR="00CB6632" w:rsidRPr="003259B2">
              <w:rPr>
                <w:rFonts w:ascii="Times New Roman" w:hAnsi="Times New Roman" w:cs="Times New Roman"/>
                <w:sz w:val="25"/>
                <w:szCs w:val="25"/>
              </w:rPr>
              <w:t xml:space="preserve"> </w:t>
            </w:r>
            <w:r w:rsidR="00E66303" w:rsidRPr="003259B2">
              <w:rPr>
                <w:rFonts w:ascii="Times New Roman" w:hAnsi="Times New Roman" w:cs="Times New Roman"/>
                <w:sz w:val="25"/>
                <w:szCs w:val="25"/>
              </w:rPr>
              <w:t>24</w:t>
            </w:r>
            <w:r w:rsidRPr="003259B2">
              <w:rPr>
                <w:rFonts w:ascii="Times New Roman" w:hAnsi="Times New Roman" w:cs="Times New Roman"/>
                <w:sz w:val="25"/>
                <w:szCs w:val="25"/>
              </w:rPr>
              <w:t xml:space="preserve">.punktu, kas nosaka, ka </w:t>
            </w:r>
            <w:r w:rsidR="00596E6E" w:rsidRPr="003259B2">
              <w:rPr>
                <w:rFonts w:ascii="Times New Roman" w:hAnsi="Times New Roman" w:cs="Times New Roman"/>
                <w:sz w:val="25"/>
                <w:szCs w:val="25"/>
              </w:rPr>
              <w:t>azartspēļu pakalpojumu sniedzējam, kas azartspēļu pakalpojumu sniegšanu ir uzsācis līdz 2017.gada 31.decembrim un turpina azartspēļu pakalpojumu sniegšanu pēc likuma X</w:t>
            </w:r>
            <w:r w:rsidR="00596E6E" w:rsidRPr="003259B2">
              <w:rPr>
                <w:rFonts w:ascii="Times New Roman" w:hAnsi="Times New Roman" w:cs="Times New Roman"/>
                <w:sz w:val="25"/>
                <w:szCs w:val="25"/>
                <w:vertAlign w:val="superscript"/>
              </w:rPr>
              <w:t>1</w:t>
            </w:r>
            <w:r w:rsidR="00596E6E" w:rsidRPr="003259B2">
              <w:rPr>
                <w:rFonts w:ascii="Times New Roman" w:hAnsi="Times New Roman" w:cs="Times New Roman"/>
                <w:sz w:val="25"/>
                <w:szCs w:val="25"/>
              </w:rPr>
              <w:t xml:space="preserve"> nodaļas spēkā stāšanās, šā likuma 80.</w:t>
            </w:r>
            <w:r w:rsidR="00596E6E" w:rsidRPr="003259B2">
              <w:rPr>
                <w:rFonts w:ascii="Times New Roman" w:hAnsi="Times New Roman" w:cs="Times New Roman"/>
                <w:sz w:val="25"/>
                <w:szCs w:val="25"/>
                <w:vertAlign w:val="superscript"/>
              </w:rPr>
              <w:t>1</w:t>
            </w:r>
            <w:r w:rsidR="00596E6E" w:rsidRPr="003259B2">
              <w:rPr>
                <w:rFonts w:ascii="Times New Roman" w:hAnsi="Times New Roman" w:cs="Times New Roman"/>
                <w:sz w:val="25"/>
                <w:szCs w:val="25"/>
              </w:rPr>
              <w:t>pantā minēto licenci jāsaņem Izložu un azartspēļu uzraudzības inspekcijā līdz 2018.gada 31.martam</w:t>
            </w:r>
            <w:r w:rsidR="005D3E99" w:rsidRPr="003259B2">
              <w:rPr>
                <w:rFonts w:ascii="Times New Roman" w:hAnsi="Times New Roman" w:cs="Times New Roman"/>
                <w:sz w:val="25"/>
                <w:szCs w:val="25"/>
              </w:rPr>
              <w:t>.</w:t>
            </w:r>
          </w:p>
          <w:p w:rsidR="00D669B7" w:rsidRPr="003259B2" w:rsidRDefault="00D669B7" w:rsidP="00671F4B">
            <w:pPr>
              <w:tabs>
                <w:tab w:val="center" w:pos="4680"/>
                <w:tab w:val="right" w:pos="9360"/>
              </w:tabs>
              <w:spacing w:after="0" w:line="240" w:lineRule="auto"/>
              <w:jc w:val="both"/>
              <w:rPr>
                <w:rFonts w:ascii="Times New Roman" w:hAnsi="Times New Roman" w:cs="Times New Roman"/>
                <w:sz w:val="25"/>
                <w:szCs w:val="25"/>
              </w:rPr>
            </w:pPr>
          </w:p>
          <w:p w:rsidR="008E6876" w:rsidRPr="003259B2" w:rsidRDefault="008E6876" w:rsidP="008E6876">
            <w:pPr>
              <w:tabs>
                <w:tab w:val="center" w:pos="4680"/>
                <w:tab w:val="right" w:pos="9360"/>
              </w:tabs>
              <w:spacing w:after="0" w:line="240" w:lineRule="auto"/>
              <w:jc w:val="both"/>
              <w:rPr>
                <w:rFonts w:ascii="Times New Roman" w:eastAsia="Times New Roman" w:hAnsi="Times New Roman" w:cs="Times New Roman"/>
                <w:i/>
                <w:sz w:val="25"/>
                <w:szCs w:val="25"/>
                <w:u w:val="single"/>
                <w:shd w:val="clear" w:color="auto" w:fill="FFFFFF"/>
                <w:lang w:eastAsia="lv-LV"/>
              </w:rPr>
            </w:pPr>
            <w:r w:rsidRPr="003259B2">
              <w:rPr>
                <w:rFonts w:ascii="Times New Roman" w:eastAsia="Times New Roman" w:hAnsi="Times New Roman" w:cs="Times New Roman"/>
                <w:i/>
                <w:sz w:val="25"/>
                <w:szCs w:val="25"/>
                <w:u w:val="single"/>
                <w:shd w:val="clear" w:color="auto" w:fill="FFFFFF"/>
                <w:lang w:eastAsia="lv-LV"/>
              </w:rPr>
              <w:t>2) Par jaunu azartspēļu pakalpojumu sniegšanas licenci</w:t>
            </w:r>
            <w:r w:rsidR="00B17409" w:rsidRPr="003259B2">
              <w:rPr>
                <w:rFonts w:ascii="Times New Roman" w:eastAsia="Times New Roman" w:hAnsi="Times New Roman" w:cs="Times New Roman"/>
                <w:i/>
                <w:sz w:val="25"/>
                <w:szCs w:val="25"/>
                <w:u w:val="single"/>
                <w:shd w:val="clear" w:color="auto" w:fill="FFFFFF"/>
                <w:lang w:eastAsia="lv-LV"/>
              </w:rPr>
              <w:t>.</w:t>
            </w:r>
          </w:p>
          <w:p w:rsidR="00106C83" w:rsidRPr="003259B2" w:rsidRDefault="00864662" w:rsidP="008E6876">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eastAsia="Times New Roman" w:hAnsi="Times New Roman" w:cs="Times New Roman"/>
                <w:color w:val="000000" w:themeColor="text1"/>
                <w:spacing w:val="-4"/>
                <w:sz w:val="25"/>
                <w:szCs w:val="25"/>
              </w:rPr>
              <w:t xml:space="preserve">Ar likumprojekta </w:t>
            </w:r>
            <w:r w:rsidR="008E6876" w:rsidRPr="003259B2">
              <w:rPr>
                <w:rFonts w:ascii="Times New Roman" w:eastAsia="Times New Roman" w:hAnsi="Times New Roman" w:cs="Times New Roman"/>
                <w:color w:val="000000" w:themeColor="text1"/>
                <w:spacing w:val="-4"/>
                <w:sz w:val="25"/>
                <w:szCs w:val="25"/>
              </w:rPr>
              <w:t>12.pantu Likums tiek papildināts ar jaunu X</w:t>
            </w:r>
            <w:r w:rsidR="008E6876" w:rsidRPr="003259B2">
              <w:rPr>
                <w:rFonts w:ascii="Times New Roman" w:eastAsia="Times New Roman" w:hAnsi="Times New Roman" w:cs="Times New Roman"/>
                <w:color w:val="000000" w:themeColor="text1"/>
                <w:spacing w:val="-4"/>
                <w:sz w:val="25"/>
                <w:szCs w:val="25"/>
                <w:vertAlign w:val="superscript"/>
              </w:rPr>
              <w:t>1</w:t>
            </w:r>
            <w:r w:rsidR="008E6876" w:rsidRPr="003259B2">
              <w:rPr>
                <w:rFonts w:ascii="Times New Roman" w:eastAsia="Times New Roman" w:hAnsi="Times New Roman" w:cs="Times New Roman"/>
                <w:color w:val="000000" w:themeColor="text1"/>
                <w:spacing w:val="-4"/>
                <w:sz w:val="25"/>
                <w:szCs w:val="25"/>
              </w:rPr>
              <w:t xml:space="preserve"> nodaļu “</w:t>
            </w:r>
            <w:r w:rsidR="008E6876" w:rsidRPr="003259B2">
              <w:rPr>
                <w:rFonts w:ascii="Times New Roman" w:hAnsi="Times New Roman" w:cs="Times New Roman"/>
                <w:sz w:val="25"/>
                <w:szCs w:val="25"/>
              </w:rPr>
              <w:t>Azartspēļu pakalpojumu sniegšanas licence”, kurā noteikti Izložu un azartspēļu uzraudzības inspekcijai iesniedzamie dokumenti (iesniegums un tam pievienojamie dokumenti) licences saņemšanai, to izskatīšanas kārtība, nosacījumi licences pārreģistrācijai, valsts nodevas samaksa, azartspēļu pakalpojumu sniedzēja pienākumi</w:t>
            </w:r>
            <w:r w:rsidR="00106C83" w:rsidRPr="003259B2">
              <w:rPr>
                <w:rFonts w:ascii="Times New Roman" w:hAnsi="Times New Roman" w:cs="Times New Roman"/>
                <w:sz w:val="25"/>
                <w:szCs w:val="25"/>
              </w:rPr>
              <w:t>.</w:t>
            </w:r>
          </w:p>
          <w:p w:rsidR="004F0C97" w:rsidRPr="003259B2" w:rsidRDefault="00106C83" w:rsidP="008E6876">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Normatīvajā regulējumā attiecībā uz iesnieguma izskatīšanas kārtību, lēmuma pieņemšanas termiņi (t.i., 30 dienas) par </w:t>
            </w:r>
            <w:r w:rsidR="00D816AC" w:rsidRPr="003259B2">
              <w:rPr>
                <w:rFonts w:ascii="Times New Roman" w:hAnsi="Times New Roman" w:cs="Times New Roman"/>
                <w:sz w:val="25"/>
                <w:szCs w:val="25"/>
              </w:rPr>
              <w:t xml:space="preserve">azartspēļu pakalpojuma </w:t>
            </w:r>
            <w:r w:rsidRPr="003259B2">
              <w:rPr>
                <w:rFonts w:ascii="Times New Roman" w:hAnsi="Times New Roman" w:cs="Times New Roman"/>
                <w:sz w:val="25"/>
                <w:szCs w:val="25"/>
              </w:rPr>
              <w:t xml:space="preserve">licences izsniegšanu vai neizsniegšanu ir noteikti kā šobrīd visā Likumā attiecībā uz </w:t>
            </w:r>
            <w:r w:rsidR="00D816AC" w:rsidRPr="003259B2">
              <w:rPr>
                <w:rFonts w:ascii="Times New Roman" w:hAnsi="Times New Roman" w:cs="Times New Roman"/>
                <w:sz w:val="25"/>
                <w:szCs w:val="25"/>
              </w:rPr>
              <w:t>visa</w:t>
            </w:r>
            <w:r w:rsidRPr="003259B2">
              <w:rPr>
                <w:rFonts w:ascii="Times New Roman" w:hAnsi="Times New Roman" w:cs="Times New Roman"/>
                <w:sz w:val="25"/>
                <w:szCs w:val="25"/>
              </w:rPr>
              <w:t xml:space="preserve"> veida </w:t>
            </w:r>
            <w:r w:rsidR="00D816AC" w:rsidRPr="003259B2">
              <w:rPr>
                <w:rFonts w:ascii="Times New Roman" w:hAnsi="Times New Roman" w:cs="Times New Roman"/>
                <w:sz w:val="25"/>
                <w:szCs w:val="25"/>
              </w:rPr>
              <w:t xml:space="preserve">citu </w:t>
            </w:r>
            <w:r w:rsidRPr="003259B2">
              <w:rPr>
                <w:rFonts w:ascii="Times New Roman" w:hAnsi="Times New Roman" w:cs="Times New Roman"/>
                <w:sz w:val="25"/>
                <w:szCs w:val="25"/>
              </w:rPr>
              <w:t>licenču saņemšanu, tādējādi piemērojot vienotu pieeju un normatīvo regulējumu, kā arī ņemot vērā azartspēļu nozares augstos riskus</w:t>
            </w:r>
            <w:r w:rsidR="004F0C97" w:rsidRPr="003259B2">
              <w:rPr>
                <w:rFonts w:ascii="Times New Roman" w:hAnsi="Times New Roman" w:cs="Times New Roman"/>
                <w:sz w:val="25"/>
                <w:szCs w:val="25"/>
              </w:rPr>
              <w:t xml:space="preserve">. </w:t>
            </w:r>
          </w:p>
          <w:p w:rsidR="008E6876" w:rsidRPr="003259B2" w:rsidRDefault="004F0C97" w:rsidP="008E6876">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Attiecībā uz lēmumu par azartspēļu pakalpojuma licences izsniegšanu vai neizsniegšanu ir noteikts, ka par pieņemto lēmumu Izložu un azartspēļu uzraudzības inspekcija paziņo iesniedzējam, paziņošanas nosacījums nodrošinot atbilstoši attiecīgajam normatīvajam aktam</w:t>
            </w:r>
            <w:r w:rsidR="008E6876" w:rsidRPr="003259B2">
              <w:rPr>
                <w:rFonts w:ascii="Times New Roman" w:hAnsi="Times New Roman" w:cs="Times New Roman"/>
                <w:sz w:val="25"/>
                <w:szCs w:val="25"/>
              </w:rPr>
              <w:t>;</w:t>
            </w:r>
          </w:p>
          <w:p w:rsidR="00D669B7" w:rsidRPr="003259B2" w:rsidRDefault="00D669B7" w:rsidP="008E6876">
            <w:pPr>
              <w:tabs>
                <w:tab w:val="center" w:pos="4680"/>
                <w:tab w:val="right" w:pos="9360"/>
              </w:tabs>
              <w:spacing w:after="0" w:line="240" w:lineRule="auto"/>
              <w:jc w:val="both"/>
              <w:rPr>
                <w:rFonts w:ascii="Times New Roman" w:hAnsi="Times New Roman" w:cs="Times New Roman"/>
                <w:sz w:val="25"/>
                <w:szCs w:val="25"/>
              </w:rPr>
            </w:pPr>
          </w:p>
          <w:p w:rsidR="00864662" w:rsidRPr="003259B2" w:rsidRDefault="00864662" w:rsidP="00864662">
            <w:pPr>
              <w:spacing w:after="0" w:line="240" w:lineRule="auto"/>
              <w:jc w:val="both"/>
              <w:rPr>
                <w:rFonts w:ascii="Times New Roman" w:eastAsia="Times New Roman" w:hAnsi="Times New Roman" w:cs="Times New Roman"/>
                <w:i/>
                <w:sz w:val="25"/>
                <w:szCs w:val="25"/>
                <w:u w:val="single"/>
                <w:shd w:val="clear" w:color="auto" w:fill="FFFFFF"/>
                <w:lang w:eastAsia="lv-LV"/>
              </w:rPr>
            </w:pPr>
            <w:r w:rsidRPr="003259B2">
              <w:rPr>
                <w:rFonts w:ascii="Times New Roman" w:eastAsia="Times New Roman" w:hAnsi="Times New Roman" w:cs="Times New Roman"/>
                <w:i/>
                <w:sz w:val="25"/>
                <w:szCs w:val="25"/>
                <w:u w:val="single"/>
                <w:shd w:val="clear" w:color="auto" w:fill="FFFFFF"/>
                <w:lang w:eastAsia="lv-LV"/>
              </w:rPr>
              <w:t xml:space="preserve">3) Par deleģējumu precizēšanu Ministru kabineta noteikumu projektiem, kas ir izsludināti Valsts sekretāru sanāksmē </w:t>
            </w:r>
            <w:r w:rsidRPr="003259B2">
              <w:rPr>
                <w:rFonts w:ascii="Times New Roman" w:eastAsia="Times New Roman" w:hAnsi="Times New Roman" w:cs="Times New Roman"/>
                <w:sz w:val="25"/>
                <w:szCs w:val="25"/>
                <w:u w:val="single"/>
                <w:shd w:val="clear" w:color="auto" w:fill="FFFFFF"/>
                <w:lang w:eastAsia="lv-LV"/>
              </w:rPr>
              <w:t>(</w:t>
            </w:r>
            <w:r w:rsidRPr="003259B2">
              <w:rPr>
                <w:rFonts w:ascii="Times New Roman" w:hAnsi="Times New Roman" w:cs="Times New Roman"/>
                <w:bCs/>
                <w:color w:val="000000" w:themeColor="text1"/>
                <w:sz w:val="25"/>
                <w:szCs w:val="25"/>
              </w:rPr>
              <w:t>VSS-762 unVSS-481</w:t>
            </w:r>
            <w:r w:rsidRPr="003259B2">
              <w:rPr>
                <w:rFonts w:ascii="Times New Roman" w:hAnsi="Times New Roman" w:cs="Times New Roman"/>
                <w:bCs/>
                <w:i/>
                <w:color w:val="000000" w:themeColor="text1"/>
                <w:sz w:val="25"/>
                <w:szCs w:val="25"/>
              </w:rPr>
              <w:t>).</w:t>
            </w:r>
          </w:p>
          <w:p w:rsidR="005C7F5E" w:rsidRPr="003259B2" w:rsidRDefault="00A717E4" w:rsidP="00671F4B">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Likumā </w:t>
            </w:r>
            <w:r w:rsidR="002E1496" w:rsidRPr="003259B2">
              <w:rPr>
                <w:rFonts w:ascii="Times New Roman" w:hAnsi="Times New Roman" w:cs="Times New Roman"/>
                <w:sz w:val="25"/>
                <w:szCs w:val="25"/>
              </w:rPr>
              <w:t xml:space="preserve">grozījumi </w:t>
            </w:r>
            <w:r w:rsidRPr="003259B2">
              <w:rPr>
                <w:rFonts w:ascii="Times New Roman" w:hAnsi="Times New Roman" w:cs="Times New Roman"/>
                <w:sz w:val="25"/>
                <w:szCs w:val="25"/>
              </w:rPr>
              <w:t xml:space="preserve">saistībā ar Tieslietu ministrijas izteiktajiem iebildumiem saskaņošanas procesā par Ministru kabineta noteikumu projektu </w:t>
            </w:r>
            <w:r w:rsidRPr="003259B2">
              <w:rPr>
                <w:rFonts w:ascii="Times New Roman" w:hAnsi="Times New Roman" w:cs="Times New Roman"/>
                <w:i/>
                <w:sz w:val="25"/>
                <w:szCs w:val="25"/>
              </w:rPr>
              <w:t>"Kārtība, kādā iesniedzama informācija par interaktīvo azartspēļu un interaktīvo izložu organizēšanā izmantojamām programmām, paredzētajiem drošības un fizisko personu datu aizsardzības pasākumiem"</w:t>
            </w:r>
            <w:r w:rsidRPr="003259B2">
              <w:rPr>
                <w:rFonts w:ascii="Times New Roman" w:hAnsi="Times New Roman" w:cs="Times New Roman"/>
                <w:sz w:val="25"/>
                <w:szCs w:val="25"/>
              </w:rPr>
              <w:t xml:space="preserve"> (VSS-762)</w:t>
            </w:r>
            <w:r w:rsidR="00460043" w:rsidRPr="003259B2">
              <w:rPr>
                <w:rFonts w:ascii="Times New Roman" w:hAnsi="Times New Roman" w:cs="Times New Roman"/>
                <w:sz w:val="25"/>
                <w:szCs w:val="25"/>
              </w:rPr>
              <w:t xml:space="preserve"> (turpmāk – MK noteikumu projekts (VSS-762))</w:t>
            </w:r>
            <w:r w:rsidR="002E1496" w:rsidRPr="003259B2">
              <w:rPr>
                <w:rFonts w:ascii="Times New Roman" w:hAnsi="Times New Roman" w:cs="Times New Roman"/>
                <w:sz w:val="25"/>
                <w:szCs w:val="25"/>
              </w:rPr>
              <w:t xml:space="preserve"> </w:t>
            </w:r>
            <w:r w:rsidR="00C52E94" w:rsidRPr="003259B2">
              <w:rPr>
                <w:rFonts w:ascii="Times New Roman" w:hAnsi="Times New Roman" w:cs="Times New Roman"/>
                <w:sz w:val="25"/>
                <w:szCs w:val="25"/>
              </w:rPr>
              <w:t>tiek veikti</w:t>
            </w:r>
            <w:r w:rsidR="002E1496" w:rsidRPr="003259B2">
              <w:rPr>
                <w:rFonts w:ascii="Times New Roman" w:hAnsi="Times New Roman" w:cs="Times New Roman"/>
                <w:sz w:val="25"/>
                <w:szCs w:val="25"/>
              </w:rPr>
              <w:t xml:space="preserve"> sekojošu iemeslu dēļ. </w:t>
            </w:r>
          </w:p>
          <w:p w:rsidR="000A1D11" w:rsidRPr="003259B2" w:rsidRDefault="002572A5" w:rsidP="002C5D87">
            <w:pPr>
              <w:tabs>
                <w:tab w:val="center" w:pos="4680"/>
                <w:tab w:val="right" w:pos="9360"/>
              </w:tabs>
              <w:spacing w:after="0" w:line="240" w:lineRule="auto"/>
              <w:jc w:val="both"/>
              <w:rPr>
                <w:rFonts w:ascii="Times New Roman" w:hAnsi="Times New Roman"/>
                <w:sz w:val="25"/>
                <w:szCs w:val="25"/>
              </w:rPr>
            </w:pPr>
            <w:r w:rsidRPr="003259B2">
              <w:rPr>
                <w:rFonts w:ascii="Times New Roman" w:hAnsi="Times New Roman" w:cs="Times New Roman"/>
                <w:sz w:val="25"/>
                <w:szCs w:val="25"/>
              </w:rPr>
              <w:t xml:space="preserve">MK noteikumu projektā (VSS-762) pēc būtības tiek pārņemtas Ministru kabineta 2006.gada 17.oktobra noteikumu Nr.853 “Kārtība, kādā iesniedzama informācija par interaktīvo azartspēļu un izložu organizēšanas programmām, drošības un fizisko personu datu aizsardzības pasākumiem” (turpmāk – MK noteikumi Nr.853) normas, </w:t>
            </w:r>
            <w:r w:rsidR="004C1219" w:rsidRPr="003259B2">
              <w:rPr>
                <w:rFonts w:ascii="Times New Roman" w:hAnsi="Times New Roman" w:cs="Times New Roman"/>
                <w:sz w:val="25"/>
                <w:szCs w:val="25"/>
              </w:rPr>
              <w:t>kuras atbilstoši MK noteikumu projektā (VSS-762) deleģējumam ir attiecinātas arī</w:t>
            </w:r>
            <w:r w:rsidRPr="003259B2">
              <w:rPr>
                <w:rFonts w:ascii="Times New Roman" w:hAnsi="Times New Roman" w:cs="Times New Roman"/>
                <w:sz w:val="25"/>
                <w:szCs w:val="25"/>
              </w:rPr>
              <w:t xml:space="preserve"> attiecībā uz interaktīvajām izlozēm</w:t>
            </w:r>
            <w:r w:rsidR="004C1219" w:rsidRPr="003259B2">
              <w:rPr>
                <w:rFonts w:ascii="Times New Roman" w:hAnsi="Times New Roman" w:cs="Times New Roman"/>
                <w:sz w:val="25"/>
                <w:szCs w:val="25"/>
              </w:rPr>
              <w:t xml:space="preserve">. </w:t>
            </w:r>
            <w:r w:rsidR="00042AEC" w:rsidRPr="003259B2">
              <w:rPr>
                <w:rFonts w:ascii="Times New Roman" w:hAnsi="Times New Roman" w:cs="Times New Roman"/>
                <w:sz w:val="25"/>
                <w:szCs w:val="25"/>
              </w:rPr>
              <w:t>Tieslietu ministrija saskaņošanas procesā savā atzinumā</w:t>
            </w:r>
            <w:r w:rsidR="00616764" w:rsidRPr="003259B2">
              <w:rPr>
                <w:rFonts w:ascii="Times New Roman" w:hAnsi="Times New Roman" w:cs="Times New Roman"/>
                <w:sz w:val="25"/>
                <w:szCs w:val="25"/>
              </w:rPr>
              <w:t xml:space="preserve"> (</w:t>
            </w:r>
            <w:r w:rsidR="0039269A" w:rsidRPr="003259B2">
              <w:rPr>
                <w:rFonts w:ascii="Times New Roman" w:hAnsi="Times New Roman" w:cs="Times New Roman"/>
                <w:sz w:val="25"/>
                <w:szCs w:val="25"/>
              </w:rPr>
              <w:t>2017.gada 9.augusta vēstule Nr.1-9.1/971)</w:t>
            </w:r>
            <w:r w:rsidR="00042AEC" w:rsidRPr="003259B2">
              <w:rPr>
                <w:rFonts w:ascii="Times New Roman" w:hAnsi="Times New Roman" w:cs="Times New Roman"/>
                <w:sz w:val="25"/>
                <w:szCs w:val="25"/>
              </w:rPr>
              <w:t xml:space="preserve"> norādīja, </w:t>
            </w:r>
            <w:r w:rsidR="000A1D11" w:rsidRPr="003259B2">
              <w:rPr>
                <w:rFonts w:ascii="Times New Roman" w:hAnsi="Times New Roman"/>
                <w:color w:val="000000" w:themeColor="text1"/>
                <w:sz w:val="25"/>
                <w:szCs w:val="25"/>
              </w:rPr>
              <w:t xml:space="preserve">ka likumdevējs ir pilnvarojis Ministru kabinetu noregulēt informācijas </w:t>
            </w:r>
            <w:r w:rsidR="000A1D11" w:rsidRPr="003259B2">
              <w:rPr>
                <w:rFonts w:ascii="Times New Roman" w:hAnsi="Times New Roman"/>
                <w:sz w:val="25"/>
                <w:szCs w:val="25"/>
                <w:shd w:val="clear" w:color="auto" w:fill="FFFFFF"/>
              </w:rPr>
              <w:t xml:space="preserve">iesniegšanas kārtību par interaktīvo spēļu organizēšanā izmantojamām programmām un paredzētajiem drošības un fizisko personu datu aizsardzības pasākumiem. Savukārt noteikumu projekts regulē interaktīvo spēļu organizēšanā izmantoto sistēmu sastāvu, informācijas glabāšanu, spēļu organizēšanas sistēmas apraksta iesniegšanas kārtību, izmaiņu veikšanas kārtību spēļu organizēšanas sistēmā, sistēmas darbības pamatprincipus, sistēmā glabājamās informācijas apjomu un ilgumu, spēles konta aizsardzības pienākumus un citus no pilnvarojuma neizrietošus jautājumus. </w:t>
            </w:r>
            <w:r w:rsidR="0039269A" w:rsidRPr="003259B2">
              <w:rPr>
                <w:rFonts w:ascii="Times New Roman" w:hAnsi="Times New Roman"/>
                <w:sz w:val="25"/>
                <w:szCs w:val="25"/>
                <w:shd w:val="clear" w:color="auto" w:fill="FFFFFF"/>
              </w:rPr>
              <w:t xml:space="preserve">Tādējādi </w:t>
            </w:r>
            <w:r w:rsidR="0039269A" w:rsidRPr="003259B2">
              <w:rPr>
                <w:rFonts w:ascii="Times New Roman" w:eastAsia="Times New Roman" w:hAnsi="Times New Roman"/>
                <w:bCs/>
                <w:sz w:val="25"/>
                <w:szCs w:val="25"/>
                <w:lang w:eastAsia="lv-LV"/>
              </w:rPr>
              <w:t xml:space="preserve">Ministru kabineta noteikumu projektu </w:t>
            </w:r>
            <w:r w:rsidR="00610452" w:rsidRPr="003259B2">
              <w:rPr>
                <w:rFonts w:ascii="Times New Roman" w:eastAsia="Times New Roman" w:hAnsi="Times New Roman"/>
                <w:bCs/>
                <w:sz w:val="25"/>
                <w:szCs w:val="25"/>
                <w:lang w:eastAsia="lv-LV"/>
              </w:rPr>
              <w:t xml:space="preserve">līdzšinējā normu apjomā varētu </w:t>
            </w:r>
            <w:r w:rsidR="0039269A" w:rsidRPr="003259B2">
              <w:rPr>
                <w:rFonts w:ascii="Times New Roman" w:eastAsia="Times New Roman" w:hAnsi="Times New Roman"/>
                <w:bCs/>
                <w:sz w:val="25"/>
                <w:szCs w:val="25"/>
                <w:lang w:eastAsia="lv-LV"/>
              </w:rPr>
              <w:t xml:space="preserve">virzīt </w:t>
            </w:r>
            <w:r w:rsidR="000A1D11" w:rsidRPr="003259B2">
              <w:rPr>
                <w:rFonts w:ascii="Times New Roman" w:eastAsia="Times New Roman" w:hAnsi="Times New Roman"/>
                <w:bCs/>
                <w:sz w:val="25"/>
                <w:szCs w:val="25"/>
                <w:lang w:eastAsia="lv-LV"/>
              </w:rPr>
              <w:t>izskatīšanai Ministru kabinetā pēc attiecīgā pilnvarojuma ietveršanas Azartspēļu un izložu likumā.</w:t>
            </w:r>
          </w:p>
          <w:p w:rsidR="002C5D87" w:rsidRPr="003259B2" w:rsidRDefault="002C5D87" w:rsidP="002C5D87">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Tā kā MK noteikumu projektam (VSS-762) ir līdzīga satura deleģējums kā MK noteikumiem Nr.853</w:t>
            </w:r>
            <w:r w:rsidR="00FF081A" w:rsidRPr="003259B2">
              <w:rPr>
                <w:rFonts w:ascii="Times New Roman" w:hAnsi="Times New Roman" w:cs="Times New Roman"/>
                <w:sz w:val="25"/>
                <w:szCs w:val="25"/>
              </w:rPr>
              <w:t xml:space="preserve">, kas šobrīd </w:t>
            </w:r>
            <w:r w:rsidRPr="003259B2">
              <w:rPr>
                <w:rFonts w:ascii="Times New Roman" w:hAnsi="Times New Roman" w:cs="Times New Roman"/>
                <w:sz w:val="25"/>
                <w:szCs w:val="25"/>
              </w:rPr>
              <w:t>jau regul</w:t>
            </w:r>
            <w:r w:rsidR="00FF081A" w:rsidRPr="003259B2">
              <w:rPr>
                <w:rFonts w:ascii="Times New Roman" w:hAnsi="Times New Roman" w:cs="Times New Roman"/>
                <w:sz w:val="25"/>
                <w:szCs w:val="25"/>
              </w:rPr>
              <w:t>ē</w:t>
            </w:r>
            <w:r w:rsidRPr="003259B2">
              <w:rPr>
                <w:rFonts w:ascii="Times New Roman" w:hAnsi="Times New Roman" w:cs="Times New Roman"/>
                <w:sz w:val="25"/>
                <w:szCs w:val="25"/>
              </w:rPr>
              <w:t xml:space="preserve"> interaktīvās </w:t>
            </w:r>
            <w:r w:rsidR="00551E71" w:rsidRPr="003259B2">
              <w:rPr>
                <w:rFonts w:ascii="Times New Roman" w:hAnsi="Times New Roman" w:cs="Times New Roman"/>
                <w:sz w:val="25"/>
                <w:szCs w:val="25"/>
              </w:rPr>
              <w:t>azartspēles</w:t>
            </w:r>
            <w:r w:rsidRPr="003259B2">
              <w:rPr>
                <w:rFonts w:ascii="Times New Roman" w:hAnsi="Times New Roman" w:cs="Times New Roman"/>
                <w:sz w:val="25"/>
                <w:szCs w:val="25"/>
              </w:rPr>
              <w:t xml:space="preserve">, tad, piekrītot Tieslietu ministrijas iebildumam par deleģējuma atbilstību, </w:t>
            </w:r>
            <w:r w:rsidR="0039269A" w:rsidRPr="003259B2">
              <w:rPr>
                <w:rFonts w:ascii="Times New Roman" w:hAnsi="Times New Roman" w:cs="Times New Roman"/>
                <w:sz w:val="25"/>
                <w:szCs w:val="25"/>
              </w:rPr>
              <w:t>tiek veikti</w:t>
            </w:r>
            <w:r w:rsidRPr="003259B2">
              <w:rPr>
                <w:rFonts w:ascii="Times New Roman" w:hAnsi="Times New Roman" w:cs="Times New Roman"/>
                <w:sz w:val="25"/>
                <w:szCs w:val="25"/>
              </w:rPr>
              <w:t xml:space="preserve"> grozījumi Likuma 47.panta otrajā daļā un 80.panta septītajā daļā ar mērķi </w:t>
            </w:r>
            <w:r w:rsidR="00610452" w:rsidRPr="003259B2">
              <w:rPr>
                <w:rFonts w:ascii="Times New Roman" w:hAnsi="Times New Roman" w:cs="Times New Roman"/>
                <w:sz w:val="25"/>
                <w:szCs w:val="25"/>
              </w:rPr>
              <w:t xml:space="preserve">precizēt </w:t>
            </w:r>
            <w:r w:rsidRPr="003259B2">
              <w:rPr>
                <w:rFonts w:ascii="Times New Roman" w:hAnsi="Times New Roman" w:cs="Times New Roman"/>
                <w:sz w:val="25"/>
                <w:szCs w:val="25"/>
              </w:rPr>
              <w:t>normatīvo regul</w:t>
            </w:r>
            <w:r w:rsidR="00FF081A" w:rsidRPr="003259B2">
              <w:rPr>
                <w:rFonts w:ascii="Times New Roman" w:hAnsi="Times New Roman" w:cs="Times New Roman"/>
                <w:sz w:val="25"/>
                <w:szCs w:val="25"/>
              </w:rPr>
              <w:t>ējumu Likumā.</w:t>
            </w:r>
          </w:p>
          <w:p w:rsidR="00D669B7" w:rsidRPr="003259B2" w:rsidRDefault="00D669B7" w:rsidP="002C5D87">
            <w:pPr>
              <w:tabs>
                <w:tab w:val="center" w:pos="4680"/>
                <w:tab w:val="right" w:pos="9360"/>
              </w:tabs>
              <w:spacing w:after="0" w:line="240" w:lineRule="auto"/>
              <w:jc w:val="both"/>
              <w:rPr>
                <w:rFonts w:ascii="Times New Roman" w:hAnsi="Times New Roman" w:cs="Times New Roman"/>
                <w:sz w:val="25"/>
                <w:szCs w:val="25"/>
              </w:rPr>
            </w:pPr>
          </w:p>
          <w:p w:rsidR="00FF081A" w:rsidRPr="003259B2" w:rsidRDefault="00FF081A" w:rsidP="00FF081A">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5"/>
                <w:szCs w:val="25"/>
              </w:rPr>
            </w:pPr>
            <w:r w:rsidRPr="003259B2">
              <w:rPr>
                <w:rFonts w:ascii="Times New Roman" w:eastAsia="Times New Roman" w:hAnsi="Times New Roman" w:cs="Times New Roman"/>
                <w:color w:val="000000" w:themeColor="text1"/>
                <w:spacing w:val="-4"/>
                <w:sz w:val="25"/>
                <w:szCs w:val="25"/>
              </w:rPr>
              <w:t>Tādējādi ar likumprojekta:</w:t>
            </w:r>
          </w:p>
          <w:p w:rsidR="00F06266" w:rsidRPr="003259B2" w:rsidRDefault="00FF081A" w:rsidP="00AA1C9A">
            <w:pPr>
              <w:pStyle w:val="NoSpacing"/>
              <w:jc w:val="both"/>
              <w:rPr>
                <w:rFonts w:ascii="Times New Roman" w:eastAsia="Times New Roman" w:hAnsi="Times New Roman" w:cs="Times New Roman"/>
                <w:color w:val="000000" w:themeColor="text1"/>
                <w:spacing w:val="-4"/>
                <w:sz w:val="25"/>
                <w:szCs w:val="25"/>
                <w:lang w:val="lv-LV"/>
              </w:rPr>
            </w:pPr>
            <w:r w:rsidRPr="003259B2">
              <w:rPr>
                <w:rFonts w:ascii="Times New Roman" w:eastAsia="Times New Roman" w:hAnsi="Times New Roman" w:cs="Times New Roman"/>
                <w:color w:val="000000" w:themeColor="text1"/>
                <w:spacing w:val="-4"/>
                <w:sz w:val="25"/>
                <w:szCs w:val="25"/>
                <w:lang w:val="lv-LV"/>
              </w:rPr>
              <w:t xml:space="preserve">- </w:t>
            </w:r>
            <w:r w:rsidR="0017644D" w:rsidRPr="003259B2">
              <w:rPr>
                <w:rFonts w:ascii="Times New Roman" w:eastAsia="Times New Roman" w:hAnsi="Times New Roman" w:cs="Times New Roman"/>
                <w:color w:val="000000" w:themeColor="text1"/>
                <w:spacing w:val="-4"/>
                <w:sz w:val="25"/>
                <w:szCs w:val="25"/>
                <w:lang w:val="lv-LV"/>
              </w:rPr>
              <w:t>4</w:t>
            </w:r>
            <w:r w:rsidRPr="003259B2">
              <w:rPr>
                <w:rFonts w:ascii="Times New Roman" w:eastAsia="Times New Roman" w:hAnsi="Times New Roman" w:cs="Times New Roman"/>
                <w:color w:val="000000" w:themeColor="text1"/>
                <w:spacing w:val="-4"/>
                <w:sz w:val="25"/>
                <w:szCs w:val="25"/>
                <w:lang w:val="lv-LV"/>
              </w:rPr>
              <w:t>.pantu tiek precizēta</w:t>
            </w:r>
            <w:r w:rsidR="00F06266" w:rsidRPr="003259B2">
              <w:rPr>
                <w:rFonts w:ascii="Times New Roman" w:eastAsia="Times New Roman" w:hAnsi="Times New Roman" w:cs="Times New Roman"/>
                <w:color w:val="000000" w:themeColor="text1"/>
                <w:spacing w:val="-4"/>
                <w:sz w:val="25"/>
                <w:szCs w:val="25"/>
                <w:lang w:val="lv-LV"/>
              </w:rPr>
              <w:t>:</w:t>
            </w:r>
          </w:p>
          <w:p w:rsidR="00AA1C9A" w:rsidRPr="003259B2" w:rsidRDefault="00191F0C" w:rsidP="00AA1C9A">
            <w:pPr>
              <w:pStyle w:val="NoSpacing"/>
              <w:jc w:val="both"/>
              <w:rPr>
                <w:rFonts w:ascii="Times New Roman" w:hAnsi="Times New Roman" w:cs="Times New Roman"/>
                <w:sz w:val="25"/>
                <w:szCs w:val="25"/>
                <w:shd w:val="clear" w:color="auto" w:fill="FFFFFF"/>
                <w:lang w:val="lv-LV"/>
              </w:rPr>
            </w:pPr>
            <w:r w:rsidRPr="003259B2">
              <w:rPr>
                <w:rFonts w:ascii="Times New Roman" w:eastAsia="Times New Roman" w:hAnsi="Times New Roman" w:cs="Times New Roman"/>
                <w:color w:val="000000" w:themeColor="text1"/>
                <w:spacing w:val="-4"/>
                <w:sz w:val="25"/>
                <w:szCs w:val="25"/>
                <w:lang w:val="lv-LV"/>
              </w:rPr>
              <w:t xml:space="preserve">        1)</w:t>
            </w:r>
            <w:r w:rsidR="00FF081A" w:rsidRPr="003259B2">
              <w:rPr>
                <w:rFonts w:ascii="Times New Roman" w:eastAsia="Times New Roman" w:hAnsi="Times New Roman" w:cs="Times New Roman"/>
                <w:color w:val="000000" w:themeColor="text1"/>
                <w:spacing w:val="-4"/>
                <w:sz w:val="25"/>
                <w:szCs w:val="25"/>
                <w:lang w:val="lv-LV"/>
              </w:rPr>
              <w:t xml:space="preserve"> Likuma 47.panta otrā daļa</w:t>
            </w:r>
            <w:r w:rsidR="00580899" w:rsidRPr="003259B2">
              <w:rPr>
                <w:rFonts w:ascii="Times New Roman" w:eastAsia="Times New Roman" w:hAnsi="Times New Roman" w:cs="Times New Roman"/>
                <w:color w:val="000000" w:themeColor="text1"/>
                <w:spacing w:val="-4"/>
                <w:sz w:val="25"/>
                <w:szCs w:val="25"/>
                <w:lang w:val="lv-LV"/>
              </w:rPr>
              <w:t xml:space="preserve"> par interaktīvajām azartspēlēm</w:t>
            </w:r>
            <w:r w:rsidR="00FF081A" w:rsidRPr="003259B2">
              <w:rPr>
                <w:rFonts w:ascii="Times New Roman" w:eastAsia="Times New Roman" w:hAnsi="Times New Roman" w:cs="Times New Roman"/>
                <w:color w:val="000000" w:themeColor="text1"/>
                <w:spacing w:val="-4"/>
                <w:sz w:val="25"/>
                <w:szCs w:val="25"/>
                <w:lang w:val="lv-LV"/>
              </w:rPr>
              <w:t xml:space="preserve">, kas nosaka </w:t>
            </w:r>
            <w:r w:rsidR="00677B11" w:rsidRPr="003259B2">
              <w:rPr>
                <w:rFonts w:ascii="Times New Roman" w:eastAsia="Times New Roman" w:hAnsi="Times New Roman" w:cs="Times New Roman"/>
                <w:color w:val="000000" w:themeColor="text1"/>
                <w:spacing w:val="-4"/>
                <w:sz w:val="25"/>
                <w:szCs w:val="25"/>
                <w:lang w:val="lv-LV"/>
              </w:rPr>
              <w:t xml:space="preserve">Ministru kabinetam noteikt </w:t>
            </w:r>
            <w:r w:rsidR="00FF081A" w:rsidRPr="003259B2">
              <w:rPr>
                <w:rFonts w:ascii="Times New Roman" w:eastAsia="Times New Roman" w:hAnsi="Times New Roman" w:cs="Times New Roman"/>
                <w:color w:val="000000" w:themeColor="text1"/>
                <w:spacing w:val="-4"/>
                <w:sz w:val="25"/>
                <w:szCs w:val="25"/>
                <w:lang w:val="lv-LV"/>
              </w:rPr>
              <w:t xml:space="preserve">interaktīvo azartspēļu organizēšanas sistēmas </w:t>
            </w:r>
            <w:r w:rsidR="00AB2318" w:rsidRPr="003259B2">
              <w:rPr>
                <w:rFonts w:ascii="Times New Roman" w:eastAsia="Times New Roman" w:hAnsi="Times New Roman" w:cs="Times New Roman"/>
                <w:color w:val="000000" w:themeColor="text1"/>
                <w:spacing w:val="-4"/>
                <w:sz w:val="25"/>
                <w:szCs w:val="25"/>
                <w:lang w:val="lv-LV"/>
              </w:rPr>
              <w:t xml:space="preserve">galvenās </w:t>
            </w:r>
            <w:r w:rsidR="00FF081A" w:rsidRPr="003259B2">
              <w:rPr>
                <w:rFonts w:ascii="Times New Roman" w:eastAsia="Times New Roman" w:hAnsi="Times New Roman" w:cs="Times New Roman"/>
                <w:color w:val="000000" w:themeColor="text1"/>
                <w:spacing w:val="-4"/>
                <w:sz w:val="25"/>
                <w:szCs w:val="25"/>
                <w:lang w:val="lv-LV"/>
              </w:rPr>
              <w:t>sastāvdaļas</w:t>
            </w:r>
            <w:r w:rsidR="009F335C" w:rsidRPr="003259B2">
              <w:rPr>
                <w:rFonts w:ascii="Times New Roman" w:eastAsia="Times New Roman" w:hAnsi="Times New Roman" w:cs="Times New Roman"/>
                <w:color w:val="000000" w:themeColor="text1"/>
                <w:spacing w:val="-4"/>
                <w:sz w:val="25"/>
                <w:szCs w:val="25"/>
                <w:lang w:val="lv-LV"/>
              </w:rPr>
              <w:t xml:space="preserve"> un</w:t>
            </w:r>
            <w:r w:rsidR="00FF081A" w:rsidRPr="003259B2">
              <w:rPr>
                <w:rFonts w:ascii="Times New Roman" w:eastAsia="Times New Roman" w:hAnsi="Times New Roman" w:cs="Times New Roman"/>
                <w:color w:val="000000" w:themeColor="text1"/>
                <w:spacing w:val="-4"/>
                <w:sz w:val="25"/>
                <w:szCs w:val="25"/>
                <w:lang w:val="lv-LV"/>
              </w:rPr>
              <w:t xml:space="preserve"> kāda informācija </w:t>
            </w:r>
            <w:r w:rsidR="00FF081A" w:rsidRPr="003259B2">
              <w:rPr>
                <w:rFonts w:ascii="Times New Roman" w:hAnsi="Times New Roman" w:cs="Times New Roman"/>
                <w:sz w:val="25"/>
                <w:szCs w:val="25"/>
                <w:lang w:val="lv-LV"/>
              </w:rPr>
              <w:t xml:space="preserve">Izložu un azartspēļu uzraudzības inspekcijā ir iesniedzama par </w:t>
            </w:r>
            <w:r w:rsidR="00FF081A" w:rsidRPr="003259B2">
              <w:rPr>
                <w:rFonts w:ascii="Times New Roman" w:eastAsia="Times New Roman" w:hAnsi="Times New Roman" w:cs="Times New Roman"/>
                <w:color w:val="000000" w:themeColor="text1"/>
                <w:spacing w:val="-4"/>
                <w:sz w:val="25"/>
                <w:szCs w:val="25"/>
                <w:lang w:val="lv-LV"/>
              </w:rPr>
              <w:t xml:space="preserve">interaktīvajā azartspēlē paredzēto </w:t>
            </w:r>
            <w:r w:rsidR="00624D2A" w:rsidRPr="003259B2">
              <w:rPr>
                <w:rFonts w:ascii="Times New Roman" w:eastAsia="Times New Roman" w:hAnsi="Times New Roman" w:cs="Times New Roman"/>
                <w:color w:val="000000" w:themeColor="text1"/>
                <w:spacing w:val="-4"/>
                <w:sz w:val="25"/>
                <w:szCs w:val="25"/>
                <w:lang w:val="lv-LV"/>
              </w:rPr>
              <w:t>azarts</w:t>
            </w:r>
            <w:r w:rsidR="00FF081A" w:rsidRPr="003259B2">
              <w:rPr>
                <w:rFonts w:ascii="Times New Roman" w:eastAsia="Times New Roman" w:hAnsi="Times New Roman" w:cs="Times New Roman"/>
                <w:color w:val="000000" w:themeColor="text1"/>
                <w:spacing w:val="-4"/>
                <w:sz w:val="25"/>
                <w:szCs w:val="25"/>
                <w:lang w:val="lv-LV"/>
              </w:rPr>
              <w:t>pēļu organizēšanas sist</w:t>
            </w:r>
            <w:r w:rsidR="00AA1C9A" w:rsidRPr="003259B2">
              <w:rPr>
                <w:rFonts w:ascii="Times New Roman" w:eastAsia="Times New Roman" w:hAnsi="Times New Roman" w:cs="Times New Roman"/>
                <w:color w:val="000000" w:themeColor="text1"/>
                <w:spacing w:val="-4"/>
                <w:sz w:val="25"/>
                <w:szCs w:val="25"/>
                <w:lang w:val="lv-LV"/>
              </w:rPr>
              <w:t>ēmu</w:t>
            </w:r>
            <w:r w:rsidR="0098109C" w:rsidRPr="003259B2">
              <w:rPr>
                <w:rFonts w:ascii="Times New Roman" w:eastAsia="Times New Roman" w:hAnsi="Times New Roman" w:cs="Times New Roman"/>
                <w:color w:val="000000" w:themeColor="text1"/>
                <w:spacing w:val="-4"/>
                <w:sz w:val="25"/>
                <w:szCs w:val="25"/>
                <w:lang w:val="lv-LV"/>
              </w:rPr>
              <w:t xml:space="preserve">, </w:t>
            </w:r>
            <w:r w:rsidR="00D736C5" w:rsidRPr="003259B2">
              <w:rPr>
                <w:rFonts w:ascii="Times New Roman" w:hAnsi="Times New Roman" w:cs="Times New Roman"/>
                <w:sz w:val="25"/>
                <w:szCs w:val="25"/>
                <w:shd w:val="clear" w:color="auto" w:fill="FFFFFF"/>
                <w:lang w:val="lv-LV"/>
              </w:rPr>
              <w:t>kā arī kārtību, kādā drīkst mainīt interaktīvo azartspēļu organizēšanas sistēmu vai tās sastāvdaļas</w:t>
            </w:r>
            <w:r w:rsidR="00AA1C9A" w:rsidRPr="003259B2">
              <w:rPr>
                <w:rFonts w:ascii="Times New Roman" w:eastAsia="Times New Roman" w:hAnsi="Times New Roman" w:cs="Times New Roman"/>
                <w:color w:val="000000" w:themeColor="text1"/>
                <w:spacing w:val="-4"/>
                <w:sz w:val="25"/>
                <w:szCs w:val="25"/>
                <w:lang w:val="lv-LV"/>
              </w:rPr>
              <w:t>;</w:t>
            </w:r>
            <w:r w:rsidR="00624D2A" w:rsidRPr="003259B2">
              <w:rPr>
                <w:rFonts w:ascii="Times New Roman" w:eastAsia="Times New Roman" w:hAnsi="Times New Roman" w:cs="Times New Roman"/>
                <w:color w:val="000000" w:themeColor="text1"/>
                <w:spacing w:val="-4"/>
                <w:sz w:val="25"/>
                <w:szCs w:val="25"/>
                <w:lang w:val="lv-LV"/>
              </w:rPr>
              <w:t xml:space="preserve"> </w:t>
            </w:r>
            <w:r w:rsidR="00D736C5" w:rsidRPr="003259B2">
              <w:rPr>
                <w:rFonts w:ascii="Times New Roman" w:eastAsia="Times New Roman" w:hAnsi="Times New Roman" w:cs="Times New Roman"/>
                <w:color w:val="000000" w:themeColor="text1"/>
                <w:spacing w:val="-4"/>
                <w:sz w:val="25"/>
                <w:szCs w:val="25"/>
                <w:lang w:val="lv-LV"/>
              </w:rPr>
              <w:t xml:space="preserve">nepieciešamos </w:t>
            </w:r>
            <w:r w:rsidR="00AA1C9A" w:rsidRPr="003259B2">
              <w:rPr>
                <w:rFonts w:ascii="Times New Roman" w:hAnsi="Times New Roman" w:cs="Times New Roman"/>
                <w:sz w:val="25"/>
                <w:szCs w:val="25"/>
                <w:shd w:val="clear" w:color="auto" w:fill="FFFFFF"/>
                <w:lang w:val="lv-LV"/>
              </w:rPr>
              <w:t>interaktīvo azartspēļu organizēšanas sistēmas drošības pasākumus, lai nepieļautu kādas personas ietekmi uz interaktīvās azartspēles iznākumu, un fizisko personu datu aizsardzības pasākumus</w:t>
            </w:r>
            <w:r w:rsidR="00D736C5" w:rsidRPr="003259B2">
              <w:rPr>
                <w:rFonts w:ascii="Times New Roman" w:hAnsi="Times New Roman" w:cs="Times New Roman"/>
                <w:sz w:val="25"/>
                <w:szCs w:val="25"/>
                <w:shd w:val="clear" w:color="auto" w:fill="FFFFFF"/>
                <w:lang w:val="lv-LV"/>
              </w:rPr>
              <w:t>, kur</w:t>
            </w:r>
            <w:r w:rsidR="00B63B5F" w:rsidRPr="003259B2">
              <w:rPr>
                <w:rFonts w:ascii="Times New Roman" w:hAnsi="Times New Roman" w:cs="Times New Roman"/>
                <w:sz w:val="25"/>
                <w:szCs w:val="25"/>
                <w:shd w:val="clear" w:color="auto" w:fill="FFFFFF"/>
                <w:lang w:val="lv-LV"/>
              </w:rPr>
              <w:t>i</w:t>
            </w:r>
            <w:r w:rsidR="00D736C5" w:rsidRPr="003259B2">
              <w:rPr>
                <w:rFonts w:ascii="Times New Roman" w:hAnsi="Times New Roman" w:cs="Times New Roman"/>
                <w:sz w:val="25"/>
                <w:szCs w:val="25"/>
                <w:shd w:val="clear" w:color="auto" w:fill="FFFFFF"/>
                <w:lang w:val="lv-LV"/>
              </w:rPr>
              <w:t xml:space="preserve"> </w:t>
            </w:r>
            <w:r w:rsidR="00B63B5F" w:rsidRPr="003259B2">
              <w:rPr>
                <w:rFonts w:ascii="Times New Roman" w:hAnsi="Times New Roman" w:cs="Times New Roman"/>
                <w:sz w:val="25"/>
                <w:szCs w:val="25"/>
                <w:shd w:val="clear" w:color="auto" w:fill="FFFFFF"/>
                <w:lang w:val="lv-LV"/>
              </w:rPr>
              <w:t>jā</w:t>
            </w:r>
            <w:r w:rsidR="00D736C5" w:rsidRPr="003259B2">
              <w:rPr>
                <w:rFonts w:ascii="Times New Roman" w:hAnsi="Times New Roman" w:cs="Times New Roman"/>
                <w:sz w:val="25"/>
                <w:szCs w:val="25"/>
                <w:shd w:val="clear" w:color="auto" w:fill="FFFFFF"/>
                <w:lang w:val="lv-LV"/>
              </w:rPr>
              <w:t>izvērtē sertifikācijas institūcija</w:t>
            </w:r>
            <w:r w:rsidR="00B63B5F" w:rsidRPr="003259B2">
              <w:rPr>
                <w:rFonts w:ascii="Times New Roman" w:hAnsi="Times New Roman" w:cs="Times New Roman"/>
                <w:sz w:val="25"/>
                <w:szCs w:val="25"/>
                <w:shd w:val="clear" w:color="auto" w:fill="FFFFFF"/>
                <w:lang w:val="lv-LV"/>
              </w:rPr>
              <w:t>i</w:t>
            </w:r>
            <w:r w:rsidR="00D736C5" w:rsidRPr="003259B2">
              <w:rPr>
                <w:rFonts w:ascii="Times New Roman" w:hAnsi="Times New Roman" w:cs="Times New Roman"/>
                <w:sz w:val="25"/>
                <w:szCs w:val="25"/>
                <w:shd w:val="clear" w:color="auto" w:fill="FFFFFF"/>
                <w:lang w:val="lv-LV"/>
              </w:rPr>
              <w:t>, sniedzot atzinumu par interaktīvo azartspēļu organizēšanas sistēmas pārbaudes rezultātiem</w:t>
            </w:r>
            <w:r w:rsidR="00AA1C9A" w:rsidRPr="003259B2">
              <w:rPr>
                <w:rFonts w:ascii="Times New Roman" w:hAnsi="Times New Roman" w:cs="Times New Roman"/>
                <w:sz w:val="25"/>
                <w:szCs w:val="25"/>
                <w:shd w:val="clear" w:color="auto" w:fill="FFFFFF"/>
                <w:lang w:val="lv-LV"/>
              </w:rPr>
              <w:t>; informāciju, kas glabājama interaktīvo azartspēļu organizēšanas sistēmā un informācijas glabāšanas termiņu;</w:t>
            </w:r>
          </w:p>
          <w:p w:rsidR="00AA1C9A" w:rsidRPr="003259B2" w:rsidRDefault="00191F0C" w:rsidP="00745F81">
            <w:pPr>
              <w:pStyle w:val="NoSpacing"/>
              <w:ind w:firstLine="110"/>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2)</w:t>
            </w:r>
            <w:r w:rsidR="00AA1C9A" w:rsidRPr="003259B2">
              <w:rPr>
                <w:rFonts w:ascii="Times New Roman" w:hAnsi="Times New Roman" w:cs="Times New Roman"/>
                <w:sz w:val="25"/>
                <w:szCs w:val="25"/>
                <w:shd w:val="clear" w:color="auto" w:fill="FFFFFF"/>
                <w:lang w:val="lv-LV"/>
              </w:rPr>
              <w:t xml:space="preserve"> </w:t>
            </w:r>
            <w:r w:rsidR="00F06266" w:rsidRPr="003259B2">
              <w:rPr>
                <w:rFonts w:ascii="Times New Roman" w:hAnsi="Times New Roman" w:cs="Times New Roman"/>
                <w:sz w:val="25"/>
                <w:szCs w:val="25"/>
                <w:shd w:val="clear" w:color="auto" w:fill="FFFFFF"/>
                <w:lang w:val="lv-LV"/>
              </w:rPr>
              <w:t>Likuma</w:t>
            </w:r>
            <w:r w:rsidR="00745F81" w:rsidRPr="003259B2">
              <w:rPr>
                <w:rFonts w:ascii="Times New Roman" w:hAnsi="Times New Roman" w:cs="Times New Roman"/>
                <w:sz w:val="25"/>
                <w:szCs w:val="25"/>
                <w:shd w:val="clear" w:color="auto" w:fill="FFFFFF"/>
                <w:lang w:val="lv-LV"/>
              </w:rPr>
              <w:t xml:space="preserve"> 47.panta pirmās daļas 3. un 4.punkts, kuros</w:t>
            </w:r>
            <w:r w:rsidR="00AA1C9A" w:rsidRPr="003259B2">
              <w:rPr>
                <w:rFonts w:ascii="Times New Roman" w:hAnsi="Times New Roman" w:cs="Times New Roman"/>
                <w:sz w:val="25"/>
                <w:szCs w:val="25"/>
                <w:shd w:val="clear" w:color="auto" w:fill="FFFFFF"/>
                <w:lang w:val="lv-LV"/>
              </w:rPr>
              <w:t xml:space="preserve"> tiek preciz</w:t>
            </w:r>
            <w:r w:rsidR="009A3C0A" w:rsidRPr="003259B2">
              <w:rPr>
                <w:rFonts w:ascii="Times New Roman" w:hAnsi="Times New Roman" w:cs="Times New Roman"/>
                <w:sz w:val="25"/>
                <w:szCs w:val="25"/>
                <w:shd w:val="clear" w:color="auto" w:fill="FFFFFF"/>
                <w:lang w:val="lv-LV"/>
              </w:rPr>
              <w:t>ētas Likuma normas</w:t>
            </w:r>
            <w:r w:rsidR="00715685" w:rsidRPr="003259B2">
              <w:rPr>
                <w:rFonts w:ascii="Times New Roman" w:hAnsi="Times New Roman" w:cs="Times New Roman"/>
                <w:sz w:val="25"/>
                <w:szCs w:val="25"/>
                <w:shd w:val="clear" w:color="auto" w:fill="FFFFFF"/>
                <w:lang w:val="lv-LV"/>
              </w:rPr>
              <w:t xml:space="preserve"> par interaktīvajām azartspēlēm</w:t>
            </w:r>
            <w:r w:rsidR="009A3C0A" w:rsidRPr="003259B2">
              <w:rPr>
                <w:rFonts w:ascii="Times New Roman" w:hAnsi="Times New Roman" w:cs="Times New Roman"/>
                <w:sz w:val="25"/>
                <w:szCs w:val="25"/>
                <w:shd w:val="clear" w:color="auto" w:fill="FFFFFF"/>
                <w:lang w:val="lv-LV"/>
              </w:rPr>
              <w:t xml:space="preserve">, kas izriet no </w:t>
            </w:r>
            <w:r w:rsidR="00745F81" w:rsidRPr="003259B2">
              <w:rPr>
                <w:rFonts w:ascii="Times New Roman" w:hAnsi="Times New Roman" w:cs="Times New Roman"/>
                <w:sz w:val="25"/>
                <w:szCs w:val="25"/>
                <w:shd w:val="clear" w:color="auto" w:fill="FFFFFF"/>
                <w:lang w:val="lv-LV"/>
              </w:rPr>
              <w:t xml:space="preserve">paredzētajiem grozījumiem </w:t>
            </w:r>
            <w:r w:rsidR="00745F81" w:rsidRPr="003259B2">
              <w:rPr>
                <w:rFonts w:ascii="Times New Roman" w:eastAsia="Times New Roman" w:hAnsi="Times New Roman" w:cs="Times New Roman"/>
                <w:color w:val="000000" w:themeColor="text1"/>
                <w:spacing w:val="-4"/>
                <w:sz w:val="25"/>
                <w:szCs w:val="25"/>
                <w:lang w:val="lv-LV"/>
              </w:rPr>
              <w:t>47.panta otrajā daļā</w:t>
            </w:r>
            <w:r w:rsidR="00745F81" w:rsidRPr="003259B2">
              <w:rPr>
                <w:rFonts w:ascii="Times New Roman" w:hAnsi="Times New Roman" w:cs="Times New Roman"/>
                <w:sz w:val="25"/>
                <w:szCs w:val="25"/>
                <w:shd w:val="clear" w:color="auto" w:fill="FFFFFF"/>
                <w:lang w:val="lv-LV"/>
              </w:rPr>
              <w:t>:</w:t>
            </w:r>
          </w:p>
          <w:p w:rsidR="009A3C0A" w:rsidRPr="003259B2" w:rsidRDefault="00191F0C" w:rsidP="00191F0C">
            <w:pPr>
              <w:pStyle w:val="NoSpacing"/>
              <w:jc w:val="both"/>
              <w:rPr>
                <w:rFonts w:ascii="Times New Roman" w:hAnsi="Times New Roman" w:cs="Times New Roman"/>
                <w:strike/>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w:t>
            </w:r>
            <w:r w:rsidR="00AC4D89" w:rsidRPr="003259B2">
              <w:rPr>
                <w:rFonts w:ascii="Times New Roman" w:hAnsi="Times New Roman" w:cs="Times New Roman"/>
                <w:sz w:val="25"/>
                <w:szCs w:val="25"/>
                <w:shd w:val="clear" w:color="auto" w:fill="FFFFFF"/>
                <w:lang w:val="lv-LV"/>
              </w:rPr>
              <w:t xml:space="preserve">   </w:t>
            </w:r>
            <w:r w:rsidRPr="003259B2">
              <w:rPr>
                <w:rFonts w:ascii="Times New Roman" w:hAnsi="Times New Roman" w:cs="Times New Roman"/>
                <w:sz w:val="25"/>
                <w:szCs w:val="25"/>
                <w:shd w:val="clear" w:color="auto" w:fill="FFFFFF"/>
                <w:lang w:val="lv-LV"/>
              </w:rPr>
              <w:t xml:space="preserve">  -</w:t>
            </w:r>
            <w:r w:rsidR="009A3C0A" w:rsidRPr="003259B2">
              <w:rPr>
                <w:rFonts w:ascii="Times New Roman" w:hAnsi="Times New Roman" w:cs="Times New Roman"/>
                <w:sz w:val="25"/>
                <w:szCs w:val="25"/>
                <w:shd w:val="clear" w:color="auto" w:fill="FFFFFF"/>
                <w:lang w:val="lv-LV"/>
              </w:rPr>
              <w:t xml:space="preserve"> Likuma 47.panta pirmās daļas 3.punkts tiek precizēts, nosakot, ka ir jāiesniedz informācija par paredzēto interaktīvās azartspēles organizēšanas sistēmu</w:t>
            </w:r>
            <w:r w:rsidR="009F335C" w:rsidRPr="003259B2">
              <w:rPr>
                <w:rFonts w:ascii="Times New Roman" w:hAnsi="Times New Roman" w:cs="Times New Roman"/>
                <w:sz w:val="25"/>
                <w:szCs w:val="25"/>
                <w:shd w:val="clear" w:color="auto" w:fill="FFFFFF"/>
                <w:lang w:val="lv-LV"/>
              </w:rPr>
              <w:t>, tai skaitā interaktīvās azartspēles organizēšanā izmantojamām interaktīvo azartspēļu programmām;</w:t>
            </w:r>
          </w:p>
          <w:p w:rsidR="009A3C0A" w:rsidRPr="003259B2" w:rsidRDefault="00191F0C" w:rsidP="00191F0C">
            <w:pPr>
              <w:pStyle w:val="NoSpacing"/>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w:t>
            </w:r>
            <w:r w:rsidR="00AC4D89" w:rsidRPr="003259B2">
              <w:rPr>
                <w:rFonts w:ascii="Times New Roman" w:hAnsi="Times New Roman" w:cs="Times New Roman"/>
                <w:sz w:val="25"/>
                <w:szCs w:val="25"/>
                <w:shd w:val="clear" w:color="auto" w:fill="FFFFFF"/>
                <w:lang w:val="lv-LV"/>
              </w:rPr>
              <w:t xml:space="preserve">  </w:t>
            </w:r>
            <w:r w:rsidRPr="003259B2">
              <w:rPr>
                <w:rFonts w:ascii="Times New Roman" w:hAnsi="Times New Roman" w:cs="Times New Roman"/>
                <w:sz w:val="25"/>
                <w:szCs w:val="25"/>
                <w:shd w:val="clear" w:color="auto" w:fill="FFFFFF"/>
                <w:lang w:val="lv-LV"/>
              </w:rPr>
              <w:t xml:space="preserve"> </w:t>
            </w:r>
            <w:r w:rsidR="009A3C0A" w:rsidRPr="003259B2">
              <w:rPr>
                <w:rFonts w:ascii="Times New Roman" w:hAnsi="Times New Roman" w:cs="Times New Roman"/>
                <w:sz w:val="25"/>
                <w:szCs w:val="25"/>
                <w:shd w:val="clear" w:color="auto" w:fill="FFFFFF"/>
                <w:lang w:val="lv-LV"/>
              </w:rPr>
              <w:t>-</w:t>
            </w:r>
            <w:r w:rsidRPr="003259B2">
              <w:rPr>
                <w:rFonts w:ascii="Times New Roman" w:hAnsi="Times New Roman" w:cs="Times New Roman"/>
                <w:sz w:val="25"/>
                <w:szCs w:val="25"/>
                <w:shd w:val="clear" w:color="auto" w:fill="FFFFFF"/>
                <w:lang w:val="lv-LV"/>
              </w:rPr>
              <w:t xml:space="preserve"> </w:t>
            </w:r>
            <w:r w:rsidR="009A3C0A" w:rsidRPr="003259B2">
              <w:rPr>
                <w:rFonts w:ascii="Times New Roman" w:hAnsi="Times New Roman" w:cs="Times New Roman"/>
                <w:sz w:val="25"/>
                <w:szCs w:val="25"/>
                <w:shd w:val="clear" w:color="auto" w:fill="FFFFFF"/>
                <w:lang w:val="lv-LV"/>
              </w:rPr>
              <w:t xml:space="preserve">Likuma 47.panta pirmās daļas 4.punkts tiek precizēts, nosakot, ka </w:t>
            </w:r>
            <w:r w:rsidR="0057200B" w:rsidRPr="003259B2">
              <w:rPr>
                <w:rFonts w:ascii="Times New Roman" w:hAnsi="Times New Roman" w:cs="Times New Roman"/>
                <w:sz w:val="25"/>
                <w:szCs w:val="25"/>
                <w:lang w:val="lv-LV"/>
              </w:rPr>
              <w:t xml:space="preserve">Izložu un azartspēļu uzraudzības inspekcijā </w:t>
            </w:r>
            <w:r w:rsidR="009A3C0A" w:rsidRPr="003259B2">
              <w:rPr>
                <w:rFonts w:ascii="Times New Roman" w:hAnsi="Times New Roman" w:cs="Times New Roman"/>
                <w:sz w:val="25"/>
                <w:szCs w:val="25"/>
                <w:shd w:val="clear" w:color="auto" w:fill="FFFFFF"/>
                <w:lang w:val="lv-LV"/>
              </w:rPr>
              <w:t>jāiesniedz sertifikācijas institūcijas (šobrīd Likumā – laboratorijas) atzinums par interaktīvo azartspēļu organizēšanas sistēmas pārbaudes rezultātiem, tai skaitā attiecīgās interaktīvās azartspēļu organizēšanas sistēmas atbilstību spēļu organizēšanas sistēmas drošības un fizisko personu datu aizsardzības pasākumiem</w:t>
            </w:r>
            <w:r w:rsidR="00EB3AAA" w:rsidRPr="003259B2">
              <w:rPr>
                <w:rFonts w:ascii="Times New Roman" w:hAnsi="Times New Roman" w:cs="Times New Roman"/>
                <w:sz w:val="25"/>
                <w:szCs w:val="25"/>
                <w:shd w:val="clear" w:color="auto" w:fill="FFFFFF"/>
                <w:lang w:val="lv-LV"/>
              </w:rPr>
              <w:t xml:space="preserve">, </w:t>
            </w:r>
            <w:r w:rsidR="00F13274" w:rsidRPr="003259B2">
              <w:rPr>
                <w:rFonts w:ascii="Times New Roman" w:hAnsi="Times New Roman" w:cs="Times New Roman"/>
                <w:sz w:val="25"/>
                <w:szCs w:val="25"/>
                <w:shd w:val="clear" w:color="auto" w:fill="FFFFFF"/>
                <w:lang w:val="lv-LV"/>
              </w:rPr>
              <w:t>kas tiks veikti, lai nepieļautu kādas personas ietekmi uz interaktīvās azartspēles iznākumu, kā arī fizisko personu datu aizsardzības pasākumiem</w:t>
            </w:r>
            <w:r w:rsidR="009A3C0A" w:rsidRPr="003259B2">
              <w:rPr>
                <w:rFonts w:ascii="Times New Roman" w:hAnsi="Times New Roman" w:cs="Times New Roman"/>
                <w:sz w:val="25"/>
                <w:szCs w:val="25"/>
                <w:shd w:val="clear" w:color="auto" w:fill="FFFFFF"/>
                <w:lang w:val="lv-LV"/>
              </w:rPr>
              <w:t>;</w:t>
            </w:r>
          </w:p>
          <w:p w:rsidR="00D669B7" w:rsidRPr="003259B2" w:rsidRDefault="00D669B7" w:rsidP="00191F0C">
            <w:pPr>
              <w:pStyle w:val="NoSpacing"/>
              <w:jc w:val="both"/>
              <w:rPr>
                <w:rFonts w:ascii="Times New Roman" w:hAnsi="Times New Roman" w:cs="Times New Roman"/>
                <w:sz w:val="25"/>
                <w:szCs w:val="25"/>
                <w:shd w:val="clear" w:color="auto" w:fill="FFFFFF"/>
                <w:lang w:val="lv-LV"/>
              </w:rPr>
            </w:pPr>
          </w:p>
          <w:p w:rsidR="009A3C0A" w:rsidRPr="003259B2" w:rsidRDefault="009A3C0A" w:rsidP="00901082">
            <w:pPr>
              <w:pStyle w:val="NoSpacing"/>
              <w:ind w:firstLine="110"/>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- 1</w:t>
            </w:r>
            <w:r w:rsidR="005D6269" w:rsidRPr="003259B2">
              <w:rPr>
                <w:rFonts w:ascii="Times New Roman" w:hAnsi="Times New Roman" w:cs="Times New Roman"/>
                <w:sz w:val="25"/>
                <w:szCs w:val="25"/>
                <w:shd w:val="clear" w:color="auto" w:fill="FFFFFF"/>
                <w:lang w:val="lv-LV"/>
              </w:rPr>
              <w:t>1</w:t>
            </w:r>
            <w:r w:rsidRPr="003259B2">
              <w:rPr>
                <w:rFonts w:ascii="Times New Roman" w:hAnsi="Times New Roman" w:cs="Times New Roman"/>
                <w:sz w:val="25"/>
                <w:szCs w:val="25"/>
                <w:shd w:val="clear" w:color="auto" w:fill="FFFFFF"/>
                <w:lang w:val="lv-LV"/>
              </w:rPr>
              <w:t>.pantu tiek precizēta Likuma 80.panta septītā daļa</w:t>
            </w:r>
            <w:r w:rsidR="00580899" w:rsidRPr="003259B2">
              <w:rPr>
                <w:rFonts w:ascii="Times New Roman" w:hAnsi="Times New Roman" w:cs="Times New Roman"/>
                <w:sz w:val="25"/>
                <w:szCs w:val="25"/>
                <w:shd w:val="clear" w:color="auto" w:fill="FFFFFF"/>
                <w:lang w:val="lv-LV"/>
              </w:rPr>
              <w:t xml:space="preserve"> par interaktīvajām izlozēm</w:t>
            </w:r>
            <w:r w:rsidRPr="003259B2">
              <w:rPr>
                <w:rFonts w:ascii="Times New Roman" w:hAnsi="Times New Roman" w:cs="Times New Roman"/>
                <w:sz w:val="25"/>
                <w:szCs w:val="25"/>
                <w:shd w:val="clear" w:color="auto" w:fill="FFFFFF"/>
                <w:lang w:val="lv-LV"/>
              </w:rPr>
              <w:t xml:space="preserve">, kas nosaka </w:t>
            </w:r>
            <w:r w:rsidR="00677B11" w:rsidRPr="003259B2">
              <w:rPr>
                <w:rFonts w:ascii="Times New Roman" w:hAnsi="Times New Roman" w:cs="Times New Roman"/>
                <w:sz w:val="25"/>
                <w:szCs w:val="25"/>
                <w:shd w:val="clear" w:color="auto" w:fill="FFFFFF"/>
                <w:lang w:val="lv-LV"/>
              </w:rPr>
              <w:t xml:space="preserve">Ministru kabinetam noteikt </w:t>
            </w:r>
            <w:r w:rsidR="00261308" w:rsidRPr="003259B2">
              <w:rPr>
                <w:rFonts w:ascii="Times New Roman" w:hAnsi="Times New Roman" w:cs="Times New Roman"/>
                <w:sz w:val="25"/>
                <w:szCs w:val="25"/>
                <w:shd w:val="clear" w:color="auto" w:fill="FFFFFF"/>
                <w:lang w:val="lv-LV"/>
              </w:rPr>
              <w:t xml:space="preserve">interaktīvo izložu organizēšanas sistēmas </w:t>
            </w:r>
            <w:r w:rsidR="00AB2318" w:rsidRPr="003259B2">
              <w:rPr>
                <w:rFonts w:ascii="Times New Roman" w:hAnsi="Times New Roman" w:cs="Times New Roman"/>
                <w:sz w:val="25"/>
                <w:szCs w:val="25"/>
                <w:shd w:val="clear" w:color="auto" w:fill="FFFFFF"/>
                <w:lang w:val="lv-LV"/>
              </w:rPr>
              <w:t xml:space="preserve">galvenās </w:t>
            </w:r>
            <w:r w:rsidR="00261308" w:rsidRPr="003259B2">
              <w:rPr>
                <w:rFonts w:ascii="Times New Roman" w:hAnsi="Times New Roman" w:cs="Times New Roman"/>
                <w:sz w:val="25"/>
                <w:szCs w:val="25"/>
                <w:shd w:val="clear" w:color="auto" w:fill="FFFFFF"/>
                <w:lang w:val="lv-LV"/>
              </w:rPr>
              <w:t>sastāvdaļas</w:t>
            </w:r>
            <w:r w:rsidR="00405BB0" w:rsidRPr="003259B2">
              <w:rPr>
                <w:rFonts w:ascii="Times New Roman" w:hAnsi="Times New Roman" w:cs="Times New Roman"/>
                <w:sz w:val="25"/>
                <w:szCs w:val="25"/>
                <w:shd w:val="clear" w:color="auto" w:fill="FFFFFF"/>
                <w:lang w:val="lv-LV"/>
              </w:rPr>
              <w:t xml:space="preserve"> un </w:t>
            </w:r>
            <w:r w:rsidR="0057200B" w:rsidRPr="003259B2">
              <w:rPr>
                <w:rFonts w:ascii="Times New Roman" w:eastAsia="Times New Roman" w:hAnsi="Times New Roman" w:cs="Times New Roman"/>
                <w:color w:val="000000" w:themeColor="text1"/>
                <w:spacing w:val="-4"/>
                <w:sz w:val="25"/>
                <w:szCs w:val="25"/>
                <w:lang w:val="lv-LV"/>
              </w:rPr>
              <w:t xml:space="preserve">kāda informācija </w:t>
            </w:r>
            <w:r w:rsidR="0057200B" w:rsidRPr="003259B2">
              <w:rPr>
                <w:rFonts w:ascii="Times New Roman" w:hAnsi="Times New Roman" w:cs="Times New Roman"/>
                <w:sz w:val="25"/>
                <w:szCs w:val="25"/>
                <w:lang w:val="lv-LV"/>
              </w:rPr>
              <w:t xml:space="preserve">Izložu un azartspēļu uzraudzības inspekcijā ir iesniedzama </w:t>
            </w:r>
            <w:r w:rsidR="00261308" w:rsidRPr="003259B2">
              <w:rPr>
                <w:rFonts w:ascii="Times New Roman" w:hAnsi="Times New Roman" w:cs="Times New Roman"/>
                <w:sz w:val="25"/>
                <w:szCs w:val="25"/>
                <w:shd w:val="clear" w:color="auto" w:fill="FFFFFF"/>
                <w:lang w:val="lv-LV"/>
              </w:rPr>
              <w:t>par interaktīvajā izlozē paredzēto interaktīvo izložu organizēšanas sistēmu</w:t>
            </w:r>
            <w:r w:rsidR="00405BB0" w:rsidRPr="003259B2">
              <w:rPr>
                <w:rFonts w:ascii="Times New Roman" w:hAnsi="Times New Roman" w:cs="Times New Roman"/>
                <w:sz w:val="25"/>
                <w:szCs w:val="25"/>
                <w:shd w:val="clear" w:color="auto" w:fill="FFFFFF"/>
                <w:lang w:val="lv-LV"/>
              </w:rPr>
              <w:t xml:space="preserve">, </w:t>
            </w:r>
            <w:r w:rsidR="003F4D00" w:rsidRPr="003259B2">
              <w:rPr>
                <w:rFonts w:ascii="Times New Roman" w:hAnsi="Times New Roman" w:cs="Times New Roman"/>
                <w:sz w:val="25"/>
                <w:szCs w:val="25"/>
                <w:shd w:val="clear" w:color="auto" w:fill="FFFFFF"/>
                <w:lang w:val="lv-LV"/>
              </w:rPr>
              <w:t>kā arī kārtību, kādā drīkst mainīt interaktīvo izložu organizēšanas sistēmu vai tās sastāvdaļas</w:t>
            </w:r>
            <w:r w:rsidR="00261308" w:rsidRPr="003259B2">
              <w:rPr>
                <w:rFonts w:ascii="Times New Roman" w:hAnsi="Times New Roman" w:cs="Times New Roman"/>
                <w:sz w:val="25"/>
                <w:szCs w:val="25"/>
                <w:shd w:val="clear" w:color="auto" w:fill="FFFFFF"/>
                <w:lang w:val="lv-LV"/>
              </w:rPr>
              <w:t xml:space="preserve">; </w:t>
            </w:r>
            <w:r w:rsidR="00901082" w:rsidRPr="003259B2">
              <w:rPr>
                <w:rFonts w:ascii="Times New Roman" w:hAnsi="Times New Roman" w:cs="Times New Roman"/>
                <w:sz w:val="25"/>
                <w:szCs w:val="25"/>
                <w:shd w:val="clear" w:color="auto" w:fill="FFFFFF"/>
                <w:lang w:val="lv-LV"/>
              </w:rPr>
              <w:t xml:space="preserve">nepieciešamo </w:t>
            </w:r>
            <w:r w:rsidR="00261308" w:rsidRPr="003259B2">
              <w:rPr>
                <w:rFonts w:ascii="Times New Roman" w:hAnsi="Times New Roman" w:cs="Times New Roman"/>
                <w:sz w:val="25"/>
                <w:szCs w:val="25"/>
                <w:shd w:val="clear" w:color="auto" w:fill="FFFFFF"/>
                <w:lang w:val="lv-LV"/>
              </w:rPr>
              <w:t>interaktīvo izložu organizēšanas sistēmas drošības pasākumus, lai nepieļautu kādas personas ietekmi uz interaktīvās izlozes iznākumu</w:t>
            </w:r>
            <w:r w:rsidR="005D6269" w:rsidRPr="003259B2">
              <w:rPr>
                <w:rFonts w:ascii="Times New Roman" w:hAnsi="Times New Roman" w:cs="Times New Roman"/>
                <w:sz w:val="25"/>
                <w:szCs w:val="25"/>
                <w:shd w:val="clear" w:color="auto" w:fill="FFFFFF"/>
                <w:lang w:val="lv-LV"/>
              </w:rPr>
              <w:t>,</w:t>
            </w:r>
            <w:r w:rsidR="00261308" w:rsidRPr="003259B2">
              <w:rPr>
                <w:rFonts w:ascii="Times New Roman" w:hAnsi="Times New Roman" w:cs="Times New Roman"/>
                <w:sz w:val="25"/>
                <w:szCs w:val="25"/>
                <w:shd w:val="clear" w:color="auto" w:fill="FFFFFF"/>
                <w:lang w:val="lv-LV"/>
              </w:rPr>
              <w:t xml:space="preserve"> un fizisko personu datu aizsardzības pasākumus</w:t>
            </w:r>
            <w:r w:rsidR="00901082" w:rsidRPr="003259B2">
              <w:rPr>
                <w:rFonts w:ascii="Times New Roman" w:hAnsi="Times New Roman" w:cs="Times New Roman"/>
                <w:sz w:val="25"/>
                <w:szCs w:val="25"/>
                <w:shd w:val="clear" w:color="auto" w:fill="FFFFFF"/>
                <w:lang w:val="lv-LV"/>
              </w:rPr>
              <w:t xml:space="preserve">, </w:t>
            </w:r>
            <w:proofErr w:type="spellStart"/>
            <w:r w:rsidR="00901082" w:rsidRPr="003259B2">
              <w:rPr>
                <w:rFonts w:ascii="Times New Roman" w:hAnsi="Times New Roman" w:cs="Times New Roman"/>
                <w:sz w:val="25"/>
                <w:szCs w:val="25"/>
                <w:shd w:val="clear" w:color="auto" w:fill="FFFFFF"/>
              </w:rPr>
              <w:t>kur</w:t>
            </w:r>
            <w:r w:rsidR="00EE4248" w:rsidRPr="003259B2">
              <w:rPr>
                <w:rFonts w:ascii="Times New Roman" w:hAnsi="Times New Roman" w:cs="Times New Roman"/>
                <w:sz w:val="25"/>
                <w:szCs w:val="25"/>
                <w:shd w:val="clear" w:color="auto" w:fill="FFFFFF"/>
              </w:rPr>
              <w:t>i</w:t>
            </w:r>
            <w:proofErr w:type="spellEnd"/>
            <w:r w:rsidR="00901082" w:rsidRPr="003259B2">
              <w:rPr>
                <w:rFonts w:ascii="Times New Roman" w:hAnsi="Times New Roman" w:cs="Times New Roman"/>
                <w:sz w:val="25"/>
                <w:szCs w:val="25"/>
                <w:shd w:val="clear" w:color="auto" w:fill="FFFFFF"/>
              </w:rPr>
              <w:t xml:space="preserve"> </w:t>
            </w:r>
            <w:proofErr w:type="spellStart"/>
            <w:r w:rsidR="00EE4248" w:rsidRPr="003259B2">
              <w:rPr>
                <w:rFonts w:ascii="Times New Roman" w:hAnsi="Times New Roman" w:cs="Times New Roman"/>
                <w:sz w:val="25"/>
                <w:szCs w:val="25"/>
                <w:shd w:val="clear" w:color="auto" w:fill="FFFFFF"/>
              </w:rPr>
              <w:t>jā</w:t>
            </w:r>
            <w:r w:rsidR="00901082" w:rsidRPr="003259B2">
              <w:rPr>
                <w:rFonts w:ascii="Times New Roman" w:hAnsi="Times New Roman" w:cs="Times New Roman"/>
                <w:sz w:val="25"/>
                <w:szCs w:val="25"/>
                <w:shd w:val="clear" w:color="auto" w:fill="FFFFFF"/>
              </w:rPr>
              <w:t>izvērtē</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sertifikācijas</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institūcija</w:t>
            </w:r>
            <w:r w:rsidR="00EE4248" w:rsidRPr="003259B2">
              <w:rPr>
                <w:rFonts w:ascii="Times New Roman" w:hAnsi="Times New Roman" w:cs="Times New Roman"/>
                <w:sz w:val="25"/>
                <w:szCs w:val="25"/>
                <w:shd w:val="clear" w:color="auto" w:fill="FFFFFF"/>
              </w:rPr>
              <w:t>i</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sniedzot</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atzinumu</w:t>
            </w:r>
            <w:proofErr w:type="spellEnd"/>
            <w:r w:rsidR="00901082" w:rsidRPr="003259B2">
              <w:rPr>
                <w:rFonts w:ascii="Times New Roman" w:hAnsi="Times New Roman" w:cs="Times New Roman"/>
                <w:sz w:val="25"/>
                <w:szCs w:val="25"/>
                <w:shd w:val="clear" w:color="auto" w:fill="FFFFFF"/>
              </w:rPr>
              <w:t xml:space="preserve"> par </w:t>
            </w:r>
            <w:proofErr w:type="spellStart"/>
            <w:r w:rsidR="00901082" w:rsidRPr="003259B2">
              <w:rPr>
                <w:rFonts w:ascii="Times New Roman" w:hAnsi="Times New Roman" w:cs="Times New Roman"/>
                <w:sz w:val="25"/>
                <w:szCs w:val="25"/>
                <w:shd w:val="clear" w:color="auto" w:fill="FFFFFF"/>
              </w:rPr>
              <w:t>interaktīvo</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izložu</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organizēšanas</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sistēmas</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pārbaudes</w:t>
            </w:r>
            <w:proofErr w:type="spellEnd"/>
            <w:r w:rsidR="00901082" w:rsidRPr="003259B2">
              <w:rPr>
                <w:rFonts w:ascii="Times New Roman" w:hAnsi="Times New Roman" w:cs="Times New Roman"/>
                <w:sz w:val="25"/>
                <w:szCs w:val="25"/>
                <w:shd w:val="clear" w:color="auto" w:fill="FFFFFF"/>
              </w:rPr>
              <w:t xml:space="preserve"> </w:t>
            </w:r>
            <w:proofErr w:type="spellStart"/>
            <w:r w:rsidR="00901082" w:rsidRPr="003259B2">
              <w:rPr>
                <w:rFonts w:ascii="Times New Roman" w:hAnsi="Times New Roman" w:cs="Times New Roman"/>
                <w:sz w:val="25"/>
                <w:szCs w:val="25"/>
                <w:shd w:val="clear" w:color="auto" w:fill="FFFFFF"/>
              </w:rPr>
              <w:t>rezultātiem</w:t>
            </w:r>
            <w:proofErr w:type="spellEnd"/>
            <w:r w:rsidR="00901082" w:rsidRPr="003259B2">
              <w:rPr>
                <w:rFonts w:ascii="Times New Roman" w:hAnsi="Times New Roman" w:cs="Times New Roman"/>
                <w:sz w:val="25"/>
                <w:szCs w:val="25"/>
                <w:shd w:val="clear" w:color="auto" w:fill="FFFFFF"/>
              </w:rPr>
              <w:t xml:space="preserve">; </w:t>
            </w:r>
            <w:r w:rsidR="00261308" w:rsidRPr="003259B2">
              <w:rPr>
                <w:rFonts w:ascii="Times New Roman" w:hAnsi="Times New Roman" w:cs="Times New Roman"/>
                <w:sz w:val="25"/>
                <w:szCs w:val="25"/>
                <w:shd w:val="clear" w:color="auto" w:fill="FFFFFF"/>
                <w:lang w:val="lv-LV"/>
              </w:rPr>
              <w:t xml:space="preserve">informāciju, kas glabājama interaktīvo izložu organizēšanas sistēmā un </w:t>
            </w:r>
            <w:r w:rsidR="00916936" w:rsidRPr="003259B2">
              <w:rPr>
                <w:rFonts w:ascii="Times New Roman" w:hAnsi="Times New Roman" w:cs="Times New Roman"/>
                <w:sz w:val="25"/>
                <w:szCs w:val="25"/>
                <w:shd w:val="clear" w:color="auto" w:fill="FFFFFF"/>
                <w:lang w:val="lv-LV"/>
              </w:rPr>
              <w:t>informācijas glabāšanas termiņu;</w:t>
            </w:r>
          </w:p>
          <w:p w:rsidR="00D669B7" w:rsidRPr="003259B2" w:rsidRDefault="00D669B7" w:rsidP="00901082">
            <w:pPr>
              <w:pStyle w:val="NoSpacing"/>
              <w:ind w:firstLine="110"/>
              <w:jc w:val="both"/>
              <w:rPr>
                <w:rFonts w:ascii="Times New Roman" w:hAnsi="Times New Roman" w:cs="Times New Roman"/>
                <w:sz w:val="25"/>
                <w:szCs w:val="25"/>
                <w:shd w:val="clear" w:color="auto" w:fill="FFFFFF"/>
              </w:rPr>
            </w:pPr>
          </w:p>
          <w:p w:rsidR="00916936" w:rsidRPr="003259B2" w:rsidRDefault="00916936" w:rsidP="00916936">
            <w:pPr>
              <w:pStyle w:val="NoSpacing"/>
              <w:ind w:firstLine="110"/>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w:t>
            </w:r>
            <w:r w:rsidR="006C73F7" w:rsidRPr="003259B2">
              <w:rPr>
                <w:rFonts w:ascii="Times New Roman" w:hAnsi="Times New Roman" w:cs="Times New Roman"/>
                <w:sz w:val="25"/>
                <w:szCs w:val="25"/>
                <w:shd w:val="clear" w:color="auto" w:fill="FFFFFF"/>
                <w:lang w:val="lv-LV"/>
              </w:rPr>
              <w:t>9</w:t>
            </w:r>
            <w:r w:rsidRPr="003259B2">
              <w:rPr>
                <w:rFonts w:ascii="Times New Roman" w:hAnsi="Times New Roman" w:cs="Times New Roman"/>
                <w:sz w:val="25"/>
                <w:szCs w:val="25"/>
                <w:shd w:val="clear" w:color="auto" w:fill="FFFFFF"/>
                <w:lang w:val="lv-LV"/>
              </w:rPr>
              <w:t>.pantu tiek precizētas Likuma normas</w:t>
            </w:r>
            <w:r w:rsidR="00715685" w:rsidRPr="003259B2">
              <w:rPr>
                <w:rFonts w:ascii="Times New Roman" w:hAnsi="Times New Roman" w:cs="Times New Roman"/>
                <w:sz w:val="25"/>
                <w:szCs w:val="25"/>
                <w:shd w:val="clear" w:color="auto" w:fill="FFFFFF"/>
                <w:lang w:val="lv-LV"/>
              </w:rPr>
              <w:t xml:space="preserve"> par interaktīvajām izlozēm</w:t>
            </w:r>
            <w:r w:rsidRPr="003259B2">
              <w:rPr>
                <w:rFonts w:ascii="Times New Roman" w:hAnsi="Times New Roman" w:cs="Times New Roman"/>
                <w:sz w:val="25"/>
                <w:szCs w:val="25"/>
                <w:shd w:val="clear" w:color="auto" w:fill="FFFFFF"/>
                <w:lang w:val="lv-LV"/>
              </w:rPr>
              <w:t xml:space="preserve">, kas izriet no likumprojekta </w:t>
            </w:r>
            <w:r w:rsidR="00A0587A" w:rsidRPr="003259B2">
              <w:rPr>
                <w:rFonts w:ascii="Times New Roman" w:hAnsi="Times New Roman" w:cs="Times New Roman"/>
                <w:sz w:val="25"/>
                <w:szCs w:val="25"/>
                <w:shd w:val="clear" w:color="auto" w:fill="FFFFFF"/>
                <w:lang w:val="lv-LV"/>
              </w:rPr>
              <w:t>1</w:t>
            </w:r>
            <w:r w:rsidR="006C73F7" w:rsidRPr="003259B2">
              <w:rPr>
                <w:rFonts w:ascii="Times New Roman" w:hAnsi="Times New Roman" w:cs="Times New Roman"/>
                <w:sz w:val="25"/>
                <w:szCs w:val="25"/>
                <w:shd w:val="clear" w:color="auto" w:fill="FFFFFF"/>
                <w:lang w:val="lv-LV"/>
              </w:rPr>
              <w:t>1</w:t>
            </w:r>
            <w:r w:rsidR="0045394F" w:rsidRPr="003259B2">
              <w:rPr>
                <w:rFonts w:ascii="Times New Roman" w:hAnsi="Times New Roman" w:cs="Times New Roman"/>
                <w:sz w:val="25"/>
                <w:szCs w:val="25"/>
                <w:shd w:val="clear" w:color="auto" w:fill="FFFFFF"/>
                <w:lang w:val="lv-LV"/>
              </w:rPr>
              <w:t xml:space="preserve">.pantā </w:t>
            </w:r>
            <w:r w:rsidR="00A31063" w:rsidRPr="003259B2">
              <w:rPr>
                <w:rFonts w:ascii="Times New Roman" w:hAnsi="Times New Roman" w:cs="Times New Roman"/>
                <w:sz w:val="25"/>
                <w:szCs w:val="25"/>
                <w:shd w:val="clear" w:color="auto" w:fill="FFFFFF"/>
                <w:lang w:val="lv-LV"/>
              </w:rPr>
              <w:t>minētajām normām</w:t>
            </w:r>
            <w:r w:rsidR="006C73F7" w:rsidRPr="003259B2">
              <w:rPr>
                <w:rFonts w:ascii="Times New Roman" w:hAnsi="Times New Roman" w:cs="Times New Roman"/>
                <w:sz w:val="25"/>
                <w:szCs w:val="25"/>
                <w:shd w:val="clear" w:color="auto" w:fill="FFFFFF"/>
                <w:lang w:val="lv-LV"/>
              </w:rPr>
              <w:t xml:space="preserve"> saistībā ar grozījumiem </w:t>
            </w:r>
            <w:r w:rsidR="00FD1A06" w:rsidRPr="003259B2">
              <w:rPr>
                <w:rFonts w:ascii="Times New Roman" w:hAnsi="Times New Roman" w:cs="Times New Roman"/>
                <w:sz w:val="25"/>
                <w:szCs w:val="25"/>
                <w:shd w:val="clear" w:color="auto" w:fill="FFFFFF"/>
                <w:lang w:val="lv-LV"/>
              </w:rPr>
              <w:t>Likuma 80.panta septītajā daļā</w:t>
            </w:r>
            <w:r w:rsidRPr="003259B2">
              <w:rPr>
                <w:rFonts w:ascii="Times New Roman" w:hAnsi="Times New Roman" w:cs="Times New Roman"/>
                <w:sz w:val="25"/>
                <w:szCs w:val="25"/>
                <w:shd w:val="clear" w:color="auto" w:fill="FFFFFF"/>
                <w:lang w:val="lv-LV"/>
              </w:rPr>
              <w:t>:</w:t>
            </w:r>
          </w:p>
          <w:p w:rsidR="00EE084F" w:rsidRPr="003259B2" w:rsidRDefault="00A0587A" w:rsidP="00916936">
            <w:pPr>
              <w:pStyle w:val="NoSpacing"/>
              <w:ind w:firstLine="110"/>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w:t>
            </w:r>
            <w:r w:rsidR="00AC4D89" w:rsidRPr="003259B2">
              <w:rPr>
                <w:rFonts w:ascii="Times New Roman" w:hAnsi="Times New Roman" w:cs="Times New Roman"/>
                <w:sz w:val="25"/>
                <w:szCs w:val="25"/>
                <w:shd w:val="clear" w:color="auto" w:fill="FFFFFF"/>
                <w:lang w:val="lv-LV"/>
              </w:rPr>
              <w:t>1)</w:t>
            </w:r>
            <w:r w:rsidRPr="003259B2">
              <w:rPr>
                <w:rFonts w:ascii="Times New Roman" w:hAnsi="Times New Roman" w:cs="Times New Roman"/>
                <w:sz w:val="25"/>
                <w:szCs w:val="25"/>
                <w:shd w:val="clear" w:color="auto" w:fill="FFFFFF"/>
                <w:lang w:val="lv-LV"/>
              </w:rPr>
              <w:t xml:space="preserve"> Likuma 76.panta pirmās daļas 3.punkts tiek precizēts, nosakot, ka ir jāiesniedz informācija par paredzēto interaktīvās izlozes organizēšanas sistēmu</w:t>
            </w:r>
            <w:r w:rsidR="00715685" w:rsidRPr="003259B2">
              <w:rPr>
                <w:rFonts w:ascii="Times New Roman" w:hAnsi="Times New Roman" w:cs="Times New Roman"/>
                <w:sz w:val="25"/>
                <w:szCs w:val="25"/>
                <w:shd w:val="clear" w:color="auto" w:fill="FFFFFF"/>
                <w:lang w:val="lv-LV"/>
              </w:rPr>
              <w:t>, tai skaitā interaktīvo izložu organizēšanā izmantojamām interaktīvo izložu programmām</w:t>
            </w:r>
            <w:r w:rsidR="00AC4D89" w:rsidRPr="003259B2">
              <w:rPr>
                <w:rFonts w:ascii="Times New Roman" w:hAnsi="Times New Roman" w:cs="Times New Roman"/>
                <w:sz w:val="25"/>
                <w:szCs w:val="25"/>
                <w:shd w:val="clear" w:color="auto" w:fill="FFFFFF"/>
                <w:lang w:val="lv-LV"/>
              </w:rPr>
              <w:t>;</w:t>
            </w:r>
          </w:p>
          <w:p w:rsidR="00A0587A" w:rsidRPr="003259B2" w:rsidRDefault="00AC4D89" w:rsidP="00AC4D89">
            <w:pPr>
              <w:pStyle w:val="NoSpacing"/>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2)</w:t>
            </w:r>
            <w:r w:rsidR="00A0587A" w:rsidRPr="003259B2">
              <w:rPr>
                <w:rFonts w:ascii="Times New Roman" w:hAnsi="Times New Roman" w:cs="Times New Roman"/>
                <w:sz w:val="25"/>
                <w:szCs w:val="25"/>
                <w:shd w:val="clear" w:color="auto" w:fill="FFFFFF"/>
                <w:lang w:val="lv-LV"/>
              </w:rPr>
              <w:t xml:space="preserve"> Likuma 76</w:t>
            </w:r>
            <w:r w:rsidR="0057200B" w:rsidRPr="003259B2">
              <w:rPr>
                <w:rFonts w:ascii="Times New Roman" w:hAnsi="Times New Roman" w:cs="Times New Roman"/>
                <w:sz w:val="25"/>
                <w:szCs w:val="25"/>
                <w:shd w:val="clear" w:color="auto" w:fill="FFFFFF"/>
                <w:lang w:val="lv-LV"/>
              </w:rPr>
              <w:t>.panta pirmā daļa</w:t>
            </w:r>
            <w:r w:rsidR="00976328" w:rsidRPr="003259B2">
              <w:rPr>
                <w:rFonts w:ascii="Times New Roman" w:hAnsi="Times New Roman" w:cs="Times New Roman"/>
                <w:sz w:val="25"/>
                <w:szCs w:val="25"/>
                <w:shd w:val="clear" w:color="auto" w:fill="FFFFFF"/>
                <w:lang w:val="lv-LV"/>
              </w:rPr>
              <w:t xml:space="preserve"> (sākot ar 2019.gadu, vienlaicīgi paredzot pārejas noteikumus)</w:t>
            </w:r>
            <w:r w:rsidR="0057200B" w:rsidRPr="003259B2">
              <w:rPr>
                <w:rFonts w:ascii="Times New Roman" w:hAnsi="Times New Roman" w:cs="Times New Roman"/>
                <w:sz w:val="25"/>
                <w:szCs w:val="25"/>
                <w:shd w:val="clear" w:color="auto" w:fill="FFFFFF"/>
                <w:lang w:val="lv-LV"/>
              </w:rPr>
              <w:t xml:space="preserve"> tiek papildināta ar 3</w:t>
            </w:r>
            <w:r w:rsidR="0057200B" w:rsidRPr="003259B2">
              <w:rPr>
                <w:rFonts w:ascii="Times New Roman" w:hAnsi="Times New Roman" w:cs="Times New Roman"/>
                <w:sz w:val="25"/>
                <w:szCs w:val="25"/>
                <w:shd w:val="clear" w:color="auto" w:fill="FFFFFF"/>
                <w:vertAlign w:val="superscript"/>
                <w:lang w:val="lv-LV"/>
              </w:rPr>
              <w:t>1</w:t>
            </w:r>
            <w:r w:rsidR="0057200B" w:rsidRPr="003259B2">
              <w:rPr>
                <w:rFonts w:ascii="Times New Roman" w:hAnsi="Times New Roman" w:cs="Times New Roman"/>
                <w:sz w:val="25"/>
                <w:szCs w:val="25"/>
                <w:shd w:val="clear" w:color="auto" w:fill="FFFFFF"/>
                <w:lang w:val="lv-LV"/>
              </w:rPr>
              <w:t>.</w:t>
            </w:r>
            <w:r w:rsidR="00A0587A" w:rsidRPr="003259B2">
              <w:rPr>
                <w:rFonts w:ascii="Times New Roman" w:hAnsi="Times New Roman" w:cs="Times New Roman"/>
                <w:sz w:val="25"/>
                <w:szCs w:val="25"/>
                <w:shd w:val="clear" w:color="auto" w:fill="FFFFFF"/>
                <w:lang w:val="lv-LV"/>
              </w:rPr>
              <w:t>punkt</w:t>
            </w:r>
            <w:r w:rsidR="0057200B" w:rsidRPr="003259B2">
              <w:rPr>
                <w:rFonts w:ascii="Times New Roman" w:hAnsi="Times New Roman" w:cs="Times New Roman"/>
                <w:sz w:val="25"/>
                <w:szCs w:val="25"/>
                <w:shd w:val="clear" w:color="auto" w:fill="FFFFFF"/>
                <w:lang w:val="lv-LV"/>
              </w:rPr>
              <w:t>u, kas nosaka, ka</w:t>
            </w:r>
            <w:r w:rsidR="00A0587A" w:rsidRPr="003259B2">
              <w:rPr>
                <w:rFonts w:ascii="Times New Roman" w:hAnsi="Times New Roman" w:cs="Times New Roman"/>
                <w:sz w:val="25"/>
                <w:szCs w:val="25"/>
                <w:shd w:val="clear" w:color="auto" w:fill="FFFFFF"/>
                <w:lang w:val="lv-LV"/>
              </w:rPr>
              <w:t xml:space="preserve"> </w:t>
            </w:r>
            <w:r w:rsidR="0057200B" w:rsidRPr="003259B2">
              <w:rPr>
                <w:rFonts w:ascii="Times New Roman" w:hAnsi="Times New Roman" w:cs="Times New Roman"/>
                <w:sz w:val="25"/>
                <w:szCs w:val="25"/>
                <w:lang w:val="lv-LV"/>
              </w:rPr>
              <w:t>Izložu un azartspēļu uzraudzības inspekcijā</w:t>
            </w:r>
            <w:r w:rsidR="0057200B" w:rsidRPr="003259B2">
              <w:rPr>
                <w:rFonts w:ascii="Times New Roman" w:hAnsi="Times New Roman" w:cs="Times New Roman"/>
                <w:sz w:val="25"/>
                <w:szCs w:val="25"/>
                <w:shd w:val="clear" w:color="auto" w:fill="FFFFFF"/>
                <w:lang w:val="lv-LV"/>
              </w:rPr>
              <w:t xml:space="preserve"> </w:t>
            </w:r>
            <w:r w:rsidR="00A0587A" w:rsidRPr="003259B2">
              <w:rPr>
                <w:rFonts w:ascii="Times New Roman" w:hAnsi="Times New Roman" w:cs="Times New Roman"/>
                <w:sz w:val="25"/>
                <w:szCs w:val="25"/>
                <w:shd w:val="clear" w:color="auto" w:fill="FFFFFF"/>
                <w:lang w:val="lv-LV"/>
              </w:rPr>
              <w:t>jāiesniedz sertifikācijas institūcijas</w:t>
            </w:r>
            <w:r w:rsidR="0057200B" w:rsidRPr="003259B2">
              <w:rPr>
                <w:rFonts w:ascii="Times New Roman" w:hAnsi="Times New Roman" w:cs="Times New Roman"/>
                <w:sz w:val="25"/>
                <w:szCs w:val="25"/>
                <w:shd w:val="clear" w:color="auto" w:fill="FFFFFF"/>
                <w:lang w:val="lv-LV"/>
              </w:rPr>
              <w:t xml:space="preserve"> </w:t>
            </w:r>
            <w:r w:rsidR="00A0587A" w:rsidRPr="003259B2">
              <w:rPr>
                <w:rFonts w:ascii="Times New Roman" w:hAnsi="Times New Roman" w:cs="Times New Roman"/>
                <w:sz w:val="25"/>
                <w:szCs w:val="25"/>
                <w:shd w:val="clear" w:color="auto" w:fill="FFFFFF"/>
                <w:lang w:val="lv-LV"/>
              </w:rPr>
              <w:t xml:space="preserve">atzinums par interaktīvo </w:t>
            </w:r>
            <w:r w:rsidR="0057200B" w:rsidRPr="003259B2">
              <w:rPr>
                <w:rFonts w:ascii="Times New Roman" w:hAnsi="Times New Roman" w:cs="Times New Roman"/>
                <w:sz w:val="25"/>
                <w:szCs w:val="25"/>
                <w:shd w:val="clear" w:color="auto" w:fill="FFFFFF"/>
                <w:lang w:val="lv-LV"/>
              </w:rPr>
              <w:t>izložu</w:t>
            </w:r>
            <w:r w:rsidR="00A0587A" w:rsidRPr="003259B2">
              <w:rPr>
                <w:rFonts w:ascii="Times New Roman" w:hAnsi="Times New Roman" w:cs="Times New Roman"/>
                <w:sz w:val="25"/>
                <w:szCs w:val="25"/>
                <w:shd w:val="clear" w:color="auto" w:fill="FFFFFF"/>
                <w:lang w:val="lv-LV"/>
              </w:rPr>
              <w:t xml:space="preserve"> organizēšanas sistēmas pārbaudes rezultātiem, tai skaitā attiecīgās interaktīvās </w:t>
            </w:r>
            <w:r w:rsidR="0057200B" w:rsidRPr="003259B2">
              <w:rPr>
                <w:rFonts w:ascii="Times New Roman" w:hAnsi="Times New Roman" w:cs="Times New Roman"/>
                <w:sz w:val="25"/>
                <w:szCs w:val="25"/>
                <w:shd w:val="clear" w:color="auto" w:fill="FFFFFF"/>
                <w:lang w:val="lv-LV"/>
              </w:rPr>
              <w:t>izlozes</w:t>
            </w:r>
            <w:r w:rsidR="00A0587A" w:rsidRPr="003259B2">
              <w:rPr>
                <w:rFonts w:ascii="Times New Roman" w:hAnsi="Times New Roman" w:cs="Times New Roman"/>
                <w:sz w:val="25"/>
                <w:szCs w:val="25"/>
                <w:shd w:val="clear" w:color="auto" w:fill="FFFFFF"/>
                <w:lang w:val="lv-LV"/>
              </w:rPr>
              <w:t xml:space="preserve"> organizēšanas sistēmas atbilstību </w:t>
            </w:r>
            <w:r w:rsidR="00C90404" w:rsidRPr="003259B2">
              <w:rPr>
                <w:rFonts w:ascii="Times New Roman" w:hAnsi="Times New Roman" w:cs="Times New Roman"/>
                <w:sz w:val="25"/>
                <w:szCs w:val="25"/>
                <w:shd w:val="clear" w:color="auto" w:fill="FFFFFF"/>
                <w:lang w:val="lv-LV"/>
              </w:rPr>
              <w:t>interaktīv</w:t>
            </w:r>
            <w:r w:rsidR="00F9240B" w:rsidRPr="003259B2">
              <w:rPr>
                <w:rFonts w:ascii="Times New Roman" w:hAnsi="Times New Roman" w:cs="Times New Roman"/>
                <w:sz w:val="25"/>
                <w:szCs w:val="25"/>
                <w:shd w:val="clear" w:color="auto" w:fill="FFFFFF"/>
                <w:lang w:val="lv-LV"/>
              </w:rPr>
              <w:t>o izložu</w:t>
            </w:r>
            <w:r w:rsidR="00C90404" w:rsidRPr="003259B2">
              <w:rPr>
                <w:rFonts w:ascii="Times New Roman" w:hAnsi="Times New Roman" w:cs="Times New Roman"/>
                <w:sz w:val="25"/>
                <w:szCs w:val="25"/>
                <w:shd w:val="clear" w:color="auto" w:fill="FFFFFF"/>
                <w:lang w:val="lv-LV"/>
              </w:rPr>
              <w:t xml:space="preserve"> </w:t>
            </w:r>
            <w:r w:rsidR="00A0587A" w:rsidRPr="003259B2">
              <w:rPr>
                <w:rFonts w:ascii="Times New Roman" w:hAnsi="Times New Roman" w:cs="Times New Roman"/>
                <w:sz w:val="25"/>
                <w:szCs w:val="25"/>
                <w:shd w:val="clear" w:color="auto" w:fill="FFFFFF"/>
                <w:lang w:val="lv-LV"/>
              </w:rPr>
              <w:t>organizēšanas sistēmas drošības un fizisko personu datu aizsardzības pasākumiem</w:t>
            </w:r>
            <w:r w:rsidR="00685D3D" w:rsidRPr="003259B2">
              <w:rPr>
                <w:rFonts w:ascii="Times New Roman" w:hAnsi="Times New Roman" w:cs="Times New Roman"/>
                <w:sz w:val="25"/>
                <w:szCs w:val="25"/>
                <w:shd w:val="clear" w:color="auto" w:fill="FFFFFF"/>
                <w:lang w:val="lv-LV"/>
              </w:rPr>
              <w:t>, kas tiks veikti, lai nepieļautu kādas personas ietekmi uz interaktīvās izlozes iznākumu</w:t>
            </w:r>
            <w:r w:rsidR="00A0587A" w:rsidRPr="003259B2">
              <w:rPr>
                <w:rFonts w:ascii="Times New Roman" w:hAnsi="Times New Roman" w:cs="Times New Roman"/>
                <w:sz w:val="25"/>
                <w:szCs w:val="25"/>
                <w:shd w:val="clear" w:color="auto" w:fill="FFFFFF"/>
                <w:lang w:val="lv-LV"/>
              </w:rPr>
              <w:t>;</w:t>
            </w:r>
          </w:p>
          <w:p w:rsidR="00D669B7" w:rsidRPr="003259B2" w:rsidRDefault="00D669B7" w:rsidP="00AC4D89">
            <w:pPr>
              <w:pStyle w:val="NoSpacing"/>
              <w:jc w:val="both"/>
              <w:rPr>
                <w:rFonts w:ascii="Times New Roman" w:hAnsi="Times New Roman" w:cs="Times New Roman"/>
                <w:sz w:val="25"/>
                <w:szCs w:val="25"/>
                <w:shd w:val="clear" w:color="auto" w:fill="FFFFFF"/>
                <w:lang w:val="lv-LV"/>
              </w:rPr>
            </w:pPr>
          </w:p>
          <w:p w:rsidR="00FF081A" w:rsidRPr="003259B2" w:rsidRDefault="0057200B" w:rsidP="0057200B">
            <w:pPr>
              <w:pStyle w:val="NoSpacing"/>
              <w:jc w:val="both"/>
              <w:rPr>
                <w:rFonts w:ascii="Times New Roman" w:hAnsi="Times New Roman" w:cs="Times New Roman"/>
                <w:sz w:val="25"/>
                <w:szCs w:val="25"/>
                <w:shd w:val="clear" w:color="auto" w:fill="FFFFFF"/>
                <w:lang w:val="lv-LV"/>
              </w:rPr>
            </w:pPr>
            <w:r w:rsidRPr="003259B2">
              <w:rPr>
                <w:rFonts w:ascii="Times New Roman" w:hAnsi="Times New Roman" w:cs="Times New Roman"/>
                <w:sz w:val="25"/>
                <w:szCs w:val="25"/>
                <w:shd w:val="clear" w:color="auto" w:fill="FFFFFF"/>
                <w:lang w:val="lv-LV"/>
              </w:rPr>
              <w:t xml:space="preserve">- </w:t>
            </w:r>
            <w:r w:rsidR="00A0587A" w:rsidRPr="003259B2">
              <w:rPr>
                <w:rFonts w:ascii="Times New Roman" w:hAnsi="Times New Roman" w:cs="Times New Roman"/>
                <w:sz w:val="25"/>
                <w:szCs w:val="25"/>
                <w:shd w:val="clear" w:color="auto" w:fill="FFFFFF"/>
                <w:lang w:val="lv-LV"/>
              </w:rPr>
              <w:t>3.pantu tiek precizētas Likuma normas, kas izriet</w:t>
            </w:r>
            <w:r w:rsidR="00153A99" w:rsidRPr="003259B2">
              <w:rPr>
                <w:rFonts w:ascii="Times New Roman" w:hAnsi="Times New Roman" w:cs="Times New Roman"/>
                <w:sz w:val="25"/>
                <w:szCs w:val="25"/>
                <w:shd w:val="clear" w:color="auto" w:fill="FFFFFF"/>
                <w:lang w:val="lv-LV"/>
              </w:rPr>
              <w:t xml:space="preserve"> no </w:t>
            </w:r>
            <w:r w:rsidR="00EA547C" w:rsidRPr="003259B2">
              <w:rPr>
                <w:rFonts w:ascii="Times New Roman" w:hAnsi="Times New Roman" w:cs="Times New Roman"/>
                <w:sz w:val="25"/>
                <w:szCs w:val="25"/>
                <w:shd w:val="clear" w:color="auto" w:fill="FFFFFF"/>
                <w:lang w:val="lv-LV"/>
              </w:rPr>
              <w:t xml:space="preserve">paredzētajiem grozījumiem </w:t>
            </w:r>
            <w:r w:rsidR="00EA547C" w:rsidRPr="003259B2">
              <w:rPr>
                <w:rFonts w:ascii="Times New Roman" w:eastAsia="Times New Roman" w:hAnsi="Times New Roman" w:cs="Times New Roman"/>
                <w:color w:val="000000" w:themeColor="text1"/>
                <w:spacing w:val="-4"/>
                <w:sz w:val="25"/>
                <w:szCs w:val="25"/>
                <w:lang w:val="lv-LV"/>
              </w:rPr>
              <w:t>47.panta otrajā daļā</w:t>
            </w:r>
            <w:r w:rsidR="00EA547C" w:rsidRPr="003259B2">
              <w:rPr>
                <w:rFonts w:ascii="Times New Roman" w:hAnsi="Times New Roman" w:cs="Times New Roman"/>
                <w:sz w:val="25"/>
                <w:szCs w:val="25"/>
                <w:shd w:val="clear" w:color="auto" w:fill="FFFFFF"/>
                <w:lang w:val="lv-LV"/>
              </w:rPr>
              <w:t xml:space="preserve"> un 80.panta septītajā daļā, </w:t>
            </w:r>
            <w:r w:rsidR="00C44261" w:rsidRPr="003259B2">
              <w:rPr>
                <w:rFonts w:ascii="Times New Roman" w:hAnsi="Times New Roman" w:cs="Times New Roman"/>
                <w:sz w:val="25"/>
                <w:szCs w:val="25"/>
                <w:shd w:val="clear" w:color="auto" w:fill="FFFFFF"/>
                <w:lang w:val="lv-LV"/>
              </w:rPr>
              <w:t xml:space="preserve"> kā</w:t>
            </w:r>
            <w:r w:rsidR="00677B11" w:rsidRPr="003259B2">
              <w:rPr>
                <w:rFonts w:ascii="Times New Roman" w:hAnsi="Times New Roman" w:cs="Times New Roman"/>
                <w:sz w:val="25"/>
                <w:szCs w:val="25"/>
                <w:shd w:val="clear" w:color="auto" w:fill="FFFFFF"/>
                <w:lang w:val="lv-LV"/>
              </w:rPr>
              <w:t xml:space="preserve"> arī attiecīgi precizēts 4.panta nosaukums</w:t>
            </w:r>
            <w:r w:rsidRPr="003259B2">
              <w:rPr>
                <w:rFonts w:ascii="Times New Roman" w:hAnsi="Times New Roman" w:cs="Times New Roman"/>
                <w:sz w:val="25"/>
                <w:szCs w:val="25"/>
                <w:shd w:val="clear" w:color="auto" w:fill="FFFFFF"/>
                <w:lang w:val="lv-LV"/>
              </w:rPr>
              <w:t xml:space="preserve"> – t.i.,</w:t>
            </w:r>
            <w:r w:rsidR="00A0587A" w:rsidRPr="003259B2">
              <w:rPr>
                <w:rFonts w:ascii="Times New Roman" w:hAnsi="Times New Roman" w:cs="Times New Roman"/>
                <w:sz w:val="25"/>
                <w:szCs w:val="25"/>
                <w:shd w:val="clear" w:color="auto" w:fill="FFFFFF"/>
                <w:lang w:val="lv-LV"/>
              </w:rPr>
              <w:t xml:space="preserve"> Likuma 4.panta ceturtajā daļā tiek precizēts, kādas sertifikācijas institūcijas drīkst sertificēt azartspēļu automātu</w:t>
            </w:r>
            <w:r w:rsidR="00677B11" w:rsidRPr="003259B2">
              <w:rPr>
                <w:rFonts w:ascii="Times New Roman" w:hAnsi="Times New Roman" w:cs="Times New Roman"/>
                <w:sz w:val="25"/>
                <w:szCs w:val="25"/>
                <w:shd w:val="clear" w:color="auto" w:fill="FFFFFF"/>
                <w:lang w:val="lv-LV"/>
              </w:rPr>
              <w:t>, iekārtu, spēļu automāta</w:t>
            </w:r>
            <w:r w:rsidR="00A0587A" w:rsidRPr="003259B2">
              <w:rPr>
                <w:rFonts w:ascii="Times New Roman" w:hAnsi="Times New Roman" w:cs="Times New Roman"/>
                <w:sz w:val="25"/>
                <w:szCs w:val="25"/>
                <w:shd w:val="clear" w:color="auto" w:fill="FFFFFF"/>
                <w:lang w:val="lv-LV"/>
              </w:rPr>
              <w:t xml:space="preserve"> spēles</w:t>
            </w:r>
            <w:r w:rsidR="00677B11" w:rsidRPr="003259B2">
              <w:rPr>
                <w:rFonts w:ascii="Times New Roman" w:hAnsi="Times New Roman" w:cs="Times New Roman"/>
                <w:sz w:val="25"/>
                <w:szCs w:val="25"/>
                <w:shd w:val="clear" w:color="auto" w:fill="FFFFFF"/>
                <w:lang w:val="lv-LV"/>
              </w:rPr>
              <w:t xml:space="preserve"> programmu</w:t>
            </w:r>
            <w:r w:rsidR="00A0587A" w:rsidRPr="003259B2">
              <w:rPr>
                <w:rFonts w:ascii="Times New Roman" w:hAnsi="Times New Roman" w:cs="Times New Roman"/>
                <w:sz w:val="25"/>
                <w:szCs w:val="25"/>
                <w:shd w:val="clear" w:color="auto" w:fill="FFFFFF"/>
                <w:lang w:val="lv-LV"/>
              </w:rPr>
              <w:t>, interaktīvo a</w:t>
            </w:r>
            <w:r w:rsidR="00677B11" w:rsidRPr="003259B2">
              <w:rPr>
                <w:rFonts w:ascii="Times New Roman" w:hAnsi="Times New Roman" w:cs="Times New Roman"/>
                <w:sz w:val="25"/>
                <w:szCs w:val="25"/>
                <w:shd w:val="clear" w:color="auto" w:fill="FFFFFF"/>
                <w:lang w:val="lv-LV"/>
              </w:rPr>
              <w:t>zartspēļu organizēšanas sistēmu</w:t>
            </w:r>
            <w:r w:rsidR="00A0587A" w:rsidRPr="003259B2">
              <w:rPr>
                <w:rFonts w:ascii="Times New Roman" w:hAnsi="Times New Roman" w:cs="Times New Roman"/>
                <w:sz w:val="25"/>
                <w:szCs w:val="25"/>
                <w:shd w:val="clear" w:color="auto" w:fill="FFFFFF"/>
                <w:lang w:val="lv-LV"/>
              </w:rPr>
              <w:t>, interaktīvo izložu organizēšanas sistē</w:t>
            </w:r>
            <w:r w:rsidR="00677B11" w:rsidRPr="003259B2">
              <w:rPr>
                <w:rFonts w:ascii="Times New Roman" w:hAnsi="Times New Roman" w:cs="Times New Roman"/>
                <w:sz w:val="25"/>
                <w:szCs w:val="25"/>
                <w:shd w:val="clear" w:color="auto" w:fill="FFFFFF"/>
                <w:lang w:val="lv-LV"/>
              </w:rPr>
              <w:t>mu</w:t>
            </w:r>
            <w:r w:rsidR="00173023" w:rsidRPr="003259B2">
              <w:rPr>
                <w:rFonts w:ascii="Times New Roman" w:hAnsi="Times New Roman" w:cs="Times New Roman"/>
                <w:sz w:val="25"/>
                <w:szCs w:val="25"/>
                <w:shd w:val="clear" w:color="auto" w:fill="FFFFFF"/>
                <w:lang w:val="lv-LV"/>
              </w:rPr>
              <w:t>. Likumprojektā noteiktais sertifikācijas institūcijas definējums atbilst Ministru kabineta 2007.gada 20.novembra noteikumu Nr.786 “Azartspēļu automāta, iekārtas un azartspēļu automāta spēles programmas atbilstības sertifikātā iekļaujamā informācija” 3.punktā minētajam sertifikācijas institūcijas definējumam, kas tika akceptēts,  pieņemot Ministru kabineta 2017. gada 24. janvāra noteikumus Nr. 42 “Grozījumi Ministru kabineta 2007. gada 20. novembra noteikumos Nr. 786 "Azartspēļu automāta, iekārtas un azartspēļu automāta spēles programmas atbilstības sertifikātā iekļaujamā informācija</w:t>
            </w:r>
            <w:r w:rsidR="00E842F3" w:rsidRPr="003259B2">
              <w:rPr>
                <w:rFonts w:ascii="Times New Roman" w:hAnsi="Times New Roman" w:cs="Times New Roman"/>
                <w:sz w:val="25"/>
                <w:szCs w:val="25"/>
                <w:shd w:val="clear" w:color="auto" w:fill="FFFFFF"/>
                <w:lang w:val="lv-LV"/>
              </w:rPr>
              <w:t>”</w:t>
            </w:r>
            <w:r w:rsidR="00A0587A" w:rsidRPr="003259B2">
              <w:rPr>
                <w:rFonts w:ascii="Times New Roman" w:hAnsi="Times New Roman" w:cs="Times New Roman"/>
                <w:sz w:val="25"/>
                <w:szCs w:val="25"/>
                <w:shd w:val="clear" w:color="auto" w:fill="FFFFFF"/>
                <w:lang w:val="lv-LV"/>
              </w:rPr>
              <w:t>;</w:t>
            </w:r>
          </w:p>
          <w:p w:rsidR="00D669B7" w:rsidRPr="003259B2" w:rsidRDefault="00D669B7" w:rsidP="0057200B">
            <w:pPr>
              <w:pStyle w:val="NoSpacing"/>
              <w:jc w:val="both"/>
              <w:rPr>
                <w:rFonts w:ascii="Times New Roman" w:hAnsi="Times New Roman" w:cs="Times New Roman"/>
                <w:sz w:val="25"/>
                <w:szCs w:val="25"/>
                <w:shd w:val="clear" w:color="auto" w:fill="FFFFFF"/>
                <w:lang w:val="lv-LV"/>
              </w:rPr>
            </w:pPr>
          </w:p>
          <w:p w:rsidR="000444ED" w:rsidRPr="003259B2" w:rsidRDefault="00EC0E5A" w:rsidP="00A00547">
            <w:pPr>
              <w:pStyle w:val="NoSpacing"/>
              <w:jc w:val="both"/>
              <w:rPr>
                <w:rFonts w:ascii="Times New Roman" w:hAnsi="Times New Roman" w:cs="Times New Roman"/>
                <w:sz w:val="25"/>
                <w:szCs w:val="25"/>
                <w:shd w:val="clear" w:color="auto" w:fill="FFFFFF"/>
              </w:rPr>
            </w:pPr>
            <w:r w:rsidRPr="003259B2">
              <w:rPr>
                <w:rFonts w:ascii="Times New Roman" w:hAnsi="Times New Roman" w:cs="Times New Roman"/>
                <w:sz w:val="25"/>
                <w:szCs w:val="25"/>
                <w:shd w:val="clear" w:color="auto" w:fill="FFFFFF"/>
                <w:lang w:val="lv-LV"/>
              </w:rPr>
              <w:t xml:space="preserve"> </w:t>
            </w:r>
            <w:r w:rsidR="006946E0" w:rsidRPr="003259B2">
              <w:rPr>
                <w:rFonts w:ascii="Times New Roman" w:hAnsi="Times New Roman" w:cs="Times New Roman"/>
                <w:sz w:val="25"/>
                <w:szCs w:val="25"/>
                <w:shd w:val="clear" w:color="auto" w:fill="FFFFFF"/>
                <w:lang w:val="lv-LV"/>
              </w:rPr>
              <w:t xml:space="preserve">- </w:t>
            </w:r>
            <w:r w:rsidR="00603C42" w:rsidRPr="003259B2">
              <w:rPr>
                <w:rFonts w:ascii="Times New Roman" w:hAnsi="Times New Roman" w:cs="Times New Roman"/>
                <w:sz w:val="25"/>
                <w:szCs w:val="25"/>
                <w:shd w:val="clear" w:color="auto" w:fill="FFFFFF"/>
                <w:lang w:val="lv-LV"/>
              </w:rPr>
              <w:t>8</w:t>
            </w:r>
            <w:r w:rsidRPr="003259B2">
              <w:rPr>
                <w:rFonts w:ascii="Times New Roman" w:hAnsi="Times New Roman" w:cs="Times New Roman"/>
                <w:sz w:val="25"/>
                <w:szCs w:val="25"/>
                <w:shd w:val="clear" w:color="auto" w:fill="FFFFFF"/>
                <w:lang w:val="lv-LV"/>
              </w:rPr>
              <w:t xml:space="preserve">.pantu </w:t>
            </w:r>
            <w:r w:rsidR="005F43D7" w:rsidRPr="003259B2">
              <w:rPr>
                <w:rFonts w:ascii="Times New Roman" w:hAnsi="Times New Roman" w:cs="Times New Roman"/>
                <w:sz w:val="25"/>
                <w:szCs w:val="25"/>
                <w:shd w:val="clear" w:color="auto" w:fill="FFFFFF"/>
                <w:lang w:val="lv-LV"/>
              </w:rPr>
              <w:t>tiek p</w:t>
            </w:r>
            <w:r w:rsidR="006946E0" w:rsidRPr="003259B2">
              <w:rPr>
                <w:rFonts w:ascii="Times New Roman" w:hAnsi="Times New Roman" w:cs="Times New Roman"/>
                <w:sz w:val="25"/>
                <w:szCs w:val="25"/>
                <w:shd w:val="clear" w:color="auto" w:fill="FFFFFF"/>
                <w:lang w:val="lv-LV"/>
              </w:rPr>
              <w:t xml:space="preserve">apildināts </w:t>
            </w:r>
            <w:r w:rsidR="000444ED" w:rsidRPr="003259B2">
              <w:rPr>
                <w:rFonts w:ascii="Times New Roman" w:hAnsi="Times New Roman" w:cs="Times New Roman"/>
                <w:sz w:val="25"/>
                <w:szCs w:val="25"/>
                <w:shd w:val="clear" w:color="auto" w:fill="FFFFFF"/>
                <w:lang w:val="lv-LV"/>
              </w:rPr>
              <w:t>likum</w:t>
            </w:r>
            <w:r w:rsidR="003B5D79" w:rsidRPr="003259B2">
              <w:rPr>
                <w:rFonts w:ascii="Times New Roman" w:hAnsi="Times New Roman" w:cs="Times New Roman"/>
                <w:sz w:val="25"/>
                <w:szCs w:val="25"/>
                <w:shd w:val="clear" w:color="auto" w:fill="FFFFFF"/>
                <w:lang w:val="lv-LV"/>
              </w:rPr>
              <w:t>a 72.pants</w:t>
            </w:r>
            <w:r w:rsidR="000444ED" w:rsidRPr="003259B2">
              <w:rPr>
                <w:rFonts w:ascii="Times New Roman" w:hAnsi="Times New Roman" w:cs="Times New Roman"/>
                <w:sz w:val="25"/>
                <w:szCs w:val="25"/>
                <w:shd w:val="clear" w:color="auto" w:fill="FFFFFF"/>
                <w:lang w:val="lv-LV"/>
              </w:rPr>
              <w:t xml:space="preserve"> ar trešo daļu</w:t>
            </w:r>
            <w:r w:rsidR="00E94D23" w:rsidRPr="003259B2">
              <w:rPr>
                <w:rFonts w:ascii="Times New Roman" w:hAnsi="Times New Roman" w:cs="Times New Roman"/>
                <w:sz w:val="25"/>
                <w:szCs w:val="25"/>
                <w:shd w:val="clear" w:color="auto" w:fill="FFFFFF"/>
                <w:lang w:val="lv-LV"/>
              </w:rPr>
              <w:t>, kas nosaka, ka a</w:t>
            </w:r>
            <w:r w:rsidR="000444ED" w:rsidRPr="003259B2">
              <w:rPr>
                <w:rFonts w:ascii="Times New Roman" w:hAnsi="Times New Roman" w:cs="Times New Roman"/>
                <w:sz w:val="25"/>
                <w:szCs w:val="25"/>
                <w:shd w:val="clear" w:color="auto" w:fill="FFFFFF"/>
                <w:lang w:val="lv-LV"/>
              </w:rPr>
              <w:t>ttiecībā uz šā likuma 74.panta trešajā daļā minēto izložu biļešu pārdošanu vai izložu dalības maksājumu pieņemšanu, izmantojot elektronisko sakaru pakalpo</w:t>
            </w:r>
            <w:r w:rsidR="00E94D23" w:rsidRPr="003259B2">
              <w:rPr>
                <w:rFonts w:ascii="Times New Roman" w:hAnsi="Times New Roman" w:cs="Times New Roman"/>
                <w:sz w:val="25"/>
                <w:szCs w:val="25"/>
                <w:shd w:val="clear" w:color="auto" w:fill="FFFFFF"/>
                <w:lang w:val="lv-LV"/>
              </w:rPr>
              <w:t xml:space="preserve">jumus, Ministru kabinets nosaka </w:t>
            </w:r>
            <w:r w:rsidR="000444ED" w:rsidRPr="003259B2">
              <w:rPr>
                <w:rFonts w:ascii="Times New Roman" w:hAnsi="Times New Roman" w:cs="Times New Roman"/>
                <w:sz w:val="25"/>
                <w:szCs w:val="25"/>
                <w:shd w:val="clear" w:color="auto" w:fill="FFFFFF"/>
                <w:lang w:val="lv-LV"/>
              </w:rPr>
              <w:t xml:space="preserve">biļešu pārdošanas un izložu dalības maksājumu pieņemšanas organizēšanas sistēmas galvenās sastāvdaļas un informāciju, kas iesniedzama par biļešu pārdošanas sistēmu, kā arī </w:t>
            </w:r>
            <w:proofErr w:type="spellStart"/>
            <w:r w:rsidR="000444ED" w:rsidRPr="003259B2">
              <w:rPr>
                <w:rFonts w:ascii="Times New Roman" w:hAnsi="Times New Roman" w:cs="Times New Roman"/>
                <w:sz w:val="25"/>
                <w:szCs w:val="25"/>
                <w:shd w:val="clear" w:color="auto" w:fill="FFFFFF"/>
              </w:rPr>
              <w:t>nepieciešamos</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biļešu</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pārdošanas</w:t>
            </w:r>
            <w:proofErr w:type="spellEnd"/>
            <w:r w:rsidR="000444ED" w:rsidRPr="003259B2">
              <w:rPr>
                <w:rFonts w:ascii="Times New Roman" w:hAnsi="Times New Roman" w:cs="Times New Roman"/>
                <w:sz w:val="25"/>
                <w:szCs w:val="25"/>
                <w:shd w:val="clear" w:color="auto" w:fill="FFFFFF"/>
              </w:rPr>
              <w:t xml:space="preserve"> </w:t>
            </w:r>
            <w:r w:rsidR="000444ED" w:rsidRPr="003259B2">
              <w:rPr>
                <w:rFonts w:ascii="Times New Roman" w:hAnsi="Times New Roman" w:cs="Times New Roman"/>
                <w:sz w:val="25"/>
                <w:szCs w:val="25"/>
                <w:shd w:val="clear" w:color="auto" w:fill="FFFFFF"/>
                <w:lang w:val="lv-LV"/>
              </w:rPr>
              <w:t xml:space="preserve">un izložu dalības maksājumu pieņemšanas </w:t>
            </w:r>
            <w:proofErr w:type="spellStart"/>
            <w:r w:rsidR="000444ED" w:rsidRPr="003259B2">
              <w:rPr>
                <w:rFonts w:ascii="Times New Roman" w:hAnsi="Times New Roman" w:cs="Times New Roman"/>
                <w:sz w:val="25"/>
                <w:szCs w:val="25"/>
                <w:shd w:val="clear" w:color="auto" w:fill="FFFFFF"/>
              </w:rPr>
              <w:t>organizēšanas</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sistēmas</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drošības</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pasākumus</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lai</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nepieļautu</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kādas</w:t>
            </w:r>
            <w:proofErr w:type="spellEnd"/>
            <w:r w:rsidR="000444ED" w:rsidRPr="003259B2">
              <w:rPr>
                <w:rFonts w:ascii="Times New Roman" w:hAnsi="Times New Roman" w:cs="Times New Roman"/>
                <w:sz w:val="25"/>
                <w:szCs w:val="25"/>
                <w:shd w:val="clear" w:color="auto" w:fill="FFFFFF"/>
              </w:rPr>
              <w:t xml:space="preserve"> personas </w:t>
            </w:r>
            <w:proofErr w:type="spellStart"/>
            <w:r w:rsidR="000444ED" w:rsidRPr="003259B2">
              <w:rPr>
                <w:rFonts w:ascii="Times New Roman" w:hAnsi="Times New Roman" w:cs="Times New Roman"/>
                <w:sz w:val="25"/>
                <w:szCs w:val="25"/>
                <w:shd w:val="clear" w:color="auto" w:fill="FFFFFF"/>
              </w:rPr>
              <w:t>ietekmi</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uz</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biļešu</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pārdošanas</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iznākumu</w:t>
            </w:r>
            <w:proofErr w:type="spellEnd"/>
            <w:r w:rsidR="000444ED" w:rsidRPr="003259B2">
              <w:rPr>
                <w:rFonts w:ascii="Times New Roman" w:hAnsi="Times New Roman" w:cs="Times New Roman"/>
                <w:sz w:val="25"/>
                <w:szCs w:val="25"/>
                <w:shd w:val="clear" w:color="auto" w:fill="FFFFFF"/>
              </w:rPr>
              <w:t xml:space="preserve"> un </w:t>
            </w:r>
            <w:proofErr w:type="spellStart"/>
            <w:r w:rsidR="000444ED" w:rsidRPr="003259B2">
              <w:rPr>
                <w:rFonts w:ascii="Times New Roman" w:hAnsi="Times New Roman" w:cs="Times New Roman"/>
                <w:sz w:val="25"/>
                <w:szCs w:val="25"/>
                <w:shd w:val="clear" w:color="auto" w:fill="FFFFFF"/>
              </w:rPr>
              <w:t>fizisko</w:t>
            </w:r>
            <w:proofErr w:type="spellEnd"/>
            <w:r w:rsidR="000444ED" w:rsidRPr="003259B2">
              <w:rPr>
                <w:rFonts w:ascii="Times New Roman" w:hAnsi="Times New Roman" w:cs="Times New Roman"/>
                <w:sz w:val="25"/>
                <w:szCs w:val="25"/>
                <w:shd w:val="clear" w:color="auto" w:fill="FFFFFF"/>
              </w:rPr>
              <w:t xml:space="preserve"> </w:t>
            </w:r>
            <w:proofErr w:type="spellStart"/>
            <w:r w:rsidR="000444ED" w:rsidRPr="003259B2">
              <w:rPr>
                <w:rFonts w:ascii="Times New Roman" w:hAnsi="Times New Roman" w:cs="Times New Roman"/>
                <w:sz w:val="25"/>
                <w:szCs w:val="25"/>
                <w:shd w:val="clear" w:color="auto" w:fill="FFFFFF"/>
              </w:rPr>
              <w:t>perso</w:t>
            </w:r>
            <w:r w:rsidR="00593249" w:rsidRPr="003259B2">
              <w:rPr>
                <w:rFonts w:ascii="Times New Roman" w:hAnsi="Times New Roman" w:cs="Times New Roman"/>
                <w:sz w:val="25"/>
                <w:szCs w:val="25"/>
                <w:shd w:val="clear" w:color="auto" w:fill="FFFFFF"/>
              </w:rPr>
              <w:t>nu</w:t>
            </w:r>
            <w:proofErr w:type="spellEnd"/>
            <w:r w:rsidR="00593249" w:rsidRPr="003259B2">
              <w:rPr>
                <w:rFonts w:ascii="Times New Roman" w:hAnsi="Times New Roman" w:cs="Times New Roman"/>
                <w:sz w:val="25"/>
                <w:szCs w:val="25"/>
                <w:shd w:val="clear" w:color="auto" w:fill="FFFFFF"/>
              </w:rPr>
              <w:t xml:space="preserve"> </w:t>
            </w:r>
            <w:proofErr w:type="spellStart"/>
            <w:r w:rsidR="00593249" w:rsidRPr="003259B2">
              <w:rPr>
                <w:rFonts w:ascii="Times New Roman" w:hAnsi="Times New Roman" w:cs="Times New Roman"/>
                <w:sz w:val="25"/>
                <w:szCs w:val="25"/>
                <w:shd w:val="clear" w:color="auto" w:fill="FFFFFF"/>
              </w:rPr>
              <w:t>datu</w:t>
            </w:r>
            <w:proofErr w:type="spellEnd"/>
            <w:r w:rsidR="00593249" w:rsidRPr="003259B2">
              <w:rPr>
                <w:rFonts w:ascii="Times New Roman" w:hAnsi="Times New Roman" w:cs="Times New Roman"/>
                <w:sz w:val="25"/>
                <w:szCs w:val="25"/>
                <w:shd w:val="clear" w:color="auto" w:fill="FFFFFF"/>
              </w:rPr>
              <w:t xml:space="preserve"> </w:t>
            </w:r>
            <w:proofErr w:type="spellStart"/>
            <w:r w:rsidR="00593249" w:rsidRPr="003259B2">
              <w:rPr>
                <w:rFonts w:ascii="Times New Roman" w:hAnsi="Times New Roman" w:cs="Times New Roman"/>
                <w:sz w:val="25"/>
                <w:szCs w:val="25"/>
                <w:shd w:val="clear" w:color="auto" w:fill="FFFFFF"/>
              </w:rPr>
              <w:t>aizsardzības</w:t>
            </w:r>
            <w:proofErr w:type="spellEnd"/>
            <w:r w:rsidR="00593249" w:rsidRPr="003259B2">
              <w:rPr>
                <w:rFonts w:ascii="Times New Roman" w:hAnsi="Times New Roman" w:cs="Times New Roman"/>
                <w:sz w:val="25"/>
                <w:szCs w:val="25"/>
                <w:shd w:val="clear" w:color="auto" w:fill="FFFFFF"/>
              </w:rPr>
              <w:t xml:space="preserve"> </w:t>
            </w:r>
            <w:proofErr w:type="spellStart"/>
            <w:r w:rsidR="00593249" w:rsidRPr="003259B2">
              <w:rPr>
                <w:rFonts w:ascii="Times New Roman" w:hAnsi="Times New Roman" w:cs="Times New Roman"/>
                <w:sz w:val="25"/>
                <w:szCs w:val="25"/>
                <w:shd w:val="clear" w:color="auto" w:fill="FFFFFF"/>
              </w:rPr>
              <w:t>pasākumus</w:t>
            </w:r>
            <w:proofErr w:type="spellEnd"/>
            <w:r w:rsidR="00732733" w:rsidRPr="003259B2">
              <w:rPr>
                <w:rFonts w:ascii="Times New Roman" w:hAnsi="Times New Roman" w:cs="Times New Roman"/>
                <w:sz w:val="25"/>
                <w:szCs w:val="25"/>
                <w:shd w:val="clear" w:color="auto" w:fill="FFFFFF"/>
              </w:rPr>
              <w:t>.</w:t>
            </w:r>
            <w:r w:rsidR="00E842F3" w:rsidRPr="003259B2">
              <w:rPr>
                <w:rFonts w:ascii="Times New Roman" w:hAnsi="Times New Roman" w:cs="Times New Roman"/>
                <w:sz w:val="25"/>
                <w:szCs w:val="25"/>
                <w:shd w:val="clear" w:color="auto" w:fill="FFFFFF"/>
              </w:rPr>
              <w:t xml:space="preserve"> </w:t>
            </w:r>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Tā</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kā</w:t>
            </w:r>
            <w:proofErr w:type="spellEnd"/>
            <w:r w:rsidR="00E842F3" w:rsidRPr="003259B2">
              <w:rPr>
                <w:rFonts w:ascii="Times New Roman" w:hAnsi="Times New Roman" w:cs="Times New Roman"/>
                <w:sz w:val="25"/>
                <w:szCs w:val="25"/>
                <w:shd w:val="clear" w:color="auto" w:fill="FFFFFF"/>
              </w:rPr>
              <w:t xml:space="preserve"> </w:t>
            </w:r>
            <w:proofErr w:type="spellStart"/>
            <w:r w:rsidR="00E842F3" w:rsidRPr="003259B2">
              <w:rPr>
                <w:rFonts w:ascii="Times New Roman" w:hAnsi="Times New Roman" w:cs="Times New Roman"/>
                <w:sz w:val="25"/>
                <w:szCs w:val="25"/>
                <w:shd w:val="clear" w:color="auto" w:fill="FFFFFF"/>
              </w:rPr>
              <w:t>likumprojektā</w:t>
            </w:r>
            <w:proofErr w:type="spellEnd"/>
            <w:r w:rsidR="00E842F3" w:rsidRPr="003259B2">
              <w:rPr>
                <w:rFonts w:ascii="Times New Roman" w:hAnsi="Times New Roman" w:cs="Times New Roman"/>
                <w:sz w:val="25"/>
                <w:szCs w:val="25"/>
                <w:shd w:val="clear" w:color="auto" w:fill="FFFFFF"/>
              </w:rPr>
              <w:t xml:space="preserve"> </w:t>
            </w:r>
            <w:proofErr w:type="spellStart"/>
            <w:r w:rsidR="00E842F3" w:rsidRPr="003259B2">
              <w:rPr>
                <w:rFonts w:ascii="Times New Roman" w:hAnsi="Times New Roman" w:cs="Times New Roman"/>
                <w:sz w:val="25"/>
                <w:szCs w:val="25"/>
                <w:shd w:val="clear" w:color="auto" w:fill="FFFFFF"/>
              </w:rPr>
              <w:t>paredzētā</w:t>
            </w:r>
            <w:proofErr w:type="spellEnd"/>
            <w:r w:rsidR="00E842F3" w:rsidRPr="003259B2">
              <w:rPr>
                <w:rFonts w:ascii="Times New Roman" w:hAnsi="Times New Roman" w:cs="Times New Roman"/>
                <w:sz w:val="25"/>
                <w:szCs w:val="25"/>
                <w:shd w:val="clear" w:color="auto" w:fill="FFFFFF"/>
              </w:rPr>
              <w:t xml:space="preserve"> </w:t>
            </w:r>
            <w:proofErr w:type="spellStart"/>
            <w:r w:rsidR="00E842F3" w:rsidRPr="003259B2">
              <w:rPr>
                <w:rFonts w:ascii="Times New Roman" w:hAnsi="Times New Roman" w:cs="Times New Roman"/>
                <w:sz w:val="25"/>
                <w:szCs w:val="25"/>
                <w:shd w:val="clear" w:color="auto" w:fill="FFFFFF"/>
              </w:rPr>
              <w:t>Likuma</w:t>
            </w:r>
            <w:proofErr w:type="spellEnd"/>
            <w:r w:rsidR="00732733" w:rsidRPr="003259B2">
              <w:rPr>
                <w:rFonts w:ascii="Times New Roman" w:hAnsi="Times New Roman" w:cs="Times New Roman"/>
                <w:sz w:val="25"/>
                <w:szCs w:val="25"/>
                <w:shd w:val="clear" w:color="auto" w:fill="FFFFFF"/>
              </w:rPr>
              <w:t xml:space="preserve"> 72.panta </w:t>
            </w:r>
            <w:proofErr w:type="spellStart"/>
            <w:r w:rsidR="00732733" w:rsidRPr="003259B2">
              <w:rPr>
                <w:rFonts w:ascii="Times New Roman" w:hAnsi="Times New Roman" w:cs="Times New Roman"/>
                <w:sz w:val="25"/>
                <w:szCs w:val="25"/>
                <w:shd w:val="clear" w:color="auto" w:fill="FFFFFF"/>
              </w:rPr>
              <w:t>trešajā</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daļā</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minētā</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biļešu</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pārdošana</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atbilstoši</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Likuma</w:t>
            </w:r>
            <w:proofErr w:type="spellEnd"/>
            <w:r w:rsidR="00732733" w:rsidRPr="003259B2">
              <w:rPr>
                <w:rFonts w:ascii="Times New Roman" w:hAnsi="Times New Roman" w:cs="Times New Roman"/>
                <w:sz w:val="25"/>
                <w:szCs w:val="25"/>
                <w:shd w:val="clear" w:color="auto" w:fill="FFFFFF"/>
              </w:rPr>
              <w:t xml:space="preserve"> 74. </w:t>
            </w:r>
            <w:proofErr w:type="spellStart"/>
            <w:proofErr w:type="gramStart"/>
            <w:r w:rsidR="00732733" w:rsidRPr="003259B2">
              <w:rPr>
                <w:rFonts w:ascii="Times New Roman" w:hAnsi="Times New Roman" w:cs="Times New Roman"/>
                <w:sz w:val="25"/>
                <w:szCs w:val="25"/>
                <w:shd w:val="clear" w:color="auto" w:fill="FFFFFF"/>
              </w:rPr>
              <w:t>panta</w:t>
            </w:r>
            <w:proofErr w:type="spellEnd"/>
            <w:proofErr w:type="gram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trešās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daļas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norādei</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Likuma</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izpratnē</w:t>
            </w:r>
            <w:proofErr w:type="spellEnd"/>
            <w:r w:rsidR="00732733" w:rsidRPr="003259B2">
              <w:rPr>
                <w:rFonts w:ascii="Times New Roman" w:hAnsi="Times New Roman" w:cs="Times New Roman"/>
                <w:sz w:val="25"/>
                <w:szCs w:val="25"/>
                <w:shd w:val="clear" w:color="auto" w:fill="FFFFFF"/>
              </w:rPr>
              <w:t xml:space="preserve"> </w:t>
            </w:r>
            <w:proofErr w:type="spellStart"/>
            <w:r w:rsidR="00E842F3" w:rsidRPr="003259B2">
              <w:rPr>
                <w:rFonts w:ascii="Times New Roman" w:hAnsi="Times New Roman" w:cs="Times New Roman"/>
                <w:sz w:val="25"/>
                <w:szCs w:val="25"/>
                <w:shd w:val="clear" w:color="auto" w:fill="FFFFFF"/>
              </w:rPr>
              <w:t>nav</w:t>
            </w:r>
            <w:proofErr w:type="spellEnd"/>
            <w:r w:rsidR="00E842F3" w:rsidRPr="003259B2">
              <w:rPr>
                <w:rFonts w:ascii="Times New Roman" w:hAnsi="Times New Roman" w:cs="Times New Roman"/>
                <w:sz w:val="25"/>
                <w:szCs w:val="25"/>
                <w:shd w:val="clear" w:color="auto" w:fill="FFFFFF"/>
              </w:rPr>
              <w:t xml:space="preserve"> </w:t>
            </w:r>
            <w:proofErr w:type="spellStart"/>
            <w:r w:rsidR="00E842F3" w:rsidRPr="003259B2">
              <w:rPr>
                <w:rFonts w:ascii="Times New Roman" w:hAnsi="Times New Roman" w:cs="Times New Roman"/>
                <w:sz w:val="25"/>
                <w:szCs w:val="25"/>
                <w:shd w:val="clear" w:color="auto" w:fill="FFFFFF"/>
              </w:rPr>
              <w:t>uzskatāma</w:t>
            </w:r>
            <w:proofErr w:type="spellEnd"/>
            <w:r w:rsidR="00E842F3" w:rsidRPr="003259B2">
              <w:rPr>
                <w:rFonts w:ascii="Times New Roman" w:hAnsi="Times New Roman" w:cs="Times New Roman"/>
                <w:sz w:val="25"/>
                <w:szCs w:val="25"/>
                <w:shd w:val="clear" w:color="auto" w:fill="FFFFFF"/>
              </w:rPr>
              <w:t xml:space="preserve"> </w:t>
            </w:r>
            <w:r w:rsidR="00732733" w:rsidRPr="003259B2">
              <w:rPr>
                <w:rFonts w:ascii="Times New Roman" w:hAnsi="Times New Roman" w:cs="Times New Roman"/>
                <w:sz w:val="25"/>
                <w:szCs w:val="25"/>
                <w:shd w:val="clear" w:color="auto" w:fill="FFFFFF"/>
              </w:rPr>
              <w:t xml:space="preserve">par </w:t>
            </w:r>
            <w:proofErr w:type="spellStart"/>
            <w:r w:rsidR="00732733" w:rsidRPr="003259B2">
              <w:rPr>
                <w:rFonts w:ascii="Times New Roman" w:hAnsi="Times New Roman" w:cs="Times New Roman"/>
                <w:sz w:val="25"/>
                <w:szCs w:val="25"/>
                <w:shd w:val="clear" w:color="auto" w:fill="FFFFFF"/>
              </w:rPr>
              <w:t>interaktīvās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izlozes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organizēšanu</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attiecīgās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normas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ir</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iekļaujamas</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Likuma</w:t>
            </w:r>
            <w:proofErr w:type="spellEnd"/>
            <w:r w:rsidR="00732733" w:rsidRPr="003259B2">
              <w:rPr>
                <w:rFonts w:ascii="Times New Roman" w:hAnsi="Times New Roman" w:cs="Times New Roman"/>
                <w:sz w:val="25"/>
                <w:szCs w:val="25"/>
                <w:shd w:val="clear" w:color="auto" w:fill="FFFFFF"/>
              </w:rPr>
              <w:t xml:space="preserve"> IX </w:t>
            </w:r>
            <w:proofErr w:type="spellStart"/>
            <w:r w:rsidR="00732733" w:rsidRPr="003259B2">
              <w:rPr>
                <w:rFonts w:ascii="Times New Roman" w:hAnsi="Times New Roman" w:cs="Times New Roman"/>
                <w:sz w:val="25"/>
                <w:szCs w:val="25"/>
                <w:shd w:val="clear" w:color="auto" w:fill="FFFFFF"/>
              </w:rPr>
              <w:t>nodaļā</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Izložu</w:t>
            </w:r>
            <w:proofErr w:type="spellEnd"/>
            <w:r w:rsidR="00732733" w:rsidRPr="003259B2">
              <w:rPr>
                <w:rFonts w:ascii="Times New Roman" w:hAnsi="Times New Roman" w:cs="Times New Roman"/>
                <w:sz w:val="25"/>
                <w:szCs w:val="25"/>
                <w:shd w:val="clear" w:color="auto" w:fill="FFFFFF"/>
              </w:rPr>
              <w:t xml:space="preserve"> </w:t>
            </w:r>
            <w:proofErr w:type="spellStart"/>
            <w:r w:rsidR="00732733" w:rsidRPr="003259B2">
              <w:rPr>
                <w:rFonts w:ascii="Times New Roman" w:hAnsi="Times New Roman" w:cs="Times New Roman"/>
                <w:sz w:val="25"/>
                <w:szCs w:val="25"/>
                <w:shd w:val="clear" w:color="auto" w:fill="FFFFFF"/>
              </w:rPr>
              <w:t>organizēšana</w:t>
            </w:r>
            <w:proofErr w:type="spellEnd"/>
            <w:r w:rsidR="00E842F3" w:rsidRPr="003259B2">
              <w:rPr>
                <w:rFonts w:ascii="Times New Roman" w:hAnsi="Times New Roman" w:cs="Times New Roman"/>
                <w:sz w:val="25"/>
                <w:szCs w:val="25"/>
                <w:shd w:val="clear" w:color="auto" w:fill="FFFFFF"/>
              </w:rPr>
              <w:t>”</w:t>
            </w:r>
            <w:r w:rsidR="00C2161C" w:rsidRPr="003259B2">
              <w:rPr>
                <w:rFonts w:ascii="Times New Roman" w:hAnsi="Times New Roman" w:cs="Times New Roman"/>
                <w:sz w:val="25"/>
                <w:szCs w:val="25"/>
                <w:shd w:val="clear" w:color="auto" w:fill="FFFFFF"/>
              </w:rPr>
              <w:t xml:space="preserve">. </w:t>
            </w:r>
          </w:p>
          <w:p w:rsidR="00D669B7" w:rsidRPr="003259B2" w:rsidRDefault="00D669B7" w:rsidP="00A00547">
            <w:pPr>
              <w:pStyle w:val="NoSpacing"/>
              <w:jc w:val="both"/>
              <w:rPr>
                <w:rFonts w:ascii="Times New Roman" w:hAnsi="Times New Roman" w:cs="Times New Roman"/>
                <w:sz w:val="25"/>
                <w:szCs w:val="25"/>
                <w:shd w:val="clear" w:color="auto" w:fill="FFFFFF"/>
              </w:rPr>
            </w:pPr>
          </w:p>
          <w:p w:rsidR="006946E0" w:rsidRPr="003259B2" w:rsidRDefault="006946E0" w:rsidP="006946E0">
            <w:pPr>
              <w:tabs>
                <w:tab w:val="center" w:pos="4680"/>
                <w:tab w:val="right" w:pos="9360"/>
              </w:tabs>
              <w:spacing w:after="0" w:line="240" w:lineRule="auto"/>
              <w:jc w:val="both"/>
              <w:rPr>
                <w:rFonts w:ascii="Times New Roman" w:hAnsi="Times New Roman"/>
                <w:sz w:val="25"/>
                <w:szCs w:val="25"/>
              </w:rPr>
            </w:pPr>
            <w:r w:rsidRPr="003259B2">
              <w:rPr>
                <w:rFonts w:ascii="Times New Roman" w:hAnsi="Times New Roman" w:cs="Times New Roman"/>
                <w:sz w:val="25"/>
                <w:szCs w:val="25"/>
              </w:rPr>
              <w:t xml:space="preserve">- </w:t>
            </w:r>
            <w:r w:rsidR="00CC7CB9" w:rsidRPr="003259B2">
              <w:rPr>
                <w:rFonts w:ascii="Times New Roman" w:hAnsi="Times New Roman" w:cs="Times New Roman"/>
                <w:sz w:val="25"/>
                <w:szCs w:val="25"/>
              </w:rPr>
              <w:t>15</w:t>
            </w:r>
            <w:r w:rsidRPr="003259B2">
              <w:rPr>
                <w:rFonts w:ascii="Times New Roman" w:hAnsi="Times New Roman" w:cs="Times New Roman"/>
                <w:sz w:val="25"/>
                <w:szCs w:val="25"/>
              </w:rPr>
              <w:t>.pantu tiek papildināti Likuma pārejas noteikumi ar</w:t>
            </w:r>
            <w:r w:rsidR="007B5EFE" w:rsidRPr="003259B2">
              <w:rPr>
                <w:rFonts w:ascii="Times New Roman" w:hAnsi="Times New Roman" w:cs="Times New Roman"/>
                <w:sz w:val="25"/>
                <w:szCs w:val="25"/>
              </w:rPr>
              <w:t>:</w:t>
            </w:r>
            <w:r w:rsidRPr="003259B2">
              <w:rPr>
                <w:rFonts w:ascii="Times New Roman" w:hAnsi="Times New Roman" w:cs="Times New Roman"/>
                <w:sz w:val="25"/>
                <w:szCs w:val="25"/>
              </w:rPr>
              <w:t xml:space="preserve"> </w:t>
            </w:r>
            <w:r w:rsidR="00037818" w:rsidRPr="003259B2">
              <w:rPr>
                <w:rFonts w:ascii="Times New Roman" w:hAnsi="Times New Roman" w:cs="Times New Roman"/>
                <w:sz w:val="25"/>
                <w:szCs w:val="25"/>
              </w:rPr>
              <w:t xml:space="preserve">1) </w:t>
            </w:r>
            <w:r w:rsidRPr="003259B2">
              <w:rPr>
                <w:rFonts w:ascii="Times New Roman" w:hAnsi="Times New Roman" w:cs="Times New Roman"/>
                <w:sz w:val="25"/>
                <w:szCs w:val="25"/>
              </w:rPr>
              <w:t>21.punktu, kas nosaka, ka</w:t>
            </w:r>
            <w:r w:rsidR="00121DE6" w:rsidRPr="003259B2">
              <w:rPr>
                <w:rFonts w:ascii="Times New Roman" w:hAnsi="Times New Roman"/>
                <w:sz w:val="25"/>
                <w:szCs w:val="25"/>
              </w:rPr>
              <w:t xml:space="preserve"> 72.panta trešā daļa stājas spēkā 2018.gada 1.jūlijā</w:t>
            </w:r>
            <w:r w:rsidR="007B5EFE" w:rsidRPr="003259B2">
              <w:rPr>
                <w:rFonts w:ascii="Times New Roman" w:hAnsi="Times New Roman"/>
                <w:sz w:val="25"/>
                <w:szCs w:val="25"/>
              </w:rPr>
              <w:t>;</w:t>
            </w:r>
          </w:p>
          <w:p w:rsidR="00037818" w:rsidRPr="003259B2" w:rsidRDefault="00037818" w:rsidP="006946E0">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sz w:val="25"/>
                <w:szCs w:val="25"/>
              </w:rPr>
              <w:t>2) 22. un 23.punktu</w:t>
            </w:r>
            <w:r w:rsidRPr="003259B2">
              <w:rPr>
                <w:rFonts w:ascii="Times New Roman" w:hAnsi="Times New Roman" w:cs="Times New Roman"/>
                <w:sz w:val="25"/>
                <w:szCs w:val="25"/>
              </w:rPr>
              <w:t xml:space="preserve">, kas nosaka pārejas perioda piemērošanu attiecībā </w:t>
            </w:r>
            <w:r w:rsidR="007B5EFE" w:rsidRPr="003259B2">
              <w:rPr>
                <w:rFonts w:ascii="Times New Roman" w:hAnsi="Times New Roman" w:cs="Times New Roman"/>
                <w:sz w:val="25"/>
                <w:szCs w:val="25"/>
              </w:rPr>
              <w:t xml:space="preserve">uz </w:t>
            </w:r>
            <w:r w:rsidRPr="003259B2">
              <w:rPr>
                <w:rFonts w:ascii="Times New Roman" w:hAnsi="Times New Roman" w:cs="Times New Roman"/>
                <w:sz w:val="25"/>
                <w:szCs w:val="25"/>
              </w:rPr>
              <w:t xml:space="preserve">sertifikācijas institūcijas atzinuma nepieciešamību </w:t>
            </w:r>
            <w:r w:rsidR="007B5EFE" w:rsidRPr="003259B2">
              <w:rPr>
                <w:rFonts w:ascii="Times New Roman" w:hAnsi="Times New Roman" w:cs="Times New Roman"/>
                <w:sz w:val="25"/>
                <w:szCs w:val="25"/>
              </w:rPr>
              <w:t>par</w:t>
            </w:r>
            <w:r w:rsidRPr="003259B2">
              <w:rPr>
                <w:rFonts w:ascii="Times New Roman" w:hAnsi="Times New Roman" w:cs="Times New Roman"/>
                <w:sz w:val="25"/>
                <w:szCs w:val="25"/>
              </w:rPr>
              <w:t xml:space="preserve"> fizisko personu datu aizsardzības pasākumiem.</w:t>
            </w:r>
          </w:p>
          <w:p w:rsidR="0056404C" w:rsidRPr="003259B2" w:rsidRDefault="0056404C" w:rsidP="0056404C">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Atbilstoši likumprojekta 4. un 8.pantā, un 11.panta trešajā daļā</w:t>
            </w:r>
            <w:r w:rsidRPr="003259B2" w:rsidDel="00247647">
              <w:rPr>
                <w:rFonts w:ascii="Times New Roman" w:hAnsi="Times New Roman" w:cs="Times New Roman"/>
                <w:sz w:val="25"/>
                <w:szCs w:val="25"/>
              </w:rPr>
              <w:t xml:space="preserve"> </w:t>
            </w:r>
            <w:r w:rsidRPr="003259B2">
              <w:rPr>
                <w:rFonts w:ascii="Times New Roman" w:hAnsi="Times New Roman" w:cs="Times New Roman"/>
                <w:sz w:val="25"/>
                <w:szCs w:val="25"/>
              </w:rPr>
              <w:t>dotajiem deleģējumiem, Ministru kabinetam attiecīgie noteikumu projekti ir jāizdod līdz 2018.gada 1.janvārim.</w:t>
            </w:r>
          </w:p>
          <w:p w:rsidR="00E842F3" w:rsidRPr="003259B2" w:rsidRDefault="00E842F3" w:rsidP="006946E0">
            <w:pPr>
              <w:tabs>
                <w:tab w:val="center" w:pos="4680"/>
                <w:tab w:val="right" w:pos="9360"/>
              </w:tabs>
              <w:spacing w:after="0" w:line="240" w:lineRule="auto"/>
              <w:jc w:val="both"/>
              <w:rPr>
                <w:rFonts w:ascii="Times New Roman" w:hAnsi="Times New Roman"/>
                <w:sz w:val="25"/>
                <w:szCs w:val="25"/>
              </w:rPr>
            </w:pPr>
          </w:p>
          <w:p w:rsidR="008E6876" w:rsidRPr="003259B2" w:rsidRDefault="008E6876" w:rsidP="006946E0">
            <w:pPr>
              <w:tabs>
                <w:tab w:val="center" w:pos="4680"/>
                <w:tab w:val="right" w:pos="9360"/>
              </w:tabs>
              <w:spacing w:after="0" w:line="240" w:lineRule="auto"/>
              <w:jc w:val="both"/>
              <w:rPr>
                <w:rFonts w:ascii="Times New Roman" w:hAnsi="Times New Roman" w:cs="Times New Roman"/>
                <w:sz w:val="25"/>
                <w:szCs w:val="25"/>
              </w:rPr>
            </w:pPr>
          </w:p>
          <w:p w:rsidR="003B789E" w:rsidRPr="003259B2" w:rsidRDefault="003B789E" w:rsidP="003B789E">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Likumā grozījumi saistībā ar Tieslietu ministrijas izteiktajiem iebildumiem saskaņošanas procesā par Ministru kabineta noteikumu projektu </w:t>
            </w:r>
            <w:r w:rsidR="00FC43BF" w:rsidRPr="003259B2">
              <w:rPr>
                <w:rFonts w:ascii="Times New Roman" w:hAnsi="Times New Roman" w:cs="Times New Roman"/>
                <w:bCs/>
                <w:i/>
                <w:color w:val="000000" w:themeColor="text1"/>
                <w:sz w:val="25"/>
                <w:szCs w:val="25"/>
              </w:rPr>
              <w:t>"Interaktīvo azartspēļu un interaktīvo izložu spēlētāju reģistrācijas un identitātes pārbaudes kārtība"</w:t>
            </w:r>
            <w:r w:rsidR="00FC43BF" w:rsidRPr="003259B2">
              <w:rPr>
                <w:rFonts w:ascii="Times New Roman" w:hAnsi="Times New Roman" w:cs="Times New Roman"/>
                <w:bCs/>
                <w:color w:val="000000" w:themeColor="text1"/>
                <w:sz w:val="25"/>
                <w:szCs w:val="25"/>
              </w:rPr>
              <w:t xml:space="preserve"> (VSS-481</w:t>
            </w:r>
            <w:r w:rsidRPr="003259B2">
              <w:rPr>
                <w:rFonts w:ascii="Times New Roman" w:hAnsi="Times New Roman" w:cs="Times New Roman"/>
                <w:sz w:val="25"/>
                <w:szCs w:val="25"/>
              </w:rPr>
              <w:t>) (turpmāk – MK noteikumu projekts (VSS-</w:t>
            </w:r>
            <w:r w:rsidR="00FC43BF" w:rsidRPr="003259B2">
              <w:rPr>
                <w:rFonts w:ascii="Times New Roman" w:hAnsi="Times New Roman" w:cs="Times New Roman"/>
                <w:sz w:val="25"/>
                <w:szCs w:val="25"/>
              </w:rPr>
              <w:t>481</w:t>
            </w:r>
            <w:r w:rsidRPr="003259B2">
              <w:rPr>
                <w:rFonts w:ascii="Times New Roman" w:hAnsi="Times New Roman" w:cs="Times New Roman"/>
                <w:sz w:val="25"/>
                <w:szCs w:val="25"/>
              </w:rPr>
              <w:t xml:space="preserve">)) </w:t>
            </w:r>
            <w:r w:rsidR="00102126" w:rsidRPr="003259B2">
              <w:rPr>
                <w:rFonts w:ascii="Times New Roman" w:hAnsi="Times New Roman" w:cs="Times New Roman"/>
                <w:sz w:val="25"/>
                <w:szCs w:val="25"/>
              </w:rPr>
              <w:t>tie</w:t>
            </w:r>
            <w:r w:rsidR="00C1492E" w:rsidRPr="003259B2">
              <w:rPr>
                <w:rFonts w:ascii="Times New Roman" w:hAnsi="Times New Roman" w:cs="Times New Roman"/>
                <w:sz w:val="25"/>
                <w:szCs w:val="25"/>
              </w:rPr>
              <w:t>k</w:t>
            </w:r>
            <w:r w:rsidR="00102126" w:rsidRPr="003259B2">
              <w:rPr>
                <w:rFonts w:ascii="Times New Roman" w:hAnsi="Times New Roman" w:cs="Times New Roman"/>
                <w:sz w:val="25"/>
                <w:szCs w:val="25"/>
              </w:rPr>
              <w:t xml:space="preserve"> veikti</w:t>
            </w:r>
            <w:r w:rsidRPr="003259B2">
              <w:rPr>
                <w:rFonts w:ascii="Times New Roman" w:hAnsi="Times New Roman" w:cs="Times New Roman"/>
                <w:sz w:val="25"/>
                <w:szCs w:val="25"/>
              </w:rPr>
              <w:t xml:space="preserve"> sekojošu iemeslu dēļ. </w:t>
            </w:r>
          </w:p>
          <w:p w:rsidR="00F11836" w:rsidRPr="003259B2" w:rsidRDefault="00EB185A" w:rsidP="00E02904">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Saskaņošanas procesā a</w:t>
            </w:r>
            <w:r w:rsidR="00884A06" w:rsidRPr="003259B2">
              <w:rPr>
                <w:rFonts w:ascii="Times New Roman" w:hAnsi="Times New Roman" w:cs="Times New Roman"/>
                <w:sz w:val="25"/>
                <w:szCs w:val="25"/>
              </w:rPr>
              <w:t xml:space="preserve">r </w:t>
            </w:r>
            <w:r w:rsidRPr="003259B2">
              <w:rPr>
                <w:rFonts w:ascii="Times New Roman" w:hAnsi="Times New Roman" w:cs="Times New Roman"/>
                <w:sz w:val="25"/>
                <w:szCs w:val="25"/>
              </w:rPr>
              <w:t xml:space="preserve">Tieslietu ministriju </w:t>
            </w:r>
            <w:r w:rsidR="00884A06" w:rsidRPr="003259B2">
              <w:rPr>
                <w:rFonts w:ascii="Times New Roman" w:hAnsi="Times New Roman" w:cs="Times New Roman"/>
                <w:sz w:val="25"/>
                <w:szCs w:val="25"/>
              </w:rPr>
              <w:t>tika panākta vienošanās,</w:t>
            </w:r>
            <w:r w:rsidR="00E02904" w:rsidRPr="003259B2">
              <w:rPr>
                <w:rFonts w:ascii="Times New Roman" w:hAnsi="Times New Roman" w:cs="Times New Roman"/>
                <w:sz w:val="25"/>
                <w:szCs w:val="25"/>
              </w:rPr>
              <w:t xml:space="preserve"> </w:t>
            </w:r>
            <w:r w:rsidR="00C57B9B" w:rsidRPr="003259B2">
              <w:rPr>
                <w:rFonts w:ascii="Times New Roman" w:hAnsi="Times New Roman" w:cs="Times New Roman"/>
                <w:sz w:val="25"/>
                <w:szCs w:val="25"/>
              </w:rPr>
              <w:t>ka Finanšu ministrija, sagatavojot kārtējos grozījumus Azartspēļu un izložu likumā, attiecībā uz interaktīvo azartspēļu un interaktīvo izložu spēlētāju reģistra izveidi paredzēt</w:t>
            </w:r>
            <w:r w:rsidR="00884A06" w:rsidRPr="003259B2">
              <w:rPr>
                <w:rFonts w:ascii="Times New Roman" w:hAnsi="Times New Roman" w:cs="Times New Roman"/>
                <w:sz w:val="25"/>
                <w:szCs w:val="25"/>
              </w:rPr>
              <w:t>u</w:t>
            </w:r>
            <w:r w:rsidR="00C57B9B" w:rsidRPr="003259B2">
              <w:rPr>
                <w:rFonts w:ascii="Times New Roman" w:hAnsi="Times New Roman" w:cs="Times New Roman"/>
                <w:sz w:val="25"/>
                <w:szCs w:val="25"/>
              </w:rPr>
              <w:t xml:space="preserve"> regulējumu, ar kuru tiktu nodrošināts, ka interaktīvo azartspēļu un interaktīvo izložu spēlētāju reģistra mērķis, datu apjoms, glabāšanas termiņš, piekļuves tiesības tiktu noteiktas Azartspēļu un izložu likumā.</w:t>
            </w:r>
          </w:p>
          <w:p w:rsidR="00D669B7" w:rsidRPr="003259B2" w:rsidRDefault="00D669B7" w:rsidP="00E02904">
            <w:pPr>
              <w:tabs>
                <w:tab w:val="center" w:pos="4680"/>
                <w:tab w:val="right" w:pos="9360"/>
              </w:tabs>
              <w:spacing w:after="0" w:line="240" w:lineRule="auto"/>
              <w:jc w:val="both"/>
              <w:rPr>
                <w:rFonts w:ascii="Times New Roman" w:hAnsi="Times New Roman" w:cs="Times New Roman"/>
                <w:sz w:val="25"/>
                <w:szCs w:val="25"/>
              </w:rPr>
            </w:pPr>
          </w:p>
          <w:p w:rsidR="002A4ABE" w:rsidRPr="003259B2" w:rsidRDefault="00D22FF7" w:rsidP="00D22FF7">
            <w:pPr>
              <w:tabs>
                <w:tab w:val="center" w:pos="4680"/>
                <w:tab w:val="right" w:pos="9360"/>
              </w:tabs>
              <w:spacing w:after="0" w:line="240" w:lineRule="auto"/>
              <w:jc w:val="both"/>
              <w:rPr>
                <w:rFonts w:ascii="Times New Roman" w:eastAsia="Times New Roman" w:hAnsi="Times New Roman" w:cs="Times New Roman"/>
                <w:color w:val="000000" w:themeColor="text1"/>
                <w:spacing w:val="-4"/>
                <w:sz w:val="25"/>
                <w:szCs w:val="25"/>
              </w:rPr>
            </w:pPr>
            <w:r w:rsidRPr="003259B2">
              <w:rPr>
                <w:rFonts w:ascii="Times New Roman" w:eastAsia="Times New Roman" w:hAnsi="Times New Roman" w:cs="Times New Roman"/>
                <w:color w:val="000000" w:themeColor="text1"/>
                <w:spacing w:val="-4"/>
                <w:sz w:val="25"/>
                <w:szCs w:val="25"/>
              </w:rPr>
              <w:t>Tādējādi ar likumprojekta:</w:t>
            </w:r>
          </w:p>
          <w:p w:rsidR="00B322AE" w:rsidRPr="003259B2" w:rsidRDefault="00B322AE" w:rsidP="00B322AE">
            <w:pPr>
              <w:tabs>
                <w:tab w:val="center" w:pos="4680"/>
                <w:tab w:val="right" w:pos="9360"/>
              </w:tabs>
              <w:spacing w:after="0" w:line="240" w:lineRule="auto"/>
              <w:jc w:val="both"/>
              <w:rPr>
                <w:rFonts w:ascii="Times New Roman" w:eastAsia="Times New Roman" w:hAnsi="Times New Roman" w:cs="Times New Roman"/>
                <w:bCs/>
                <w:color w:val="000000" w:themeColor="text1"/>
                <w:spacing w:val="-4"/>
                <w:sz w:val="25"/>
                <w:szCs w:val="25"/>
              </w:rPr>
            </w:pPr>
            <w:r w:rsidRPr="003259B2">
              <w:rPr>
                <w:rFonts w:ascii="Times New Roman" w:eastAsia="Times New Roman" w:hAnsi="Times New Roman" w:cs="Times New Roman"/>
                <w:color w:val="000000" w:themeColor="text1"/>
                <w:spacing w:val="-4"/>
                <w:sz w:val="25"/>
                <w:szCs w:val="25"/>
              </w:rPr>
              <w:t xml:space="preserve">- </w:t>
            </w:r>
            <w:r w:rsidR="00E80861" w:rsidRPr="003259B2">
              <w:rPr>
                <w:rFonts w:ascii="Times New Roman" w:eastAsia="Times New Roman" w:hAnsi="Times New Roman" w:cs="Times New Roman"/>
                <w:color w:val="000000" w:themeColor="text1"/>
                <w:spacing w:val="-4"/>
                <w:sz w:val="25"/>
                <w:szCs w:val="25"/>
              </w:rPr>
              <w:t>5</w:t>
            </w:r>
            <w:r w:rsidRPr="003259B2">
              <w:rPr>
                <w:rFonts w:ascii="Times New Roman" w:eastAsia="Times New Roman" w:hAnsi="Times New Roman" w:cs="Times New Roman"/>
                <w:color w:val="000000" w:themeColor="text1"/>
                <w:spacing w:val="-4"/>
                <w:sz w:val="25"/>
                <w:szCs w:val="25"/>
              </w:rPr>
              <w:t>.pantu tiek papildināta 53.panta pirmā daļa ar 1.</w:t>
            </w:r>
            <w:r w:rsidRPr="003259B2">
              <w:rPr>
                <w:rFonts w:ascii="Times New Roman" w:eastAsia="Times New Roman" w:hAnsi="Times New Roman" w:cs="Times New Roman"/>
                <w:color w:val="000000" w:themeColor="text1"/>
                <w:spacing w:val="-4"/>
                <w:sz w:val="25"/>
                <w:szCs w:val="25"/>
                <w:vertAlign w:val="superscript"/>
              </w:rPr>
              <w:t>1</w:t>
            </w:r>
            <w:r w:rsidRPr="003259B2">
              <w:rPr>
                <w:rFonts w:ascii="Times New Roman" w:eastAsia="Times New Roman" w:hAnsi="Times New Roman" w:cs="Times New Roman"/>
                <w:color w:val="000000" w:themeColor="text1"/>
                <w:spacing w:val="-4"/>
                <w:sz w:val="25"/>
                <w:szCs w:val="25"/>
              </w:rPr>
              <w:t>punktu, nosakot, ka interaktīvo azartspēļu organizētājs nodrošina i</w:t>
            </w:r>
            <w:r w:rsidRPr="003259B2">
              <w:rPr>
                <w:rFonts w:ascii="Times New Roman" w:eastAsia="Times New Roman" w:hAnsi="Times New Roman" w:cs="Times New Roman"/>
                <w:bCs/>
                <w:color w:val="000000" w:themeColor="text1"/>
                <w:spacing w:val="-4"/>
                <w:sz w:val="25"/>
                <w:szCs w:val="25"/>
              </w:rPr>
              <w:t>nteraktīvo azartspēļu spēlētāju reģistra izveidi</w:t>
            </w:r>
            <w:r w:rsidR="00B95C6B" w:rsidRPr="003259B2">
              <w:rPr>
                <w:rFonts w:ascii="Times New Roman" w:eastAsia="Times New Roman" w:hAnsi="Times New Roman" w:cs="Times New Roman"/>
                <w:bCs/>
                <w:color w:val="000000" w:themeColor="text1"/>
                <w:spacing w:val="-4"/>
                <w:sz w:val="25"/>
                <w:szCs w:val="25"/>
              </w:rPr>
              <w:t xml:space="preserve"> un uzturēšanu</w:t>
            </w:r>
            <w:r w:rsidRPr="003259B2">
              <w:rPr>
                <w:rFonts w:ascii="Times New Roman" w:eastAsia="Times New Roman" w:hAnsi="Times New Roman" w:cs="Times New Roman"/>
                <w:bCs/>
                <w:color w:val="000000" w:themeColor="text1"/>
                <w:spacing w:val="-4"/>
                <w:sz w:val="25"/>
                <w:szCs w:val="25"/>
              </w:rPr>
              <w:t>;</w:t>
            </w:r>
          </w:p>
          <w:p w:rsidR="00B322AE" w:rsidRPr="003259B2" w:rsidRDefault="00B322AE" w:rsidP="00B322AE">
            <w:pPr>
              <w:tabs>
                <w:tab w:val="center" w:pos="4680"/>
                <w:tab w:val="right" w:pos="9360"/>
              </w:tabs>
              <w:spacing w:after="0" w:line="240" w:lineRule="auto"/>
              <w:jc w:val="both"/>
              <w:rPr>
                <w:rFonts w:ascii="Times New Roman" w:eastAsia="Times New Roman" w:hAnsi="Times New Roman" w:cs="Times New Roman"/>
                <w:bCs/>
                <w:color w:val="000000" w:themeColor="text1"/>
                <w:spacing w:val="-4"/>
                <w:sz w:val="25"/>
                <w:szCs w:val="25"/>
              </w:rPr>
            </w:pPr>
            <w:r w:rsidRPr="003259B2">
              <w:rPr>
                <w:rFonts w:ascii="Times New Roman" w:eastAsia="Times New Roman" w:hAnsi="Times New Roman" w:cs="Times New Roman"/>
                <w:bCs/>
                <w:color w:val="000000" w:themeColor="text1"/>
                <w:spacing w:val="-4"/>
                <w:sz w:val="25"/>
                <w:szCs w:val="25"/>
              </w:rPr>
              <w:t xml:space="preserve">- </w:t>
            </w:r>
            <w:r w:rsidR="00E6534A" w:rsidRPr="003259B2">
              <w:rPr>
                <w:rFonts w:ascii="Times New Roman" w:eastAsia="Times New Roman" w:hAnsi="Times New Roman" w:cs="Times New Roman"/>
                <w:bCs/>
                <w:color w:val="000000" w:themeColor="text1"/>
                <w:spacing w:val="-4"/>
                <w:sz w:val="25"/>
                <w:szCs w:val="25"/>
              </w:rPr>
              <w:t>6</w:t>
            </w:r>
            <w:r w:rsidRPr="003259B2">
              <w:rPr>
                <w:rFonts w:ascii="Times New Roman" w:eastAsia="Times New Roman" w:hAnsi="Times New Roman" w:cs="Times New Roman"/>
                <w:bCs/>
                <w:color w:val="000000" w:themeColor="text1"/>
                <w:spacing w:val="-4"/>
                <w:sz w:val="25"/>
                <w:szCs w:val="25"/>
              </w:rPr>
              <w:t>.pantu tiek papildināts Likums ar 54.</w:t>
            </w:r>
            <w:r w:rsidRPr="003259B2">
              <w:rPr>
                <w:rFonts w:ascii="Times New Roman" w:eastAsia="Times New Roman" w:hAnsi="Times New Roman" w:cs="Times New Roman"/>
                <w:bCs/>
                <w:color w:val="000000" w:themeColor="text1"/>
                <w:spacing w:val="-4"/>
                <w:sz w:val="25"/>
                <w:szCs w:val="25"/>
                <w:vertAlign w:val="superscript"/>
              </w:rPr>
              <w:t>1</w:t>
            </w:r>
            <w:r w:rsidRPr="003259B2">
              <w:rPr>
                <w:rFonts w:ascii="Times New Roman" w:eastAsia="Times New Roman" w:hAnsi="Times New Roman" w:cs="Times New Roman"/>
                <w:bCs/>
                <w:color w:val="000000" w:themeColor="text1"/>
                <w:spacing w:val="-4"/>
                <w:sz w:val="25"/>
                <w:szCs w:val="25"/>
              </w:rPr>
              <w:t>pantu</w:t>
            </w:r>
            <w:r w:rsidR="00FE22C0" w:rsidRPr="003259B2">
              <w:rPr>
                <w:rFonts w:ascii="Times New Roman" w:eastAsia="Times New Roman" w:hAnsi="Times New Roman" w:cs="Times New Roman"/>
                <w:bCs/>
                <w:color w:val="000000" w:themeColor="text1"/>
                <w:spacing w:val="-4"/>
                <w:sz w:val="25"/>
                <w:szCs w:val="25"/>
              </w:rPr>
              <w:t xml:space="preserve"> par interaktīvo azartspēļu spēlētāju reģistru</w:t>
            </w:r>
            <w:r w:rsidR="00BC6A6B" w:rsidRPr="003259B2">
              <w:rPr>
                <w:rFonts w:ascii="Times New Roman" w:eastAsia="Times New Roman" w:hAnsi="Times New Roman" w:cs="Times New Roman"/>
                <w:bCs/>
                <w:color w:val="000000" w:themeColor="text1"/>
                <w:spacing w:val="-4"/>
                <w:sz w:val="25"/>
                <w:szCs w:val="25"/>
              </w:rPr>
              <w:t xml:space="preserve">. Šajā pantā </w:t>
            </w:r>
            <w:r w:rsidR="00FE22C0" w:rsidRPr="003259B2">
              <w:rPr>
                <w:rFonts w:ascii="Times New Roman" w:eastAsia="Times New Roman" w:hAnsi="Times New Roman" w:cs="Times New Roman"/>
                <w:bCs/>
                <w:color w:val="000000" w:themeColor="text1"/>
                <w:spacing w:val="-4"/>
                <w:sz w:val="25"/>
                <w:szCs w:val="25"/>
              </w:rPr>
              <w:t xml:space="preserve">ir </w:t>
            </w:r>
            <w:r w:rsidRPr="003259B2">
              <w:rPr>
                <w:rFonts w:ascii="Times New Roman" w:eastAsia="Times New Roman" w:hAnsi="Times New Roman" w:cs="Times New Roman"/>
                <w:bCs/>
                <w:color w:val="000000" w:themeColor="text1"/>
                <w:spacing w:val="-4"/>
                <w:sz w:val="25"/>
                <w:szCs w:val="25"/>
              </w:rPr>
              <w:t>noteikts interaktīvo azartspēļu spēlētāju reģistra mērķis, reģistra pārzinis</w:t>
            </w:r>
            <w:r w:rsidR="00912B3C" w:rsidRPr="003259B2">
              <w:rPr>
                <w:rFonts w:ascii="Times New Roman" w:eastAsia="Times New Roman" w:hAnsi="Times New Roman" w:cs="Times New Roman"/>
                <w:bCs/>
                <w:color w:val="000000" w:themeColor="text1"/>
                <w:spacing w:val="-4"/>
                <w:sz w:val="25"/>
                <w:szCs w:val="25"/>
              </w:rPr>
              <w:t xml:space="preserve"> un viņa pienākumi</w:t>
            </w:r>
            <w:r w:rsidRPr="003259B2">
              <w:rPr>
                <w:rFonts w:ascii="Times New Roman" w:eastAsia="Times New Roman" w:hAnsi="Times New Roman" w:cs="Times New Roman"/>
                <w:bCs/>
                <w:color w:val="000000" w:themeColor="text1"/>
                <w:spacing w:val="-4"/>
                <w:sz w:val="25"/>
                <w:szCs w:val="25"/>
              </w:rPr>
              <w:t>, reģistra izveidošanas un uzturēšanas prasības, reģistrēšanai iesniedzamā informācija par spēlētāju, informācijas glabāšanas termiņ</w:t>
            </w:r>
            <w:r w:rsidR="00294820" w:rsidRPr="003259B2">
              <w:rPr>
                <w:rFonts w:ascii="Times New Roman" w:eastAsia="Times New Roman" w:hAnsi="Times New Roman" w:cs="Times New Roman"/>
                <w:bCs/>
                <w:color w:val="000000" w:themeColor="text1"/>
                <w:spacing w:val="-4"/>
                <w:sz w:val="25"/>
                <w:szCs w:val="25"/>
              </w:rPr>
              <w:t xml:space="preserve">i </w:t>
            </w:r>
            <w:r w:rsidR="0082286A" w:rsidRPr="003259B2">
              <w:rPr>
                <w:rFonts w:ascii="Times New Roman" w:eastAsia="Times New Roman" w:hAnsi="Times New Roman" w:cs="Times New Roman"/>
                <w:bCs/>
                <w:color w:val="000000" w:themeColor="text1"/>
                <w:spacing w:val="-4"/>
                <w:sz w:val="25"/>
                <w:szCs w:val="25"/>
              </w:rPr>
              <w:t>un noteikts</w:t>
            </w:r>
            <w:r w:rsidR="00392128" w:rsidRPr="003259B2">
              <w:rPr>
                <w:rFonts w:ascii="Times New Roman" w:eastAsia="Times New Roman" w:hAnsi="Times New Roman" w:cs="Times New Roman"/>
                <w:bCs/>
                <w:color w:val="000000" w:themeColor="text1"/>
                <w:spacing w:val="-4"/>
                <w:sz w:val="25"/>
                <w:szCs w:val="25"/>
              </w:rPr>
              <w:t xml:space="preserve">, ka spēlētājam ir </w:t>
            </w:r>
            <w:r w:rsidR="00294820" w:rsidRPr="003259B2">
              <w:rPr>
                <w:rFonts w:ascii="Times New Roman" w:eastAsia="Times New Roman" w:hAnsi="Times New Roman" w:cs="Times New Roman"/>
                <w:bCs/>
                <w:color w:val="000000" w:themeColor="text1"/>
                <w:spacing w:val="-4"/>
                <w:sz w:val="25"/>
                <w:szCs w:val="25"/>
              </w:rPr>
              <w:t>tiesīb</w:t>
            </w:r>
            <w:r w:rsidR="00392128" w:rsidRPr="003259B2">
              <w:rPr>
                <w:rFonts w:ascii="Times New Roman" w:eastAsia="Times New Roman" w:hAnsi="Times New Roman" w:cs="Times New Roman"/>
                <w:bCs/>
                <w:color w:val="000000" w:themeColor="text1"/>
                <w:spacing w:val="-4"/>
                <w:sz w:val="25"/>
                <w:szCs w:val="25"/>
              </w:rPr>
              <w:t>as</w:t>
            </w:r>
            <w:r w:rsidR="00D96027" w:rsidRPr="003259B2">
              <w:rPr>
                <w:rFonts w:ascii="Times New Roman" w:eastAsia="Times New Roman" w:hAnsi="Times New Roman" w:cs="Times New Roman"/>
                <w:bCs/>
                <w:color w:val="000000" w:themeColor="text1"/>
                <w:spacing w:val="-4"/>
                <w:sz w:val="25"/>
                <w:szCs w:val="25"/>
              </w:rPr>
              <w:t xml:space="preserve"> </w:t>
            </w:r>
            <w:r w:rsidR="00294820" w:rsidRPr="003259B2">
              <w:rPr>
                <w:rFonts w:ascii="Times New Roman" w:eastAsia="Times New Roman" w:hAnsi="Times New Roman" w:cs="Times New Roman"/>
                <w:bCs/>
                <w:color w:val="000000" w:themeColor="text1"/>
                <w:spacing w:val="-4"/>
                <w:sz w:val="25"/>
                <w:szCs w:val="25"/>
              </w:rPr>
              <w:t>pie</w:t>
            </w:r>
            <w:r w:rsidR="00D96027" w:rsidRPr="003259B2">
              <w:rPr>
                <w:rFonts w:ascii="Times New Roman" w:eastAsia="Times New Roman" w:hAnsi="Times New Roman" w:cs="Times New Roman"/>
                <w:bCs/>
                <w:color w:val="000000" w:themeColor="text1"/>
                <w:spacing w:val="-4"/>
                <w:sz w:val="25"/>
                <w:szCs w:val="25"/>
              </w:rPr>
              <w:t xml:space="preserve">prasīt, lai </w:t>
            </w:r>
            <w:r w:rsidR="00392128" w:rsidRPr="003259B2">
              <w:rPr>
                <w:rFonts w:ascii="Times New Roman" w:eastAsia="Times New Roman" w:hAnsi="Times New Roman" w:cs="Times New Roman"/>
                <w:bCs/>
                <w:color w:val="000000" w:themeColor="text1"/>
                <w:spacing w:val="-4"/>
                <w:sz w:val="25"/>
                <w:szCs w:val="25"/>
              </w:rPr>
              <w:t xml:space="preserve">interaktīvās azartspēles </w:t>
            </w:r>
            <w:r w:rsidR="00D96027" w:rsidRPr="003259B2">
              <w:rPr>
                <w:rFonts w:ascii="Times New Roman" w:eastAsia="Times New Roman" w:hAnsi="Times New Roman" w:cs="Times New Roman"/>
                <w:bCs/>
                <w:color w:val="000000" w:themeColor="text1"/>
                <w:spacing w:val="-4"/>
                <w:sz w:val="25"/>
                <w:szCs w:val="25"/>
              </w:rPr>
              <w:t xml:space="preserve">organizētājs to izslēdz no </w:t>
            </w:r>
            <w:r w:rsidR="00294820" w:rsidRPr="003259B2">
              <w:rPr>
                <w:rFonts w:ascii="Times New Roman" w:eastAsia="Times New Roman" w:hAnsi="Times New Roman" w:cs="Times New Roman"/>
                <w:bCs/>
                <w:color w:val="000000" w:themeColor="text1"/>
                <w:spacing w:val="-4"/>
                <w:sz w:val="25"/>
                <w:szCs w:val="25"/>
              </w:rPr>
              <w:t xml:space="preserve">interaktīvo azartspēļu </w:t>
            </w:r>
            <w:r w:rsidR="00D96027" w:rsidRPr="003259B2">
              <w:rPr>
                <w:rFonts w:ascii="Times New Roman" w:eastAsia="Times New Roman" w:hAnsi="Times New Roman" w:cs="Times New Roman"/>
                <w:bCs/>
                <w:color w:val="000000" w:themeColor="text1"/>
                <w:spacing w:val="-4"/>
                <w:sz w:val="25"/>
                <w:szCs w:val="25"/>
              </w:rPr>
              <w:t>spēlētāju reģistra</w:t>
            </w:r>
            <w:r w:rsidR="0082286A" w:rsidRPr="003259B2">
              <w:rPr>
                <w:rFonts w:ascii="Times New Roman" w:eastAsia="Times New Roman" w:hAnsi="Times New Roman" w:cs="Times New Roman"/>
                <w:bCs/>
                <w:color w:val="000000" w:themeColor="text1"/>
                <w:spacing w:val="-4"/>
                <w:sz w:val="25"/>
                <w:szCs w:val="25"/>
              </w:rPr>
              <w:t xml:space="preserve">, kā arī to, ka </w:t>
            </w:r>
            <w:r w:rsidR="00294820" w:rsidRPr="003259B2">
              <w:rPr>
                <w:rFonts w:ascii="Times New Roman" w:eastAsia="Times New Roman" w:hAnsi="Times New Roman" w:cs="Times New Roman"/>
                <w:bCs/>
                <w:color w:val="000000" w:themeColor="text1"/>
                <w:spacing w:val="-4"/>
                <w:sz w:val="25"/>
                <w:szCs w:val="25"/>
              </w:rPr>
              <w:t xml:space="preserve">Ministru </w:t>
            </w:r>
            <w:r w:rsidR="00B824CD" w:rsidRPr="003259B2">
              <w:rPr>
                <w:rFonts w:ascii="Times New Roman" w:eastAsia="Times New Roman" w:hAnsi="Times New Roman" w:cs="Times New Roman"/>
                <w:bCs/>
                <w:color w:val="000000" w:themeColor="text1"/>
                <w:spacing w:val="-4"/>
                <w:sz w:val="25"/>
                <w:szCs w:val="25"/>
              </w:rPr>
              <w:t>kabinets</w:t>
            </w:r>
            <w:r w:rsidR="0082286A" w:rsidRPr="003259B2">
              <w:rPr>
                <w:rFonts w:ascii="Times New Roman" w:eastAsia="Times New Roman" w:hAnsi="Times New Roman" w:cs="Times New Roman"/>
                <w:bCs/>
                <w:color w:val="000000" w:themeColor="text1"/>
                <w:spacing w:val="-4"/>
                <w:sz w:val="25"/>
                <w:szCs w:val="25"/>
              </w:rPr>
              <w:t xml:space="preserve"> nosaka nosacījumus un kārtību, kādā spēlētājs tiek izslēgts no interaktīvo azartspēļu spēlētāju reģistra un informācijas glabāšanas termiņu</w:t>
            </w:r>
            <w:r w:rsidRPr="003259B2">
              <w:rPr>
                <w:rFonts w:ascii="Times New Roman" w:eastAsia="Times New Roman" w:hAnsi="Times New Roman" w:cs="Times New Roman"/>
                <w:bCs/>
                <w:color w:val="000000" w:themeColor="text1"/>
                <w:spacing w:val="-4"/>
                <w:sz w:val="25"/>
                <w:szCs w:val="25"/>
              </w:rPr>
              <w:t>;</w:t>
            </w:r>
          </w:p>
          <w:p w:rsidR="00D669B7" w:rsidRPr="003259B2" w:rsidRDefault="00D669B7" w:rsidP="00B322AE">
            <w:pPr>
              <w:tabs>
                <w:tab w:val="center" w:pos="4680"/>
                <w:tab w:val="right" w:pos="9360"/>
              </w:tabs>
              <w:spacing w:after="0" w:line="240" w:lineRule="auto"/>
              <w:jc w:val="both"/>
              <w:rPr>
                <w:rFonts w:ascii="Times New Roman" w:eastAsia="Times New Roman" w:hAnsi="Times New Roman" w:cs="Times New Roman"/>
                <w:bCs/>
                <w:color w:val="000000" w:themeColor="text1"/>
                <w:spacing w:val="-4"/>
                <w:sz w:val="25"/>
                <w:szCs w:val="25"/>
              </w:rPr>
            </w:pPr>
          </w:p>
          <w:p w:rsidR="00B824CD" w:rsidRPr="003259B2" w:rsidRDefault="003C6B3D" w:rsidP="003C6B3D">
            <w:pPr>
              <w:tabs>
                <w:tab w:val="center" w:pos="4680"/>
                <w:tab w:val="right" w:pos="9360"/>
              </w:tabs>
              <w:spacing w:after="0" w:line="240" w:lineRule="auto"/>
              <w:jc w:val="both"/>
              <w:rPr>
                <w:rFonts w:ascii="Times New Roman" w:eastAsia="Times New Roman" w:hAnsi="Times New Roman" w:cs="Times New Roman"/>
                <w:bCs/>
                <w:color w:val="000000" w:themeColor="text1"/>
                <w:spacing w:val="-4"/>
                <w:sz w:val="25"/>
                <w:szCs w:val="25"/>
              </w:rPr>
            </w:pPr>
            <w:r w:rsidRPr="003259B2">
              <w:rPr>
                <w:rFonts w:ascii="Times New Roman" w:eastAsia="Times New Roman" w:hAnsi="Times New Roman" w:cs="Times New Roman"/>
                <w:bCs/>
                <w:color w:val="000000" w:themeColor="text1"/>
                <w:spacing w:val="-4"/>
                <w:sz w:val="25"/>
                <w:szCs w:val="25"/>
              </w:rPr>
              <w:t xml:space="preserve">- </w:t>
            </w:r>
            <w:r w:rsidRPr="003259B2">
              <w:rPr>
                <w:rFonts w:ascii="Times New Roman" w:hAnsi="Times New Roman" w:cs="Times New Roman"/>
                <w:sz w:val="25"/>
                <w:szCs w:val="25"/>
                <w:shd w:val="clear" w:color="auto" w:fill="FFFFFF"/>
              </w:rPr>
              <w:t>1</w:t>
            </w:r>
            <w:r w:rsidR="00FE22C0" w:rsidRPr="003259B2">
              <w:rPr>
                <w:rFonts w:ascii="Times New Roman" w:hAnsi="Times New Roman" w:cs="Times New Roman"/>
                <w:sz w:val="25"/>
                <w:szCs w:val="25"/>
                <w:shd w:val="clear" w:color="auto" w:fill="FFFFFF"/>
              </w:rPr>
              <w:t>0</w:t>
            </w:r>
            <w:r w:rsidRPr="003259B2">
              <w:rPr>
                <w:rFonts w:ascii="Times New Roman" w:hAnsi="Times New Roman" w:cs="Times New Roman"/>
                <w:sz w:val="25"/>
                <w:szCs w:val="25"/>
                <w:shd w:val="clear" w:color="auto" w:fill="FFFFFF"/>
              </w:rPr>
              <w:t>.</w:t>
            </w:r>
            <w:r w:rsidRPr="003259B2">
              <w:rPr>
                <w:rFonts w:ascii="Times New Roman" w:hAnsi="Times New Roman" w:cs="Times New Roman"/>
                <w:sz w:val="25"/>
                <w:szCs w:val="25"/>
              </w:rPr>
              <w:t>pantu tiek papildināts Likums ar 79</w:t>
            </w:r>
            <w:r w:rsidRPr="003259B2">
              <w:rPr>
                <w:rFonts w:ascii="Times New Roman" w:hAnsi="Times New Roman" w:cs="Times New Roman"/>
                <w:sz w:val="25"/>
                <w:szCs w:val="25"/>
                <w:shd w:val="clear" w:color="auto" w:fill="FFFFFF"/>
              </w:rPr>
              <w:t>.</w:t>
            </w:r>
            <w:r w:rsidRPr="003259B2">
              <w:rPr>
                <w:rFonts w:ascii="Times New Roman" w:hAnsi="Times New Roman" w:cs="Times New Roman"/>
                <w:sz w:val="25"/>
                <w:szCs w:val="25"/>
                <w:shd w:val="clear" w:color="auto" w:fill="FFFFFF"/>
                <w:vertAlign w:val="superscript"/>
              </w:rPr>
              <w:t>1</w:t>
            </w:r>
            <w:r w:rsidRPr="003259B2">
              <w:rPr>
                <w:rFonts w:ascii="Times New Roman" w:hAnsi="Times New Roman" w:cs="Times New Roman"/>
                <w:sz w:val="25"/>
                <w:szCs w:val="25"/>
                <w:shd w:val="clear" w:color="auto" w:fill="FFFFFF"/>
              </w:rPr>
              <w:t>pantu par</w:t>
            </w:r>
            <w:r w:rsidRPr="003259B2">
              <w:rPr>
                <w:rFonts w:ascii="Times New Roman" w:hAnsi="Times New Roman" w:cs="Times New Roman"/>
                <w:bCs/>
                <w:sz w:val="25"/>
                <w:szCs w:val="25"/>
              </w:rPr>
              <w:t xml:space="preserve"> </w:t>
            </w:r>
            <w:r w:rsidR="00FE22C0" w:rsidRPr="003259B2">
              <w:rPr>
                <w:rFonts w:ascii="Times New Roman" w:hAnsi="Times New Roman" w:cs="Times New Roman"/>
                <w:sz w:val="25"/>
                <w:szCs w:val="25"/>
              </w:rPr>
              <w:t>i</w:t>
            </w:r>
            <w:r w:rsidRPr="003259B2">
              <w:rPr>
                <w:rFonts w:ascii="Times New Roman" w:hAnsi="Times New Roman" w:cs="Times New Roman"/>
                <w:bCs/>
                <w:sz w:val="25"/>
                <w:szCs w:val="25"/>
                <w:shd w:val="clear" w:color="auto" w:fill="FFFFFF"/>
              </w:rPr>
              <w:t>nteraktīvo izložu spēlētāju reģistru</w:t>
            </w:r>
            <w:r w:rsidR="00BC6A6B" w:rsidRPr="003259B2">
              <w:rPr>
                <w:rFonts w:ascii="Times New Roman" w:hAnsi="Times New Roman" w:cs="Times New Roman"/>
                <w:bCs/>
                <w:sz w:val="25"/>
                <w:szCs w:val="25"/>
                <w:shd w:val="clear" w:color="auto" w:fill="FFFFFF"/>
              </w:rPr>
              <w:t>.</w:t>
            </w:r>
            <w:r w:rsidR="00FE22C0" w:rsidRPr="003259B2">
              <w:rPr>
                <w:rFonts w:ascii="Times New Roman" w:hAnsi="Times New Roman" w:cs="Times New Roman"/>
                <w:bCs/>
                <w:sz w:val="25"/>
                <w:szCs w:val="25"/>
                <w:shd w:val="clear" w:color="auto" w:fill="FFFFFF"/>
              </w:rPr>
              <w:t xml:space="preserve"> </w:t>
            </w:r>
            <w:r w:rsidR="00BC6A6B" w:rsidRPr="003259B2">
              <w:rPr>
                <w:rFonts w:ascii="Times New Roman" w:eastAsia="Times New Roman" w:hAnsi="Times New Roman" w:cs="Times New Roman"/>
                <w:bCs/>
                <w:color w:val="000000" w:themeColor="text1"/>
                <w:spacing w:val="-4"/>
                <w:sz w:val="25"/>
                <w:szCs w:val="25"/>
              </w:rPr>
              <w:t>Šajā pantā</w:t>
            </w:r>
            <w:r w:rsidR="003F09BB" w:rsidRPr="003259B2">
              <w:rPr>
                <w:rFonts w:ascii="Times New Roman" w:hAnsi="Times New Roman" w:cs="Times New Roman"/>
                <w:bCs/>
                <w:sz w:val="25"/>
                <w:szCs w:val="25"/>
                <w:shd w:val="clear" w:color="auto" w:fill="FFFFFF"/>
              </w:rPr>
              <w:t xml:space="preserve"> </w:t>
            </w:r>
            <w:r w:rsidR="00FE22C0" w:rsidRPr="003259B2">
              <w:rPr>
                <w:rFonts w:ascii="Times New Roman" w:eastAsia="Times New Roman" w:hAnsi="Times New Roman" w:cs="Times New Roman"/>
                <w:bCs/>
                <w:color w:val="000000" w:themeColor="text1"/>
                <w:spacing w:val="-4"/>
                <w:sz w:val="25"/>
                <w:szCs w:val="25"/>
              </w:rPr>
              <w:t xml:space="preserve">ir </w:t>
            </w:r>
            <w:r w:rsidRPr="003259B2">
              <w:rPr>
                <w:rFonts w:ascii="Times New Roman" w:eastAsia="Times New Roman" w:hAnsi="Times New Roman" w:cs="Times New Roman"/>
                <w:bCs/>
                <w:color w:val="000000" w:themeColor="text1"/>
                <w:spacing w:val="-4"/>
                <w:sz w:val="25"/>
                <w:szCs w:val="25"/>
              </w:rPr>
              <w:t>noteikts interaktīvo izložu spēlētāju reģistra mērķis, reģistra pārzinis</w:t>
            </w:r>
            <w:r w:rsidR="00906F7B" w:rsidRPr="003259B2">
              <w:rPr>
                <w:rFonts w:ascii="Times New Roman" w:eastAsia="Times New Roman" w:hAnsi="Times New Roman" w:cs="Times New Roman"/>
                <w:bCs/>
                <w:color w:val="000000" w:themeColor="text1"/>
                <w:spacing w:val="-4"/>
                <w:sz w:val="25"/>
                <w:szCs w:val="25"/>
              </w:rPr>
              <w:t xml:space="preserve"> un viņa pienākumi</w:t>
            </w:r>
            <w:r w:rsidRPr="003259B2">
              <w:rPr>
                <w:rFonts w:ascii="Times New Roman" w:eastAsia="Times New Roman" w:hAnsi="Times New Roman" w:cs="Times New Roman"/>
                <w:bCs/>
                <w:color w:val="000000" w:themeColor="text1"/>
                <w:spacing w:val="-4"/>
                <w:sz w:val="25"/>
                <w:szCs w:val="25"/>
              </w:rPr>
              <w:t>, reģistra izveidošanas un uzturēšanas prasības, reģistrēšanai iesniedzamā informācija par spēlētāju, informācijas glabāšanas termiņ</w:t>
            </w:r>
            <w:r w:rsidR="00B824CD" w:rsidRPr="003259B2">
              <w:rPr>
                <w:rFonts w:ascii="Times New Roman" w:eastAsia="Times New Roman" w:hAnsi="Times New Roman" w:cs="Times New Roman"/>
                <w:bCs/>
                <w:color w:val="000000" w:themeColor="text1"/>
                <w:spacing w:val="-4"/>
                <w:sz w:val="25"/>
                <w:szCs w:val="25"/>
              </w:rPr>
              <w:t>i</w:t>
            </w:r>
            <w:r w:rsidR="0082286A" w:rsidRPr="003259B2">
              <w:rPr>
                <w:rFonts w:ascii="Times New Roman" w:eastAsia="Times New Roman" w:hAnsi="Times New Roman" w:cs="Times New Roman"/>
                <w:bCs/>
                <w:color w:val="000000" w:themeColor="text1"/>
                <w:spacing w:val="-4"/>
                <w:sz w:val="25"/>
                <w:szCs w:val="25"/>
              </w:rPr>
              <w:t xml:space="preserve"> un noteikts, ka spēlētājam ir tiesības pieprasīt, lai interaktīvās izlozes organizētājs to izslēdz no interaktīvo izložu spēlētāju reģistra, kā arī to, ka Ministru kabinets nosaka nosacījumus un kārtību, kādā spēlētājs tiek izslēgts no interaktīvo izložu spēlētāju reģistra un informācijas glabāšanas termiņu</w:t>
            </w:r>
            <w:r w:rsidR="00B824CD" w:rsidRPr="003259B2">
              <w:rPr>
                <w:rFonts w:ascii="Times New Roman" w:eastAsia="Times New Roman" w:hAnsi="Times New Roman" w:cs="Times New Roman"/>
                <w:bCs/>
                <w:color w:val="000000" w:themeColor="text1"/>
                <w:spacing w:val="-4"/>
                <w:sz w:val="25"/>
                <w:szCs w:val="25"/>
              </w:rPr>
              <w:t>;</w:t>
            </w:r>
          </w:p>
          <w:p w:rsidR="00D669B7" w:rsidRPr="003259B2" w:rsidRDefault="00D669B7" w:rsidP="003C6B3D">
            <w:pPr>
              <w:tabs>
                <w:tab w:val="center" w:pos="4680"/>
                <w:tab w:val="right" w:pos="9360"/>
              </w:tabs>
              <w:spacing w:after="0" w:line="240" w:lineRule="auto"/>
              <w:jc w:val="both"/>
              <w:rPr>
                <w:rFonts w:ascii="Times New Roman" w:eastAsia="Times New Roman" w:hAnsi="Times New Roman" w:cs="Times New Roman"/>
                <w:bCs/>
                <w:color w:val="000000" w:themeColor="text1"/>
                <w:spacing w:val="-4"/>
                <w:sz w:val="25"/>
                <w:szCs w:val="25"/>
              </w:rPr>
            </w:pPr>
          </w:p>
          <w:p w:rsidR="00777493" w:rsidRPr="003259B2" w:rsidRDefault="00890363" w:rsidP="00777493">
            <w:pPr>
              <w:pStyle w:val="NoSpacing"/>
              <w:jc w:val="both"/>
              <w:rPr>
                <w:rFonts w:ascii="Times New Roman" w:hAnsi="Times New Roman" w:cs="Times New Roman"/>
                <w:bCs/>
                <w:sz w:val="25"/>
                <w:szCs w:val="25"/>
                <w:shd w:val="clear" w:color="auto" w:fill="FFFFFF"/>
                <w:lang w:val="lv-LV"/>
              </w:rPr>
            </w:pPr>
            <w:r w:rsidRPr="003259B2">
              <w:rPr>
                <w:rFonts w:ascii="Times New Roman" w:eastAsia="Times New Roman" w:hAnsi="Times New Roman" w:cs="Times New Roman"/>
                <w:bCs/>
                <w:color w:val="000000" w:themeColor="text1"/>
                <w:spacing w:val="-4"/>
                <w:sz w:val="25"/>
                <w:szCs w:val="25"/>
              </w:rPr>
              <w:t xml:space="preserve">- </w:t>
            </w:r>
            <w:r w:rsidR="00624BFB" w:rsidRPr="003259B2">
              <w:rPr>
                <w:rFonts w:ascii="Times New Roman" w:eastAsia="Times New Roman" w:hAnsi="Times New Roman" w:cs="Times New Roman"/>
                <w:color w:val="000000" w:themeColor="text1"/>
                <w:spacing w:val="-4"/>
                <w:sz w:val="25"/>
                <w:szCs w:val="25"/>
              </w:rPr>
              <w:t>1</w:t>
            </w:r>
            <w:r w:rsidR="00702109" w:rsidRPr="003259B2">
              <w:rPr>
                <w:rFonts w:ascii="Times New Roman" w:eastAsia="Times New Roman" w:hAnsi="Times New Roman" w:cs="Times New Roman"/>
                <w:color w:val="000000" w:themeColor="text1"/>
                <w:spacing w:val="-4"/>
                <w:sz w:val="25"/>
                <w:szCs w:val="25"/>
              </w:rPr>
              <w:t>1</w:t>
            </w:r>
            <w:r w:rsidR="004B022E" w:rsidRPr="003259B2">
              <w:rPr>
                <w:rFonts w:ascii="Times New Roman" w:eastAsia="Times New Roman" w:hAnsi="Times New Roman" w:cs="Times New Roman"/>
                <w:color w:val="000000" w:themeColor="text1"/>
                <w:spacing w:val="-4"/>
                <w:sz w:val="25"/>
                <w:szCs w:val="25"/>
              </w:rPr>
              <w:t xml:space="preserve">.pantu </w:t>
            </w:r>
            <w:proofErr w:type="spellStart"/>
            <w:r w:rsidR="00777493" w:rsidRPr="003259B2">
              <w:rPr>
                <w:rFonts w:ascii="Times New Roman" w:eastAsia="Times New Roman" w:hAnsi="Times New Roman" w:cs="Times New Roman"/>
                <w:color w:val="000000" w:themeColor="text1"/>
                <w:spacing w:val="-4"/>
                <w:sz w:val="25"/>
                <w:szCs w:val="25"/>
              </w:rPr>
              <w:t>Likumā</w:t>
            </w:r>
            <w:proofErr w:type="spellEnd"/>
            <w:r w:rsidR="00777493" w:rsidRPr="003259B2">
              <w:rPr>
                <w:rFonts w:ascii="Times New Roman" w:eastAsia="Times New Roman" w:hAnsi="Times New Roman" w:cs="Times New Roman"/>
                <w:color w:val="000000" w:themeColor="text1"/>
                <w:spacing w:val="-4"/>
                <w:sz w:val="25"/>
                <w:szCs w:val="25"/>
              </w:rPr>
              <w:t xml:space="preserve"> </w:t>
            </w:r>
            <w:proofErr w:type="spellStart"/>
            <w:r w:rsidR="004B022E" w:rsidRPr="003259B2">
              <w:rPr>
                <w:rFonts w:ascii="Times New Roman" w:eastAsia="Times New Roman" w:hAnsi="Times New Roman" w:cs="Times New Roman"/>
                <w:color w:val="000000" w:themeColor="text1"/>
                <w:spacing w:val="-4"/>
                <w:sz w:val="25"/>
                <w:szCs w:val="25"/>
              </w:rPr>
              <w:t>tiek</w:t>
            </w:r>
            <w:proofErr w:type="spellEnd"/>
            <w:r w:rsidR="004B022E" w:rsidRPr="003259B2">
              <w:rPr>
                <w:rFonts w:ascii="Times New Roman" w:eastAsia="Times New Roman" w:hAnsi="Times New Roman" w:cs="Times New Roman"/>
                <w:color w:val="000000" w:themeColor="text1"/>
                <w:spacing w:val="-4"/>
                <w:sz w:val="25"/>
                <w:szCs w:val="25"/>
              </w:rPr>
              <w:t xml:space="preserve"> </w:t>
            </w:r>
            <w:r w:rsidR="00777493" w:rsidRPr="003259B2">
              <w:rPr>
                <w:rFonts w:ascii="Times New Roman" w:hAnsi="Times New Roman" w:cs="Times New Roman"/>
                <w:sz w:val="25"/>
                <w:szCs w:val="25"/>
                <w:shd w:val="clear" w:color="auto" w:fill="FFFFFF"/>
                <w:lang w:val="lv-LV"/>
              </w:rPr>
              <w:t xml:space="preserve">precizēts </w:t>
            </w:r>
            <w:r w:rsidR="00610452" w:rsidRPr="003259B2">
              <w:rPr>
                <w:rFonts w:ascii="Times New Roman" w:hAnsi="Times New Roman" w:cs="Times New Roman"/>
                <w:sz w:val="25"/>
                <w:szCs w:val="25"/>
                <w:shd w:val="clear" w:color="auto" w:fill="FFFFFF"/>
                <w:lang w:val="lv-LV"/>
              </w:rPr>
              <w:t xml:space="preserve">80.panta </w:t>
            </w:r>
            <w:r w:rsidR="00266697" w:rsidRPr="003259B2">
              <w:rPr>
                <w:rFonts w:ascii="Times New Roman" w:hAnsi="Times New Roman" w:cs="Times New Roman"/>
                <w:sz w:val="25"/>
                <w:szCs w:val="25"/>
                <w:shd w:val="clear" w:color="auto" w:fill="FFFFFF"/>
                <w:lang w:val="lv-LV"/>
              </w:rPr>
              <w:t>pirmās daļas 1.punkts, nosakot, ka Ministru kabinets nosaka arī</w:t>
            </w:r>
            <w:r w:rsidR="00702109" w:rsidRPr="003259B2">
              <w:rPr>
                <w:rFonts w:ascii="Times New Roman" w:hAnsi="Times New Roman" w:cs="Times New Roman"/>
                <w:sz w:val="25"/>
                <w:szCs w:val="25"/>
                <w:shd w:val="clear" w:color="auto" w:fill="FFFFFF"/>
                <w:lang w:val="lv-LV"/>
              </w:rPr>
              <w:t xml:space="preserve"> minimālās prasības, kas jāievēro, lai novērstu no interaktīvajām izlozēm atkarīgo spēlētāju tālāku dalību interaktīvajās izlozēs</w:t>
            </w:r>
            <w:r w:rsidR="00266697" w:rsidRPr="003259B2">
              <w:rPr>
                <w:rFonts w:ascii="Times New Roman" w:hAnsi="Times New Roman" w:cs="Times New Roman"/>
                <w:sz w:val="25"/>
                <w:szCs w:val="25"/>
                <w:shd w:val="clear" w:color="auto" w:fill="FFFFFF"/>
                <w:lang w:val="lv-LV"/>
              </w:rPr>
              <w:t xml:space="preserve">, kā arī </w:t>
            </w:r>
            <w:r w:rsidR="00702109" w:rsidRPr="003259B2">
              <w:rPr>
                <w:rFonts w:ascii="Times New Roman" w:hAnsi="Times New Roman" w:cs="Times New Roman"/>
                <w:sz w:val="25"/>
                <w:szCs w:val="25"/>
                <w:shd w:val="clear" w:color="auto" w:fill="FFFFFF"/>
                <w:lang w:val="lv-LV"/>
              </w:rPr>
              <w:t>papildināt</w:t>
            </w:r>
            <w:r w:rsidR="00266697" w:rsidRPr="003259B2">
              <w:rPr>
                <w:rFonts w:ascii="Times New Roman" w:hAnsi="Times New Roman" w:cs="Times New Roman"/>
                <w:sz w:val="25"/>
                <w:szCs w:val="25"/>
                <w:shd w:val="clear" w:color="auto" w:fill="FFFFFF"/>
                <w:lang w:val="lv-LV"/>
              </w:rPr>
              <w:t>a pirmā daļa</w:t>
            </w:r>
            <w:r w:rsidR="00702109" w:rsidRPr="003259B2">
              <w:rPr>
                <w:rFonts w:ascii="Times New Roman" w:hAnsi="Times New Roman" w:cs="Times New Roman"/>
                <w:sz w:val="25"/>
                <w:szCs w:val="25"/>
                <w:shd w:val="clear" w:color="auto" w:fill="FFFFFF"/>
                <w:lang w:val="lv-LV"/>
              </w:rPr>
              <w:t xml:space="preserve"> ar 1.</w:t>
            </w:r>
            <w:r w:rsidR="00702109" w:rsidRPr="003259B2">
              <w:rPr>
                <w:rFonts w:ascii="Times New Roman" w:hAnsi="Times New Roman" w:cs="Times New Roman"/>
                <w:sz w:val="25"/>
                <w:szCs w:val="25"/>
                <w:shd w:val="clear" w:color="auto" w:fill="FFFFFF"/>
                <w:vertAlign w:val="superscript"/>
                <w:lang w:val="lv-LV"/>
              </w:rPr>
              <w:t>1</w:t>
            </w:r>
            <w:r w:rsidR="00702109" w:rsidRPr="003259B2">
              <w:rPr>
                <w:rFonts w:ascii="Times New Roman" w:hAnsi="Times New Roman" w:cs="Times New Roman"/>
                <w:sz w:val="25"/>
                <w:szCs w:val="25"/>
                <w:shd w:val="clear" w:color="auto" w:fill="FFFFFF"/>
                <w:lang w:val="lv-LV"/>
              </w:rPr>
              <w:t>punktu</w:t>
            </w:r>
            <w:r w:rsidR="00266697" w:rsidRPr="003259B2">
              <w:rPr>
                <w:rFonts w:ascii="Times New Roman" w:hAnsi="Times New Roman" w:cs="Times New Roman"/>
                <w:sz w:val="25"/>
                <w:szCs w:val="25"/>
                <w:shd w:val="clear" w:color="auto" w:fill="FFFFFF"/>
                <w:lang w:val="lv-LV"/>
              </w:rPr>
              <w:t xml:space="preserve">, kas nosaka, ka interaktīvo izložu </w:t>
            </w:r>
            <w:r w:rsidR="00777493" w:rsidRPr="003259B2">
              <w:rPr>
                <w:rFonts w:ascii="Times New Roman" w:hAnsi="Times New Roman" w:cs="Times New Roman"/>
                <w:sz w:val="25"/>
                <w:szCs w:val="25"/>
                <w:shd w:val="clear" w:color="auto" w:fill="FFFFFF"/>
                <w:lang w:val="lv-LV"/>
              </w:rPr>
              <w:t>organizētājs</w:t>
            </w:r>
            <w:r w:rsidR="00266697" w:rsidRPr="003259B2">
              <w:rPr>
                <w:rFonts w:ascii="Times New Roman" w:hAnsi="Times New Roman" w:cs="Times New Roman"/>
                <w:sz w:val="25"/>
                <w:szCs w:val="25"/>
                <w:shd w:val="clear" w:color="auto" w:fill="FFFFFF"/>
                <w:lang w:val="lv-LV"/>
              </w:rPr>
              <w:t xml:space="preserve"> nodrošina</w:t>
            </w:r>
            <w:r w:rsidR="00702109" w:rsidRPr="003259B2">
              <w:rPr>
                <w:rFonts w:ascii="Times New Roman" w:hAnsi="Times New Roman" w:cs="Times New Roman"/>
                <w:sz w:val="25"/>
                <w:szCs w:val="25"/>
                <w:shd w:val="clear" w:color="auto" w:fill="FFFFFF"/>
                <w:lang w:val="lv-LV"/>
              </w:rPr>
              <w:t xml:space="preserve"> i</w:t>
            </w:r>
            <w:r w:rsidR="00702109" w:rsidRPr="003259B2">
              <w:rPr>
                <w:rFonts w:ascii="Times New Roman" w:hAnsi="Times New Roman" w:cs="Times New Roman"/>
                <w:bCs/>
                <w:sz w:val="25"/>
                <w:szCs w:val="25"/>
                <w:shd w:val="clear" w:color="auto" w:fill="FFFFFF"/>
                <w:lang w:val="lv-LV"/>
              </w:rPr>
              <w:t>nteraktīvo izl</w:t>
            </w:r>
            <w:r w:rsidR="00266697" w:rsidRPr="003259B2">
              <w:rPr>
                <w:rFonts w:ascii="Times New Roman" w:hAnsi="Times New Roman" w:cs="Times New Roman"/>
                <w:bCs/>
                <w:sz w:val="25"/>
                <w:szCs w:val="25"/>
                <w:shd w:val="clear" w:color="auto" w:fill="FFFFFF"/>
                <w:lang w:val="lv-LV"/>
              </w:rPr>
              <w:t>ožu spēlētāju reģistra izveidi</w:t>
            </w:r>
            <w:r w:rsidR="00B95C6B" w:rsidRPr="003259B2">
              <w:rPr>
                <w:rFonts w:ascii="Times New Roman" w:hAnsi="Times New Roman" w:cs="Times New Roman"/>
                <w:bCs/>
                <w:sz w:val="25"/>
                <w:szCs w:val="25"/>
                <w:shd w:val="clear" w:color="auto" w:fill="FFFFFF"/>
                <w:lang w:val="lv-LV"/>
              </w:rPr>
              <w:t xml:space="preserve"> un uzturēšanu</w:t>
            </w:r>
            <w:r w:rsidR="005D3E99" w:rsidRPr="003259B2">
              <w:rPr>
                <w:rFonts w:ascii="Times New Roman" w:hAnsi="Times New Roman" w:cs="Times New Roman"/>
                <w:bCs/>
                <w:sz w:val="25"/>
                <w:szCs w:val="25"/>
                <w:shd w:val="clear" w:color="auto" w:fill="FFFFFF"/>
                <w:lang w:val="lv-LV"/>
              </w:rPr>
              <w:t>;</w:t>
            </w:r>
          </w:p>
          <w:p w:rsidR="00D669B7" w:rsidRPr="003259B2" w:rsidRDefault="00D669B7" w:rsidP="00777493">
            <w:pPr>
              <w:pStyle w:val="NoSpacing"/>
              <w:jc w:val="both"/>
              <w:rPr>
                <w:rFonts w:ascii="Times New Roman" w:hAnsi="Times New Roman" w:cs="Times New Roman"/>
                <w:bCs/>
                <w:sz w:val="25"/>
                <w:szCs w:val="25"/>
                <w:shd w:val="clear" w:color="auto" w:fill="FFFFFF"/>
                <w:lang w:val="lv-LV"/>
              </w:rPr>
            </w:pPr>
          </w:p>
          <w:p w:rsidR="008B633D" w:rsidRPr="003259B2" w:rsidRDefault="008B633D" w:rsidP="005D3E99">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 </w:t>
            </w:r>
            <w:r w:rsidR="005D3E99" w:rsidRPr="003259B2">
              <w:rPr>
                <w:rFonts w:ascii="Times New Roman" w:hAnsi="Times New Roman" w:cs="Times New Roman"/>
                <w:sz w:val="25"/>
                <w:szCs w:val="25"/>
              </w:rPr>
              <w:t>15.pantu tiek papildināti Likuma pārejas noteikumi ar</w:t>
            </w:r>
            <w:r w:rsidRPr="003259B2">
              <w:rPr>
                <w:rFonts w:ascii="Times New Roman" w:hAnsi="Times New Roman" w:cs="Times New Roman"/>
                <w:sz w:val="25"/>
                <w:szCs w:val="25"/>
              </w:rPr>
              <w:t>:</w:t>
            </w:r>
          </w:p>
          <w:p w:rsidR="00E842F3" w:rsidRPr="003259B2" w:rsidRDefault="008B633D" w:rsidP="005D3E99">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 </w:t>
            </w:r>
            <w:r w:rsidR="00AC4D89" w:rsidRPr="003259B2">
              <w:rPr>
                <w:rFonts w:ascii="Times New Roman" w:hAnsi="Times New Roman" w:cs="Times New Roman"/>
                <w:sz w:val="25"/>
                <w:szCs w:val="25"/>
              </w:rPr>
              <w:t xml:space="preserve"> </w:t>
            </w:r>
            <w:r w:rsidR="00037818" w:rsidRPr="003259B2">
              <w:rPr>
                <w:rFonts w:ascii="Times New Roman" w:hAnsi="Times New Roman" w:cs="Times New Roman"/>
                <w:sz w:val="25"/>
                <w:szCs w:val="25"/>
              </w:rPr>
              <w:t>25</w:t>
            </w:r>
            <w:r w:rsidR="005D3E99" w:rsidRPr="003259B2">
              <w:rPr>
                <w:rFonts w:ascii="Times New Roman" w:hAnsi="Times New Roman" w:cs="Times New Roman"/>
                <w:sz w:val="25"/>
                <w:szCs w:val="25"/>
              </w:rPr>
              <w:t xml:space="preserve">.punktu, kas nosaka, ka Ministru kabinets līdz 2018.gada 1.maijam izdod šā likuma </w:t>
            </w:r>
            <w:r w:rsidR="005D3E99" w:rsidRPr="003259B2">
              <w:rPr>
                <w:rFonts w:ascii="Times New Roman" w:hAnsi="Times New Roman" w:cs="Times New Roman"/>
                <w:bCs/>
                <w:sz w:val="25"/>
                <w:szCs w:val="25"/>
              </w:rPr>
              <w:t>54.</w:t>
            </w:r>
            <w:r w:rsidR="005D3E99" w:rsidRPr="003259B2">
              <w:rPr>
                <w:rFonts w:ascii="Times New Roman" w:hAnsi="Times New Roman" w:cs="Times New Roman"/>
                <w:sz w:val="25"/>
                <w:szCs w:val="25"/>
                <w:shd w:val="clear" w:color="auto" w:fill="FFFFFF"/>
                <w:vertAlign w:val="superscript"/>
              </w:rPr>
              <w:t>1</w:t>
            </w:r>
            <w:r w:rsidR="005D3E99" w:rsidRPr="003259B2">
              <w:rPr>
                <w:rFonts w:ascii="Times New Roman" w:hAnsi="Times New Roman" w:cs="Times New Roman"/>
                <w:bCs/>
                <w:sz w:val="25"/>
                <w:szCs w:val="25"/>
              </w:rPr>
              <w:t xml:space="preserve">panta </w:t>
            </w:r>
            <w:r w:rsidR="00247647" w:rsidRPr="003259B2">
              <w:rPr>
                <w:rFonts w:ascii="Times New Roman" w:hAnsi="Times New Roman" w:cs="Times New Roman"/>
                <w:bCs/>
                <w:sz w:val="25"/>
                <w:szCs w:val="25"/>
              </w:rPr>
              <w:t xml:space="preserve">astotajā </w:t>
            </w:r>
            <w:r w:rsidR="005D3E99" w:rsidRPr="003259B2">
              <w:rPr>
                <w:rFonts w:ascii="Times New Roman" w:hAnsi="Times New Roman" w:cs="Times New Roman"/>
                <w:bCs/>
                <w:sz w:val="25"/>
                <w:szCs w:val="25"/>
              </w:rPr>
              <w:t>daļā, 79.</w:t>
            </w:r>
            <w:r w:rsidR="005D3E99" w:rsidRPr="003259B2">
              <w:rPr>
                <w:rFonts w:ascii="Times New Roman" w:hAnsi="Times New Roman" w:cs="Times New Roman"/>
                <w:sz w:val="25"/>
                <w:szCs w:val="25"/>
                <w:shd w:val="clear" w:color="auto" w:fill="FFFFFF"/>
                <w:vertAlign w:val="superscript"/>
              </w:rPr>
              <w:t>1</w:t>
            </w:r>
            <w:r w:rsidR="005D3E99" w:rsidRPr="003259B2">
              <w:rPr>
                <w:rFonts w:ascii="Times New Roman" w:hAnsi="Times New Roman" w:cs="Times New Roman"/>
                <w:bCs/>
                <w:sz w:val="25"/>
                <w:szCs w:val="25"/>
              </w:rPr>
              <w:t xml:space="preserve">panta </w:t>
            </w:r>
            <w:r w:rsidR="00247647" w:rsidRPr="003259B2">
              <w:rPr>
                <w:rFonts w:ascii="Times New Roman" w:hAnsi="Times New Roman" w:cs="Times New Roman"/>
                <w:bCs/>
                <w:sz w:val="25"/>
                <w:szCs w:val="25"/>
              </w:rPr>
              <w:t xml:space="preserve">astotajā </w:t>
            </w:r>
            <w:r w:rsidR="005D3E99" w:rsidRPr="003259B2">
              <w:rPr>
                <w:rFonts w:ascii="Times New Roman" w:hAnsi="Times New Roman" w:cs="Times New Roman"/>
                <w:bCs/>
                <w:sz w:val="25"/>
                <w:szCs w:val="25"/>
              </w:rPr>
              <w:t>daļā un</w:t>
            </w:r>
            <w:r w:rsidR="005D3E99" w:rsidRPr="003259B2">
              <w:rPr>
                <w:rFonts w:ascii="Times New Roman" w:hAnsi="Times New Roman" w:cs="Times New Roman"/>
                <w:sz w:val="25"/>
                <w:szCs w:val="25"/>
              </w:rPr>
              <w:t xml:space="preserve"> 80.panta pirmās daļas 1.punktā minētos noteikumus</w:t>
            </w:r>
            <w:r w:rsidR="00CA5102" w:rsidRPr="003259B2">
              <w:rPr>
                <w:rFonts w:ascii="Times New Roman" w:hAnsi="Times New Roman" w:cs="Times New Roman"/>
                <w:sz w:val="25"/>
                <w:szCs w:val="25"/>
              </w:rPr>
              <w:t>.</w:t>
            </w:r>
          </w:p>
          <w:p w:rsidR="008B633D" w:rsidRPr="003259B2" w:rsidRDefault="000A1E4E" w:rsidP="005D3E99">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 </w:t>
            </w:r>
          </w:p>
          <w:p w:rsidR="00A474E5" w:rsidRPr="003259B2" w:rsidRDefault="008B633D" w:rsidP="00A474E5">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 xml:space="preserve"> </w:t>
            </w:r>
          </w:p>
          <w:p w:rsidR="00784735" w:rsidRPr="003259B2" w:rsidRDefault="00AE0F27" w:rsidP="00A34D49">
            <w:pPr>
              <w:shd w:val="clear" w:color="auto" w:fill="FFFFFF"/>
              <w:spacing w:after="0" w:line="240" w:lineRule="auto"/>
              <w:jc w:val="both"/>
              <w:rPr>
                <w:rFonts w:ascii="Times New Roman" w:hAnsi="Times New Roman" w:cs="Times New Roman"/>
                <w:sz w:val="25"/>
                <w:szCs w:val="25"/>
                <w:shd w:val="clear" w:color="auto" w:fill="FFFFFF"/>
              </w:rPr>
            </w:pPr>
            <w:r w:rsidRPr="003259B2">
              <w:rPr>
                <w:rFonts w:ascii="Times New Roman" w:eastAsia="Times New Roman" w:hAnsi="Times New Roman" w:cs="Times New Roman"/>
                <w:color w:val="000000" w:themeColor="text1"/>
                <w:spacing w:val="-4"/>
                <w:sz w:val="25"/>
                <w:szCs w:val="25"/>
              </w:rPr>
              <w:t xml:space="preserve">Ar likumprojekta </w:t>
            </w:r>
            <w:r w:rsidR="000A62C6" w:rsidRPr="003259B2">
              <w:rPr>
                <w:rFonts w:ascii="Times New Roman" w:eastAsia="Times New Roman" w:hAnsi="Times New Roman" w:cs="Times New Roman"/>
                <w:color w:val="000000" w:themeColor="text1"/>
                <w:spacing w:val="-4"/>
                <w:sz w:val="25"/>
                <w:szCs w:val="25"/>
              </w:rPr>
              <w:t>7</w:t>
            </w:r>
            <w:r w:rsidRPr="003259B2">
              <w:rPr>
                <w:rFonts w:ascii="Times New Roman" w:eastAsia="Times New Roman" w:hAnsi="Times New Roman" w:cs="Times New Roman"/>
                <w:color w:val="000000" w:themeColor="text1"/>
                <w:spacing w:val="-4"/>
                <w:sz w:val="25"/>
                <w:szCs w:val="25"/>
              </w:rPr>
              <w:t>.p</w:t>
            </w:r>
            <w:r w:rsidR="00BF1491" w:rsidRPr="003259B2">
              <w:rPr>
                <w:rFonts w:ascii="Times New Roman" w:eastAsia="Times New Roman" w:hAnsi="Times New Roman" w:cs="Times New Roman"/>
                <w:color w:val="000000" w:themeColor="text1"/>
                <w:spacing w:val="-4"/>
                <w:sz w:val="25"/>
                <w:szCs w:val="25"/>
              </w:rPr>
              <w:t>antu</w:t>
            </w:r>
            <w:r w:rsidRPr="003259B2">
              <w:rPr>
                <w:rFonts w:ascii="Times New Roman" w:eastAsia="Times New Roman" w:hAnsi="Times New Roman" w:cs="Times New Roman"/>
                <w:color w:val="000000" w:themeColor="text1"/>
                <w:spacing w:val="-4"/>
                <w:sz w:val="25"/>
                <w:szCs w:val="25"/>
              </w:rPr>
              <w:t xml:space="preserve"> </w:t>
            </w:r>
            <w:r w:rsidR="00B90B74" w:rsidRPr="003259B2">
              <w:rPr>
                <w:rFonts w:ascii="Times New Roman" w:eastAsia="Times New Roman" w:hAnsi="Times New Roman" w:cs="Times New Roman"/>
                <w:color w:val="000000" w:themeColor="text1"/>
                <w:spacing w:val="-4"/>
                <w:sz w:val="25"/>
                <w:szCs w:val="25"/>
              </w:rPr>
              <w:t>tiek papildin</w:t>
            </w:r>
            <w:r w:rsidR="00840101" w:rsidRPr="003259B2">
              <w:rPr>
                <w:rFonts w:ascii="Times New Roman" w:eastAsia="Times New Roman" w:hAnsi="Times New Roman" w:cs="Times New Roman"/>
                <w:color w:val="000000" w:themeColor="text1"/>
                <w:spacing w:val="-4"/>
                <w:sz w:val="25"/>
                <w:szCs w:val="25"/>
              </w:rPr>
              <w:t xml:space="preserve">āts </w:t>
            </w:r>
            <w:r w:rsidR="00A34D49" w:rsidRPr="003259B2">
              <w:rPr>
                <w:rFonts w:ascii="Times New Roman" w:eastAsia="Times New Roman" w:hAnsi="Times New Roman" w:cs="Times New Roman"/>
                <w:color w:val="000000" w:themeColor="text1"/>
                <w:spacing w:val="-4"/>
                <w:sz w:val="25"/>
                <w:szCs w:val="25"/>
              </w:rPr>
              <w:t xml:space="preserve">Likuma 56.pants </w:t>
            </w:r>
            <w:r w:rsidR="00840101" w:rsidRPr="003259B2">
              <w:rPr>
                <w:rFonts w:ascii="Times New Roman" w:eastAsia="Times New Roman" w:hAnsi="Times New Roman" w:cs="Times New Roman"/>
                <w:color w:val="000000" w:themeColor="text1"/>
                <w:spacing w:val="-4"/>
                <w:sz w:val="25"/>
                <w:szCs w:val="25"/>
              </w:rPr>
              <w:t>ar 4.punktu, sakārtojot normatīvo regulējumu attiecībā uz datu glabāšanu, nosakot, ka attiecīgā informācija</w:t>
            </w:r>
            <w:r w:rsidR="00840101" w:rsidRPr="003259B2">
              <w:rPr>
                <w:rFonts w:ascii="Times New Roman" w:hAnsi="Times New Roman" w:cs="Times New Roman"/>
                <w:sz w:val="25"/>
                <w:szCs w:val="25"/>
                <w:shd w:val="clear" w:color="auto" w:fill="FFFFFF"/>
              </w:rPr>
              <w:t xml:space="preserve"> par katru veiksmes spēles pa tālruni izspēli tiek uzglabāta piecus gadus.</w:t>
            </w:r>
          </w:p>
          <w:p w:rsidR="00A34D49" w:rsidRPr="003259B2" w:rsidRDefault="00A34D49" w:rsidP="00A34D49">
            <w:pPr>
              <w:shd w:val="clear" w:color="auto" w:fill="FFFFFF"/>
              <w:spacing w:after="0" w:line="240" w:lineRule="auto"/>
              <w:jc w:val="both"/>
              <w:rPr>
                <w:sz w:val="25"/>
                <w:szCs w:val="25"/>
              </w:rPr>
            </w:pPr>
          </w:p>
        </w:tc>
      </w:tr>
      <w:tr w:rsidR="00242A1C" w:rsidRPr="003259B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259B2" w:rsidRDefault="005652CF" w:rsidP="00894C55">
            <w:pPr>
              <w:spacing w:before="100" w:beforeAutospacing="1" w:after="100" w:afterAutospacing="1" w:line="293" w:lineRule="atLeast"/>
              <w:jc w:val="center"/>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259B2" w:rsidRDefault="00894C55" w:rsidP="00894C55">
            <w:pPr>
              <w:spacing w:after="0" w:line="240" w:lineRule="auto"/>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259B2" w:rsidRDefault="00FA4339" w:rsidP="00860798">
            <w:pPr>
              <w:spacing w:after="0" w:line="240" w:lineRule="auto"/>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pacing w:val="-4"/>
                <w:sz w:val="25"/>
                <w:szCs w:val="25"/>
              </w:rPr>
              <w:t>Izložu un azartspēļu uzraudzības inspekcija</w:t>
            </w:r>
            <w:r w:rsidR="00D75177" w:rsidRPr="003259B2">
              <w:rPr>
                <w:rFonts w:ascii="Times New Roman" w:eastAsia="Times New Roman" w:hAnsi="Times New Roman" w:cs="Times New Roman"/>
                <w:color w:val="000000" w:themeColor="text1"/>
                <w:spacing w:val="-4"/>
                <w:sz w:val="25"/>
                <w:szCs w:val="25"/>
              </w:rPr>
              <w:t>.</w:t>
            </w:r>
          </w:p>
        </w:tc>
      </w:tr>
      <w:tr w:rsidR="00894C55" w:rsidRPr="003259B2"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259B2"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259B2" w:rsidRDefault="00894C55" w:rsidP="00894C55">
            <w:pPr>
              <w:spacing w:after="0" w:line="240" w:lineRule="auto"/>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259B2" w:rsidRDefault="00F81D97" w:rsidP="00F81D97">
            <w:pPr>
              <w:spacing w:after="0" w:line="240" w:lineRule="auto"/>
              <w:rPr>
                <w:rFonts w:ascii="Times New Roman" w:eastAsia="Times New Roman" w:hAnsi="Times New Roman" w:cs="Times New Roman"/>
                <w:color w:val="000000" w:themeColor="text1"/>
                <w:sz w:val="25"/>
                <w:szCs w:val="25"/>
                <w:lang w:eastAsia="lv-LV"/>
              </w:rPr>
            </w:pPr>
            <w:r w:rsidRPr="003259B2">
              <w:rPr>
                <w:rFonts w:ascii="Times New Roman" w:eastAsia="Times New Roman" w:hAnsi="Times New Roman" w:cs="Times New Roman"/>
                <w:color w:val="000000" w:themeColor="text1"/>
                <w:sz w:val="25"/>
                <w:szCs w:val="25"/>
                <w:lang w:eastAsia="lv-LV"/>
              </w:rPr>
              <w:t>Nav</w:t>
            </w:r>
          </w:p>
        </w:tc>
      </w:tr>
    </w:tbl>
    <w:p w:rsidR="006D0220" w:rsidRPr="003259B2" w:rsidRDefault="006D0220" w:rsidP="006D0220">
      <w:pPr>
        <w:spacing w:after="0" w:line="240" w:lineRule="auto"/>
        <w:rPr>
          <w:rFonts w:ascii="Times New Roman" w:hAnsi="Times New Roman" w:cs="Times New Roman"/>
          <w:color w:val="000000" w:themeColor="text1"/>
          <w:sz w:val="25"/>
          <w:szCs w:val="25"/>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5"/>
        <w:gridCol w:w="3010"/>
        <w:gridCol w:w="5642"/>
      </w:tblGrid>
      <w:tr w:rsidR="006D0220" w:rsidRPr="003259B2" w:rsidTr="006D0220">
        <w:trPr>
          <w:jc w:val="center"/>
        </w:trPr>
        <w:tc>
          <w:tcPr>
            <w:tcW w:w="9067" w:type="dxa"/>
            <w:gridSpan w:val="3"/>
          </w:tcPr>
          <w:p w:rsidR="006D0220" w:rsidRPr="003259B2" w:rsidRDefault="006D0220" w:rsidP="00944AD6">
            <w:pPr>
              <w:pStyle w:val="naisnod"/>
              <w:spacing w:before="0" w:after="60"/>
              <w:rPr>
                <w:sz w:val="25"/>
                <w:szCs w:val="25"/>
              </w:rPr>
            </w:pPr>
            <w:r w:rsidRPr="003259B2">
              <w:rPr>
                <w:sz w:val="25"/>
                <w:szCs w:val="25"/>
              </w:rPr>
              <w:t>II.</w:t>
            </w:r>
            <w:r w:rsidRPr="003259B2">
              <w:rPr>
                <w:bCs w:val="0"/>
                <w:sz w:val="25"/>
                <w:szCs w:val="25"/>
              </w:rPr>
              <w:t xml:space="preserve"> Tiesību akta projekta ietekme uz sabiedrību, tautsaimniecības attīstību un administratīvo slogu</w:t>
            </w:r>
          </w:p>
        </w:tc>
      </w:tr>
      <w:tr w:rsidR="006D0220" w:rsidRPr="003259B2" w:rsidTr="006D0220">
        <w:trPr>
          <w:jc w:val="center"/>
        </w:trPr>
        <w:tc>
          <w:tcPr>
            <w:tcW w:w="415" w:type="dxa"/>
          </w:tcPr>
          <w:p w:rsidR="006D0220" w:rsidRPr="003259B2" w:rsidRDefault="006D0220" w:rsidP="00944AD6">
            <w:pPr>
              <w:pStyle w:val="naiskr"/>
              <w:tabs>
                <w:tab w:val="left" w:pos="2628"/>
              </w:tabs>
              <w:spacing w:before="0" w:after="0"/>
              <w:jc w:val="center"/>
              <w:rPr>
                <w:iCs/>
                <w:sz w:val="25"/>
                <w:szCs w:val="25"/>
              </w:rPr>
            </w:pPr>
            <w:r w:rsidRPr="003259B2">
              <w:rPr>
                <w:iCs/>
                <w:sz w:val="25"/>
                <w:szCs w:val="25"/>
              </w:rPr>
              <w:t>1.</w:t>
            </w:r>
          </w:p>
        </w:tc>
        <w:tc>
          <w:tcPr>
            <w:tcW w:w="3010" w:type="dxa"/>
          </w:tcPr>
          <w:p w:rsidR="006D0220" w:rsidRPr="003259B2" w:rsidRDefault="006D0220" w:rsidP="00944AD6">
            <w:pPr>
              <w:pStyle w:val="naiskr"/>
              <w:spacing w:before="0" w:after="0"/>
              <w:rPr>
                <w:iCs/>
                <w:sz w:val="25"/>
                <w:szCs w:val="25"/>
              </w:rPr>
            </w:pPr>
            <w:r w:rsidRPr="003259B2">
              <w:rPr>
                <w:sz w:val="25"/>
                <w:szCs w:val="25"/>
              </w:rPr>
              <w:t xml:space="preserve">Sabiedrības </w:t>
            </w:r>
            <w:proofErr w:type="spellStart"/>
            <w:r w:rsidRPr="003259B2">
              <w:rPr>
                <w:sz w:val="25"/>
                <w:szCs w:val="25"/>
              </w:rPr>
              <w:t>mērķgrupas</w:t>
            </w:r>
            <w:proofErr w:type="spellEnd"/>
            <w:r w:rsidRPr="003259B2">
              <w:rPr>
                <w:sz w:val="25"/>
                <w:szCs w:val="25"/>
              </w:rPr>
              <w:t>, kuras tiesiskais regulējums ietekmē vai varētu ietekmēt</w:t>
            </w:r>
          </w:p>
        </w:tc>
        <w:tc>
          <w:tcPr>
            <w:tcW w:w="5642" w:type="dxa"/>
          </w:tcPr>
          <w:p w:rsidR="00BF335B" w:rsidRPr="003259B2" w:rsidRDefault="0032387F" w:rsidP="00AF4C31">
            <w:pPr>
              <w:pStyle w:val="naiskr"/>
              <w:tabs>
                <w:tab w:val="left" w:pos="2628"/>
              </w:tabs>
              <w:spacing w:before="0" w:after="0"/>
              <w:jc w:val="both"/>
              <w:rPr>
                <w:sz w:val="25"/>
                <w:szCs w:val="25"/>
              </w:rPr>
            </w:pPr>
            <w:r w:rsidRPr="003259B2">
              <w:rPr>
                <w:sz w:val="25"/>
                <w:szCs w:val="25"/>
              </w:rPr>
              <w:t>Izložu un azartspēļu uzraudzības inspekcija</w:t>
            </w:r>
            <w:r w:rsidR="000F108A" w:rsidRPr="003259B2">
              <w:rPr>
                <w:sz w:val="25"/>
                <w:szCs w:val="25"/>
              </w:rPr>
              <w:t>, Valsts ieņēmumu dienests</w:t>
            </w:r>
            <w:r w:rsidRPr="003259B2">
              <w:rPr>
                <w:sz w:val="25"/>
                <w:szCs w:val="25"/>
              </w:rPr>
              <w:t>,  kapitālsabiedrības, kas organizē interaktīvās azartspēles</w:t>
            </w:r>
            <w:r w:rsidR="00B61960" w:rsidRPr="003259B2">
              <w:rPr>
                <w:sz w:val="25"/>
                <w:szCs w:val="25"/>
              </w:rPr>
              <w:t>,</w:t>
            </w:r>
            <w:r w:rsidRPr="003259B2">
              <w:rPr>
                <w:sz w:val="25"/>
                <w:szCs w:val="25"/>
              </w:rPr>
              <w:t xml:space="preserve"> </w:t>
            </w:r>
            <w:r w:rsidR="00BF335B" w:rsidRPr="003259B2">
              <w:rPr>
                <w:sz w:val="25"/>
                <w:szCs w:val="25"/>
              </w:rPr>
              <w:t xml:space="preserve"> un VAS “Latvijas Loto”.</w:t>
            </w:r>
          </w:p>
          <w:p w:rsidR="0063394D" w:rsidRPr="003259B2" w:rsidRDefault="00476CDA" w:rsidP="00AF4C31">
            <w:pPr>
              <w:pStyle w:val="NoSpacing"/>
              <w:jc w:val="both"/>
              <w:rPr>
                <w:rFonts w:ascii="Times New Roman" w:hAnsi="Times New Roman" w:cs="Times New Roman"/>
                <w:sz w:val="25"/>
                <w:szCs w:val="25"/>
                <w:lang w:val="lv-LV"/>
              </w:rPr>
            </w:pPr>
            <w:proofErr w:type="spellStart"/>
            <w:r w:rsidRPr="003259B2">
              <w:rPr>
                <w:rFonts w:ascii="Times New Roman" w:hAnsi="Times New Roman" w:cs="Times New Roman"/>
                <w:sz w:val="25"/>
                <w:szCs w:val="25"/>
              </w:rPr>
              <w:t>A</w:t>
            </w:r>
            <w:r w:rsidR="003E7C1B" w:rsidRPr="003259B2">
              <w:rPr>
                <w:rFonts w:ascii="Times New Roman" w:hAnsi="Times New Roman" w:cs="Times New Roman"/>
                <w:sz w:val="25"/>
                <w:szCs w:val="25"/>
              </w:rPr>
              <w:t>zartspēļu</w:t>
            </w:r>
            <w:proofErr w:type="spellEnd"/>
            <w:r w:rsidR="003E7C1B" w:rsidRPr="003259B2">
              <w:rPr>
                <w:rFonts w:ascii="Times New Roman" w:hAnsi="Times New Roman" w:cs="Times New Roman"/>
                <w:sz w:val="25"/>
                <w:szCs w:val="25"/>
              </w:rPr>
              <w:t xml:space="preserve"> </w:t>
            </w:r>
            <w:proofErr w:type="spellStart"/>
            <w:r w:rsidR="003E7C1B" w:rsidRPr="003259B2">
              <w:rPr>
                <w:rFonts w:ascii="Times New Roman" w:hAnsi="Times New Roman" w:cs="Times New Roman"/>
                <w:sz w:val="25"/>
                <w:szCs w:val="25"/>
              </w:rPr>
              <w:t>pakalpojumu</w:t>
            </w:r>
            <w:proofErr w:type="spellEnd"/>
            <w:r w:rsidR="003E7C1B" w:rsidRPr="003259B2">
              <w:rPr>
                <w:rFonts w:ascii="Times New Roman" w:hAnsi="Times New Roman" w:cs="Times New Roman"/>
                <w:sz w:val="25"/>
                <w:szCs w:val="25"/>
              </w:rPr>
              <w:t xml:space="preserve"> </w:t>
            </w:r>
            <w:proofErr w:type="spellStart"/>
            <w:r w:rsidR="003E7C1B" w:rsidRPr="003259B2">
              <w:rPr>
                <w:rFonts w:ascii="Times New Roman" w:hAnsi="Times New Roman" w:cs="Times New Roman"/>
                <w:sz w:val="25"/>
                <w:szCs w:val="25"/>
              </w:rPr>
              <w:t>sniedzēj</w:t>
            </w:r>
            <w:r w:rsidR="004841D4" w:rsidRPr="003259B2">
              <w:rPr>
                <w:rFonts w:ascii="Times New Roman" w:hAnsi="Times New Roman" w:cs="Times New Roman"/>
                <w:sz w:val="25"/>
                <w:szCs w:val="25"/>
              </w:rPr>
              <w:t>i</w:t>
            </w:r>
            <w:proofErr w:type="spellEnd"/>
            <w:r w:rsidR="004841D4" w:rsidRPr="003259B2">
              <w:rPr>
                <w:rFonts w:ascii="Times New Roman" w:hAnsi="Times New Roman" w:cs="Times New Roman"/>
                <w:sz w:val="25"/>
                <w:szCs w:val="25"/>
              </w:rPr>
              <w:t xml:space="preserve"> (</w:t>
            </w:r>
            <w:proofErr w:type="spellStart"/>
            <w:r w:rsidR="00383B0F" w:rsidRPr="003259B2">
              <w:rPr>
                <w:rFonts w:ascii="Times New Roman" w:hAnsi="Times New Roman" w:cs="Times New Roman"/>
                <w:sz w:val="25"/>
                <w:szCs w:val="25"/>
              </w:rPr>
              <w:t>Pašlaik</w:t>
            </w:r>
            <w:proofErr w:type="spellEnd"/>
            <w:r w:rsidR="00383B0F" w:rsidRPr="003259B2">
              <w:rPr>
                <w:rFonts w:ascii="Times New Roman" w:hAnsi="Times New Roman" w:cs="Times New Roman"/>
                <w:sz w:val="25"/>
                <w:szCs w:val="25"/>
              </w:rPr>
              <w:t xml:space="preserve"> </w:t>
            </w:r>
            <w:proofErr w:type="spellStart"/>
            <w:r w:rsidR="00383B0F" w:rsidRPr="003259B2">
              <w:rPr>
                <w:rFonts w:ascii="Times New Roman" w:hAnsi="Times New Roman" w:cs="Times New Roman"/>
                <w:sz w:val="25"/>
                <w:szCs w:val="25"/>
              </w:rPr>
              <w:t>Latvijā</w:t>
            </w:r>
            <w:proofErr w:type="spellEnd"/>
            <w:r w:rsidR="00383B0F" w:rsidRPr="003259B2">
              <w:rPr>
                <w:rFonts w:ascii="Times New Roman" w:hAnsi="Times New Roman" w:cs="Times New Roman"/>
                <w:sz w:val="25"/>
                <w:szCs w:val="25"/>
              </w:rPr>
              <w:t xml:space="preserve"> </w:t>
            </w:r>
            <w:proofErr w:type="spellStart"/>
            <w:r w:rsidR="00383B0F" w:rsidRPr="003259B2">
              <w:rPr>
                <w:rFonts w:ascii="Times New Roman" w:hAnsi="Times New Roman" w:cs="Times New Roman"/>
                <w:sz w:val="25"/>
                <w:szCs w:val="25"/>
              </w:rPr>
              <w:t>konstatēti</w:t>
            </w:r>
            <w:proofErr w:type="spellEnd"/>
            <w:r w:rsidR="00383B0F" w:rsidRPr="003259B2">
              <w:rPr>
                <w:rFonts w:ascii="Times New Roman" w:hAnsi="Times New Roman" w:cs="Times New Roman"/>
                <w:sz w:val="25"/>
                <w:szCs w:val="25"/>
              </w:rPr>
              <w:t xml:space="preserve"> 7 </w:t>
            </w:r>
            <w:proofErr w:type="spellStart"/>
            <w:r w:rsidR="00383B0F" w:rsidRPr="003259B2">
              <w:rPr>
                <w:rFonts w:ascii="Times New Roman" w:hAnsi="Times New Roman" w:cs="Times New Roman"/>
                <w:sz w:val="25"/>
                <w:szCs w:val="25"/>
              </w:rPr>
              <w:t>azartspēļu</w:t>
            </w:r>
            <w:proofErr w:type="spellEnd"/>
            <w:r w:rsidR="00383B0F" w:rsidRPr="003259B2">
              <w:rPr>
                <w:rFonts w:ascii="Times New Roman" w:hAnsi="Times New Roman" w:cs="Times New Roman"/>
                <w:sz w:val="25"/>
                <w:szCs w:val="25"/>
              </w:rPr>
              <w:t xml:space="preserve"> </w:t>
            </w:r>
            <w:proofErr w:type="spellStart"/>
            <w:r w:rsidR="00383B0F" w:rsidRPr="003259B2">
              <w:rPr>
                <w:rFonts w:ascii="Times New Roman" w:hAnsi="Times New Roman" w:cs="Times New Roman"/>
                <w:sz w:val="25"/>
                <w:szCs w:val="25"/>
              </w:rPr>
              <w:t>pakalpojumu</w:t>
            </w:r>
            <w:proofErr w:type="spellEnd"/>
            <w:r w:rsidR="00383B0F" w:rsidRPr="003259B2">
              <w:rPr>
                <w:rFonts w:ascii="Times New Roman" w:hAnsi="Times New Roman" w:cs="Times New Roman"/>
                <w:sz w:val="25"/>
                <w:szCs w:val="25"/>
              </w:rPr>
              <w:t xml:space="preserve"> </w:t>
            </w:r>
            <w:proofErr w:type="spellStart"/>
            <w:r w:rsidR="00383B0F" w:rsidRPr="003259B2">
              <w:rPr>
                <w:rFonts w:ascii="Times New Roman" w:hAnsi="Times New Roman" w:cs="Times New Roman"/>
                <w:sz w:val="25"/>
                <w:szCs w:val="25"/>
              </w:rPr>
              <w:t>sniedzēji</w:t>
            </w:r>
            <w:proofErr w:type="spellEnd"/>
            <w:r w:rsidR="00383B0F" w:rsidRPr="003259B2">
              <w:rPr>
                <w:rFonts w:ascii="Times New Roman" w:hAnsi="Times New Roman" w:cs="Times New Roman"/>
                <w:sz w:val="25"/>
                <w:szCs w:val="25"/>
              </w:rPr>
              <w:t>.</w:t>
            </w:r>
            <w:r w:rsidR="004841D4" w:rsidRPr="003259B2">
              <w:rPr>
                <w:rFonts w:ascii="Times New Roman" w:hAnsi="Times New Roman" w:cs="Times New Roman"/>
                <w:sz w:val="25"/>
                <w:szCs w:val="25"/>
              </w:rPr>
              <w:t>)</w:t>
            </w:r>
            <w:r w:rsidR="00AF4C31" w:rsidRPr="003259B2">
              <w:rPr>
                <w:rFonts w:ascii="Times New Roman" w:hAnsi="Times New Roman" w:cs="Times New Roman"/>
                <w:sz w:val="25"/>
                <w:szCs w:val="25"/>
                <w:lang w:val="lv-LV"/>
              </w:rPr>
              <w:t>.</w:t>
            </w:r>
          </w:p>
          <w:p w:rsidR="006D0220" w:rsidRPr="003259B2" w:rsidRDefault="00B61960" w:rsidP="00B61960">
            <w:pPr>
              <w:pStyle w:val="naiskr"/>
              <w:tabs>
                <w:tab w:val="left" w:pos="2628"/>
              </w:tabs>
              <w:spacing w:before="0" w:after="0"/>
              <w:jc w:val="both"/>
              <w:rPr>
                <w:sz w:val="25"/>
                <w:szCs w:val="25"/>
              </w:rPr>
            </w:pPr>
            <w:r w:rsidRPr="003259B2">
              <w:rPr>
                <w:sz w:val="25"/>
                <w:szCs w:val="25"/>
              </w:rPr>
              <w:t>Interaktīvo a</w:t>
            </w:r>
            <w:r w:rsidR="006D0220" w:rsidRPr="003259B2">
              <w:rPr>
                <w:sz w:val="25"/>
                <w:szCs w:val="25"/>
              </w:rPr>
              <w:t xml:space="preserve">zartspēļu un </w:t>
            </w:r>
            <w:r w:rsidRPr="003259B2">
              <w:rPr>
                <w:sz w:val="25"/>
                <w:szCs w:val="25"/>
              </w:rPr>
              <w:t xml:space="preserve">interaktīvo </w:t>
            </w:r>
            <w:r w:rsidR="006D0220" w:rsidRPr="003259B2">
              <w:rPr>
                <w:sz w:val="25"/>
                <w:szCs w:val="25"/>
              </w:rPr>
              <w:t xml:space="preserve">izložu organizētāju </w:t>
            </w:r>
            <w:r w:rsidR="00476CDA" w:rsidRPr="003259B2">
              <w:rPr>
                <w:sz w:val="25"/>
                <w:szCs w:val="25"/>
              </w:rPr>
              <w:t xml:space="preserve">klienti, </w:t>
            </w:r>
            <w:r w:rsidR="0053668D" w:rsidRPr="003259B2">
              <w:rPr>
                <w:sz w:val="25"/>
                <w:szCs w:val="25"/>
              </w:rPr>
              <w:t>a</w:t>
            </w:r>
            <w:r w:rsidR="00476CDA" w:rsidRPr="003259B2">
              <w:rPr>
                <w:sz w:val="25"/>
                <w:szCs w:val="25"/>
              </w:rPr>
              <w:t>zartspēļu pakalpojumu</w:t>
            </w:r>
            <w:r w:rsidR="0053668D" w:rsidRPr="003259B2">
              <w:rPr>
                <w:sz w:val="25"/>
                <w:szCs w:val="25"/>
              </w:rPr>
              <w:t xml:space="preserve"> sniedzēja klienti.</w:t>
            </w:r>
          </w:p>
        </w:tc>
      </w:tr>
      <w:tr w:rsidR="006D0220" w:rsidRPr="003259B2" w:rsidTr="006D0220">
        <w:trPr>
          <w:jc w:val="center"/>
        </w:trPr>
        <w:tc>
          <w:tcPr>
            <w:tcW w:w="415" w:type="dxa"/>
          </w:tcPr>
          <w:p w:rsidR="006D0220" w:rsidRPr="003259B2" w:rsidRDefault="006D0220" w:rsidP="00944AD6">
            <w:pPr>
              <w:pStyle w:val="naiskr"/>
              <w:tabs>
                <w:tab w:val="left" w:pos="2628"/>
              </w:tabs>
              <w:spacing w:before="0" w:after="0"/>
              <w:jc w:val="center"/>
              <w:rPr>
                <w:iCs/>
                <w:sz w:val="25"/>
                <w:szCs w:val="25"/>
              </w:rPr>
            </w:pPr>
            <w:r w:rsidRPr="003259B2">
              <w:rPr>
                <w:iCs/>
                <w:sz w:val="25"/>
                <w:szCs w:val="25"/>
              </w:rPr>
              <w:t>2.</w:t>
            </w:r>
          </w:p>
        </w:tc>
        <w:tc>
          <w:tcPr>
            <w:tcW w:w="3010" w:type="dxa"/>
          </w:tcPr>
          <w:p w:rsidR="006D0220" w:rsidRPr="003259B2" w:rsidRDefault="006D0220" w:rsidP="00944AD6">
            <w:pPr>
              <w:pStyle w:val="naiskr"/>
              <w:spacing w:before="0" w:after="0"/>
              <w:rPr>
                <w:sz w:val="25"/>
                <w:szCs w:val="25"/>
              </w:rPr>
            </w:pPr>
            <w:r w:rsidRPr="003259B2">
              <w:rPr>
                <w:sz w:val="25"/>
                <w:szCs w:val="25"/>
              </w:rPr>
              <w:t>Tiesiskā regulējuma ietekme uz tautsaimniecību un administratīvo slogu</w:t>
            </w:r>
          </w:p>
        </w:tc>
        <w:tc>
          <w:tcPr>
            <w:tcW w:w="5642" w:type="dxa"/>
          </w:tcPr>
          <w:p w:rsidR="00A4419D" w:rsidRPr="003259B2" w:rsidRDefault="00070556" w:rsidP="00B61960">
            <w:pPr>
              <w:pStyle w:val="naiskr"/>
              <w:tabs>
                <w:tab w:val="left" w:pos="2628"/>
              </w:tabs>
              <w:spacing w:before="0" w:after="120"/>
              <w:jc w:val="both"/>
              <w:rPr>
                <w:iCs/>
                <w:sz w:val="25"/>
                <w:szCs w:val="25"/>
              </w:rPr>
            </w:pPr>
            <w:r w:rsidRPr="003259B2">
              <w:rPr>
                <w:iCs/>
                <w:sz w:val="25"/>
                <w:szCs w:val="25"/>
              </w:rPr>
              <w:t xml:space="preserve">Likumprojekts radīs </w:t>
            </w:r>
            <w:r w:rsidR="00610452" w:rsidRPr="003259B2">
              <w:rPr>
                <w:iCs/>
                <w:sz w:val="25"/>
                <w:szCs w:val="25"/>
              </w:rPr>
              <w:t xml:space="preserve">nenozīmīgu administratīvu slogu </w:t>
            </w:r>
            <w:r w:rsidRPr="003259B2">
              <w:rPr>
                <w:iCs/>
                <w:sz w:val="25"/>
                <w:szCs w:val="25"/>
              </w:rPr>
              <w:t xml:space="preserve">Izložu un azartspēļu uzraudzības inspekcijai saistībā ar </w:t>
            </w:r>
            <w:r w:rsidRPr="003259B2">
              <w:rPr>
                <w:sz w:val="25"/>
                <w:szCs w:val="25"/>
              </w:rPr>
              <w:t xml:space="preserve">azartspēļu pakalpojumu </w:t>
            </w:r>
            <w:r w:rsidR="00610452" w:rsidRPr="003259B2">
              <w:rPr>
                <w:sz w:val="25"/>
                <w:szCs w:val="25"/>
              </w:rPr>
              <w:t xml:space="preserve">sniedzēju licencēšanu un uzraudzību, jo šobrīd ir </w:t>
            </w:r>
            <w:r w:rsidR="00B61960" w:rsidRPr="003259B2">
              <w:rPr>
                <w:sz w:val="25"/>
                <w:szCs w:val="25"/>
              </w:rPr>
              <w:t xml:space="preserve">apzināti </w:t>
            </w:r>
            <w:r w:rsidR="00610452" w:rsidRPr="003259B2">
              <w:rPr>
                <w:sz w:val="25"/>
                <w:szCs w:val="25"/>
              </w:rPr>
              <w:t xml:space="preserve">tikai 7 </w:t>
            </w:r>
            <w:r w:rsidR="007A3EE2" w:rsidRPr="003259B2">
              <w:rPr>
                <w:sz w:val="25"/>
                <w:szCs w:val="25"/>
              </w:rPr>
              <w:t>š</w:t>
            </w:r>
            <w:r w:rsidR="00610452" w:rsidRPr="003259B2">
              <w:rPr>
                <w:sz w:val="25"/>
                <w:szCs w:val="25"/>
              </w:rPr>
              <w:t xml:space="preserve">ādi komersanti un izvirzītās prasības ir minimālas, galvenokārt, lai identificētu azartspēļu nodokļa maksātājus. </w:t>
            </w:r>
            <w:r w:rsidR="00A4419D" w:rsidRPr="003259B2">
              <w:rPr>
                <w:iCs/>
                <w:sz w:val="25"/>
                <w:szCs w:val="25"/>
              </w:rPr>
              <w:t xml:space="preserve">Likumprojektā paredzēts, ka azartspēļu pakalpojumu sniedzējiem katru </w:t>
            </w:r>
            <w:r w:rsidR="00610452" w:rsidRPr="003259B2">
              <w:rPr>
                <w:iCs/>
                <w:sz w:val="25"/>
                <w:szCs w:val="25"/>
              </w:rPr>
              <w:t>gadu</w:t>
            </w:r>
            <w:r w:rsidR="00A4419D" w:rsidRPr="003259B2">
              <w:rPr>
                <w:iCs/>
                <w:sz w:val="25"/>
                <w:szCs w:val="25"/>
              </w:rPr>
              <w:t xml:space="preserve"> jāiesniedz </w:t>
            </w:r>
            <w:r w:rsidR="00610452" w:rsidRPr="003259B2">
              <w:rPr>
                <w:iCs/>
                <w:sz w:val="25"/>
                <w:szCs w:val="25"/>
              </w:rPr>
              <w:t>informācija licences saņemšanai vai p</w:t>
            </w:r>
            <w:r w:rsidR="007A3EE2" w:rsidRPr="003259B2">
              <w:rPr>
                <w:iCs/>
                <w:sz w:val="25"/>
                <w:szCs w:val="25"/>
              </w:rPr>
              <w:t>ār</w:t>
            </w:r>
            <w:r w:rsidR="00610452" w:rsidRPr="003259B2">
              <w:rPr>
                <w:iCs/>
                <w:sz w:val="25"/>
                <w:szCs w:val="25"/>
              </w:rPr>
              <w:t>reģistrācijai (informācijas apjoms ir nebūtisks)</w:t>
            </w:r>
            <w:r w:rsidR="00BD1517" w:rsidRPr="003259B2">
              <w:rPr>
                <w:iCs/>
                <w:sz w:val="25"/>
                <w:szCs w:val="25"/>
              </w:rPr>
              <w:t>.</w:t>
            </w:r>
            <w:r w:rsidR="00610452" w:rsidRPr="003259B2">
              <w:rPr>
                <w:iCs/>
                <w:sz w:val="25"/>
                <w:szCs w:val="25"/>
              </w:rPr>
              <w:t xml:space="preserve"> </w:t>
            </w:r>
            <w:r w:rsidR="00A4419D" w:rsidRPr="003259B2">
              <w:rPr>
                <w:iCs/>
                <w:sz w:val="25"/>
                <w:szCs w:val="25"/>
              </w:rPr>
              <w:t xml:space="preserve"> </w:t>
            </w:r>
          </w:p>
        </w:tc>
      </w:tr>
      <w:tr w:rsidR="006D0220" w:rsidRPr="003259B2" w:rsidTr="006D0220">
        <w:trPr>
          <w:jc w:val="center"/>
        </w:trPr>
        <w:tc>
          <w:tcPr>
            <w:tcW w:w="415" w:type="dxa"/>
          </w:tcPr>
          <w:p w:rsidR="006D0220" w:rsidRPr="003259B2" w:rsidRDefault="006D0220" w:rsidP="00944AD6">
            <w:pPr>
              <w:pStyle w:val="naiskr"/>
              <w:tabs>
                <w:tab w:val="left" w:pos="2628"/>
              </w:tabs>
              <w:spacing w:before="0" w:after="0"/>
              <w:jc w:val="center"/>
              <w:rPr>
                <w:iCs/>
                <w:sz w:val="25"/>
                <w:szCs w:val="25"/>
              </w:rPr>
            </w:pPr>
            <w:r w:rsidRPr="003259B2">
              <w:rPr>
                <w:iCs/>
                <w:sz w:val="25"/>
                <w:szCs w:val="25"/>
              </w:rPr>
              <w:t>3.</w:t>
            </w:r>
          </w:p>
        </w:tc>
        <w:tc>
          <w:tcPr>
            <w:tcW w:w="3010" w:type="dxa"/>
          </w:tcPr>
          <w:p w:rsidR="006D0220" w:rsidRPr="003259B2" w:rsidRDefault="006D0220" w:rsidP="00944AD6">
            <w:pPr>
              <w:pStyle w:val="naiskr"/>
              <w:tabs>
                <w:tab w:val="left" w:pos="2628"/>
              </w:tabs>
              <w:spacing w:before="0" w:after="0"/>
              <w:rPr>
                <w:iCs/>
                <w:sz w:val="25"/>
                <w:szCs w:val="25"/>
              </w:rPr>
            </w:pPr>
            <w:r w:rsidRPr="003259B2">
              <w:rPr>
                <w:sz w:val="25"/>
                <w:szCs w:val="25"/>
              </w:rPr>
              <w:t>Administratīvo izmaksu monetārs novērtējums</w:t>
            </w:r>
          </w:p>
        </w:tc>
        <w:tc>
          <w:tcPr>
            <w:tcW w:w="5642" w:type="dxa"/>
          </w:tcPr>
          <w:p w:rsidR="00504560" w:rsidRPr="003259B2" w:rsidRDefault="003807DC" w:rsidP="00D6388A">
            <w:pPr>
              <w:pStyle w:val="naiskr"/>
              <w:tabs>
                <w:tab w:val="left" w:pos="2628"/>
              </w:tabs>
              <w:spacing w:before="0" w:after="120"/>
              <w:jc w:val="both"/>
              <w:rPr>
                <w:iCs/>
                <w:sz w:val="25"/>
                <w:szCs w:val="25"/>
              </w:rPr>
            </w:pPr>
            <w:r w:rsidRPr="003259B2">
              <w:rPr>
                <w:iCs/>
                <w:sz w:val="25"/>
                <w:szCs w:val="25"/>
              </w:rPr>
              <w:t xml:space="preserve">Administratīvās izmaksas nepārsniegs </w:t>
            </w:r>
            <w:r w:rsidR="00D6388A" w:rsidRPr="003259B2">
              <w:rPr>
                <w:iCs/>
                <w:sz w:val="25"/>
                <w:szCs w:val="25"/>
              </w:rPr>
              <w:t xml:space="preserve">normatīvajos aktos </w:t>
            </w:r>
            <w:r w:rsidRPr="003259B2">
              <w:rPr>
                <w:iCs/>
                <w:sz w:val="25"/>
                <w:szCs w:val="25"/>
              </w:rPr>
              <w:t>noteikto</w:t>
            </w:r>
            <w:r w:rsidR="00D6388A" w:rsidRPr="003259B2">
              <w:rPr>
                <w:iCs/>
                <w:sz w:val="25"/>
                <w:szCs w:val="25"/>
              </w:rPr>
              <w:t>s</w:t>
            </w:r>
            <w:r w:rsidRPr="003259B2">
              <w:rPr>
                <w:iCs/>
                <w:sz w:val="25"/>
                <w:szCs w:val="25"/>
              </w:rPr>
              <w:t xml:space="preserve"> </w:t>
            </w:r>
            <w:r w:rsidR="00D6388A" w:rsidRPr="003259B2">
              <w:rPr>
                <w:iCs/>
                <w:sz w:val="25"/>
                <w:szCs w:val="25"/>
              </w:rPr>
              <w:t>izdevumu apmērus</w:t>
            </w:r>
            <w:r w:rsidRPr="003259B2">
              <w:rPr>
                <w:iCs/>
                <w:sz w:val="25"/>
                <w:szCs w:val="25"/>
              </w:rPr>
              <w:t>, kad nepieciešams novērtējums. P</w:t>
            </w:r>
            <w:r w:rsidR="00784735" w:rsidRPr="003259B2">
              <w:rPr>
                <w:iCs/>
                <w:sz w:val="25"/>
                <w:szCs w:val="25"/>
              </w:rPr>
              <w:t>apildu funkcijas tiks veiktas esošā piešķirtā finansējuma ietvaros</w:t>
            </w:r>
            <w:r w:rsidR="006D0220" w:rsidRPr="003259B2">
              <w:rPr>
                <w:iCs/>
                <w:sz w:val="25"/>
                <w:szCs w:val="25"/>
              </w:rPr>
              <w:t>.</w:t>
            </w:r>
          </w:p>
        </w:tc>
      </w:tr>
      <w:tr w:rsidR="006D0220" w:rsidRPr="003259B2" w:rsidTr="006D0220">
        <w:trPr>
          <w:jc w:val="center"/>
        </w:trPr>
        <w:tc>
          <w:tcPr>
            <w:tcW w:w="415" w:type="dxa"/>
          </w:tcPr>
          <w:p w:rsidR="006D0220" w:rsidRPr="003259B2" w:rsidRDefault="006D0220" w:rsidP="00944AD6">
            <w:pPr>
              <w:pStyle w:val="naiskr"/>
              <w:tabs>
                <w:tab w:val="left" w:pos="2628"/>
              </w:tabs>
              <w:spacing w:before="0" w:after="0"/>
              <w:jc w:val="center"/>
              <w:rPr>
                <w:iCs/>
                <w:sz w:val="25"/>
                <w:szCs w:val="25"/>
              </w:rPr>
            </w:pPr>
            <w:r w:rsidRPr="003259B2">
              <w:rPr>
                <w:iCs/>
                <w:sz w:val="25"/>
                <w:szCs w:val="25"/>
              </w:rPr>
              <w:t>4.</w:t>
            </w:r>
          </w:p>
        </w:tc>
        <w:tc>
          <w:tcPr>
            <w:tcW w:w="3010" w:type="dxa"/>
          </w:tcPr>
          <w:p w:rsidR="006D0220" w:rsidRPr="003259B2" w:rsidRDefault="006D0220" w:rsidP="00944AD6">
            <w:pPr>
              <w:pStyle w:val="naiskr"/>
              <w:tabs>
                <w:tab w:val="left" w:pos="2628"/>
              </w:tabs>
              <w:spacing w:before="0" w:after="0"/>
              <w:rPr>
                <w:sz w:val="25"/>
                <w:szCs w:val="25"/>
              </w:rPr>
            </w:pPr>
            <w:r w:rsidRPr="003259B2">
              <w:rPr>
                <w:sz w:val="25"/>
                <w:szCs w:val="25"/>
              </w:rPr>
              <w:t>Cita informācija</w:t>
            </w:r>
          </w:p>
        </w:tc>
        <w:tc>
          <w:tcPr>
            <w:tcW w:w="5642" w:type="dxa"/>
          </w:tcPr>
          <w:p w:rsidR="006D0220" w:rsidRPr="003259B2" w:rsidRDefault="006D0220" w:rsidP="00944AD6">
            <w:pPr>
              <w:pStyle w:val="naiskr"/>
              <w:tabs>
                <w:tab w:val="left" w:pos="2628"/>
              </w:tabs>
              <w:spacing w:before="0" w:after="120"/>
              <w:jc w:val="both"/>
              <w:rPr>
                <w:sz w:val="25"/>
                <w:szCs w:val="25"/>
              </w:rPr>
            </w:pPr>
            <w:r w:rsidRPr="003259B2">
              <w:rPr>
                <w:sz w:val="25"/>
                <w:szCs w:val="25"/>
              </w:rPr>
              <w:t>Nav.</w:t>
            </w:r>
          </w:p>
        </w:tc>
      </w:tr>
    </w:tbl>
    <w:p w:rsidR="006D0220" w:rsidRPr="003259B2" w:rsidRDefault="006D0220" w:rsidP="006D0220">
      <w:pPr>
        <w:pStyle w:val="naisf"/>
        <w:spacing w:before="0" w:after="0"/>
        <w:ind w:firstLine="0"/>
        <w:rPr>
          <w:sz w:val="25"/>
          <w:szCs w:val="25"/>
        </w:rPr>
      </w:pPr>
    </w:p>
    <w:tbl>
      <w:tblPr>
        <w:tblW w:w="500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6D0220" w:rsidRPr="003259B2" w:rsidTr="006D0220">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D0220" w:rsidRPr="003259B2" w:rsidRDefault="006D0220" w:rsidP="00944AD6">
            <w:pPr>
              <w:pStyle w:val="naiskr"/>
              <w:spacing w:before="0" w:after="120"/>
              <w:jc w:val="center"/>
              <w:rPr>
                <w:b/>
                <w:bCs/>
                <w:sz w:val="25"/>
                <w:szCs w:val="25"/>
              </w:rPr>
            </w:pPr>
            <w:r w:rsidRPr="003259B2">
              <w:rPr>
                <w:b/>
                <w:bCs/>
                <w:sz w:val="25"/>
                <w:szCs w:val="25"/>
              </w:rPr>
              <w:t>III. Tiesību akta projekta ietekme uz valsts budžetu un pašvaldību budžetiem</w:t>
            </w:r>
          </w:p>
        </w:tc>
      </w:tr>
      <w:tr w:rsidR="006D0220" w:rsidRPr="003259B2" w:rsidTr="006D0220">
        <w:trPr>
          <w:jc w:val="center"/>
        </w:trPr>
        <w:tc>
          <w:tcPr>
            <w:tcW w:w="5000" w:type="pct"/>
            <w:tcBorders>
              <w:top w:val="outset" w:sz="6" w:space="0" w:color="414142"/>
              <w:left w:val="outset" w:sz="6" w:space="0" w:color="414142"/>
              <w:bottom w:val="outset" w:sz="6" w:space="0" w:color="414142"/>
              <w:right w:val="outset" w:sz="6" w:space="0" w:color="414142"/>
            </w:tcBorders>
          </w:tcPr>
          <w:p w:rsidR="00273303" w:rsidRPr="003259B2" w:rsidRDefault="00273303" w:rsidP="00273303">
            <w:pPr>
              <w:jc w:val="both"/>
              <w:rPr>
                <w:rFonts w:ascii="Times New Roman" w:hAnsi="Times New Roman" w:cs="Times New Roman"/>
                <w:sz w:val="25"/>
                <w:szCs w:val="25"/>
                <w:lang w:eastAsia="ru-RU"/>
              </w:rPr>
            </w:pPr>
            <w:r w:rsidRPr="003259B2">
              <w:rPr>
                <w:rFonts w:ascii="Times New Roman" w:hAnsi="Times New Roman" w:cs="Times New Roman"/>
                <w:iCs/>
                <w:sz w:val="25"/>
                <w:szCs w:val="25"/>
              </w:rPr>
              <w:t xml:space="preserve">Projekts saistīts ar 2018. gada </w:t>
            </w:r>
            <w:r w:rsidR="0004007C" w:rsidRPr="003259B2">
              <w:rPr>
                <w:rFonts w:ascii="Times New Roman" w:hAnsi="Times New Roman" w:cs="Times New Roman"/>
                <w:iCs/>
                <w:sz w:val="25"/>
                <w:szCs w:val="25"/>
              </w:rPr>
              <w:t>budžeta</w:t>
            </w:r>
            <w:r w:rsidRPr="003259B2">
              <w:rPr>
                <w:rFonts w:ascii="Times New Roman" w:hAnsi="Times New Roman" w:cs="Times New Roman"/>
                <w:iCs/>
                <w:sz w:val="25"/>
                <w:szCs w:val="25"/>
              </w:rPr>
              <w:t xml:space="preserve"> </w:t>
            </w:r>
            <w:r w:rsidR="0004007C" w:rsidRPr="003259B2">
              <w:rPr>
                <w:rFonts w:ascii="Times New Roman" w:hAnsi="Times New Roman" w:cs="Times New Roman"/>
                <w:iCs/>
                <w:sz w:val="25"/>
                <w:szCs w:val="25"/>
              </w:rPr>
              <w:t>likumprojektu</w:t>
            </w:r>
            <w:r w:rsidRPr="003259B2">
              <w:rPr>
                <w:rFonts w:ascii="Times New Roman" w:hAnsi="Times New Roman" w:cs="Times New Roman"/>
                <w:iCs/>
                <w:sz w:val="25"/>
                <w:szCs w:val="25"/>
              </w:rPr>
              <w:t xml:space="preserve"> paketē virzīto </w:t>
            </w:r>
            <w:r w:rsidR="0004007C" w:rsidRPr="003259B2">
              <w:rPr>
                <w:rFonts w:ascii="Times New Roman" w:hAnsi="Times New Roman" w:cs="Times New Roman"/>
                <w:iCs/>
                <w:sz w:val="25"/>
                <w:szCs w:val="25"/>
              </w:rPr>
              <w:t>likumprojektu</w:t>
            </w:r>
            <w:r w:rsidRPr="003259B2">
              <w:rPr>
                <w:rFonts w:ascii="Times New Roman" w:hAnsi="Times New Roman" w:cs="Times New Roman"/>
                <w:iCs/>
                <w:sz w:val="25"/>
                <w:szCs w:val="25"/>
              </w:rPr>
              <w:t xml:space="preserve">  </w:t>
            </w:r>
            <w:r w:rsidRPr="003259B2">
              <w:rPr>
                <w:rFonts w:ascii="Times New Roman" w:hAnsi="Times New Roman" w:cs="Times New Roman"/>
                <w:sz w:val="25"/>
                <w:szCs w:val="25"/>
                <w:shd w:val="clear" w:color="auto" w:fill="FFFFFF"/>
              </w:rPr>
              <w:t xml:space="preserve">grozījumi </w:t>
            </w:r>
            <w:r w:rsidRPr="003259B2">
              <w:rPr>
                <w:rFonts w:ascii="Times New Roman" w:hAnsi="Times New Roman" w:cs="Times New Roman"/>
                <w:sz w:val="25"/>
                <w:szCs w:val="25"/>
                <w:lang w:eastAsia="ru-RU"/>
              </w:rPr>
              <w:t>likumā “Par izložu un azartspēļu nodevu un nodokli” un ietekmes novērtējums norādīts tajā</w:t>
            </w:r>
            <w:r w:rsidR="0045532B" w:rsidRPr="003259B2">
              <w:rPr>
                <w:rFonts w:ascii="Times New Roman" w:hAnsi="Times New Roman" w:cs="Times New Roman"/>
                <w:sz w:val="25"/>
                <w:szCs w:val="25"/>
                <w:lang w:eastAsia="ru-RU"/>
              </w:rPr>
              <w:t xml:space="preserve">, </w:t>
            </w:r>
            <w:r w:rsidR="0045532B" w:rsidRPr="003259B2">
              <w:rPr>
                <w:rFonts w:ascii="Times New Roman" w:hAnsi="Times New Roman" w:cs="Times New Roman"/>
                <w:sz w:val="25"/>
                <w:szCs w:val="25"/>
                <w:shd w:val="clear" w:color="auto" w:fill="FFFFFF"/>
              </w:rPr>
              <w:t>tādējādi abi likumprojekti ir virzāmi vienotā paketē un to spēkā stāšanās jānodrošina ar 2018.gada 1.janvāri</w:t>
            </w:r>
            <w:r w:rsidR="00BD1517" w:rsidRPr="003259B2">
              <w:rPr>
                <w:rFonts w:ascii="Times New Roman" w:hAnsi="Times New Roman" w:cs="Times New Roman"/>
                <w:sz w:val="25"/>
                <w:szCs w:val="25"/>
                <w:shd w:val="clear" w:color="auto" w:fill="FFFFFF"/>
              </w:rPr>
              <w:t>.</w:t>
            </w:r>
          </w:p>
          <w:p w:rsidR="006D0220" w:rsidRPr="003259B2" w:rsidRDefault="0004007C" w:rsidP="0045532B">
            <w:pPr>
              <w:jc w:val="both"/>
              <w:rPr>
                <w:rFonts w:ascii="Times New Roman" w:hAnsi="Times New Roman" w:cs="Times New Roman"/>
                <w:sz w:val="25"/>
                <w:szCs w:val="25"/>
                <w:shd w:val="clear" w:color="auto" w:fill="FFFFFF"/>
              </w:rPr>
            </w:pPr>
            <w:r w:rsidRPr="003259B2">
              <w:rPr>
                <w:rFonts w:ascii="Times New Roman" w:hAnsi="Times New Roman" w:cs="Times New Roman"/>
                <w:sz w:val="25"/>
                <w:szCs w:val="25"/>
                <w:shd w:val="clear" w:color="auto" w:fill="FFFFFF"/>
              </w:rPr>
              <w:t>Ja</w:t>
            </w:r>
            <w:r w:rsidR="00273303" w:rsidRPr="003259B2">
              <w:rPr>
                <w:rFonts w:ascii="Times New Roman" w:hAnsi="Times New Roman" w:cs="Times New Roman"/>
                <w:sz w:val="25"/>
                <w:szCs w:val="25"/>
                <w:shd w:val="clear" w:color="auto" w:fill="FFFFFF"/>
              </w:rPr>
              <w:t xml:space="preserve"> s</w:t>
            </w:r>
            <w:r w:rsidR="00D4793D" w:rsidRPr="003259B2">
              <w:rPr>
                <w:rFonts w:ascii="Times New Roman" w:hAnsi="Times New Roman" w:cs="Times New Roman"/>
                <w:sz w:val="25"/>
                <w:szCs w:val="25"/>
                <w:shd w:val="clear" w:color="auto" w:fill="FFFFFF"/>
              </w:rPr>
              <w:t xml:space="preserve">aistībā ar </w:t>
            </w:r>
            <w:r w:rsidR="00D4793D" w:rsidRPr="003259B2">
              <w:rPr>
                <w:rFonts w:ascii="Times New Roman" w:hAnsi="Times New Roman" w:cs="Times New Roman"/>
                <w:sz w:val="25"/>
                <w:szCs w:val="25"/>
              </w:rPr>
              <w:t>Saeimā 2017.gada 27.jūlijā pieņemtajiem g</w:t>
            </w:r>
            <w:r w:rsidR="00D4793D" w:rsidRPr="003259B2">
              <w:rPr>
                <w:rFonts w:ascii="Times New Roman" w:hAnsi="Times New Roman" w:cs="Times New Roman"/>
                <w:sz w:val="25"/>
                <w:szCs w:val="25"/>
                <w:lang w:eastAsia="ru-RU"/>
              </w:rPr>
              <w:t xml:space="preserve">rozījumiem likumā “Par izložu un azartspēļu nodevu un nodokli”, kuros tiek paredzēts jauns azartspēļu nodokļa objekts, </w:t>
            </w:r>
            <w:r w:rsidR="00273303" w:rsidRPr="003259B2">
              <w:rPr>
                <w:rFonts w:ascii="Times New Roman" w:hAnsi="Times New Roman" w:cs="Times New Roman"/>
                <w:sz w:val="25"/>
                <w:szCs w:val="25"/>
                <w:lang w:eastAsia="ru-RU"/>
              </w:rPr>
              <w:t xml:space="preserve">bet netiek paredzēts </w:t>
            </w:r>
            <w:r w:rsidRPr="003259B2">
              <w:rPr>
                <w:rFonts w:ascii="Times New Roman" w:hAnsi="Times New Roman" w:cs="Times New Roman"/>
                <w:sz w:val="25"/>
                <w:szCs w:val="25"/>
                <w:lang w:eastAsia="ru-RU"/>
              </w:rPr>
              <w:t>pārējais</w:t>
            </w:r>
            <w:r w:rsidR="00273303" w:rsidRPr="003259B2">
              <w:rPr>
                <w:rFonts w:ascii="Times New Roman" w:hAnsi="Times New Roman" w:cs="Times New Roman"/>
                <w:sz w:val="25"/>
                <w:szCs w:val="25"/>
                <w:lang w:eastAsia="ru-RU"/>
              </w:rPr>
              <w:t xml:space="preserve"> </w:t>
            </w:r>
            <w:r w:rsidRPr="003259B2">
              <w:rPr>
                <w:rFonts w:ascii="Times New Roman" w:hAnsi="Times New Roman" w:cs="Times New Roman"/>
                <w:sz w:val="25"/>
                <w:szCs w:val="25"/>
                <w:lang w:eastAsia="ru-RU"/>
              </w:rPr>
              <w:t>tiesiskais</w:t>
            </w:r>
            <w:r w:rsidR="00273303" w:rsidRPr="003259B2">
              <w:rPr>
                <w:rFonts w:ascii="Times New Roman" w:hAnsi="Times New Roman" w:cs="Times New Roman"/>
                <w:sz w:val="25"/>
                <w:szCs w:val="25"/>
                <w:lang w:eastAsia="ru-RU"/>
              </w:rPr>
              <w:t xml:space="preserve"> regulējums, </w:t>
            </w:r>
            <w:r w:rsidRPr="003259B2">
              <w:rPr>
                <w:rFonts w:ascii="Times New Roman" w:hAnsi="Times New Roman" w:cs="Times New Roman"/>
                <w:sz w:val="25"/>
                <w:szCs w:val="25"/>
                <w:lang w:eastAsia="ru-RU"/>
              </w:rPr>
              <w:t xml:space="preserve">netiks </w:t>
            </w:r>
            <w:r w:rsidR="0045532B" w:rsidRPr="003259B2">
              <w:rPr>
                <w:rFonts w:ascii="Times New Roman" w:hAnsi="Times New Roman" w:cs="Times New Roman"/>
                <w:sz w:val="25"/>
                <w:szCs w:val="25"/>
                <w:lang w:eastAsia="ru-RU"/>
              </w:rPr>
              <w:t>veikti</w:t>
            </w:r>
            <w:r w:rsidR="00273303" w:rsidRPr="003259B2">
              <w:rPr>
                <w:rFonts w:ascii="Times New Roman" w:hAnsi="Times New Roman" w:cs="Times New Roman"/>
                <w:sz w:val="25"/>
                <w:szCs w:val="25"/>
                <w:lang w:eastAsia="ru-RU"/>
              </w:rPr>
              <w:t xml:space="preserve"> </w:t>
            </w:r>
            <w:r w:rsidRPr="003259B2">
              <w:rPr>
                <w:rFonts w:ascii="Times New Roman" w:hAnsi="Times New Roman" w:cs="Times New Roman"/>
                <w:sz w:val="25"/>
                <w:szCs w:val="25"/>
                <w:lang w:eastAsia="ru-RU"/>
              </w:rPr>
              <w:t>grozījumi</w:t>
            </w:r>
            <w:r w:rsidR="00273303" w:rsidRPr="003259B2">
              <w:rPr>
                <w:rFonts w:ascii="Times New Roman" w:hAnsi="Times New Roman" w:cs="Times New Roman"/>
                <w:sz w:val="25"/>
                <w:szCs w:val="25"/>
                <w:lang w:eastAsia="ru-RU"/>
              </w:rPr>
              <w:t xml:space="preserve"> iepriekšminētajos likumos, </w:t>
            </w:r>
            <w:r w:rsidR="0045532B" w:rsidRPr="003259B2">
              <w:rPr>
                <w:rFonts w:ascii="Times New Roman" w:hAnsi="Times New Roman" w:cs="Times New Roman"/>
                <w:sz w:val="25"/>
                <w:szCs w:val="25"/>
                <w:lang w:eastAsia="ru-RU"/>
              </w:rPr>
              <w:t xml:space="preserve">tad </w:t>
            </w:r>
            <w:r w:rsidR="00273303" w:rsidRPr="003259B2">
              <w:rPr>
                <w:rFonts w:ascii="Times New Roman" w:hAnsi="Times New Roman" w:cs="Times New Roman"/>
                <w:sz w:val="25"/>
                <w:szCs w:val="25"/>
                <w:lang w:eastAsia="ru-RU"/>
              </w:rPr>
              <w:t>netiks nodrošin</w:t>
            </w:r>
            <w:r w:rsidRPr="003259B2">
              <w:rPr>
                <w:rFonts w:ascii="Times New Roman" w:hAnsi="Times New Roman" w:cs="Times New Roman"/>
                <w:sz w:val="25"/>
                <w:szCs w:val="25"/>
                <w:lang w:eastAsia="ru-RU"/>
              </w:rPr>
              <w:t>āti</w:t>
            </w:r>
            <w:r w:rsidR="00273303" w:rsidRPr="003259B2">
              <w:rPr>
                <w:rFonts w:ascii="Times New Roman" w:hAnsi="Times New Roman" w:cs="Times New Roman"/>
                <w:sz w:val="25"/>
                <w:szCs w:val="25"/>
                <w:lang w:eastAsia="ru-RU"/>
              </w:rPr>
              <w:t xml:space="preserve"> </w:t>
            </w:r>
            <w:r w:rsidRPr="003259B2">
              <w:rPr>
                <w:rFonts w:ascii="Times New Roman" w:hAnsi="Times New Roman" w:cs="Times New Roman"/>
                <w:sz w:val="25"/>
                <w:szCs w:val="25"/>
                <w:lang w:eastAsia="ru-RU"/>
              </w:rPr>
              <w:t>papildus</w:t>
            </w:r>
            <w:r w:rsidR="00273303" w:rsidRPr="003259B2">
              <w:rPr>
                <w:rFonts w:ascii="Times New Roman" w:hAnsi="Times New Roman" w:cs="Times New Roman"/>
                <w:sz w:val="25"/>
                <w:szCs w:val="25"/>
                <w:lang w:eastAsia="ru-RU"/>
              </w:rPr>
              <w:t xml:space="preserve"> </w:t>
            </w:r>
            <w:r w:rsidRPr="003259B2">
              <w:rPr>
                <w:rFonts w:ascii="Times New Roman" w:hAnsi="Times New Roman" w:cs="Times New Roman"/>
                <w:sz w:val="25"/>
                <w:szCs w:val="25"/>
                <w:lang w:eastAsia="ru-RU"/>
              </w:rPr>
              <w:t>plānotie</w:t>
            </w:r>
            <w:r w:rsidR="00273303" w:rsidRPr="003259B2">
              <w:rPr>
                <w:rFonts w:ascii="Times New Roman" w:hAnsi="Times New Roman" w:cs="Times New Roman"/>
                <w:sz w:val="25"/>
                <w:szCs w:val="25"/>
                <w:lang w:eastAsia="ru-RU"/>
              </w:rPr>
              <w:t xml:space="preserve"> </w:t>
            </w:r>
            <w:r w:rsidRPr="003259B2">
              <w:rPr>
                <w:rFonts w:ascii="Times New Roman" w:hAnsi="Times New Roman" w:cs="Times New Roman"/>
                <w:sz w:val="25"/>
                <w:szCs w:val="25"/>
                <w:lang w:eastAsia="ru-RU"/>
              </w:rPr>
              <w:t>azartspēļu</w:t>
            </w:r>
            <w:r w:rsidR="00273303" w:rsidRPr="003259B2">
              <w:rPr>
                <w:rFonts w:ascii="Times New Roman" w:hAnsi="Times New Roman" w:cs="Times New Roman"/>
                <w:sz w:val="25"/>
                <w:szCs w:val="25"/>
                <w:lang w:eastAsia="ru-RU"/>
              </w:rPr>
              <w:t xml:space="preserve"> </w:t>
            </w:r>
            <w:r w:rsidRPr="003259B2">
              <w:rPr>
                <w:rFonts w:ascii="Times New Roman" w:hAnsi="Times New Roman" w:cs="Times New Roman"/>
                <w:sz w:val="25"/>
                <w:szCs w:val="25"/>
                <w:lang w:eastAsia="ru-RU"/>
              </w:rPr>
              <w:t>nodokļa</w:t>
            </w:r>
            <w:r w:rsidR="00273303" w:rsidRPr="003259B2">
              <w:rPr>
                <w:rFonts w:ascii="Times New Roman" w:hAnsi="Times New Roman" w:cs="Times New Roman"/>
                <w:sz w:val="25"/>
                <w:szCs w:val="25"/>
                <w:lang w:eastAsia="ru-RU"/>
              </w:rPr>
              <w:t xml:space="preserve"> ieņēmumi 1,8 miljoni </w:t>
            </w:r>
            <w:r w:rsidR="00273303" w:rsidRPr="003259B2">
              <w:rPr>
                <w:rFonts w:ascii="Times New Roman" w:hAnsi="Times New Roman" w:cs="Times New Roman"/>
                <w:i/>
                <w:sz w:val="25"/>
                <w:szCs w:val="25"/>
                <w:lang w:eastAsia="ru-RU"/>
              </w:rPr>
              <w:t>e</w:t>
            </w:r>
            <w:r w:rsidRPr="003259B2">
              <w:rPr>
                <w:rFonts w:ascii="Times New Roman" w:hAnsi="Times New Roman" w:cs="Times New Roman"/>
                <w:i/>
                <w:sz w:val="25"/>
                <w:szCs w:val="25"/>
                <w:lang w:eastAsia="ru-RU"/>
              </w:rPr>
              <w:t>u</w:t>
            </w:r>
            <w:r w:rsidR="00273303" w:rsidRPr="003259B2">
              <w:rPr>
                <w:rFonts w:ascii="Times New Roman" w:hAnsi="Times New Roman" w:cs="Times New Roman"/>
                <w:i/>
                <w:sz w:val="25"/>
                <w:szCs w:val="25"/>
                <w:lang w:eastAsia="ru-RU"/>
              </w:rPr>
              <w:t>ro</w:t>
            </w:r>
            <w:r w:rsidR="00273303" w:rsidRPr="003259B2">
              <w:rPr>
                <w:rFonts w:ascii="Times New Roman" w:hAnsi="Times New Roman" w:cs="Times New Roman"/>
                <w:sz w:val="25"/>
                <w:szCs w:val="25"/>
                <w:lang w:eastAsia="ru-RU"/>
              </w:rPr>
              <w:t xml:space="preserve"> apmērā.</w:t>
            </w:r>
          </w:p>
        </w:tc>
      </w:tr>
    </w:tbl>
    <w:p w:rsidR="006D0220" w:rsidRPr="003259B2" w:rsidRDefault="006D0220" w:rsidP="006D0220">
      <w:pPr>
        <w:pStyle w:val="naisf"/>
        <w:spacing w:before="0" w:after="0"/>
        <w:ind w:firstLine="0"/>
        <w:rPr>
          <w:sz w:val="25"/>
          <w:szCs w:val="25"/>
        </w:rPr>
      </w:pPr>
    </w:p>
    <w:tbl>
      <w:tblPr>
        <w:tblW w:w="9072" w:type="dxa"/>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52"/>
        <w:gridCol w:w="7520"/>
      </w:tblGrid>
      <w:tr w:rsidR="00460592" w:rsidRPr="003259B2" w:rsidTr="00EB1788">
        <w:trPr>
          <w:trHeight w:val="302"/>
          <w:jc w:val="center"/>
        </w:trPr>
        <w:tc>
          <w:tcPr>
            <w:tcW w:w="9072" w:type="dxa"/>
            <w:gridSpan w:val="2"/>
            <w:tcBorders>
              <w:top w:val="outset" w:sz="6" w:space="0" w:color="414142"/>
              <w:left w:val="outset" w:sz="6" w:space="0" w:color="414142"/>
              <w:bottom w:val="outset" w:sz="6" w:space="0" w:color="414142"/>
              <w:right w:val="outset" w:sz="6" w:space="0" w:color="414142"/>
            </w:tcBorders>
            <w:vAlign w:val="center"/>
            <w:hideMark/>
          </w:tcPr>
          <w:p w:rsidR="00460592" w:rsidRPr="003259B2" w:rsidRDefault="00460592" w:rsidP="00BE727E">
            <w:pPr>
              <w:pStyle w:val="tvhtml"/>
              <w:spacing w:before="0" w:beforeAutospacing="0" w:after="0" w:afterAutospacing="0"/>
              <w:jc w:val="center"/>
              <w:rPr>
                <w:bCs/>
                <w:sz w:val="25"/>
                <w:szCs w:val="25"/>
              </w:rPr>
            </w:pPr>
            <w:r w:rsidRPr="003259B2">
              <w:rPr>
                <w:b/>
                <w:bCs/>
                <w:sz w:val="25"/>
                <w:szCs w:val="25"/>
              </w:rPr>
              <w:t xml:space="preserve">IV. </w:t>
            </w:r>
            <w:r w:rsidRPr="003259B2">
              <w:rPr>
                <w:b/>
                <w:sz w:val="25"/>
                <w:szCs w:val="25"/>
              </w:rPr>
              <w:t>Tiesību aktu projekta ietekme uz spēkā esošo tiesību normu sistēmu</w:t>
            </w:r>
          </w:p>
        </w:tc>
      </w:tr>
      <w:tr w:rsidR="00460592" w:rsidRPr="003259B2" w:rsidTr="00EB1788">
        <w:trPr>
          <w:jc w:val="center"/>
        </w:trPr>
        <w:tc>
          <w:tcPr>
            <w:tcW w:w="1552" w:type="dxa"/>
            <w:tcBorders>
              <w:top w:val="outset" w:sz="6" w:space="0" w:color="414142"/>
              <w:left w:val="outset" w:sz="6" w:space="0" w:color="414142"/>
              <w:bottom w:val="outset" w:sz="6" w:space="0" w:color="414142"/>
              <w:right w:val="outset" w:sz="6" w:space="0" w:color="414142"/>
            </w:tcBorders>
            <w:hideMark/>
          </w:tcPr>
          <w:p w:rsidR="00460592" w:rsidRPr="003259B2" w:rsidRDefault="00460592" w:rsidP="00BE727E">
            <w:pPr>
              <w:rPr>
                <w:rFonts w:ascii="Times New Roman" w:hAnsi="Times New Roman" w:cs="Times New Roman"/>
                <w:sz w:val="25"/>
                <w:szCs w:val="25"/>
              </w:rPr>
            </w:pPr>
            <w:r w:rsidRPr="003259B2">
              <w:rPr>
                <w:rFonts w:ascii="Times New Roman" w:hAnsi="Times New Roman" w:cs="Times New Roman"/>
                <w:sz w:val="25"/>
                <w:szCs w:val="25"/>
              </w:rPr>
              <w:t>Nepieciešamie saistītie tiesību aktu projekti</w:t>
            </w:r>
          </w:p>
        </w:tc>
        <w:tc>
          <w:tcPr>
            <w:tcW w:w="7520" w:type="dxa"/>
            <w:tcBorders>
              <w:top w:val="outset" w:sz="6" w:space="0" w:color="414142"/>
              <w:left w:val="outset" w:sz="6" w:space="0" w:color="414142"/>
              <w:bottom w:val="outset" w:sz="6" w:space="0" w:color="414142"/>
              <w:right w:val="outset" w:sz="6" w:space="0" w:color="414142"/>
            </w:tcBorders>
            <w:hideMark/>
          </w:tcPr>
          <w:p w:rsidR="00460592" w:rsidRPr="003259B2" w:rsidRDefault="00460592" w:rsidP="00A610D9">
            <w:pPr>
              <w:pStyle w:val="naisnod"/>
              <w:spacing w:before="0" w:after="0"/>
              <w:jc w:val="both"/>
              <w:rPr>
                <w:b w:val="0"/>
                <w:sz w:val="25"/>
                <w:szCs w:val="25"/>
              </w:rPr>
            </w:pPr>
            <w:r w:rsidRPr="003259B2">
              <w:rPr>
                <w:b w:val="0"/>
                <w:sz w:val="25"/>
                <w:szCs w:val="25"/>
              </w:rPr>
              <w:t>Vienlaicīgi ar likumprojekta izstrādi tiek veikti grozījumi likumā “Par izložu un azartspēļu nodevu un nodokli”.</w:t>
            </w:r>
          </w:p>
          <w:p w:rsidR="00460592" w:rsidRPr="003259B2" w:rsidRDefault="00460592" w:rsidP="00A610D9">
            <w:pPr>
              <w:pStyle w:val="naisnod"/>
              <w:spacing w:before="0" w:after="0"/>
              <w:jc w:val="both"/>
              <w:rPr>
                <w:b w:val="0"/>
                <w:sz w:val="25"/>
                <w:szCs w:val="25"/>
              </w:rPr>
            </w:pPr>
            <w:r w:rsidRPr="003259B2">
              <w:rPr>
                <w:b w:val="0"/>
                <w:sz w:val="25"/>
                <w:szCs w:val="25"/>
              </w:rPr>
              <w:t>Atbilstoši likumprojektā minētajam deleģējumam tiks izstrādāti Ministru kabineta noteikumi:</w:t>
            </w:r>
          </w:p>
          <w:p w:rsidR="00460592" w:rsidRPr="003259B2" w:rsidRDefault="00460592" w:rsidP="00A610D9">
            <w:pPr>
              <w:pStyle w:val="naisnod"/>
              <w:spacing w:before="0" w:after="0"/>
              <w:jc w:val="both"/>
              <w:rPr>
                <w:b w:val="0"/>
                <w:sz w:val="25"/>
                <w:szCs w:val="25"/>
              </w:rPr>
            </w:pPr>
            <w:r w:rsidRPr="003259B2">
              <w:rPr>
                <w:b w:val="0"/>
                <w:sz w:val="25"/>
                <w:szCs w:val="25"/>
              </w:rPr>
              <w:t>1) par interaktīvo azartspēļu un interaktīvo izložu organizēšanas sistēmu galvenajām sastāvdaļām un informāciju, kas iesniedzama par interaktīvajā azartspēlē un interaktīvajā izlozē paredzēto attiecīgo azartspēļu  un izložu organizēšanas sistēmām, kā arī kārtību, kādā drīkst mainīt interaktīvo azartspēļu un interaktīvo izložu organizēšanas sistēmas vai tās sastāvdaļas;  nepieciešamos interaktīvo azartspēļu un interaktīvo izložu organizēšanas sistēmu drošības pasākumus, lai nepieļautu kādas personas ietekmi uz interaktīvās azartspēles vai interaktīvās izlozes iznākumu, un fizisko personu datu aizsardzības pasākumus, kurus izvērtē sertifikācijas institūcija, sniedzot atzinumu par interaktīvo azartspēļu vai interaktīvo izložu organizēšanas sistēmu pārbaudes rezultātiem; informāciju, kas glabājama interaktīvo azartspēļu un interaktīvo izložu organizēšanas sistēmās un informācijas glabāšanas termiņu;</w:t>
            </w:r>
          </w:p>
          <w:p w:rsidR="00460592" w:rsidRPr="003259B2" w:rsidRDefault="00460592" w:rsidP="00A610D9">
            <w:pPr>
              <w:pStyle w:val="naisnod"/>
              <w:spacing w:before="0" w:after="0"/>
              <w:jc w:val="both"/>
              <w:rPr>
                <w:b w:val="0"/>
                <w:sz w:val="25"/>
                <w:szCs w:val="25"/>
              </w:rPr>
            </w:pPr>
            <w:r w:rsidRPr="003259B2">
              <w:rPr>
                <w:b w:val="0"/>
                <w:sz w:val="25"/>
                <w:szCs w:val="25"/>
              </w:rPr>
              <w:t xml:space="preserve">2) </w:t>
            </w:r>
            <w:r w:rsidR="00F8520F" w:rsidRPr="003259B2">
              <w:rPr>
                <w:b w:val="0"/>
                <w:sz w:val="25"/>
                <w:szCs w:val="25"/>
              </w:rPr>
              <w:t xml:space="preserve">par </w:t>
            </w:r>
            <w:r w:rsidR="0056404C" w:rsidRPr="003259B2">
              <w:rPr>
                <w:b w:val="0"/>
                <w:sz w:val="25"/>
                <w:szCs w:val="25"/>
              </w:rPr>
              <w:t xml:space="preserve">nosacījumiem un </w:t>
            </w:r>
            <w:r w:rsidR="00F8520F" w:rsidRPr="003259B2">
              <w:rPr>
                <w:b w:val="0"/>
                <w:sz w:val="25"/>
                <w:szCs w:val="25"/>
              </w:rPr>
              <w:t xml:space="preserve">kārtību, kādā spēlētājs tiek izslēgts no interaktīvo azartspēļu spēlētāju reģistra un interaktīvo izložu spēlētāju reģistra, informācijas glabāšanas termiņu, </w:t>
            </w:r>
            <w:r w:rsidRPr="003259B2">
              <w:rPr>
                <w:b w:val="0"/>
                <w:sz w:val="25"/>
                <w:szCs w:val="25"/>
              </w:rPr>
              <w:t xml:space="preserve">kā arī </w:t>
            </w:r>
            <w:r w:rsidR="00590765" w:rsidRPr="003259B2">
              <w:rPr>
                <w:b w:val="0"/>
                <w:sz w:val="25"/>
                <w:szCs w:val="25"/>
              </w:rPr>
              <w:t>par minimālajām prasībām</w:t>
            </w:r>
            <w:r w:rsidRPr="003259B2">
              <w:rPr>
                <w:b w:val="0"/>
                <w:sz w:val="25"/>
                <w:szCs w:val="25"/>
              </w:rPr>
              <w:t>, kas jāievēro, lai novērstu no interaktīvajām izlozēm atkarīgo spēlētāju tālāku dalību interaktīvajās izlozēs;</w:t>
            </w:r>
          </w:p>
          <w:p w:rsidR="00460592" w:rsidRPr="003259B2" w:rsidRDefault="00460592" w:rsidP="00B61960">
            <w:pPr>
              <w:pStyle w:val="naisnod"/>
              <w:spacing w:before="0" w:after="0"/>
              <w:jc w:val="both"/>
              <w:rPr>
                <w:b w:val="0"/>
                <w:sz w:val="25"/>
                <w:szCs w:val="25"/>
              </w:rPr>
            </w:pPr>
            <w:r w:rsidRPr="003259B2">
              <w:rPr>
                <w:b w:val="0"/>
                <w:sz w:val="25"/>
                <w:szCs w:val="25"/>
              </w:rPr>
              <w:t>3) par Likuma 74.panta trešajā daļā minēto izložu biļešu pārdošanu vai izložu dalības maksājumu pieņemšanu, izmantojot elektronisko sakaru pakalpojumus, nosakot biļešu pārdošanas un izložu dalības maksājumu pieņemšanas organizēšanas sistēmas galvenās sastāvdaļas un informāciju, kas iesniedzama par biļešu pārdošanas sistēmu; nepieciešamos biļešu pārdošanas un izložu dalības maksājumu pieņemšanas organizēšanas sistēmas drošības pasākumus, lai nepieļautu kādas personas ietekmi uz biļešu pārdošanas iznākumu un fizisko personu datu aizsardzības pasākumus.</w:t>
            </w:r>
          </w:p>
          <w:p w:rsidR="00247647" w:rsidRPr="003259B2" w:rsidRDefault="00247647" w:rsidP="00B61960">
            <w:pPr>
              <w:pStyle w:val="naisnod"/>
              <w:spacing w:before="0" w:after="0"/>
              <w:jc w:val="both"/>
              <w:rPr>
                <w:b w:val="0"/>
                <w:sz w:val="25"/>
                <w:szCs w:val="25"/>
              </w:rPr>
            </w:pPr>
          </w:p>
          <w:p w:rsidR="00247647" w:rsidRPr="003259B2" w:rsidRDefault="00247647" w:rsidP="00247647">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Atbilstoši likumprojekta 4. un 8.pantā, un 11.panta trešajā daļā dotajiem deleģējumiem, Ministru kabinetam attiecīgie noteikumu projekti ir jāizdod līdz 2018.gada 1.janvārim.</w:t>
            </w:r>
          </w:p>
          <w:p w:rsidR="00247647" w:rsidRPr="003259B2" w:rsidRDefault="00247647" w:rsidP="00247647">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Atbilstoši likumprojekta 6. un 10.pantā, un 11.panta pirmajā daļā dotajiem deleģējumiem, Ministru kabinetam attiecīgie noteikumu projekti ir jāizdod līdz 2018.gada 1.maijam.</w:t>
            </w:r>
          </w:p>
          <w:p w:rsidR="00247647" w:rsidRPr="003259B2" w:rsidRDefault="00247647" w:rsidP="00247647">
            <w:pPr>
              <w:pStyle w:val="naisnod"/>
              <w:spacing w:before="0" w:after="0"/>
              <w:jc w:val="both"/>
              <w:rPr>
                <w:b w:val="0"/>
                <w:sz w:val="25"/>
                <w:szCs w:val="25"/>
              </w:rPr>
            </w:pPr>
          </w:p>
        </w:tc>
      </w:tr>
      <w:tr w:rsidR="00460592" w:rsidRPr="003259B2" w:rsidTr="00EB1788">
        <w:trPr>
          <w:trHeight w:hRule="exact" w:val="593"/>
          <w:jc w:val="center"/>
        </w:trPr>
        <w:tc>
          <w:tcPr>
            <w:tcW w:w="1552" w:type="dxa"/>
            <w:tcBorders>
              <w:top w:val="outset" w:sz="6" w:space="0" w:color="414142"/>
              <w:left w:val="outset" w:sz="6" w:space="0" w:color="414142"/>
              <w:bottom w:val="outset" w:sz="6" w:space="0" w:color="414142"/>
              <w:right w:val="outset" w:sz="6" w:space="0" w:color="414142"/>
            </w:tcBorders>
            <w:hideMark/>
          </w:tcPr>
          <w:p w:rsidR="00460592" w:rsidRPr="003259B2" w:rsidRDefault="00460592" w:rsidP="00A610D9">
            <w:pPr>
              <w:rPr>
                <w:rFonts w:ascii="Times New Roman" w:hAnsi="Times New Roman" w:cs="Times New Roman"/>
                <w:sz w:val="25"/>
                <w:szCs w:val="25"/>
              </w:rPr>
            </w:pPr>
            <w:r w:rsidRPr="003259B2">
              <w:rPr>
                <w:rFonts w:ascii="Times New Roman" w:hAnsi="Times New Roman" w:cs="Times New Roman"/>
                <w:sz w:val="25"/>
                <w:szCs w:val="25"/>
              </w:rPr>
              <w:t>Atbildīgā institūcija</w:t>
            </w:r>
          </w:p>
        </w:tc>
        <w:tc>
          <w:tcPr>
            <w:tcW w:w="7520" w:type="dxa"/>
            <w:tcBorders>
              <w:top w:val="outset" w:sz="6" w:space="0" w:color="414142"/>
              <w:left w:val="outset" w:sz="6" w:space="0" w:color="414142"/>
              <w:bottom w:val="outset" w:sz="6" w:space="0" w:color="414142"/>
              <w:right w:val="outset" w:sz="6" w:space="0" w:color="414142"/>
            </w:tcBorders>
            <w:hideMark/>
          </w:tcPr>
          <w:p w:rsidR="00460592" w:rsidRPr="003259B2" w:rsidRDefault="00460592" w:rsidP="00A610D9">
            <w:pPr>
              <w:rPr>
                <w:rFonts w:ascii="Times New Roman" w:hAnsi="Times New Roman" w:cs="Times New Roman"/>
                <w:sz w:val="25"/>
                <w:szCs w:val="25"/>
              </w:rPr>
            </w:pPr>
            <w:r w:rsidRPr="003259B2">
              <w:rPr>
                <w:rFonts w:ascii="Times New Roman" w:hAnsi="Times New Roman" w:cs="Times New Roman"/>
                <w:sz w:val="25"/>
                <w:szCs w:val="25"/>
              </w:rPr>
              <w:t>Finanšu ministrija</w:t>
            </w:r>
          </w:p>
        </w:tc>
      </w:tr>
      <w:tr w:rsidR="00460592" w:rsidRPr="003259B2" w:rsidTr="00EB1788">
        <w:trPr>
          <w:trHeight w:hRule="exact" w:val="390"/>
          <w:jc w:val="center"/>
        </w:trPr>
        <w:tc>
          <w:tcPr>
            <w:tcW w:w="1552" w:type="dxa"/>
            <w:tcBorders>
              <w:top w:val="outset" w:sz="6" w:space="0" w:color="414142"/>
              <w:left w:val="outset" w:sz="6" w:space="0" w:color="414142"/>
              <w:bottom w:val="outset" w:sz="6" w:space="0" w:color="414142"/>
              <w:right w:val="outset" w:sz="6" w:space="0" w:color="414142"/>
            </w:tcBorders>
            <w:hideMark/>
          </w:tcPr>
          <w:p w:rsidR="00460592" w:rsidRPr="003259B2" w:rsidRDefault="00460592" w:rsidP="00A610D9">
            <w:pPr>
              <w:rPr>
                <w:rFonts w:ascii="Times New Roman" w:hAnsi="Times New Roman" w:cs="Times New Roman"/>
                <w:sz w:val="25"/>
                <w:szCs w:val="25"/>
              </w:rPr>
            </w:pPr>
            <w:r w:rsidRPr="003259B2">
              <w:rPr>
                <w:rFonts w:ascii="Times New Roman" w:hAnsi="Times New Roman" w:cs="Times New Roman"/>
                <w:sz w:val="25"/>
                <w:szCs w:val="25"/>
              </w:rPr>
              <w:t>Cita informācija</w:t>
            </w:r>
          </w:p>
        </w:tc>
        <w:tc>
          <w:tcPr>
            <w:tcW w:w="7520" w:type="dxa"/>
            <w:tcBorders>
              <w:top w:val="outset" w:sz="6" w:space="0" w:color="414142"/>
              <w:left w:val="outset" w:sz="6" w:space="0" w:color="414142"/>
              <w:bottom w:val="outset" w:sz="6" w:space="0" w:color="414142"/>
              <w:right w:val="outset" w:sz="6" w:space="0" w:color="414142"/>
            </w:tcBorders>
            <w:hideMark/>
          </w:tcPr>
          <w:p w:rsidR="00460592" w:rsidRPr="003259B2" w:rsidRDefault="00460592" w:rsidP="00A610D9">
            <w:pPr>
              <w:pStyle w:val="tvhtml"/>
              <w:spacing w:line="293" w:lineRule="atLeast"/>
              <w:rPr>
                <w:sz w:val="25"/>
                <w:szCs w:val="25"/>
              </w:rPr>
            </w:pPr>
            <w:r w:rsidRPr="003259B2">
              <w:rPr>
                <w:sz w:val="25"/>
                <w:szCs w:val="25"/>
              </w:rPr>
              <w:t>Nav</w:t>
            </w:r>
          </w:p>
        </w:tc>
      </w:tr>
    </w:tbl>
    <w:p w:rsidR="006D0220" w:rsidRPr="003259B2" w:rsidRDefault="006D0220" w:rsidP="006D0220">
      <w:pPr>
        <w:pStyle w:val="naisf"/>
        <w:spacing w:before="0" w:after="0"/>
        <w:ind w:firstLine="0"/>
        <w:rPr>
          <w:sz w:val="25"/>
          <w:szCs w:val="25"/>
        </w:rPr>
      </w:pPr>
    </w:p>
    <w:p w:rsidR="009931C2" w:rsidRPr="003259B2" w:rsidRDefault="009931C2" w:rsidP="006D0220">
      <w:pPr>
        <w:pStyle w:val="naisf"/>
        <w:spacing w:before="0" w:after="0"/>
        <w:ind w:firstLine="0"/>
        <w:rPr>
          <w:sz w:val="25"/>
          <w:szCs w:val="25"/>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67"/>
      </w:tblGrid>
      <w:tr w:rsidR="003A4B05" w:rsidRPr="003259B2" w:rsidTr="00684F5F">
        <w:trPr>
          <w:trHeight w:val="291"/>
          <w:jc w:val="center"/>
        </w:trPr>
        <w:tc>
          <w:tcPr>
            <w:tcW w:w="9067" w:type="dxa"/>
          </w:tcPr>
          <w:p w:rsidR="003A4B05" w:rsidRPr="003259B2" w:rsidRDefault="003A4B05" w:rsidP="003A4B05">
            <w:pPr>
              <w:pStyle w:val="naisf"/>
              <w:rPr>
                <w:b/>
                <w:bCs/>
                <w:sz w:val="25"/>
                <w:szCs w:val="25"/>
              </w:rPr>
            </w:pPr>
            <w:r w:rsidRPr="003259B2">
              <w:rPr>
                <w:b/>
                <w:bCs/>
                <w:sz w:val="25"/>
                <w:szCs w:val="25"/>
              </w:rPr>
              <w:t xml:space="preserve">V. </w:t>
            </w:r>
            <w:r w:rsidRPr="003259B2">
              <w:rPr>
                <w:b/>
                <w:sz w:val="25"/>
                <w:szCs w:val="25"/>
              </w:rPr>
              <w:t>Tiesību aktu projekta atbilstība Latvijas Republikas starptautiskajām saistībām</w:t>
            </w:r>
          </w:p>
        </w:tc>
      </w:tr>
      <w:tr w:rsidR="003A4B05" w:rsidRPr="003259B2" w:rsidTr="00684F5F">
        <w:trPr>
          <w:trHeight w:val="291"/>
          <w:jc w:val="center"/>
        </w:trPr>
        <w:tc>
          <w:tcPr>
            <w:tcW w:w="9067" w:type="dxa"/>
          </w:tcPr>
          <w:p w:rsidR="003A4B05" w:rsidRPr="003259B2" w:rsidRDefault="003A4B05" w:rsidP="003A4B05">
            <w:pPr>
              <w:pStyle w:val="naisf"/>
              <w:rPr>
                <w:bCs/>
                <w:sz w:val="25"/>
                <w:szCs w:val="25"/>
              </w:rPr>
            </w:pPr>
            <w:r w:rsidRPr="003259B2">
              <w:rPr>
                <w:bCs/>
                <w:sz w:val="25"/>
                <w:szCs w:val="25"/>
              </w:rPr>
              <w:t>Projekts šo jomu neskar</w:t>
            </w:r>
          </w:p>
        </w:tc>
      </w:tr>
    </w:tbl>
    <w:p w:rsidR="003A4B05" w:rsidRPr="003259B2" w:rsidRDefault="003A4B05" w:rsidP="006D0220">
      <w:pPr>
        <w:pStyle w:val="naisf"/>
        <w:spacing w:before="0" w:after="0"/>
        <w:ind w:firstLine="0"/>
        <w:rPr>
          <w:sz w:val="25"/>
          <w:szCs w:val="25"/>
        </w:rPr>
      </w:pPr>
    </w:p>
    <w:p w:rsidR="009931C2" w:rsidRPr="003259B2" w:rsidRDefault="009931C2" w:rsidP="006D0220">
      <w:pPr>
        <w:pStyle w:val="naisf"/>
        <w:spacing w:before="0" w:after="0"/>
        <w:ind w:firstLine="0"/>
        <w:rPr>
          <w:sz w:val="25"/>
          <w:szCs w:val="25"/>
        </w:rPr>
      </w:pPr>
    </w:p>
    <w:tbl>
      <w:tblPr>
        <w:tblW w:w="500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4"/>
        <w:gridCol w:w="3220"/>
        <w:gridCol w:w="5087"/>
      </w:tblGrid>
      <w:tr w:rsidR="006D0220" w:rsidRPr="003259B2" w:rsidTr="00684F5F">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D0220" w:rsidRPr="003259B2" w:rsidRDefault="006D0220" w:rsidP="00944AD6">
            <w:pPr>
              <w:pStyle w:val="tvhtml"/>
              <w:spacing w:line="293" w:lineRule="atLeast"/>
              <w:jc w:val="center"/>
              <w:rPr>
                <w:b/>
                <w:bCs/>
                <w:sz w:val="25"/>
                <w:szCs w:val="25"/>
              </w:rPr>
            </w:pPr>
            <w:r w:rsidRPr="003259B2">
              <w:rPr>
                <w:b/>
                <w:bCs/>
                <w:sz w:val="25"/>
                <w:szCs w:val="25"/>
              </w:rPr>
              <w:t>VI. Sabiedrības līdzdalība un komunikācijas aktivitātes</w:t>
            </w:r>
          </w:p>
        </w:tc>
      </w:tr>
      <w:tr w:rsidR="006D0220" w:rsidRPr="003259B2" w:rsidTr="00684F5F">
        <w:trPr>
          <w:trHeight w:val="540"/>
          <w:jc w:val="center"/>
        </w:trPr>
        <w:tc>
          <w:tcPr>
            <w:tcW w:w="421"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1.</w:t>
            </w:r>
          </w:p>
        </w:tc>
        <w:tc>
          <w:tcPr>
            <w:tcW w:w="1775"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Plānotās sabiedrības līdzdalības un komunikācijas aktivitātes saistībā ar projektu</w:t>
            </w:r>
          </w:p>
        </w:tc>
        <w:tc>
          <w:tcPr>
            <w:tcW w:w="2804" w:type="pct"/>
            <w:tcBorders>
              <w:top w:val="outset" w:sz="6" w:space="0" w:color="414142"/>
              <w:left w:val="outset" w:sz="6" w:space="0" w:color="414142"/>
              <w:bottom w:val="outset" w:sz="6" w:space="0" w:color="414142"/>
              <w:right w:val="outset" w:sz="6" w:space="0" w:color="414142"/>
            </w:tcBorders>
            <w:hideMark/>
          </w:tcPr>
          <w:p w:rsidR="006D0220" w:rsidRPr="003259B2" w:rsidRDefault="00BF414A" w:rsidP="00B2289A">
            <w:pPr>
              <w:jc w:val="both"/>
              <w:rPr>
                <w:rFonts w:ascii="Times New Roman" w:hAnsi="Times New Roman" w:cs="Times New Roman"/>
                <w:sz w:val="25"/>
                <w:szCs w:val="25"/>
              </w:rPr>
            </w:pPr>
            <w:r w:rsidRPr="003259B2">
              <w:rPr>
                <w:rFonts w:ascii="Times New Roman" w:hAnsi="Times New Roman" w:cs="Times New Roman"/>
                <w:iCs/>
                <w:sz w:val="25"/>
                <w:szCs w:val="25"/>
              </w:rPr>
              <w:t>Sabiedrības informēšanai likumprojekts pēc iesniegšanas Ministru kabinetā tiks publicēts Ministru kabineta mājas lapā sadaļā “Tiesību aktu projekti”.</w:t>
            </w:r>
          </w:p>
        </w:tc>
      </w:tr>
      <w:tr w:rsidR="006D0220" w:rsidRPr="003259B2" w:rsidTr="00684F5F">
        <w:trPr>
          <w:trHeight w:val="330"/>
          <w:jc w:val="center"/>
        </w:trPr>
        <w:tc>
          <w:tcPr>
            <w:tcW w:w="421"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2.</w:t>
            </w:r>
          </w:p>
        </w:tc>
        <w:tc>
          <w:tcPr>
            <w:tcW w:w="1775"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Sabiedrības līdzdalība projekta izstrādē</w:t>
            </w:r>
          </w:p>
        </w:tc>
        <w:tc>
          <w:tcPr>
            <w:tcW w:w="2804" w:type="pct"/>
            <w:tcBorders>
              <w:top w:val="outset" w:sz="6" w:space="0" w:color="414142"/>
              <w:left w:val="outset" w:sz="6" w:space="0" w:color="414142"/>
              <w:bottom w:val="outset" w:sz="6" w:space="0" w:color="414142"/>
              <w:right w:val="outset" w:sz="6" w:space="0" w:color="414142"/>
            </w:tcBorders>
            <w:hideMark/>
          </w:tcPr>
          <w:p w:rsidR="006D0220" w:rsidRPr="003259B2" w:rsidRDefault="00BF414A" w:rsidP="00076404">
            <w:pPr>
              <w:jc w:val="both"/>
              <w:rPr>
                <w:rFonts w:ascii="Times New Roman" w:hAnsi="Times New Roman" w:cs="Times New Roman"/>
                <w:iCs/>
                <w:sz w:val="25"/>
                <w:szCs w:val="25"/>
              </w:rPr>
            </w:pPr>
            <w:r w:rsidRPr="003259B2">
              <w:rPr>
                <w:rFonts w:ascii="Times New Roman" w:hAnsi="Times New Roman" w:cs="Times New Roman"/>
                <w:iCs/>
                <w:sz w:val="25"/>
                <w:szCs w:val="25"/>
              </w:rPr>
              <w:t xml:space="preserve">Likumprojekts </w:t>
            </w:r>
            <w:r w:rsidR="00120AA3" w:rsidRPr="003259B2">
              <w:rPr>
                <w:rFonts w:ascii="Times New Roman" w:hAnsi="Times New Roman" w:cs="Times New Roman"/>
                <w:iCs/>
                <w:sz w:val="25"/>
                <w:szCs w:val="25"/>
              </w:rPr>
              <w:t>ir</w:t>
            </w:r>
            <w:r w:rsidR="00D71EDA" w:rsidRPr="003259B2">
              <w:rPr>
                <w:rFonts w:ascii="Times New Roman" w:hAnsi="Times New Roman" w:cs="Times New Roman"/>
                <w:iCs/>
                <w:sz w:val="25"/>
                <w:szCs w:val="25"/>
              </w:rPr>
              <w:t xml:space="preserve"> </w:t>
            </w:r>
            <w:r w:rsidRPr="003259B2">
              <w:rPr>
                <w:rFonts w:ascii="Times New Roman" w:hAnsi="Times New Roman" w:cs="Times New Roman"/>
                <w:iCs/>
                <w:sz w:val="25"/>
                <w:szCs w:val="25"/>
              </w:rPr>
              <w:t xml:space="preserve">nosūtīts </w:t>
            </w:r>
            <w:r w:rsidR="00120AA3" w:rsidRPr="003259B2">
              <w:rPr>
                <w:rFonts w:ascii="Times New Roman" w:hAnsi="Times New Roman" w:cs="Times New Roman"/>
                <w:iCs/>
                <w:sz w:val="25"/>
                <w:szCs w:val="25"/>
              </w:rPr>
              <w:t xml:space="preserve">saskaņošanai </w:t>
            </w:r>
            <w:r w:rsidRPr="003259B2">
              <w:rPr>
                <w:rFonts w:ascii="Times New Roman" w:hAnsi="Times New Roman" w:cs="Times New Roman"/>
                <w:iCs/>
                <w:sz w:val="25"/>
                <w:szCs w:val="25"/>
              </w:rPr>
              <w:t>Latvijas Tirdzniecības un rūpniecības kamerai, Latvijas Darba devēju konfederācijai</w:t>
            </w:r>
            <w:r w:rsidR="00120AA3" w:rsidRPr="003259B2">
              <w:rPr>
                <w:rFonts w:ascii="Times New Roman" w:hAnsi="Times New Roman" w:cs="Times New Roman"/>
                <w:iCs/>
                <w:sz w:val="25"/>
                <w:szCs w:val="25"/>
              </w:rPr>
              <w:t>, biedrībai</w:t>
            </w:r>
            <w:r w:rsidRPr="003259B2">
              <w:rPr>
                <w:rFonts w:ascii="Times New Roman" w:hAnsi="Times New Roman" w:cs="Times New Roman"/>
                <w:iCs/>
                <w:sz w:val="25"/>
                <w:szCs w:val="25"/>
              </w:rPr>
              <w:t xml:space="preserve"> </w:t>
            </w:r>
            <w:r w:rsidR="00120AA3" w:rsidRPr="003259B2">
              <w:rPr>
                <w:rFonts w:ascii="Times New Roman" w:hAnsi="Times New Roman" w:cs="Times New Roman"/>
                <w:iCs/>
                <w:sz w:val="25"/>
                <w:szCs w:val="25"/>
              </w:rPr>
              <w:t>“</w:t>
            </w:r>
            <w:r w:rsidRPr="003259B2">
              <w:rPr>
                <w:rFonts w:ascii="Times New Roman" w:hAnsi="Times New Roman" w:cs="Times New Roman"/>
                <w:iCs/>
                <w:sz w:val="25"/>
                <w:szCs w:val="25"/>
              </w:rPr>
              <w:t>Latvijas Spēļu biznesa asociācija</w:t>
            </w:r>
            <w:r w:rsidR="00120AA3" w:rsidRPr="003259B2">
              <w:rPr>
                <w:rFonts w:ascii="Times New Roman" w:hAnsi="Times New Roman" w:cs="Times New Roman"/>
                <w:iCs/>
                <w:sz w:val="25"/>
                <w:szCs w:val="25"/>
              </w:rPr>
              <w:t>”</w:t>
            </w:r>
            <w:r w:rsidR="00BD1517" w:rsidRPr="003259B2">
              <w:rPr>
                <w:rFonts w:ascii="Times New Roman" w:hAnsi="Times New Roman" w:cs="Times New Roman"/>
                <w:iCs/>
                <w:sz w:val="25"/>
                <w:szCs w:val="25"/>
              </w:rPr>
              <w:t>, kā arī VAS “Latvijas Loto”</w:t>
            </w:r>
            <w:r w:rsidRPr="003259B2">
              <w:rPr>
                <w:rFonts w:ascii="Times New Roman" w:hAnsi="Times New Roman" w:cs="Times New Roman"/>
                <w:iCs/>
                <w:sz w:val="25"/>
                <w:szCs w:val="25"/>
              </w:rPr>
              <w:t>.</w:t>
            </w:r>
          </w:p>
        </w:tc>
      </w:tr>
      <w:tr w:rsidR="006D0220" w:rsidRPr="003259B2" w:rsidTr="00684F5F">
        <w:trPr>
          <w:trHeight w:val="465"/>
          <w:jc w:val="center"/>
        </w:trPr>
        <w:tc>
          <w:tcPr>
            <w:tcW w:w="421"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3.</w:t>
            </w:r>
          </w:p>
        </w:tc>
        <w:tc>
          <w:tcPr>
            <w:tcW w:w="1775"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Sabiedrības līdzdalības rezultāti</w:t>
            </w:r>
          </w:p>
        </w:tc>
        <w:tc>
          <w:tcPr>
            <w:tcW w:w="2804" w:type="pct"/>
            <w:tcBorders>
              <w:top w:val="outset" w:sz="6" w:space="0" w:color="414142"/>
              <w:left w:val="outset" w:sz="6" w:space="0" w:color="414142"/>
              <w:bottom w:val="outset" w:sz="6" w:space="0" w:color="414142"/>
              <w:right w:val="outset" w:sz="6" w:space="0" w:color="414142"/>
            </w:tcBorders>
            <w:hideMark/>
          </w:tcPr>
          <w:p w:rsidR="00F249CE" w:rsidRPr="003259B2" w:rsidRDefault="00F249CE" w:rsidP="00F249CE">
            <w:pPr>
              <w:jc w:val="both"/>
              <w:rPr>
                <w:rFonts w:ascii="Times New Roman" w:hAnsi="Times New Roman" w:cs="Times New Roman"/>
                <w:sz w:val="25"/>
                <w:szCs w:val="25"/>
              </w:rPr>
            </w:pPr>
            <w:r w:rsidRPr="003259B2">
              <w:rPr>
                <w:rFonts w:ascii="Times New Roman" w:hAnsi="Times New Roman" w:cs="Times New Roman"/>
                <w:iCs/>
                <w:sz w:val="25"/>
                <w:szCs w:val="25"/>
              </w:rPr>
              <w:t xml:space="preserve">Likumprojekts bez iebildumiem saskaņots ar Latvijas Darba devēju konfederāciju, biedrību “Latvijas Spēļu biznesa asociācija” un VAS “Latvijas Loto”. No Latvijas Tirdzniecības un rūpniecības kameras atzinums nav saņemts. </w:t>
            </w:r>
          </w:p>
        </w:tc>
      </w:tr>
      <w:tr w:rsidR="006D0220" w:rsidRPr="003259B2" w:rsidTr="00684F5F">
        <w:trPr>
          <w:trHeight w:val="465"/>
          <w:jc w:val="center"/>
        </w:trPr>
        <w:tc>
          <w:tcPr>
            <w:tcW w:w="421"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4.</w:t>
            </w:r>
          </w:p>
        </w:tc>
        <w:tc>
          <w:tcPr>
            <w:tcW w:w="1775"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rPr>
                <w:rFonts w:ascii="Times New Roman" w:hAnsi="Times New Roman" w:cs="Times New Roman"/>
                <w:sz w:val="25"/>
                <w:szCs w:val="25"/>
              </w:rPr>
            </w:pPr>
            <w:r w:rsidRPr="003259B2">
              <w:rPr>
                <w:rFonts w:ascii="Times New Roman" w:hAnsi="Times New Roman" w:cs="Times New Roman"/>
                <w:sz w:val="25"/>
                <w:szCs w:val="25"/>
              </w:rPr>
              <w:t>Cita informācija</w:t>
            </w:r>
          </w:p>
        </w:tc>
        <w:tc>
          <w:tcPr>
            <w:tcW w:w="2804" w:type="pct"/>
            <w:tcBorders>
              <w:top w:val="outset" w:sz="6" w:space="0" w:color="414142"/>
              <w:left w:val="outset" w:sz="6" w:space="0" w:color="414142"/>
              <w:bottom w:val="outset" w:sz="6" w:space="0" w:color="414142"/>
              <w:right w:val="outset" w:sz="6" w:space="0" w:color="414142"/>
            </w:tcBorders>
            <w:hideMark/>
          </w:tcPr>
          <w:p w:rsidR="006D0220" w:rsidRPr="003259B2" w:rsidRDefault="006D0220" w:rsidP="00944AD6">
            <w:pPr>
              <w:pStyle w:val="tvhtml"/>
              <w:spacing w:line="293" w:lineRule="atLeast"/>
              <w:rPr>
                <w:sz w:val="25"/>
                <w:szCs w:val="25"/>
              </w:rPr>
            </w:pPr>
            <w:r w:rsidRPr="003259B2">
              <w:rPr>
                <w:sz w:val="25"/>
                <w:szCs w:val="25"/>
              </w:rPr>
              <w:t>Nav</w:t>
            </w:r>
            <w:r w:rsidR="00776931" w:rsidRPr="003259B2">
              <w:rPr>
                <w:sz w:val="25"/>
                <w:szCs w:val="25"/>
              </w:rPr>
              <w:t>.</w:t>
            </w:r>
          </w:p>
        </w:tc>
      </w:tr>
    </w:tbl>
    <w:p w:rsidR="00BF414A" w:rsidRPr="003259B2" w:rsidRDefault="00BF414A" w:rsidP="006D0220">
      <w:pPr>
        <w:pStyle w:val="naisf"/>
        <w:spacing w:before="0" w:after="0"/>
        <w:ind w:firstLine="0"/>
        <w:rPr>
          <w:sz w:val="25"/>
          <w:szCs w:val="25"/>
        </w:rPr>
      </w:pPr>
    </w:p>
    <w:tbl>
      <w:tblPr>
        <w:tblpPr w:leftFromText="180" w:rightFromText="180" w:vertAnchor="text" w:horzAnchor="margin" w:tblpX="36"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2"/>
        <w:gridCol w:w="3215"/>
        <w:gridCol w:w="5408"/>
      </w:tblGrid>
      <w:tr w:rsidR="006D0220" w:rsidRPr="003259B2" w:rsidTr="00684F5F">
        <w:tc>
          <w:tcPr>
            <w:tcW w:w="5000" w:type="pct"/>
            <w:gridSpan w:val="3"/>
            <w:tcBorders>
              <w:top w:val="outset" w:sz="6" w:space="0" w:color="000000"/>
              <w:left w:val="outset" w:sz="6" w:space="0" w:color="000000"/>
              <w:bottom w:val="outset" w:sz="6" w:space="0" w:color="000000"/>
              <w:right w:val="outset" w:sz="6" w:space="0" w:color="000000"/>
            </w:tcBorders>
          </w:tcPr>
          <w:p w:rsidR="006D0220" w:rsidRPr="003259B2" w:rsidRDefault="006D0220" w:rsidP="00684F5F">
            <w:pPr>
              <w:spacing w:before="100" w:beforeAutospacing="1" w:after="100" w:afterAutospacing="1"/>
              <w:jc w:val="center"/>
              <w:rPr>
                <w:rFonts w:ascii="Times New Roman" w:hAnsi="Times New Roman" w:cs="Times New Roman"/>
                <w:b/>
                <w:bCs/>
                <w:sz w:val="25"/>
                <w:szCs w:val="25"/>
              </w:rPr>
            </w:pPr>
            <w:r w:rsidRPr="003259B2">
              <w:rPr>
                <w:rFonts w:ascii="Times New Roman" w:hAnsi="Times New Roman" w:cs="Times New Roman"/>
                <w:b/>
                <w:bCs/>
                <w:sz w:val="25"/>
                <w:szCs w:val="25"/>
              </w:rPr>
              <w:t>VII. Tiesību akta projekta izpildes nodrošināšana un tās ietekme uz institūcijām</w:t>
            </w:r>
          </w:p>
        </w:tc>
      </w:tr>
      <w:tr w:rsidR="006D0220" w:rsidRPr="003259B2" w:rsidTr="00684F5F">
        <w:tc>
          <w:tcPr>
            <w:tcW w:w="239" w:type="pct"/>
            <w:tcBorders>
              <w:top w:val="single" w:sz="4" w:space="0" w:color="auto"/>
              <w:left w:val="single" w:sz="4" w:space="0" w:color="auto"/>
              <w:bottom w:val="single" w:sz="4" w:space="0" w:color="auto"/>
              <w:right w:val="single" w:sz="4" w:space="0" w:color="auto"/>
            </w:tcBorders>
          </w:tcPr>
          <w:p w:rsidR="006D0220" w:rsidRPr="003259B2" w:rsidRDefault="006D0220"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sz w:val="25"/>
                <w:szCs w:val="25"/>
              </w:rPr>
              <w:t>1.</w:t>
            </w:r>
          </w:p>
        </w:tc>
        <w:tc>
          <w:tcPr>
            <w:tcW w:w="1775" w:type="pct"/>
            <w:tcBorders>
              <w:top w:val="outset" w:sz="6" w:space="0" w:color="000000"/>
              <w:left w:val="single" w:sz="4" w:space="0" w:color="auto"/>
              <w:bottom w:val="outset" w:sz="6" w:space="0" w:color="000000"/>
              <w:right w:val="outset" w:sz="6" w:space="0" w:color="000000"/>
            </w:tcBorders>
          </w:tcPr>
          <w:p w:rsidR="006D0220" w:rsidRPr="003259B2" w:rsidRDefault="006D0220"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sz w:val="25"/>
                <w:szCs w:val="25"/>
              </w:rPr>
              <w:t>Projekta izpildē iesaistītās institūcijas</w:t>
            </w:r>
          </w:p>
        </w:tc>
        <w:tc>
          <w:tcPr>
            <w:tcW w:w="2986" w:type="pct"/>
            <w:tcBorders>
              <w:top w:val="outset" w:sz="6" w:space="0" w:color="000000"/>
              <w:left w:val="outset" w:sz="6" w:space="0" w:color="000000"/>
              <w:bottom w:val="outset" w:sz="6" w:space="0" w:color="000000"/>
              <w:right w:val="outset" w:sz="6" w:space="0" w:color="000000"/>
            </w:tcBorders>
          </w:tcPr>
          <w:p w:rsidR="006D0220" w:rsidRPr="003259B2" w:rsidRDefault="00817D05"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iCs/>
                <w:sz w:val="25"/>
                <w:szCs w:val="25"/>
              </w:rPr>
              <w:t>Izložu un azartspēļu uzraudzības inspekcija, Valsts ieņēmumu dienests, VAS “Latvijas Loto”.</w:t>
            </w:r>
          </w:p>
        </w:tc>
      </w:tr>
      <w:tr w:rsidR="006D0220" w:rsidRPr="003259B2" w:rsidTr="00684F5F">
        <w:tc>
          <w:tcPr>
            <w:tcW w:w="239" w:type="pct"/>
            <w:tcBorders>
              <w:top w:val="single" w:sz="4" w:space="0" w:color="auto"/>
              <w:left w:val="outset" w:sz="6" w:space="0" w:color="000000"/>
              <w:bottom w:val="outset" w:sz="6" w:space="0" w:color="000000"/>
              <w:right w:val="outset" w:sz="6" w:space="0" w:color="000000"/>
            </w:tcBorders>
          </w:tcPr>
          <w:p w:rsidR="006D0220" w:rsidRPr="003259B2" w:rsidRDefault="006D0220"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sz w:val="25"/>
                <w:szCs w:val="25"/>
              </w:rPr>
              <w:t>2.</w:t>
            </w:r>
          </w:p>
        </w:tc>
        <w:tc>
          <w:tcPr>
            <w:tcW w:w="1775" w:type="pct"/>
            <w:tcBorders>
              <w:top w:val="outset" w:sz="6" w:space="0" w:color="000000"/>
              <w:left w:val="outset" w:sz="6" w:space="0" w:color="000000"/>
              <w:bottom w:val="outset" w:sz="6" w:space="0" w:color="000000"/>
              <w:right w:val="outset" w:sz="6" w:space="0" w:color="000000"/>
            </w:tcBorders>
          </w:tcPr>
          <w:p w:rsidR="006D0220" w:rsidRPr="003259B2" w:rsidRDefault="006D0220" w:rsidP="00684F5F">
            <w:pPr>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Projekta izpildes ietekme uz pārvaldes funkcijām un institucionālo struktūru</w:t>
            </w:r>
          </w:p>
          <w:p w:rsidR="00B2289A" w:rsidRPr="003259B2" w:rsidRDefault="00B2289A" w:rsidP="00684F5F">
            <w:pPr>
              <w:spacing w:after="0" w:line="240" w:lineRule="auto"/>
              <w:jc w:val="both"/>
              <w:rPr>
                <w:rFonts w:ascii="Times New Roman" w:hAnsi="Times New Roman" w:cs="Times New Roman"/>
                <w:sz w:val="25"/>
                <w:szCs w:val="25"/>
              </w:rPr>
            </w:pPr>
          </w:p>
          <w:p w:rsidR="00A61DD3" w:rsidRPr="003259B2" w:rsidRDefault="00A61DD3" w:rsidP="00684F5F">
            <w:pPr>
              <w:spacing w:after="0" w:line="240" w:lineRule="auto"/>
              <w:jc w:val="both"/>
              <w:rPr>
                <w:rFonts w:ascii="Times New Roman" w:hAnsi="Times New Roman" w:cs="Times New Roman"/>
                <w:sz w:val="25"/>
                <w:szCs w:val="25"/>
              </w:rPr>
            </w:pPr>
          </w:p>
          <w:p w:rsidR="006D0220" w:rsidRPr="003259B2" w:rsidRDefault="006D0220" w:rsidP="00684F5F">
            <w:pPr>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Jaunu institūciju izveide, esošu institūciju likvidācija vai reorganizācija, to ietekme uz institūcijas cilvēkresursiem</w:t>
            </w:r>
          </w:p>
        </w:tc>
        <w:tc>
          <w:tcPr>
            <w:tcW w:w="2986" w:type="pct"/>
            <w:tcBorders>
              <w:top w:val="outset" w:sz="6" w:space="0" w:color="000000"/>
              <w:left w:val="outset" w:sz="6" w:space="0" w:color="000000"/>
              <w:bottom w:val="outset" w:sz="6" w:space="0" w:color="000000"/>
              <w:right w:val="outset" w:sz="6" w:space="0" w:color="000000"/>
            </w:tcBorders>
          </w:tcPr>
          <w:p w:rsidR="00B2289A" w:rsidRPr="003259B2" w:rsidRDefault="00B2289A" w:rsidP="00684F5F">
            <w:pPr>
              <w:tabs>
                <w:tab w:val="center" w:pos="4680"/>
                <w:tab w:val="right" w:pos="9360"/>
              </w:tabs>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Izložu un azartspēļu uzraudzības inspekcija</w:t>
            </w:r>
            <w:r w:rsidR="00E87452" w:rsidRPr="003259B2">
              <w:rPr>
                <w:rFonts w:ascii="Times New Roman" w:hAnsi="Times New Roman" w:cs="Times New Roman"/>
                <w:sz w:val="25"/>
                <w:szCs w:val="25"/>
              </w:rPr>
              <w:t>i</w:t>
            </w:r>
            <w:r w:rsidRPr="003259B2">
              <w:rPr>
                <w:rFonts w:ascii="Times New Roman" w:hAnsi="Times New Roman" w:cs="Times New Roman"/>
                <w:sz w:val="25"/>
                <w:szCs w:val="25"/>
              </w:rPr>
              <w:t xml:space="preserve"> </w:t>
            </w:r>
            <w:r w:rsidR="00E87452" w:rsidRPr="003259B2">
              <w:rPr>
                <w:rFonts w:ascii="Times New Roman" w:hAnsi="Times New Roman" w:cs="Times New Roman"/>
                <w:iCs/>
                <w:sz w:val="25"/>
                <w:szCs w:val="25"/>
              </w:rPr>
              <w:t xml:space="preserve"> paredzēta jauna funkcija </w:t>
            </w:r>
            <w:r w:rsidRPr="003259B2">
              <w:rPr>
                <w:rFonts w:ascii="Times New Roman" w:hAnsi="Times New Roman" w:cs="Times New Roman"/>
                <w:sz w:val="25"/>
                <w:szCs w:val="25"/>
              </w:rPr>
              <w:t>veikt arī azartspēļu pakalpojumu sniedzēju licencēšanu, uzraudzību un kontroli</w:t>
            </w:r>
            <w:r w:rsidR="00A61DD3" w:rsidRPr="003259B2">
              <w:rPr>
                <w:rFonts w:ascii="Times New Roman" w:hAnsi="Times New Roman" w:cs="Times New Roman"/>
                <w:sz w:val="25"/>
                <w:szCs w:val="25"/>
              </w:rPr>
              <w:t xml:space="preserve">, kas </w:t>
            </w:r>
            <w:r w:rsidR="00A61DD3" w:rsidRPr="003259B2">
              <w:rPr>
                <w:iCs/>
                <w:sz w:val="25"/>
                <w:szCs w:val="25"/>
              </w:rPr>
              <w:t xml:space="preserve"> </w:t>
            </w:r>
            <w:r w:rsidR="00A61DD3" w:rsidRPr="003259B2">
              <w:rPr>
                <w:rFonts w:ascii="Times New Roman" w:hAnsi="Times New Roman" w:cs="Times New Roman"/>
                <w:iCs/>
                <w:sz w:val="25"/>
                <w:szCs w:val="25"/>
              </w:rPr>
              <w:t>tiks veiktas esošā piešķirtā finansējuma ietvaros.</w:t>
            </w:r>
          </w:p>
          <w:p w:rsidR="00E87452" w:rsidRPr="003259B2" w:rsidRDefault="00E87452" w:rsidP="00684F5F">
            <w:pPr>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Jaunu institūciju izveide, esošo institūciju likvidācija vai reorganizācija netiek paredzēta.</w:t>
            </w:r>
          </w:p>
          <w:p w:rsidR="00E87452" w:rsidRPr="003259B2" w:rsidRDefault="00E87452" w:rsidP="00684F5F">
            <w:pPr>
              <w:spacing w:after="0" w:line="240" w:lineRule="auto"/>
              <w:jc w:val="both"/>
              <w:rPr>
                <w:rFonts w:ascii="Times New Roman" w:hAnsi="Times New Roman" w:cs="Times New Roman"/>
                <w:sz w:val="25"/>
                <w:szCs w:val="25"/>
              </w:rPr>
            </w:pPr>
            <w:r w:rsidRPr="003259B2">
              <w:rPr>
                <w:rFonts w:ascii="Times New Roman" w:hAnsi="Times New Roman" w:cs="Times New Roman"/>
                <w:sz w:val="25"/>
                <w:szCs w:val="25"/>
              </w:rPr>
              <w:t>Likumprojekts tiks realizēts, esošo cilvēkresursu ietvaros.</w:t>
            </w:r>
          </w:p>
        </w:tc>
      </w:tr>
      <w:tr w:rsidR="006D0220" w:rsidRPr="003259B2" w:rsidTr="00684F5F">
        <w:tc>
          <w:tcPr>
            <w:tcW w:w="239" w:type="pct"/>
            <w:tcBorders>
              <w:top w:val="outset" w:sz="6" w:space="0" w:color="000000"/>
              <w:left w:val="outset" w:sz="6" w:space="0" w:color="000000"/>
              <w:bottom w:val="outset" w:sz="6" w:space="0" w:color="000000"/>
              <w:right w:val="outset" w:sz="6" w:space="0" w:color="000000"/>
            </w:tcBorders>
          </w:tcPr>
          <w:p w:rsidR="006D0220" w:rsidRPr="003259B2" w:rsidRDefault="006D0220"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sz w:val="25"/>
                <w:szCs w:val="25"/>
              </w:rPr>
              <w:t>3.</w:t>
            </w:r>
          </w:p>
        </w:tc>
        <w:tc>
          <w:tcPr>
            <w:tcW w:w="1775" w:type="pct"/>
            <w:tcBorders>
              <w:top w:val="outset" w:sz="6" w:space="0" w:color="000000"/>
              <w:left w:val="outset" w:sz="6" w:space="0" w:color="000000"/>
              <w:bottom w:val="outset" w:sz="6" w:space="0" w:color="000000"/>
              <w:right w:val="outset" w:sz="6" w:space="0" w:color="000000"/>
            </w:tcBorders>
          </w:tcPr>
          <w:p w:rsidR="006D0220" w:rsidRPr="003259B2" w:rsidRDefault="006D0220"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sz w:val="25"/>
                <w:szCs w:val="25"/>
              </w:rPr>
              <w:t>Cita informācija</w:t>
            </w:r>
          </w:p>
        </w:tc>
        <w:tc>
          <w:tcPr>
            <w:tcW w:w="2986" w:type="pct"/>
            <w:tcBorders>
              <w:top w:val="outset" w:sz="6" w:space="0" w:color="000000"/>
              <w:left w:val="outset" w:sz="6" w:space="0" w:color="000000"/>
              <w:bottom w:val="outset" w:sz="6" w:space="0" w:color="000000"/>
              <w:right w:val="outset" w:sz="6" w:space="0" w:color="000000"/>
            </w:tcBorders>
          </w:tcPr>
          <w:p w:rsidR="006D0220" w:rsidRPr="003259B2" w:rsidRDefault="006D0220" w:rsidP="00684F5F">
            <w:pPr>
              <w:spacing w:before="100" w:beforeAutospacing="1" w:after="100" w:afterAutospacing="1"/>
              <w:jc w:val="both"/>
              <w:rPr>
                <w:rFonts w:ascii="Times New Roman" w:hAnsi="Times New Roman" w:cs="Times New Roman"/>
                <w:sz w:val="25"/>
                <w:szCs w:val="25"/>
              </w:rPr>
            </w:pPr>
            <w:r w:rsidRPr="003259B2">
              <w:rPr>
                <w:rFonts w:ascii="Times New Roman" w:hAnsi="Times New Roman" w:cs="Times New Roman"/>
                <w:sz w:val="25"/>
                <w:szCs w:val="25"/>
              </w:rPr>
              <w:t>Nav.</w:t>
            </w:r>
          </w:p>
        </w:tc>
      </w:tr>
    </w:tbl>
    <w:p w:rsidR="001E7D0D" w:rsidRPr="003259B2" w:rsidRDefault="001E7D0D" w:rsidP="00894C55">
      <w:pPr>
        <w:spacing w:after="0" w:line="240" w:lineRule="auto"/>
        <w:rPr>
          <w:rFonts w:ascii="Times New Roman" w:hAnsi="Times New Roman" w:cs="Times New Roman"/>
          <w:color w:val="000000" w:themeColor="text1"/>
          <w:sz w:val="25"/>
          <w:szCs w:val="25"/>
        </w:rPr>
      </w:pPr>
    </w:p>
    <w:p w:rsidR="003E1052" w:rsidRPr="003259B2" w:rsidRDefault="00C311C2" w:rsidP="00894C55">
      <w:pPr>
        <w:tabs>
          <w:tab w:val="left" w:pos="6237"/>
        </w:tabs>
        <w:spacing w:after="0" w:line="240" w:lineRule="auto"/>
        <w:ind w:firstLine="720"/>
        <w:rPr>
          <w:rFonts w:ascii="Times New Roman" w:hAnsi="Times New Roman" w:cs="Times New Roman"/>
          <w:color w:val="000000" w:themeColor="text1"/>
          <w:sz w:val="25"/>
          <w:szCs w:val="25"/>
        </w:rPr>
      </w:pPr>
      <w:r w:rsidRPr="003259B2">
        <w:rPr>
          <w:rFonts w:ascii="Times New Roman" w:hAnsi="Times New Roman" w:cs="Times New Roman"/>
          <w:color w:val="000000" w:themeColor="text1"/>
          <w:sz w:val="25"/>
          <w:szCs w:val="25"/>
        </w:rPr>
        <w:t>Finanšu ministre</w:t>
      </w:r>
      <w:r w:rsidR="003E1052" w:rsidRPr="003259B2">
        <w:rPr>
          <w:rFonts w:ascii="Times New Roman" w:hAnsi="Times New Roman" w:cs="Times New Roman"/>
          <w:color w:val="000000" w:themeColor="text1"/>
          <w:sz w:val="25"/>
          <w:szCs w:val="25"/>
        </w:rPr>
        <w:t xml:space="preserve">s vietā – </w:t>
      </w:r>
    </w:p>
    <w:p w:rsidR="00894C55" w:rsidRPr="003259B2" w:rsidRDefault="003E1052" w:rsidP="00894C55">
      <w:pPr>
        <w:tabs>
          <w:tab w:val="left" w:pos="6237"/>
        </w:tabs>
        <w:spacing w:after="0" w:line="240" w:lineRule="auto"/>
        <w:ind w:firstLine="720"/>
        <w:rPr>
          <w:rFonts w:ascii="Times New Roman" w:hAnsi="Times New Roman" w:cs="Times New Roman"/>
          <w:color w:val="000000" w:themeColor="text1"/>
          <w:sz w:val="25"/>
          <w:szCs w:val="25"/>
        </w:rPr>
      </w:pPr>
      <w:r w:rsidRPr="003259B2">
        <w:rPr>
          <w:rFonts w:ascii="Times New Roman" w:hAnsi="Times New Roman" w:cs="Times New Roman"/>
          <w:color w:val="000000" w:themeColor="text1"/>
          <w:sz w:val="25"/>
          <w:szCs w:val="25"/>
        </w:rPr>
        <w:t>Satiksmes ministrs</w:t>
      </w:r>
      <w:r w:rsidR="00894C55" w:rsidRPr="003259B2">
        <w:rPr>
          <w:rFonts w:ascii="Times New Roman" w:hAnsi="Times New Roman" w:cs="Times New Roman"/>
          <w:color w:val="000000" w:themeColor="text1"/>
          <w:sz w:val="25"/>
          <w:szCs w:val="25"/>
        </w:rPr>
        <w:tab/>
      </w:r>
      <w:r w:rsidR="005D3F0D" w:rsidRPr="003259B2">
        <w:rPr>
          <w:rFonts w:ascii="Times New Roman" w:hAnsi="Times New Roman" w:cs="Times New Roman"/>
          <w:color w:val="000000" w:themeColor="text1"/>
          <w:sz w:val="25"/>
          <w:szCs w:val="25"/>
        </w:rPr>
        <w:tab/>
        <w:t xml:space="preserve">                </w:t>
      </w:r>
      <w:proofErr w:type="spellStart"/>
      <w:r w:rsidRPr="003259B2">
        <w:rPr>
          <w:rFonts w:ascii="Times New Roman" w:hAnsi="Times New Roman" w:cs="Times New Roman"/>
          <w:color w:val="000000" w:themeColor="text1"/>
          <w:sz w:val="25"/>
          <w:szCs w:val="25"/>
        </w:rPr>
        <w:t>U.Augulis</w:t>
      </w:r>
      <w:proofErr w:type="spellEnd"/>
    </w:p>
    <w:p w:rsidR="00894C55" w:rsidRPr="003259B2" w:rsidRDefault="00894C55" w:rsidP="00894C55">
      <w:pPr>
        <w:spacing w:after="0" w:line="240" w:lineRule="auto"/>
        <w:ind w:firstLine="720"/>
        <w:rPr>
          <w:rFonts w:ascii="Times New Roman" w:hAnsi="Times New Roman" w:cs="Times New Roman"/>
          <w:color w:val="000000" w:themeColor="text1"/>
          <w:sz w:val="25"/>
          <w:szCs w:val="25"/>
        </w:rPr>
      </w:pPr>
    </w:p>
    <w:p w:rsidR="00894C55" w:rsidRPr="003259B2" w:rsidRDefault="00894C55" w:rsidP="00894C55">
      <w:pPr>
        <w:spacing w:after="0" w:line="240" w:lineRule="auto"/>
        <w:ind w:firstLine="720"/>
        <w:rPr>
          <w:rFonts w:ascii="Times New Roman" w:hAnsi="Times New Roman" w:cs="Times New Roman"/>
          <w:color w:val="000000" w:themeColor="text1"/>
          <w:sz w:val="25"/>
          <w:szCs w:val="25"/>
        </w:rPr>
      </w:pPr>
    </w:p>
    <w:p w:rsidR="00487766" w:rsidRPr="003259B2" w:rsidRDefault="00C311C2" w:rsidP="00894C55">
      <w:pPr>
        <w:tabs>
          <w:tab w:val="left" w:pos="6237"/>
        </w:tabs>
        <w:spacing w:after="0" w:line="240" w:lineRule="auto"/>
        <w:ind w:firstLine="720"/>
        <w:rPr>
          <w:rFonts w:ascii="Times New Roman" w:hAnsi="Times New Roman" w:cs="Times New Roman"/>
          <w:color w:val="000000" w:themeColor="text1"/>
          <w:sz w:val="25"/>
          <w:szCs w:val="25"/>
        </w:rPr>
      </w:pPr>
      <w:r w:rsidRPr="003259B2">
        <w:rPr>
          <w:rFonts w:ascii="Times New Roman" w:hAnsi="Times New Roman" w:cs="Times New Roman"/>
          <w:color w:val="000000" w:themeColor="text1"/>
          <w:sz w:val="25"/>
          <w:szCs w:val="25"/>
        </w:rPr>
        <w:t>Finanšu ministrijas valsts sekretāre</w:t>
      </w:r>
      <w:r w:rsidR="00487766" w:rsidRPr="003259B2">
        <w:rPr>
          <w:rFonts w:ascii="Times New Roman" w:hAnsi="Times New Roman" w:cs="Times New Roman"/>
          <w:color w:val="000000" w:themeColor="text1"/>
          <w:sz w:val="25"/>
          <w:szCs w:val="25"/>
        </w:rPr>
        <w:t xml:space="preserve">s vietā – </w:t>
      </w:r>
    </w:p>
    <w:p w:rsidR="00E1473F" w:rsidRPr="003259B2" w:rsidRDefault="00E1473F" w:rsidP="003411A3">
      <w:pPr>
        <w:ind w:firstLine="720"/>
        <w:rPr>
          <w:rFonts w:ascii="Times New Roman" w:hAnsi="Times New Roman"/>
          <w:sz w:val="25"/>
          <w:szCs w:val="25"/>
        </w:rPr>
      </w:pPr>
      <w:r w:rsidRPr="003259B2">
        <w:rPr>
          <w:rFonts w:ascii="Times New Roman" w:hAnsi="Times New Roman"/>
          <w:sz w:val="25"/>
          <w:szCs w:val="25"/>
        </w:rPr>
        <w:t xml:space="preserve">Administrācijas vadītāja </w:t>
      </w:r>
      <w:r w:rsidR="003411A3" w:rsidRPr="003259B2">
        <w:rPr>
          <w:rFonts w:ascii="Times New Roman" w:hAnsi="Times New Roman"/>
          <w:sz w:val="25"/>
          <w:szCs w:val="25"/>
        </w:rPr>
        <w:tab/>
      </w:r>
      <w:r w:rsidR="003411A3" w:rsidRPr="003259B2">
        <w:rPr>
          <w:rFonts w:ascii="Times New Roman" w:hAnsi="Times New Roman"/>
          <w:sz w:val="25"/>
          <w:szCs w:val="25"/>
        </w:rPr>
        <w:tab/>
      </w:r>
      <w:r w:rsidR="003411A3" w:rsidRPr="003259B2">
        <w:rPr>
          <w:rFonts w:ascii="Times New Roman" w:hAnsi="Times New Roman"/>
          <w:sz w:val="25"/>
          <w:szCs w:val="25"/>
        </w:rPr>
        <w:tab/>
      </w:r>
      <w:r w:rsidR="003411A3" w:rsidRPr="003259B2">
        <w:rPr>
          <w:rFonts w:ascii="Times New Roman" w:hAnsi="Times New Roman"/>
          <w:sz w:val="25"/>
          <w:szCs w:val="25"/>
        </w:rPr>
        <w:tab/>
      </w:r>
      <w:r w:rsidR="003411A3" w:rsidRPr="003259B2">
        <w:rPr>
          <w:rFonts w:ascii="Times New Roman" w:hAnsi="Times New Roman"/>
          <w:sz w:val="25"/>
          <w:szCs w:val="25"/>
        </w:rPr>
        <w:tab/>
      </w:r>
      <w:r w:rsidR="003411A3" w:rsidRPr="003259B2">
        <w:rPr>
          <w:rFonts w:ascii="Times New Roman" w:hAnsi="Times New Roman"/>
          <w:sz w:val="25"/>
          <w:szCs w:val="25"/>
        </w:rPr>
        <w:tab/>
      </w:r>
      <w:r w:rsidR="005D3F0D" w:rsidRPr="003259B2">
        <w:rPr>
          <w:rFonts w:ascii="Times New Roman" w:hAnsi="Times New Roman"/>
          <w:sz w:val="25"/>
          <w:szCs w:val="25"/>
        </w:rPr>
        <w:t xml:space="preserve">      </w:t>
      </w:r>
      <w:proofErr w:type="spellStart"/>
      <w:r w:rsidRPr="003259B2">
        <w:rPr>
          <w:rFonts w:ascii="Times New Roman" w:hAnsi="Times New Roman"/>
          <w:bCs/>
          <w:sz w:val="25"/>
          <w:szCs w:val="25"/>
        </w:rPr>
        <w:t>I.Braunfelde</w:t>
      </w:r>
      <w:proofErr w:type="spellEnd"/>
    </w:p>
    <w:p w:rsidR="00894C55" w:rsidRPr="00242A1C"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r w:rsidRPr="00242A1C">
        <w:rPr>
          <w:rFonts w:ascii="Times New Roman" w:hAnsi="Times New Roman" w:cs="Times New Roman"/>
          <w:color w:val="000000" w:themeColor="text1"/>
          <w:sz w:val="28"/>
          <w:szCs w:val="28"/>
        </w:rPr>
        <w:tab/>
      </w:r>
    </w:p>
    <w:p w:rsidR="008128F9" w:rsidRDefault="008128F9" w:rsidP="00894C55">
      <w:pPr>
        <w:tabs>
          <w:tab w:val="left" w:pos="6237"/>
        </w:tabs>
        <w:spacing w:after="0" w:line="240" w:lineRule="auto"/>
        <w:ind w:firstLine="720"/>
        <w:rPr>
          <w:rFonts w:ascii="Times New Roman" w:hAnsi="Times New Roman" w:cs="Times New Roman"/>
          <w:color w:val="000000" w:themeColor="text1"/>
          <w:sz w:val="28"/>
          <w:szCs w:val="28"/>
        </w:rPr>
      </w:pPr>
    </w:p>
    <w:p w:rsidR="007A17A9" w:rsidRDefault="007A17A9" w:rsidP="00894C55">
      <w:pPr>
        <w:tabs>
          <w:tab w:val="left" w:pos="6237"/>
        </w:tabs>
        <w:spacing w:after="0" w:line="240" w:lineRule="auto"/>
        <w:ind w:firstLine="720"/>
        <w:rPr>
          <w:rFonts w:ascii="Times New Roman" w:hAnsi="Times New Roman" w:cs="Times New Roman"/>
          <w:color w:val="000000" w:themeColor="text1"/>
          <w:sz w:val="28"/>
          <w:szCs w:val="28"/>
        </w:rPr>
      </w:pPr>
    </w:p>
    <w:p w:rsidR="007A17A9" w:rsidRPr="00242A1C" w:rsidRDefault="007A17A9" w:rsidP="00894C55">
      <w:pPr>
        <w:tabs>
          <w:tab w:val="left" w:pos="6237"/>
        </w:tabs>
        <w:spacing w:after="0" w:line="240" w:lineRule="auto"/>
        <w:ind w:firstLine="720"/>
        <w:rPr>
          <w:rFonts w:ascii="Times New Roman" w:hAnsi="Times New Roman" w:cs="Times New Roman"/>
          <w:color w:val="000000" w:themeColor="text1"/>
          <w:sz w:val="28"/>
          <w:szCs w:val="28"/>
        </w:rPr>
      </w:pPr>
    </w:p>
    <w:p w:rsidR="00FC2449" w:rsidRDefault="00FC2449" w:rsidP="00894C55">
      <w:pPr>
        <w:tabs>
          <w:tab w:val="left" w:pos="6237"/>
        </w:tabs>
        <w:spacing w:after="0" w:line="240" w:lineRule="auto"/>
        <w:ind w:firstLine="720"/>
        <w:rPr>
          <w:rFonts w:ascii="Times New Roman" w:hAnsi="Times New Roman" w:cs="Times New Roman"/>
          <w:color w:val="000000" w:themeColor="text1"/>
          <w:sz w:val="28"/>
          <w:szCs w:val="28"/>
        </w:rPr>
      </w:pPr>
    </w:p>
    <w:p w:rsidR="003259B2" w:rsidRDefault="003259B2" w:rsidP="00894C55">
      <w:pPr>
        <w:tabs>
          <w:tab w:val="left" w:pos="6237"/>
        </w:tabs>
        <w:spacing w:after="0" w:line="240" w:lineRule="auto"/>
        <w:ind w:firstLine="720"/>
        <w:rPr>
          <w:rFonts w:ascii="Times New Roman" w:hAnsi="Times New Roman" w:cs="Times New Roman"/>
          <w:color w:val="000000" w:themeColor="text1"/>
          <w:sz w:val="28"/>
          <w:szCs w:val="28"/>
        </w:rPr>
      </w:pPr>
    </w:p>
    <w:p w:rsidR="003259B2" w:rsidRDefault="003259B2" w:rsidP="00894C55">
      <w:pPr>
        <w:tabs>
          <w:tab w:val="left" w:pos="6237"/>
        </w:tabs>
        <w:spacing w:after="0" w:line="240" w:lineRule="auto"/>
        <w:ind w:firstLine="720"/>
        <w:rPr>
          <w:rFonts w:ascii="Times New Roman" w:hAnsi="Times New Roman" w:cs="Times New Roman"/>
          <w:color w:val="000000" w:themeColor="text1"/>
          <w:sz w:val="28"/>
          <w:szCs w:val="28"/>
        </w:rPr>
      </w:pPr>
    </w:p>
    <w:p w:rsidR="003259B2" w:rsidRDefault="003259B2" w:rsidP="00894C55">
      <w:pPr>
        <w:tabs>
          <w:tab w:val="left" w:pos="6237"/>
        </w:tabs>
        <w:spacing w:after="0" w:line="240" w:lineRule="auto"/>
        <w:ind w:firstLine="720"/>
        <w:rPr>
          <w:rFonts w:ascii="Times New Roman" w:hAnsi="Times New Roman" w:cs="Times New Roman"/>
          <w:color w:val="000000" w:themeColor="text1"/>
          <w:sz w:val="28"/>
          <w:szCs w:val="28"/>
        </w:rPr>
      </w:pPr>
    </w:p>
    <w:p w:rsidR="005D3F0D" w:rsidRDefault="005D3F0D" w:rsidP="00894C55">
      <w:pPr>
        <w:tabs>
          <w:tab w:val="left" w:pos="6237"/>
        </w:tabs>
        <w:spacing w:after="0" w:line="240" w:lineRule="auto"/>
        <w:ind w:firstLine="720"/>
        <w:rPr>
          <w:rFonts w:ascii="Times New Roman" w:hAnsi="Times New Roman" w:cs="Times New Roman"/>
          <w:color w:val="000000" w:themeColor="text1"/>
          <w:sz w:val="28"/>
          <w:szCs w:val="28"/>
        </w:rPr>
      </w:pPr>
    </w:p>
    <w:p w:rsidR="003259B2" w:rsidRDefault="003259B2" w:rsidP="00894C55">
      <w:pPr>
        <w:tabs>
          <w:tab w:val="left" w:pos="6237"/>
        </w:tabs>
        <w:spacing w:after="0" w:line="240" w:lineRule="auto"/>
        <w:ind w:firstLine="720"/>
        <w:rPr>
          <w:rFonts w:ascii="Times New Roman" w:hAnsi="Times New Roman" w:cs="Times New Roman"/>
          <w:color w:val="000000" w:themeColor="text1"/>
          <w:sz w:val="28"/>
          <w:szCs w:val="28"/>
        </w:rPr>
      </w:pPr>
      <w:bookmarkStart w:id="0" w:name="_GoBack"/>
      <w:bookmarkEnd w:id="0"/>
    </w:p>
    <w:p w:rsidR="005D3F0D" w:rsidRPr="00242A1C" w:rsidRDefault="005D3F0D" w:rsidP="00894C55">
      <w:pPr>
        <w:tabs>
          <w:tab w:val="left" w:pos="6237"/>
        </w:tabs>
        <w:spacing w:after="0" w:line="240" w:lineRule="auto"/>
        <w:ind w:firstLine="720"/>
        <w:rPr>
          <w:rFonts w:ascii="Times New Roman" w:hAnsi="Times New Roman" w:cs="Times New Roman"/>
          <w:color w:val="000000" w:themeColor="text1"/>
          <w:sz w:val="28"/>
          <w:szCs w:val="28"/>
        </w:rPr>
      </w:pPr>
    </w:p>
    <w:p w:rsidR="00894C55" w:rsidRPr="003259B2" w:rsidRDefault="00C311C2" w:rsidP="00894C55">
      <w:pPr>
        <w:tabs>
          <w:tab w:val="left" w:pos="6237"/>
        </w:tabs>
        <w:spacing w:after="0" w:line="240" w:lineRule="auto"/>
        <w:rPr>
          <w:rFonts w:ascii="Times New Roman" w:hAnsi="Times New Roman" w:cs="Times New Roman"/>
          <w:color w:val="000000" w:themeColor="text1"/>
          <w:sz w:val="18"/>
          <w:szCs w:val="18"/>
        </w:rPr>
      </w:pPr>
      <w:r w:rsidRPr="003259B2">
        <w:rPr>
          <w:rFonts w:ascii="Times New Roman" w:hAnsi="Times New Roman" w:cs="Times New Roman"/>
          <w:color w:val="000000" w:themeColor="text1"/>
          <w:sz w:val="18"/>
          <w:szCs w:val="18"/>
        </w:rPr>
        <w:t>Zariņa</w:t>
      </w:r>
      <w:r w:rsidR="00B41DEB" w:rsidRPr="003259B2">
        <w:rPr>
          <w:rFonts w:ascii="Times New Roman" w:hAnsi="Times New Roman" w:cs="Times New Roman"/>
          <w:color w:val="000000" w:themeColor="text1"/>
          <w:sz w:val="18"/>
          <w:szCs w:val="18"/>
        </w:rPr>
        <w:t xml:space="preserve"> </w:t>
      </w:r>
      <w:r w:rsidRPr="003259B2">
        <w:rPr>
          <w:rFonts w:ascii="Times New Roman" w:hAnsi="Times New Roman" w:cs="Times New Roman"/>
          <w:color w:val="000000" w:themeColor="text1"/>
          <w:sz w:val="18"/>
          <w:szCs w:val="18"/>
        </w:rPr>
        <w:t>67095672</w:t>
      </w:r>
    </w:p>
    <w:p w:rsidR="0041543A" w:rsidRPr="003259B2" w:rsidRDefault="00C311C2" w:rsidP="00894C55">
      <w:pPr>
        <w:tabs>
          <w:tab w:val="left" w:pos="6237"/>
        </w:tabs>
        <w:spacing w:after="0" w:line="240" w:lineRule="auto"/>
        <w:rPr>
          <w:rFonts w:ascii="Times New Roman" w:hAnsi="Times New Roman" w:cs="Times New Roman"/>
          <w:color w:val="000000" w:themeColor="text1"/>
          <w:sz w:val="18"/>
          <w:szCs w:val="18"/>
        </w:rPr>
      </w:pPr>
      <w:r w:rsidRPr="003259B2">
        <w:rPr>
          <w:rFonts w:ascii="Times New Roman" w:hAnsi="Times New Roman" w:cs="Times New Roman"/>
          <w:color w:val="000000" w:themeColor="text1"/>
          <w:sz w:val="18"/>
          <w:szCs w:val="18"/>
        </w:rPr>
        <w:t>Indra.Zarina</w:t>
      </w:r>
      <w:r w:rsidR="00894C55" w:rsidRPr="003259B2">
        <w:rPr>
          <w:rFonts w:ascii="Times New Roman" w:hAnsi="Times New Roman" w:cs="Times New Roman"/>
          <w:color w:val="000000" w:themeColor="text1"/>
          <w:sz w:val="18"/>
          <w:szCs w:val="18"/>
        </w:rPr>
        <w:t>@</w:t>
      </w:r>
      <w:r w:rsidRPr="003259B2">
        <w:rPr>
          <w:rFonts w:ascii="Times New Roman" w:hAnsi="Times New Roman" w:cs="Times New Roman"/>
          <w:color w:val="000000" w:themeColor="text1"/>
          <w:sz w:val="18"/>
          <w:szCs w:val="18"/>
        </w:rPr>
        <w:t>fm</w:t>
      </w:r>
      <w:r w:rsidR="00894C55" w:rsidRPr="003259B2">
        <w:rPr>
          <w:rFonts w:ascii="Times New Roman" w:hAnsi="Times New Roman" w:cs="Times New Roman"/>
          <w:color w:val="000000" w:themeColor="text1"/>
          <w:sz w:val="18"/>
          <w:szCs w:val="18"/>
        </w:rPr>
        <w:t>.gov.lv</w:t>
      </w:r>
    </w:p>
    <w:sectPr w:rsidR="0041543A" w:rsidRPr="003259B2"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B0" w:rsidRDefault="00B321B0" w:rsidP="00894C55">
      <w:pPr>
        <w:spacing w:after="0" w:line="240" w:lineRule="auto"/>
      </w:pPr>
      <w:r>
        <w:separator/>
      </w:r>
    </w:p>
  </w:endnote>
  <w:endnote w:type="continuationSeparator" w:id="0">
    <w:p w:rsidR="00B321B0" w:rsidRDefault="00B321B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D9" w:rsidRDefault="003135D9" w:rsidP="00164D1E">
    <w:pPr>
      <w:pStyle w:val="Footer"/>
      <w:tabs>
        <w:tab w:val="clear" w:pos="4153"/>
        <w:tab w:val="clear" w:pos="8306"/>
        <w:tab w:val="left" w:pos="5120"/>
      </w:tabs>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w:t>
    </w:r>
    <w:r w:rsidR="00EF5008">
      <w:rPr>
        <w:rFonts w:ascii="Times New Roman" w:hAnsi="Times New Roman" w:cs="Times New Roman"/>
        <w:sz w:val="20"/>
        <w:szCs w:val="20"/>
      </w:rPr>
      <w:t>27</w:t>
    </w:r>
    <w:r>
      <w:rPr>
        <w:rFonts w:ascii="Times New Roman" w:hAnsi="Times New Roman" w:cs="Times New Roman"/>
        <w:sz w:val="20"/>
        <w:szCs w:val="20"/>
      </w:rPr>
      <w:t>0917</w:t>
    </w:r>
    <w:r w:rsidRPr="005E5000">
      <w:rPr>
        <w:rFonts w:ascii="Times New Roman" w:hAnsi="Times New Roman" w:cs="Times New Roman"/>
        <w:sz w:val="20"/>
        <w:szCs w:val="20"/>
      </w:rPr>
      <w:t>_</w:t>
    </w:r>
    <w:r>
      <w:rPr>
        <w:rFonts w:ascii="Times New Roman" w:hAnsi="Times New Roman" w:cs="Times New Roman"/>
        <w:sz w:val="20"/>
        <w:szCs w:val="20"/>
      </w:rPr>
      <w:t>groz.AIL</w:t>
    </w:r>
    <w:r w:rsidR="002B4FB6">
      <w:rPr>
        <w:rFonts w:ascii="Times New Roman"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D9" w:rsidRDefault="003135D9">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w:t>
    </w:r>
    <w:r w:rsidR="00A605FF">
      <w:rPr>
        <w:rFonts w:ascii="Times New Roman" w:hAnsi="Times New Roman" w:cs="Times New Roman"/>
        <w:sz w:val="20"/>
        <w:szCs w:val="20"/>
      </w:rPr>
      <w:t>27</w:t>
    </w:r>
    <w:r>
      <w:rPr>
        <w:rFonts w:ascii="Times New Roman" w:hAnsi="Times New Roman" w:cs="Times New Roman"/>
        <w:sz w:val="20"/>
        <w:szCs w:val="20"/>
      </w:rPr>
      <w:t>0917</w:t>
    </w:r>
    <w:r w:rsidRPr="005E5000">
      <w:rPr>
        <w:rFonts w:ascii="Times New Roman" w:hAnsi="Times New Roman" w:cs="Times New Roman"/>
        <w:sz w:val="20"/>
        <w:szCs w:val="20"/>
      </w:rPr>
      <w:t>_</w:t>
    </w:r>
    <w:r>
      <w:rPr>
        <w:rFonts w:ascii="Times New Roman" w:hAnsi="Times New Roman" w:cs="Times New Roman"/>
        <w:sz w:val="20"/>
        <w:szCs w:val="20"/>
      </w:rPr>
      <w:t>groz.AIL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B0" w:rsidRDefault="00B321B0" w:rsidP="00894C55">
      <w:pPr>
        <w:spacing w:after="0" w:line="240" w:lineRule="auto"/>
      </w:pPr>
      <w:r>
        <w:separator/>
      </w:r>
    </w:p>
  </w:footnote>
  <w:footnote w:type="continuationSeparator" w:id="0">
    <w:p w:rsidR="00B321B0" w:rsidRDefault="00B321B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135D9" w:rsidRPr="00C25B49" w:rsidRDefault="003135D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59B2">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649E3"/>
    <w:multiLevelType w:val="hybridMultilevel"/>
    <w:tmpl w:val="892E5116"/>
    <w:lvl w:ilvl="0" w:tplc="AD3A3534">
      <w:start w:val="1"/>
      <w:numFmt w:val="decimal"/>
      <w:lvlText w:val="%1)"/>
      <w:lvlJc w:val="left"/>
      <w:pPr>
        <w:ind w:left="3260" w:firstLine="0"/>
      </w:pPr>
      <w:rPr>
        <w:rFonts w:hint="default"/>
        <w:i/>
        <w:u w:val="single"/>
      </w:rPr>
    </w:lvl>
    <w:lvl w:ilvl="1" w:tplc="04260019" w:tentative="1">
      <w:start w:val="1"/>
      <w:numFmt w:val="lowerLetter"/>
      <w:lvlText w:val="%2."/>
      <w:lvlJc w:val="left"/>
      <w:pPr>
        <w:ind w:left="4340" w:hanging="360"/>
      </w:pPr>
    </w:lvl>
    <w:lvl w:ilvl="2" w:tplc="0426001B" w:tentative="1">
      <w:start w:val="1"/>
      <w:numFmt w:val="lowerRoman"/>
      <w:lvlText w:val="%3."/>
      <w:lvlJc w:val="right"/>
      <w:pPr>
        <w:ind w:left="5060" w:hanging="180"/>
      </w:pPr>
    </w:lvl>
    <w:lvl w:ilvl="3" w:tplc="0426000F" w:tentative="1">
      <w:start w:val="1"/>
      <w:numFmt w:val="decimal"/>
      <w:lvlText w:val="%4."/>
      <w:lvlJc w:val="left"/>
      <w:pPr>
        <w:ind w:left="5780" w:hanging="360"/>
      </w:pPr>
    </w:lvl>
    <w:lvl w:ilvl="4" w:tplc="04260019" w:tentative="1">
      <w:start w:val="1"/>
      <w:numFmt w:val="lowerLetter"/>
      <w:lvlText w:val="%5."/>
      <w:lvlJc w:val="left"/>
      <w:pPr>
        <w:ind w:left="6500" w:hanging="360"/>
      </w:pPr>
    </w:lvl>
    <w:lvl w:ilvl="5" w:tplc="0426001B" w:tentative="1">
      <w:start w:val="1"/>
      <w:numFmt w:val="lowerRoman"/>
      <w:lvlText w:val="%6."/>
      <w:lvlJc w:val="right"/>
      <w:pPr>
        <w:ind w:left="7220" w:hanging="180"/>
      </w:pPr>
    </w:lvl>
    <w:lvl w:ilvl="6" w:tplc="0426000F" w:tentative="1">
      <w:start w:val="1"/>
      <w:numFmt w:val="decimal"/>
      <w:lvlText w:val="%7."/>
      <w:lvlJc w:val="left"/>
      <w:pPr>
        <w:ind w:left="7940" w:hanging="360"/>
      </w:pPr>
    </w:lvl>
    <w:lvl w:ilvl="7" w:tplc="04260019" w:tentative="1">
      <w:start w:val="1"/>
      <w:numFmt w:val="lowerLetter"/>
      <w:lvlText w:val="%8."/>
      <w:lvlJc w:val="left"/>
      <w:pPr>
        <w:ind w:left="8660" w:hanging="360"/>
      </w:pPr>
    </w:lvl>
    <w:lvl w:ilvl="8" w:tplc="0426001B" w:tentative="1">
      <w:start w:val="1"/>
      <w:numFmt w:val="lowerRoman"/>
      <w:lvlText w:val="%9."/>
      <w:lvlJc w:val="right"/>
      <w:pPr>
        <w:ind w:left="9380" w:hanging="180"/>
      </w:pPr>
    </w:lvl>
  </w:abstractNum>
  <w:abstractNum w:abstractNumId="1">
    <w:nsid w:val="2C0914EC"/>
    <w:multiLevelType w:val="hybridMultilevel"/>
    <w:tmpl w:val="914ED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98832BA"/>
    <w:multiLevelType w:val="hybridMultilevel"/>
    <w:tmpl w:val="429E28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BE3573"/>
    <w:multiLevelType w:val="hybridMultilevel"/>
    <w:tmpl w:val="5AFCE890"/>
    <w:lvl w:ilvl="0" w:tplc="8DA69F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EA57298"/>
    <w:multiLevelType w:val="hybridMultilevel"/>
    <w:tmpl w:val="08002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05C4223"/>
    <w:multiLevelType w:val="hybridMultilevel"/>
    <w:tmpl w:val="36EE9F72"/>
    <w:lvl w:ilvl="0" w:tplc="3FDC398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9B2"/>
    <w:rsid w:val="0001192E"/>
    <w:rsid w:val="00020962"/>
    <w:rsid w:val="000254BB"/>
    <w:rsid w:val="0002570E"/>
    <w:rsid w:val="000275A4"/>
    <w:rsid w:val="00037818"/>
    <w:rsid w:val="00037C59"/>
    <w:rsid w:val="0004007C"/>
    <w:rsid w:val="00040A58"/>
    <w:rsid w:val="00042AEC"/>
    <w:rsid w:val="000440F8"/>
    <w:rsid w:val="000444ED"/>
    <w:rsid w:val="00047B75"/>
    <w:rsid w:val="00054D75"/>
    <w:rsid w:val="000606B0"/>
    <w:rsid w:val="00063B22"/>
    <w:rsid w:val="00070556"/>
    <w:rsid w:val="0007248D"/>
    <w:rsid w:val="00076404"/>
    <w:rsid w:val="00082158"/>
    <w:rsid w:val="000944D3"/>
    <w:rsid w:val="000965AB"/>
    <w:rsid w:val="000969F7"/>
    <w:rsid w:val="000A1B86"/>
    <w:rsid w:val="000A1D11"/>
    <w:rsid w:val="000A1E4E"/>
    <w:rsid w:val="000A2487"/>
    <w:rsid w:val="000A3D13"/>
    <w:rsid w:val="000A4303"/>
    <w:rsid w:val="000A62C6"/>
    <w:rsid w:val="000A6CB6"/>
    <w:rsid w:val="000D069D"/>
    <w:rsid w:val="000E0710"/>
    <w:rsid w:val="000E1209"/>
    <w:rsid w:val="000E13A4"/>
    <w:rsid w:val="000F108A"/>
    <w:rsid w:val="00101B96"/>
    <w:rsid w:val="00102126"/>
    <w:rsid w:val="001037CB"/>
    <w:rsid w:val="00106C83"/>
    <w:rsid w:val="001162E3"/>
    <w:rsid w:val="00120AA3"/>
    <w:rsid w:val="00121DE6"/>
    <w:rsid w:val="00122E58"/>
    <w:rsid w:val="001402A3"/>
    <w:rsid w:val="00141019"/>
    <w:rsid w:val="00142D18"/>
    <w:rsid w:val="00145F58"/>
    <w:rsid w:val="00153A99"/>
    <w:rsid w:val="00164D1E"/>
    <w:rsid w:val="00173023"/>
    <w:rsid w:val="0017644D"/>
    <w:rsid w:val="0017722B"/>
    <w:rsid w:val="00180507"/>
    <w:rsid w:val="00184E9D"/>
    <w:rsid w:val="00191F0C"/>
    <w:rsid w:val="001A428D"/>
    <w:rsid w:val="001E7D0D"/>
    <w:rsid w:val="001F4449"/>
    <w:rsid w:val="001F4D7F"/>
    <w:rsid w:val="00202BC0"/>
    <w:rsid w:val="0020488D"/>
    <w:rsid w:val="002160C8"/>
    <w:rsid w:val="00235AC7"/>
    <w:rsid w:val="00235B87"/>
    <w:rsid w:val="00237B35"/>
    <w:rsid w:val="00242A1C"/>
    <w:rsid w:val="00243426"/>
    <w:rsid w:val="00247647"/>
    <w:rsid w:val="002529A4"/>
    <w:rsid w:val="002572A5"/>
    <w:rsid w:val="00261308"/>
    <w:rsid w:val="00262BA6"/>
    <w:rsid w:val="00266697"/>
    <w:rsid w:val="00266D57"/>
    <w:rsid w:val="00273303"/>
    <w:rsid w:val="00294820"/>
    <w:rsid w:val="00295CA1"/>
    <w:rsid w:val="002A40AC"/>
    <w:rsid w:val="002A4ABE"/>
    <w:rsid w:val="002B2A66"/>
    <w:rsid w:val="002B4FB6"/>
    <w:rsid w:val="002B7B07"/>
    <w:rsid w:val="002C2997"/>
    <w:rsid w:val="002C5D87"/>
    <w:rsid w:val="002D1989"/>
    <w:rsid w:val="002D45CB"/>
    <w:rsid w:val="002E1496"/>
    <w:rsid w:val="002E29C9"/>
    <w:rsid w:val="002E45F3"/>
    <w:rsid w:val="002F3402"/>
    <w:rsid w:val="003135D9"/>
    <w:rsid w:val="00314D66"/>
    <w:rsid w:val="00316D63"/>
    <w:rsid w:val="0032387F"/>
    <w:rsid w:val="00323AD4"/>
    <w:rsid w:val="00324069"/>
    <w:rsid w:val="003259B2"/>
    <w:rsid w:val="00333EF5"/>
    <w:rsid w:val="003411A3"/>
    <w:rsid w:val="00355D0D"/>
    <w:rsid w:val="0037342B"/>
    <w:rsid w:val="003807DC"/>
    <w:rsid w:val="00383B0F"/>
    <w:rsid w:val="00392128"/>
    <w:rsid w:val="0039269A"/>
    <w:rsid w:val="003A0C6E"/>
    <w:rsid w:val="003A4B05"/>
    <w:rsid w:val="003A5FE1"/>
    <w:rsid w:val="003B0BF9"/>
    <w:rsid w:val="003B4730"/>
    <w:rsid w:val="003B5D79"/>
    <w:rsid w:val="003B789E"/>
    <w:rsid w:val="003C6B3D"/>
    <w:rsid w:val="003C7753"/>
    <w:rsid w:val="003D10B2"/>
    <w:rsid w:val="003D51F8"/>
    <w:rsid w:val="003D7733"/>
    <w:rsid w:val="003E0791"/>
    <w:rsid w:val="003E1052"/>
    <w:rsid w:val="003E411F"/>
    <w:rsid w:val="003E7C1B"/>
    <w:rsid w:val="003F07B6"/>
    <w:rsid w:val="003F09BB"/>
    <w:rsid w:val="003F19C4"/>
    <w:rsid w:val="003F28AC"/>
    <w:rsid w:val="003F3B49"/>
    <w:rsid w:val="003F4D00"/>
    <w:rsid w:val="00405BB0"/>
    <w:rsid w:val="0041284F"/>
    <w:rsid w:val="00414752"/>
    <w:rsid w:val="0041543A"/>
    <w:rsid w:val="00422BAA"/>
    <w:rsid w:val="00430957"/>
    <w:rsid w:val="00430E60"/>
    <w:rsid w:val="00430F15"/>
    <w:rsid w:val="004454FE"/>
    <w:rsid w:val="004506F2"/>
    <w:rsid w:val="0045394F"/>
    <w:rsid w:val="0045532B"/>
    <w:rsid w:val="00460043"/>
    <w:rsid w:val="00460109"/>
    <w:rsid w:val="00460592"/>
    <w:rsid w:val="00471F27"/>
    <w:rsid w:val="00475DB2"/>
    <w:rsid w:val="00476CDA"/>
    <w:rsid w:val="004841D4"/>
    <w:rsid w:val="00487766"/>
    <w:rsid w:val="00496BDD"/>
    <w:rsid w:val="004A7087"/>
    <w:rsid w:val="004B022E"/>
    <w:rsid w:val="004B68BA"/>
    <w:rsid w:val="004C1219"/>
    <w:rsid w:val="004D0F23"/>
    <w:rsid w:val="004D4555"/>
    <w:rsid w:val="004D5AE9"/>
    <w:rsid w:val="004E46D0"/>
    <w:rsid w:val="004E7A94"/>
    <w:rsid w:val="004F0C97"/>
    <w:rsid w:val="004F2742"/>
    <w:rsid w:val="004F32A8"/>
    <w:rsid w:val="0050178F"/>
    <w:rsid w:val="00504560"/>
    <w:rsid w:val="005062E7"/>
    <w:rsid w:val="0051384B"/>
    <w:rsid w:val="00516F58"/>
    <w:rsid w:val="005236E0"/>
    <w:rsid w:val="0053668D"/>
    <w:rsid w:val="005376DF"/>
    <w:rsid w:val="00551E71"/>
    <w:rsid w:val="0056404C"/>
    <w:rsid w:val="005652CF"/>
    <w:rsid w:val="005657E6"/>
    <w:rsid w:val="0057177B"/>
    <w:rsid w:val="0057200B"/>
    <w:rsid w:val="005722BE"/>
    <w:rsid w:val="005737B8"/>
    <w:rsid w:val="00574C1F"/>
    <w:rsid w:val="0058015A"/>
    <w:rsid w:val="00580899"/>
    <w:rsid w:val="00581773"/>
    <w:rsid w:val="00583D70"/>
    <w:rsid w:val="00590765"/>
    <w:rsid w:val="00593249"/>
    <w:rsid w:val="00596E6E"/>
    <w:rsid w:val="005A733B"/>
    <w:rsid w:val="005B1511"/>
    <w:rsid w:val="005C6A81"/>
    <w:rsid w:val="005C6E20"/>
    <w:rsid w:val="005C7CBC"/>
    <w:rsid w:val="005C7F5E"/>
    <w:rsid w:val="005D3E99"/>
    <w:rsid w:val="005D3F0D"/>
    <w:rsid w:val="005D6269"/>
    <w:rsid w:val="005E2599"/>
    <w:rsid w:val="005F0EE8"/>
    <w:rsid w:val="005F43D7"/>
    <w:rsid w:val="005F688F"/>
    <w:rsid w:val="00603C42"/>
    <w:rsid w:val="00610452"/>
    <w:rsid w:val="00611D44"/>
    <w:rsid w:val="00616764"/>
    <w:rsid w:val="00622D07"/>
    <w:rsid w:val="00624BFB"/>
    <w:rsid w:val="00624D2A"/>
    <w:rsid w:val="006317D0"/>
    <w:rsid w:val="0063394D"/>
    <w:rsid w:val="00645B76"/>
    <w:rsid w:val="00647B8E"/>
    <w:rsid w:val="006567CA"/>
    <w:rsid w:val="0066297C"/>
    <w:rsid w:val="006660FE"/>
    <w:rsid w:val="00671F4B"/>
    <w:rsid w:val="00677B11"/>
    <w:rsid w:val="00684F5F"/>
    <w:rsid w:val="00685D3D"/>
    <w:rsid w:val="006944C4"/>
    <w:rsid w:val="006946E0"/>
    <w:rsid w:val="006A2586"/>
    <w:rsid w:val="006A39CA"/>
    <w:rsid w:val="006A686A"/>
    <w:rsid w:val="006B794B"/>
    <w:rsid w:val="006C3304"/>
    <w:rsid w:val="006C73F7"/>
    <w:rsid w:val="006D0220"/>
    <w:rsid w:val="006D42C3"/>
    <w:rsid w:val="006D55CC"/>
    <w:rsid w:val="006E1081"/>
    <w:rsid w:val="006E3B54"/>
    <w:rsid w:val="00702109"/>
    <w:rsid w:val="00715685"/>
    <w:rsid w:val="00720585"/>
    <w:rsid w:val="00732733"/>
    <w:rsid w:val="00733C94"/>
    <w:rsid w:val="00735162"/>
    <w:rsid w:val="007445BB"/>
    <w:rsid w:val="00745F81"/>
    <w:rsid w:val="00751321"/>
    <w:rsid w:val="00752E26"/>
    <w:rsid w:val="00761576"/>
    <w:rsid w:val="00767F97"/>
    <w:rsid w:val="00773AF6"/>
    <w:rsid w:val="00776931"/>
    <w:rsid w:val="00776B78"/>
    <w:rsid w:val="00777493"/>
    <w:rsid w:val="007776FC"/>
    <w:rsid w:val="00784735"/>
    <w:rsid w:val="00790C09"/>
    <w:rsid w:val="007A17A9"/>
    <w:rsid w:val="007A3EE2"/>
    <w:rsid w:val="007A7296"/>
    <w:rsid w:val="007B068B"/>
    <w:rsid w:val="007B155F"/>
    <w:rsid w:val="007B5EFE"/>
    <w:rsid w:val="007B68B4"/>
    <w:rsid w:val="007B68CA"/>
    <w:rsid w:val="007B6BEA"/>
    <w:rsid w:val="007C1255"/>
    <w:rsid w:val="007C3D6A"/>
    <w:rsid w:val="007C535A"/>
    <w:rsid w:val="007C6BBF"/>
    <w:rsid w:val="007D21B3"/>
    <w:rsid w:val="007F297A"/>
    <w:rsid w:val="007F76BC"/>
    <w:rsid w:val="00803FC0"/>
    <w:rsid w:val="008104EC"/>
    <w:rsid w:val="00810F9F"/>
    <w:rsid w:val="008128F9"/>
    <w:rsid w:val="008142E2"/>
    <w:rsid w:val="00816C11"/>
    <w:rsid w:val="00817D05"/>
    <w:rsid w:val="0082033C"/>
    <w:rsid w:val="0082286A"/>
    <w:rsid w:val="00831FCC"/>
    <w:rsid w:val="0083563D"/>
    <w:rsid w:val="0083708B"/>
    <w:rsid w:val="00840101"/>
    <w:rsid w:val="0084493F"/>
    <w:rsid w:val="0084526B"/>
    <w:rsid w:val="00854548"/>
    <w:rsid w:val="00860798"/>
    <w:rsid w:val="00864662"/>
    <w:rsid w:val="0087208D"/>
    <w:rsid w:val="00884A06"/>
    <w:rsid w:val="00890363"/>
    <w:rsid w:val="00894C55"/>
    <w:rsid w:val="008A3BA4"/>
    <w:rsid w:val="008A5810"/>
    <w:rsid w:val="008A5B95"/>
    <w:rsid w:val="008A7AEC"/>
    <w:rsid w:val="008B2DA6"/>
    <w:rsid w:val="008B6109"/>
    <w:rsid w:val="008B633D"/>
    <w:rsid w:val="008D0907"/>
    <w:rsid w:val="008D0E06"/>
    <w:rsid w:val="008D756D"/>
    <w:rsid w:val="008E5141"/>
    <w:rsid w:val="008E6876"/>
    <w:rsid w:val="008E6D55"/>
    <w:rsid w:val="008F0101"/>
    <w:rsid w:val="008F1885"/>
    <w:rsid w:val="008F3658"/>
    <w:rsid w:val="00901082"/>
    <w:rsid w:val="00903B01"/>
    <w:rsid w:val="00906F7B"/>
    <w:rsid w:val="00912B3C"/>
    <w:rsid w:val="00912B7C"/>
    <w:rsid w:val="00916936"/>
    <w:rsid w:val="00931FE9"/>
    <w:rsid w:val="00940024"/>
    <w:rsid w:val="00945FCE"/>
    <w:rsid w:val="009518F8"/>
    <w:rsid w:val="00960509"/>
    <w:rsid w:val="00973A20"/>
    <w:rsid w:val="00975148"/>
    <w:rsid w:val="00976328"/>
    <w:rsid w:val="0098109C"/>
    <w:rsid w:val="00986840"/>
    <w:rsid w:val="009931C2"/>
    <w:rsid w:val="009974C0"/>
    <w:rsid w:val="009A2B7D"/>
    <w:rsid w:val="009A3C0A"/>
    <w:rsid w:val="009A4E38"/>
    <w:rsid w:val="009A7A8E"/>
    <w:rsid w:val="009B1CDE"/>
    <w:rsid w:val="009C395D"/>
    <w:rsid w:val="009D137C"/>
    <w:rsid w:val="009F335C"/>
    <w:rsid w:val="009F42D9"/>
    <w:rsid w:val="00A00547"/>
    <w:rsid w:val="00A0226E"/>
    <w:rsid w:val="00A0587A"/>
    <w:rsid w:val="00A114CC"/>
    <w:rsid w:val="00A12B0A"/>
    <w:rsid w:val="00A20D1F"/>
    <w:rsid w:val="00A25110"/>
    <w:rsid w:val="00A3069C"/>
    <w:rsid w:val="00A31063"/>
    <w:rsid w:val="00A34D49"/>
    <w:rsid w:val="00A409A9"/>
    <w:rsid w:val="00A4419D"/>
    <w:rsid w:val="00A455FA"/>
    <w:rsid w:val="00A474E5"/>
    <w:rsid w:val="00A5052F"/>
    <w:rsid w:val="00A528D7"/>
    <w:rsid w:val="00A550D7"/>
    <w:rsid w:val="00A605FF"/>
    <w:rsid w:val="00A610D9"/>
    <w:rsid w:val="00A61DD3"/>
    <w:rsid w:val="00A62C64"/>
    <w:rsid w:val="00A6661B"/>
    <w:rsid w:val="00A717E4"/>
    <w:rsid w:val="00A719E7"/>
    <w:rsid w:val="00A723A5"/>
    <w:rsid w:val="00A74711"/>
    <w:rsid w:val="00A77456"/>
    <w:rsid w:val="00A834A0"/>
    <w:rsid w:val="00A95B4E"/>
    <w:rsid w:val="00AA1C9A"/>
    <w:rsid w:val="00AB2318"/>
    <w:rsid w:val="00AB7712"/>
    <w:rsid w:val="00AC3875"/>
    <w:rsid w:val="00AC4D89"/>
    <w:rsid w:val="00AC7381"/>
    <w:rsid w:val="00AD74E1"/>
    <w:rsid w:val="00AE0F27"/>
    <w:rsid w:val="00AE5567"/>
    <w:rsid w:val="00AE5843"/>
    <w:rsid w:val="00AF4C31"/>
    <w:rsid w:val="00AF66FB"/>
    <w:rsid w:val="00B03700"/>
    <w:rsid w:val="00B17409"/>
    <w:rsid w:val="00B2165C"/>
    <w:rsid w:val="00B2289A"/>
    <w:rsid w:val="00B27413"/>
    <w:rsid w:val="00B31208"/>
    <w:rsid w:val="00B321B0"/>
    <w:rsid w:val="00B322AE"/>
    <w:rsid w:val="00B40BE6"/>
    <w:rsid w:val="00B41DEB"/>
    <w:rsid w:val="00B61960"/>
    <w:rsid w:val="00B63B5F"/>
    <w:rsid w:val="00B653A7"/>
    <w:rsid w:val="00B66582"/>
    <w:rsid w:val="00B66931"/>
    <w:rsid w:val="00B73291"/>
    <w:rsid w:val="00B76768"/>
    <w:rsid w:val="00B824CD"/>
    <w:rsid w:val="00B90B74"/>
    <w:rsid w:val="00B92B7A"/>
    <w:rsid w:val="00B95C6B"/>
    <w:rsid w:val="00BB482F"/>
    <w:rsid w:val="00BC2C33"/>
    <w:rsid w:val="00BC3E47"/>
    <w:rsid w:val="00BC6A6B"/>
    <w:rsid w:val="00BD1517"/>
    <w:rsid w:val="00BD4425"/>
    <w:rsid w:val="00BD5BC3"/>
    <w:rsid w:val="00BD67B1"/>
    <w:rsid w:val="00BD688C"/>
    <w:rsid w:val="00BE59E9"/>
    <w:rsid w:val="00BF1491"/>
    <w:rsid w:val="00BF1F81"/>
    <w:rsid w:val="00BF335B"/>
    <w:rsid w:val="00BF414A"/>
    <w:rsid w:val="00BF6A1D"/>
    <w:rsid w:val="00C03228"/>
    <w:rsid w:val="00C04D52"/>
    <w:rsid w:val="00C1492E"/>
    <w:rsid w:val="00C16777"/>
    <w:rsid w:val="00C2161C"/>
    <w:rsid w:val="00C25B49"/>
    <w:rsid w:val="00C311C2"/>
    <w:rsid w:val="00C34CB8"/>
    <w:rsid w:val="00C42040"/>
    <w:rsid w:val="00C44261"/>
    <w:rsid w:val="00C52E94"/>
    <w:rsid w:val="00C53E30"/>
    <w:rsid w:val="00C57B9B"/>
    <w:rsid w:val="00C7229E"/>
    <w:rsid w:val="00C80902"/>
    <w:rsid w:val="00C90404"/>
    <w:rsid w:val="00C94180"/>
    <w:rsid w:val="00CA5102"/>
    <w:rsid w:val="00CA703F"/>
    <w:rsid w:val="00CB5022"/>
    <w:rsid w:val="00CB505B"/>
    <w:rsid w:val="00CB6632"/>
    <w:rsid w:val="00CC4CA5"/>
    <w:rsid w:val="00CC7CB9"/>
    <w:rsid w:val="00CD1295"/>
    <w:rsid w:val="00CD13C2"/>
    <w:rsid w:val="00CD2560"/>
    <w:rsid w:val="00CD3802"/>
    <w:rsid w:val="00CD5EEF"/>
    <w:rsid w:val="00CE5657"/>
    <w:rsid w:val="00CF5A7A"/>
    <w:rsid w:val="00D00874"/>
    <w:rsid w:val="00D05890"/>
    <w:rsid w:val="00D134A9"/>
    <w:rsid w:val="00D22FF7"/>
    <w:rsid w:val="00D40EFC"/>
    <w:rsid w:val="00D43263"/>
    <w:rsid w:val="00D4793D"/>
    <w:rsid w:val="00D531EF"/>
    <w:rsid w:val="00D540DC"/>
    <w:rsid w:val="00D6388A"/>
    <w:rsid w:val="00D669B7"/>
    <w:rsid w:val="00D71EDA"/>
    <w:rsid w:val="00D736C5"/>
    <w:rsid w:val="00D75177"/>
    <w:rsid w:val="00D816AC"/>
    <w:rsid w:val="00D83E4C"/>
    <w:rsid w:val="00D84237"/>
    <w:rsid w:val="00D87ACB"/>
    <w:rsid w:val="00D96027"/>
    <w:rsid w:val="00DA4E52"/>
    <w:rsid w:val="00DB0B00"/>
    <w:rsid w:val="00DB4435"/>
    <w:rsid w:val="00DC2441"/>
    <w:rsid w:val="00DE3B86"/>
    <w:rsid w:val="00E02904"/>
    <w:rsid w:val="00E03819"/>
    <w:rsid w:val="00E1473F"/>
    <w:rsid w:val="00E32E52"/>
    <w:rsid w:val="00E5035F"/>
    <w:rsid w:val="00E5081F"/>
    <w:rsid w:val="00E513FC"/>
    <w:rsid w:val="00E6534A"/>
    <w:rsid w:val="00E66303"/>
    <w:rsid w:val="00E75C9E"/>
    <w:rsid w:val="00E80861"/>
    <w:rsid w:val="00E842F3"/>
    <w:rsid w:val="00E87452"/>
    <w:rsid w:val="00E90C01"/>
    <w:rsid w:val="00E94D23"/>
    <w:rsid w:val="00E9602B"/>
    <w:rsid w:val="00EA306D"/>
    <w:rsid w:val="00EA486E"/>
    <w:rsid w:val="00EA547C"/>
    <w:rsid w:val="00EB1788"/>
    <w:rsid w:val="00EB185A"/>
    <w:rsid w:val="00EB1EA3"/>
    <w:rsid w:val="00EB3AAA"/>
    <w:rsid w:val="00EB4DDB"/>
    <w:rsid w:val="00EC0E5A"/>
    <w:rsid w:val="00ED41C6"/>
    <w:rsid w:val="00EE084F"/>
    <w:rsid w:val="00EE11A1"/>
    <w:rsid w:val="00EE4248"/>
    <w:rsid w:val="00EF5008"/>
    <w:rsid w:val="00F02F8C"/>
    <w:rsid w:val="00F06266"/>
    <w:rsid w:val="00F11836"/>
    <w:rsid w:val="00F13274"/>
    <w:rsid w:val="00F14936"/>
    <w:rsid w:val="00F2117E"/>
    <w:rsid w:val="00F231DA"/>
    <w:rsid w:val="00F249CE"/>
    <w:rsid w:val="00F3026B"/>
    <w:rsid w:val="00F32503"/>
    <w:rsid w:val="00F408C9"/>
    <w:rsid w:val="00F57B0C"/>
    <w:rsid w:val="00F63799"/>
    <w:rsid w:val="00F76527"/>
    <w:rsid w:val="00F81D97"/>
    <w:rsid w:val="00F8520F"/>
    <w:rsid w:val="00F87328"/>
    <w:rsid w:val="00F9240B"/>
    <w:rsid w:val="00F95D60"/>
    <w:rsid w:val="00FA2446"/>
    <w:rsid w:val="00FA4339"/>
    <w:rsid w:val="00FB1E03"/>
    <w:rsid w:val="00FC2449"/>
    <w:rsid w:val="00FC43BF"/>
    <w:rsid w:val="00FD115A"/>
    <w:rsid w:val="00FD1A06"/>
    <w:rsid w:val="00FD4C25"/>
    <w:rsid w:val="00FE22C0"/>
    <w:rsid w:val="00FE290D"/>
    <w:rsid w:val="00FE67AE"/>
    <w:rsid w:val="00FE6B91"/>
    <w:rsid w:val="00FF081A"/>
    <w:rsid w:val="00FF7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7EBA70-E77E-4EF0-AA72-CBA7B11F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506F2"/>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rsid w:val="00EB1EA3"/>
    <w:pPr>
      <w:spacing w:before="68" w:after="68"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4506F2"/>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314D66"/>
    <w:rPr>
      <w:sz w:val="16"/>
      <w:szCs w:val="16"/>
    </w:rPr>
  </w:style>
  <w:style w:type="paragraph" w:styleId="CommentText">
    <w:name w:val="annotation text"/>
    <w:basedOn w:val="Normal"/>
    <w:link w:val="CommentTextChar"/>
    <w:uiPriority w:val="99"/>
    <w:semiHidden/>
    <w:unhideWhenUsed/>
    <w:rsid w:val="00314D66"/>
    <w:pPr>
      <w:spacing w:line="240" w:lineRule="auto"/>
    </w:pPr>
    <w:rPr>
      <w:sz w:val="20"/>
      <w:szCs w:val="20"/>
    </w:rPr>
  </w:style>
  <w:style w:type="character" w:customStyle="1" w:styleId="CommentTextChar">
    <w:name w:val="Comment Text Char"/>
    <w:basedOn w:val="DefaultParagraphFont"/>
    <w:link w:val="CommentText"/>
    <w:uiPriority w:val="99"/>
    <w:semiHidden/>
    <w:rsid w:val="00314D66"/>
    <w:rPr>
      <w:sz w:val="20"/>
      <w:szCs w:val="20"/>
    </w:rPr>
  </w:style>
  <w:style w:type="paragraph" w:styleId="CommentSubject">
    <w:name w:val="annotation subject"/>
    <w:basedOn w:val="CommentText"/>
    <w:next w:val="CommentText"/>
    <w:link w:val="CommentSubjectChar"/>
    <w:uiPriority w:val="99"/>
    <w:semiHidden/>
    <w:unhideWhenUsed/>
    <w:rsid w:val="00314D66"/>
    <w:rPr>
      <w:b/>
      <w:bCs/>
    </w:rPr>
  </w:style>
  <w:style w:type="character" w:customStyle="1" w:styleId="CommentSubjectChar">
    <w:name w:val="Comment Subject Char"/>
    <w:basedOn w:val="CommentTextChar"/>
    <w:link w:val="CommentSubject"/>
    <w:uiPriority w:val="99"/>
    <w:semiHidden/>
    <w:rsid w:val="00314D66"/>
    <w:rPr>
      <w:b/>
      <w:bCs/>
      <w:sz w:val="20"/>
      <w:szCs w:val="20"/>
    </w:rPr>
  </w:style>
  <w:style w:type="paragraph" w:styleId="ListParagraph">
    <w:name w:val="List Paragraph"/>
    <w:basedOn w:val="Normal"/>
    <w:uiPriority w:val="34"/>
    <w:qFormat/>
    <w:rsid w:val="00903B01"/>
    <w:pPr>
      <w:ind w:left="720"/>
      <w:contextualSpacing/>
    </w:pPr>
  </w:style>
  <w:style w:type="paragraph" w:styleId="NoSpacing">
    <w:name w:val="No Spacing"/>
    <w:uiPriority w:val="1"/>
    <w:qFormat/>
    <w:rsid w:val="005C7F5E"/>
    <w:pPr>
      <w:spacing w:after="0" w:line="240" w:lineRule="auto"/>
    </w:pPr>
    <w:rPr>
      <w:lang w:val="en-US"/>
    </w:rPr>
  </w:style>
  <w:style w:type="paragraph" w:customStyle="1" w:styleId="naisf">
    <w:name w:val="naisf"/>
    <w:basedOn w:val="Normal"/>
    <w:rsid w:val="006D022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D022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D0220"/>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C6B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77456"/>
    <w:pPr>
      <w:spacing w:after="0" w:line="240" w:lineRule="auto"/>
    </w:pPr>
  </w:style>
  <w:style w:type="character" w:customStyle="1" w:styleId="Heading1Char">
    <w:name w:val="Heading 1 Char"/>
    <w:basedOn w:val="DefaultParagraphFont"/>
    <w:link w:val="Heading1"/>
    <w:uiPriority w:val="9"/>
    <w:rsid w:val="00A441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37327892">
      <w:bodyDiv w:val="1"/>
      <w:marLeft w:val="0"/>
      <w:marRight w:val="0"/>
      <w:marTop w:val="0"/>
      <w:marBottom w:val="0"/>
      <w:divBdr>
        <w:top w:val="none" w:sz="0" w:space="0" w:color="auto"/>
        <w:left w:val="none" w:sz="0" w:space="0" w:color="auto"/>
        <w:bottom w:val="none" w:sz="0" w:space="0" w:color="auto"/>
        <w:right w:val="none" w:sz="0" w:space="0" w:color="auto"/>
      </w:divBdr>
    </w:div>
    <w:div w:id="524945247">
      <w:bodyDiv w:val="1"/>
      <w:marLeft w:val="0"/>
      <w:marRight w:val="0"/>
      <w:marTop w:val="0"/>
      <w:marBottom w:val="0"/>
      <w:divBdr>
        <w:top w:val="none" w:sz="0" w:space="0" w:color="auto"/>
        <w:left w:val="none" w:sz="0" w:space="0" w:color="auto"/>
        <w:bottom w:val="none" w:sz="0" w:space="0" w:color="auto"/>
        <w:right w:val="none" w:sz="0" w:space="0" w:color="auto"/>
      </w:divBdr>
    </w:div>
    <w:div w:id="617876818">
      <w:bodyDiv w:val="1"/>
      <w:marLeft w:val="0"/>
      <w:marRight w:val="0"/>
      <w:marTop w:val="0"/>
      <w:marBottom w:val="0"/>
      <w:divBdr>
        <w:top w:val="none" w:sz="0" w:space="0" w:color="auto"/>
        <w:left w:val="none" w:sz="0" w:space="0" w:color="auto"/>
        <w:bottom w:val="none" w:sz="0" w:space="0" w:color="auto"/>
        <w:right w:val="none" w:sz="0" w:space="0" w:color="auto"/>
      </w:divBdr>
    </w:div>
    <w:div w:id="769083995">
      <w:bodyDiv w:val="1"/>
      <w:marLeft w:val="0"/>
      <w:marRight w:val="0"/>
      <w:marTop w:val="0"/>
      <w:marBottom w:val="0"/>
      <w:divBdr>
        <w:top w:val="none" w:sz="0" w:space="0" w:color="auto"/>
        <w:left w:val="none" w:sz="0" w:space="0" w:color="auto"/>
        <w:bottom w:val="none" w:sz="0" w:space="0" w:color="auto"/>
        <w:right w:val="none" w:sz="0" w:space="0" w:color="auto"/>
      </w:divBdr>
    </w:div>
    <w:div w:id="1218319313">
      <w:bodyDiv w:val="1"/>
      <w:marLeft w:val="0"/>
      <w:marRight w:val="0"/>
      <w:marTop w:val="0"/>
      <w:marBottom w:val="0"/>
      <w:divBdr>
        <w:top w:val="none" w:sz="0" w:space="0" w:color="auto"/>
        <w:left w:val="none" w:sz="0" w:space="0" w:color="auto"/>
        <w:bottom w:val="none" w:sz="0" w:space="0" w:color="auto"/>
        <w:right w:val="none" w:sz="0" w:space="0" w:color="auto"/>
      </w:divBdr>
    </w:div>
    <w:div w:id="1525363877">
      <w:bodyDiv w:val="1"/>
      <w:marLeft w:val="0"/>
      <w:marRight w:val="0"/>
      <w:marTop w:val="0"/>
      <w:marBottom w:val="0"/>
      <w:divBdr>
        <w:top w:val="none" w:sz="0" w:space="0" w:color="auto"/>
        <w:left w:val="none" w:sz="0" w:space="0" w:color="auto"/>
        <w:bottom w:val="none" w:sz="0" w:space="0" w:color="auto"/>
        <w:right w:val="none" w:sz="0" w:space="0" w:color="auto"/>
      </w:divBdr>
    </w:div>
    <w:div w:id="2053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941-azartspelu-un-izloz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86F8-0805-4B38-832F-DB1C66D1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17247</Words>
  <Characters>9832</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Likumprojekts “Grozījumi Azartspēļu un izložu likumā” (anotācija)</vt:lpstr>
    </vt:vector>
  </TitlesOfParts>
  <Company>Finanšu ministrija</Company>
  <LinksUpToDate>false</LinksUpToDate>
  <CharactersWithSpaces>27025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Azartspēļu un izložu likumā” (anotācija)</dc:title>
  <dc:subject>Anotācija</dc:subject>
  <dc:creator>Indra Zariņa</dc:creator>
  <dc:description>67095672, Indra.Zarina@fm.gov.lv</dc:description>
  <cp:lastModifiedBy>Indra</cp:lastModifiedBy>
  <cp:revision>104</cp:revision>
  <cp:lastPrinted>2017-09-27T16:57:00Z</cp:lastPrinted>
  <dcterms:created xsi:type="dcterms:W3CDTF">2017-09-20T12:41:00Z</dcterms:created>
  <dcterms:modified xsi:type="dcterms:W3CDTF">2017-09-27T18:48:00Z</dcterms:modified>
</cp:coreProperties>
</file>