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A4" w:rsidRPr="00153A7C" w:rsidRDefault="00452DA4" w:rsidP="00BA09AA">
      <w:pPr>
        <w:ind w:right="-199"/>
        <w:jc w:val="right"/>
        <w:rPr>
          <w:i/>
        </w:rPr>
      </w:pPr>
      <w:r w:rsidRPr="00153A7C">
        <w:rPr>
          <w:rFonts w:ascii="Times New Roman" w:hAnsi="Times New Roman"/>
          <w:i/>
          <w:sz w:val="28"/>
          <w:szCs w:val="28"/>
        </w:rPr>
        <w:t>Projekts</w:t>
      </w:r>
    </w:p>
    <w:tbl>
      <w:tblPr>
        <w:tblW w:w="50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95"/>
        <w:gridCol w:w="116"/>
      </w:tblGrid>
      <w:tr w:rsidR="00452DA4" w:rsidRPr="004E0006" w:rsidTr="00066464">
        <w:trPr>
          <w:tblCellSpacing w:w="15" w:type="dxa"/>
        </w:trPr>
        <w:tc>
          <w:tcPr>
            <w:tcW w:w="4964" w:type="pct"/>
            <w:gridSpan w:val="2"/>
            <w:vAlign w:val="center"/>
          </w:tcPr>
          <w:p w:rsidR="00452DA4" w:rsidRPr="004E0006" w:rsidRDefault="00452DA4" w:rsidP="00153A7C">
            <w:pPr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DA4" w:rsidRPr="004E0006" w:rsidTr="00066464">
        <w:trPr>
          <w:tblCellSpacing w:w="15" w:type="dxa"/>
        </w:trPr>
        <w:tc>
          <w:tcPr>
            <w:tcW w:w="4964" w:type="pct"/>
            <w:gridSpan w:val="2"/>
            <w:vAlign w:val="center"/>
          </w:tcPr>
          <w:p w:rsidR="00452DA4" w:rsidRPr="004E0006" w:rsidRDefault="00452DA4" w:rsidP="00153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DA4" w:rsidRPr="004E0006" w:rsidTr="00066464">
        <w:trPr>
          <w:tblCellSpacing w:w="15" w:type="dxa"/>
        </w:trPr>
        <w:tc>
          <w:tcPr>
            <w:tcW w:w="4921" w:type="pct"/>
            <w:vAlign w:val="center"/>
          </w:tcPr>
          <w:p w:rsidR="00452DA4" w:rsidRPr="004E0006" w:rsidRDefault="00452DA4" w:rsidP="00537358">
            <w:pPr>
              <w:ind w:right="-199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006">
              <w:rPr>
                <w:rFonts w:ascii="Times New Roman" w:hAnsi="Times New Roman"/>
                <w:sz w:val="28"/>
                <w:szCs w:val="28"/>
              </w:rPr>
              <w:t>LATVIJAS REPUBLIKAS MINISTRU KABINETS</w:t>
            </w:r>
          </w:p>
          <w:p w:rsidR="00452DA4" w:rsidRPr="004E0006" w:rsidRDefault="00452DA4" w:rsidP="00537358">
            <w:pPr>
              <w:ind w:right="-199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452DA4" w:rsidRPr="004E0006" w:rsidRDefault="00452DA4" w:rsidP="00537358">
            <w:pPr>
              <w:ind w:right="-199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452DA4" w:rsidRPr="004E0006" w:rsidRDefault="00452DA4" w:rsidP="00537358">
            <w:pPr>
              <w:ind w:right="-199"/>
              <w:rPr>
                <w:rFonts w:ascii="Times New Roman" w:hAnsi="Times New Roman"/>
                <w:sz w:val="28"/>
                <w:szCs w:val="28"/>
              </w:rPr>
            </w:pPr>
            <w:r w:rsidRPr="004E000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F1BD2">
              <w:rPr>
                <w:rFonts w:ascii="Times New Roman" w:hAnsi="Times New Roman"/>
                <w:sz w:val="28"/>
                <w:szCs w:val="28"/>
              </w:rPr>
              <w:t xml:space="preserve">.gada _________   </w:t>
            </w:r>
            <w:r w:rsidRPr="004E000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6646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4E0006">
              <w:rPr>
                <w:rFonts w:ascii="Times New Roman" w:hAnsi="Times New Roman"/>
                <w:sz w:val="28"/>
                <w:szCs w:val="28"/>
              </w:rPr>
              <w:t>Noteikumi Nr.____</w:t>
            </w:r>
          </w:p>
        </w:tc>
        <w:tc>
          <w:tcPr>
            <w:tcW w:w="0" w:type="auto"/>
            <w:vAlign w:val="center"/>
          </w:tcPr>
          <w:p w:rsidR="00452DA4" w:rsidRPr="004E0006" w:rsidRDefault="00452DA4" w:rsidP="00537358">
            <w:pPr>
              <w:ind w:right="-199"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DA4" w:rsidRPr="004E0006" w:rsidRDefault="00083887" w:rsidP="00537358">
      <w:pPr>
        <w:ind w:right="-1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2DA4" w:rsidRPr="004E0006">
        <w:rPr>
          <w:rFonts w:ascii="Times New Roman" w:hAnsi="Times New Roman"/>
          <w:sz w:val="28"/>
          <w:szCs w:val="28"/>
        </w:rPr>
        <w:t xml:space="preserve">Rīgā                                              </w:t>
      </w:r>
      <w:r w:rsidR="00066464">
        <w:rPr>
          <w:rFonts w:ascii="Times New Roman" w:hAnsi="Times New Roman"/>
          <w:sz w:val="28"/>
          <w:szCs w:val="28"/>
        </w:rPr>
        <w:t xml:space="preserve">                           </w:t>
      </w:r>
      <w:r w:rsidR="00452DA4">
        <w:rPr>
          <w:rFonts w:ascii="Times New Roman" w:hAnsi="Times New Roman"/>
          <w:sz w:val="28"/>
          <w:szCs w:val="28"/>
        </w:rPr>
        <w:t xml:space="preserve"> </w:t>
      </w:r>
      <w:r w:rsidR="00D2508E">
        <w:rPr>
          <w:rFonts w:ascii="Times New Roman" w:hAnsi="Times New Roman"/>
          <w:sz w:val="28"/>
          <w:szCs w:val="28"/>
        </w:rPr>
        <w:t xml:space="preserve">   </w:t>
      </w:r>
      <w:r w:rsidR="00452DA4">
        <w:rPr>
          <w:rFonts w:ascii="Times New Roman" w:hAnsi="Times New Roman"/>
          <w:sz w:val="28"/>
          <w:szCs w:val="28"/>
        </w:rPr>
        <w:t xml:space="preserve"> </w:t>
      </w:r>
      <w:r w:rsidR="00452DA4" w:rsidRPr="004E0006">
        <w:rPr>
          <w:rFonts w:ascii="Times New Roman" w:hAnsi="Times New Roman"/>
          <w:sz w:val="28"/>
          <w:szCs w:val="28"/>
        </w:rPr>
        <w:t>(prot. Nr.___, ___.§)</w:t>
      </w:r>
    </w:p>
    <w:p w:rsidR="00452DA4" w:rsidRPr="004E0006" w:rsidRDefault="00452DA4" w:rsidP="00537358">
      <w:pPr>
        <w:ind w:right="-199"/>
        <w:rPr>
          <w:rFonts w:ascii="Times New Roman" w:hAnsi="Times New Roman"/>
          <w:bCs/>
          <w:sz w:val="28"/>
          <w:szCs w:val="28"/>
        </w:rPr>
      </w:pPr>
    </w:p>
    <w:p w:rsidR="00452DA4" w:rsidRPr="004E0006" w:rsidRDefault="00452DA4" w:rsidP="00537358">
      <w:pPr>
        <w:ind w:right="-199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4E000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2013.gada 3.janvāra noteikumos Nr.17 “Pievienotās vērtības nodokļa likuma normu piemērošanas kārtība un atsevišķas prasības pievienotās vērtības nodokļa maksāšanai un administrēšanai”</w:t>
      </w:r>
    </w:p>
    <w:p w:rsidR="00452DA4" w:rsidRPr="004E0006" w:rsidRDefault="00452DA4" w:rsidP="00537358">
      <w:pPr>
        <w:pStyle w:val="naislab"/>
        <w:spacing w:before="0" w:after="0"/>
        <w:ind w:right="-199" w:firstLine="851"/>
        <w:jc w:val="both"/>
        <w:rPr>
          <w:sz w:val="28"/>
          <w:szCs w:val="28"/>
        </w:rPr>
      </w:pPr>
    </w:p>
    <w:p w:rsidR="00452DA4" w:rsidRPr="00153A7C" w:rsidRDefault="00452DA4" w:rsidP="00537358">
      <w:pPr>
        <w:pStyle w:val="naislab"/>
        <w:spacing w:before="0" w:after="0"/>
        <w:ind w:right="-199" w:firstLine="851"/>
        <w:rPr>
          <w:rFonts w:eastAsia="Calibri"/>
          <w:i/>
          <w:sz w:val="28"/>
          <w:szCs w:val="28"/>
          <w:lang w:eastAsia="en-US"/>
        </w:rPr>
      </w:pPr>
      <w:r w:rsidRPr="00153A7C">
        <w:rPr>
          <w:rFonts w:eastAsia="Calibri"/>
          <w:i/>
          <w:sz w:val="28"/>
          <w:szCs w:val="28"/>
          <w:lang w:eastAsia="en-US"/>
        </w:rPr>
        <w:t>Izdoti saskaņā ar Pievienotās vērtības nodokļa likuma</w:t>
      </w:r>
    </w:p>
    <w:p w:rsidR="00452DA4" w:rsidRPr="00153A7C" w:rsidRDefault="00452DA4" w:rsidP="00537358">
      <w:pPr>
        <w:pStyle w:val="naislab"/>
        <w:spacing w:before="0" w:after="0"/>
        <w:ind w:right="-199" w:firstLine="851"/>
        <w:rPr>
          <w:rFonts w:eastAsia="Calibri"/>
          <w:i/>
          <w:sz w:val="28"/>
          <w:szCs w:val="28"/>
          <w:lang w:eastAsia="en-US"/>
        </w:rPr>
      </w:pPr>
      <w:r w:rsidRPr="00153A7C">
        <w:rPr>
          <w:rFonts w:eastAsia="Calibri"/>
          <w:i/>
          <w:sz w:val="28"/>
          <w:szCs w:val="28"/>
          <w:lang w:eastAsia="en-US"/>
        </w:rPr>
        <w:t>40.panta astoto daļu, 45.panta sesto daļu,</w:t>
      </w:r>
    </w:p>
    <w:p w:rsidR="00452DA4" w:rsidRPr="00153A7C" w:rsidRDefault="00452DA4" w:rsidP="00537358">
      <w:pPr>
        <w:pStyle w:val="naislab"/>
        <w:spacing w:before="0" w:after="0"/>
        <w:ind w:right="-199" w:firstLine="851"/>
        <w:rPr>
          <w:rFonts w:eastAsia="Calibri"/>
          <w:i/>
          <w:sz w:val="28"/>
          <w:szCs w:val="28"/>
          <w:lang w:eastAsia="en-US"/>
        </w:rPr>
      </w:pPr>
      <w:r w:rsidRPr="00153A7C">
        <w:rPr>
          <w:rFonts w:eastAsia="Calibri"/>
          <w:i/>
          <w:sz w:val="28"/>
          <w:szCs w:val="28"/>
          <w:lang w:eastAsia="en-US"/>
        </w:rPr>
        <w:t>46.panta otro daļu, 49.panta ceturto daļu,</w:t>
      </w:r>
    </w:p>
    <w:p w:rsidR="00452DA4" w:rsidRPr="00153A7C" w:rsidRDefault="00452DA4" w:rsidP="00537358">
      <w:pPr>
        <w:pStyle w:val="naislab"/>
        <w:spacing w:before="0" w:after="0"/>
        <w:ind w:right="-199" w:firstLine="851"/>
        <w:rPr>
          <w:rFonts w:eastAsia="Calibri"/>
          <w:i/>
          <w:sz w:val="28"/>
          <w:szCs w:val="28"/>
          <w:lang w:eastAsia="en-US"/>
        </w:rPr>
      </w:pPr>
      <w:r w:rsidRPr="00153A7C">
        <w:rPr>
          <w:rFonts w:eastAsia="Calibri"/>
          <w:i/>
          <w:sz w:val="28"/>
          <w:szCs w:val="28"/>
          <w:lang w:eastAsia="en-US"/>
        </w:rPr>
        <w:t>51.panta otro daļu, 52.panta pirmās daļas</w:t>
      </w:r>
    </w:p>
    <w:p w:rsidR="00452DA4" w:rsidRPr="00153A7C" w:rsidRDefault="00452DA4" w:rsidP="00537358">
      <w:pPr>
        <w:pStyle w:val="naislab"/>
        <w:spacing w:before="0" w:after="0"/>
        <w:ind w:right="-199" w:firstLine="851"/>
        <w:rPr>
          <w:rFonts w:eastAsia="Calibri"/>
          <w:i/>
          <w:sz w:val="28"/>
          <w:szCs w:val="28"/>
          <w:lang w:eastAsia="en-US"/>
        </w:rPr>
      </w:pPr>
      <w:r w:rsidRPr="00153A7C">
        <w:rPr>
          <w:rFonts w:eastAsia="Calibri"/>
          <w:i/>
          <w:sz w:val="28"/>
          <w:szCs w:val="28"/>
          <w:lang w:eastAsia="en-US"/>
        </w:rPr>
        <w:t>3.punkta “a” apakšpunktu, 52.panta ceturto daļu,</w:t>
      </w:r>
    </w:p>
    <w:p w:rsidR="00452DA4" w:rsidRPr="00153A7C" w:rsidRDefault="00452DA4" w:rsidP="00537358">
      <w:pPr>
        <w:pStyle w:val="naislab"/>
        <w:spacing w:before="0" w:after="0"/>
        <w:ind w:right="-199" w:firstLine="851"/>
        <w:rPr>
          <w:rFonts w:eastAsia="Calibri"/>
          <w:i/>
          <w:sz w:val="28"/>
          <w:szCs w:val="28"/>
          <w:lang w:eastAsia="en-US"/>
        </w:rPr>
      </w:pPr>
      <w:r w:rsidRPr="00153A7C">
        <w:rPr>
          <w:rFonts w:eastAsia="Calibri"/>
          <w:i/>
          <w:sz w:val="28"/>
          <w:szCs w:val="28"/>
          <w:lang w:eastAsia="en-US"/>
        </w:rPr>
        <w:t>65.panta trešo daļu, 66.panta astoto daļu,</w:t>
      </w:r>
    </w:p>
    <w:p w:rsidR="00452DA4" w:rsidRPr="00153A7C" w:rsidRDefault="00452DA4" w:rsidP="00537358">
      <w:pPr>
        <w:pStyle w:val="naislab"/>
        <w:spacing w:before="0" w:after="0"/>
        <w:ind w:right="-199" w:firstLine="851"/>
        <w:rPr>
          <w:rFonts w:eastAsia="Calibri"/>
          <w:i/>
          <w:sz w:val="28"/>
          <w:szCs w:val="28"/>
          <w:lang w:eastAsia="en-US"/>
        </w:rPr>
      </w:pPr>
      <w:r w:rsidRPr="00153A7C">
        <w:rPr>
          <w:rFonts w:eastAsia="Calibri"/>
          <w:i/>
          <w:sz w:val="28"/>
          <w:szCs w:val="28"/>
          <w:lang w:eastAsia="en-US"/>
        </w:rPr>
        <w:t>72.panta otro daļu, 85.panta astotās daļas</w:t>
      </w:r>
    </w:p>
    <w:p w:rsidR="00452DA4" w:rsidRPr="00153A7C" w:rsidRDefault="00452DA4" w:rsidP="00537358">
      <w:pPr>
        <w:pStyle w:val="naislab"/>
        <w:spacing w:before="0" w:after="0"/>
        <w:ind w:right="-199" w:firstLine="851"/>
        <w:rPr>
          <w:rFonts w:eastAsia="Calibri"/>
          <w:i/>
          <w:sz w:val="28"/>
          <w:szCs w:val="28"/>
          <w:lang w:eastAsia="en-US"/>
        </w:rPr>
      </w:pPr>
      <w:r w:rsidRPr="00153A7C">
        <w:rPr>
          <w:rFonts w:eastAsia="Calibri"/>
          <w:i/>
          <w:sz w:val="28"/>
          <w:szCs w:val="28"/>
          <w:lang w:eastAsia="en-US"/>
        </w:rPr>
        <w:t>1. un 3.punktu, 107.pantu, 117.panta devīto daļu,</w:t>
      </w:r>
    </w:p>
    <w:p w:rsidR="00452DA4" w:rsidRPr="00153A7C" w:rsidRDefault="00452DA4" w:rsidP="00537358">
      <w:pPr>
        <w:pStyle w:val="naislab"/>
        <w:spacing w:before="0" w:after="0"/>
        <w:ind w:right="-199" w:firstLine="851"/>
        <w:rPr>
          <w:rFonts w:eastAsia="Calibri"/>
          <w:i/>
          <w:sz w:val="28"/>
          <w:szCs w:val="28"/>
          <w:lang w:eastAsia="en-US"/>
        </w:rPr>
      </w:pPr>
      <w:r w:rsidRPr="00153A7C">
        <w:rPr>
          <w:rFonts w:eastAsia="Calibri"/>
          <w:i/>
          <w:sz w:val="28"/>
          <w:szCs w:val="28"/>
          <w:lang w:eastAsia="en-US"/>
        </w:rPr>
        <w:t>129.panta vienpadsmito daļu, 134.panta ceturto daļu,</w:t>
      </w:r>
    </w:p>
    <w:p w:rsidR="00452DA4" w:rsidRPr="00153A7C" w:rsidRDefault="00452DA4" w:rsidP="00537358">
      <w:pPr>
        <w:pStyle w:val="naislab"/>
        <w:spacing w:before="0" w:after="0"/>
        <w:ind w:right="-199" w:firstLine="851"/>
        <w:rPr>
          <w:rFonts w:eastAsia="Calibri"/>
          <w:i/>
          <w:sz w:val="28"/>
          <w:szCs w:val="28"/>
          <w:lang w:eastAsia="en-US"/>
        </w:rPr>
      </w:pPr>
      <w:r w:rsidRPr="00153A7C">
        <w:rPr>
          <w:rFonts w:eastAsia="Calibri"/>
          <w:i/>
          <w:sz w:val="28"/>
          <w:szCs w:val="28"/>
          <w:lang w:eastAsia="en-US"/>
        </w:rPr>
        <w:t>138.panta divdesmit trešo daļu, 140.</w:t>
      </w:r>
      <w:r w:rsidRPr="00153A7C">
        <w:rPr>
          <w:rFonts w:eastAsia="Calibri"/>
          <w:i/>
          <w:sz w:val="28"/>
          <w:szCs w:val="28"/>
          <w:vertAlign w:val="superscript"/>
          <w:lang w:eastAsia="en-US"/>
        </w:rPr>
        <w:t>1</w:t>
      </w:r>
      <w:r w:rsidRPr="00153A7C">
        <w:rPr>
          <w:rFonts w:eastAsia="Calibri"/>
          <w:i/>
          <w:sz w:val="28"/>
          <w:szCs w:val="28"/>
          <w:lang w:eastAsia="en-US"/>
        </w:rPr>
        <w:t xml:space="preserve"> panta četrpadsmitās daļas</w:t>
      </w:r>
    </w:p>
    <w:p w:rsidR="00452DA4" w:rsidRPr="00153A7C" w:rsidRDefault="00452DA4" w:rsidP="00537358">
      <w:pPr>
        <w:pStyle w:val="naislab"/>
        <w:spacing w:before="0" w:after="0"/>
        <w:ind w:right="-199" w:firstLine="851"/>
        <w:rPr>
          <w:i/>
          <w:sz w:val="28"/>
          <w:szCs w:val="28"/>
        </w:rPr>
      </w:pPr>
      <w:r w:rsidRPr="00153A7C">
        <w:rPr>
          <w:rFonts w:eastAsia="Calibri"/>
          <w:i/>
          <w:sz w:val="28"/>
          <w:szCs w:val="28"/>
          <w:lang w:eastAsia="en-US"/>
        </w:rPr>
        <w:t>1., 2. un 3.punktu</w:t>
      </w:r>
      <w:r>
        <w:rPr>
          <w:rFonts w:eastAsia="Calibri"/>
          <w:i/>
          <w:sz w:val="28"/>
          <w:szCs w:val="28"/>
          <w:lang w:eastAsia="en-US"/>
        </w:rPr>
        <w:t xml:space="preserve">, </w:t>
      </w:r>
      <w:r w:rsidRPr="00153A7C">
        <w:rPr>
          <w:i/>
          <w:sz w:val="28"/>
          <w:szCs w:val="28"/>
        </w:rPr>
        <w:t>143.</w:t>
      </w:r>
      <w:r w:rsidRPr="00153A7C">
        <w:rPr>
          <w:i/>
          <w:sz w:val="28"/>
          <w:szCs w:val="28"/>
          <w:vertAlign w:val="superscript"/>
        </w:rPr>
        <w:t>4</w:t>
      </w:r>
      <w:r w:rsidRPr="00153A7C">
        <w:rPr>
          <w:i/>
          <w:sz w:val="28"/>
          <w:szCs w:val="28"/>
        </w:rPr>
        <w:t xml:space="preserve"> panta astoto daļu,</w:t>
      </w:r>
    </w:p>
    <w:p w:rsidR="00452DA4" w:rsidRPr="00153A7C" w:rsidRDefault="00452DA4" w:rsidP="00537358">
      <w:pPr>
        <w:pStyle w:val="naislab"/>
        <w:spacing w:before="0" w:after="0"/>
        <w:ind w:right="-199" w:firstLine="851"/>
        <w:rPr>
          <w:rFonts w:eastAsia="Calibri"/>
          <w:i/>
          <w:sz w:val="28"/>
          <w:szCs w:val="28"/>
          <w:lang w:eastAsia="en-US"/>
        </w:rPr>
      </w:pPr>
      <w:r w:rsidRPr="00153A7C">
        <w:rPr>
          <w:i/>
          <w:sz w:val="28"/>
          <w:szCs w:val="28"/>
        </w:rPr>
        <w:t xml:space="preserve"> 143.</w:t>
      </w:r>
      <w:r w:rsidRPr="00153A7C">
        <w:rPr>
          <w:i/>
          <w:sz w:val="28"/>
          <w:szCs w:val="28"/>
          <w:vertAlign w:val="superscript"/>
        </w:rPr>
        <w:t xml:space="preserve">5 </w:t>
      </w:r>
      <w:r w:rsidRPr="00153A7C">
        <w:rPr>
          <w:i/>
          <w:sz w:val="28"/>
          <w:szCs w:val="28"/>
        </w:rPr>
        <w:t>panta piekto daļu</w:t>
      </w:r>
      <w:r w:rsidRPr="00153A7C">
        <w:rPr>
          <w:rFonts w:eastAsia="Calibri"/>
          <w:i/>
          <w:sz w:val="28"/>
          <w:szCs w:val="28"/>
          <w:lang w:eastAsia="en-US"/>
        </w:rPr>
        <w:t xml:space="preserve"> un 144.panta piekto daļu</w:t>
      </w:r>
    </w:p>
    <w:p w:rsidR="00452DA4" w:rsidRPr="00F56787" w:rsidRDefault="00452DA4" w:rsidP="00537358">
      <w:pPr>
        <w:pStyle w:val="naislab"/>
        <w:spacing w:before="0" w:after="0"/>
        <w:ind w:right="-199" w:firstLine="851"/>
        <w:rPr>
          <w:rFonts w:eastAsia="Calibri"/>
          <w:sz w:val="28"/>
          <w:szCs w:val="28"/>
          <w:lang w:eastAsia="en-US"/>
        </w:rPr>
      </w:pPr>
    </w:p>
    <w:p w:rsidR="00452DA4" w:rsidRPr="00F56787" w:rsidRDefault="00452DA4" w:rsidP="00537358">
      <w:pPr>
        <w:pStyle w:val="naislab"/>
        <w:spacing w:before="0" w:after="0"/>
        <w:ind w:right="-199" w:firstLine="851"/>
        <w:jc w:val="left"/>
        <w:rPr>
          <w:sz w:val="28"/>
          <w:szCs w:val="28"/>
        </w:rPr>
      </w:pPr>
    </w:p>
    <w:p w:rsidR="00452DA4" w:rsidRPr="00F56787" w:rsidRDefault="00452DA4" w:rsidP="00537358">
      <w:pPr>
        <w:numPr>
          <w:ilvl w:val="0"/>
          <w:numId w:val="2"/>
        </w:numPr>
        <w:tabs>
          <w:tab w:val="left" w:pos="1560"/>
        </w:tabs>
        <w:ind w:left="0" w:right="-199" w:firstLine="851"/>
        <w:jc w:val="both"/>
        <w:rPr>
          <w:rFonts w:ascii="Times New Roman" w:hAnsi="Times New Roman"/>
          <w:sz w:val="28"/>
          <w:szCs w:val="28"/>
        </w:rPr>
      </w:pPr>
      <w:r w:rsidRPr="00F56787">
        <w:rPr>
          <w:rFonts w:ascii="Times New Roman" w:hAnsi="Times New Roman"/>
          <w:sz w:val="28"/>
          <w:szCs w:val="28"/>
        </w:rPr>
        <w:t>Izdarīt Ministru kabineta 2013.gada 3.janvāra noteikumos Nr.17 “</w:t>
      </w:r>
      <w:r w:rsidRPr="00F56787">
        <w:rPr>
          <w:rFonts w:ascii="Times New Roman" w:eastAsia="Times New Roman" w:hAnsi="Times New Roman"/>
          <w:bCs/>
          <w:sz w:val="28"/>
          <w:szCs w:val="28"/>
          <w:lang w:eastAsia="lv-LV"/>
        </w:rPr>
        <w:t>Pievienotās vērtības nodokļa likuma normu piemērošanas kārtība un atsevišķas prasības pievienotās vērtības nodokļa maksāšanai un administrēšanai</w:t>
      </w:r>
      <w:r w:rsidRPr="00F56787">
        <w:rPr>
          <w:rFonts w:ascii="Times New Roman" w:hAnsi="Times New Roman"/>
          <w:sz w:val="28"/>
          <w:szCs w:val="28"/>
        </w:rPr>
        <w:t>” (Latvijas Vēstnesis, 2013, 14., 107., 208., 250.nr.</w:t>
      </w:r>
      <w:r>
        <w:rPr>
          <w:rFonts w:ascii="Times New Roman" w:hAnsi="Times New Roman"/>
          <w:sz w:val="28"/>
          <w:szCs w:val="28"/>
        </w:rPr>
        <w:t>;</w:t>
      </w:r>
      <w:r w:rsidRPr="00F56787">
        <w:rPr>
          <w:rFonts w:ascii="Times New Roman" w:hAnsi="Times New Roman"/>
          <w:sz w:val="28"/>
          <w:szCs w:val="28"/>
        </w:rPr>
        <w:t xml:space="preserve"> 2014, 185.nr.</w:t>
      </w:r>
      <w:r>
        <w:rPr>
          <w:rFonts w:ascii="Times New Roman" w:hAnsi="Times New Roman"/>
          <w:sz w:val="28"/>
          <w:szCs w:val="28"/>
        </w:rPr>
        <w:t>;</w:t>
      </w:r>
      <w:r w:rsidRPr="00F56787">
        <w:rPr>
          <w:rFonts w:ascii="Times New Roman" w:hAnsi="Times New Roman"/>
          <w:sz w:val="28"/>
          <w:szCs w:val="28"/>
        </w:rPr>
        <w:t xml:space="preserve"> 2016, 29.nr.) šādus grozījumus:</w:t>
      </w:r>
    </w:p>
    <w:p w:rsidR="00452DA4" w:rsidRPr="00F56787" w:rsidRDefault="00452DA4" w:rsidP="00537358">
      <w:pPr>
        <w:tabs>
          <w:tab w:val="left" w:pos="1276"/>
        </w:tabs>
        <w:ind w:right="-199" w:firstLine="851"/>
        <w:jc w:val="both"/>
        <w:rPr>
          <w:rFonts w:ascii="Times New Roman" w:hAnsi="Times New Roman"/>
          <w:sz w:val="28"/>
          <w:szCs w:val="28"/>
        </w:rPr>
      </w:pPr>
    </w:p>
    <w:p w:rsidR="00452DA4" w:rsidRPr="00F56787" w:rsidRDefault="00452DA4" w:rsidP="00537358">
      <w:pPr>
        <w:numPr>
          <w:ilvl w:val="1"/>
          <w:numId w:val="2"/>
        </w:numPr>
        <w:tabs>
          <w:tab w:val="left" w:pos="1560"/>
        </w:tabs>
        <w:ind w:left="0" w:right="-199" w:firstLine="851"/>
        <w:jc w:val="both"/>
        <w:rPr>
          <w:rFonts w:ascii="Times New Roman" w:hAnsi="Times New Roman"/>
          <w:sz w:val="28"/>
          <w:szCs w:val="28"/>
        </w:rPr>
      </w:pPr>
      <w:r w:rsidRPr="00F56787">
        <w:rPr>
          <w:rFonts w:ascii="Times New Roman" w:hAnsi="Times New Roman"/>
          <w:sz w:val="28"/>
          <w:szCs w:val="28"/>
        </w:rPr>
        <w:t>papildināt norādi, uz kāda likuma pamata noteikumi izdoti, aiz skaitļ</w:t>
      </w:r>
      <w:r>
        <w:rPr>
          <w:rFonts w:ascii="Times New Roman" w:hAnsi="Times New Roman"/>
          <w:sz w:val="28"/>
          <w:szCs w:val="28"/>
        </w:rPr>
        <w:t>iem</w:t>
      </w:r>
      <w:r w:rsidRPr="00F56787">
        <w:rPr>
          <w:rFonts w:ascii="Times New Roman" w:hAnsi="Times New Roman"/>
          <w:sz w:val="28"/>
          <w:szCs w:val="28"/>
        </w:rPr>
        <w:t xml:space="preserve"> un vārd</w:t>
      </w:r>
      <w:r>
        <w:rPr>
          <w:rFonts w:ascii="Times New Roman" w:hAnsi="Times New Roman"/>
          <w:sz w:val="28"/>
          <w:szCs w:val="28"/>
        </w:rPr>
        <w:t>a</w:t>
      </w:r>
      <w:r w:rsidRPr="00F56787">
        <w:rPr>
          <w:rFonts w:ascii="Times New Roman" w:hAnsi="Times New Roman"/>
          <w:sz w:val="28"/>
          <w:szCs w:val="28"/>
        </w:rPr>
        <w:t xml:space="preserve"> “2. un 3.punktu” ar skaitļiem un vārdiem “143.</w:t>
      </w:r>
      <w:r w:rsidRPr="00F56787">
        <w:rPr>
          <w:rFonts w:ascii="Times New Roman" w:hAnsi="Times New Roman"/>
          <w:sz w:val="28"/>
          <w:szCs w:val="28"/>
          <w:vertAlign w:val="superscript"/>
        </w:rPr>
        <w:t>4</w:t>
      </w:r>
      <w:r w:rsidRPr="00F56787">
        <w:rPr>
          <w:rFonts w:ascii="Times New Roman" w:hAnsi="Times New Roman"/>
          <w:sz w:val="28"/>
          <w:szCs w:val="28"/>
        </w:rPr>
        <w:t xml:space="preserve"> panta astoto daļu, 143.</w:t>
      </w:r>
      <w:r w:rsidRPr="00F56787"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 w:rsidRPr="00F56787">
        <w:rPr>
          <w:rFonts w:ascii="Times New Roman" w:hAnsi="Times New Roman"/>
          <w:sz w:val="28"/>
          <w:szCs w:val="28"/>
        </w:rPr>
        <w:t>panta piekto daļu”;</w:t>
      </w:r>
    </w:p>
    <w:p w:rsidR="00452DA4" w:rsidRPr="00F56787" w:rsidRDefault="00452DA4" w:rsidP="00537358">
      <w:pPr>
        <w:tabs>
          <w:tab w:val="left" w:pos="1276"/>
        </w:tabs>
        <w:ind w:right="-199" w:firstLine="851"/>
        <w:jc w:val="both"/>
        <w:rPr>
          <w:rFonts w:ascii="Times New Roman" w:hAnsi="Times New Roman"/>
          <w:sz w:val="28"/>
          <w:szCs w:val="28"/>
        </w:rPr>
      </w:pPr>
    </w:p>
    <w:p w:rsidR="00452DA4" w:rsidRDefault="00452DA4" w:rsidP="00537358">
      <w:pPr>
        <w:numPr>
          <w:ilvl w:val="1"/>
          <w:numId w:val="2"/>
        </w:numPr>
        <w:tabs>
          <w:tab w:val="left" w:pos="1560"/>
        </w:tabs>
        <w:ind w:left="0" w:right="-199" w:firstLine="851"/>
        <w:jc w:val="both"/>
        <w:rPr>
          <w:rFonts w:ascii="Times New Roman" w:hAnsi="Times New Roman"/>
          <w:sz w:val="28"/>
          <w:szCs w:val="28"/>
        </w:rPr>
      </w:pPr>
      <w:r w:rsidRPr="00F56787">
        <w:rPr>
          <w:rFonts w:ascii="Times New Roman" w:hAnsi="Times New Roman"/>
          <w:sz w:val="28"/>
          <w:szCs w:val="28"/>
        </w:rPr>
        <w:t>aizstāt noteikumu tekstā vārdu “renovācija” (attiecīgā locījumā) ar vārd</w:t>
      </w:r>
      <w:r>
        <w:rPr>
          <w:rFonts w:ascii="Times New Roman" w:hAnsi="Times New Roman"/>
          <w:sz w:val="28"/>
          <w:szCs w:val="28"/>
        </w:rPr>
        <w:t>u</w:t>
      </w:r>
      <w:r w:rsidRPr="00F56787">
        <w:rPr>
          <w:rFonts w:ascii="Times New Roman" w:hAnsi="Times New Roman"/>
          <w:sz w:val="28"/>
          <w:szCs w:val="28"/>
        </w:rPr>
        <w:t xml:space="preserve"> “atjaunošana” (attiecīgā locījumā);</w:t>
      </w:r>
    </w:p>
    <w:p w:rsidR="00452DA4" w:rsidRDefault="00452DA4" w:rsidP="00537358">
      <w:pPr>
        <w:pStyle w:val="ListParagraph"/>
        <w:ind w:left="0" w:right="-199" w:firstLine="851"/>
        <w:rPr>
          <w:rFonts w:ascii="Times New Roman" w:hAnsi="Times New Roman"/>
          <w:sz w:val="28"/>
          <w:szCs w:val="28"/>
        </w:rPr>
      </w:pPr>
    </w:p>
    <w:p w:rsidR="00452DA4" w:rsidRPr="001E0017" w:rsidRDefault="00452DA4" w:rsidP="001E0017">
      <w:pPr>
        <w:numPr>
          <w:ilvl w:val="1"/>
          <w:numId w:val="2"/>
        </w:numPr>
        <w:tabs>
          <w:tab w:val="left" w:pos="1560"/>
        </w:tabs>
        <w:ind w:left="0" w:right="-199" w:firstLine="851"/>
        <w:jc w:val="both"/>
        <w:rPr>
          <w:rFonts w:ascii="Times New Roman" w:hAnsi="Times New Roman"/>
          <w:sz w:val="28"/>
          <w:szCs w:val="28"/>
        </w:rPr>
      </w:pPr>
      <w:r w:rsidRPr="00F56787">
        <w:rPr>
          <w:rFonts w:ascii="Times New Roman" w:hAnsi="Times New Roman"/>
          <w:sz w:val="28"/>
          <w:szCs w:val="28"/>
        </w:rPr>
        <w:t>aizstāt noteikumu tekstā vārdu “rekonstrukcija” (attiecīgā locījumā) ar vārd</w:t>
      </w:r>
      <w:r>
        <w:rPr>
          <w:rFonts w:ascii="Times New Roman" w:hAnsi="Times New Roman"/>
          <w:sz w:val="28"/>
          <w:szCs w:val="28"/>
        </w:rPr>
        <w:t>u</w:t>
      </w:r>
      <w:r w:rsidRPr="00F56787">
        <w:rPr>
          <w:rFonts w:ascii="Times New Roman" w:hAnsi="Times New Roman"/>
          <w:sz w:val="28"/>
          <w:szCs w:val="28"/>
        </w:rPr>
        <w:t xml:space="preserve"> “pārbūve” (attiecīgā locījumā)</w:t>
      </w:r>
      <w:r>
        <w:rPr>
          <w:rFonts w:ascii="Times New Roman" w:hAnsi="Times New Roman"/>
          <w:sz w:val="28"/>
          <w:szCs w:val="28"/>
        </w:rPr>
        <w:t>;</w:t>
      </w:r>
    </w:p>
    <w:p w:rsidR="00452DA4" w:rsidRDefault="00452DA4" w:rsidP="00537358">
      <w:pPr>
        <w:numPr>
          <w:ilvl w:val="1"/>
          <w:numId w:val="2"/>
        </w:numPr>
        <w:tabs>
          <w:tab w:val="left" w:pos="709"/>
          <w:tab w:val="left" w:pos="1560"/>
        </w:tabs>
        <w:ind w:left="0" w:right="-199" w:firstLine="851"/>
        <w:jc w:val="both"/>
        <w:rPr>
          <w:rFonts w:ascii="Times New Roman" w:hAnsi="Times New Roman"/>
          <w:sz w:val="28"/>
          <w:szCs w:val="28"/>
        </w:rPr>
      </w:pPr>
      <w:r w:rsidRPr="00F56787">
        <w:rPr>
          <w:rFonts w:ascii="Times New Roman" w:hAnsi="Times New Roman"/>
          <w:sz w:val="28"/>
          <w:szCs w:val="28"/>
        </w:rPr>
        <w:t>papildināt noteikumus ar 1.33. un 1.34.apakšpunktu šādā redakcijā:</w:t>
      </w:r>
    </w:p>
    <w:p w:rsidR="00452DA4" w:rsidRPr="00F56787" w:rsidRDefault="00452DA4" w:rsidP="00537358">
      <w:pPr>
        <w:tabs>
          <w:tab w:val="left" w:pos="1560"/>
        </w:tabs>
        <w:ind w:right="-199" w:firstLine="851"/>
        <w:jc w:val="both"/>
        <w:rPr>
          <w:rFonts w:ascii="Times New Roman" w:hAnsi="Times New Roman"/>
          <w:sz w:val="28"/>
          <w:szCs w:val="28"/>
        </w:rPr>
      </w:pPr>
    </w:p>
    <w:p w:rsidR="00452DA4" w:rsidRPr="00F56787" w:rsidRDefault="00452DA4" w:rsidP="00537358">
      <w:pPr>
        <w:tabs>
          <w:tab w:val="left" w:pos="1843"/>
        </w:tabs>
        <w:ind w:right="-199" w:firstLine="851"/>
        <w:jc w:val="both"/>
        <w:rPr>
          <w:rFonts w:ascii="Times New Roman" w:hAnsi="Times New Roman"/>
          <w:sz w:val="28"/>
          <w:szCs w:val="28"/>
        </w:rPr>
      </w:pPr>
      <w:r w:rsidRPr="00F5678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1.33. </w:t>
      </w:r>
      <w:r w:rsidRPr="00F56787">
        <w:rPr>
          <w:rFonts w:ascii="Times New Roman" w:hAnsi="Times New Roman"/>
          <w:sz w:val="28"/>
          <w:szCs w:val="28"/>
        </w:rPr>
        <w:t>to preču piegādes, kuras uzskata par metālizstrādājumiem atbilstoši kombinētās nomenklatūras kodiem</w:t>
      </w:r>
      <w:r>
        <w:rPr>
          <w:rFonts w:ascii="Times New Roman" w:hAnsi="Times New Roman"/>
          <w:sz w:val="28"/>
          <w:szCs w:val="28"/>
        </w:rPr>
        <w:t>, kas noteikti kombinētajā nomenklatūrā un tās grozījumos,</w:t>
      </w:r>
      <w:r w:rsidRPr="00F56787">
        <w:rPr>
          <w:rFonts w:ascii="Times New Roman" w:hAnsi="Times New Roman"/>
          <w:sz w:val="28"/>
          <w:szCs w:val="28"/>
        </w:rPr>
        <w:t xml:space="preserve"> un ar</w:t>
      </w:r>
      <w:r>
        <w:rPr>
          <w:rFonts w:ascii="Times New Roman" w:hAnsi="Times New Roman"/>
          <w:sz w:val="28"/>
          <w:szCs w:val="28"/>
        </w:rPr>
        <w:t xml:space="preserve"> šo</w:t>
      </w:r>
      <w:r w:rsidRPr="00F56787">
        <w:rPr>
          <w:rFonts w:ascii="Times New Roman" w:hAnsi="Times New Roman"/>
          <w:sz w:val="28"/>
          <w:szCs w:val="28"/>
        </w:rPr>
        <w:t xml:space="preserve"> metālizstrādājumu piegādi saistītos pakalpojumus;</w:t>
      </w:r>
    </w:p>
    <w:p w:rsidR="00452DA4" w:rsidRPr="00F56787" w:rsidRDefault="00452DA4" w:rsidP="00537358">
      <w:pPr>
        <w:tabs>
          <w:tab w:val="left" w:pos="1276"/>
        </w:tabs>
        <w:ind w:right="-199" w:firstLine="851"/>
        <w:jc w:val="both"/>
        <w:rPr>
          <w:rFonts w:ascii="Times New Roman" w:hAnsi="Times New Roman"/>
          <w:sz w:val="28"/>
          <w:szCs w:val="28"/>
        </w:rPr>
      </w:pPr>
    </w:p>
    <w:p w:rsidR="00452DA4" w:rsidRPr="00F56787" w:rsidRDefault="00452DA4" w:rsidP="00537358">
      <w:pPr>
        <w:tabs>
          <w:tab w:val="left" w:pos="1276"/>
        </w:tabs>
        <w:ind w:right="-199" w:firstLine="851"/>
        <w:jc w:val="both"/>
        <w:rPr>
          <w:rFonts w:ascii="Times New Roman" w:hAnsi="Times New Roman"/>
          <w:sz w:val="28"/>
          <w:szCs w:val="28"/>
        </w:rPr>
      </w:pPr>
      <w:r w:rsidRPr="00F56787">
        <w:rPr>
          <w:rFonts w:ascii="Times New Roman" w:hAnsi="Times New Roman"/>
          <w:sz w:val="28"/>
          <w:szCs w:val="28"/>
        </w:rPr>
        <w:t>1.34.  preces, kuras uzskata par sadzīves elektroniskajām iekārtām un sadzīves elektrisko aparatūru atbilstoši kombinētās nomenklatūras kodiem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6BAB">
        <w:rPr>
          <w:rFonts w:ascii="Times New Roman" w:hAnsi="Times New Roman"/>
          <w:sz w:val="28"/>
          <w:szCs w:val="28"/>
        </w:rPr>
        <w:t>kas noteikti kombinētajā</w:t>
      </w:r>
      <w:r>
        <w:rPr>
          <w:rFonts w:ascii="Times New Roman" w:hAnsi="Times New Roman"/>
          <w:sz w:val="28"/>
          <w:szCs w:val="28"/>
        </w:rPr>
        <w:t xml:space="preserve"> nomenklatūrā un tās grozījumos</w:t>
      </w:r>
      <w:r w:rsidRPr="00F56787">
        <w:rPr>
          <w:rFonts w:ascii="Times New Roman" w:hAnsi="Times New Roman"/>
          <w:sz w:val="28"/>
          <w:szCs w:val="28"/>
        </w:rPr>
        <w:t>.”</w:t>
      </w:r>
      <w:r>
        <w:rPr>
          <w:rFonts w:ascii="Times New Roman" w:hAnsi="Times New Roman"/>
          <w:sz w:val="28"/>
          <w:szCs w:val="28"/>
        </w:rPr>
        <w:t>;</w:t>
      </w:r>
    </w:p>
    <w:p w:rsidR="00452DA4" w:rsidRPr="00F56787" w:rsidRDefault="00452DA4" w:rsidP="00537358">
      <w:pPr>
        <w:pStyle w:val="ListParagraph"/>
        <w:ind w:left="0" w:right="-199" w:firstLine="851"/>
        <w:rPr>
          <w:rFonts w:ascii="Times New Roman" w:hAnsi="Times New Roman"/>
          <w:sz w:val="28"/>
          <w:szCs w:val="28"/>
        </w:rPr>
      </w:pPr>
    </w:p>
    <w:p w:rsidR="00452DA4" w:rsidRPr="00F56787" w:rsidRDefault="00452DA4" w:rsidP="00537358">
      <w:pPr>
        <w:numPr>
          <w:ilvl w:val="1"/>
          <w:numId w:val="2"/>
        </w:numPr>
        <w:tabs>
          <w:tab w:val="left" w:pos="1560"/>
        </w:tabs>
        <w:ind w:left="0" w:right="-199" w:firstLine="851"/>
        <w:jc w:val="both"/>
        <w:rPr>
          <w:rFonts w:ascii="Times New Roman" w:hAnsi="Times New Roman"/>
          <w:sz w:val="28"/>
          <w:szCs w:val="28"/>
        </w:rPr>
      </w:pP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>papildināt noteikumus ar 58.</w:t>
      </w:r>
      <w:r w:rsidRPr="00F5678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Pr="00F5678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>58.</w:t>
      </w:r>
      <w:r w:rsidRPr="00F5678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 xml:space="preserve"> un 58.</w:t>
      </w:r>
      <w:r w:rsidRPr="00F5678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3 </w:t>
      </w: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>punktu šādā redakcijā:</w:t>
      </w:r>
    </w:p>
    <w:p w:rsidR="00452DA4" w:rsidRPr="00F56787" w:rsidRDefault="00452DA4" w:rsidP="00537358">
      <w:pPr>
        <w:pStyle w:val="ListParagraph"/>
        <w:ind w:left="0" w:right="-199" w:firstLine="851"/>
        <w:rPr>
          <w:rFonts w:ascii="Times New Roman" w:hAnsi="Times New Roman"/>
          <w:sz w:val="28"/>
          <w:szCs w:val="28"/>
        </w:rPr>
      </w:pPr>
    </w:p>
    <w:p w:rsidR="00452DA4" w:rsidRPr="00F56787" w:rsidRDefault="00452DA4" w:rsidP="00820AC5">
      <w:pPr>
        <w:tabs>
          <w:tab w:val="left" w:pos="1134"/>
          <w:tab w:val="left" w:pos="1701"/>
        </w:tabs>
        <w:ind w:right="-199"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>“58.</w:t>
      </w:r>
      <w:r w:rsidRPr="00F5678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20AC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>Likuma 143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F5678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pantā minēto īpašo nodokļa piemērošanas režīmu piemēro tādu metālizstrādājumu piegādēm, kas noteikti šo </w:t>
      </w: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>noteikumu 7.pielikumā.</w:t>
      </w:r>
    </w:p>
    <w:p w:rsidR="00452DA4" w:rsidRPr="00F56787" w:rsidRDefault="00452DA4" w:rsidP="00537358">
      <w:pPr>
        <w:ind w:right="-199"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52DA4" w:rsidRPr="00F56787" w:rsidRDefault="00452DA4" w:rsidP="00820AC5">
      <w:pPr>
        <w:ind w:right="-199"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>58.</w:t>
      </w:r>
      <w:r w:rsidRPr="00F5678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</w:t>
      </w:r>
      <w:r w:rsidR="00820AC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C385F" w:rsidRPr="00EC385F">
        <w:rPr>
          <w:rFonts w:ascii="Times New Roman" w:eastAsia="Times New Roman" w:hAnsi="Times New Roman"/>
          <w:sz w:val="28"/>
          <w:szCs w:val="28"/>
          <w:lang w:eastAsia="lv-LV"/>
        </w:rPr>
        <w:t>Likuma 143.</w:t>
      </w:r>
      <w:r w:rsidR="00EC385F" w:rsidRPr="00EC385F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4 </w:t>
      </w:r>
      <w:r w:rsidR="00131A47">
        <w:rPr>
          <w:rFonts w:ascii="Times New Roman" w:eastAsia="Times New Roman" w:hAnsi="Times New Roman"/>
          <w:sz w:val="28"/>
          <w:szCs w:val="28"/>
          <w:lang w:eastAsia="lv-LV"/>
        </w:rPr>
        <w:t>pantā</w:t>
      </w:r>
      <w:r w:rsidR="00EC385F" w:rsidRPr="00EC385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31A47" w:rsidRPr="00131A47">
        <w:rPr>
          <w:rFonts w:ascii="Times New Roman" w:eastAsia="Times New Roman" w:hAnsi="Times New Roman"/>
          <w:sz w:val="28"/>
          <w:szCs w:val="28"/>
          <w:lang w:eastAsia="lv-LV"/>
        </w:rPr>
        <w:t xml:space="preserve">minēto īpašo nodokļa piemērošanas režīmu </w:t>
      </w:r>
      <w:r w:rsidR="00EC385F" w:rsidRPr="00EC385F">
        <w:rPr>
          <w:rFonts w:ascii="Times New Roman" w:eastAsia="Times New Roman" w:hAnsi="Times New Roman"/>
          <w:sz w:val="28"/>
          <w:szCs w:val="28"/>
          <w:lang w:eastAsia="lv-LV"/>
        </w:rPr>
        <w:t>piemēro tādiem ar šo noteikumu 7.pielikumā minēto metālizstrādājumu piegādi saistītiem pakalpojumiem, kas ir metālizstrādājumu griešana, locīšana, mehāniskā apstrāde, metināšana, velmēšana, tīrīšana, virsmas apstrāde un citas apstrādes formas</w:t>
      </w: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452DA4" w:rsidRPr="00F56787" w:rsidRDefault="00452DA4" w:rsidP="00537358">
      <w:pPr>
        <w:ind w:right="-199"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52DA4" w:rsidRPr="00F56787" w:rsidRDefault="00452DA4" w:rsidP="00537358">
      <w:pPr>
        <w:pStyle w:val="ListParagraph"/>
        <w:tabs>
          <w:tab w:val="left" w:pos="1418"/>
        </w:tabs>
        <w:ind w:left="0" w:right="-199" w:firstLine="851"/>
        <w:jc w:val="both"/>
        <w:rPr>
          <w:rFonts w:ascii="Times New Roman" w:hAnsi="Times New Roman"/>
          <w:sz w:val="28"/>
          <w:szCs w:val="28"/>
        </w:rPr>
      </w:pPr>
      <w:r w:rsidRPr="00F56787">
        <w:rPr>
          <w:rFonts w:ascii="Times New Roman" w:hAnsi="Times New Roman"/>
          <w:sz w:val="28"/>
          <w:szCs w:val="28"/>
        </w:rPr>
        <w:t>58.</w:t>
      </w:r>
      <w:r w:rsidRPr="00F56787">
        <w:rPr>
          <w:rFonts w:ascii="Times New Roman" w:hAnsi="Times New Roman"/>
          <w:sz w:val="28"/>
          <w:szCs w:val="28"/>
          <w:vertAlign w:val="superscript"/>
        </w:rPr>
        <w:t>3</w:t>
      </w:r>
      <w:r w:rsidRPr="00F56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F56787">
        <w:rPr>
          <w:rFonts w:ascii="Times New Roman" w:hAnsi="Times New Roman"/>
          <w:sz w:val="28"/>
          <w:szCs w:val="28"/>
        </w:rPr>
        <w:t>Likuma 143.</w:t>
      </w:r>
      <w:r w:rsidRPr="00F56787"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>
        <w:rPr>
          <w:rFonts w:ascii="Times New Roman" w:hAnsi="Times New Roman"/>
          <w:sz w:val="28"/>
          <w:szCs w:val="28"/>
        </w:rPr>
        <w:t>pantā</w:t>
      </w:r>
      <w:r w:rsidRPr="00F56787">
        <w:rPr>
          <w:sz w:val="28"/>
          <w:szCs w:val="28"/>
        </w:rPr>
        <w:t xml:space="preserve"> </w:t>
      </w:r>
      <w:r w:rsidRPr="000C5584">
        <w:rPr>
          <w:rFonts w:ascii="Times New Roman" w:hAnsi="Times New Roman"/>
          <w:sz w:val="28"/>
          <w:szCs w:val="28"/>
        </w:rPr>
        <w:t xml:space="preserve">minēto īpašo nodokļa piemērošanas režīmu piemēro </w:t>
      </w:r>
      <w:r>
        <w:rPr>
          <w:rFonts w:ascii="Times New Roman" w:hAnsi="Times New Roman"/>
          <w:sz w:val="28"/>
          <w:szCs w:val="28"/>
        </w:rPr>
        <w:t>tādu sadzīves elektronisko iekārtu</w:t>
      </w:r>
      <w:r w:rsidRPr="00F56787">
        <w:rPr>
          <w:rFonts w:ascii="Times New Roman" w:hAnsi="Times New Roman"/>
          <w:sz w:val="28"/>
          <w:szCs w:val="28"/>
        </w:rPr>
        <w:t xml:space="preserve"> un sadzīves elektriskā</w:t>
      </w:r>
      <w:r>
        <w:rPr>
          <w:rFonts w:ascii="Times New Roman" w:hAnsi="Times New Roman"/>
          <w:sz w:val="28"/>
          <w:szCs w:val="28"/>
        </w:rPr>
        <w:t>s</w:t>
      </w:r>
      <w:r w:rsidRPr="00F56787">
        <w:rPr>
          <w:rFonts w:ascii="Times New Roman" w:hAnsi="Times New Roman"/>
          <w:sz w:val="28"/>
          <w:szCs w:val="28"/>
        </w:rPr>
        <w:t xml:space="preserve"> aparatūra</w:t>
      </w:r>
      <w:r>
        <w:rPr>
          <w:rFonts w:ascii="Times New Roman" w:hAnsi="Times New Roman"/>
          <w:sz w:val="28"/>
          <w:szCs w:val="28"/>
        </w:rPr>
        <w:t>s</w:t>
      </w:r>
      <w:r w:rsidRPr="00F56787">
        <w:rPr>
          <w:rFonts w:ascii="Times New Roman" w:hAnsi="Times New Roman"/>
          <w:sz w:val="28"/>
          <w:szCs w:val="28"/>
        </w:rPr>
        <w:t xml:space="preserve"> </w:t>
      </w:r>
      <w:r w:rsidRPr="000C5584">
        <w:rPr>
          <w:rFonts w:ascii="Times New Roman" w:hAnsi="Times New Roman"/>
          <w:sz w:val="28"/>
          <w:szCs w:val="28"/>
        </w:rPr>
        <w:t>piegā</w:t>
      </w:r>
      <w:r>
        <w:rPr>
          <w:rFonts w:ascii="Times New Roman" w:hAnsi="Times New Roman"/>
          <w:sz w:val="28"/>
          <w:szCs w:val="28"/>
        </w:rPr>
        <w:t>dēm, kas noteiktas šo noteikumu 8</w:t>
      </w:r>
      <w:r w:rsidRPr="000C5584">
        <w:rPr>
          <w:rFonts w:ascii="Times New Roman" w:hAnsi="Times New Roman"/>
          <w:sz w:val="28"/>
          <w:szCs w:val="28"/>
        </w:rPr>
        <w:t>.pielikumā.</w:t>
      </w:r>
      <w:r w:rsidRPr="00F5678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;</w:t>
      </w:r>
    </w:p>
    <w:p w:rsidR="00452DA4" w:rsidRPr="00F56787" w:rsidRDefault="00452DA4" w:rsidP="00537358">
      <w:pPr>
        <w:tabs>
          <w:tab w:val="left" w:pos="1276"/>
        </w:tabs>
        <w:ind w:right="-199" w:firstLine="851"/>
        <w:jc w:val="both"/>
        <w:rPr>
          <w:rFonts w:ascii="Times New Roman" w:hAnsi="Times New Roman"/>
          <w:sz w:val="28"/>
          <w:szCs w:val="28"/>
        </w:rPr>
      </w:pPr>
    </w:p>
    <w:p w:rsidR="00452DA4" w:rsidRDefault="00452DA4" w:rsidP="00537358">
      <w:pPr>
        <w:numPr>
          <w:ilvl w:val="1"/>
          <w:numId w:val="2"/>
        </w:numPr>
        <w:tabs>
          <w:tab w:val="left" w:pos="1276"/>
        </w:tabs>
        <w:ind w:left="0" w:right="-19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aizstāt 154.punktā vārdus “rekonstruēta, renovēta” ar vārdiem “pārbūvēta, atjaunota”;</w:t>
      </w:r>
    </w:p>
    <w:p w:rsidR="00452DA4" w:rsidRDefault="00452DA4" w:rsidP="00537358">
      <w:pPr>
        <w:tabs>
          <w:tab w:val="left" w:pos="1276"/>
        </w:tabs>
        <w:ind w:right="-199" w:firstLine="851"/>
        <w:jc w:val="both"/>
        <w:rPr>
          <w:rFonts w:ascii="Times New Roman" w:hAnsi="Times New Roman"/>
          <w:sz w:val="28"/>
          <w:szCs w:val="28"/>
        </w:rPr>
      </w:pPr>
    </w:p>
    <w:p w:rsidR="00452DA4" w:rsidRPr="0095786C" w:rsidRDefault="00452DA4" w:rsidP="0095786C">
      <w:pPr>
        <w:numPr>
          <w:ilvl w:val="1"/>
          <w:numId w:val="2"/>
        </w:numPr>
        <w:tabs>
          <w:tab w:val="left" w:pos="1276"/>
        </w:tabs>
        <w:ind w:left="0" w:right="-199" w:firstLine="851"/>
        <w:jc w:val="both"/>
        <w:rPr>
          <w:rFonts w:ascii="Times New Roman" w:hAnsi="Times New Roman"/>
          <w:sz w:val="28"/>
          <w:szCs w:val="28"/>
        </w:rPr>
      </w:pPr>
      <w:r w:rsidRPr="00F56787">
        <w:rPr>
          <w:rFonts w:ascii="Times New Roman" w:hAnsi="Times New Roman"/>
          <w:sz w:val="28"/>
          <w:szCs w:val="28"/>
        </w:rPr>
        <w:t>papildināt noteikumus ar 7. un 8.pielikumu šādā redakcijā:</w:t>
      </w:r>
    </w:p>
    <w:p w:rsidR="00452DA4" w:rsidRPr="00F56787" w:rsidRDefault="00452DA4" w:rsidP="00537358">
      <w:pPr>
        <w:pStyle w:val="ListParagraph"/>
        <w:ind w:left="0" w:right="-199" w:firstLine="851"/>
        <w:jc w:val="right"/>
        <w:rPr>
          <w:rFonts w:ascii="Times New Roman" w:hAnsi="Times New Roman"/>
          <w:sz w:val="28"/>
          <w:szCs w:val="28"/>
        </w:rPr>
      </w:pPr>
      <w:bookmarkStart w:id="1" w:name="piel1"/>
      <w:bookmarkEnd w:id="1"/>
      <w:r w:rsidRPr="00F56787">
        <w:rPr>
          <w:rFonts w:ascii="Times New Roman" w:hAnsi="Times New Roman"/>
          <w:sz w:val="28"/>
          <w:szCs w:val="28"/>
        </w:rPr>
        <w:t>“</w:t>
      </w:r>
      <w:r w:rsidRPr="00F56787">
        <w:rPr>
          <w:rFonts w:ascii="Times New Roman" w:hAnsi="Times New Roman"/>
          <w:sz w:val="24"/>
          <w:szCs w:val="24"/>
        </w:rPr>
        <w:t xml:space="preserve">7.pielikums </w:t>
      </w:r>
      <w:r w:rsidRPr="00F56787">
        <w:rPr>
          <w:rFonts w:ascii="Times New Roman" w:hAnsi="Times New Roman"/>
          <w:sz w:val="24"/>
          <w:szCs w:val="24"/>
        </w:rPr>
        <w:br/>
        <w:t xml:space="preserve">Ministru kabineta </w:t>
      </w:r>
      <w:r w:rsidRPr="00F56787">
        <w:rPr>
          <w:rFonts w:ascii="Times New Roman" w:hAnsi="Times New Roman"/>
          <w:sz w:val="24"/>
          <w:szCs w:val="24"/>
        </w:rPr>
        <w:br/>
        <w:t>2013.gada 3.janvāra noteikumiem Nr.17</w:t>
      </w:r>
    </w:p>
    <w:p w:rsidR="00452DA4" w:rsidRDefault="00452DA4" w:rsidP="00537358">
      <w:pPr>
        <w:pStyle w:val="ListParagraph"/>
        <w:ind w:left="709" w:right="-199"/>
        <w:rPr>
          <w:rFonts w:ascii="Times New Roman" w:hAnsi="Times New Roman"/>
          <w:sz w:val="28"/>
          <w:szCs w:val="28"/>
        </w:rPr>
      </w:pPr>
    </w:p>
    <w:p w:rsidR="00452DA4" w:rsidRPr="006B5A35" w:rsidRDefault="00452DA4" w:rsidP="00537358">
      <w:pPr>
        <w:pStyle w:val="ListParagraph"/>
        <w:ind w:left="709" w:right="-199"/>
        <w:jc w:val="center"/>
        <w:rPr>
          <w:rFonts w:ascii="Times New Roman" w:hAnsi="Times New Roman"/>
          <w:b/>
          <w:sz w:val="28"/>
          <w:szCs w:val="28"/>
        </w:rPr>
      </w:pPr>
      <w:r w:rsidRPr="006B5A35">
        <w:rPr>
          <w:rFonts w:ascii="Times New Roman" w:hAnsi="Times New Roman"/>
          <w:b/>
          <w:sz w:val="28"/>
          <w:szCs w:val="28"/>
        </w:rPr>
        <w:t>Metālizstrād</w:t>
      </w:r>
      <w:r>
        <w:rPr>
          <w:rFonts w:ascii="Times New Roman" w:hAnsi="Times New Roman"/>
          <w:b/>
          <w:sz w:val="28"/>
          <w:szCs w:val="28"/>
        </w:rPr>
        <w:t xml:space="preserve">ājumi, kuru piegādēm </w:t>
      </w:r>
      <w:r w:rsidRPr="006B5A35">
        <w:rPr>
          <w:rFonts w:ascii="Times New Roman" w:hAnsi="Times New Roman"/>
          <w:b/>
          <w:sz w:val="28"/>
          <w:szCs w:val="28"/>
        </w:rPr>
        <w:t>piemēro īpa</w:t>
      </w:r>
      <w:r>
        <w:rPr>
          <w:rFonts w:ascii="Times New Roman" w:hAnsi="Times New Roman"/>
          <w:b/>
          <w:sz w:val="28"/>
          <w:szCs w:val="28"/>
        </w:rPr>
        <w:t>šo</w:t>
      </w:r>
      <w:r w:rsidRPr="006B5A35">
        <w:rPr>
          <w:rFonts w:ascii="Times New Roman" w:hAnsi="Times New Roman"/>
          <w:b/>
          <w:sz w:val="28"/>
          <w:szCs w:val="28"/>
        </w:rPr>
        <w:t xml:space="preserve"> pievienotā</w:t>
      </w:r>
      <w:r>
        <w:rPr>
          <w:rFonts w:ascii="Times New Roman" w:hAnsi="Times New Roman"/>
          <w:b/>
          <w:sz w:val="28"/>
          <w:szCs w:val="28"/>
        </w:rPr>
        <w:t>s</w:t>
      </w:r>
      <w:r w:rsidRPr="006B5A35">
        <w:rPr>
          <w:rFonts w:ascii="Times New Roman" w:hAnsi="Times New Roman"/>
          <w:b/>
          <w:sz w:val="28"/>
          <w:szCs w:val="28"/>
        </w:rPr>
        <w:t xml:space="preserve"> vērtības nodokļa piemērošanas rež</w:t>
      </w:r>
      <w:r>
        <w:rPr>
          <w:rFonts w:ascii="Times New Roman" w:hAnsi="Times New Roman"/>
          <w:b/>
          <w:sz w:val="28"/>
          <w:szCs w:val="28"/>
        </w:rPr>
        <w:t>īmu</w:t>
      </w:r>
    </w:p>
    <w:p w:rsidR="00452DA4" w:rsidRPr="00F56787" w:rsidRDefault="00452DA4" w:rsidP="00452DA4">
      <w:pPr>
        <w:pStyle w:val="ListParagraph"/>
        <w:ind w:left="709"/>
        <w:rPr>
          <w:rFonts w:ascii="Times New Roman" w:hAnsi="Times New Roman"/>
          <w:sz w:val="28"/>
          <w:szCs w:val="28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126"/>
        <w:gridCol w:w="4848"/>
      </w:tblGrid>
      <w:tr w:rsidR="00452DA4" w:rsidRPr="00F56787" w:rsidTr="00537358">
        <w:trPr>
          <w:trHeight w:val="506"/>
        </w:trPr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N.p.k</w:t>
            </w:r>
            <w:proofErr w:type="spellEnd"/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Kombinētās nomenklatūras kods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Nosaukums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7207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Dzelzs vai neleģētā tērauda pusfabrikāti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7208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Plakani dzelzs vai neleģētā tērauda velmējumi ar platumu 600 mm vai vairāk, karsti velmēti,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neplaķēti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>, bez elektrolītiska vai cita pārklājuma</w:t>
            </w:r>
          </w:p>
        </w:tc>
      </w:tr>
      <w:tr w:rsidR="00452DA4" w:rsidRPr="00F56787" w:rsidTr="00537358">
        <w:trPr>
          <w:trHeight w:val="506"/>
        </w:trPr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7209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Plakani dzelzs vai neleģētā tērauda velmējumi ar platumu 600 mm vai vairāk, auksti velmēti (presēti aukstā stāvoklī),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neplaķēti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>, bez galvaniska vai cita pārklājuma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7210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Plakani dzelzs un neleģētā tērauda velmējumi ar platumu 600 mm vai vairāk,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plaķēti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>, ar elektrolītisku vai citu pārklājumu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7211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Plakani dzelzs un neleģētā tērauda velmējumi, ar platumu mazāk nekā 600 mm,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neplaķēti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>, bez elektrolītiska vai cita pārklājuma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7212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Plakani dzelzs un neleģētā tērauda velmējumi, ar platumu mazāk nekā 600 mm,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plaķēti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>, ar elektrolītisku vai citu pārklājumu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7213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Stieņi, karsti velmēti, brīvi tītos saišķos, no dzelzs vai neleģētā tērauda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7214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Citādi dzelzs un neleģētā tērauda stieņi, bez turpmākas apstrādes pēc kalšanas, karstās velmēšanas, karstās stiepšanas vai karstās presēšanas, taču ieskaitot pēc velmēšanas liektus stieņus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7215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Citādi dzelzs un neleģētā tērauda stieņi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7216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Dzelzs un neleģētā tērauda leņķi,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fasonprofili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 xml:space="preserve"> un speciālie profili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7217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Dzelzs vai neleģētā tērauda stieples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7218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Nerūsējošais tērauds lietņos vai citās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pirmformās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>; nerūsējošā tērauda pusfabrikāti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7219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Plakani nerūsējošā tērauda velmējumi, ar platumu 600 mm vai vairāk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7220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Plakani nerūsējošā tērauda velmējumi, ar platumu mazāk nekā 600 mm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7221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Nerūsējošā tērauda stieņi, karsti velmēti, brīvi tītos saišķos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7222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Citi nerūsējošā tērauda stieņi; leņķi,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fasonprofili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 xml:space="preserve"> un speciālie profili no nerūsējošā tērauda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7223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Nerūsējošā tērauda stieple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7224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Citāds leģētais tērauds lietņos vai citās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pirmformās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>; citāda nerūsējošā tērauda pusfabrikāti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7225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Plakani citādu leģēto tēraudu velmējumi ar platumu 600 mm vai vairāk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7226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Plakani citu leģēto tēraudu velmējumi, ar platumu mazāk nekā 600 mm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7227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Karsti velmēti citu leģēto tēraudu stieņi brīvi tītos saišķos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7228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Citu leģēto tēraudu stieņi; citu leģēto tēraudu leņķi,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fasonprofili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 xml:space="preserve"> un speciālie profili; dobi leģētā un neleģētā tērauda stieņi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7303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Caurules, caurulītes un dobie profili, no čuguna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7304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Dzelzs (izņemot čugunu) vai tērauda bezšuvju caurules, caurulītes un dobie profili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7305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Citas dzelzs vai tērauda caurules un caurulītes (piemēram, metinātas, kniedētas vai tamlīdzīgi sastiprinātas) ar apaļu šķērsgriezumu, kuru ārējais diametrs pārsniedz 406,4 mm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7306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Citādi dzelzs vai tērauda cauruļvadi, caurules, un dobie profili (piemēram, ar vaļējo šuvi vai metināti, kniedēti vai citādi sastiprināti)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73145000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Dzelzs vai tērauda perforētas vilktas loksnes</w:t>
            </w:r>
          </w:p>
        </w:tc>
      </w:tr>
      <w:tr w:rsidR="00553A92" w:rsidRPr="00F56787" w:rsidTr="00537358">
        <w:tc>
          <w:tcPr>
            <w:tcW w:w="1389" w:type="dxa"/>
          </w:tcPr>
          <w:p w:rsidR="00553A92" w:rsidRPr="00F56787" w:rsidRDefault="00553A92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126" w:type="dxa"/>
            <w:shd w:val="clear" w:color="auto" w:fill="auto"/>
          </w:tcPr>
          <w:p w:rsidR="00553A92" w:rsidRPr="00F56787" w:rsidRDefault="00553A92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73269098</w:t>
            </w:r>
          </w:p>
        </w:tc>
        <w:tc>
          <w:tcPr>
            <w:tcW w:w="4848" w:type="dxa"/>
            <w:shd w:val="clear" w:color="auto" w:fill="auto"/>
          </w:tcPr>
          <w:p w:rsidR="00553A92" w:rsidRPr="00F56787" w:rsidRDefault="00553A92" w:rsidP="00153A7C">
            <w:pPr>
              <w:ind w:right="1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Citur neminēti un neiekļauti dzelzs vai tērauda izstrādājumi</w:t>
            </w:r>
          </w:p>
        </w:tc>
      </w:tr>
      <w:tr w:rsidR="00553A92" w:rsidRPr="00F56787" w:rsidTr="00537358">
        <w:tc>
          <w:tcPr>
            <w:tcW w:w="1389" w:type="dxa"/>
          </w:tcPr>
          <w:p w:rsidR="00553A92" w:rsidRPr="00F56787" w:rsidRDefault="00553A92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126" w:type="dxa"/>
            <w:shd w:val="clear" w:color="auto" w:fill="auto"/>
          </w:tcPr>
          <w:p w:rsidR="00553A92" w:rsidRPr="00F56787" w:rsidRDefault="00553A92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7407</w:t>
            </w:r>
          </w:p>
        </w:tc>
        <w:tc>
          <w:tcPr>
            <w:tcW w:w="4848" w:type="dxa"/>
            <w:shd w:val="clear" w:color="auto" w:fill="auto"/>
          </w:tcPr>
          <w:p w:rsidR="00553A92" w:rsidRPr="00F56787" w:rsidRDefault="00553A92" w:rsidP="00153A7C">
            <w:pPr>
              <w:ind w:right="1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Vara stieņi un profili</w:t>
            </w:r>
          </w:p>
        </w:tc>
      </w:tr>
      <w:tr w:rsidR="00553A92" w:rsidRPr="00F56787" w:rsidTr="00537358">
        <w:tc>
          <w:tcPr>
            <w:tcW w:w="1389" w:type="dxa"/>
          </w:tcPr>
          <w:p w:rsidR="00553A92" w:rsidRPr="00F56787" w:rsidRDefault="00553A92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126" w:type="dxa"/>
            <w:shd w:val="clear" w:color="auto" w:fill="auto"/>
          </w:tcPr>
          <w:p w:rsidR="00553A92" w:rsidRPr="00F56787" w:rsidRDefault="00553A92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7408</w:t>
            </w:r>
          </w:p>
        </w:tc>
        <w:tc>
          <w:tcPr>
            <w:tcW w:w="4848" w:type="dxa"/>
            <w:shd w:val="clear" w:color="auto" w:fill="auto"/>
          </w:tcPr>
          <w:p w:rsidR="00553A92" w:rsidRPr="00F56787" w:rsidRDefault="00553A92" w:rsidP="00153A7C">
            <w:pPr>
              <w:ind w:right="1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Vara stieples</w:t>
            </w:r>
          </w:p>
        </w:tc>
      </w:tr>
      <w:tr w:rsidR="00553A92" w:rsidRPr="00F56787" w:rsidTr="00537358">
        <w:tc>
          <w:tcPr>
            <w:tcW w:w="1389" w:type="dxa"/>
          </w:tcPr>
          <w:p w:rsidR="00553A92" w:rsidRPr="00F56787" w:rsidRDefault="00553A92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126" w:type="dxa"/>
            <w:shd w:val="clear" w:color="auto" w:fill="auto"/>
          </w:tcPr>
          <w:p w:rsidR="00553A92" w:rsidRPr="00F56787" w:rsidRDefault="00553A92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7409</w:t>
            </w:r>
          </w:p>
        </w:tc>
        <w:tc>
          <w:tcPr>
            <w:tcW w:w="4848" w:type="dxa"/>
            <w:shd w:val="clear" w:color="auto" w:fill="auto"/>
          </w:tcPr>
          <w:p w:rsidR="00553A92" w:rsidRPr="00F56787" w:rsidRDefault="00553A92" w:rsidP="00153A7C">
            <w:pPr>
              <w:ind w:right="1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Vara loksnes un sloksnes, kas ir biezākas par 0,15 mm</w:t>
            </w:r>
          </w:p>
        </w:tc>
      </w:tr>
      <w:tr w:rsidR="00553A92" w:rsidRPr="00F56787" w:rsidTr="00537358">
        <w:tc>
          <w:tcPr>
            <w:tcW w:w="1389" w:type="dxa"/>
          </w:tcPr>
          <w:p w:rsidR="00553A92" w:rsidRPr="00F56787" w:rsidRDefault="00553A92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126" w:type="dxa"/>
            <w:shd w:val="clear" w:color="auto" w:fill="auto"/>
          </w:tcPr>
          <w:p w:rsidR="00553A92" w:rsidRPr="00F56787" w:rsidRDefault="00553A92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7411</w:t>
            </w:r>
          </w:p>
        </w:tc>
        <w:tc>
          <w:tcPr>
            <w:tcW w:w="4848" w:type="dxa"/>
            <w:shd w:val="clear" w:color="auto" w:fill="auto"/>
          </w:tcPr>
          <w:p w:rsidR="00553A92" w:rsidRPr="00F56787" w:rsidRDefault="00553A92" w:rsidP="00153A7C">
            <w:pPr>
              <w:ind w:right="1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Liela un maza diametra vara caurules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553A92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  <w:r w:rsidR="00452DA4" w:rsidRPr="00F5678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7604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Alumīnija stieņi un profili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553A92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  <w:r w:rsidR="00452DA4" w:rsidRPr="00F5678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7605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Alumīnija stieples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553A92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  <w:r w:rsidR="00452DA4" w:rsidRPr="00F5678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7606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Alumīnija plātnes, loksnes un sloksnes, kas ir biezākas par 0,2 mm</w:t>
            </w:r>
          </w:p>
        </w:tc>
      </w:tr>
      <w:tr w:rsidR="00452DA4" w:rsidRPr="00F56787" w:rsidTr="00537358">
        <w:tc>
          <w:tcPr>
            <w:tcW w:w="1389" w:type="dxa"/>
          </w:tcPr>
          <w:p w:rsidR="00452DA4" w:rsidRPr="00F56787" w:rsidRDefault="00553A92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  <w:r w:rsidR="00452DA4" w:rsidRPr="00F5678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7608</w:t>
            </w:r>
          </w:p>
        </w:tc>
        <w:tc>
          <w:tcPr>
            <w:tcW w:w="4848" w:type="dxa"/>
            <w:shd w:val="clear" w:color="auto" w:fill="auto"/>
          </w:tcPr>
          <w:p w:rsidR="00452DA4" w:rsidRPr="00F56787" w:rsidRDefault="00452DA4" w:rsidP="00153A7C">
            <w:pPr>
              <w:ind w:right="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Alumīnija caurules un caurulītes</w:t>
            </w:r>
          </w:p>
        </w:tc>
      </w:tr>
    </w:tbl>
    <w:p w:rsidR="0097658D" w:rsidRPr="00331CA6" w:rsidRDefault="0097658D" w:rsidP="00331CA6">
      <w:pPr>
        <w:ind w:right="-625"/>
        <w:rPr>
          <w:rFonts w:ascii="Times New Roman" w:hAnsi="Times New Roman"/>
          <w:sz w:val="24"/>
          <w:szCs w:val="24"/>
        </w:rPr>
      </w:pPr>
    </w:p>
    <w:p w:rsidR="001E0017" w:rsidRDefault="001E0017" w:rsidP="00537358">
      <w:pPr>
        <w:pStyle w:val="ListParagraph"/>
        <w:ind w:left="709" w:right="-199"/>
        <w:jc w:val="right"/>
        <w:rPr>
          <w:rFonts w:ascii="Times New Roman" w:hAnsi="Times New Roman"/>
          <w:sz w:val="24"/>
          <w:szCs w:val="24"/>
        </w:rPr>
      </w:pPr>
    </w:p>
    <w:p w:rsidR="00452DA4" w:rsidRPr="00F56787" w:rsidRDefault="00452DA4" w:rsidP="00537358">
      <w:pPr>
        <w:pStyle w:val="ListParagraph"/>
        <w:ind w:left="709" w:right="-199"/>
        <w:jc w:val="right"/>
        <w:rPr>
          <w:rFonts w:ascii="Times New Roman" w:hAnsi="Times New Roman"/>
          <w:sz w:val="24"/>
          <w:szCs w:val="24"/>
        </w:rPr>
      </w:pPr>
      <w:r w:rsidRPr="00F56787">
        <w:rPr>
          <w:rFonts w:ascii="Times New Roman" w:hAnsi="Times New Roman"/>
          <w:sz w:val="24"/>
          <w:szCs w:val="24"/>
        </w:rPr>
        <w:t xml:space="preserve">8.pielikums </w:t>
      </w:r>
    </w:p>
    <w:p w:rsidR="00452DA4" w:rsidRPr="00F56787" w:rsidRDefault="00452DA4" w:rsidP="00537358">
      <w:pPr>
        <w:pStyle w:val="ListParagraph"/>
        <w:ind w:left="709" w:right="-199"/>
        <w:jc w:val="right"/>
        <w:rPr>
          <w:rFonts w:ascii="Times New Roman" w:hAnsi="Times New Roman"/>
          <w:sz w:val="24"/>
          <w:szCs w:val="24"/>
        </w:rPr>
      </w:pPr>
      <w:r w:rsidRPr="00F56787">
        <w:rPr>
          <w:rFonts w:ascii="Times New Roman" w:hAnsi="Times New Roman"/>
          <w:sz w:val="24"/>
          <w:szCs w:val="24"/>
        </w:rPr>
        <w:t xml:space="preserve">Ministru kabineta </w:t>
      </w:r>
    </w:p>
    <w:p w:rsidR="00452DA4" w:rsidRPr="00F56787" w:rsidRDefault="00452DA4" w:rsidP="00537358">
      <w:pPr>
        <w:pStyle w:val="ListParagraph"/>
        <w:ind w:left="709" w:right="-199"/>
        <w:jc w:val="right"/>
        <w:rPr>
          <w:rFonts w:ascii="Times New Roman" w:hAnsi="Times New Roman"/>
          <w:sz w:val="24"/>
          <w:szCs w:val="24"/>
        </w:rPr>
      </w:pPr>
      <w:r w:rsidRPr="00F56787">
        <w:rPr>
          <w:rFonts w:ascii="Times New Roman" w:hAnsi="Times New Roman"/>
          <w:sz w:val="24"/>
          <w:szCs w:val="24"/>
        </w:rPr>
        <w:t>2013.gada 3.janvāra noteikumiem Nr.17</w:t>
      </w:r>
    </w:p>
    <w:p w:rsidR="00452DA4" w:rsidRDefault="00452DA4" w:rsidP="00537358">
      <w:pPr>
        <w:pStyle w:val="ListParagraph"/>
        <w:ind w:left="709" w:right="-199"/>
        <w:jc w:val="both"/>
        <w:rPr>
          <w:rFonts w:ascii="Times New Roman" w:hAnsi="Times New Roman"/>
          <w:sz w:val="28"/>
          <w:szCs w:val="28"/>
        </w:rPr>
      </w:pPr>
    </w:p>
    <w:p w:rsidR="00452DA4" w:rsidRDefault="00452DA4" w:rsidP="00537358">
      <w:pPr>
        <w:pStyle w:val="ListParagraph"/>
        <w:ind w:left="709" w:right="-1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Sadzīves elektroniskās iekārtas un sadzīves elektriskā aparatūra, kuru piegādēm</w:t>
      </w:r>
      <w:r w:rsidRPr="006B5A35">
        <w:rPr>
          <w:rFonts w:ascii="Times New Roman" w:hAnsi="Times New Roman"/>
          <w:b/>
          <w:sz w:val="28"/>
          <w:szCs w:val="28"/>
        </w:rPr>
        <w:t xml:space="preserve"> piem</w:t>
      </w:r>
      <w:r>
        <w:rPr>
          <w:rFonts w:ascii="Times New Roman" w:hAnsi="Times New Roman"/>
          <w:b/>
          <w:sz w:val="28"/>
          <w:szCs w:val="28"/>
        </w:rPr>
        <w:t>ēro</w:t>
      </w:r>
      <w:r w:rsidRPr="006B5A35">
        <w:rPr>
          <w:rFonts w:ascii="Times New Roman" w:hAnsi="Times New Roman"/>
          <w:b/>
          <w:sz w:val="28"/>
          <w:szCs w:val="28"/>
        </w:rPr>
        <w:t xml:space="preserve"> īpa</w:t>
      </w:r>
      <w:r>
        <w:rPr>
          <w:rFonts w:ascii="Times New Roman" w:hAnsi="Times New Roman"/>
          <w:b/>
          <w:sz w:val="28"/>
          <w:szCs w:val="28"/>
        </w:rPr>
        <w:t>šo</w:t>
      </w:r>
      <w:r w:rsidRPr="006B5A35">
        <w:rPr>
          <w:rFonts w:ascii="Times New Roman" w:hAnsi="Times New Roman"/>
          <w:b/>
          <w:sz w:val="28"/>
          <w:szCs w:val="28"/>
        </w:rPr>
        <w:t xml:space="preserve"> pievienotā</w:t>
      </w:r>
      <w:r>
        <w:rPr>
          <w:rFonts w:ascii="Times New Roman" w:hAnsi="Times New Roman"/>
          <w:b/>
          <w:sz w:val="28"/>
          <w:szCs w:val="28"/>
        </w:rPr>
        <w:t>s</w:t>
      </w:r>
      <w:r w:rsidRPr="006B5A35">
        <w:rPr>
          <w:rFonts w:ascii="Times New Roman" w:hAnsi="Times New Roman"/>
          <w:b/>
          <w:sz w:val="28"/>
          <w:szCs w:val="28"/>
        </w:rPr>
        <w:t xml:space="preserve"> vērtības nodokļa piemērošanas rež</w:t>
      </w:r>
      <w:r>
        <w:rPr>
          <w:rFonts w:ascii="Times New Roman" w:hAnsi="Times New Roman"/>
          <w:b/>
          <w:sz w:val="28"/>
          <w:szCs w:val="28"/>
        </w:rPr>
        <w:t>īmu</w:t>
      </w:r>
    </w:p>
    <w:p w:rsidR="00452DA4" w:rsidRPr="00F56787" w:rsidRDefault="00452DA4" w:rsidP="00066464">
      <w:pPr>
        <w:pStyle w:val="ListParagraph"/>
        <w:ind w:left="709" w:right="-625"/>
        <w:jc w:val="both"/>
        <w:rPr>
          <w:rFonts w:ascii="Times New Roman" w:hAnsi="Times New Roman"/>
          <w:sz w:val="28"/>
          <w:szCs w:val="28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984"/>
        <w:gridCol w:w="4990"/>
      </w:tblGrid>
      <w:tr w:rsidR="00452DA4" w:rsidRPr="00F56787" w:rsidTr="00537358">
        <w:trPr>
          <w:trHeight w:val="528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N.p.k</w:t>
            </w:r>
            <w:proofErr w:type="spellEnd"/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Kombinētās nomenklatūras kods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Nosaukums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7321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Dzelzs vai tērauda apkures un virtuves krāsnis, kamīni un plītis (ieskaitot krāsnis ar iebūvētiem centrālapkures katliem)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8418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Ledusskapji, saldētavas un citas dzesēšanas vai saldēšanas iekārtas, elektriskas vai cita veida;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siltumsūkņi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>, izņemot gaisa kondicionēšanas iekārtas pozīcijā 8415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84211200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Iekārtas drēbju sausināšanai un žāvēšanai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84221100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Mājsaimniecības trauku mazgājamās mašīnas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841510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Gaisa kondicionēšanas iekārtas, kam ir ventilators ar motoru un ierīces gaisa mitruma un temperatūras mainīšanai; ieskaitot aparātus, kuros mitrumu atsevišķi neregulē, piestiprināšanai logā, sienā, griestos vai grīdā, autonomie vai sadalītās (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divbloku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>) sistēmas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84433100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Mašīnas, kas veic divas vai vairākas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printēšanas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>, kopēšanas vai faksa nosūtīšanas funkcijas, spējīgas pievienoties automātiskai datu apstrādes iekārtai (datoram) vai tīklam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84433210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Printeri, kas spēj pievienoties automātiskai datu apstrādes iekārtai vai tīklam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84433280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Kopēšanas mašīnas un faksa aparāti, kas veic tikai vienu funkciju - kopēšanu vai faksa nosūtīšanu, spējīgas pievienoties automātiskai datu apstrādes iekārtai (datoram) vai tīklam (izņemot: printerus)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84433900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Printeri, kopēšanas mašīnas un faksa aparāti, komplektā vai atsevišķi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84439110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Citur neminētas un neiekļautas daļas un piederumi iespiedmašīnām, kuras izmanto pusvadītāju ražošanai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84439191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Citur neminētas un neiekļautas daļas un piederumi no čuguna vai lietā tērauda iespiedmašīnām, kurās iespiešanai izmanto plates, cilindrus un citus pozīcijā 8442 minētos tipogrāfijas komponentus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84439199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Citur neminētas un neiekļautas daļas un piederumi iespiedmašīnām, kurās iespiešanai izmanto plates, cilindrus un citus pozīcijā 8442 minētos tipogrāfijas komponentus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84439910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Printeru, kopēšanas mašīnu un faksa aparātu elektroniskie bloki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84439990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Citur neminētas un neiekļautas printeru, kopēšanas mašīnu un faksa aparātu daļas un piederumi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84714100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Datu automātiskās apstrādes iekārtas, kurām vienā korpusā ir vismaz centrālais procesors un viena datu ievades un viena izvades iekārta, arī apvienotas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84714900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Datu automātiskās apstrādes iekārtas sistēmu veidā, kurām ir vismaz centrālais procesors, viena datu ievades un viena izvades iekārta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8473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Daļas un piederumi (izņemot pārsegus, futrāļus, un tamlīdzīgus), kas paredzēti tikai vai galvenokārt pozīcijās 8470–8472 minētajām mašīnām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85176200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Iekārtas balss, attēlu vai citu datu uztveršanai, konversijai un pārraidei vai reģenerācijai, ieskaitot komutācijas un maršrutēšanas aparātus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852351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Energoneatkarīgas datu uzglabāšanas ierīces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8450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Veļas mazgājamās mašīnas mājsaimniecībai vai veļas mazgātavām, ieskaitot mašīnas ar sausināšanas ierīcēm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84512100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Žāvēšanas mašīnas ar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sausveļas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 xml:space="preserve"> ietilpību līdz 10 kg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8508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Putekļsūcēji</w:t>
            </w:r>
          </w:p>
        </w:tc>
      </w:tr>
      <w:tr w:rsidR="00452DA4" w:rsidRPr="00F56787" w:rsidTr="00537358">
        <w:trPr>
          <w:trHeight w:val="547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8509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Mājsaimniecības elektromehāniskās ierīces ar iebūvētu elektromotoru, izņemot putekļsūcējus, kas minēti pozīcijā 8508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8510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Skūšanas, matu griešanas un atmatošanas ierīces ar iebūvētu elektromotoru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8516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Elektriskie caurplūdes un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termoakumulācijas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 xml:space="preserve"> ūdenssildītāji un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iegremdes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 xml:space="preserve"> sildītāji; elektroierīces telpu apsildīšanai un augsnes sildīšanai; elektriskas ierīces matu veidošanai (piemēram, matu žāvētāji, matu cirtotāji, matu cirtojamās knaibles) un roku žāvētāji; elektriskie gludekļi; citādas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elektrotermiskās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 xml:space="preserve"> ierīces mājsaimniecības vajadzībām; sildierīču pretestību elementi, izņemot pozīcijā 8545 minētos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85185000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Skaņas pastiprināšanas elektroierīces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85182100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Atsevišķi korpusos iemontēti skaļruņi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85182200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Vairāki vienā korpusā iemontēti skaļruņi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8519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Skaņas ierakstīšanas vai atskaņošanas aparāti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8521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Videoieraksta vai video reproducēšanas aparatūra, ar skaņotāju vai bez tā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8528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 xml:space="preserve">Monitori un projektori, izņemot televīzijas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uztvērējaparatūru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 xml:space="preserve">; televīzijas </w:t>
            </w:r>
            <w:proofErr w:type="spellStart"/>
            <w:r w:rsidRPr="00F56787">
              <w:rPr>
                <w:rFonts w:ascii="Times New Roman" w:hAnsi="Times New Roman"/>
                <w:sz w:val="28"/>
                <w:szCs w:val="28"/>
              </w:rPr>
              <w:t>uztvērējaparatūra</w:t>
            </w:r>
            <w:proofErr w:type="spellEnd"/>
            <w:r w:rsidRPr="00F56787">
              <w:rPr>
                <w:rFonts w:ascii="Times New Roman" w:hAnsi="Times New Roman"/>
                <w:sz w:val="28"/>
                <w:szCs w:val="28"/>
              </w:rPr>
              <w:t>, arī apvienota ar radiouztvērēju vai skaņas, vai video ierakstīšanas vai reproducēšanas aparatūru</w:t>
            </w:r>
          </w:p>
        </w:tc>
      </w:tr>
      <w:tr w:rsidR="00452DA4" w:rsidRPr="00F56787" w:rsidTr="00537358">
        <w:trPr>
          <w:trHeight w:val="532"/>
        </w:trPr>
        <w:tc>
          <w:tcPr>
            <w:tcW w:w="1389" w:type="dxa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984" w:type="dxa"/>
            <w:shd w:val="clear" w:color="auto" w:fill="auto"/>
          </w:tcPr>
          <w:p w:rsidR="00452DA4" w:rsidRPr="00F56787" w:rsidRDefault="00452DA4" w:rsidP="00153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787">
              <w:rPr>
                <w:rFonts w:ascii="Times New Roman" w:eastAsia="Times New Roman" w:hAnsi="Times New Roman"/>
                <w:sz w:val="28"/>
                <w:szCs w:val="28"/>
              </w:rPr>
              <w:t>9006</w:t>
            </w:r>
          </w:p>
        </w:tc>
        <w:tc>
          <w:tcPr>
            <w:tcW w:w="4990" w:type="dxa"/>
            <w:shd w:val="clear" w:color="auto" w:fill="auto"/>
          </w:tcPr>
          <w:p w:rsidR="00452DA4" w:rsidRPr="00F56787" w:rsidRDefault="00452DA4" w:rsidP="00153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87">
              <w:rPr>
                <w:rFonts w:ascii="Times New Roman" w:hAnsi="Times New Roman"/>
                <w:sz w:val="28"/>
                <w:szCs w:val="28"/>
              </w:rPr>
              <w:t>Fotoaparāti (izņemot kinokameras); zibspuldzes”</w:t>
            </w:r>
          </w:p>
        </w:tc>
      </w:tr>
    </w:tbl>
    <w:p w:rsidR="00452DA4" w:rsidRPr="00F56787" w:rsidRDefault="00452DA4" w:rsidP="00452DA4">
      <w:pPr>
        <w:tabs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52DA4" w:rsidRPr="00F56787" w:rsidRDefault="00452DA4" w:rsidP="00452DA4">
      <w:pPr>
        <w:numPr>
          <w:ilvl w:val="0"/>
          <w:numId w:val="1"/>
        </w:numPr>
        <w:tabs>
          <w:tab w:val="left" w:pos="851"/>
          <w:tab w:val="left" w:pos="1418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F56787">
        <w:rPr>
          <w:rFonts w:ascii="Times New Roman" w:hAnsi="Times New Roman"/>
          <w:sz w:val="28"/>
          <w:szCs w:val="28"/>
        </w:rPr>
        <w:t>Noteikumi stājas spēkā 2018.gada 1.janvārī.</w:t>
      </w:r>
    </w:p>
    <w:p w:rsidR="00452DA4" w:rsidRDefault="00452DA4" w:rsidP="00452DA4">
      <w:pPr>
        <w:tabs>
          <w:tab w:val="left" w:pos="6946"/>
          <w:tab w:val="left" w:pos="7230"/>
        </w:tabs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52DA4" w:rsidRPr="00F56787" w:rsidRDefault="00452DA4" w:rsidP="00452DA4">
      <w:pPr>
        <w:tabs>
          <w:tab w:val="left" w:pos="6946"/>
          <w:tab w:val="left" w:pos="7230"/>
        </w:tabs>
        <w:ind w:firstLine="7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prezidents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                      </w:t>
      </w: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>M. Kučinskis</w:t>
      </w:r>
    </w:p>
    <w:p w:rsidR="00452DA4" w:rsidRDefault="00452DA4" w:rsidP="00452DA4">
      <w:pPr>
        <w:tabs>
          <w:tab w:val="left" w:pos="284"/>
          <w:tab w:val="left" w:pos="426"/>
          <w:tab w:val="left" w:pos="6946"/>
        </w:tabs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52DA4" w:rsidRDefault="00452DA4" w:rsidP="00452DA4">
      <w:pPr>
        <w:tabs>
          <w:tab w:val="left" w:pos="284"/>
          <w:tab w:val="left" w:pos="426"/>
          <w:tab w:val="left" w:pos="6946"/>
        </w:tabs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52DA4" w:rsidRPr="00F56787" w:rsidRDefault="00452DA4" w:rsidP="00452DA4">
      <w:pPr>
        <w:tabs>
          <w:tab w:val="left" w:pos="284"/>
          <w:tab w:val="left" w:pos="426"/>
          <w:tab w:val="left" w:pos="6946"/>
        </w:tabs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>Finanšu ministre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            </w:t>
      </w: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>D.</w:t>
      </w:r>
      <w:r w:rsidR="00EC385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56787">
        <w:rPr>
          <w:rFonts w:ascii="Times New Roman" w:eastAsia="Times New Roman" w:hAnsi="Times New Roman"/>
          <w:sz w:val="28"/>
          <w:szCs w:val="28"/>
          <w:lang w:eastAsia="lv-LV"/>
        </w:rPr>
        <w:t>Reizniece-Ozola</w:t>
      </w:r>
    </w:p>
    <w:p w:rsidR="00452DA4" w:rsidRPr="004E0006" w:rsidRDefault="00452DA4" w:rsidP="00452DA4">
      <w:pPr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</w:p>
    <w:p w:rsidR="007D0B2E" w:rsidRDefault="007D0B2E" w:rsidP="00452DA4"/>
    <w:sectPr w:rsidR="007D0B2E" w:rsidSect="007C4A5A">
      <w:headerReference w:type="default" r:id="rId7"/>
      <w:footerReference w:type="default" r:id="rId8"/>
      <w:footerReference w:type="first" r:id="rId9"/>
      <w:pgSz w:w="11906" w:h="16838"/>
      <w:pgMar w:top="1134" w:right="1800" w:bottom="1134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D8" w:rsidRDefault="00F77CD8" w:rsidP="00F77CD8">
      <w:r>
        <w:separator/>
      </w:r>
    </w:p>
  </w:endnote>
  <w:endnote w:type="continuationSeparator" w:id="0">
    <w:p w:rsidR="00F77CD8" w:rsidRDefault="00F77CD8" w:rsidP="00F7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D8" w:rsidRPr="00066464" w:rsidRDefault="00066464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FMnot</w:t>
    </w:r>
    <w:r w:rsidR="007C4A5A">
      <w:rPr>
        <w:rFonts w:ascii="Times New Roman" w:hAnsi="Times New Roman"/>
      </w:rPr>
      <w:softHyphen/>
    </w:r>
    <w:r>
      <w:rPr>
        <w:rFonts w:ascii="Times New Roman" w:hAnsi="Times New Roman"/>
      </w:rPr>
      <w:t>_</w:t>
    </w:r>
    <w:r w:rsidR="00F77CD8" w:rsidRPr="00066464">
      <w:rPr>
        <w:rFonts w:ascii="Times New Roman" w:hAnsi="Times New Roman"/>
      </w:rPr>
      <w:t>200917_MK17.doc</w:t>
    </w:r>
  </w:p>
  <w:p w:rsidR="00F77CD8" w:rsidRDefault="00F77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8E" w:rsidRPr="00066464" w:rsidRDefault="00D2508E" w:rsidP="00D2508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FMnot</w:t>
    </w:r>
    <w:r>
      <w:rPr>
        <w:rFonts w:ascii="Times New Roman" w:hAnsi="Times New Roman"/>
      </w:rPr>
      <w:softHyphen/>
      <w:t>_</w:t>
    </w:r>
    <w:r w:rsidRPr="00066464">
      <w:rPr>
        <w:rFonts w:ascii="Times New Roman" w:hAnsi="Times New Roman"/>
      </w:rPr>
      <w:t>200917_MK17.doc</w:t>
    </w:r>
  </w:p>
  <w:p w:rsidR="00D2508E" w:rsidRDefault="00D2508E">
    <w:pPr>
      <w:pStyle w:val="Footer"/>
    </w:pPr>
  </w:p>
  <w:p w:rsidR="00D2508E" w:rsidRDefault="00D25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D8" w:rsidRDefault="00F77CD8" w:rsidP="00F77CD8">
      <w:r>
        <w:separator/>
      </w:r>
    </w:p>
  </w:footnote>
  <w:footnote w:type="continuationSeparator" w:id="0">
    <w:p w:rsidR="00F77CD8" w:rsidRDefault="00F77CD8" w:rsidP="00F7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84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658D" w:rsidRDefault="009765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A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7658D" w:rsidRDefault="00976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0048"/>
    <w:multiLevelType w:val="multilevel"/>
    <w:tmpl w:val="DD02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72D2F7D"/>
    <w:multiLevelType w:val="multilevel"/>
    <w:tmpl w:val="58040D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A4"/>
    <w:rsid w:val="00066464"/>
    <w:rsid w:val="00083887"/>
    <w:rsid w:val="000D2CBB"/>
    <w:rsid w:val="00131A47"/>
    <w:rsid w:val="001E0017"/>
    <w:rsid w:val="00331CA6"/>
    <w:rsid w:val="00392BDD"/>
    <w:rsid w:val="00452DA4"/>
    <w:rsid w:val="004B713B"/>
    <w:rsid w:val="00537358"/>
    <w:rsid w:val="00553A92"/>
    <w:rsid w:val="007C4A5A"/>
    <w:rsid w:val="007D0B2E"/>
    <w:rsid w:val="00820AC5"/>
    <w:rsid w:val="0095786C"/>
    <w:rsid w:val="0097658D"/>
    <w:rsid w:val="00A375BD"/>
    <w:rsid w:val="00BA09AA"/>
    <w:rsid w:val="00D2508E"/>
    <w:rsid w:val="00EC385F"/>
    <w:rsid w:val="00EF1BD2"/>
    <w:rsid w:val="00F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F43216"/>
  <w15:chartTrackingRefBased/>
  <w15:docId w15:val="{680EF285-D504-46FF-B10D-41457440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A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52DA4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52D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7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D8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77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D8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2D"/>
    <w:rsid w:val="0082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80B57AE8374AD2BE3C8A6845D97816">
    <w:name w:val="CD80B57AE8374AD2BE3C8A6845D97816"/>
    <w:rsid w:val="00826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191</DKP>
  </documentManagement>
</p:properties>
</file>

<file path=customXml/itemProps1.xml><?xml version="1.0" encoding="utf-8"?>
<ds:datastoreItem xmlns:ds="http://schemas.openxmlformats.org/officeDocument/2006/customXml" ds:itemID="{F8C0FF08-81C9-432C-A109-6C12D3306025}"/>
</file>

<file path=customXml/itemProps2.xml><?xml version="1.0" encoding="utf-8"?>
<ds:datastoreItem xmlns:ds="http://schemas.openxmlformats.org/officeDocument/2006/customXml" ds:itemID="{DDE68450-8760-4293-AA82-AD46ADBB545F}"/>
</file>

<file path=customXml/itemProps3.xml><?xml version="1.0" encoding="utf-8"?>
<ds:datastoreItem xmlns:ds="http://schemas.openxmlformats.org/officeDocument/2006/customXml" ds:itemID="{B86D223F-702A-45E4-8544-15C56A45B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7001</Words>
  <Characters>3992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projektu „Grozījumi Ministru kabineta 2013.gada 3.janvāra noteikumos Nr. 17 „Pievienotās vērtības nodokļa likuma normu piemērošanas kārtība un atsevišķas prasības pievienotās vērtības nodokļa maksāšanai un administrēšanai”</vt:lpstr>
    </vt:vector>
  </TitlesOfParts>
  <Manager>sintija.ozola@fm.gov.lv</Manager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„Grozījumi Ministru kabineta 2013.gada 3.janvāra noteikumos Nr. 17 „Pievienotās vērtības nodokļa likuma normu piemērošanas kārtība un atsevišķas prasības pievienotās vērtības nodokļa maksāšanai un administrēšanai”</dc:title>
  <dc:subject/>
  <dc:creator>Juris Āboliņš</dc:creator>
  <cp:keywords/>
  <dc:description>J.Āboliņš
67095511
juris.abolins@fm.gov.lv</dc:description>
  <cp:lastModifiedBy>Juris Āboliņš</cp:lastModifiedBy>
  <cp:revision>20</cp:revision>
  <cp:lastPrinted>2017-09-22T12:34:00Z</cp:lastPrinted>
  <dcterms:created xsi:type="dcterms:W3CDTF">2017-09-20T13:24:00Z</dcterms:created>
  <dcterms:modified xsi:type="dcterms:W3CDTF">2017-09-22T12:46:00Z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