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275B" w14:textId="77777777" w:rsidR="004D6FAC" w:rsidRPr="00FD2515" w:rsidRDefault="004D6FAC" w:rsidP="00210FD3">
      <w:pPr>
        <w:spacing w:after="0" w:line="240" w:lineRule="auto"/>
        <w:jc w:val="right"/>
        <w:rPr>
          <w:rFonts w:ascii="Times New Roman" w:hAnsi="Times New Roman"/>
          <w:sz w:val="28"/>
          <w:szCs w:val="28"/>
        </w:rPr>
      </w:pPr>
      <w:r w:rsidRPr="00FD2515">
        <w:rPr>
          <w:rFonts w:ascii="Times New Roman" w:hAnsi="Times New Roman"/>
          <w:sz w:val="28"/>
          <w:szCs w:val="28"/>
        </w:rPr>
        <w:t>1. pielikums</w:t>
      </w:r>
    </w:p>
    <w:p w14:paraId="425DC126" w14:textId="77777777" w:rsidR="004D6FAC" w:rsidRPr="00FD2515" w:rsidRDefault="004D6FAC" w:rsidP="00210FD3">
      <w:pPr>
        <w:spacing w:after="0" w:line="240" w:lineRule="auto"/>
        <w:jc w:val="right"/>
        <w:rPr>
          <w:rFonts w:ascii="Times New Roman" w:hAnsi="Times New Roman"/>
          <w:sz w:val="28"/>
          <w:szCs w:val="28"/>
        </w:rPr>
      </w:pPr>
      <w:r w:rsidRPr="00FD2515">
        <w:rPr>
          <w:rFonts w:ascii="Times New Roman" w:hAnsi="Times New Roman"/>
          <w:sz w:val="28"/>
          <w:szCs w:val="28"/>
        </w:rPr>
        <w:t xml:space="preserve">Ministru kabineta </w:t>
      </w:r>
    </w:p>
    <w:p w14:paraId="21C7A8A5" w14:textId="003543D3" w:rsidR="004D6FAC" w:rsidRPr="00FD2515" w:rsidRDefault="004D6FAC" w:rsidP="00210FD3">
      <w:pPr>
        <w:spacing w:after="0" w:line="240" w:lineRule="auto"/>
        <w:jc w:val="right"/>
        <w:rPr>
          <w:rFonts w:ascii="Times New Roman" w:eastAsia="Calibri" w:hAnsi="Times New Roman"/>
          <w:sz w:val="28"/>
          <w:szCs w:val="28"/>
        </w:rPr>
      </w:pPr>
      <w:r w:rsidRPr="00FD2515">
        <w:rPr>
          <w:rFonts w:ascii="Times New Roman" w:eastAsia="Calibri" w:hAnsi="Times New Roman"/>
          <w:sz w:val="28"/>
          <w:szCs w:val="28"/>
        </w:rPr>
        <w:t xml:space="preserve">2017. gada </w:t>
      </w:r>
      <w:r w:rsidR="00472568" w:rsidRPr="00472568">
        <w:rPr>
          <w:rFonts w:ascii="Times New Roman" w:hAnsi="Times New Roman" w:cs="Times New Roman"/>
          <w:sz w:val="28"/>
          <w:szCs w:val="28"/>
        </w:rPr>
        <w:t>19. septembr</w:t>
      </w:r>
      <w:r w:rsidR="00472568" w:rsidRPr="00472568">
        <w:rPr>
          <w:rFonts w:ascii="Times New Roman" w:hAnsi="Times New Roman" w:cs="Times New Roman"/>
          <w:sz w:val="28"/>
          <w:szCs w:val="28"/>
        </w:rPr>
        <w:t>a</w:t>
      </w:r>
    </w:p>
    <w:p w14:paraId="039D939E" w14:textId="7760B88D" w:rsidR="004D6FAC" w:rsidRPr="00FD2515" w:rsidRDefault="004D6FAC" w:rsidP="00210FD3">
      <w:pPr>
        <w:spacing w:after="0" w:line="240" w:lineRule="auto"/>
        <w:jc w:val="right"/>
        <w:rPr>
          <w:rFonts w:ascii="Times New Roman" w:eastAsia="Calibri" w:hAnsi="Times New Roman"/>
          <w:sz w:val="28"/>
          <w:szCs w:val="28"/>
        </w:rPr>
      </w:pPr>
      <w:r w:rsidRPr="00FD2515">
        <w:rPr>
          <w:rFonts w:ascii="Times New Roman" w:eastAsia="Calibri" w:hAnsi="Times New Roman"/>
          <w:sz w:val="28"/>
          <w:szCs w:val="28"/>
        </w:rPr>
        <w:t>noteikumiem Nr. </w:t>
      </w:r>
      <w:r w:rsidR="00472568">
        <w:rPr>
          <w:rFonts w:ascii="Times New Roman" w:eastAsia="Calibri" w:hAnsi="Times New Roman"/>
          <w:sz w:val="28"/>
          <w:szCs w:val="28"/>
        </w:rPr>
        <w:t>563</w:t>
      </w:r>
      <w:bookmarkStart w:id="0" w:name="_GoBack"/>
      <w:bookmarkEnd w:id="0"/>
    </w:p>
    <w:p w14:paraId="4F1DE051" w14:textId="77777777" w:rsidR="00043019" w:rsidRPr="00FD2515" w:rsidRDefault="00043019" w:rsidP="00043019">
      <w:pPr>
        <w:shd w:val="clear" w:color="auto" w:fill="FFFFFF"/>
        <w:spacing w:after="0" w:line="240" w:lineRule="auto"/>
        <w:jc w:val="center"/>
        <w:rPr>
          <w:rFonts w:ascii="Times New Roman" w:eastAsia="Times New Roman" w:hAnsi="Times New Roman" w:cs="Times New Roman"/>
          <w:bCs/>
          <w:sz w:val="27"/>
          <w:szCs w:val="27"/>
          <w:lang w:eastAsia="lv-LV"/>
        </w:rPr>
      </w:pPr>
      <w:bookmarkStart w:id="1" w:name="134612"/>
      <w:bookmarkEnd w:id="1"/>
    </w:p>
    <w:p w14:paraId="48335EEA" w14:textId="30C7C54A" w:rsidR="0054394B" w:rsidRPr="00FD2515" w:rsidRDefault="0054394B" w:rsidP="00FD2515">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FD2515">
        <w:rPr>
          <w:rFonts w:ascii="Times New Roman" w:eastAsia="Times New Roman" w:hAnsi="Times New Roman" w:cs="Times New Roman"/>
          <w:b/>
          <w:bCs/>
          <w:sz w:val="28"/>
          <w:szCs w:val="28"/>
          <w:lang w:eastAsia="lv-LV"/>
        </w:rPr>
        <w:t>Bīstamās vielas un to kvalificējošie daudzumi</w:t>
      </w:r>
    </w:p>
    <w:p w14:paraId="75CD0887" w14:textId="77777777" w:rsidR="00E22FC5" w:rsidRPr="00FD2515" w:rsidRDefault="00E22FC5" w:rsidP="00E22FC5">
      <w:pPr>
        <w:shd w:val="clear" w:color="auto" w:fill="FFFFFF"/>
        <w:tabs>
          <w:tab w:val="left" w:pos="1134"/>
        </w:tabs>
        <w:spacing w:after="0" w:line="240" w:lineRule="auto"/>
        <w:ind w:firstLine="709"/>
        <w:jc w:val="center"/>
        <w:rPr>
          <w:rFonts w:ascii="Times New Roman" w:eastAsia="Times New Roman" w:hAnsi="Times New Roman" w:cs="Times New Roman"/>
          <w:bCs/>
          <w:sz w:val="28"/>
          <w:szCs w:val="28"/>
          <w:lang w:eastAsia="lv-LV"/>
        </w:rPr>
      </w:pPr>
    </w:p>
    <w:p w14:paraId="55CD14DC" w14:textId="5EB905C1" w:rsidR="00E22FC5" w:rsidRPr="00FD2515" w:rsidRDefault="0054394B" w:rsidP="00E22FC5">
      <w:pPr>
        <w:pStyle w:val="ListParagraph"/>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Bīstamo vielu kvalificējošie daudzumi, kas noteikti</w:t>
      </w:r>
      <w:r w:rsidR="00E13F1F" w:rsidRPr="00FD2515">
        <w:rPr>
          <w:rFonts w:ascii="Times New Roman" w:eastAsia="Times New Roman" w:hAnsi="Times New Roman" w:cs="Times New Roman"/>
          <w:sz w:val="28"/>
          <w:szCs w:val="28"/>
          <w:lang w:eastAsia="lv-LV"/>
        </w:rPr>
        <w:t xml:space="preserve"> š</w:t>
      </w:r>
      <w:r w:rsidR="00FD2515">
        <w:rPr>
          <w:rFonts w:ascii="Times New Roman" w:eastAsia="Times New Roman" w:hAnsi="Times New Roman" w:cs="Times New Roman"/>
          <w:sz w:val="28"/>
          <w:szCs w:val="28"/>
          <w:lang w:eastAsia="lv-LV"/>
        </w:rPr>
        <w:t>ā</w:t>
      </w:r>
      <w:r w:rsidRPr="00FD2515">
        <w:rPr>
          <w:rFonts w:ascii="Times New Roman" w:eastAsia="Times New Roman" w:hAnsi="Times New Roman" w:cs="Times New Roman"/>
          <w:sz w:val="28"/>
          <w:szCs w:val="28"/>
          <w:lang w:eastAsia="lv-LV"/>
        </w:rPr>
        <w:t xml:space="preserve"> pielikuma </w:t>
      </w:r>
      <w:r w:rsidR="00E0707B" w:rsidRPr="00FD2515">
        <w:rPr>
          <w:rFonts w:ascii="Times New Roman" w:eastAsia="Times New Roman" w:hAnsi="Times New Roman" w:cs="Times New Roman"/>
          <w:sz w:val="28"/>
          <w:szCs w:val="28"/>
          <w:lang w:eastAsia="lv-LV"/>
        </w:rPr>
        <w:t>1</w:t>
      </w:r>
      <w:r w:rsidRPr="00FD2515">
        <w:rPr>
          <w:rFonts w:ascii="Times New Roman" w:eastAsia="Times New Roman" w:hAnsi="Times New Roman" w:cs="Times New Roman"/>
          <w:sz w:val="28"/>
          <w:szCs w:val="28"/>
          <w:lang w:eastAsia="lv-LV"/>
        </w:rPr>
        <w:t>. tabulā, attiecas uz vielām, kas atbilst šajā tabulā norādītajām bīstamības kategorijām, kas noteiktas saskaņā ar Eiropas Parlamenta un Padomes 2008.</w:t>
      </w:r>
      <w:r w:rsidR="004D6FAC" w:rsidRPr="00FD2515">
        <w:rPr>
          <w:rFonts w:ascii="Times New Roman" w:eastAsia="Times New Roman" w:hAnsi="Times New Roman" w:cs="Times New Roman"/>
          <w:sz w:val="28"/>
          <w:szCs w:val="28"/>
          <w:lang w:eastAsia="lv-LV"/>
        </w:rPr>
        <w:t> </w:t>
      </w:r>
      <w:r w:rsidRPr="00FD2515">
        <w:rPr>
          <w:rFonts w:ascii="Times New Roman" w:eastAsia="Times New Roman" w:hAnsi="Times New Roman" w:cs="Times New Roman"/>
          <w:sz w:val="28"/>
          <w:szCs w:val="28"/>
          <w:lang w:eastAsia="lv-LV"/>
        </w:rPr>
        <w:t>gada 16.</w:t>
      </w:r>
      <w:r w:rsidR="004D6FAC" w:rsidRPr="00FD2515">
        <w:rPr>
          <w:rFonts w:ascii="Times New Roman" w:eastAsia="Times New Roman" w:hAnsi="Times New Roman" w:cs="Times New Roman"/>
          <w:sz w:val="28"/>
          <w:szCs w:val="28"/>
          <w:lang w:eastAsia="lv-LV"/>
        </w:rPr>
        <w:t> </w:t>
      </w:r>
      <w:r w:rsidRPr="00FD2515">
        <w:rPr>
          <w:rFonts w:ascii="Times New Roman" w:eastAsia="Times New Roman" w:hAnsi="Times New Roman" w:cs="Times New Roman"/>
          <w:sz w:val="28"/>
          <w:szCs w:val="28"/>
          <w:lang w:eastAsia="lv-LV"/>
        </w:rPr>
        <w:t xml:space="preserve">decembra </w:t>
      </w:r>
      <w:r w:rsidR="00E67FA1">
        <w:rPr>
          <w:rFonts w:ascii="Times New Roman" w:eastAsia="Times New Roman" w:hAnsi="Times New Roman" w:cs="Times New Roman"/>
          <w:sz w:val="28"/>
          <w:szCs w:val="28"/>
          <w:lang w:eastAsia="lv-LV"/>
        </w:rPr>
        <w:t>R</w:t>
      </w:r>
      <w:r w:rsidRPr="00FD2515">
        <w:rPr>
          <w:rFonts w:ascii="Times New Roman" w:eastAsia="Times New Roman" w:hAnsi="Times New Roman" w:cs="Times New Roman"/>
          <w:sz w:val="28"/>
          <w:szCs w:val="28"/>
          <w:lang w:eastAsia="lv-LV"/>
        </w:rPr>
        <w:t>egulu (EK) Nr.</w:t>
      </w:r>
      <w:r w:rsidR="0055326F" w:rsidRPr="00FD2515">
        <w:rPr>
          <w:rFonts w:ascii="Times New Roman" w:eastAsia="Times New Roman" w:hAnsi="Times New Roman" w:cs="Times New Roman"/>
          <w:sz w:val="28"/>
          <w:szCs w:val="28"/>
          <w:lang w:eastAsia="lv-LV"/>
        </w:rPr>
        <w:t> </w:t>
      </w:r>
      <w:r w:rsidRPr="00FD2515">
        <w:rPr>
          <w:rFonts w:ascii="Times New Roman" w:eastAsia="Times New Roman" w:hAnsi="Times New Roman" w:cs="Times New Roman"/>
          <w:sz w:val="28"/>
          <w:szCs w:val="28"/>
          <w:lang w:eastAsia="lv-LV"/>
        </w:rPr>
        <w:t>1272/2008 par vielu un maisījumu klasificēšanu, marķēšanu un iepakošanu (turpmāk</w:t>
      </w:r>
      <w:r w:rsidR="00FD2515">
        <w:rPr>
          <w:rFonts w:ascii="Times New Roman" w:eastAsia="Times New Roman" w:hAnsi="Times New Roman" w:cs="Times New Roman"/>
          <w:sz w:val="28"/>
          <w:szCs w:val="28"/>
          <w:lang w:eastAsia="lv-LV"/>
        </w:rPr>
        <w:t xml:space="preserve"> –</w:t>
      </w:r>
      <w:r w:rsidRPr="00FD2515">
        <w:rPr>
          <w:rFonts w:ascii="Times New Roman" w:eastAsia="Times New Roman" w:hAnsi="Times New Roman" w:cs="Times New Roman"/>
          <w:sz w:val="28"/>
          <w:szCs w:val="28"/>
          <w:lang w:eastAsia="lv-LV"/>
        </w:rPr>
        <w:t xml:space="preserve"> regula Nr.</w:t>
      </w:r>
      <w:r w:rsidR="004D6FAC" w:rsidRPr="00FD2515">
        <w:rPr>
          <w:rFonts w:ascii="Times New Roman" w:eastAsia="Times New Roman" w:hAnsi="Times New Roman" w:cs="Times New Roman"/>
          <w:sz w:val="28"/>
          <w:szCs w:val="28"/>
          <w:lang w:eastAsia="lv-LV"/>
        </w:rPr>
        <w:t> </w:t>
      </w:r>
      <w:r w:rsidRPr="00FD2515">
        <w:rPr>
          <w:rFonts w:ascii="Times New Roman" w:eastAsia="Times New Roman" w:hAnsi="Times New Roman" w:cs="Times New Roman"/>
          <w:sz w:val="28"/>
          <w:szCs w:val="28"/>
          <w:lang w:eastAsia="lv-LV"/>
        </w:rPr>
        <w:t>1272/2008).</w:t>
      </w:r>
    </w:p>
    <w:p w14:paraId="37A61277" w14:textId="77777777" w:rsidR="00E22FC5" w:rsidRPr="00FD2515" w:rsidRDefault="00E22FC5" w:rsidP="00E22FC5">
      <w:pPr>
        <w:pStyle w:val="ListParagraph"/>
        <w:shd w:val="clear" w:color="auto" w:fill="FFFFFF"/>
        <w:tabs>
          <w:tab w:val="left" w:pos="993"/>
        </w:tabs>
        <w:spacing w:after="0" w:line="240" w:lineRule="auto"/>
        <w:ind w:left="709"/>
        <w:jc w:val="both"/>
        <w:rPr>
          <w:rFonts w:ascii="Times New Roman" w:eastAsia="Times New Roman" w:hAnsi="Times New Roman" w:cs="Times New Roman"/>
          <w:sz w:val="28"/>
          <w:szCs w:val="28"/>
          <w:lang w:eastAsia="lv-LV"/>
        </w:rPr>
      </w:pPr>
    </w:p>
    <w:p w14:paraId="791F3133" w14:textId="61956CCE" w:rsidR="00E22FC5" w:rsidRPr="00FD2515" w:rsidRDefault="0054394B" w:rsidP="00E22FC5">
      <w:pPr>
        <w:pStyle w:val="ListParagraph"/>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 xml:space="preserve">Ja bīstamā viela atbilst </w:t>
      </w:r>
      <w:r w:rsidR="00CD7B0E" w:rsidRPr="00FD2515">
        <w:rPr>
          <w:rFonts w:ascii="Times New Roman" w:eastAsia="Times New Roman" w:hAnsi="Times New Roman" w:cs="Times New Roman"/>
          <w:sz w:val="28"/>
          <w:szCs w:val="28"/>
          <w:lang w:eastAsia="lv-LV"/>
        </w:rPr>
        <w:t xml:space="preserve">šā </w:t>
      </w:r>
      <w:r w:rsidRPr="00FD2515">
        <w:rPr>
          <w:rFonts w:ascii="Times New Roman" w:eastAsia="Times New Roman" w:hAnsi="Times New Roman" w:cs="Times New Roman"/>
          <w:sz w:val="28"/>
          <w:szCs w:val="28"/>
          <w:lang w:eastAsia="lv-LV"/>
        </w:rPr>
        <w:t>pielikuma </w:t>
      </w:r>
      <w:hyperlink r:id="rId9" w:anchor="piel1" w:tgtFrame="_blank" w:history="1">
        <w:r w:rsidR="00E0707B" w:rsidRPr="00FD2515">
          <w:rPr>
            <w:rFonts w:ascii="Times New Roman" w:eastAsia="Times New Roman" w:hAnsi="Times New Roman" w:cs="Times New Roman"/>
            <w:sz w:val="28"/>
            <w:szCs w:val="28"/>
            <w:lang w:eastAsia="lv-LV"/>
          </w:rPr>
          <w:t>1</w:t>
        </w:r>
        <w:r w:rsidRPr="00FD2515">
          <w:rPr>
            <w:rFonts w:ascii="Times New Roman" w:eastAsia="Times New Roman" w:hAnsi="Times New Roman" w:cs="Times New Roman"/>
            <w:sz w:val="28"/>
            <w:szCs w:val="28"/>
            <w:lang w:eastAsia="lv-LV"/>
          </w:rPr>
          <w:t>.</w:t>
        </w:r>
      </w:hyperlink>
      <w:r w:rsidRPr="00FD2515">
        <w:rPr>
          <w:rFonts w:ascii="Times New Roman" w:eastAsia="Times New Roman" w:hAnsi="Times New Roman" w:cs="Times New Roman"/>
          <w:sz w:val="28"/>
          <w:szCs w:val="28"/>
          <w:lang w:eastAsia="lv-LV"/>
        </w:rPr>
        <w:t> tabulā norādītajai bīstamo vielu kategorijai un attiecīgā viela vai maisījums norādīts arī</w:t>
      </w:r>
      <w:r w:rsidR="00E13F1F" w:rsidRPr="00FD2515">
        <w:rPr>
          <w:rFonts w:ascii="Times New Roman" w:eastAsia="Times New Roman" w:hAnsi="Times New Roman" w:cs="Times New Roman"/>
          <w:sz w:val="28"/>
          <w:szCs w:val="28"/>
          <w:lang w:eastAsia="lv-LV"/>
        </w:rPr>
        <w:t xml:space="preserve"> šā </w:t>
      </w:r>
      <w:r w:rsidRPr="00FD2515">
        <w:rPr>
          <w:rFonts w:ascii="Times New Roman" w:eastAsia="Times New Roman" w:hAnsi="Times New Roman" w:cs="Times New Roman"/>
          <w:sz w:val="28"/>
          <w:szCs w:val="28"/>
          <w:lang w:eastAsia="lv-LV"/>
        </w:rPr>
        <w:t>pielikuma</w:t>
      </w:r>
      <w:r w:rsidR="00E0707B" w:rsidRPr="00FD2515">
        <w:rPr>
          <w:rFonts w:ascii="Times New Roman" w:eastAsia="Times New Roman" w:hAnsi="Times New Roman" w:cs="Times New Roman"/>
          <w:sz w:val="28"/>
          <w:szCs w:val="28"/>
          <w:lang w:eastAsia="lv-LV"/>
        </w:rPr>
        <w:t xml:space="preserve"> 2. tabulā, piemēro 2</w:t>
      </w:r>
      <w:r w:rsidRPr="00FD2515">
        <w:rPr>
          <w:rFonts w:ascii="Times New Roman" w:eastAsia="Times New Roman" w:hAnsi="Times New Roman" w:cs="Times New Roman"/>
          <w:sz w:val="28"/>
          <w:szCs w:val="28"/>
          <w:lang w:eastAsia="lv-LV"/>
        </w:rPr>
        <w:t>. tabulā norādītos kvalificējošos daudzumus.</w:t>
      </w:r>
    </w:p>
    <w:p w14:paraId="3CAF66CA" w14:textId="77777777" w:rsidR="00E22FC5" w:rsidRPr="00FD2515" w:rsidRDefault="00E22FC5" w:rsidP="00E22FC5">
      <w:pPr>
        <w:shd w:val="clear" w:color="auto" w:fill="FFFFFF"/>
        <w:tabs>
          <w:tab w:val="left" w:pos="993"/>
        </w:tabs>
        <w:spacing w:after="0" w:line="240" w:lineRule="auto"/>
        <w:jc w:val="both"/>
        <w:rPr>
          <w:rFonts w:ascii="Times New Roman" w:eastAsia="Times New Roman" w:hAnsi="Times New Roman" w:cs="Times New Roman"/>
          <w:sz w:val="28"/>
          <w:szCs w:val="28"/>
          <w:lang w:eastAsia="lv-LV"/>
        </w:rPr>
      </w:pPr>
    </w:p>
    <w:p w14:paraId="30073790" w14:textId="77777777" w:rsidR="00E22FC5" w:rsidRPr="00FD2515" w:rsidRDefault="0054394B" w:rsidP="00E22FC5">
      <w:pPr>
        <w:pStyle w:val="ListParagraph"/>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Bīstamās vielas un maisījumus klasificē saskaņā ar regulu Nr. </w:t>
      </w:r>
      <w:hyperlink r:id="rId10" w:tgtFrame="_blank" w:history="1">
        <w:r w:rsidRPr="00FD2515">
          <w:rPr>
            <w:rFonts w:ascii="Times New Roman" w:eastAsia="Times New Roman" w:hAnsi="Times New Roman" w:cs="Times New Roman"/>
            <w:sz w:val="28"/>
            <w:szCs w:val="28"/>
            <w:lang w:eastAsia="lv-LV"/>
          </w:rPr>
          <w:t>1272/2008</w:t>
        </w:r>
      </w:hyperlink>
      <w:r w:rsidRPr="00FD2515">
        <w:rPr>
          <w:rFonts w:ascii="Times New Roman" w:eastAsia="Times New Roman" w:hAnsi="Times New Roman" w:cs="Times New Roman"/>
          <w:sz w:val="28"/>
          <w:szCs w:val="28"/>
          <w:lang w:eastAsia="lv-LV"/>
        </w:rPr>
        <w:t>.</w:t>
      </w:r>
    </w:p>
    <w:p w14:paraId="1FEB6389" w14:textId="77777777" w:rsidR="00E22FC5" w:rsidRPr="00FD2515" w:rsidRDefault="00E22FC5" w:rsidP="00E22FC5">
      <w:pPr>
        <w:shd w:val="clear" w:color="auto" w:fill="FFFFFF"/>
        <w:tabs>
          <w:tab w:val="left" w:pos="993"/>
        </w:tabs>
        <w:spacing w:after="0" w:line="240" w:lineRule="auto"/>
        <w:jc w:val="both"/>
        <w:rPr>
          <w:rFonts w:ascii="Times New Roman" w:eastAsia="Times New Roman" w:hAnsi="Times New Roman" w:cs="Times New Roman"/>
          <w:sz w:val="28"/>
          <w:szCs w:val="28"/>
          <w:lang w:eastAsia="lv-LV"/>
        </w:rPr>
      </w:pPr>
    </w:p>
    <w:p w14:paraId="2456388B" w14:textId="662E2ED7" w:rsidR="00E22FC5" w:rsidRPr="00FD2515" w:rsidRDefault="0054394B" w:rsidP="00E22FC5">
      <w:pPr>
        <w:pStyle w:val="ListParagraph"/>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Maisījums, kas satur bīstamās ķīmiskās vielas, ir bīstams, ja bīstamās ķīmiskās vielas koncentrācija tajā nav mazāka par regulā Nr. </w:t>
      </w:r>
      <w:hyperlink r:id="rId11" w:tgtFrame="_blank" w:history="1">
        <w:r w:rsidRPr="00FD2515">
          <w:rPr>
            <w:rFonts w:ascii="Times New Roman" w:eastAsia="Times New Roman" w:hAnsi="Times New Roman" w:cs="Times New Roman"/>
            <w:sz w:val="28"/>
            <w:szCs w:val="28"/>
            <w:lang w:eastAsia="lv-LV"/>
          </w:rPr>
          <w:t>1272/2008</w:t>
        </w:r>
      </w:hyperlink>
      <w:r w:rsidRPr="00FD2515">
        <w:rPr>
          <w:rFonts w:ascii="Times New Roman" w:eastAsia="Times New Roman" w:hAnsi="Times New Roman" w:cs="Times New Roman"/>
          <w:sz w:val="28"/>
          <w:szCs w:val="28"/>
          <w:lang w:eastAsia="lv-LV"/>
        </w:rPr>
        <w:t> noteikto koncentrāciju. Rīkojoties ar šo maisījumu, ievēro tādas pašas prasības, kā rīkojoties ar attiecīgo bīstam</w:t>
      </w:r>
      <w:r w:rsidR="00FD2515">
        <w:rPr>
          <w:rFonts w:ascii="Times New Roman" w:eastAsia="Times New Roman" w:hAnsi="Times New Roman" w:cs="Times New Roman"/>
          <w:sz w:val="28"/>
          <w:szCs w:val="28"/>
          <w:lang w:eastAsia="lv-LV"/>
        </w:rPr>
        <w:t>o ķīmisko vielu, ja regulā Nr. </w:t>
      </w:r>
      <w:hyperlink r:id="rId12" w:tgtFrame="_blank" w:history="1">
        <w:r w:rsidRPr="00FD2515">
          <w:rPr>
            <w:rFonts w:ascii="Times New Roman" w:eastAsia="Times New Roman" w:hAnsi="Times New Roman" w:cs="Times New Roman"/>
            <w:sz w:val="28"/>
            <w:szCs w:val="28"/>
            <w:lang w:eastAsia="lv-LV"/>
          </w:rPr>
          <w:t>1272/2008</w:t>
        </w:r>
      </w:hyperlink>
      <w:r w:rsidR="00FD2515">
        <w:rPr>
          <w:rFonts w:ascii="Times New Roman" w:eastAsia="Times New Roman" w:hAnsi="Times New Roman" w:cs="Times New Roman"/>
          <w:sz w:val="28"/>
          <w:szCs w:val="28"/>
          <w:lang w:eastAsia="lv-LV"/>
        </w:rPr>
        <w:t xml:space="preserve"> </w:t>
      </w:r>
      <w:r w:rsidRPr="00FD2515">
        <w:rPr>
          <w:rFonts w:ascii="Times New Roman" w:eastAsia="Times New Roman" w:hAnsi="Times New Roman" w:cs="Times New Roman"/>
          <w:sz w:val="28"/>
          <w:szCs w:val="28"/>
          <w:lang w:eastAsia="lv-LV"/>
        </w:rPr>
        <w:t>šim maisījuma procentuālajam sastāvam nav norādīts cits bīstamības raksturojums.</w:t>
      </w:r>
    </w:p>
    <w:p w14:paraId="1AC3E1B3" w14:textId="77777777" w:rsidR="00E22FC5" w:rsidRPr="00FD2515" w:rsidRDefault="00E22FC5" w:rsidP="00E22FC5">
      <w:pPr>
        <w:shd w:val="clear" w:color="auto" w:fill="FFFFFF"/>
        <w:tabs>
          <w:tab w:val="left" w:pos="993"/>
        </w:tabs>
        <w:spacing w:after="0" w:line="240" w:lineRule="auto"/>
        <w:jc w:val="both"/>
        <w:rPr>
          <w:rFonts w:ascii="Times New Roman" w:eastAsia="Times New Roman" w:hAnsi="Times New Roman" w:cs="Times New Roman"/>
          <w:sz w:val="28"/>
          <w:szCs w:val="28"/>
          <w:lang w:eastAsia="lv-LV"/>
        </w:rPr>
      </w:pPr>
    </w:p>
    <w:p w14:paraId="67B64227" w14:textId="77777777" w:rsidR="00E22FC5" w:rsidRPr="00FD2515" w:rsidRDefault="0054394B" w:rsidP="00E22FC5">
      <w:pPr>
        <w:pStyle w:val="ListParagraph"/>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Kvalificējošie daudzumi attiecas uz katru objektu.</w:t>
      </w:r>
    </w:p>
    <w:p w14:paraId="5614BFDD" w14:textId="77777777" w:rsidR="00E22FC5" w:rsidRPr="00FD2515" w:rsidRDefault="00E22FC5" w:rsidP="00E22FC5">
      <w:pPr>
        <w:shd w:val="clear" w:color="auto" w:fill="FFFFFF"/>
        <w:tabs>
          <w:tab w:val="left" w:pos="993"/>
        </w:tabs>
        <w:spacing w:after="0" w:line="240" w:lineRule="auto"/>
        <w:jc w:val="both"/>
        <w:rPr>
          <w:rFonts w:ascii="Times New Roman" w:eastAsia="Times New Roman" w:hAnsi="Times New Roman" w:cs="Times New Roman"/>
          <w:sz w:val="28"/>
          <w:szCs w:val="28"/>
          <w:lang w:eastAsia="lv-LV"/>
        </w:rPr>
      </w:pPr>
    </w:p>
    <w:p w14:paraId="75115820" w14:textId="77777777" w:rsidR="0054394B" w:rsidRPr="00FD2515" w:rsidRDefault="0054394B" w:rsidP="00E22FC5">
      <w:pPr>
        <w:pStyle w:val="ListParagraph"/>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Nosakot bīstamo vielu maksimālo daudzumu vai aprēķinot bīstamo vielu daudzuma kritēriju, ņem vērā tās bīstamās vielas, kas vienlaikus ir vai var būt objektā vai visās objekta iekārtās, kas atrodas vienā teritorijā, šādā daudzumā</w:t>
      </w:r>
      <w:r w:rsidR="005130D9" w:rsidRPr="00FD2515">
        <w:rPr>
          <w:rFonts w:ascii="Times New Roman" w:eastAsia="Times New Roman" w:hAnsi="Times New Roman" w:cs="Times New Roman"/>
          <w:sz w:val="28"/>
          <w:szCs w:val="28"/>
          <w:lang w:eastAsia="lv-LV"/>
        </w:rPr>
        <w:t>:</w:t>
      </w:r>
    </w:p>
    <w:p w14:paraId="356EB179" w14:textId="77777777" w:rsidR="0054394B" w:rsidRPr="00FD2515" w:rsidRDefault="00F9741A" w:rsidP="00E22FC5">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6</w:t>
      </w:r>
      <w:r w:rsidR="0054394B" w:rsidRPr="00FD2515">
        <w:rPr>
          <w:rFonts w:ascii="Times New Roman" w:eastAsia="Times New Roman" w:hAnsi="Times New Roman" w:cs="Times New Roman"/>
          <w:sz w:val="28"/>
          <w:szCs w:val="28"/>
          <w:lang w:eastAsia="lv-LV"/>
        </w:rPr>
        <w:t>.1. ir 2 % no attiecīgās vielas kvalificējošā daudzuma vai vairāk;</w:t>
      </w:r>
    </w:p>
    <w:p w14:paraId="729B2D85" w14:textId="77777777" w:rsidR="0054394B" w:rsidRPr="00FD2515" w:rsidRDefault="00F9741A" w:rsidP="00E22FC5">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6</w:t>
      </w:r>
      <w:r w:rsidR="0054394B" w:rsidRPr="00FD2515">
        <w:rPr>
          <w:rFonts w:ascii="Times New Roman" w:eastAsia="Times New Roman" w:hAnsi="Times New Roman" w:cs="Times New Roman"/>
          <w:sz w:val="28"/>
          <w:szCs w:val="28"/>
          <w:lang w:eastAsia="lv-LV"/>
        </w:rPr>
        <w:t xml:space="preserve">.2. mazāk par 2 % no attiecīgās vielas kvalificējošā daudzuma, ja bīstamās vielas izvietojums objektā ir tāds, ka tā var būt par </w:t>
      </w:r>
      <w:r w:rsidR="005130D9" w:rsidRPr="00FD2515">
        <w:rPr>
          <w:rFonts w:ascii="Times New Roman" w:eastAsia="Times New Roman" w:hAnsi="Times New Roman" w:cs="Times New Roman"/>
          <w:sz w:val="28"/>
          <w:szCs w:val="28"/>
          <w:lang w:eastAsia="lv-LV"/>
        </w:rPr>
        <w:t xml:space="preserve">negadījuma vai </w:t>
      </w:r>
      <w:r w:rsidR="0054394B" w:rsidRPr="00FD2515">
        <w:rPr>
          <w:rFonts w:ascii="Times New Roman" w:eastAsia="Times New Roman" w:hAnsi="Times New Roman" w:cs="Times New Roman"/>
          <w:sz w:val="28"/>
          <w:szCs w:val="28"/>
          <w:lang w:eastAsia="lv-LV"/>
        </w:rPr>
        <w:t>avārijas ierosinātāju.</w:t>
      </w:r>
    </w:p>
    <w:p w14:paraId="462E3ADB" w14:textId="77777777" w:rsidR="00E22FC5" w:rsidRPr="00FD2515" w:rsidRDefault="00E22FC5" w:rsidP="00E22FC5">
      <w:pPr>
        <w:shd w:val="clear" w:color="auto" w:fill="FFFFFF"/>
        <w:tabs>
          <w:tab w:val="left" w:pos="993"/>
        </w:tabs>
        <w:spacing w:after="0" w:line="240" w:lineRule="auto"/>
        <w:jc w:val="both"/>
        <w:rPr>
          <w:rFonts w:ascii="Times New Roman" w:eastAsia="Times New Roman" w:hAnsi="Times New Roman" w:cs="Times New Roman"/>
          <w:sz w:val="28"/>
          <w:szCs w:val="28"/>
          <w:lang w:eastAsia="lv-LV"/>
        </w:rPr>
      </w:pPr>
    </w:p>
    <w:p w14:paraId="7694C0FE" w14:textId="77777777" w:rsidR="0054394B" w:rsidRPr="00FD2515" w:rsidRDefault="00F9741A" w:rsidP="00E22FC5">
      <w:pPr>
        <w:shd w:val="clear" w:color="auto" w:fill="FFFFFF"/>
        <w:tabs>
          <w:tab w:val="left" w:pos="1134"/>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7</w:t>
      </w:r>
      <w:r w:rsidR="0054394B" w:rsidRPr="00FD2515">
        <w:rPr>
          <w:rFonts w:ascii="Times New Roman" w:eastAsia="Times New Roman" w:hAnsi="Times New Roman" w:cs="Times New Roman"/>
          <w:sz w:val="28"/>
          <w:szCs w:val="28"/>
          <w:lang w:eastAsia="lv-LV"/>
        </w:rPr>
        <w:t>. Bīstamo vielu daudzuma kritēriju aprēķina, izmantojot šādu formulu:</w:t>
      </w:r>
    </w:p>
    <w:p w14:paraId="43BCBD85" w14:textId="77777777" w:rsidR="0054394B" w:rsidRPr="00FD2515" w:rsidRDefault="0054394B" w:rsidP="00FD2515">
      <w:pPr>
        <w:shd w:val="clear" w:color="auto" w:fill="FFFFFF"/>
        <w:tabs>
          <w:tab w:val="left" w:pos="1134"/>
        </w:tabs>
        <w:spacing w:before="100" w:beforeAutospacing="1" w:after="100" w:afterAutospacing="1" w:line="240" w:lineRule="auto"/>
        <w:jc w:val="center"/>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Q </w:t>
      </w:r>
      <w:r w:rsidRPr="00FD2515">
        <w:rPr>
          <w:rFonts w:ascii="Times New Roman" w:eastAsia="Times New Roman" w:hAnsi="Times New Roman" w:cs="Times New Roman"/>
          <w:sz w:val="28"/>
          <w:szCs w:val="28"/>
          <w:bdr w:val="none" w:sz="0" w:space="0" w:color="auto" w:frame="1"/>
          <w:vertAlign w:val="subscript"/>
          <w:lang w:eastAsia="lv-LV"/>
        </w:rPr>
        <w:t>kopējais</w:t>
      </w:r>
      <w:r w:rsidRPr="00FD2515">
        <w:rPr>
          <w:rFonts w:ascii="Times New Roman" w:eastAsia="Times New Roman" w:hAnsi="Times New Roman" w:cs="Times New Roman"/>
          <w:sz w:val="28"/>
          <w:szCs w:val="28"/>
          <w:lang w:eastAsia="lv-LV"/>
        </w:rPr>
        <w:t> = q</w:t>
      </w:r>
      <w:r w:rsidRPr="00FD2515">
        <w:rPr>
          <w:rFonts w:ascii="Times New Roman" w:eastAsia="Times New Roman" w:hAnsi="Times New Roman" w:cs="Times New Roman"/>
          <w:sz w:val="28"/>
          <w:szCs w:val="28"/>
          <w:bdr w:val="none" w:sz="0" w:space="0" w:color="auto" w:frame="1"/>
          <w:vertAlign w:val="subscript"/>
          <w:lang w:eastAsia="lv-LV"/>
        </w:rPr>
        <w:t>1</w:t>
      </w:r>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1</w:t>
      </w:r>
      <w:r w:rsidRPr="00FD2515">
        <w:rPr>
          <w:rFonts w:ascii="Times New Roman" w:eastAsia="Times New Roman" w:hAnsi="Times New Roman" w:cs="Times New Roman"/>
          <w:sz w:val="28"/>
          <w:szCs w:val="28"/>
          <w:lang w:eastAsia="lv-LV"/>
        </w:rPr>
        <w:t> + q</w:t>
      </w:r>
      <w:r w:rsidRPr="00FD2515">
        <w:rPr>
          <w:rFonts w:ascii="Times New Roman" w:eastAsia="Times New Roman" w:hAnsi="Times New Roman" w:cs="Times New Roman"/>
          <w:sz w:val="28"/>
          <w:szCs w:val="28"/>
          <w:bdr w:val="none" w:sz="0" w:space="0" w:color="auto" w:frame="1"/>
          <w:vertAlign w:val="subscript"/>
          <w:lang w:eastAsia="lv-LV"/>
        </w:rPr>
        <w:t>2</w:t>
      </w:r>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2</w:t>
      </w:r>
      <w:r w:rsidRPr="00FD2515">
        <w:rPr>
          <w:rFonts w:ascii="Times New Roman" w:eastAsia="Times New Roman" w:hAnsi="Times New Roman" w:cs="Times New Roman"/>
          <w:sz w:val="28"/>
          <w:szCs w:val="28"/>
          <w:lang w:eastAsia="lv-LV"/>
        </w:rPr>
        <w:t> + q</w:t>
      </w:r>
      <w:r w:rsidRPr="00FD2515">
        <w:rPr>
          <w:rFonts w:ascii="Times New Roman" w:eastAsia="Times New Roman" w:hAnsi="Times New Roman" w:cs="Times New Roman"/>
          <w:sz w:val="28"/>
          <w:szCs w:val="28"/>
          <w:bdr w:val="none" w:sz="0" w:space="0" w:color="auto" w:frame="1"/>
          <w:vertAlign w:val="subscript"/>
          <w:lang w:eastAsia="lv-LV"/>
        </w:rPr>
        <w:t>3</w:t>
      </w:r>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3</w:t>
      </w:r>
      <w:r w:rsidRPr="00FD2515">
        <w:rPr>
          <w:rFonts w:ascii="Times New Roman" w:eastAsia="Times New Roman" w:hAnsi="Times New Roman" w:cs="Times New Roman"/>
          <w:sz w:val="28"/>
          <w:szCs w:val="28"/>
          <w:lang w:eastAsia="lv-LV"/>
        </w:rPr>
        <w:t> +</w:t>
      </w:r>
      <w:proofErr w:type="gramStart"/>
      <w:r w:rsidRPr="00FD2515">
        <w:rPr>
          <w:rFonts w:ascii="Times New Roman" w:eastAsia="Times New Roman" w:hAnsi="Times New Roman" w:cs="Times New Roman"/>
          <w:sz w:val="28"/>
          <w:szCs w:val="28"/>
          <w:lang w:eastAsia="lv-LV"/>
        </w:rPr>
        <w:t xml:space="preserve"> .</w:t>
      </w:r>
      <w:proofErr w:type="gramEnd"/>
      <w:r w:rsidRPr="00FD2515">
        <w:rPr>
          <w:rFonts w:ascii="Times New Roman" w:eastAsia="Times New Roman" w:hAnsi="Times New Roman" w:cs="Times New Roman"/>
          <w:sz w:val="28"/>
          <w:szCs w:val="28"/>
          <w:lang w:eastAsia="lv-LV"/>
        </w:rPr>
        <w:t xml:space="preserve">.. + </w:t>
      </w:r>
      <w:proofErr w:type="spellStart"/>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n</w:t>
      </w:r>
      <w:proofErr w:type="spellEnd"/>
      <w:r w:rsidRPr="00FD2515">
        <w:rPr>
          <w:rFonts w:ascii="Times New Roman" w:eastAsia="Times New Roman" w:hAnsi="Times New Roman" w:cs="Times New Roman"/>
          <w:sz w:val="28"/>
          <w:szCs w:val="28"/>
          <w:lang w:eastAsia="lv-LV"/>
        </w:rPr>
        <w:t>/</w:t>
      </w:r>
      <w:proofErr w:type="spellStart"/>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n</w:t>
      </w:r>
      <w:proofErr w:type="spellEnd"/>
      <w:r w:rsidRPr="00FD2515">
        <w:rPr>
          <w:rFonts w:ascii="Times New Roman" w:eastAsia="Times New Roman" w:hAnsi="Times New Roman" w:cs="Times New Roman"/>
          <w:sz w:val="28"/>
          <w:szCs w:val="28"/>
          <w:lang w:eastAsia="lv-LV"/>
        </w:rPr>
        <w:t> , kur</w:t>
      </w:r>
    </w:p>
    <w:p w14:paraId="5C736811" w14:textId="77777777" w:rsidR="0054394B" w:rsidRPr="00FD2515" w:rsidRDefault="0054394B" w:rsidP="005130D9">
      <w:pPr>
        <w:shd w:val="clear" w:color="auto" w:fill="FFFFFF"/>
        <w:tabs>
          <w:tab w:val="left" w:pos="1134"/>
        </w:tabs>
        <w:spacing w:before="100" w:beforeAutospacing="1" w:after="100" w:afterAutospacing="1"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Q </w:t>
      </w:r>
      <w:r w:rsidRPr="00FD2515">
        <w:rPr>
          <w:rFonts w:ascii="Times New Roman" w:eastAsia="Times New Roman" w:hAnsi="Times New Roman" w:cs="Times New Roman"/>
          <w:sz w:val="28"/>
          <w:szCs w:val="28"/>
          <w:bdr w:val="none" w:sz="0" w:space="0" w:color="auto" w:frame="1"/>
          <w:vertAlign w:val="subscript"/>
          <w:lang w:eastAsia="lv-LV"/>
        </w:rPr>
        <w:t>kopējais</w:t>
      </w:r>
      <w:r w:rsidRPr="00FD2515">
        <w:rPr>
          <w:rFonts w:ascii="Times New Roman" w:eastAsia="Times New Roman" w:hAnsi="Times New Roman" w:cs="Times New Roman"/>
          <w:sz w:val="28"/>
          <w:szCs w:val="28"/>
          <w:lang w:eastAsia="lv-LV"/>
        </w:rPr>
        <w:t> – bīstamo vielu daudzuma kritērijs;</w:t>
      </w:r>
    </w:p>
    <w:p w14:paraId="526C2E77" w14:textId="521D8719" w:rsidR="0054394B" w:rsidRPr="00FD2515" w:rsidRDefault="0054394B" w:rsidP="00E22FC5">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roofErr w:type="spellStart"/>
      <w:r w:rsidRPr="00FD2515">
        <w:rPr>
          <w:rFonts w:ascii="Times New Roman" w:eastAsia="Times New Roman" w:hAnsi="Times New Roman" w:cs="Times New Roman"/>
          <w:sz w:val="28"/>
          <w:szCs w:val="28"/>
          <w:lang w:eastAsia="lv-LV"/>
        </w:rPr>
        <w:lastRenderedPageBreak/>
        <w:t>q</w:t>
      </w:r>
      <w:r w:rsidRPr="00FD2515">
        <w:rPr>
          <w:rFonts w:ascii="Times New Roman" w:eastAsia="Times New Roman" w:hAnsi="Times New Roman" w:cs="Times New Roman"/>
          <w:sz w:val="28"/>
          <w:szCs w:val="28"/>
          <w:bdr w:val="none" w:sz="0" w:space="0" w:color="auto" w:frame="1"/>
          <w:vertAlign w:val="subscript"/>
          <w:lang w:eastAsia="lv-LV"/>
        </w:rPr>
        <w:t>i</w:t>
      </w:r>
      <w:proofErr w:type="spellEnd"/>
      <w:r w:rsidRPr="00FD2515">
        <w:rPr>
          <w:rFonts w:ascii="Times New Roman" w:eastAsia="Times New Roman" w:hAnsi="Times New Roman" w:cs="Times New Roman"/>
          <w:sz w:val="28"/>
          <w:szCs w:val="28"/>
          <w:lang w:eastAsia="lv-LV"/>
        </w:rPr>
        <w:t> (q</w:t>
      </w:r>
      <w:r w:rsidRPr="00FD2515">
        <w:rPr>
          <w:rFonts w:ascii="Times New Roman" w:eastAsia="Times New Roman" w:hAnsi="Times New Roman" w:cs="Times New Roman"/>
          <w:sz w:val="28"/>
          <w:szCs w:val="28"/>
          <w:bdr w:val="none" w:sz="0" w:space="0" w:color="auto" w:frame="1"/>
          <w:vertAlign w:val="subscript"/>
          <w:lang w:eastAsia="lv-LV"/>
        </w:rPr>
        <w:t>1</w:t>
      </w:r>
      <w:r w:rsidRPr="00FD2515">
        <w:rPr>
          <w:rFonts w:ascii="Times New Roman" w:eastAsia="Times New Roman" w:hAnsi="Times New Roman" w:cs="Times New Roman"/>
          <w:sz w:val="28"/>
          <w:szCs w:val="28"/>
          <w:lang w:eastAsia="lv-LV"/>
        </w:rPr>
        <w:t>, q</w:t>
      </w:r>
      <w:r w:rsidRPr="00FD2515">
        <w:rPr>
          <w:rFonts w:ascii="Times New Roman" w:eastAsia="Times New Roman" w:hAnsi="Times New Roman" w:cs="Times New Roman"/>
          <w:sz w:val="28"/>
          <w:szCs w:val="28"/>
          <w:bdr w:val="none" w:sz="0" w:space="0" w:color="auto" w:frame="1"/>
          <w:vertAlign w:val="subscript"/>
          <w:lang w:eastAsia="lv-LV"/>
        </w:rPr>
        <w:t>2</w:t>
      </w:r>
      <w:r w:rsidRPr="00FD2515">
        <w:rPr>
          <w:rFonts w:ascii="Times New Roman" w:eastAsia="Times New Roman" w:hAnsi="Times New Roman" w:cs="Times New Roman"/>
          <w:sz w:val="28"/>
          <w:szCs w:val="28"/>
          <w:lang w:eastAsia="lv-LV"/>
        </w:rPr>
        <w:t>, q</w:t>
      </w:r>
      <w:r w:rsidRPr="00FD2515">
        <w:rPr>
          <w:rFonts w:ascii="Times New Roman" w:eastAsia="Times New Roman" w:hAnsi="Times New Roman" w:cs="Times New Roman"/>
          <w:sz w:val="28"/>
          <w:szCs w:val="28"/>
          <w:bdr w:val="none" w:sz="0" w:space="0" w:color="auto" w:frame="1"/>
          <w:vertAlign w:val="subscript"/>
          <w:lang w:eastAsia="lv-LV"/>
        </w:rPr>
        <w:t>3</w:t>
      </w:r>
      <w:proofErr w:type="gramStart"/>
      <w:r w:rsidR="00D141CE">
        <w:rPr>
          <w:rFonts w:ascii="Times New Roman" w:eastAsia="Times New Roman" w:hAnsi="Times New Roman" w:cs="Times New Roman"/>
          <w:sz w:val="28"/>
          <w:szCs w:val="28"/>
          <w:lang w:eastAsia="lv-LV"/>
        </w:rPr>
        <w:t> .</w:t>
      </w:r>
      <w:proofErr w:type="gramEnd"/>
      <w:r w:rsidRPr="00FD2515">
        <w:rPr>
          <w:rFonts w:ascii="Times New Roman" w:eastAsia="Times New Roman" w:hAnsi="Times New Roman" w:cs="Times New Roman"/>
          <w:sz w:val="28"/>
          <w:szCs w:val="28"/>
          <w:lang w:eastAsia="lv-LV"/>
        </w:rPr>
        <w:t xml:space="preserve">. </w:t>
      </w:r>
      <w:proofErr w:type="spellStart"/>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n</w:t>
      </w:r>
      <w:proofErr w:type="spellEnd"/>
      <w:r w:rsidRPr="00FD2515">
        <w:rPr>
          <w:rFonts w:ascii="Times New Roman" w:eastAsia="Times New Roman" w:hAnsi="Times New Roman" w:cs="Times New Roman"/>
          <w:sz w:val="28"/>
          <w:szCs w:val="28"/>
          <w:lang w:eastAsia="lv-LV"/>
        </w:rPr>
        <w:t xml:space="preserve">) – maksimālais daudzums tonnās attiecīgajai </w:t>
      </w:r>
      <w:r w:rsidR="00D141CE">
        <w:rPr>
          <w:rFonts w:ascii="Times New Roman" w:eastAsia="Times New Roman" w:hAnsi="Times New Roman" w:cs="Times New Roman"/>
          <w:sz w:val="28"/>
          <w:szCs w:val="28"/>
          <w:lang w:eastAsia="lv-LV"/>
        </w:rPr>
        <w:t>šā</w:t>
      </w:r>
      <w:r w:rsidRPr="00FD2515">
        <w:rPr>
          <w:rFonts w:ascii="Times New Roman" w:eastAsia="Times New Roman" w:hAnsi="Times New Roman" w:cs="Times New Roman"/>
          <w:sz w:val="28"/>
          <w:szCs w:val="28"/>
          <w:lang w:eastAsia="lv-LV"/>
        </w:rPr>
        <w:t xml:space="preserve"> pielikuma 2. tabulā norādītajai bīstamajai vielai vai bīstamo vielu grupai vai 1. tabulā norādītajai bīstamības kategorijai;</w:t>
      </w:r>
    </w:p>
    <w:p w14:paraId="1B3F605A" w14:textId="520ABB0A" w:rsidR="0054394B" w:rsidRPr="00FD2515" w:rsidRDefault="0054394B" w:rsidP="00E22FC5">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roofErr w:type="spellStart"/>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i</w:t>
      </w:r>
      <w:proofErr w:type="spellEnd"/>
      <w:r w:rsidRPr="00FD2515">
        <w:rPr>
          <w:rFonts w:ascii="Times New Roman" w:eastAsia="Times New Roman" w:hAnsi="Times New Roman" w:cs="Times New Roman"/>
          <w:sz w:val="28"/>
          <w:szCs w:val="28"/>
          <w:lang w:eastAsia="lv-LV"/>
        </w:rPr>
        <w:t> (Q</w:t>
      </w:r>
      <w:r w:rsidRPr="00FD2515">
        <w:rPr>
          <w:rFonts w:ascii="Times New Roman" w:eastAsia="Times New Roman" w:hAnsi="Times New Roman" w:cs="Times New Roman"/>
          <w:sz w:val="28"/>
          <w:szCs w:val="28"/>
          <w:bdr w:val="none" w:sz="0" w:space="0" w:color="auto" w:frame="1"/>
          <w:vertAlign w:val="subscript"/>
          <w:lang w:eastAsia="lv-LV"/>
        </w:rPr>
        <w:t>1</w:t>
      </w:r>
      <w:r w:rsidRPr="00FD2515">
        <w:rPr>
          <w:rFonts w:ascii="Times New Roman" w:eastAsia="Times New Roman" w:hAnsi="Times New Roman" w:cs="Times New Roman"/>
          <w:sz w:val="28"/>
          <w:szCs w:val="28"/>
          <w:lang w:eastAsia="lv-LV"/>
        </w:rPr>
        <w:t>, Q</w:t>
      </w:r>
      <w:r w:rsidRPr="00FD2515">
        <w:rPr>
          <w:rFonts w:ascii="Times New Roman" w:eastAsia="Times New Roman" w:hAnsi="Times New Roman" w:cs="Times New Roman"/>
          <w:sz w:val="28"/>
          <w:szCs w:val="28"/>
          <w:bdr w:val="none" w:sz="0" w:space="0" w:color="auto" w:frame="1"/>
          <w:vertAlign w:val="subscript"/>
          <w:lang w:eastAsia="lv-LV"/>
        </w:rPr>
        <w:t>2</w:t>
      </w:r>
      <w:r w:rsidRPr="00FD2515">
        <w:rPr>
          <w:rFonts w:ascii="Times New Roman" w:eastAsia="Times New Roman" w:hAnsi="Times New Roman" w:cs="Times New Roman"/>
          <w:sz w:val="28"/>
          <w:szCs w:val="28"/>
          <w:lang w:eastAsia="lv-LV"/>
        </w:rPr>
        <w:t>, Q</w:t>
      </w:r>
      <w:r w:rsidRPr="00FD2515">
        <w:rPr>
          <w:rFonts w:ascii="Times New Roman" w:eastAsia="Times New Roman" w:hAnsi="Times New Roman" w:cs="Times New Roman"/>
          <w:sz w:val="28"/>
          <w:szCs w:val="28"/>
          <w:bdr w:val="none" w:sz="0" w:space="0" w:color="auto" w:frame="1"/>
          <w:vertAlign w:val="subscript"/>
          <w:lang w:eastAsia="lv-LV"/>
        </w:rPr>
        <w:t>3</w:t>
      </w:r>
      <w:proofErr w:type="gramStart"/>
      <w:r w:rsidR="00D141CE">
        <w:rPr>
          <w:rFonts w:ascii="Times New Roman" w:eastAsia="Times New Roman" w:hAnsi="Times New Roman" w:cs="Times New Roman"/>
          <w:sz w:val="28"/>
          <w:szCs w:val="28"/>
          <w:lang w:eastAsia="lv-LV"/>
        </w:rPr>
        <w:t> </w:t>
      </w:r>
      <w:r w:rsidRPr="00FD2515">
        <w:rPr>
          <w:rFonts w:ascii="Times New Roman" w:eastAsia="Times New Roman" w:hAnsi="Times New Roman" w:cs="Times New Roman"/>
          <w:sz w:val="28"/>
          <w:szCs w:val="28"/>
          <w:lang w:eastAsia="lv-LV"/>
        </w:rPr>
        <w:t>.</w:t>
      </w:r>
      <w:proofErr w:type="gramEnd"/>
      <w:r w:rsidRPr="00FD2515">
        <w:rPr>
          <w:rFonts w:ascii="Times New Roman" w:eastAsia="Times New Roman" w:hAnsi="Times New Roman" w:cs="Times New Roman"/>
          <w:sz w:val="28"/>
          <w:szCs w:val="28"/>
          <w:lang w:eastAsia="lv-LV"/>
        </w:rPr>
        <w:t xml:space="preserve">. </w:t>
      </w:r>
      <w:proofErr w:type="spellStart"/>
      <w:r w:rsidRPr="00FD2515">
        <w:rPr>
          <w:rFonts w:ascii="Times New Roman" w:eastAsia="Times New Roman" w:hAnsi="Times New Roman" w:cs="Times New Roman"/>
          <w:sz w:val="28"/>
          <w:szCs w:val="28"/>
          <w:lang w:eastAsia="lv-LV"/>
        </w:rPr>
        <w:t>Q</w:t>
      </w:r>
      <w:r w:rsidRPr="00FD2515">
        <w:rPr>
          <w:rFonts w:ascii="Times New Roman" w:eastAsia="Times New Roman" w:hAnsi="Times New Roman" w:cs="Times New Roman"/>
          <w:sz w:val="28"/>
          <w:szCs w:val="28"/>
          <w:bdr w:val="none" w:sz="0" w:space="0" w:color="auto" w:frame="1"/>
          <w:vertAlign w:val="subscript"/>
          <w:lang w:eastAsia="lv-LV"/>
        </w:rPr>
        <w:t>n</w:t>
      </w:r>
      <w:proofErr w:type="spellEnd"/>
      <w:r w:rsidRPr="00FD2515">
        <w:rPr>
          <w:rFonts w:ascii="Times New Roman" w:eastAsia="Times New Roman" w:hAnsi="Times New Roman" w:cs="Times New Roman"/>
          <w:sz w:val="28"/>
          <w:szCs w:val="28"/>
          <w:lang w:eastAsia="lv-LV"/>
        </w:rPr>
        <w:t xml:space="preserve">) – attiecīgais </w:t>
      </w:r>
      <w:r w:rsidR="00D141CE">
        <w:rPr>
          <w:rFonts w:ascii="Times New Roman" w:eastAsia="Times New Roman" w:hAnsi="Times New Roman" w:cs="Times New Roman"/>
          <w:sz w:val="28"/>
          <w:szCs w:val="28"/>
          <w:lang w:eastAsia="lv-LV"/>
        </w:rPr>
        <w:t xml:space="preserve">šā </w:t>
      </w:r>
      <w:r w:rsidR="00F9741A" w:rsidRPr="00FD2515">
        <w:rPr>
          <w:rFonts w:ascii="Times New Roman" w:eastAsia="Times New Roman" w:hAnsi="Times New Roman" w:cs="Times New Roman"/>
          <w:sz w:val="28"/>
          <w:szCs w:val="28"/>
          <w:lang w:eastAsia="lv-LV"/>
        </w:rPr>
        <w:t>pielikum</w:t>
      </w:r>
      <w:r w:rsidR="00D141CE">
        <w:rPr>
          <w:rFonts w:ascii="Times New Roman" w:eastAsia="Times New Roman" w:hAnsi="Times New Roman" w:cs="Times New Roman"/>
          <w:sz w:val="28"/>
          <w:szCs w:val="28"/>
          <w:lang w:eastAsia="lv-LV"/>
        </w:rPr>
        <w:t>a</w:t>
      </w:r>
      <w:r w:rsidRPr="00FD2515">
        <w:rPr>
          <w:rFonts w:ascii="Times New Roman" w:eastAsia="Times New Roman" w:hAnsi="Times New Roman" w:cs="Times New Roman"/>
          <w:sz w:val="28"/>
          <w:szCs w:val="28"/>
          <w:lang w:eastAsia="lv-LV"/>
        </w:rPr>
        <w:t xml:space="preserve"> 1. vai 2. tabulā norādītais kvalificējošais daudzums tonnās bīstamajai vielai, bīstamo vielu grupai vai bīstamības kategorijai;</w:t>
      </w:r>
    </w:p>
    <w:p w14:paraId="69601D5B" w14:textId="77777777" w:rsidR="0054394B" w:rsidRPr="00FD2515" w:rsidRDefault="0054394B" w:rsidP="00E22FC5">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n – attiecīgā bīstamo vielu daudzuma kritērija aprēķinā iekļauto bīstamo vielu, bīstamo vielu grupu vai bīstamo vielu kategoriju skaits.</w:t>
      </w:r>
    </w:p>
    <w:p w14:paraId="275322E6" w14:textId="77777777" w:rsidR="00E22FC5" w:rsidRPr="00FD2515" w:rsidRDefault="00E22FC5" w:rsidP="00E22FC5">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
    <w:p w14:paraId="3B6E882E" w14:textId="77777777" w:rsidR="0054394B" w:rsidRPr="00FD2515" w:rsidRDefault="00F9741A" w:rsidP="007B5F6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8</w:t>
      </w:r>
      <w:r w:rsidR="0054394B" w:rsidRPr="00FD2515">
        <w:rPr>
          <w:rFonts w:ascii="Times New Roman" w:eastAsia="Times New Roman" w:hAnsi="Times New Roman" w:cs="Times New Roman"/>
          <w:sz w:val="28"/>
          <w:szCs w:val="28"/>
          <w:lang w:eastAsia="lv-LV"/>
        </w:rPr>
        <w:t>. </w:t>
      </w:r>
      <w:r w:rsidR="005130D9"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Ja bīstamo vielu daudzuma kritērijs, kas aprēķināts, lietojot kvalificējošos daudzumus, ir lielāks par vienu vai vienāds ar to, objekts ir pieskaitāms pie C kategorijas paaugstinātas bīstamības objektiem.</w:t>
      </w:r>
    </w:p>
    <w:p w14:paraId="1A6B1026" w14:textId="77777777" w:rsidR="007B5F6D" w:rsidRPr="00FD2515" w:rsidRDefault="007B5F6D" w:rsidP="007B5F6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p>
    <w:p w14:paraId="18574791" w14:textId="77777777" w:rsidR="0054394B" w:rsidRPr="00FD2515" w:rsidRDefault="00F9741A" w:rsidP="007B5F6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9</w:t>
      </w:r>
      <w:r w:rsidR="0054394B" w:rsidRPr="00FD2515">
        <w:rPr>
          <w:rFonts w:ascii="Times New Roman" w:eastAsia="Times New Roman" w:hAnsi="Times New Roman" w:cs="Times New Roman"/>
          <w:sz w:val="28"/>
          <w:szCs w:val="28"/>
          <w:lang w:eastAsia="lv-LV"/>
        </w:rPr>
        <w:t>. </w:t>
      </w:r>
      <w:r w:rsidR="005130D9"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Bīstamo vielu daudzuma kritēriju izmanto, novērtējot vispārējo apdraudējumu, kas saistīts ar bīstamību veselībai, fizikālo bīstamību un bīstamību videi. Bīstamo vielu daudzuma kritēriju nosaka trīs reizes – atsevišķi novērtējot bīstamību veselībai, fizikālo bīstamību un bīstamību videi.</w:t>
      </w:r>
    </w:p>
    <w:p w14:paraId="67613D45" w14:textId="77777777" w:rsidR="007B5F6D" w:rsidRPr="00FD2515" w:rsidRDefault="007B5F6D"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
    <w:p w14:paraId="187877BB" w14:textId="77777777" w:rsidR="0054394B" w:rsidRPr="00FD2515" w:rsidRDefault="00F9741A"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10</w:t>
      </w:r>
      <w:r w:rsidR="0054394B" w:rsidRPr="00FD2515">
        <w:rPr>
          <w:rFonts w:ascii="Times New Roman" w:eastAsia="Times New Roman" w:hAnsi="Times New Roman" w:cs="Times New Roman"/>
          <w:sz w:val="28"/>
          <w:szCs w:val="28"/>
          <w:lang w:eastAsia="lv-LV"/>
        </w:rPr>
        <w:t>. </w:t>
      </w:r>
      <w:r w:rsidR="005130D9"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Bīstamo vielu daudzuma kritēriju aprēķina kopā šādām bīstamām vielām, kuras ir vai var būt objektā vai visās objekta iekārtās, kas atrodas vienā teritorijā:</w:t>
      </w:r>
    </w:p>
    <w:p w14:paraId="6095F77B" w14:textId="0E36F696" w:rsidR="0054394B" w:rsidRPr="00FD2515" w:rsidRDefault="00F9741A" w:rsidP="007B5F6D">
      <w:pPr>
        <w:shd w:val="clear" w:color="auto" w:fill="FFFFFF"/>
        <w:tabs>
          <w:tab w:val="left" w:pos="1418"/>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10</w:t>
      </w:r>
      <w:r w:rsidR="0054394B" w:rsidRPr="00FD2515">
        <w:rPr>
          <w:rFonts w:ascii="Times New Roman" w:eastAsia="Times New Roman" w:hAnsi="Times New Roman" w:cs="Times New Roman"/>
          <w:sz w:val="28"/>
          <w:szCs w:val="28"/>
          <w:lang w:eastAsia="lv-LV"/>
        </w:rPr>
        <w:t>.1. </w:t>
      </w:r>
      <w:r w:rsidR="005130D9" w:rsidRPr="00FD2515">
        <w:rPr>
          <w:rFonts w:ascii="Times New Roman" w:eastAsia="Times New Roman" w:hAnsi="Times New Roman" w:cs="Times New Roman"/>
          <w:sz w:val="28"/>
          <w:szCs w:val="28"/>
          <w:lang w:eastAsia="lv-LV"/>
        </w:rPr>
        <w:tab/>
      </w:r>
      <w:r w:rsidR="002243E1" w:rsidRPr="00FD2515">
        <w:rPr>
          <w:rFonts w:ascii="Times New Roman" w:eastAsia="Times New Roman" w:hAnsi="Times New Roman" w:cs="Times New Roman"/>
          <w:sz w:val="28"/>
          <w:szCs w:val="28"/>
          <w:lang w:eastAsia="lv-LV"/>
        </w:rPr>
        <w:t xml:space="preserve">šā </w:t>
      </w:r>
      <w:r w:rsidR="0054394B" w:rsidRPr="00FD2515">
        <w:rPr>
          <w:rFonts w:ascii="Times New Roman" w:eastAsia="Times New Roman" w:hAnsi="Times New Roman" w:cs="Times New Roman"/>
          <w:sz w:val="28"/>
          <w:szCs w:val="28"/>
          <w:lang w:eastAsia="lv-LV"/>
        </w:rPr>
        <w:t xml:space="preserve">pielikuma </w:t>
      </w:r>
      <w:r w:rsidR="00E0707B" w:rsidRPr="00FD2515">
        <w:rPr>
          <w:rFonts w:ascii="Times New Roman" w:eastAsia="Times New Roman" w:hAnsi="Times New Roman" w:cs="Times New Roman"/>
          <w:sz w:val="28"/>
          <w:szCs w:val="28"/>
          <w:lang w:eastAsia="lv-LV"/>
        </w:rPr>
        <w:t>1</w:t>
      </w:r>
      <w:r w:rsidR="0054394B" w:rsidRPr="00FD2515">
        <w:rPr>
          <w:rFonts w:ascii="Times New Roman" w:eastAsia="Times New Roman" w:hAnsi="Times New Roman" w:cs="Times New Roman"/>
          <w:sz w:val="28"/>
          <w:szCs w:val="28"/>
          <w:lang w:eastAsia="lv-LV"/>
        </w:rPr>
        <w:t>. tabulā norādītajām vielām un maisījumiem, kas saskaņā ar klasifikāciju ir 1., 2. un 3. kategorijas (ieelpojot) akūtas toksicitātes vai toksiska ietekme uz konkrētiem mērķorgāniem (turpmāk – STOT) 1. kategorijas STOT SE, kā arī bīstamām vielām, kas atbilst 1. tabulas H iedaļai (H1 līdz H3</w:t>
      </w:r>
      <w:r w:rsidR="00E67FA1" w:rsidRPr="00E67FA1">
        <w:rPr>
          <w:rFonts w:ascii="Times New Roman" w:eastAsia="Times New Roman" w:hAnsi="Times New Roman" w:cs="Times New Roman"/>
          <w:sz w:val="28"/>
          <w:szCs w:val="28"/>
          <w:lang w:eastAsia="lv-LV"/>
        </w:rPr>
        <w:t xml:space="preserve"> </w:t>
      </w:r>
      <w:r w:rsidR="00E67FA1" w:rsidRPr="00FD2515">
        <w:rPr>
          <w:rFonts w:ascii="Times New Roman" w:eastAsia="Times New Roman" w:hAnsi="Times New Roman" w:cs="Times New Roman"/>
          <w:sz w:val="28"/>
          <w:szCs w:val="28"/>
          <w:lang w:eastAsia="lv-LV"/>
        </w:rPr>
        <w:t>ierakst</w:t>
      </w:r>
      <w:r w:rsidR="00E67FA1">
        <w:rPr>
          <w:rFonts w:ascii="Times New Roman" w:eastAsia="Times New Roman" w:hAnsi="Times New Roman" w:cs="Times New Roman"/>
          <w:sz w:val="28"/>
          <w:szCs w:val="28"/>
          <w:lang w:eastAsia="lv-LV"/>
        </w:rPr>
        <w:t>s</w:t>
      </w:r>
      <w:r w:rsidR="0054394B" w:rsidRPr="00FD2515">
        <w:rPr>
          <w:rFonts w:ascii="Times New Roman" w:eastAsia="Times New Roman" w:hAnsi="Times New Roman" w:cs="Times New Roman"/>
          <w:sz w:val="28"/>
          <w:szCs w:val="28"/>
          <w:lang w:eastAsia="lv-LV"/>
        </w:rPr>
        <w:t>);</w:t>
      </w:r>
    </w:p>
    <w:p w14:paraId="74440C83" w14:textId="0D891F05" w:rsidR="0054394B" w:rsidRPr="00FD2515" w:rsidRDefault="00F9741A" w:rsidP="007B5F6D">
      <w:pPr>
        <w:shd w:val="clear" w:color="auto" w:fill="FFFFFF"/>
        <w:tabs>
          <w:tab w:val="left" w:pos="1418"/>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10</w:t>
      </w:r>
      <w:r w:rsidR="005130D9" w:rsidRPr="00FD2515">
        <w:rPr>
          <w:rFonts w:ascii="Times New Roman" w:eastAsia="Times New Roman" w:hAnsi="Times New Roman" w:cs="Times New Roman"/>
          <w:sz w:val="28"/>
          <w:szCs w:val="28"/>
          <w:lang w:eastAsia="lv-LV"/>
        </w:rPr>
        <w:t>.2.</w:t>
      </w:r>
      <w:r w:rsidR="005130D9" w:rsidRPr="00FD2515">
        <w:rPr>
          <w:rFonts w:ascii="Times New Roman" w:eastAsia="Times New Roman" w:hAnsi="Times New Roman" w:cs="Times New Roman"/>
          <w:sz w:val="28"/>
          <w:szCs w:val="28"/>
          <w:lang w:eastAsia="lv-LV"/>
        </w:rPr>
        <w:tab/>
      </w:r>
      <w:r w:rsidR="002243E1" w:rsidRPr="00FD2515">
        <w:rPr>
          <w:rFonts w:ascii="Times New Roman" w:eastAsia="Times New Roman" w:hAnsi="Times New Roman" w:cs="Times New Roman"/>
          <w:sz w:val="28"/>
          <w:szCs w:val="28"/>
          <w:lang w:eastAsia="lv-LV"/>
        </w:rPr>
        <w:t xml:space="preserve">šā </w:t>
      </w:r>
      <w:r w:rsidR="00E0707B" w:rsidRPr="00FD2515">
        <w:rPr>
          <w:rFonts w:ascii="Times New Roman" w:eastAsia="Times New Roman" w:hAnsi="Times New Roman" w:cs="Times New Roman"/>
          <w:sz w:val="28"/>
          <w:szCs w:val="28"/>
          <w:lang w:eastAsia="lv-LV"/>
        </w:rPr>
        <w:t>pielikuma 1</w:t>
      </w:r>
      <w:r w:rsidR="0054394B" w:rsidRPr="00FD2515">
        <w:rPr>
          <w:rFonts w:ascii="Times New Roman" w:eastAsia="Times New Roman" w:hAnsi="Times New Roman" w:cs="Times New Roman"/>
          <w:sz w:val="28"/>
          <w:szCs w:val="28"/>
          <w:lang w:eastAsia="lv-LV"/>
        </w:rPr>
        <w:t xml:space="preserve">. tabulā norādītajām vielām un maisījumiem, kas saskaņā ar klasifikāciju ir sprāgstvielas, uzliesmojošas gāzes, uzliesmojoši aerosoli, oksidējošas gāzes, uzliesmojoši šķidrumi, </w:t>
      </w:r>
      <w:proofErr w:type="spellStart"/>
      <w:r w:rsidR="0054394B" w:rsidRPr="00FD2515">
        <w:rPr>
          <w:rFonts w:ascii="Times New Roman" w:eastAsia="Times New Roman" w:hAnsi="Times New Roman" w:cs="Times New Roman"/>
          <w:sz w:val="28"/>
          <w:szCs w:val="28"/>
          <w:lang w:eastAsia="lv-LV"/>
        </w:rPr>
        <w:t>pašreaģējošās</w:t>
      </w:r>
      <w:proofErr w:type="spellEnd"/>
      <w:r w:rsidR="0054394B" w:rsidRPr="00FD2515">
        <w:rPr>
          <w:rFonts w:ascii="Times New Roman" w:eastAsia="Times New Roman" w:hAnsi="Times New Roman" w:cs="Times New Roman"/>
          <w:sz w:val="28"/>
          <w:szCs w:val="28"/>
          <w:lang w:eastAsia="lv-LV"/>
        </w:rPr>
        <w:t xml:space="preserve"> vielas un maisījumi, organiskie peroksīdi, </w:t>
      </w:r>
      <w:proofErr w:type="spellStart"/>
      <w:r w:rsidR="0054394B" w:rsidRPr="00FD2515">
        <w:rPr>
          <w:rFonts w:ascii="Times New Roman" w:eastAsia="Times New Roman" w:hAnsi="Times New Roman" w:cs="Times New Roman"/>
          <w:sz w:val="28"/>
          <w:szCs w:val="28"/>
          <w:lang w:eastAsia="lv-LV"/>
        </w:rPr>
        <w:t>pirofori</w:t>
      </w:r>
      <w:proofErr w:type="spellEnd"/>
      <w:r w:rsidR="0054394B" w:rsidRPr="00FD2515">
        <w:rPr>
          <w:rFonts w:ascii="Times New Roman" w:eastAsia="Times New Roman" w:hAnsi="Times New Roman" w:cs="Times New Roman"/>
          <w:sz w:val="28"/>
          <w:szCs w:val="28"/>
          <w:lang w:eastAsia="lv-LV"/>
        </w:rPr>
        <w:t xml:space="preserve"> šķidrumi un cietvielas, oksidējoši šķidrumi un cietvielas, kā arī vielām, kas atbilst šā pielikuma 1. tabulas P iedaļai (P1 līdz P8 ieraksts);</w:t>
      </w:r>
    </w:p>
    <w:p w14:paraId="71A0EDD4" w14:textId="4830C040" w:rsidR="0054394B" w:rsidRPr="00FD2515" w:rsidRDefault="00F9741A"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10</w:t>
      </w:r>
      <w:r w:rsidR="00E0707B" w:rsidRPr="00FD2515">
        <w:rPr>
          <w:rFonts w:ascii="Times New Roman" w:eastAsia="Times New Roman" w:hAnsi="Times New Roman" w:cs="Times New Roman"/>
          <w:sz w:val="28"/>
          <w:szCs w:val="28"/>
          <w:lang w:eastAsia="lv-LV"/>
        </w:rPr>
        <w:t>.3. </w:t>
      </w:r>
      <w:r w:rsidR="002243E1" w:rsidRPr="00FD2515">
        <w:rPr>
          <w:rFonts w:ascii="Times New Roman" w:eastAsia="Times New Roman" w:hAnsi="Times New Roman" w:cs="Times New Roman"/>
          <w:sz w:val="28"/>
          <w:szCs w:val="28"/>
          <w:lang w:eastAsia="lv-LV"/>
        </w:rPr>
        <w:t>šā</w:t>
      </w:r>
      <w:r w:rsidR="00E0707B" w:rsidRPr="00FD2515">
        <w:rPr>
          <w:rFonts w:ascii="Times New Roman" w:eastAsia="Times New Roman" w:hAnsi="Times New Roman" w:cs="Times New Roman"/>
          <w:sz w:val="28"/>
          <w:szCs w:val="28"/>
          <w:lang w:eastAsia="lv-LV"/>
        </w:rPr>
        <w:t xml:space="preserve"> pielikuma 1</w:t>
      </w:r>
      <w:r w:rsidR="0054394B" w:rsidRPr="00FD2515">
        <w:rPr>
          <w:rFonts w:ascii="Times New Roman" w:eastAsia="Times New Roman" w:hAnsi="Times New Roman" w:cs="Times New Roman"/>
          <w:sz w:val="28"/>
          <w:szCs w:val="28"/>
          <w:lang w:eastAsia="lv-LV"/>
        </w:rPr>
        <w:t>. tabulā norādītajām vielām un maisījumiem, kas saskaņā ar klasifikāciju ir 1. kategorijas akūtas toksicitātes vai 1. vai 2. kategorijas hroniskas toksicitātes bīstamība ūdens videi, kā arī vielām, kas atbilst šā pielikuma 2.</w:t>
      </w:r>
      <w:r w:rsidR="00B91E50">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tabulas E</w:t>
      </w:r>
      <w:r w:rsidR="00B91E50">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iedaļai (E1 un E2 ieraksts).</w:t>
      </w:r>
    </w:p>
    <w:p w14:paraId="45D0E21D" w14:textId="77777777" w:rsidR="007B5F6D" w:rsidRPr="00FD2515" w:rsidRDefault="007B5F6D"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
    <w:p w14:paraId="797F555D" w14:textId="31188725" w:rsidR="0054394B" w:rsidRPr="00FD2515" w:rsidRDefault="00F9741A"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11</w:t>
      </w:r>
      <w:r w:rsidR="0054394B" w:rsidRPr="00FD2515">
        <w:rPr>
          <w:rFonts w:ascii="Times New Roman" w:eastAsia="Times New Roman" w:hAnsi="Times New Roman" w:cs="Times New Roman"/>
          <w:sz w:val="28"/>
          <w:szCs w:val="28"/>
          <w:lang w:eastAsia="lv-LV"/>
        </w:rPr>
        <w:t>. Bīstamās vielas, uz</w:t>
      </w:r>
      <w:r w:rsidR="00E0707B" w:rsidRPr="00FD2515">
        <w:rPr>
          <w:rFonts w:ascii="Times New Roman" w:eastAsia="Times New Roman" w:hAnsi="Times New Roman" w:cs="Times New Roman"/>
          <w:sz w:val="28"/>
          <w:szCs w:val="28"/>
          <w:lang w:eastAsia="lv-LV"/>
        </w:rPr>
        <w:t xml:space="preserve"> kurām neattiecas regula Nr. </w:t>
      </w:r>
      <w:hyperlink r:id="rId13" w:tgtFrame="_blank" w:history="1">
        <w:r w:rsidR="0054394B" w:rsidRPr="00FD2515">
          <w:rPr>
            <w:rFonts w:ascii="Times New Roman" w:eastAsia="Times New Roman" w:hAnsi="Times New Roman" w:cs="Times New Roman"/>
            <w:sz w:val="28"/>
            <w:szCs w:val="28"/>
            <w:lang w:eastAsia="lv-LV"/>
          </w:rPr>
          <w:t>1272/2008</w:t>
        </w:r>
      </w:hyperlink>
      <w:r w:rsidR="0054394B" w:rsidRPr="00FD2515">
        <w:rPr>
          <w:rFonts w:ascii="Times New Roman" w:eastAsia="Times New Roman" w:hAnsi="Times New Roman" w:cs="Times New Roman"/>
          <w:sz w:val="28"/>
          <w:szCs w:val="28"/>
          <w:lang w:eastAsia="lv-LV"/>
        </w:rPr>
        <w:t>, tai skaitā atkritumi, bet kas tomēr atrodas vai varētu atrasties objektā un kurām ir ekvivalentas vai līdzīgas bīstamās īpašības, kas varētu izraisīt rūpniecisko avāriju, tiek iedalītas analogā kategorijā vai pielīdzinātas konkrētai bīstamai vielai vai bīstamo vielu grupai, kas iekļauta šā pielikuma 1. tabulā.</w:t>
      </w:r>
    </w:p>
    <w:p w14:paraId="24FAC108" w14:textId="77777777" w:rsidR="007B5F6D" w:rsidRPr="00FD2515" w:rsidRDefault="007B5F6D"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
    <w:p w14:paraId="42CC0747" w14:textId="2C528C76" w:rsidR="0054394B" w:rsidRPr="00FD2515" w:rsidRDefault="00F9741A"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lastRenderedPageBreak/>
        <w:t>12</w:t>
      </w:r>
      <w:r w:rsidR="0054394B" w:rsidRPr="00FD2515">
        <w:rPr>
          <w:rFonts w:ascii="Times New Roman" w:eastAsia="Times New Roman" w:hAnsi="Times New Roman" w:cs="Times New Roman"/>
          <w:sz w:val="28"/>
          <w:szCs w:val="28"/>
          <w:lang w:eastAsia="lv-LV"/>
        </w:rPr>
        <w:t xml:space="preserve">. Ja bīstamā viela, klasificējot pēc tās īpašībām, atbilst vairākām bīstamības kategorijām vai bīstamo vielu grupām, </w:t>
      </w:r>
      <w:r w:rsidR="00382D45">
        <w:rPr>
          <w:rFonts w:ascii="Times New Roman" w:eastAsia="Times New Roman" w:hAnsi="Times New Roman" w:cs="Times New Roman"/>
          <w:sz w:val="28"/>
          <w:szCs w:val="28"/>
          <w:lang w:eastAsia="lv-LV"/>
        </w:rPr>
        <w:t>n</w:t>
      </w:r>
      <w:r w:rsidR="0054394B" w:rsidRPr="00FD2515">
        <w:rPr>
          <w:rFonts w:ascii="Times New Roman" w:eastAsia="Times New Roman" w:hAnsi="Times New Roman" w:cs="Times New Roman"/>
          <w:sz w:val="28"/>
          <w:szCs w:val="28"/>
          <w:lang w:eastAsia="lv-LV"/>
        </w:rPr>
        <w:t>osakot bīstamās vielas kvalificējošo daudzumu, izvēlas to kategoriju vai grupu, kurai kvalificējošie daudzumi ir skaitliski mazāki.</w:t>
      </w:r>
    </w:p>
    <w:p w14:paraId="2840118D" w14:textId="77777777" w:rsidR="007B5F6D" w:rsidRPr="00FD2515" w:rsidRDefault="007B5F6D"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
    <w:p w14:paraId="3CEE1122" w14:textId="75E35F9C" w:rsidR="0054394B" w:rsidRPr="00FD2515" w:rsidRDefault="00F9741A"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54394B" w:rsidRPr="00FD2515">
        <w:rPr>
          <w:rFonts w:ascii="Times New Roman" w:eastAsia="Times New Roman" w:hAnsi="Times New Roman" w:cs="Times New Roman"/>
          <w:sz w:val="28"/>
          <w:szCs w:val="28"/>
          <w:lang w:eastAsia="lv-LV"/>
        </w:rPr>
        <w:t xml:space="preserve">. Lai noteiktu </w:t>
      </w:r>
      <w:proofErr w:type="spellStart"/>
      <w:r w:rsidR="0054394B" w:rsidRPr="00FD2515">
        <w:rPr>
          <w:rFonts w:ascii="Times New Roman" w:eastAsia="Times New Roman" w:hAnsi="Times New Roman" w:cs="Times New Roman"/>
          <w:sz w:val="28"/>
          <w:szCs w:val="28"/>
          <w:lang w:eastAsia="lv-LV"/>
        </w:rPr>
        <w:t>polihlordibenzofurānu</w:t>
      </w:r>
      <w:proofErr w:type="spellEnd"/>
      <w:r w:rsidR="0054394B" w:rsidRPr="00FD2515">
        <w:rPr>
          <w:rFonts w:ascii="Times New Roman" w:eastAsia="Times New Roman" w:hAnsi="Times New Roman" w:cs="Times New Roman"/>
          <w:sz w:val="28"/>
          <w:szCs w:val="28"/>
          <w:lang w:eastAsia="lv-LV"/>
        </w:rPr>
        <w:t xml:space="preserve"> un </w:t>
      </w:r>
      <w:proofErr w:type="spellStart"/>
      <w:r w:rsidR="0054394B" w:rsidRPr="00FD2515">
        <w:rPr>
          <w:rFonts w:ascii="Times New Roman" w:eastAsia="Times New Roman" w:hAnsi="Times New Roman" w:cs="Times New Roman"/>
          <w:sz w:val="28"/>
          <w:szCs w:val="28"/>
          <w:lang w:eastAsia="lv-LV"/>
        </w:rPr>
        <w:t>polihlordibenzodioksīnu</w:t>
      </w:r>
      <w:proofErr w:type="spellEnd"/>
      <w:r w:rsidR="0054394B" w:rsidRPr="00FD2515">
        <w:rPr>
          <w:rFonts w:ascii="Times New Roman" w:eastAsia="Times New Roman" w:hAnsi="Times New Roman" w:cs="Times New Roman"/>
          <w:sz w:val="28"/>
          <w:szCs w:val="28"/>
          <w:lang w:eastAsia="lv-LV"/>
        </w:rPr>
        <w:t xml:space="preserve"> maksimālos daudzumus, katrai </w:t>
      </w:r>
      <w:proofErr w:type="spellStart"/>
      <w:r w:rsidR="0054394B" w:rsidRPr="00FD2515">
        <w:rPr>
          <w:rFonts w:ascii="Times New Roman" w:eastAsia="Times New Roman" w:hAnsi="Times New Roman" w:cs="Times New Roman"/>
          <w:sz w:val="28"/>
          <w:szCs w:val="28"/>
          <w:lang w:eastAsia="lv-LV"/>
        </w:rPr>
        <w:t>polihlordibenzodioksīnu</w:t>
      </w:r>
      <w:proofErr w:type="spellEnd"/>
      <w:r w:rsidR="0054394B" w:rsidRPr="00FD2515">
        <w:rPr>
          <w:rFonts w:ascii="Times New Roman" w:eastAsia="Times New Roman" w:hAnsi="Times New Roman" w:cs="Times New Roman"/>
          <w:sz w:val="28"/>
          <w:szCs w:val="28"/>
          <w:lang w:eastAsia="lv-LV"/>
        </w:rPr>
        <w:t xml:space="preserve"> vai </w:t>
      </w:r>
      <w:proofErr w:type="spellStart"/>
      <w:r w:rsidR="0054394B" w:rsidRPr="00FD2515">
        <w:rPr>
          <w:rFonts w:ascii="Times New Roman" w:eastAsia="Times New Roman" w:hAnsi="Times New Roman" w:cs="Times New Roman"/>
          <w:sz w:val="28"/>
          <w:szCs w:val="28"/>
          <w:lang w:eastAsia="lv-LV"/>
        </w:rPr>
        <w:t>polihlordibenzo</w:t>
      </w:r>
      <w:r w:rsidR="00382D45">
        <w:rPr>
          <w:rFonts w:ascii="Times New Roman" w:eastAsia="Times New Roman" w:hAnsi="Times New Roman" w:cs="Times New Roman"/>
          <w:sz w:val="28"/>
          <w:szCs w:val="28"/>
          <w:lang w:eastAsia="lv-LV"/>
        </w:rPr>
        <w:softHyphen/>
      </w:r>
      <w:r w:rsidR="0054394B" w:rsidRPr="00FD2515">
        <w:rPr>
          <w:rFonts w:ascii="Times New Roman" w:eastAsia="Times New Roman" w:hAnsi="Times New Roman" w:cs="Times New Roman"/>
          <w:sz w:val="28"/>
          <w:szCs w:val="28"/>
          <w:lang w:eastAsia="lv-LV"/>
        </w:rPr>
        <w:t>furānu</w:t>
      </w:r>
      <w:proofErr w:type="spellEnd"/>
      <w:r w:rsidR="0054394B" w:rsidRPr="00FD2515">
        <w:rPr>
          <w:rFonts w:ascii="Times New Roman" w:eastAsia="Times New Roman" w:hAnsi="Times New Roman" w:cs="Times New Roman"/>
          <w:sz w:val="28"/>
          <w:szCs w:val="28"/>
          <w:lang w:eastAsia="lv-LV"/>
        </w:rPr>
        <w:t xml:space="preserve"> grupai lieto šādus starptautiskos toksiskā ekvivalenta koeficientus:</w:t>
      </w:r>
    </w:p>
    <w:p w14:paraId="14142710" w14:textId="77777777" w:rsidR="0054394B" w:rsidRPr="00FD2515" w:rsidRDefault="00F9741A" w:rsidP="00382D45">
      <w:pPr>
        <w:shd w:val="clear" w:color="auto" w:fill="FFFFFF"/>
        <w:tabs>
          <w:tab w:val="left" w:pos="1418"/>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2,3,7,8-THDD (2,3,7,8-tetrahlordibenzodioksīniem) – 1;</w:t>
      </w:r>
    </w:p>
    <w:p w14:paraId="642B3EE4" w14:textId="77777777" w:rsidR="0054394B" w:rsidRPr="00FD2515" w:rsidRDefault="00F9741A" w:rsidP="00382D45">
      <w:pPr>
        <w:shd w:val="clear" w:color="auto" w:fill="FFFFFF"/>
        <w:tabs>
          <w:tab w:val="left" w:pos="1418"/>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.2.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1,2,3,7,8-PeCDD (1,2,3,7,8-pentahlordibenzodioksīniem) – 1;</w:t>
      </w:r>
    </w:p>
    <w:p w14:paraId="6A18A5DD" w14:textId="77777777" w:rsidR="0054394B" w:rsidRPr="00FD2515" w:rsidRDefault="00F9741A" w:rsidP="00382D45">
      <w:pPr>
        <w:shd w:val="clear" w:color="auto" w:fill="FFFFFF"/>
        <w:tabs>
          <w:tab w:val="left" w:pos="1418"/>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.3.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1,2,3,4,7,8-HxHDD (1,2,3,4,7,8-heksahlordibenzodioksīniem) – 0,1;</w:t>
      </w:r>
    </w:p>
    <w:p w14:paraId="4EA004D9" w14:textId="5AA29228" w:rsidR="0054394B" w:rsidRPr="00FD2515" w:rsidRDefault="00F9741A" w:rsidP="00382D45">
      <w:pPr>
        <w:shd w:val="clear" w:color="auto" w:fill="FFFFFF"/>
        <w:tabs>
          <w:tab w:val="left" w:pos="1418"/>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.4.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1,2,3,6,7,8-HxHDD (1,2,3,6,7,8-heksahlordibenzodioksīniem)</w:t>
      </w:r>
      <w:r w:rsidR="00382D45">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 0,1;</w:t>
      </w:r>
    </w:p>
    <w:p w14:paraId="6BE6D272" w14:textId="280F1F93" w:rsidR="0054394B" w:rsidRPr="00FD2515" w:rsidRDefault="00F9741A" w:rsidP="00382D45">
      <w:pPr>
        <w:shd w:val="clear" w:color="auto" w:fill="FFFFFF"/>
        <w:tabs>
          <w:tab w:val="left" w:pos="1418"/>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.5.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1,2,3,7,8,9-HxHDD (1,2,3,7,8,9-heksahlordibenzodioksīniem)</w:t>
      </w:r>
      <w:r w:rsidR="00382D45">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 0,1;</w:t>
      </w:r>
    </w:p>
    <w:p w14:paraId="1124428C" w14:textId="5F71F828" w:rsidR="0054394B" w:rsidRPr="00FD2515" w:rsidRDefault="00F9741A" w:rsidP="00382D45">
      <w:pPr>
        <w:shd w:val="clear" w:color="auto" w:fill="FFFFFF"/>
        <w:tabs>
          <w:tab w:val="left" w:pos="1418"/>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.6.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1,2,3,4,6,7,8-HpHDD (1,2,3,4,6,7,8-heptahlordibenzodioksīniem)</w:t>
      </w:r>
      <w:r w:rsidR="00382D45">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 0,01;</w:t>
      </w:r>
    </w:p>
    <w:p w14:paraId="3719B453"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.7.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OHDD (</w:t>
      </w:r>
      <w:proofErr w:type="spellStart"/>
      <w:r w:rsidR="0054394B" w:rsidRPr="00FD2515">
        <w:rPr>
          <w:rFonts w:ascii="Times New Roman" w:eastAsia="Times New Roman" w:hAnsi="Times New Roman" w:cs="Times New Roman"/>
          <w:sz w:val="28"/>
          <w:szCs w:val="28"/>
          <w:lang w:eastAsia="lv-LV"/>
        </w:rPr>
        <w:t>oktahlordibenzodioksīniem</w:t>
      </w:r>
      <w:proofErr w:type="spellEnd"/>
      <w:r w:rsidR="0054394B" w:rsidRPr="00FD2515">
        <w:rPr>
          <w:rFonts w:ascii="Times New Roman" w:eastAsia="Times New Roman" w:hAnsi="Times New Roman" w:cs="Times New Roman"/>
          <w:sz w:val="28"/>
          <w:szCs w:val="28"/>
          <w:lang w:eastAsia="lv-LV"/>
        </w:rPr>
        <w:t>) – 0,0003;</w:t>
      </w:r>
    </w:p>
    <w:p w14:paraId="7027A838"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.8.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2,3,7,8-THDF (2,3,7,8-tetrahlordibenzofurāniem) – 0,1;</w:t>
      </w:r>
    </w:p>
    <w:p w14:paraId="3C6D64E7"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.9.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2,3,4,7,8-PeHDF (2,3,4,7,8-pentahlordibenzofurāniem) – 0,3;</w:t>
      </w:r>
    </w:p>
    <w:p w14:paraId="4BC4D5CC"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.10.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1,2,3,7,8-PeHDF (1,2,3,7,8-pentahlordibenzofurāniem) – 0,03;</w:t>
      </w:r>
    </w:p>
    <w:p w14:paraId="594AD1D1"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.11.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1,2,3,4,7,8-HxHDF (1,2,3,4,7,8-heksahlordibenzofurāniem) – 0,1;</w:t>
      </w:r>
    </w:p>
    <w:p w14:paraId="26602F8B"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.12.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1,2,3,7,8,9-HxHDF (1,2,3,7,8,9-heksahlordibenzofurāniem) – 0,1;</w:t>
      </w:r>
    </w:p>
    <w:p w14:paraId="530CC18F"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.13.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1,2,3,6,7,8-HxHDF (1,2,3,6,7,8-heksahlordibenzofurāniem) – 0,1;</w:t>
      </w:r>
    </w:p>
    <w:p w14:paraId="2B6A7187"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.14.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2,3,4,6,7,8-HxHDF (2,3,4,6,7,8-heksahlordibenzofurāniem) – 0,1;</w:t>
      </w:r>
    </w:p>
    <w:p w14:paraId="2D921512"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.15.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1,2,3,4,6,7,8-HpHDF (1,2,3,4,6,7,8-heptahlordibenzofurāniem) – 0,01;</w:t>
      </w:r>
    </w:p>
    <w:p w14:paraId="583F22E3"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.16. </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1,2,3,4,7,8,9-HpHDF (1,2,3,4,7,8,9-heptahlordibenzofurāniem) – 0,01;</w:t>
      </w:r>
    </w:p>
    <w:p w14:paraId="092A4605" w14:textId="77777777" w:rsidR="0054394B" w:rsidRPr="00FD2515" w:rsidRDefault="00F9741A"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13</w:t>
      </w:r>
      <w:r w:rsidR="007B5F6D" w:rsidRPr="00FD2515">
        <w:rPr>
          <w:rFonts w:ascii="Times New Roman" w:eastAsia="Times New Roman" w:hAnsi="Times New Roman" w:cs="Times New Roman"/>
          <w:sz w:val="28"/>
          <w:szCs w:val="28"/>
          <w:lang w:eastAsia="lv-LV"/>
        </w:rPr>
        <w:t>.17.</w:t>
      </w:r>
      <w:r w:rsidR="007B5F6D" w:rsidRPr="00FD2515">
        <w:rPr>
          <w:rFonts w:ascii="Times New Roman" w:eastAsia="Times New Roman" w:hAnsi="Times New Roman" w:cs="Times New Roman"/>
          <w:sz w:val="28"/>
          <w:szCs w:val="28"/>
          <w:lang w:eastAsia="lv-LV"/>
        </w:rPr>
        <w:tab/>
      </w:r>
      <w:r w:rsidR="0054394B" w:rsidRPr="00FD2515">
        <w:rPr>
          <w:rFonts w:ascii="Times New Roman" w:eastAsia="Times New Roman" w:hAnsi="Times New Roman" w:cs="Times New Roman"/>
          <w:sz w:val="28"/>
          <w:szCs w:val="28"/>
          <w:lang w:eastAsia="lv-LV"/>
        </w:rPr>
        <w:t>OHDF (</w:t>
      </w:r>
      <w:proofErr w:type="spellStart"/>
      <w:r w:rsidR="0054394B" w:rsidRPr="00FD2515">
        <w:rPr>
          <w:rFonts w:ascii="Times New Roman" w:eastAsia="Times New Roman" w:hAnsi="Times New Roman" w:cs="Times New Roman"/>
          <w:sz w:val="28"/>
          <w:szCs w:val="28"/>
          <w:lang w:eastAsia="lv-LV"/>
        </w:rPr>
        <w:t>oktahlordibenzofurāniem</w:t>
      </w:r>
      <w:proofErr w:type="spellEnd"/>
      <w:r w:rsidR="0054394B" w:rsidRPr="00FD2515">
        <w:rPr>
          <w:rFonts w:ascii="Times New Roman" w:eastAsia="Times New Roman" w:hAnsi="Times New Roman" w:cs="Times New Roman"/>
          <w:sz w:val="28"/>
          <w:szCs w:val="28"/>
          <w:lang w:eastAsia="lv-LV"/>
        </w:rPr>
        <w:t>) – 0,0003.</w:t>
      </w:r>
    </w:p>
    <w:p w14:paraId="35CCE258" w14:textId="77777777" w:rsidR="007B5F6D" w:rsidRPr="00FD2515" w:rsidRDefault="007B5F6D" w:rsidP="007B5F6D">
      <w:pPr>
        <w:shd w:val="clear" w:color="auto" w:fill="FFFFFF"/>
        <w:tabs>
          <w:tab w:val="left" w:pos="1560"/>
        </w:tabs>
        <w:spacing w:after="0" w:line="240" w:lineRule="auto"/>
        <w:ind w:firstLine="709"/>
        <w:rPr>
          <w:rFonts w:ascii="Times New Roman" w:eastAsia="Times New Roman" w:hAnsi="Times New Roman" w:cs="Times New Roman"/>
          <w:sz w:val="28"/>
          <w:szCs w:val="28"/>
          <w:lang w:eastAsia="lv-LV"/>
        </w:rPr>
      </w:pPr>
    </w:p>
    <w:p w14:paraId="10140A1C" w14:textId="743D7FF6" w:rsidR="0054394B" w:rsidRPr="00FD2515" w:rsidRDefault="00F9741A"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14</w:t>
      </w:r>
      <w:r w:rsidR="0054394B" w:rsidRPr="00FD2515">
        <w:rPr>
          <w:rFonts w:ascii="Times New Roman" w:eastAsia="Times New Roman" w:hAnsi="Times New Roman" w:cs="Times New Roman"/>
          <w:sz w:val="28"/>
          <w:szCs w:val="28"/>
          <w:lang w:eastAsia="lv-LV"/>
        </w:rPr>
        <w:t>.</w:t>
      </w:r>
      <w:r w:rsidR="00382D45">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 xml:space="preserve">Maksimālo </w:t>
      </w:r>
      <w:proofErr w:type="spellStart"/>
      <w:r w:rsidR="0054394B" w:rsidRPr="00FD2515">
        <w:rPr>
          <w:rFonts w:ascii="Times New Roman" w:eastAsia="Times New Roman" w:hAnsi="Times New Roman" w:cs="Times New Roman"/>
          <w:sz w:val="28"/>
          <w:szCs w:val="28"/>
          <w:lang w:eastAsia="lv-LV"/>
        </w:rPr>
        <w:t>polihlordibenzofurānu</w:t>
      </w:r>
      <w:proofErr w:type="spellEnd"/>
      <w:r w:rsidR="0054394B" w:rsidRPr="00FD2515">
        <w:rPr>
          <w:rFonts w:ascii="Times New Roman" w:eastAsia="Times New Roman" w:hAnsi="Times New Roman" w:cs="Times New Roman"/>
          <w:sz w:val="28"/>
          <w:szCs w:val="28"/>
          <w:lang w:eastAsia="lv-LV"/>
        </w:rPr>
        <w:t xml:space="preserve"> un </w:t>
      </w:r>
      <w:proofErr w:type="spellStart"/>
      <w:r w:rsidR="0054394B" w:rsidRPr="00FD2515">
        <w:rPr>
          <w:rFonts w:ascii="Times New Roman" w:eastAsia="Times New Roman" w:hAnsi="Times New Roman" w:cs="Times New Roman"/>
          <w:sz w:val="28"/>
          <w:szCs w:val="28"/>
          <w:lang w:eastAsia="lv-LV"/>
        </w:rPr>
        <w:t>polihlordibenzodioksīnu</w:t>
      </w:r>
      <w:proofErr w:type="spellEnd"/>
      <w:r w:rsidR="0054394B" w:rsidRPr="00FD2515">
        <w:rPr>
          <w:rFonts w:ascii="Times New Roman" w:eastAsia="Times New Roman" w:hAnsi="Times New Roman" w:cs="Times New Roman"/>
          <w:sz w:val="28"/>
          <w:szCs w:val="28"/>
          <w:lang w:eastAsia="lv-LV"/>
        </w:rPr>
        <w:t xml:space="preserve"> daudzumu objektā iegūst, </w:t>
      </w:r>
      <w:proofErr w:type="spellStart"/>
      <w:r w:rsidR="0054394B" w:rsidRPr="00FD2515">
        <w:rPr>
          <w:rFonts w:ascii="Times New Roman" w:eastAsia="Times New Roman" w:hAnsi="Times New Roman" w:cs="Times New Roman"/>
          <w:sz w:val="28"/>
          <w:szCs w:val="28"/>
          <w:lang w:eastAsia="lv-LV"/>
        </w:rPr>
        <w:t>polihlordibenzofurānu</w:t>
      </w:r>
      <w:proofErr w:type="spellEnd"/>
      <w:r w:rsidR="0054394B" w:rsidRPr="00FD2515">
        <w:rPr>
          <w:rFonts w:ascii="Times New Roman" w:eastAsia="Times New Roman" w:hAnsi="Times New Roman" w:cs="Times New Roman"/>
          <w:sz w:val="28"/>
          <w:szCs w:val="28"/>
          <w:lang w:eastAsia="lv-LV"/>
        </w:rPr>
        <w:t xml:space="preserve"> vai </w:t>
      </w:r>
      <w:proofErr w:type="spellStart"/>
      <w:r w:rsidR="0054394B" w:rsidRPr="00FD2515">
        <w:rPr>
          <w:rFonts w:ascii="Times New Roman" w:eastAsia="Times New Roman" w:hAnsi="Times New Roman" w:cs="Times New Roman"/>
          <w:sz w:val="28"/>
          <w:szCs w:val="28"/>
          <w:lang w:eastAsia="lv-LV"/>
        </w:rPr>
        <w:t>polihlordibenzodioksīnu</w:t>
      </w:r>
      <w:proofErr w:type="spellEnd"/>
      <w:r w:rsidR="0054394B" w:rsidRPr="00FD2515">
        <w:rPr>
          <w:rFonts w:ascii="Times New Roman" w:eastAsia="Times New Roman" w:hAnsi="Times New Roman" w:cs="Times New Roman"/>
          <w:sz w:val="28"/>
          <w:szCs w:val="28"/>
          <w:lang w:eastAsia="lv-LV"/>
        </w:rPr>
        <w:t xml:space="preserve"> daudzumus reizinot ar </w:t>
      </w:r>
      <w:r w:rsidR="00382D45">
        <w:rPr>
          <w:rFonts w:ascii="Times New Roman" w:eastAsia="Times New Roman" w:hAnsi="Times New Roman" w:cs="Times New Roman"/>
          <w:sz w:val="28"/>
          <w:szCs w:val="28"/>
          <w:lang w:eastAsia="lv-LV"/>
        </w:rPr>
        <w:t xml:space="preserve">šā pielikuma </w:t>
      </w:r>
      <w:r w:rsidRPr="00FD2515">
        <w:rPr>
          <w:rFonts w:ascii="Times New Roman" w:eastAsia="Times New Roman" w:hAnsi="Times New Roman" w:cs="Times New Roman"/>
          <w:sz w:val="28"/>
          <w:szCs w:val="28"/>
          <w:lang w:eastAsia="lv-LV"/>
        </w:rPr>
        <w:t>13</w:t>
      </w:r>
      <w:r w:rsidR="0054394B" w:rsidRPr="00FD2515">
        <w:rPr>
          <w:rFonts w:ascii="Times New Roman" w:eastAsia="Times New Roman" w:hAnsi="Times New Roman" w:cs="Times New Roman"/>
          <w:sz w:val="28"/>
          <w:szCs w:val="28"/>
          <w:lang w:eastAsia="lv-LV"/>
        </w:rPr>
        <w:t>.</w:t>
      </w:r>
      <w:r w:rsidR="00382D45">
        <w:rPr>
          <w:rFonts w:ascii="Times New Roman" w:eastAsia="Times New Roman" w:hAnsi="Times New Roman" w:cs="Times New Roman"/>
          <w:sz w:val="28"/>
          <w:szCs w:val="28"/>
          <w:lang w:eastAsia="lv-LV"/>
        </w:rPr>
        <w:t> </w:t>
      </w:r>
      <w:r w:rsidR="0054394B" w:rsidRPr="00FD2515">
        <w:rPr>
          <w:rFonts w:ascii="Times New Roman" w:eastAsia="Times New Roman" w:hAnsi="Times New Roman" w:cs="Times New Roman"/>
          <w:sz w:val="28"/>
          <w:szCs w:val="28"/>
          <w:lang w:eastAsia="lv-LV"/>
        </w:rPr>
        <w:t>punktā minētajiem koeficientiem un iegūtos rezultātus summējot.</w:t>
      </w:r>
    </w:p>
    <w:p w14:paraId="6BD49A3A" w14:textId="77777777" w:rsidR="007B5F6D" w:rsidRPr="00FD2515" w:rsidRDefault="007B5F6D" w:rsidP="007B5F6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p>
    <w:p w14:paraId="562D9CE7" w14:textId="301B73C3" w:rsidR="004D6FAC" w:rsidRPr="00FD2515" w:rsidRDefault="004D6FAC">
      <w:pPr>
        <w:spacing w:after="200" w:line="276" w:lineRule="auto"/>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br w:type="page"/>
      </w:r>
    </w:p>
    <w:p w14:paraId="632ECB13" w14:textId="2327346D" w:rsidR="0003294E" w:rsidRPr="0003294E" w:rsidRDefault="0003294E" w:rsidP="0003294E">
      <w:pPr>
        <w:pStyle w:val="ListParagraph"/>
        <w:numPr>
          <w:ilvl w:val="0"/>
          <w:numId w:val="4"/>
        </w:numPr>
        <w:shd w:val="clear" w:color="auto" w:fill="FFFFFF"/>
        <w:tabs>
          <w:tab w:val="left" w:pos="1134"/>
        </w:tabs>
        <w:spacing w:after="0" w:line="240" w:lineRule="auto"/>
        <w:jc w:val="right"/>
        <w:rPr>
          <w:rFonts w:ascii="Times New Roman" w:eastAsia="Times New Roman" w:hAnsi="Times New Roman" w:cs="Times New Roman"/>
          <w:sz w:val="24"/>
          <w:szCs w:val="24"/>
          <w:lang w:eastAsia="lv-LV"/>
        </w:rPr>
      </w:pPr>
      <w:r w:rsidRPr="0003294E">
        <w:rPr>
          <w:rFonts w:ascii="Times New Roman" w:eastAsia="Times New Roman" w:hAnsi="Times New Roman" w:cs="Times New Roman"/>
          <w:sz w:val="24"/>
          <w:szCs w:val="24"/>
          <w:lang w:eastAsia="lv-LV"/>
        </w:rPr>
        <w:lastRenderedPageBreak/>
        <w:t>tabula</w:t>
      </w:r>
    </w:p>
    <w:p w14:paraId="68947A5D" w14:textId="77777777" w:rsidR="0003294E" w:rsidRPr="0003294E" w:rsidRDefault="0003294E" w:rsidP="0003294E">
      <w:pPr>
        <w:pStyle w:val="ListParagraph"/>
        <w:shd w:val="clear" w:color="auto" w:fill="FFFFFF"/>
        <w:tabs>
          <w:tab w:val="left" w:pos="1134"/>
        </w:tabs>
        <w:spacing w:after="0" w:line="240" w:lineRule="auto"/>
        <w:ind w:left="1069"/>
        <w:jc w:val="center"/>
        <w:rPr>
          <w:rFonts w:ascii="Times New Roman" w:eastAsia="Times New Roman" w:hAnsi="Times New Roman" w:cs="Times New Roman"/>
          <w:sz w:val="24"/>
          <w:szCs w:val="24"/>
          <w:lang w:eastAsia="lv-LV"/>
        </w:rPr>
      </w:pPr>
    </w:p>
    <w:p w14:paraId="578DB48A" w14:textId="51D16174" w:rsidR="00706E60" w:rsidRDefault="0003294E" w:rsidP="00706E60">
      <w:pPr>
        <w:shd w:val="clear" w:color="auto" w:fill="FFFFFF"/>
        <w:tabs>
          <w:tab w:val="left" w:pos="1134"/>
        </w:tabs>
        <w:spacing w:after="0" w:line="240" w:lineRule="auto"/>
        <w:jc w:val="center"/>
        <w:rPr>
          <w:rFonts w:ascii="Times New Roman" w:eastAsia="Times New Roman" w:hAnsi="Times New Roman" w:cs="Times New Roman"/>
          <w:b/>
          <w:bCs/>
          <w:sz w:val="28"/>
          <w:szCs w:val="28"/>
          <w:bdr w:val="none" w:sz="0" w:space="0" w:color="auto" w:frame="1"/>
          <w:lang w:eastAsia="lv-LV"/>
        </w:rPr>
      </w:pPr>
      <w:r w:rsidRPr="00FD2515">
        <w:rPr>
          <w:rFonts w:ascii="Times New Roman" w:hAnsi="Times New Roman" w:cs="Times New Roman"/>
          <w:b/>
          <w:bCs/>
          <w:sz w:val="28"/>
          <w:szCs w:val="28"/>
          <w:shd w:val="clear" w:color="auto" w:fill="FFFFFF"/>
        </w:rPr>
        <w:t xml:space="preserve">Bīstamo </w:t>
      </w:r>
      <w:r w:rsidR="00043019" w:rsidRPr="00FD2515">
        <w:rPr>
          <w:rFonts w:ascii="Times New Roman" w:hAnsi="Times New Roman" w:cs="Times New Roman"/>
          <w:b/>
          <w:bCs/>
          <w:sz w:val="28"/>
          <w:szCs w:val="28"/>
          <w:shd w:val="clear" w:color="auto" w:fill="FFFFFF"/>
        </w:rPr>
        <w:t>vielu kategorijas</w:t>
      </w:r>
      <w:r w:rsidR="00043019" w:rsidRPr="00FD2515">
        <w:rPr>
          <w:rFonts w:ascii="Times New Roman" w:eastAsia="Times New Roman" w:hAnsi="Times New Roman" w:cs="Times New Roman"/>
          <w:b/>
          <w:bCs/>
          <w:sz w:val="28"/>
          <w:szCs w:val="28"/>
          <w:bdr w:val="none" w:sz="0" w:space="0" w:color="auto" w:frame="1"/>
          <w:lang w:eastAsia="lv-LV"/>
        </w:rPr>
        <w:t xml:space="preserve">, pēc kurām objekts ir pieskaitāms </w:t>
      </w:r>
    </w:p>
    <w:p w14:paraId="0D3BA670" w14:textId="17966C62" w:rsidR="00706E60" w:rsidRDefault="00043019" w:rsidP="00706E60">
      <w:pPr>
        <w:shd w:val="clear" w:color="auto" w:fill="FFFFFF"/>
        <w:tabs>
          <w:tab w:val="left" w:pos="1134"/>
        </w:tabs>
        <w:spacing w:after="0" w:line="240" w:lineRule="auto"/>
        <w:jc w:val="center"/>
        <w:rPr>
          <w:rFonts w:ascii="Times New Roman" w:eastAsia="Times New Roman" w:hAnsi="Times New Roman" w:cs="Times New Roman"/>
          <w:b/>
          <w:bCs/>
          <w:sz w:val="28"/>
          <w:szCs w:val="28"/>
          <w:bdr w:val="none" w:sz="0" w:space="0" w:color="auto" w:frame="1"/>
          <w:lang w:eastAsia="lv-LV"/>
        </w:rPr>
      </w:pPr>
      <w:r w:rsidRPr="00FD2515">
        <w:rPr>
          <w:rFonts w:ascii="Times New Roman" w:eastAsia="Times New Roman" w:hAnsi="Times New Roman" w:cs="Times New Roman"/>
          <w:b/>
          <w:bCs/>
          <w:sz w:val="28"/>
          <w:szCs w:val="28"/>
          <w:bdr w:val="none" w:sz="0" w:space="0" w:color="auto" w:frame="1"/>
          <w:lang w:eastAsia="lv-LV"/>
        </w:rPr>
        <w:t>vietējas nozīmes paaugstinātas bīstamības objekta</w:t>
      </w:r>
      <w:r w:rsidR="00706E60">
        <w:rPr>
          <w:rFonts w:ascii="Times New Roman" w:eastAsia="Times New Roman" w:hAnsi="Times New Roman" w:cs="Times New Roman"/>
          <w:b/>
          <w:bCs/>
          <w:sz w:val="28"/>
          <w:szCs w:val="28"/>
          <w:bdr w:val="none" w:sz="0" w:space="0" w:color="auto" w:frame="1"/>
          <w:lang w:eastAsia="lv-LV"/>
        </w:rPr>
        <w:t>m</w:t>
      </w:r>
    </w:p>
    <w:p w14:paraId="64064224" w14:textId="77777777" w:rsidR="00043019" w:rsidRPr="0003294E" w:rsidRDefault="00043019" w:rsidP="007B5F6D">
      <w:pPr>
        <w:shd w:val="clear" w:color="auto" w:fill="FFFFFF"/>
        <w:spacing w:after="0" w:line="240" w:lineRule="auto"/>
        <w:jc w:val="right"/>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1"/>
        <w:gridCol w:w="6619"/>
        <w:gridCol w:w="1872"/>
      </w:tblGrid>
      <w:tr w:rsidR="00FD2515" w:rsidRPr="00FD2515" w14:paraId="3B70CA46" w14:textId="77777777" w:rsidTr="00706E60">
        <w:trPr>
          <w:trHeight w:val="765"/>
        </w:trPr>
        <w:tc>
          <w:tcPr>
            <w:tcW w:w="3975"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5F24504B" w14:textId="77777777" w:rsidR="003821AF" w:rsidRPr="00FD2515" w:rsidRDefault="003821AF" w:rsidP="00844734">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Bīstamības kategorijas saskaņā ar regulu Nr.  </w:t>
            </w:r>
            <w:hyperlink r:id="rId14" w:tgtFrame="_blank" w:history="1">
              <w:r w:rsidRPr="00FD2515">
                <w:rPr>
                  <w:rFonts w:ascii="Times New Roman" w:eastAsia="Times New Roman" w:hAnsi="Times New Roman" w:cs="Times New Roman"/>
                  <w:b/>
                  <w:sz w:val="24"/>
                  <w:szCs w:val="24"/>
                  <w:lang w:eastAsia="lv-LV"/>
                </w:rPr>
                <w:t>1272/2008</w:t>
              </w:r>
            </w:hyperlink>
          </w:p>
        </w:tc>
        <w:tc>
          <w:tcPr>
            <w:tcW w:w="1025" w:type="pct"/>
            <w:tcBorders>
              <w:top w:val="outset" w:sz="6" w:space="0" w:color="414142"/>
              <w:left w:val="outset" w:sz="6" w:space="0" w:color="414142"/>
              <w:right w:val="outset" w:sz="6" w:space="0" w:color="414142"/>
            </w:tcBorders>
            <w:shd w:val="clear" w:color="auto" w:fill="BFBFBF" w:themeFill="background1" w:themeFillShade="BF"/>
            <w:vAlign w:val="center"/>
            <w:hideMark/>
          </w:tcPr>
          <w:p w14:paraId="0F2938B2" w14:textId="77777777" w:rsidR="003821AF" w:rsidRPr="00FD2515" w:rsidRDefault="003821AF" w:rsidP="00844734">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 xml:space="preserve">Bīstamo vielu kvalificējošais </w:t>
            </w:r>
            <w:r w:rsidRPr="00FD2515">
              <w:rPr>
                <w:rFonts w:ascii="Times New Roman" w:hAnsi="Times New Roman" w:cs="Times New Roman"/>
                <w:b/>
                <w:sz w:val="24"/>
                <w:szCs w:val="24"/>
              </w:rPr>
              <w:t>daudzums (tonnās)</w:t>
            </w:r>
          </w:p>
        </w:tc>
      </w:tr>
      <w:tr w:rsidR="00FD2515" w:rsidRPr="00FD2515" w14:paraId="0EB3CEAF" w14:textId="77777777" w:rsidTr="00474BA5">
        <w:tc>
          <w:tcPr>
            <w:tcW w:w="0" w:type="auto"/>
            <w:gridSpan w:val="3"/>
            <w:tcBorders>
              <w:top w:val="outset" w:sz="6" w:space="0" w:color="414142"/>
              <w:left w:val="outset" w:sz="6" w:space="0" w:color="414142"/>
              <w:bottom w:val="outset" w:sz="6" w:space="0" w:color="414142"/>
              <w:right w:val="outset" w:sz="6" w:space="0" w:color="414142"/>
            </w:tcBorders>
            <w:hideMark/>
          </w:tcPr>
          <w:p w14:paraId="710CAF73" w14:textId="2D79FDB2" w:rsidR="00043019" w:rsidRPr="00FD2515" w:rsidRDefault="00474BA5" w:rsidP="00844734">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H</w:t>
            </w:r>
            <w:r w:rsidR="00043019" w:rsidRPr="00FD2515">
              <w:rPr>
                <w:rFonts w:ascii="Times New Roman" w:eastAsia="Times New Roman" w:hAnsi="Times New Roman" w:cs="Times New Roman"/>
                <w:b/>
                <w:sz w:val="24"/>
                <w:szCs w:val="24"/>
                <w:lang w:eastAsia="lv-LV"/>
              </w:rPr>
              <w:t xml:space="preserve"> iedaļa. Bīstamība veselībai</w:t>
            </w:r>
          </w:p>
        </w:tc>
      </w:tr>
      <w:tr w:rsidR="00FD2515" w:rsidRPr="00FD2515" w14:paraId="1C08710C"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230CC573"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H1</w:t>
            </w:r>
          </w:p>
        </w:tc>
        <w:tc>
          <w:tcPr>
            <w:tcW w:w="3624" w:type="pct"/>
            <w:tcBorders>
              <w:top w:val="outset" w:sz="6" w:space="0" w:color="414142"/>
              <w:left w:val="outset" w:sz="6" w:space="0" w:color="414142"/>
              <w:bottom w:val="outset" w:sz="6" w:space="0" w:color="414142"/>
              <w:right w:val="outset" w:sz="6" w:space="0" w:color="414142"/>
            </w:tcBorders>
            <w:hideMark/>
          </w:tcPr>
          <w:p w14:paraId="3BFF9742" w14:textId="77777777" w:rsidR="007B5F6D" w:rsidRPr="00FD2515" w:rsidRDefault="00043019" w:rsidP="007B5F6D">
            <w:pPr>
              <w:spacing w:after="0" w:line="240" w:lineRule="auto"/>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Akūtā toksicitāte</w:t>
            </w:r>
            <w:r w:rsidR="007B5F6D" w:rsidRPr="00FD2515">
              <w:rPr>
                <w:rFonts w:ascii="Times New Roman" w:eastAsia="Times New Roman" w:hAnsi="Times New Roman" w:cs="Times New Roman"/>
                <w:sz w:val="24"/>
                <w:szCs w:val="24"/>
                <w:lang w:eastAsia="lv-LV"/>
              </w:rPr>
              <w:t>:</w:t>
            </w:r>
          </w:p>
          <w:p w14:paraId="47103958" w14:textId="77777777" w:rsidR="00043019" w:rsidRPr="00FD2515" w:rsidRDefault="00043019" w:rsidP="007B5F6D">
            <w:pPr>
              <w:spacing w:after="0" w:line="240" w:lineRule="auto"/>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 kategorija, visi iedarbības ceļi</w:t>
            </w:r>
          </w:p>
        </w:tc>
        <w:tc>
          <w:tcPr>
            <w:tcW w:w="1025" w:type="pct"/>
            <w:tcBorders>
              <w:top w:val="outset" w:sz="6" w:space="0" w:color="414142"/>
              <w:left w:val="outset" w:sz="6" w:space="0" w:color="414142"/>
              <w:bottom w:val="outset" w:sz="6" w:space="0" w:color="414142"/>
              <w:right w:val="outset" w:sz="6" w:space="0" w:color="414142"/>
            </w:tcBorders>
            <w:hideMark/>
          </w:tcPr>
          <w:p w14:paraId="5474B31E"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35E5377A"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0AE5A976"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H2</w:t>
            </w:r>
          </w:p>
        </w:tc>
        <w:tc>
          <w:tcPr>
            <w:tcW w:w="3624" w:type="pct"/>
            <w:tcBorders>
              <w:top w:val="outset" w:sz="6" w:space="0" w:color="414142"/>
              <w:left w:val="outset" w:sz="6" w:space="0" w:color="414142"/>
              <w:bottom w:val="outset" w:sz="6" w:space="0" w:color="414142"/>
              <w:right w:val="outset" w:sz="6" w:space="0" w:color="414142"/>
            </w:tcBorders>
            <w:hideMark/>
          </w:tcPr>
          <w:p w14:paraId="27A2CE03" w14:textId="77777777" w:rsidR="007B5F6D" w:rsidRPr="00FD2515" w:rsidRDefault="007B5F6D" w:rsidP="007B5F6D">
            <w:pPr>
              <w:spacing w:after="0" w:line="240" w:lineRule="auto"/>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Akūtā toksicitāte:</w:t>
            </w:r>
          </w:p>
          <w:p w14:paraId="6AF1D93C" w14:textId="6D9E9675" w:rsidR="007B5F6D" w:rsidRPr="00FD2515" w:rsidRDefault="00706E60" w:rsidP="007B5F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043019" w:rsidRPr="00FD2515">
              <w:rPr>
                <w:rFonts w:ascii="Times New Roman" w:eastAsia="Times New Roman" w:hAnsi="Times New Roman" w:cs="Times New Roman"/>
                <w:sz w:val="24"/>
                <w:szCs w:val="24"/>
                <w:lang w:eastAsia="lv-LV"/>
              </w:rPr>
              <w:t>2. k</w:t>
            </w:r>
            <w:r>
              <w:rPr>
                <w:rFonts w:ascii="Times New Roman" w:eastAsia="Times New Roman" w:hAnsi="Times New Roman" w:cs="Times New Roman"/>
                <w:sz w:val="24"/>
                <w:szCs w:val="24"/>
                <w:lang w:eastAsia="lv-LV"/>
              </w:rPr>
              <w:t>ategorija, visi iedarbības ceļi</w:t>
            </w:r>
            <w:r w:rsidR="00E67FA1">
              <w:rPr>
                <w:rFonts w:ascii="Times New Roman" w:eastAsia="Times New Roman" w:hAnsi="Times New Roman" w:cs="Times New Roman"/>
                <w:sz w:val="24"/>
                <w:szCs w:val="24"/>
                <w:lang w:eastAsia="lv-LV"/>
              </w:rPr>
              <w:t>;</w:t>
            </w:r>
          </w:p>
          <w:p w14:paraId="1F585576" w14:textId="4BD6F841" w:rsidR="00043019" w:rsidRPr="00FD2515" w:rsidRDefault="00706E60" w:rsidP="007B5F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43019" w:rsidRPr="00FD2515">
              <w:rPr>
                <w:rFonts w:ascii="Times New Roman" w:eastAsia="Times New Roman" w:hAnsi="Times New Roman" w:cs="Times New Roman"/>
                <w:sz w:val="24"/>
                <w:szCs w:val="24"/>
                <w:lang w:eastAsia="lv-LV"/>
              </w:rPr>
              <w:t>3. kategorija, iedarbības ceļš ieelpojot</w:t>
            </w:r>
            <w:r w:rsidR="00043019" w:rsidRPr="00FD2515">
              <w:rPr>
                <w:rFonts w:ascii="Times New Roman" w:eastAsia="Times New Roman" w:hAnsi="Times New Roman" w:cs="Times New Roman"/>
                <w:sz w:val="24"/>
                <w:szCs w:val="24"/>
                <w:vertAlign w:val="superscript"/>
                <w:lang w:eastAsia="lv-LV"/>
              </w:rPr>
              <w:t>1</w:t>
            </w:r>
          </w:p>
        </w:tc>
        <w:tc>
          <w:tcPr>
            <w:tcW w:w="1025" w:type="pct"/>
            <w:tcBorders>
              <w:top w:val="outset" w:sz="6" w:space="0" w:color="414142"/>
              <w:left w:val="outset" w:sz="6" w:space="0" w:color="414142"/>
              <w:bottom w:val="outset" w:sz="6" w:space="0" w:color="414142"/>
              <w:right w:val="outset" w:sz="6" w:space="0" w:color="414142"/>
            </w:tcBorders>
            <w:hideMark/>
          </w:tcPr>
          <w:p w14:paraId="1AD34405"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2699EFF0"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358E1DFC"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H3</w:t>
            </w:r>
          </w:p>
        </w:tc>
        <w:tc>
          <w:tcPr>
            <w:tcW w:w="3624" w:type="pct"/>
            <w:tcBorders>
              <w:top w:val="outset" w:sz="6" w:space="0" w:color="414142"/>
              <w:left w:val="outset" w:sz="6" w:space="0" w:color="414142"/>
              <w:bottom w:val="outset" w:sz="6" w:space="0" w:color="414142"/>
              <w:right w:val="outset" w:sz="6" w:space="0" w:color="414142"/>
            </w:tcBorders>
            <w:hideMark/>
          </w:tcPr>
          <w:p w14:paraId="28211E25" w14:textId="77777777" w:rsidR="007B5F6D" w:rsidRPr="00FD2515" w:rsidRDefault="00043019" w:rsidP="007B5F6D">
            <w:pPr>
              <w:spacing w:after="0" w:line="240" w:lineRule="auto"/>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Toksiska ietekme uz konkrētiem mērķorgāniem (STOT) – vienreizēja iedarbība</w:t>
            </w:r>
            <w:r w:rsidR="007B5F6D" w:rsidRPr="00FD2515">
              <w:rPr>
                <w:rFonts w:ascii="Times New Roman" w:eastAsia="Times New Roman" w:hAnsi="Times New Roman" w:cs="Times New Roman"/>
                <w:sz w:val="24"/>
                <w:szCs w:val="24"/>
                <w:lang w:eastAsia="lv-LV"/>
              </w:rPr>
              <w:t>:</w:t>
            </w:r>
          </w:p>
          <w:p w14:paraId="01CE47A3" w14:textId="77777777" w:rsidR="00043019" w:rsidRPr="00FD2515" w:rsidRDefault="00043019" w:rsidP="000962F3">
            <w:pPr>
              <w:spacing w:after="0" w:line="240" w:lineRule="auto"/>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xml:space="preserve">STOT SE 1. </w:t>
            </w:r>
            <w:r w:rsidR="000962F3" w:rsidRPr="00FD2515">
              <w:rPr>
                <w:rFonts w:ascii="Times New Roman" w:eastAsia="Times New Roman" w:hAnsi="Times New Roman" w:cs="Times New Roman"/>
                <w:sz w:val="24"/>
                <w:szCs w:val="24"/>
                <w:lang w:eastAsia="lv-LV"/>
              </w:rPr>
              <w:t>k</w:t>
            </w:r>
            <w:r w:rsidRPr="00FD2515">
              <w:rPr>
                <w:rFonts w:ascii="Times New Roman" w:eastAsia="Times New Roman" w:hAnsi="Times New Roman" w:cs="Times New Roman"/>
                <w:sz w:val="24"/>
                <w:szCs w:val="24"/>
                <w:lang w:eastAsia="lv-LV"/>
              </w:rPr>
              <w:t>ategorija</w:t>
            </w:r>
          </w:p>
        </w:tc>
        <w:tc>
          <w:tcPr>
            <w:tcW w:w="1025" w:type="pct"/>
            <w:tcBorders>
              <w:top w:val="outset" w:sz="6" w:space="0" w:color="414142"/>
              <w:left w:val="outset" w:sz="6" w:space="0" w:color="414142"/>
              <w:bottom w:val="outset" w:sz="6" w:space="0" w:color="414142"/>
              <w:right w:val="outset" w:sz="6" w:space="0" w:color="414142"/>
            </w:tcBorders>
            <w:hideMark/>
          </w:tcPr>
          <w:p w14:paraId="619EDD3A"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7C371F38" w14:textId="77777777" w:rsidTr="00474BA5">
        <w:tc>
          <w:tcPr>
            <w:tcW w:w="0" w:type="auto"/>
            <w:gridSpan w:val="3"/>
            <w:tcBorders>
              <w:top w:val="outset" w:sz="6" w:space="0" w:color="414142"/>
              <w:left w:val="outset" w:sz="6" w:space="0" w:color="414142"/>
              <w:bottom w:val="outset" w:sz="6" w:space="0" w:color="414142"/>
              <w:right w:val="outset" w:sz="6" w:space="0" w:color="414142"/>
            </w:tcBorders>
            <w:hideMark/>
          </w:tcPr>
          <w:p w14:paraId="7A9689F3" w14:textId="5B21E55E" w:rsidR="00043019" w:rsidRPr="00FD2515" w:rsidRDefault="00474BA5" w:rsidP="00844734">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P</w:t>
            </w:r>
            <w:r w:rsidR="00043019" w:rsidRPr="00FD2515">
              <w:rPr>
                <w:rFonts w:ascii="Times New Roman" w:eastAsia="Times New Roman" w:hAnsi="Times New Roman" w:cs="Times New Roman"/>
                <w:b/>
                <w:sz w:val="24"/>
                <w:szCs w:val="24"/>
                <w:lang w:eastAsia="lv-LV"/>
              </w:rPr>
              <w:t xml:space="preserve"> iedaļa. Fizikālā bīstamība</w:t>
            </w:r>
          </w:p>
        </w:tc>
      </w:tr>
      <w:tr w:rsidR="00FD2515" w:rsidRPr="00FD2515" w14:paraId="6B171228"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69B58F91"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P1a</w:t>
            </w:r>
          </w:p>
        </w:tc>
        <w:tc>
          <w:tcPr>
            <w:tcW w:w="3624" w:type="pct"/>
            <w:tcBorders>
              <w:top w:val="outset" w:sz="6" w:space="0" w:color="414142"/>
              <w:left w:val="outset" w:sz="6" w:space="0" w:color="414142"/>
              <w:bottom w:val="outset" w:sz="6" w:space="0" w:color="414142"/>
              <w:right w:val="outset" w:sz="6" w:space="0" w:color="414142"/>
            </w:tcBorders>
            <w:hideMark/>
          </w:tcPr>
          <w:p w14:paraId="7551A0FD" w14:textId="77777777" w:rsidR="00474BA5" w:rsidRPr="00FD2515" w:rsidRDefault="00043019" w:rsidP="00474BA5">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Sprādzienbīstami materiāli</w:t>
            </w:r>
            <w:r w:rsidRPr="00FD2515">
              <w:rPr>
                <w:rFonts w:ascii="Times New Roman" w:eastAsia="Times New Roman" w:hAnsi="Times New Roman" w:cs="Times New Roman"/>
                <w:sz w:val="24"/>
                <w:szCs w:val="24"/>
                <w:vertAlign w:val="superscript"/>
                <w:lang w:eastAsia="lv-LV"/>
              </w:rPr>
              <w:t>2</w:t>
            </w:r>
            <w:r w:rsidRPr="00FD2515">
              <w:rPr>
                <w:rFonts w:ascii="Times New Roman" w:eastAsia="Times New Roman" w:hAnsi="Times New Roman" w:cs="Times New Roman"/>
                <w:sz w:val="24"/>
                <w:szCs w:val="24"/>
                <w:lang w:eastAsia="lv-LV"/>
              </w:rPr>
              <w:t>:</w:t>
            </w:r>
          </w:p>
          <w:p w14:paraId="48E50A7D" w14:textId="77FEE8A8" w:rsidR="00474BA5"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043019" w:rsidRPr="00FD2515">
              <w:rPr>
                <w:rFonts w:ascii="Times New Roman" w:eastAsia="Times New Roman" w:hAnsi="Times New Roman" w:cs="Times New Roman"/>
                <w:sz w:val="24"/>
                <w:szCs w:val="24"/>
                <w:lang w:eastAsia="lv-LV"/>
              </w:rPr>
              <w:t>nesta</w:t>
            </w:r>
            <w:r>
              <w:rPr>
                <w:rFonts w:ascii="Times New Roman" w:eastAsia="Times New Roman" w:hAnsi="Times New Roman" w:cs="Times New Roman"/>
                <w:sz w:val="24"/>
                <w:szCs w:val="24"/>
                <w:lang w:eastAsia="lv-LV"/>
              </w:rPr>
              <w:t>bili sprādzienbīstami materiāli</w:t>
            </w:r>
            <w:r w:rsidR="00E67FA1">
              <w:rPr>
                <w:rFonts w:ascii="Times New Roman" w:eastAsia="Times New Roman" w:hAnsi="Times New Roman" w:cs="Times New Roman"/>
                <w:sz w:val="24"/>
                <w:szCs w:val="24"/>
                <w:lang w:eastAsia="lv-LV"/>
              </w:rPr>
              <w:t>;</w:t>
            </w:r>
          </w:p>
          <w:p w14:paraId="7214EAB3" w14:textId="09307370" w:rsidR="00474BA5"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43019" w:rsidRPr="00FD2515">
              <w:rPr>
                <w:rFonts w:ascii="Times New Roman" w:eastAsia="Times New Roman" w:hAnsi="Times New Roman" w:cs="Times New Roman"/>
                <w:sz w:val="24"/>
                <w:szCs w:val="24"/>
                <w:lang w:eastAsia="lv-LV"/>
              </w:rPr>
              <w:t xml:space="preserve">sprādzienbīstami materiāli, kas iekļauti regulas </w:t>
            </w:r>
            <w:r>
              <w:rPr>
                <w:rFonts w:ascii="Times New Roman" w:eastAsia="Times New Roman" w:hAnsi="Times New Roman" w:cs="Times New Roman"/>
                <w:sz w:val="24"/>
                <w:szCs w:val="24"/>
                <w:lang w:eastAsia="lv-LV"/>
              </w:rPr>
              <w:t>Nr. </w:t>
            </w:r>
            <w:hyperlink r:id="rId15" w:tgtFrame="_blank" w:history="1">
              <w:r w:rsidR="00043019" w:rsidRPr="00FD2515">
                <w:rPr>
                  <w:rFonts w:ascii="Times New Roman" w:eastAsia="Times New Roman" w:hAnsi="Times New Roman" w:cs="Times New Roman"/>
                  <w:sz w:val="24"/>
                  <w:szCs w:val="24"/>
                  <w:lang w:eastAsia="lv-LV"/>
                </w:rPr>
                <w:t>1272/2008</w:t>
              </w:r>
            </w:hyperlink>
            <w:r>
              <w:rPr>
                <w:rFonts w:ascii="Times New Roman" w:eastAsia="Times New Roman" w:hAnsi="Times New Roman" w:cs="Times New Roman"/>
                <w:sz w:val="24"/>
                <w:szCs w:val="24"/>
                <w:lang w:eastAsia="lv-LV"/>
              </w:rPr>
              <w:t xml:space="preserve"> </w:t>
            </w:r>
            <w:r w:rsidR="00043019" w:rsidRPr="00FD2515">
              <w:rPr>
                <w:rFonts w:ascii="Times New Roman" w:eastAsia="Times New Roman" w:hAnsi="Times New Roman" w:cs="Times New Roman"/>
                <w:sz w:val="24"/>
                <w:szCs w:val="24"/>
                <w:lang w:eastAsia="lv-LV"/>
              </w:rPr>
              <w:t>I pielikuma 2.1.2. daļas</w:t>
            </w:r>
            <w:r>
              <w:rPr>
                <w:rFonts w:ascii="Times New Roman" w:eastAsia="Times New Roman" w:hAnsi="Times New Roman" w:cs="Times New Roman"/>
                <w:sz w:val="24"/>
                <w:szCs w:val="24"/>
                <w:lang w:eastAsia="lv-LV"/>
              </w:rPr>
              <w:t xml:space="preserve"> "</w:t>
            </w:r>
            <w:r w:rsidR="00043019" w:rsidRPr="00706E60">
              <w:rPr>
                <w:rFonts w:ascii="Times New Roman" w:eastAsia="Times New Roman" w:hAnsi="Times New Roman" w:cs="Times New Roman"/>
                <w:iCs/>
                <w:sz w:val="24"/>
                <w:szCs w:val="24"/>
                <w:lang w:eastAsia="lv-LV"/>
              </w:rPr>
              <w:t>Klasificēšanas kritēriji</w:t>
            </w:r>
            <w:r>
              <w:rPr>
                <w:rFonts w:ascii="Times New Roman" w:eastAsia="Times New Roman" w:hAnsi="Times New Roman" w:cs="Times New Roman"/>
                <w:sz w:val="24"/>
                <w:szCs w:val="24"/>
                <w:lang w:eastAsia="lv-LV"/>
              </w:rPr>
              <w:t>"</w:t>
            </w:r>
            <w:r w:rsidR="00043019" w:rsidRPr="00FD2515">
              <w:rPr>
                <w:rFonts w:ascii="Times New Roman" w:eastAsia="Times New Roman" w:hAnsi="Times New Roman" w:cs="Times New Roman"/>
                <w:i/>
                <w:iCs/>
                <w:sz w:val="24"/>
                <w:szCs w:val="24"/>
                <w:lang w:eastAsia="lv-LV"/>
              </w:rPr>
              <w:t xml:space="preserve"> </w:t>
            </w:r>
            <w:r w:rsidR="00043019" w:rsidRPr="00FD2515">
              <w:rPr>
                <w:rFonts w:ascii="Times New Roman" w:eastAsia="Times New Roman" w:hAnsi="Times New Roman" w:cs="Times New Roman"/>
                <w:sz w:val="24"/>
                <w:szCs w:val="24"/>
                <w:lang w:eastAsia="lv-LV"/>
              </w:rPr>
              <w:t>norādītaj</w:t>
            </w:r>
            <w:r>
              <w:rPr>
                <w:rFonts w:ascii="Times New Roman" w:eastAsia="Times New Roman" w:hAnsi="Times New Roman" w:cs="Times New Roman"/>
                <w:sz w:val="24"/>
                <w:szCs w:val="24"/>
                <w:lang w:eastAsia="lv-LV"/>
              </w:rPr>
              <w:t>ai</w:t>
            </w:r>
            <w:r w:rsidR="00043019" w:rsidRPr="00FD2515">
              <w:rPr>
                <w:rFonts w:ascii="Times New Roman" w:eastAsia="Times New Roman" w:hAnsi="Times New Roman" w:cs="Times New Roman"/>
                <w:sz w:val="24"/>
                <w:szCs w:val="24"/>
                <w:lang w:eastAsia="lv-LV"/>
              </w:rPr>
              <w:t xml:space="preserve"> 1.1., 1.2., 1.3., 1.5. vai 1.6. apakšgrup</w:t>
            </w:r>
            <w:r>
              <w:rPr>
                <w:rFonts w:ascii="Times New Roman" w:eastAsia="Times New Roman" w:hAnsi="Times New Roman" w:cs="Times New Roman"/>
                <w:sz w:val="24"/>
                <w:szCs w:val="24"/>
                <w:lang w:eastAsia="lv-LV"/>
              </w:rPr>
              <w:t>ai</w:t>
            </w:r>
            <w:r w:rsidR="00E67FA1">
              <w:rPr>
                <w:rFonts w:ascii="Times New Roman" w:eastAsia="Times New Roman" w:hAnsi="Times New Roman" w:cs="Times New Roman"/>
                <w:sz w:val="24"/>
                <w:szCs w:val="24"/>
                <w:lang w:eastAsia="lv-LV"/>
              </w:rPr>
              <w:t>;</w:t>
            </w:r>
          </w:p>
          <w:p w14:paraId="7B496763" w14:textId="22C953A6" w:rsidR="00043019" w:rsidRPr="00FD2515" w:rsidRDefault="00706E60" w:rsidP="00E67F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043019" w:rsidRPr="00FD2515">
              <w:rPr>
                <w:rFonts w:ascii="Times New Roman" w:eastAsia="Times New Roman" w:hAnsi="Times New Roman" w:cs="Times New Roman"/>
                <w:sz w:val="24"/>
                <w:szCs w:val="24"/>
                <w:lang w:eastAsia="lv-LV"/>
              </w:rPr>
              <w:t>vielas vai maisījumi, kas ir sprādzienbīstami saskaņā ar Komisijas 2008. gada 30. maija Regulu (EK) Nr. 440/2008 par testēšanas metožu noteikšanu saskaņā ar Eiropas Parlamenta un Padomes Regulu (EK) Nr. </w:t>
            </w:r>
            <w:hyperlink r:id="rId16" w:tgtFrame="_blank" w:history="1">
              <w:r w:rsidR="00043019" w:rsidRPr="00FD2515">
                <w:rPr>
                  <w:rFonts w:ascii="Times New Roman" w:eastAsia="Times New Roman" w:hAnsi="Times New Roman" w:cs="Times New Roman"/>
                  <w:sz w:val="24"/>
                  <w:szCs w:val="24"/>
                  <w:lang w:eastAsia="lv-LV"/>
                </w:rPr>
                <w:t>1907/2006</w:t>
              </w:r>
            </w:hyperlink>
            <w:r w:rsidR="00043019" w:rsidRPr="00FD2515">
              <w:rPr>
                <w:rFonts w:ascii="Times New Roman" w:eastAsia="Times New Roman" w:hAnsi="Times New Roman" w:cs="Times New Roman"/>
                <w:sz w:val="24"/>
                <w:szCs w:val="24"/>
                <w:lang w:eastAsia="lv-LV"/>
              </w:rPr>
              <w:t>, kas attiecas uz ķimikāliju reģistrēšanu, vērtēšanu, licencēšanu un ierobežošanu (REACH) A.14 metodi</w:t>
            </w:r>
            <w:r w:rsidR="00043019" w:rsidRPr="00FD2515">
              <w:rPr>
                <w:rFonts w:ascii="Times New Roman" w:eastAsia="Times New Roman" w:hAnsi="Times New Roman" w:cs="Times New Roman"/>
                <w:sz w:val="24"/>
                <w:szCs w:val="24"/>
                <w:vertAlign w:val="superscript"/>
                <w:lang w:eastAsia="lv-LV"/>
              </w:rPr>
              <w:t>3</w:t>
            </w:r>
            <w:r w:rsidR="00043019" w:rsidRPr="00FD2515">
              <w:rPr>
                <w:rFonts w:ascii="Times New Roman" w:eastAsia="Times New Roman" w:hAnsi="Times New Roman" w:cs="Times New Roman"/>
                <w:sz w:val="24"/>
                <w:szCs w:val="24"/>
                <w:lang w:eastAsia="lv-LV"/>
              </w:rPr>
              <w:t xml:space="preserve"> un neietilpst organisko peroksīdu vai </w:t>
            </w:r>
            <w:proofErr w:type="spellStart"/>
            <w:r w:rsidR="00043019" w:rsidRPr="00FD2515">
              <w:rPr>
                <w:rFonts w:ascii="Times New Roman" w:eastAsia="Times New Roman" w:hAnsi="Times New Roman" w:cs="Times New Roman"/>
                <w:sz w:val="24"/>
                <w:szCs w:val="24"/>
                <w:lang w:eastAsia="lv-LV"/>
              </w:rPr>
              <w:t>pašreaģējošu</w:t>
            </w:r>
            <w:proofErr w:type="spellEnd"/>
            <w:r w:rsidR="00043019" w:rsidRPr="00FD2515">
              <w:rPr>
                <w:rFonts w:ascii="Times New Roman" w:eastAsia="Times New Roman" w:hAnsi="Times New Roman" w:cs="Times New Roman"/>
                <w:sz w:val="24"/>
                <w:szCs w:val="24"/>
                <w:lang w:eastAsia="lv-LV"/>
              </w:rPr>
              <w:t xml:space="preserve"> vielu un maisījumu kategorijā</w:t>
            </w:r>
          </w:p>
        </w:tc>
        <w:tc>
          <w:tcPr>
            <w:tcW w:w="1025" w:type="pct"/>
            <w:tcBorders>
              <w:top w:val="outset" w:sz="6" w:space="0" w:color="414142"/>
              <w:left w:val="outset" w:sz="6" w:space="0" w:color="414142"/>
              <w:bottom w:val="outset" w:sz="6" w:space="0" w:color="414142"/>
              <w:right w:val="outset" w:sz="6" w:space="0" w:color="414142"/>
            </w:tcBorders>
            <w:hideMark/>
          </w:tcPr>
          <w:p w14:paraId="4A1036E7"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4535BFB8"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6F208B5A"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P1b</w:t>
            </w:r>
          </w:p>
        </w:tc>
        <w:tc>
          <w:tcPr>
            <w:tcW w:w="3624" w:type="pct"/>
            <w:tcBorders>
              <w:top w:val="outset" w:sz="6" w:space="0" w:color="414142"/>
              <w:left w:val="outset" w:sz="6" w:space="0" w:color="414142"/>
              <w:bottom w:val="outset" w:sz="6" w:space="0" w:color="414142"/>
              <w:right w:val="outset" w:sz="6" w:space="0" w:color="414142"/>
            </w:tcBorders>
            <w:hideMark/>
          </w:tcPr>
          <w:p w14:paraId="4E8F0197"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Sprādzienbīstami materiāli</w:t>
            </w:r>
            <w:r w:rsidRPr="00FD2515">
              <w:rPr>
                <w:rFonts w:ascii="Times New Roman" w:eastAsia="Times New Roman" w:hAnsi="Times New Roman" w:cs="Times New Roman"/>
                <w:sz w:val="24"/>
                <w:szCs w:val="24"/>
                <w:vertAlign w:val="superscript"/>
                <w:lang w:eastAsia="lv-LV"/>
              </w:rPr>
              <w:t>2</w:t>
            </w:r>
            <w:r w:rsidR="00474BA5" w:rsidRPr="00FD2515">
              <w:rPr>
                <w:rFonts w:ascii="Times New Roman" w:eastAsia="Times New Roman" w:hAnsi="Times New Roman" w:cs="Times New Roman"/>
                <w:sz w:val="24"/>
                <w:szCs w:val="24"/>
                <w:lang w:eastAsia="lv-LV"/>
              </w:rPr>
              <w:t>:</w:t>
            </w:r>
          </w:p>
          <w:p w14:paraId="3F957205" w14:textId="6F494ACB" w:rsidR="00043019" w:rsidRPr="00FD2515" w:rsidRDefault="00706E60" w:rsidP="00E67F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43019" w:rsidRPr="00FD2515">
              <w:rPr>
                <w:rFonts w:ascii="Times New Roman" w:eastAsia="Times New Roman" w:hAnsi="Times New Roman" w:cs="Times New Roman"/>
                <w:sz w:val="24"/>
                <w:szCs w:val="24"/>
                <w:lang w:eastAsia="lv-LV"/>
              </w:rPr>
              <w:t>prāgstvielas, regulas Nr. 1272/20</w:t>
            </w:r>
            <w:r w:rsidR="00E67FA1">
              <w:rPr>
                <w:rFonts w:ascii="Times New Roman" w:eastAsia="Times New Roman" w:hAnsi="Times New Roman" w:cs="Times New Roman"/>
                <w:sz w:val="24"/>
                <w:szCs w:val="24"/>
                <w:lang w:eastAsia="lv-LV"/>
              </w:rPr>
              <w:t>08</w:t>
            </w:r>
            <w:proofErr w:type="gramStart"/>
            <w:r w:rsidR="00E67FA1">
              <w:rPr>
                <w:rFonts w:ascii="Times New Roman" w:eastAsia="Times New Roman" w:hAnsi="Times New Roman" w:cs="Times New Roman"/>
                <w:sz w:val="24"/>
                <w:szCs w:val="24"/>
                <w:lang w:eastAsia="lv-LV"/>
              </w:rPr>
              <w:t xml:space="preserve"> </w:t>
            </w:r>
            <w:r w:rsidR="00043019" w:rsidRPr="00FD2515">
              <w:rPr>
                <w:rFonts w:ascii="Times New Roman" w:eastAsia="Times New Roman" w:hAnsi="Times New Roman" w:cs="Times New Roman"/>
                <w:sz w:val="24"/>
                <w:szCs w:val="24"/>
                <w:lang w:eastAsia="lv-LV"/>
              </w:rPr>
              <w:t xml:space="preserve"> </w:t>
            </w:r>
            <w:proofErr w:type="gramEnd"/>
            <w:r w:rsidR="00043019" w:rsidRPr="00FD2515">
              <w:rPr>
                <w:rFonts w:ascii="Times New Roman" w:eastAsia="Times New Roman" w:hAnsi="Times New Roman" w:cs="Times New Roman"/>
                <w:sz w:val="24"/>
                <w:szCs w:val="24"/>
                <w:lang w:eastAsia="lv-LV"/>
              </w:rPr>
              <w:t>I pielikuma 2.1.2.</w:t>
            </w:r>
            <w:r>
              <w:rPr>
                <w:rFonts w:ascii="Times New Roman" w:eastAsia="Times New Roman" w:hAnsi="Times New Roman" w:cs="Times New Roman"/>
                <w:sz w:val="24"/>
                <w:szCs w:val="24"/>
                <w:lang w:eastAsia="lv-LV"/>
              </w:rPr>
              <w:t> </w:t>
            </w:r>
            <w:r w:rsidR="00043019" w:rsidRPr="00FD2515">
              <w:rPr>
                <w:rFonts w:ascii="Times New Roman" w:eastAsia="Times New Roman" w:hAnsi="Times New Roman" w:cs="Times New Roman"/>
                <w:sz w:val="24"/>
                <w:szCs w:val="24"/>
                <w:lang w:eastAsia="lv-LV"/>
              </w:rPr>
              <w:t>daļas</w:t>
            </w:r>
            <w:r>
              <w:rPr>
                <w:rFonts w:ascii="Times New Roman" w:eastAsia="Times New Roman" w:hAnsi="Times New Roman" w:cs="Times New Roman"/>
                <w:sz w:val="24"/>
                <w:szCs w:val="24"/>
                <w:lang w:eastAsia="lv-LV"/>
              </w:rPr>
              <w:t xml:space="preserve"> </w:t>
            </w:r>
            <w:r w:rsidRPr="00706E60">
              <w:rPr>
                <w:rFonts w:ascii="Times New Roman" w:eastAsia="Times New Roman" w:hAnsi="Times New Roman" w:cs="Times New Roman"/>
                <w:sz w:val="24"/>
                <w:szCs w:val="24"/>
                <w:lang w:eastAsia="lv-LV"/>
              </w:rPr>
              <w:t>"</w:t>
            </w:r>
            <w:r w:rsidR="00043019" w:rsidRPr="00706E60">
              <w:rPr>
                <w:rFonts w:ascii="Times New Roman" w:eastAsia="Times New Roman" w:hAnsi="Times New Roman" w:cs="Times New Roman"/>
                <w:iCs/>
                <w:sz w:val="24"/>
                <w:szCs w:val="24"/>
                <w:lang w:eastAsia="lv-LV"/>
              </w:rPr>
              <w:t>Klasificēšanas kritēriji</w:t>
            </w:r>
            <w:r w:rsidRPr="00706E6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74BA5" w:rsidRPr="00FD2515">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w:t>
            </w:r>
            <w:r w:rsidR="00043019" w:rsidRPr="00FD2515">
              <w:rPr>
                <w:rFonts w:ascii="Times New Roman" w:eastAsia="Times New Roman" w:hAnsi="Times New Roman" w:cs="Times New Roman"/>
                <w:sz w:val="24"/>
                <w:szCs w:val="24"/>
                <w:lang w:eastAsia="lv-LV"/>
              </w:rPr>
              <w:t>apakšgrupa</w:t>
            </w:r>
            <w:r w:rsidR="00043019" w:rsidRPr="00FD2515">
              <w:rPr>
                <w:rFonts w:ascii="Times New Roman" w:eastAsia="Times New Roman" w:hAnsi="Times New Roman" w:cs="Times New Roman"/>
                <w:sz w:val="24"/>
                <w:szCs w:val="24"/>
                <w:vertAlign w:val="superscript"/>
                <w:lang w:eastAsia="lv-LV"/>
              </w:rPr>
              <w:t>4</w:t>
            </w:r>
          </w:p>
        </w:tc>
        <w:tc>
          <w:tcPr>
            <w:tcW w:w="1025" w:type="pct"/>
            <w:tcBorders>
              <w:top w:val="outset" w:sz="6" w:space="0" w:color="414142"/>
              <w:left w:val="outset" w:sz="6" w:space="0" w:color="414142"/>
              <w:bottom w:val="outset" w:sz="6" w:space="0" w:color="414142"/>
              <w:right w:val="outset" w:sz="6" w:space="0" w:color="414142"/>
            </w:tcBorders>
            <w:hideMark/>
          </w:tcPr>
          <w:p w14:paraId="63441064"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7E5770F3"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3A08C532"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P2</w:t>
            </w:r>
          </w:p>
        </w:tc>
        <w:tc>
          <w:tcPr>
            <w:tcW w:w="3624" w:type="pct"/>
            <w:tcBorders>
              <w:top w:val="outset" w:sz="6" w:space="0" w:color="414142"/>
              <w:left w:val="outset" w:sz="6" w:space="0" w:color="414142"/>
              <w:bottom w:val="outset" w:sz="6" w:space="0" w:color="414142"/>
              <w:right w:val="outset" w:sz="6" w:space="0" w:color="414142"/>
            </w:tcBorders>
            <w:hideMark/>
          </w:tcPr>
          <w:p w14:paraId="7D81D059" w14:textId="77777777" w:rsidR="00474BA5" w:rsidRPr="00FD2515" w:rsidRDefault="00043019" w:rsidP="00474BA5">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Uzliesmojošas gāzes</w:t>
            </w:r>
            <w:r w:rsidR="00474BA5" w:rsidRPr="00FD2515">
              <w:rPr>
                <w:rFonts w:ascii="Times New Roman" w:eastAsia="Times New Roman" w:hAnsi="Times New Roman" w:cs="Times New Roman"/>
                <w:sz w:val="24"/>
                <w:szCs w:val="24"/>
                <w:lang w:eastAsia="lv-LV"/>
              </w:rPr>
              <w:t>:</w:t>
            </w:r>
          </w:p>
          <w:p w14:paraId="6E1B25B4" w14:textId="689D9C70" w:rsidR="00043019" w:rsidRPr="00FD2515" w:rsidRDefault="00474BA5"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 vai 2. k</w:t>
            </w:r>
            <w:r w:rsidR="00043019" w:rsidRPr="00FD2515">
              <w:rPr>
                <w:rFonts w:ascii="Times New Roman" w:eastAsia="Times New Roman" w:hAnsi="Times New Roman" w:cs="Times New Roman"/>
                <w:sz w:val="24"/>
                <w:szCs w:val="24"/>
                <w:lang w:eastAsia="lv-LV"/>
              </w:rPr>
              <w:t>ategorija</w:t>
            </w:r>
            <w:r w:rsidR="00706E60">
              <w:rPr>
                <w:rFonts w:ascii="Times New Roman" w:eastAsia="Times New Roman" w:hAnsi="Times New Roman" w:cs="Times New Roman"/>
                <w:sz w:val="24"/>
                <w:szCs w:val="24"/>
                <w:lang w:eastAsia="lv-LV"/>
              </w:rPr>
              <w:t>s u</w:t>
            </w:r>
            <w:r w:rsidR="00706E60" w:rsidRPr="00FD2515">
              <w:rPr>
                <w:rFonts w:ascii="Times New Roman" w:eastAsia="Times New Roman" w:hAnsi="Times New Roman" w:cs="Times New Roman"/>
                <w:sz w:val="24"/>
                <w:szCs w:val="24"/>
                <w:lang w:eastAsia="lv-LV"/>
              </w:rPr>
              <w:t>zliesmojošas gāzes</w:t>
            </w:r>
          </w:p>
        </w:tc>
        <w:tc>
          <w:tcPr>
            <w:tcW w:w="1025" w:type="pct"/>
            <w:tcBorders>
              <w:top w:val="outset" w:sz="6" w:space="0" w:color="414142"/>
              <w:left w:val="outset" w:sz="6" w:space="0" w:color="414142"/>
              <w:bottom w:val="outset" w:sz="6" w:space="0" w:color="414142"/>
              <w:right w:val="outset" w:sz="6" w:space="0" w:color="414142"/>
            </w:tcBorders>
            <w:hideMark/>
          </w:tcPr>
          <w:p w14:paraId="22825DDB"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37800F4E"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7B9504AC"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P3a</w:t>
            </w:r>
          </w:p>
        </w:tc>
        <w:tc>
          <w:tcPr>
            <w:tcW w:w="3624" w:type="pct"/>
            <w:tcBorders>
              <w:top w:val="outset" w:sz="6" w:space="0" w:color="414142"/>
              <w:left w:val="outset" w:sz="6" w:space="0" w:color="414142"/>
              <w:bottom w:val="outset" w:sz="6" w:space="0" w:color="414142"/>
              <w:right w:val="outset" w:sz="6" w:space="0" w:color="414142"/>
            </w:tcBorders>
            <w:hideMark/>
          </w:tcPr>
          <w:p w14:paraId="1EE137FE"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Uzliesmojoši aerosoli</w:t>
            </w:r>
            <w:r w:rsidRPr="00FD2515">
              <w:rPr>
                <w:rFonts w:ascii="Times New Roman" w:eastAsia="Times New Roman" w:hAnsi="Times New Roman" w:cs="Times New Roman"/>
                <w:sz w:val="24"/>
                <w:szCs w:val="24"/>
                <w:vertAlign w:val="superscript"/>
                <w:lang w:eastAsia="lv-LV"/>
              </w:rPr>
              <w:t>5</w:t>
            </w:r>
            <w:r w:rsidR="00474BA5" w:rsidRPr="00FD2515">
              <w:rPr>
                <w:rFonts w:ascii="Times New Roman" w:eastAsia="Times New Roman" w:hAnsi="Times New Roman" w:cs="Times New Roman"/>
                <w:sz w:val="24"/>
                <w:szCs w:val="24"/>
                <w:lang w:eastAsia="lv-LV"/>
              </w:rPr>
              <w:t>:</w:t>
            </w:r>
          </w:p>
          <w:p w14:paraId="146B8CDF" w14:textId="3AB3D954" w:rsidR="00043019" w:rsidRPr="00FD2515" w:rsidRDefault="00043019" w:rsidP="00E67FA1">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 vai 2. kategorijas uzliesmojoši aerosoli, kuru sastāvā ir 1. vai 2.</w:t>
            </w:r>
            <w:r w:rsidR="00E67FA1">
              <w:rPr>
                <w:rFonts w:ascii="Times New Roman" w:eastAsia="Times New Roman" w:hAnsi="Times New Roman" w:cs="Times New Roman"/>
                <w:sz w:val="24"/>
                <w:szCs w:val="24"/>
                <w:lang w:eastAsia="lv-LV"/>
              </w:rPr>
              <w:t> </w:t>
            </w:r>
            <w:r w:rsidRPr="00FD2515">
              <w:rPr>
                <w:rFonts w:ascii="Times New Roman" w:eastAsia="Times New Roman" w:hAnsi="Times New Roman" w:cs="Times New Roman"/>
                <w:sz w:val="24"/>
                <w:szCs w:val="24"/>
                <w:lang w:eastAsia="lv-LV"/>
              </w:rPr>
              <w:t>kategorijas uzliesmojošas gāzes vai 1.</w:t>
            </w:r>
            <w:r w:rsidR="00E67FA1">
              <w:rPr>
                <w:rFonts w:ascii="Times New Roman" w:eastAsia="Times New Roman" w:hAnsi="Times New Roman" w:cs="Times New Roman"/>
                <w:sz w:val="24"/>
                <w:szCs w:val="24"/>
                <w:lang w:eastAsia="lv-LV"/>
              </w:rPr>
              <w:t> </w:t>
            </w:r>
            <w:r w:rsidRPr="00FD2515">
              <w:rPr>
                <w:rFonts w:ascii="Times New Roman" w:eastAsia="Times New Roman" w:hAnsi="Times New Roman" w:cs="Times New Roman"/>
                <w:sz w:val="24"/>
                <w:szCs w:val="24"/>
                <w:lang w:eastAsia="lv-LV"/>
              </w:rPr>
              <w:t>kategorijas uzliesmojoši šķidrumi</w:t>
            </w:r>
          </w:p>
        </w:tc>
        <w:tc>
          <w:tcPr>
            <w:tcW w:w="1025" w:type="pct"/>
            <w:tcBorders>
              <w:top w:val="outset" w:sz="6" w:space="0" w:color="414142"/>
              <w:left w:val="outset" w:sz="6" w:space="0" w:color="414142"/>
              <w:bottom w:val="outset" w:sz="6" w:space="0" w:color="414142"/>
              <w:right w:val="outset" w:sz="6" w:space="0" w:color="414142"/>
            </w:tcBorders>
            <w:hideMark/>
          </w:tcPr>
          <w:p w14:paraId="7D0803A0"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15 (neto)</w:t>
            </w:r>
          </w:p>
        </w:tc>
      </w:tr>
      <w:tr w:rsidR="00FD2515" w:rsidRPr="00FD2515" w14:paraId="1ADCB55B"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46D7F8AE"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P3b</w:t>
            </w:r>
          </w:p>
        </w:tc>
        <w:tc>
          <w:tcPr>
            <w:tcW w:w="3624" w:type="pct"/>
            <w:tcBorders>
              <w:top w:val="outset" w:sz="6" w:space="0" w:color="414142"/>
              <w:left w:val="outset" w:sz="6" w:space="0" w:color="414142"/>
              <w:bottom w:val="outset" w:sz="6" w:space="0" w:color="414142"/>
              <w:right w:val="outset" w:sz="6" w:space="0" w:color="414142"/>
            </w:tcBorders>
            <w:hideMark/>
          </w:tcPr>
          <w:p w14:paraId="666C00C7"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Uzliesmojoši aerosoli</w:t>
            </w:r>
            <w:r w:rsidRPr="00FD2515">
              <w:rPr>
                <w:rFonts w:ascii="Times New Roman" w:eastAsia="Times New Roman" w:hAnsi="Times New Roman" w:cs="Times New Roman"/>
                <w:sz w:val="24"/>
                <w:szCs w:val="24"/>
                <w:vertAlign w:val="superscript"/>
                <w:lang w:eastAsia="lv-LV"/>
              </w:rPr>
              <w:t>5</w:t>
            </w:r>
            <w:r w:rsidR="00474BA5" w:rsidRPr="00FD2515">
              <w:rPr>
                <w:rFonts w:ascii="Times New Roman" w:eastAsia="Times New Roman" w:hAnsi="Times New Roman" w:cs="Times New Roman"/>
                <w:sz w:val="24"/>
                <w:szCs w:val="24"/>
                <w:lang w:eastAsia="lv-LV"/>
              </w:rPr>
              <w:t>:</w:t>
            </w:r>
          </w:p>
          <w:p w14:paraId="7864894F" w14:textId="77777777" w:rsidR="00043019"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 vai 2. kategorijas uzliesmojoši aerosoli, kuru sastāvā nav 1. vai 2. kategorijas uzliesmojošas gāzes vai 1. kategorijas uzliesmojoši šķidrumi, un to var dokumentāri pierādīt</w:t>
            </w:r>
          </w:p>
        </w:tc>
        <w:tc>
          <w:tcPr>
            <w:tcW w:w="1025" w:type="pct"/>
            <w:tcBorders>
              <w:top w:val="outset" w:sz="6" w:space="0" w:color="414142"/>
              <w:left w:val="outset" w:sz="6" w:space="0" w:color="414142"/>
              <w:bottom w:val="outset" w:sz="6" w:space="0" w:color="414142"/>
              <w:right w:val="outset" w:sz="6" w:space="0" w:color="414142"/>
            </w:tcBorders>
            <w:hideMark/>
          </w:tcPr>
          <w:p w14:paraId="43F4A14C"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500 (neto)</w:t>
            </w:r>
          </w:p>
        </w:tc>
      </w:tr>
      <w:tr w:rsidR="00FD2515" w:rsidRPr="00FD2515" w14:paraId="731D82D7"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2026283F"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P4</w:t>
            </w:r>
          </w:p>
        </w:tc>
        <w:tc>
          <w:tcPr>
            <w:tcW w:w="3624" w:type="pct"/>
            <w:tcBorders>
              <w:top w:val="outset" w:sz="6" w:space="0" w:color="414142"/>
              <w:left w:val="outset" w:sz="6" w:space="0" w:color="414142"/>
              <w:bottom w:val="outset" w:sz="6" w:space="0" w:color="414142"/>
              <w:right w:val="outset" w:sz="6" w:space="0" w:color="414142"/>
            </w:tcBorders>
            <w:hideMark/>
          </w:tcPr>
          <w:p w14:paraId="72E2B799" w14:textId="77777777" w:rsidR="00474BA5" w:rsidRPr="00FD2515" w:rsidRDefault="00043019" w:rsidP="00474BA5">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Oksidējošas gāzes</w:t>
            </w:r>
            <w:r w:rsidR="00474BA5" w:rsidRPr="00FD2515">
              <w:rPr>
                <w:rFonts w:ascii="Times New Roman" w:eastAsia="Times New Roman" w:hAnsi="Times New Roman" w:cs="Times New Roman"/>
                <w:sz w:val="24"/>
                <w:szCs w:val="24"/>
                <w:lang w:eastAsia="lv-LV"/>
              </w:rPr>
              <w:t>:</w:t>
            </w:r>
          </w:p>
          <w:p w14:paraId="6AB3967E" w14:textId="5CE70220" w:rsidR="00043019" w:rsidRPr="00FD2515" w:rsidRDefault="00706E60"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 kategorija</w:t>
            </w:r>
            <w:r>
              <w:rPr>
                <w:rFonts w:ascii="Times New Roman" w:eastAsia="Times New Roman" w:hAnsi="Times New Roman" w:cs="Times New Roman"/>
                <w:sz w:val="24"/>
                <w:szCs w:val="24"/>
                <w:lang w:eastAsia="lv-LV"/>
              </w:rPr>
              <w:t>s</w:t>
            </w:r>
            <w:r w:rsidRPr="00FD2515">
              <w:rPr>
                <w:rFonts w:ascii="Times New Roman" w:eastAsia="Times New Roman" w:hAnsi="Times New Roman" w:cs="Times New Roman"/>
                <w:sz w:val="24"/>
                <w:szCs w:val="24"/>
                <w:lang w:eastAsia="lv-LV"/>
              </w:rPr>
              <w:t xml:space="preserve"> </w:t>
            </w:r>
            <w:r w:rsidR="00474BA5" w:rsidRPr="00FD2515">
              <w:rPr>
                <w:rFonts w:ascii="Times New Roman" w:eastAsia="Times New Roman" w:hAnsi="Times New Roman" w:cs="Times New Roman"/>
                <w:sz w:val="24"/>
                <w:szCs w:val="24"/>
                <w:lang w:eastAsia="lv-LV"/>
              </w:rPr>
              <w:t>o</w:t>
            </w:r>
            <w:r w:rsidR="00043019" w:rsidRPr="00FD2515">
              <w:rPr>
                <w:rFonts w:ascii="Times New Roman" w:eastAsia="Times New Roman" w:hAnsi="Times New Roman" w:cs="Times New Roman"/>
                <w:sz w:val="24"/>
                <w:szCs w:val="24"/>
                <w:lang w:eastAsia="lv-LV"/>
              </w:rPr>
              <w:t>ksidējošas gāzes</w:t>
            </w:r>
          </w:p>
        </w:tc>
        <w:tc>
          <w:tcPr>
            <w:tcW w:w="1025" w:type="pct"/>
            <w:tcBorders>
              <w:top w:val="outset" w:sz="6" w:space="0" w:color="414142"/>
              <w:left w:val="outset" w:sz="6" w:space="0" w:color="414142"/>
              <w:bottom w:val="outset" w:sz="6" w:space="0" w:color="414142"/>
              <w:right w:val="outset" w:sz="6" w:space="0" w:color="414142"/>
            </w:tcBorders>
            <w:hideMark/>
          </w:tcPr>
          <w:p w14:paraId="06A13FE9"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06B2725D"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4E3170F5"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P5a</w:t>
            </w:r>
          </w:p>
        </w:tc>
        <w:tc>
          <w:tcPr>
            <w:tcW w:w="3624" w:type="pct"/>
            <w:tcBorders>
              <w:top w:val="outset" w:sz="6" w:space="0" w:color="414142"/>
              <w:left w:val="outset" w:sz="6" w:space="0" w:color="414142"/>
              <w:bottom w:val="outset" w:sz="6" w:space="0" w:color="414142"/>
              <w:right w:val="outset" w:sz="6" w:space="0" w:color="414142"/>
            </w:tcBorders>
            <w:hideMark/>
          </w:tcPr>
          <w:p w14:paraId="59C754C6"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Uzliesmojoši šķidrumi</w:t>
            </w:r>
            <w:r w:rsidR="00474BA5" w:rsidRPr="00FD2515">
              <w:rPr>
                <w:rFonts w:ascii="Times New Roman" w:eastAsia="Times New Roman" w:hAnsi="Times New Roman" w:cs="Times New Roman"/>
                <w:sz w:val="24"/>
                <w:szCs w:val="24"/>
                <w:lang w:eastAsia="lv-LV"/>
              </w:rPr>
              <w:t>:</w:t>
            </w:r>
          </w:p>
          <w:p w14:paraId="1C77F563" w14:textId="25496A08" w:rsidR="00474BA5"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 </w:t>
            </w:r>
            <w:r w:rsidR="00043019" w:rsidRPr="00FD2515">
              <w:rPr>
                <w:rFonts w:ascii="Times New Roman" w:eastAsia="Times New Roman" w:hAnsi="Times New Roman" w:cs="Times New Roman"/>
                <w:sz w:val="24"/>
                <w:szCs w:val="24"/>
                <w:lang w:eastAsia="lv-LV"/>
              </w:rPr>
              <w:t>1. kategorijas uzliesmojoši šķidrumi;</w:t>
            </w:r>
          </w:p>
          <w:p w14:paraId="4136EF32" w14:textId="0C7577AC" w:rsidR="00474BA5"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43019" w:rsidRPr="00FD2515">
              <w:rPr>
                <w:rFonts w:ascii="Times New Roman" w:eastAsia="Times New Roman" w:hAnsi="Times New Roman" w:cs="Times New Roman"/>
                <w:sz w:val="24"/>
                <w:szCs w:val="24"/>
                <w:lang w:eastAsia="lv-LV"/>
              </w:rPr>
              <w:t>2. vai 3. kategorijas uzliesmojoši šķidrumi, kas uzglabāti temperatūrā, kas ir augstāka par to viršanas temperatūru;</w:t>
            </w:r>
          </w:p>
          <w:p w14:paraId="08BF866E" w14:textId="117CAEE5" w:rsidR="00043019"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043019" w:rsidRPr="00FD2515">
              <w:rPr>
                <w:rFonts w:ascii="Times New Roman" w:eastAsia="Times New Roman" w:hAnsi="Times New Roman" w:cs="Times New Roman"/>
                <w:sz w:val="24"/>
                <w:szCs w:val="24"/>
                <w:lang w:eastAsia="lv-LV"/>
              </w:rPr>
              <w:t>citi šķidrumi ar uzliesmošanas temperatūru ≤ 60 °C, ko uzglabā temperatūrā, kas ir augstāka par to viršanas temperatūru</w:t>
            </w:r>
            <w:r w:rsidR="00043019" w:rsidRPr="00FD2515">
              <w:rPr>
                <w:rFonts w:ascii="Times New Roman" w:eastAsia="Times New Roman" w:hAnsi="Times New Roman" w:cs="Times New Roman"/>
                <w:sz w:val="24"/>
                <w:szCs w:val="24"/>
                <w:vertAlign w:val="superscript"/>
                <w:lang w:eastAsia="lv-LV"/>
              </w:rPr>
              <w:t>6</w:t>
            </w:r>
          </w:p>
        </w:tc>
        <w:tc>
          <w:tcPr>
            <w:tcW w:w="1025" w:type="pct"/>
            <w:tcBorders>
              <w:top w:val="outset" w:sz="6" w:space="0" w:color="414142"/>
              <w:left w:val="outset" w:sz="6" w:space="0" w:color="414142"/>
              <w:bottom w:val="outset" w:sz="6" w:space="0" w:color="414142"/>
              <w:right w:val="outset" w:sz="6" w:space="0" w:color="414142"/>
            </w:tcBorders>
            <w:hideMark/>
          </w:tcPr>
          <w:p w14:paraId="3694D4BF"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lastRenderedPageBreak/>
              <w:t>1</w:t>
            </w:r>
          </w:p>
        </w:tc>
      </w:tr>
      <w:tr w:rsidR="00FD2515" w:rsidRPr="00FD2515" w14:paraId="0A733488"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06DA1E80"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lastRenderedPageBreak/>
              <w:t>P5b</w:t>
            </w:r>
          </w:p>
        </w:tc>
        <w:tc>
          <w:tcPr>
            <w:tcW w:w="3624" w:type="pct"/>
            <w:tcBorders>
              <w:top w:val="outset" w:sz="6" w:space="0" w:color="414142"/>
              <w:left w:val="outset" w:sz="6" w:space="0" w:color="414142"/>
              <w:bottom w:val="outset" w:sz="6" w:space="0" w:color="414142"/>
              <w:right w:val="outset" w:sz="6" w:space="0" w:color="414142"/>
            </w:tcBorders>
            <w:hideMark/>
          </w:tcPr>
          <w:p w14:paraId="78D0B743"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Uzliesmojoši šķidrumi</w:t>
            </w:r>
            <w:r w:rsidR="00474BA5" w:rsidRPr="00FD2515">
              <w:rPr>
                <w:rFonts w:ascii="Times New Roman" w:eastAsia="Times New Roman" w:hAnsi="Times New Roman" w:cs="Times New Roman"/>
                <w:sz w:val="24"/>
                <w:szCs w:val="24"/>
                <w:lang w:eastAsia="lv-LV"/>
              </w:rPr>
              <w:t>:</w:t>
            </w:r>
          </w:p>
          <w:p w14:paraId="5B94E49E" w14:textId="774E3D83" w:rsidR="00474BA5"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043019" w:rsidRPr="00FD2515">
              <w:rPr>
                <w:rFonts w:ascii="Times New Roman" w:eastAsia="Times New Roman" w:hAnsi="Times New Roman" w:cs="Times New Roman"/>
                <w:sz w:val="24"/>
                <w:szCs w:val="24"/>
                <w:lang w:eastAsia="lv-LV"/>
              </w:rPr>
              <w:t>2. un 3. kategorijas uzliesmojoši šķidrumi, kuri īpašos apstākļos, piemēram, ja ir augsts spiediens vai augsta temperatūra, var izraisīt vai palielināt rūpniecisko avāriju risku;</w:t>
            </w:r>
          </w:p>
          <w:p w14:paraId="57AAD646" w14:textId="0F9ABEE2" w:rsidR="00043019"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43019" w:rsidRPr="00FD2515">
              <w:rPr>
                <w:rFonts w:ascii="Times New Roman" w:eastAsia="Times New Roman" w:hAnsi="Times New Roman" w:cs="Times New Roman"/>
                <w:sz w:val="24"/>
                <w:szCs w:val="24"/>
                <w:lang w:eastAsia="lv-LV"/>
              </w:rPr>
              <w:t>citi šķidrumi ar uzliesmošanas temperatūru ≤ 60 °C, kuri īpašos apstākļos, piemēram, ja ir augsts spiediens vai augsta temperatūra, var izraisīt vai palielināt rūpniecisko avāriju risku</w:t>
            </w:r>
            <w:r w:rsidR="00043019" w:rsidRPr="00FD2515">
              <w:rPr>
                <w:rFonts w:ascii="Times New Roman" w:eastAsia="Times New Roman" w:hAnsi="Times New Roman" w:cs="Times New Roman"/>
                <w:sz w:val="24"/>
                <w:szCs w:val="24"/>
                <w:vertAlign w:val="superscript"/>
                <w:lang w:eastAsia="lv-LV"/>
              </w:rPr>
              <w:t>6</w:t>
            </w:r>
          </w:p>
        </w:tc>
        <w:tc>
          <w:tcPr>
            <w:tcW w:w="1025" w:type="pct"/>
            <w:tcBorders>
              <w:top w:val="outset" w:sz="6" w:space="0" w:color="414142"/>
              <w:left w:val="outset" w:sz="6" w:space="0" w:color="414142"/>
              <w:bottom w:val="outset" w:sz="6" w:space="0" w:color="414142"/>
              <w:right w:val="outset" w:sz="6" w:space="0" w:color="414142"/>
            </w:tcBorders>
            <w:hideMark/>
          </w:tcPr>
          <w:p w14:paraId="4FEB218E"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7DF8FB60"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00B3071F"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P5c</w:t>
            </w:r>
          </w:p>
        </w:tc>
        <w:tc>
          <w:tcPr>
            <w:tcW w:w="3624" w:type="pct"/>
            <w:tcBorders>
              <w:top w:val="outset" w:sz="6" w:space="0" w:color="414142"/>
              <w:left w:val="outset" w:sz="6" w:space="0" w:color="414142"/>
              <w:bottom w:val="outset" w:sz="6" w:space="0" w:color="414142"/>
              <w:right w:val="outset" w:sz="6" w:space="0" w:color="414142"/>
            </w:tcBorders>
            <w:hideMark/>
          </w:tcPr>
          <w:p w14:paraId="6F24EF33"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Uzliesmojoši šķidrumi</w:t>
            </w:r>
            <w:r w:rsidR="00474BA5" w:rsidRPr="00FD2515">
              <w:rPr>
                <w:rFonts w:ascii="Times New Roman" w:eastAsia="Times New Roman" w:hAnsi="Times New Roman" w:cs="Times New Roman"/>
                <w:sz w:val="24"/>
                <w:szCs w:val="24"/>
                <w:lang w:eastAsia="lv-LV"/>
              </w:rPr>
              <w:t>:</w:t>
            </w:r>
          </w:p>
          <w:p w14:paraId="59063A27" w14:textId="77777777" w:rsidR="00043019"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 un 3. kategorijas uzliesmojoši šķidrumi, uz kuriem neattiecas P5a un P5b kategorija</w:t>
            </w:r>
          </w:p>
        </w:tc>
        <w:tc>
          <w:tcPr>
            <w:tcW w:w="1025" w:type="pct"/>
            <w:tcBorders>
              <w:top w:val="outset" w:sz="6" w:space="0" w:color="414142"/>
              <w:left w:val="outset" w:sz="6" w:space="0" w:color="414142"/>
              <w:bottom w:val="outset" w:sz="6" w:space="0" w:color="414142"/>
              <w:right w:val="outset" w:sz="6" w:space="0" w:color="414142"/>
            </w:tcBorders>
            <w:hideMark/>
          </w:tcPr>
          <w:p w14:paraId="5EF1D158"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500</w:t>
            </w:r>
          </w:p>
        </w:tc>
      </w:tr>
      <w:tr w:rsidR="00FD2515" w:rsidRPr="00FD2515" w14:paraId="4D3B6B8C"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53D08CFB"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P6a</w:t>
            </w:r>
          </w:p>
        </w:tc>
        <w:tc>
          <w:tcPr>
            <w:tcW w:w="3624" w:type="pct"/>
            <w:tcBorders>
              <w:top w:val="outset" w:sz="6" w:space="0" w:color="414142"/>
              <w:left w:val="outset" w:sz="6" w:space="0" w:color="414142"/>
              <w:bottom w:val="outset" w:sz="6" w:space="0" w:color="414142"/>
              <w:right w:val="outset" w:sz="6" w:space="0" w:color="414142"/>
            </w:tcBorders>
            <w:hideMark/>
          </w:tcPr>
          <w:p w14:paraId="02BD63D0"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Pašreaģējošas</w:t>
            </w:r>
            <w:proofErr w:type="spellEnd"/>
            <w:r w:rsidRPr="00FD2515">
              <w:rPr>
                <w:rFonts w:ascii="Times New Roman" w:eastAsia="Times New Roman" w:hAnsi="Times New Roman" w:cs="Times New Roman"/>
                <w:sz w:val="24"/>
                <w:szCs w:val="24"/>
                <w:lang w:eastAsia="lv-LV"/>
              </w:rPr>
              <w:t xml:space="preserve"> vielas un maisījumi un organiskie peroksīdi</w:t>
            </w:r>
            <w:r w:rsidR="00474BA5" w:rsidRPr="00FD2515">
              <w:rPr>
                <w:rFonts w:ascii="Times New Roman" w:eastAsia="Times New Roman" w:hAnsi="Times New Roman" w:cs="Times New Roman"/>
                <w:sz w:val="24"/>
                <w:szCs w:val="24"/>
                <w:lang w:eastAsia="lv-LV"/>
              </w:rPr>
              <w:t>:</w:t>
            </w:r>
          </w:p>
          <w:p w14:paraId="4FDCD218" w14:textId="77777777" w:rsidR="00043019"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xml:space="preserve">A vai B veida </w:t>
            </w:r>
            <w:proofErr w:type="spellStart"/>
            <w:r w:rsidRPr="00FD2515">
              <w:rPr>
                <w:rFonts w:ascii="Times New Roman" w:eastAsia="Times New Roman" w:hAnsi="Times New Roman" w:cs="Times New Roman"/>
                <w:sz w:val="24"/>
                <w:szCs w:val="24"/>
                <w:lang w:eastAsia="lv-LV"/>
              </w:rPr>
              <w:t>pašreaģējošas</w:t>
            </w:r>
            <w:proofErr w:type="spellEnd"/>
            <w:r w:rsidRPr="00FD2515">
              <w:rPr>
                <w:rFonts w:ascii="Times New Roman" w:eastAsia="Times New Roman" w:hAnsi="Times New Roman" w:cs="Times New Roman"/>
                <w:sz w:val="24"/>
                <w:szCs w:val="24"/>
                <w:lang w:eastAsia="lv-LV"/>
              </w:rPr>
              <w:t xml:space="preserve"> vielas un maisījumi vai A vai B veida organiskie peroksīdi</w:t>
            </w:r>
          </w:p>
        </w:tc>
        <w:tc>
          <w:tcPr>
            <w:tcW w:w="1025" w:type="pct"/>
            <w:tcBorders>
              <w:top w:val="outset" w:sz="6" w:space="0" w:color="414142"/>
              <w:left w:val="outset" w:sz="6" w:space="0" w:color="414142"/>
              <w:bottom w:val="outset" w:sz="6" w:space="0" w:color="414142"/>
              <w:right w:val="outset" w:sz="6" w:space="0" w:color="414142"/>
            </w:tcBorders>
            <w:hideMark/>
          </w:tcPr>
          <w:p w14:paraId="6574CF23"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18634B12"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7B99C108"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P6b</w:t>
            </w:r>
          </w:p>
        </w:tc>
        <w:tc>
          <w:tcPr>
            <w:tcW w:w="3624" w:type="pct"/>
            <w:tcBorders>
              <w:top w:val="outset" w:sz="6" w:space="0" w:color="414142"/>
              <w:left w:val="outset" w:sz="6" w:space="0" w:color="414142"/>
              <w:bottom w:val="outset" w:sz="6" w:space="0" w:color="414142"/>
              <w:right w:val="outset" w:sz="6" w:space="0" w:color="414142"/>
            </w:tcBorders>
            <w:hideMark/>
          </w:tcPr>
          <w:p w14:paraId="548F54AE"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Pašreaģējošas</w:t>
            </w:r>
            <w:proofErr w:type="spellEnd"/>
            <w:r w:rsidRPr="00FD2515">
              <w:rPr>
                <w:rFonts w:ascii="Times New Roman" w:eastAsia="Times New Roman" w:hAnsi="Times New Roman" w:cs="Times New Roman"/>
                <w:sz w:val="24"/>
                <w:szCs w:val="24"/>
                <w:lang w:eastAsia="lv-LV"/>
              </w:rPr>
              <w:t xml:space="preserve"> vielas un maisījumi un organiskie peroksīdi</w:t>
            </w:r>
            <w:r w:rsidR="00474BA5" w:rsidRPr="00FD2515">
              <w:rPr>
                <w:rFonts w:ascii="Times New Roman" w:eastAsia="Times New Roman" w:hAnsi="Times New Roman" w:cs="Times New Roman"/>
                <w:sz w:val="24"/>
                <w:szCs w:val="24"/>
                <w:lang w:eastAsia="lv-LV"/>
              </w:rPr>
              <w:t>:</w:t>
            </w:r>
          </w:p>
          <w:p w14:paraId="202A5A31" w14:textId="7EB8ED5B" w:rsidR="00043019" w:rsidRPr="00FD2515" w:rsidRDefault="00043019" w:rsidP="00E67FA1">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xml:space="preserve">C, D, E vai F veida </w:t>
            </w:r>
            <w:proofErr w:type="spellStart"/>
            <w:r w:rsidRPr="00FD2515">
              <w:rPr>
                <w:rFonts w:ascii="Times New Roman" w:eastAsia="Times New Roman" w:hAnsi="Times New Roman" w:cs="Times New Roman"/>
                <w:sz w:val="24"/>
                <w:szCs w:val="24"/>
                <w:lang w:eastAsia="lv-LV"/>
              </w:rPr>
              <w:t>pašreaģējošas</w:t>
            </w:r>
            <w:proofErr w:type="spellEnd"/>
            <w:r w:rsidRPr="00FD2515">
              <w:rPr>
                <w:rFonts w:ascii="Times New Roman" w:eastAsia="Times New Roman" w:hAnsi="Times New Roman" w:cs="Times New Roman"/>
                <w:sz w:val="24"/>
                <w:szCs w:val="24"/>
                <w:lang w:eastAsia="lv-LV"/>
              </w:rPr>
              <w:t xml:space="preserve"> vielas un maisījumi vai C, D, E</w:t>
            </w:r>
            <w:r w:rsidR="00E67FA1">
              <w:rPr>
                <w:rFonts w:ascii="Times New Roman" w:eastAsia="Times New Roman" w:hAnsi="Times New Roman" w:cs="Times New Roman"/>
                <w:sz w:val="24"/>
                <w:szCs w:val="24"/>
                <w:lang w:eastAsia="lv-LV"/>
              </w:rPr>
              <w:t> </w:t>
            </w:r>
            <w:r w:rsidRPr="00FD2515">
              <w:rPr>
                <w:rFonts w:ascii="Times New Roman" w:eastAsia="Times New Roman" w:hAnsi="Times New Roman" w:cs="Times New Roman"/>
                <w:sz w:val="24"/>
                <w:szCs w:val="24"/>
                <w:lang w:eastAsia="lv-LV"/>
              </w:rPr>
              <w:t>vai F veida organiskie peroksīdi</w:t>
            </w:r>
          </w:p>
        </w:tc>
        <w:tc>
          <w:tcPr>
            <w:tcW w:w="1025" w:type="pct"/>
            <w:tcBorders>
              <w:top w:val="outset" w:sz="6" w:space="0" w:color="414142"/>
              <w:left w:val="outset" w:sz="6" w:space="0" w:color="414142"/>
              <w:bottom w:val="outset" w:sz="6" w:space="0" w:color="414142"/>
              <w:right w:val="outset" w:sz="6" w:space="0" w:color="414142"/>
            </w:tcBorders>
            <w:hideMark/>
          </w:tcPr>
          <w:p w14:paraId="13D2C885"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657DB7A8"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3443A038"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P7</w:t>
            </w:r>
          </w:p>
        </w:tc>
        <w:tc>
          <w:tcPr>
            <w:tcW w:w="3624" w:type="pct"/>
            <w:tcBorders>
              <w:top w:val="outset" w:sz="6" w:space="0" w:color="414142"/>
              <w:left w:val="outset" w:sz="6" w:space="0" w:color="414142"/>
              <w:bottom w:val="outset" w:sz="6" w:space="0" w:color="414142"/>
              <w:right w:val="outset" w:sz="6" w:space="0" w:color="414142"/>
            </w:tcBorders>
            <w:hideMark/>
          </w:tcPr>
          <w:p w14:paraId="21666467"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Pirofori</w:t>
            </w:r>
            <w:proofErr w:type="spellEnd"/>
            <w:r w:rsidRPr="00FD2515">
              <w:rPr>
                <w:rFonts w:ascii="Times New Roman" w:eastAsia="Times New Roman" w:hAnsi="Times New Roman" w:cs="Times New Roman"/>
                <w:sz w:val="24"/>
                <w:szCs w:val="24"/>
                <w:lang w:eastAsia="lv-LV"/>
              </w:rPr>
              <w:t xml:space="preserve"> šķidrumi un cietvielas:</w:t>
            </w:r>
          </w:p>
          <w:p w14:paraId="13A287B4" w14:textId="3E9993FB" w:rsidR="00474BA5" w:rsidRPr="00FD2515" w:rsidRDefault="00706E60"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043019" w:rsidRPr="00FD2515">
              <w:rPr>
                <w:rFonts w:ascii="Times New Roman" w:eastAsia="Times New Roman" w:hAnsi="Times New Roman" w:cs="Times New Roman"/>
                <w:sz w:val="24"/>
                <w:szCs w:val="24"/>
                <w:lang w:eastAsia="lv-LV"/>
              </w:rPr>
              <w:t xml:space="preserve">1. kategorijas </w:t>
            </w:r>
            <w:proofErr w:type="spellStart"/>
            <w:r w:rsidR="00043019" w:rsidRPr="00FD2515">
              <w:rPr>
                <w:rFonts w:ascii="Times New Roman" w:eastAsia="Times New Roman" w:hAnsi="Times New Roman" w:cs="Times New Roman"/>
                <w:sz w:val="24"/>
                <w:szCs w:val="24"/>
                <w:lang w:eastAsia="lv-LV"/>
              </w:rPr>
              <w:t>pirofori</w:t>
            </w:r>
            <w:proofErr w:type="spellEnd"/>
            <w:r w:rsidR="00043019" w:rsidRPr="00FD2515">
              <w:rPr>
                <w:rFonts w:ascii="Times New Roman" w:eastAsia="Times New Roman" w:hAnsi="Times New Roman" w:cs="Times New Roman"/>
                <w:sz w:val="24"/>
                <w:szCs w:val="24"/>
                <w:lang w:eastAsia="lv-LV"/>
              </w:rPr>
              <w:t xml:space="preserve"> šķidrumi;</w:t>
            </w:r>
          </w:p>
          <w:p w14:paraId="0051EFB3" w14:textId="43013290" w:rsidR="00043019" w:rsidRPr="00FD2515" w:rsidRDefault="00E67FA1" w:rsidP="00706E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06E60">
              <w:rPr>
                <w:rFonts w:ascii="Times New Roman" w:eastAsia="Times New Roman" w:hAnsi="Times New Roman" w:cs="Times New Roman"/>
                <w:sz w:val="24"/>
                <w:szCs w:val="24"/>
                <w:lang w:eastAsia="lv-LV"/>
              </w:rPr>
              <w:t>) </w:t>
            </w:r>
            <w:r w:rsidR="00043019" w:rsidRPr="00FD2515">
              <w:rPr>
                <w:rFonts w:ascii="Times New Roman" w:eastAsia="Times New Roman" w:hAnsi="Times New Roman" w:cs="Times New Roman"/>
                <w:sz w:val="24"/>
                <w:szCs w:val="24"/>
                <w:lang w:eastAsia="lv-LV"/>
              </w:rPr>
              <w:t xml:space="preserve">1. kategorijas </w:t>
            </w:r>
            <w:proofErr w:type="spellStart"/>
            <w:r w:rsidR="00043019" w:rsidRPr="00FD2515">
              <w:rPr>
                <w:rFonts w:ascii="Times New Roman" w:eastAsia="Times New Roman" w:hAnsi="Times New Roman" w:cs="Times New Roman"/>
                <w:sz w:val="24"/>
                <w:szCs w:val="24"/>
                <w:lang w:eastAsia="lv-LV"/>
              </w:rPr>
              <w:t>piroforas</w:t>
            </w:r>
            <w:proofErr w:type="spellEnd"/>
            <w:r w:rsidR="00043019" w:rsidRPr="00FD2515">
              <w:rPr>
                <w:rFonts w:ascii="Times New Roman" w:eastAsia="Times New Roman" w:hAnsi="Times New Roman" w:cs="Times New Roman"/>
                <w:sz w:val="24"/>
                <w:szCs w:val="24"/>
                <w:lang w:eastAsia="lv-LV"/>
              </w:rPr>
              <w:t xml:space="preserve"> cietvielas</w:t>
            </w:r>
          </w:p>
        </w:tc>
        <w:tc>
          <w:tcPr>
            <w:tcW w:w="1025" w:type="pct"/>
            <w:tcBorders>
              <w:top w:val="outset" w:sz="6" w:space="0" w:color="414142"/>
              <w:left w:val="outset" w:sz="6" w:space="0" w:color="414142"/>
              <w:bottom w:val="outset" w:sz="6" w:space="0" w:color="414142"/>
              <w:right w:val="outset" w:sz="6" w:space="0" w:color="414142"/>
            </w:tcBorders>
            <w:hideMark/>
          </w:tcPr>
          <w:p w14:paraId="62655BC0"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06D4B20F"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22FB8744"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P8</w:t>
            </w:r>
          </w:p>
        </w:tc>
        <w:tc>
          <w:tcPr>
            <w:tcW w:w="3624" w:type="pct"/>
            <w:tcBorders>
              <w:top w:val="outset" w:sz="6" w:space="0" w:color="414142"/>
              <w:left w:val="outset" w:sz="6" w:space="0" w:color="414142"/>
              <w:bottom w:val="outset" w:sz="6" w:space="0" w:color="414142"/>
              <w:right w:val="outset" w:sz="6" w:space="0" w:color="414142"/>
            </w:tcBorders>
            <w:hideMark/>
          </w:tcPr>
          <w:p w14:paraId="26811060" w14:textId="77777777" w:rsidR="00474BA5" w:rsidRPr="00FD2515" w:rsidRDefault="00043019" w:rsidP="00474BA5">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Oksidējoši šķidrumi un cietvielas:</w:t>
            </w:r>
          </w:p>
          <w:p w14:paraId="6ED08B8D" w14:textId="2FFB0E49" w:rsidR="00474BA5" w:rsidRPr="00FD2515" w:rsidRDefault="00706E60" w:rsidP="00474B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043019" w:rsidRPr="00FD2515">
              <w:rPr>
                <w:rFonts w:ascii="Times New Roman" w:eastAsia="Times New Roman" w:hAnsi="Times New Roman" w:cs="Times New Roman"/>
                <w:sz w:val="24"/>
                <w:szCs w:val="24"/>
                <w:lang w:eastAsia="lv-LV"/>
              </w:rPr>
              <w:t>1., 2. vai 3. k</w:t>
            </w:r>
            <w:r w:rsidR="00474BA5" w:rsidRPr="00FD2515">
              <w:rPr>
                <w:rFonts w:ascii="Times New Roman" w:eastAsia="Times New Roman" w:hAnsi="Times New Roman" w:cs="Times New Roman"/>
                <w:sz w:val="24"/>
                <w:szCs w:val="24"/>
                <w:lang w:eastAsia="lv-LV"/>
              </w:rPr>
              <w:t>ategorijas oksidējoši šķidrumi;</w:t>
            </w:r>
          </w:p>
          <w:p w14:paraId="34E7C5CB" w14:textId="4D5FDC3D" w:rsidR="00043019" w:rsidRPr="00FD2515" w:rsidRDefault="00706E60" w:rsidP="00474B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43019" w:rsidRPr="00FD2515">
              <w:rPr>
                <w:rFonts w:ascii="Times New Roman" w:eastAsia="Times New Roman" w:hAnsi="Times New Roman" w:cs="Times New Roman"/>
                <w:sz w:val="24"/>
                <w:szCs w:val="24"/>
                <w:lang w:eastAsia="lv-LV"/>
              </w:rPr>
              <w:t>1., 2. vai 3. kategorijas oksidējošas cietvielas</w:t>
            </w:r>
          </w:p>
        </w:tc>
        <w:tc>
          <w:tcPr>
            <w:tcW w:w="1025" w:type="pct"/>
            <w:tcBorders>
              <w:top w:val="outset" w:sz="6" w:space="0" w:color="414142"/>
              <w:left w:val="outset" w:sz="6" w:space="0" w:color="414142"/>
              <w:bottom w:val="outset" w:sz="6" w:space="0" w:color="414142"/>
              <w:right w:val="outset" w:sz="6" w:space="0" w:color="414142"/>
            </w:tcBorders>
            <w:hideMark/>
          </w:tcPr>
          <w:p w14:paraId="3A9BD204"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57508029" w14:textId="77777777" w:rsidTr="00474BA5">
        <w:tc>
          <w:tcPr>
            <w:tcW w:w="0" w:type="auto"/>
            <w:gridSpan w:val="3"/>
            <w:tcBorders>
              <w:top w:val="outset" w:sz="6" w:space="0" w:color="414142"/>
              <w:left w:val="outset" w:sz="6" w:space="0" w:color="414142"/>
              <w:bottom w:val="outset" w:sz="6" w:space="0" w:color="414142"/>
              <w:right w:val="outset" w:sz="6" w:space="0" w:color="414142"/>
            </w:tcBorders>
            <w:hideMark/>
          </w:tcPr>
          <w:p w14:paraId="28BF8B52" w14:textId="636DECB5" w:rsidR="00043019" w:rsidRPr="00FD2515" w:rsidRDefault="00474BA5" w:rsidP="00844734">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E</w:t>
            </w:r>
            <w:r w:rsidR="00043019" w:rsidRPr="00FD2515">
              <w:rPr>
                <w:rFonts w:ascii="Times New Roman" w:eastAsia="Times New Roman" w:hAnsi="Times New Roman" w:cs="Times New Roman"/>
                <w:b/>
                <w:sz w:val="24"/>
                <w:szCs w:val="24"/>
                <w:lang w:eastAsia="lv-LV"/>
              </w:rPr>
              <w:t xml:space="preserve"> iedaļa. Bīstamība videi</w:t>
            </w:r>
          </w:p>
        </w:tc>
      </w:tr>
      <w:tr w:rsidR="00FD2515" w:rsidRPr="00FD2515" w14:paraId="573172EB"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465187A6"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E1</w:t>
            </w:r>
          </w:p>
        </w:tc>
        <w:tc>
          <w:tcPr>
            <w:tcW w:w="3624" w:type="pct"/>
            <w:tcBorders>
              <w:top w:val="outset" w:sz="6" w:space="0" w:color="414142"/>
              <w:left w:val="outset" w:sz="6" w:space="0" w:color="414142"/>
              <w:bottom w:val="outset" w:sz="6" w:space="0" w:color="414142"/>
              <w:right w:val="outset" w:sz="6" w:space="0" w:color="414142"/>
            </w:tcBorders>
            <w:hideMark/>
          </w:tcPr>
          <w:p w14:paraId="40CDD494" w14:textId="77777777" w:rsidR="00474BA5"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xml:space="preserve">Ūdens videi </w:t>
            </w:r>
            <w:r w:rsidR="00474BA5" w:rsidRPr="00FD2515">
              <w:rPr>
                <w:rFonts w:ascii="Times New Roman" w:eastAsia="Times New Roman" w:hAnsi="Times New Roman" w:cs="Times New Roman"/>
                <w:sz w:val="24"/>
                <w:szCs w:val="24"/>
                <w:lang w:eastAsia="lv-LV"/>
              </w:rPr>
              <w:t>bīstama viela:</w:t>
            </w:r>
          </w:p>
          <w:p w14:paraId="2E34DD67" w14:textId="5E42E11F" w:rsidR="00043019"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akūtas toksicitātes 1. kategorija vai hroniskas toksicitātes 1.</w:t>
            </w:r>
            <w:r w:rsidR="00706E60">
              <w:rPr>
                <w:rFonts w:ascii="Times New Roman" w:eastAsia="Times New Roman" w:hAnsi="Times New Roman" w:cs="Times New Roman"/>
                <w:sz w:val="24"/>
                <w:szCs w:val="24"/>
                <w:lang w:eastAsia="lv-LV"/>
              </w:rPr>
              <w:t> </w:t>
            </w:r>
            <w:r w:rsidRPr="00FD2515">
              <w:rPr>
                <w:rFonts w:ascii="Times New Roman" w:eastAsia="Times New Roman" w:hAnsi="Times New Roman" w:cs="Times New Roman"/>
                <w:sz w:val="24"/>
                <w:szCs w:val="24"/>
                <w:lang w:eastAsia="lv-LV"/>
              </w:rPr>
              <w:t>kategorija</w:t>
            </w:r>
          </w:p>
        </w:tc>
        <w:tc>
          <w:tcPr>
            <w:tcW w:w="1025" w:type="pct"/>
            <w:tcBorders>
              <w:top w:val="outset" w:sz="6" w:space="0" w:color="414142"/>
              <w:left w:val="outset" w:sz="6" w:space="0" w:color="414142"/>
              <w:bottom w:val="outset" w:sz="6" w:space="0" w:color="414142"/>
              <w:right w:val="outset" w:sz="6" w:space="0" w:color="414142"/>
            </w:tcBorders>
            <w:hideMark/>
          </w:tcPr>
          <w:p w14:paraId="3D1E8718"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10</w:t>
            </w:r>
          </w:p>
        </w:tc>
      </w:tr>
      <w:tr w:rsidR="00FD2515" w:rsidRPr="00FD2515" w14:paraId="4F74E547"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1F127AFD"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E2</w:t>
            </w:r>
          </w:p>
        </w:tc>
        <w:tc>
          <w:tcPr>
            <w:tcW w:w="3624" w:type="pct"/>
            <w:tcBorders>
              <w:top w:val="outset" w:sz="6" w:space="0" w:color="414142"/>
              <w:left w:val="outset" w:sz="6" w:space="0" w:color="414142"/>
              <w:bottom w:val="outset" w:sz="6" w:space="0" w:color="414142"/>
              <w:right w:val="outset" w:sz="6" w:space="0" w:color="414142"/>
            </w:tcBorders>
            <w:hideMark/>
          </w:tcPr>
          <w:p w14:paraId="2304F8AE" w14:textId="77777777" w:rsidR="00474BA5" w:rsidRPr="00FD2515" w:rsidRDefault="00474BA5"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Ūdens videi bīstama viela:</w:t>
            </w:r>
          </w:p>
          <w:p w14:paraId="6D68E30B" w14:textId="77777777" w:rsidR="00043019" w:rsidRPr="00FD2515" w:rsidRDefault="00043019" w:rsidP="00706E60">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hroniskas toksicitātes 2. </w:t>
            </w:r>
            <w:r w:rsidR="00474BA5" w:rsidRPr="00FD2515">
              <w:rPr>
                <w:rFonts w:ascii="Times New Roman" w:eastAsia="Times New Roman" w:hAnsi="Times New Roman" w:cs="Times New Roman"/>
                <w:sz w:val="24"/>
                <w:szCs w:val="24"/>
                <w:lang w:eastAsia="lv-LV"/>
              </w:rPr>
              <w:t>k</w:t>
            </w:r>
            <w:r w:rsidRPr="00FD2515">
              <w:rPr>
                <w:rFonts w:ascii="Times New Roman" w:eastAsia="Times New Roman" w:hAnsi="Times New Roman" w:cs="Times New Roman"/>
                <w:sz w:val="24"/>
                <w:szCs w:val="24"/>
                <w:lang w:eastAsia="lv-LV"/>
              </w:rPr>
              <w:t>ategorija</w:t>
            </w:r>
          </w:p>
        </w:tc>
        <w:tc>
          <w:tcPr>
            <w:tcW w:w="1025" w:type="pct"/>
            <w:tcBorders>
              <w:top w:val="outset" w:sz="6" w:space="0" w:color="414142"/>
              <w:left w:val="outset" w:sz="6" w:space="0" w:color="414142"/>
              <w:bottom w:val="outset" w:sz="6" w:space="0" w:color="414142"/>
              <w:right w:val="outset" w:sz="6" w:space="0" w:color="414142"/>
            </w:tcBorders>
            <w:hideMark/>
          </w:tcPr>
          <w:p w14:paraId="6BDB19AD"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20</w:t>
            </w:r>
          </w:p>
        </w:tc>
      </w:tr>
      <w:tr w:rsidR="00FD2515" w:rsidRPr="00FD2515" w14:paraId="7A4DCBEF" w14:textId="77777777" w:rsidTr="00474BA5">
        <w:tc>
          <w:tcPr>
            <w:tcW w:w="0" w:type="auto"/>
            <w:gridSpan w:val="3"/>
            <w:tcBorders>
              <w:top w:val="outset" w:sz="6" w:space="0" w:color="414142"/>
              <w:left w:val="outset" w:sz="6" w:space="0" w:color="414142"/>
              <w:bottom w:val="outset" w:sz="6" w:space="0" w:color="414142"/>
              <w:right w:val="outset" w:sz="6" w:space="0" w:color="414142"/>
            </w:tcBorders>
            <w:hideMark/>
          </w:tcPr>
          <w:p w14:paraId="528CB021" w14:textId="37CF8FDC" w:rsidR="00043019" w:rsidRPr="00FD2515" w:rsidRDefault="00474BA5" w:rsidP="00844734">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O</w:t>
            </w:r>
            <w:r w:rsidR="00043019" w:rsidRPr="00FD2515">
              <w:rPr>
                <w:rFonts w:ascii="Times New Roman" w:eastAsia="Times New Roman" w:hAnsi="Times New Roman" w:cs="Times New Roman"/>
                <w:b/>
                <w:sz w:val="24"/>
                <w:szCs w:val="24"/>
                <w:lang w:eastAsia="lv-LV"/>
              </w:rPr>
              <w:t xml:space="preserve"> iedaļa. Cita bīstamība</w:t>
            </w:r>
          </w:p>
        </w:tc>
      </w:tr>
      <w:tr w:rsidR="00FD2515" w:rsidRPr="00FD2515" w14:paraId="04383D01" w14:textId="77777777" w:rsidTr="007E5AF4">
        <w:trPr>
          <w:trHeight w:val="236"/>
        </w:trPr>
        <w:tc>
          <w:tcPr>
            <w:tcW w:w="351" w:type="pct"/>
            <w:tcBorders>
              <w:top w:val="outset" w:sz="6" w:space="0" w:color="414142"/>
              <w:left w:val="outset" w:sz="6" w:space="0" w:color="414142"/>
              <w:bottom w:val="outset" w:sz="6" w:space="0" w:color="414142"/>
              <w:right w:val="outset" w:sz="6" w:space="0" w:color="414142"/>
            </w:tcBorders>
            <w:hideMark/>
          </w:tcPr>
          <w:p w14:paraId="159589E3"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O1</w:t>
            </w:r>
          </w:p>
        </w:tc>
        <w:tc>
          <w:tcPr>
            <w:tcW w:w="3624" w:type="pct"/>
            <w:tcBorders>
              <w:top w:val="outset" w:sz="6" w:space="0" w:color="414142"/>
              <w:left w:val="outset" w:sz="6" w:space="0" w:color="414142"/>
              <w:bottom w:val="outset" w:sz="6" w:space="0" w:color="414142"/>
              <w:right w:val="outset" w:sz="6" w:space="0" w:color="414142"/>
            </w:tcBorders>
            <w:hideMark/>
          </w:tcPr>
          <w:p w14:paraId="24D778E5"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Vielas vai maisījumi ar bīstamības apzīmējumu EUH014</w:t>
            </w:r>
          </w:p>
        </w:tc>
        <w:tc>
          <w:tcPr>
            <w:tcW w:w="1025" w:type="pct"/>
            <w:tcBorders>
              <w:top w:val="outset" w:sz="6" w:space="0" w:color="414142"/>
              <w:left w:val="outset" w:sz="6" w:space="0" w:color="414142"/>
              <w:bottom w:val="outset" w:sz="6" w:space="0" w:color="414142"/>
              <w:right w:val="outset" w:sz="6" w:space="0" w:color="414142"/>
            </w:tcBorders>
            <w:hideMark/>
          </w:tcPr>
          <w:p w14:paraId="7945C234"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10</w:t>
            </w:r>
          </w:p>
        </w:tc>
      </w:tr>
      <w:tr w:rsidR="00FD2515" w:rsidRPr="00FD2515" w14:paraId="5C889362" w14:textId="77777777" w:rsidTr="007E5AF4">
        <w:trPr>
          <w:trHeight w:val="440"/>
        </w:trPr>
        <w:tc>
          <w:tcPr>
            <w:tcW w:w="351" w:type="pct"/>
            <w:tcBorders>
              <w:top w:val="outset" w:sz="6" w:space="0" w:color="414142"/>
              <w:left w:val="outset" w:sz="6" w:space="0" w:color="414142"/>
              <w:bottom w:val="outset" w:sz="6" w:space="0" w:color="414142"/>
              <w:right w:val="outset" w:sz="6" w:space="0" w:color="414142"/>
            </w:tcBorders>
            <w:hideMark/>
          </w:tcPr>
          <w:p w14:paraId="7C89096E"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O2</w:t>
            </w:r>
          </w:p>
        </w:tc>
        <w:tc>
          <w:tcPr>
            <w:tcW w:w="3624" w:type="pct"/>
            <w:tcBorders>
              <w:top w:val="outset" w:sz="6" w:space="0" w:color="414142"/>
              <w:left w:val="outset" w:sz="6" w:space="0" w:color="414142"/>
              <w:bottom w:val="outset" w:sz="6" w:space="0" w:color="414142"/>
              <w:right w:val="outset" w:sz="6" w:space="0" w:color="414142"/>
            </w:tcBorders>
            <w:hideMark/>
          </w:tcPr>
          <w:p w14:paraId="303BB866" w14:textId="77777777" w:rsidR="00043019" w:rsidRPr="00FD2515" w:rsidRDefault="00043019" w:rsidP="00474BA5">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Vielas vai maisījumi, kas saskarē ar ūdeni izdala uzliesmojošas gāzes, 1. </w:t>
            </w:r>
            <w:r w:rsidR="00474BA5" w:rsidRPr="00FD2515">
              <w:rPr>
                <w:rFonts w:ascii="Times New Roman" w:eastAsia="Times New Roman" w:hAnsi="Times New Roman" w:cs="Times New Roman"/>
                <w:sz w:val="24"/>
                <w:szCs w:val="24"/>
                <w:lang w:eastAsia="lv-LV"/>
              </w:rPr>
              <w:t>k</w:t>
            </w:r>
            <w:r w:rsidRPr="00FD2515">
              <w:rPr>
                <w:rFonts w:ascii="Times New Roman" w:eastAsia="Times New Roman" w:hAnsi="Times New Roman" w:cs="Times New Roman"/>
                <w:sz w:val="24"/>
                <w:szCs w:val="24"/>
                <w:lang w:eastAsia="lv-LV"/>
              </w:rPr>
              <w:t>ategorija</w:t>
            </w:r>
          </w:p>
        </w:tc>
        <w:tc>
          <w:tcPr>
            <w:tcW w:w="1025" w:type="pct"/>
            <w:tcBorders>
              <w:top w:val="outset" w:sz="6" w:space="0" w:color="414142"/>
              <w:left w:val="outset" w:sz="6" w:space="0" w:color="414142"/>
              <w:bottom w:val="outset" w:sz="6" w:space="0" w:color="414142"/>
              <w:right w:val="outset" w:sz="6" w:space="0" w:color="414142"/>
            </w:tcBorders>
            <w:hideMark/>
          </w:tcPr>
          <w:p w14:paraId="7E1DE935"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10</w:t>
            </w:r>
          </w:p>
        </w:tc>
      </w:tr>
      <w:tr w:rsidR="00FD2515" w:rsidRPr="00FD2515" w14:paraId="185C193D" w14:textId="77777777" w:rsidTr="00706E60">
        <w:tc>
          <w:tcPr>
            <w:tcW w:w="351" w:type="pct"/>
            <w:tcBorders>
              <w:top w:val="outset" w:sz="6" w:space="0" w:color="414142"/>
              <w:left w:val="outset" w:sz="6" w:space="0" w:color="414142"/>
              <w:bottom w:val="outset" w:sz="6" w:space="0" w:color="414142"/>
              <w:right w:val="outset" w:sz="6" w:space="0" w:color="414142"/>
            </w:tcBorders>
            <w:hideMark/>
          </w:tcPr>
          <w:p w14:paraId="7E8AFDA0"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O3</w:t>
            </w:r>
          </w:p>
        </w:tc>
        <w:tc>
          <w:tcPr>
            <w:tcW w:w="3624" w:type="pct"/>
            <w:tcBorders>
              <w:top w:val="outset" w:sz="6" w:space="0" w:color="414142"/>
              <w:left w:val="outset" w:sz="6" w:space="0" w:color="414142"/>
              <w:bottom w:val="outset" w:sz="6" w:space="0" w:color="414142"/>
              <w:right w:val="outset" w:sz="6" w:space="0" w:color="414142"/>
            </w:tcBorders>
            <w:hideMark/>
          </w:tcPr>
          <w:p w14:paraId="3530D9F6" w14:textId="77777777" w:rsidR="00043019" w:rsidRPr="00FD2515" w:rsidRDefault="00043019" w:rsidP="0084473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Vielas vai maisījumi ar bīstamības apzīmējumu EUH029</w:t>
            </w:r>
          </w:p>
        </w:tc>
        <w:tc>
          <w:tcPr>
            <w:tcW w:w="1025" w:type="pct"/>
            <w:tcBorders>
              <w:top w:val="outset" w:sz="6" w:space="0" w:color="414142"/>
              <w:left w:val="outset" w:sz="6" w:space="0" w:color="414142"/>
              <w:bottom w:val="outset" w:sz="6" w:space="0" w:color="414142"/>
              <w:right w:val="outset" w:sz="6" w:space="0" w:color="414142"/>
            </w:tcBorders>
            <w:hideMark/>
          </w:tcPr>
          <w:p w14:paraId="2E268F81" w14:textId="77777777" w:rsidR="00043019" w:rsidRPr="00FD2515" w:rsidRDefault="00043019" w:rsidP="00844734">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bl>
    <w:p w14:paraId="2040F6AE" w14:textId="77777777" w:rsidR="00AE2FA4" w:rsidRPr="007E5AF4" w:rsidRDefault="00AE2FA4" w:rsidP="00043019">
      <w:pPr>
        <w:shd w:val="clear" w:color="auto" w:fill="FFFFFF"/>
        <w:spacing w:after="0" w:line="240" w:lineRule="auto"/>
        <w:rPr>
          <w:rFonts w:ascii="Times New Roman" w:eastAsia="Times New Roman" w:hAnsi="Times New Roman" w:cs="Times New Roman"/>
          <w:sz w:val="28"/>
          <w:szCs w:val="28"/>
          <w:lang w:eastAsia="lv-LV"/>
        </w:rPr>
      </w:pPr>
    </w:p>
    <w:p w14:paraId="7744298E" w14:textId="07CF5979" w:rsidR="00AE2FA4" w:rsidRPr="00FD2515" w:rsidRDefault="00AE2FA4" w:rsidP="00706E60">
      <w:pPr>
        <w:shd w:val="clear" w:color="auto" w:fill="FFFFFF"/>
        <w:spacing w:after="0" w:line="240" w:lineRule="auto"/>
        <w:ind w:firstLine="709"/>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Piezīmes</w:t>
      </w:r>
      <w:r w:rsidR="00706E60">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 xml:space="preserve"> </w:t>
      </w:r>
    </w:p>
    <w:p w14:paraId="189C2E08" w14:textId="7BD261C8" w:rsidR="007E5AF4" w:rsidRDefault="00E22FC5" w:rsidP="00474BA5">
      <w:pPr>
        <w:tabs>
          <w:tab w:val="left" w:pos="851"/>
        </w:tabs>
        <w:spacing w:after="0"/>
        <w:ind w:firstLine="709"/>
        <w:jc w:val="both"/>
        <w:rPr>
          <w:rFonts w:ascii="Times New Roman" w:hAnsi="Times New Roman" w:cs="Times New Roman"/>
          <w:sz w:val="24"/>
          <w:szCs w:val="24"/>
        </w:rPr>
      </w:pPr>
      <w:r w:rsidRPr="00FD2515">
        <w:rPr>
          <w:rFonts w:ascii="Times New Roman" w:hAnsi="Times New Roman" w:cs="Times New Roman"/>
          <w:sz w:val="24"/>
          <w:szCs w:val="24"/>
          <w:vertAlign w:val="superscript"/>
        </w:rPr>
        <w:t>1</w:t>
      </w:r>
      <w:r w:rsidRPr="00FD2515">
        <w:rPr>
          <w:rFonts w:ascii="Times New Roman" w:hAnsi="Times New Roman" w:cs="Times New Roman"/>
          <w:sz w:val="24"/>
          <w:szCs w:val="24"/>
        </w:rPr>
        <w:tab/>
      </w:r>
      <w:r w:rsidR="007E5AF4">
        <w:rPr>
          <w:rFonts w:ascii="Times New Roman" w:hAnsi="Times New Roman" w:cs="Times New Roman"/>
          <w:sz w:val="24"/>
          <w:szCs w:val="24"/>
        </w:rPr>
        <w:t>B</w:t>
      </w:r>
      <w:r w:rsidR="00AE2FA4" w:rsidRPr="00FD2515">
        <w:rPr>
          <w:rFonts w:ascii="Times New Roman" w:hAnsi="Times New Roman" w:cs="Times New Roman"/>
          <w:sz w:val="24"/>
          <w:szCs w:val="24"/>
        </w:rPr>
        <w:t>īstamās vielas, kas iekļautas akūtas toksicitātes 3. kategorijā H301 (toksisks, ja norīts), pieskaita H2 akūtas toksicitātes kategorija</w:t>
      </w:r>
      <w:r w:rsidR="007E5AF4">
        <w:rPr>
          <w:rFonts w:ascii="Times New Roman" w:hAnsi="Times New Roman" w:cs="Times New Roman"/>
          <w:sz w:val="24"/>
          <w:szCs w:val="24"/>
        </w:rPr>
        <w:t>i</w:t>
      </w:r>
      <w:r w:rsidR="00AE2FA4" w:rsidRPr="00FD2515">
        <w:rPr>
          <w:rFonts w:ascii="Times New Roman" w:hAnsi="Times New Roman" w:cs="Times New Roman"/>
          <w:sz w:val="24"/>
          <w:szCs w:val="24"/>
        </w:rPr>
        <w:t>, ja tās nav iespējams klasificēt kā akūti toksiskas iedarbībā caur ādu vai ieelpojot, tādēļ ka trūkst nepieciešamo datu par toksiskumu ieelpojot vai toksiskumu iedarbībā caur ādu.</w:t>
      </w:r>
    </w:p>
    <w:p w14:paraId="50FE27D9" w14:textId="77777777" w:rsidR="007E5AF4" w:rsidRDefault="007E5AF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E519BC9" w14:textId="77777777" w:rsidR="00AE2FA4" w:rsidRPr="00FD2515" w:rsidRDefault="00AE2FA4" w:rsidP="00474BA5">
      <w:pPr>
        <w:tabs>
          <w:tab w:val="left" w:pos="851"/>
        </w:tabs>
        <w:spacing w:after="0"/>
        <w:ind w:firstLine="709"/>
        <w:jc w:val="both"/>
        <w:rPr>
          <w:rFonts w:ascii="Times New Roman" w:hAnsi="Times New Roman" w:cs="Times New Roman"/>
          <w:sz w:val="24"/>
          <w:szCs w:val="24"/>
        </w:rPr>
      </w:pPr>
    </w:p>
    <w:p w14:paraId="3A9EB017" w14:textId="3CE1CDE3" w:rsidR="00AE2FA4" w:rsidRPr="00FD2515" w:rsidRDefault="00E22FC5" w:rsidP="00474BA5">
      <w:pPr>
        <w:tabs>
          <w:tab w:val="left" w:pos="851"/>
        </w:tabs>
        <w:spacing w:after="0"/>
        <w:ind w:firstLine="709"/>
        <w:jc w:val="both"/>
        <w:rPr>
          <w:rFonts w:ascii="Times New Roman" w:hAnsi="Times New Roman" w:cs="Times New Roman"/>
          <w:sz w:val="24"/>
          <w:szCs w:val="24"/>
        </w:rPr>
      </w:pPr>
      <w:r w:rsidRPr="00FD2515">
        <w:rPr>
          <w:rFonts w:ascii="Times New Roman" w:hAnsi="Times New Roman" w:cs="Times New Roman"/>
          <w:sz w:val="24"/>
          <w:szCs w:val="24"/>
          <w:vertAlign w:val="superscript"/>
        </w:rPr>
        <w:t>2</w:t>
      </w:r>
      <w:r w:rsidRPr="00FD2515">
        <w:rPr>
          <w:rFonts w:ascii="Times New Roman" w:hAnsi="Times New Roman" w:cs="Times New Roman"/>
          <w:sz w:val="24"/>
          <w:szCs w:val="24"/>
        </w:rPr>
        <w:tab/>
      </w:r>
      <w:r w:rsidR="007E5AF4">
        <w:rPr>
          <w:rFonts w:ascii="Times New Roman" w:hAnsi="Times New Roman" w:cs="Times New Roman"/>
          <w:sz w:val="24"/>
          <w:szCs w:val="24"/>
        </w:rPr>
        <w:t>S</w:t>
      </w:r>
      <w:r w:rsidR="00AE2FA4" w:rsidRPr="00FD2515">
        <w:rPr>
          <w:rFonts w:ascii="Times New Roman" w:hAnsi="Times New Roman" w:cs="Times New Roman"/>
          <w:sz w:val="24"/>
          <w:szCs w:val="24"/>
        </w:rPr>
        <w:t>prādzienbīstamo materiālu kategorijā ir ietverti arī sprādzienbīstami izstrādājumi atbilstoši regulas Nr.</w:t>
      </w:r>
      <w:r w:rsidR="007E5AF4">
        <w:rPr>
          <w:rFonts w:ascii="Times New Roman" w:hAnsi="Times New Roman" w:cs="Times New Roman"/>
          <w:sz w:val="24"/>
          <w:szCs w:val="24"/>
        </w:rPr>
        <w:t> </w:t>
      </w:r>
      <w:r w:rsidR="00AE2FA4" w:rsidRPr="00FD2515">
        <w:rPr>
          <w:rFonts w:ascii="Times New Roman" w:hAnsi="Times New Roman" w:cs="Times New Roman"/>
          <w:sz w:val="24"/>
          <w:szCs w:val="24"/>
        </w:rPr>
        <w:t>1272/2008 I pielikuma 2.1. sadaļai. Ja ir zināms sprādzienbīstamas vielas vai maisījuma daudzums šādā izstrādājumā, to ņem vērā. Ja nav zināms sprādzien</w:t>
      </w:r>
      <w:r w:rsidR="007E5AF4">
        <w:rPr>
          <w:rFonts w:ascii="Times New Roman" w:hAnsi="Times New Roman" w:cs="Times New Roman"/>
          <w:sz w:val="24"/>
          <w:szCs w:val="24"/>
        </w:rPr>
        <w:softHyphen/>
      </w:r>
      <w:r w:rsidR="00AE2FA4" w:rsidRPr="00FD2515">
        <w:rPr>
          <w:rFonts w:ascii="Times New Roman" w:hAnsi="Times New Roman" w:cs="Times New Roman"/>
          <w:sz w:val="24"/>
          <w:szCs w:val="24"/>
        </w:rPr>
        <w:t>bīstamas vielas vai maisījuma daudzums šādā izstrādājumā, viss izstrādājums ir uzskatāms par sprādzienbīstamu izstrādājumu.</w:t>
      </w:r>
    </w:p>
    <w:p w14:paraId="74D62B42" w14:textId="662EAC10" w:rsidR="00AE2FA4" w:rsidRPr="00FD2515" w:rsidRDefault="00E22FC5" w:rsidP="00474BA5">
      <w:pPr>
        <w:tabs>
          <w:tab w:val="left" w:pos="851"/>
        </w:tabs>
        <w:spacing w:after="0"/>
        <w:ind w:firstLine="709"/>
        <w:jc w:val="both"/>
        <w:rPr>
          <w:rFonts w:ascii="Times New Roman" w:hAnsi="Times New Roman" w:cs="Times New Roman"/>
          <w:sz w:val="24"/>
          <w:szCs w:val="24"/>
        </w:rPr>
      </w:pPr>
      <w:r w:rsidRPr="00FD2515">
        <w:rPr>
          <w:rFonts w:ascii="Times New Roman" w:hAnsi="Times New Roman" w:cs="Times New Roman"/>
          <w:sz w:val="24"/>
          <w:szCs w:val="24"/>
          <w:vertAlign w:val="superscript"/>
        </w:rPr>
        <w:t>3</w:t>
      </w:r>
      <w:r w:rsidRPr="00FD2515">
        <w:rPr>
          <w:rFonts w:ascii="Times New Roman" w:hAnsi="Times New Roman" w:cs="Times New Roman"/>
          <w:sz w:val="24"/>
          <w:szCs w:val="24"/>
        </w:rPr>
        <w:tab/>
      </w:r>
      <w:r w:rsidR="007E5AF4">
        <w:rPr>
          <w:rFonts w:ascii="Times New Roman" w:hAnsi="Times New Roman" w:cs="Times New Roman"/>
          <w:sz w:val="24"/>
          <w:szCs w:val="24"/>
        </w:rPr>
        <w:t>V</w:t>
      </w:r>
      <w:r w:rsidR="00AE2FA4" w:rsidRPr="00FD2515">
        <w:rPr>
          <w:rFonts w:ascii="Times New Roman" w:hAnsi="Times New Roman" w:cs="Times New Roman"/>
          <w:sz w:val="24"/>
          <w:szCs w:val="24"/>
        </w:rPr>
        <w:t>ielu un maisījumu sprādzienbīstamības testēšana ir nepieciešama tikai tad, ja saskaņā ar Apvienoto Nāciju Organizācijas (ANO) Rekomendāciju par bīstamu kravu pārvadājumiem Testēšanas un kritēriju rokasgrāmatas (ANO Testēšanas un kritēriju rokasgrāmata) 6. papildinājuma III daļā norādītajām procedūrām tiek konstatēts, ka vielai vai maisījumam ir iespējamas sprādzienbīstamas īpašības.</w:t>
      </w:r>
    </w:p>
    <w:p w14:paraId="57467910" w14:textId="4FF64CF5" w:rsidR="00AE2FA4" w:rsidRPr="00FD2515" w:rsidRDefault="00E22FC5" w:rsidP="000962F3">
      <w:pPr>
        <w:tabs>
          <w:tab w:val="left" w:pos="851"/>
        </w:tabs>
        <w:spacing w:after="0"/>
        <w:ind w:firstLine="709"/>
        <w:jc w:val="both"/>
        <w:rPr>
          <w:rFonts w:ascii="Times New Roman" w:hAnsi="Times New Roman" w:cs="Times New Roman"/>
          <w:sz w:val="24"/>
          <w:szCs w:val="24"/>
        </w:rPr>
      </w:pPr>
      <w:r w:rsidRPr="00FD2515">
        <w:rPr>
          <w:rFonts w:ascii="Times New Roman" w:hAnsi="Times New Roman" w:cs="Times New Roman"/>
          <w:sz w:val="24"/>
          <w:szCs w:val="24"/>
          <w:vertAlign w:val="superscript"/>
        </w:rPr>
        <w:t>4</w:t>
      </w:r>
      <w:r w:rsidRPr="00FD2515">
        <w:rPr>
          <w:rFonts w:ascii="Times New Roman" w:hAnsi="Times New Roman" w:cs="Times New Roman"/>
          <w:sz w:val="24"/>
          <w:szCs w:val="24"/>
        </w:rPr>
        <w:tab/>
      </w:r>
      <w:r w:rsidR="007E5AF4">
        <w:rPr>
          <w:rFonts w:ascii="Times New Roman" w:hAnsi="Times New Roman" w:cs="Times New Roman"/>
          <w:sz w:val="24"/>
          <w:szCs w:val="24"/>
        </w:rPr>
        <w:t>J</w:t>
      </w:r>
      <w:r w:rsidR="00AE2FA4" w:rsidRPr="00FD2515">
        <w:rPr>
          <w:rFonts w:ascii="Times New Roman" w:hAnsi="Times New Roman" w:cs="Times New Roman"/>
          <w:sz w:val="24"/>
          <w:szCs w:val="24"/>
        </w:rPr>
        <w:t>a 1.4. apakšgrupas sprāgstvielas izpako vai iepako atkārtoti, uz tām attiecas ieraksts P1a, ja vien bīstamība nav norādīta atbilstoši 1.4. apakšgrupai, kā paredzēts regulā Nr.</w:t>
      </w:r>
      <w:r w:rsidR="007E5AF4">
        <w:rPr>
          <w:rFonts w:ascii="Times New Roman" w:hAnsi="Times New Roman" w:cs="Times New Roman"/>
          <w:sz w:val="24"/>
          <w:szCs w:val="24"/>
        </w:rPr>
        <w:t> </w:t>
      </w:r>
      <w:r w:rsidR="00AE2FA4" w:rsidRPr="00FD2515">
        <w:rPr>
          <w:rFonts w:ascii="Times New Roman" w:hAnsi="Times New Roman" w:cs="Times New Roman"/>
          <w:sz w:val="24"/>
          <w:szCs w:val="24"/>
        </w:rPr>
        <w:t>1272/2008.</w:t>
      </w:r>
    </w:p>
    <w:p w14:paraId="459F3ED7" w14:textId="4D86E80A" w:rsidR="00AE2FA4" w:rsidRPr="00FD2515" w:rsidRDefault="00E22FC5" w:rsidP="000962F3">
      <w:pPr>
        <w:tabs>
          <w:tab w:val="left" w:pos="851"/>
        </w:tabs>
        <w:spacing w:after="0"/>
        <w:ind w:firstLine="709"/>
        <w:jc w:val="both"/>
        <w:rPr>
          <w:rFonts w:ascii="Times New Roman" w:hAnsi="Times New Roman" w:cs="Times New Roman"/>
          <w:sz w:val="24"/>
          <w:szCs w:val="24"/>
        </w:rPr>
      </w:pPr>
      <w:r w:rsidRPr="00FD2515">
        <w:rPr>
          <w:rFonts w:ascii="Times New Roman" w:hAnsi="Times New Roman" w:cs="Times New Roman"/>
          <w:sz w:val="24"/>
          <w:szCs w:val="24"/>
          <w:vertAlign w:val="superscript"/>
        </w:rPr>
        <w:t>5</w:t>
      </w:r>
      <w:r w:rsidRPr="00FD2515">
        <w:rPr>
          <w:rFonts w:ascii="Times New Roman" w:hAnsi="Times New Roman" w:cs="Times New Roman"/>
          <w:sz w:val="24"/>
          <w:szCs w:val="24"/>
        </w:rPr>
        <w:tab/>
      </w:r>
      <w:r w:rsidR="007E5AF4">
        <w:rPr>
          <w:rFonts w:ascii="Times New Roman" w:hAnsi="Times New Roman" w:cs="Times New Roman"/>
          <w:sz w:val="24"/>
          <w:szCs w:val="24"/>
        </w:rPr>
        <w:t>U</w:t>
      </w:r>
      <w:r w:rsidR="00AE2FA4" w:rsidRPr="00FD2515">
        <w:rPr>
          <w:rFonts w:ascii="Times New Roman" w:hAnsi="Times New Roman" w:cs="Times New Roman"/>
          <w:sz w:val="24"/>
          <w:szCs w:val="24"/>
        </w:rPr>
        <w:t>zliesmojošus aerosolus klasificē saskaņā ar normatīvajiem aktiem par būtiskām prasībām aerosola flakoniem un to marķēšanai un klasificēšanai. Šajā normatīvajā aktā minētie īpaši viegli uzliesmojoši un uzliesmojoši aerosoli atbilst attiecīgi regulas Nr.</w:t>
      </w:r>
      <w:r w:rsidR="007E5AF4">
        <w:rPr>
          <w:rFonts w:ascii="Times New Roman" w:hAnsi="Times New Roman" w:cs="Times New Roman"/>
          <w:sz w:val="24"/>
          <w:szCs w:val="24"/>
        </w:rPr>
        <w:t> </w:t>
      </w:r>
      <w:r w:rsidR="00AE2FA4" w:rsidRPr="00FD2515">
        <w:rPr>
          <w:rFonts w:ascii="Times New Roman" w:hAnsi="Times New Roman" w:cs="Times New Roman"/>
          <w:sz w:val="24"/>
          <w:szCs w:val="24"/>
        </w:rPr>
        <w:t>1272/2008 1. vai 2. kategorijas uzliesmojošiem aerosoliem.</w:t>
      </w:r>
    </w:p>
    <w:p w14:paraId="093AAAC1" w14:textId="45646DCC" w:rsidR="00043019" w:rsidRPr="00FD2515" w:rsidRDefault="00E22FC5" w:rsidP="000962F3">
      <w:pPr>
        <w:tabs>
          <w:tab w:val="left" w:pos="851"/>
        </w:tabs>
        <w:spacing w:after="0"/>
        <w:ind w:firstLine="709"/>
        <w:jc w:val="both"/>
        <w:rPr>
          <w:rFonts w:ascii="Times New Roman" w:hAnsi="Times New Roman" w:cs="Times New Roman"/>
          <w:sz w:val="24"/>
          <w:szCs w:val="24"/>
        </w:rPr>
      </w:pPr>
      <w:r w:rsidRPr="00FD2515">
        <w:rPr>
          <w:rFonts w:ascii="Times New Roman" w:hAnsi="Times New Roman" w:cs="Times New Roman"/>
          <w:sz w:val="24"/>
          <w:szCs w:val="24"/>
          <w:vertAlign w:val="superscript"/>
        </w:rPr>
        <w:t>6</w:t>
      </w:r>
      <w:r w:rsidRPr="00FD2515">
        <w:rPr>
          <w:rFonts w:ascii="Times New Roman" w:hAnsi="Times New Roman" w:cs="Times New Roman"/>
          <w:sz w:val="24"/>
          <w:szCs w:val="24"/>
        </w:rPr>
        <w:tab/>
      </w:r>
      <w:r w:rsidR="007E5AF4">
        <w:rPr>
          <w:rFonts w:ascii="Times New Roman" w:hAnsi="Times New Roman" w:cs="Times New Roman"/>
          <w:sz w:val="24"/>
          <w:szCs w:val="24"/>
        </w:rPr>
        <w:t>S</w:t>
      </w:r>
      <w:r w:rsidR="00AE2FA4" w:rsidRPr="00FD2515">
        <w:rPr>
          <w:rFonts w:ascii="Times New Roman" w:hAnsi="Times New Roman" w:cs="Times New Roman"/>
          <w:sz w:val="24"/>
          <w:szCs w:val="24"/>
        </w:rPr>
        <w:t>askaņā ar regulas Nr.</w:t>
      </w:r>
      <w:r w:rsidR="007E5AF4">
        <w:rPr>
          <w:rFonts w:ascii="Times New Roman" w:hAnsi="Times New Roman" w:cs="Times New Roman"/>
          <w:sz w:val="24"/>
          <w:szCs w:val="24"/>
        </w:rPr>
        <w:t> </w:t>
      </w:r>
      <w:r w:rsidR="00AE2FA4" w:rsidRPr="00FD2515">
        <w:rPr>
          <w:rFonts w:ascii="Times New Roman" w:hAnsi="Times New Roman" w:cs="Times New Roman"/>
          <w:sz w:val="24"/>
          <w:szCs w:val="24"/>
        </w:rPr>
        <w:t>1272/2008 I pielikuma 2.6.4.5.</w:t>
      </w:r>
      <w:r w:rsidR="007E5AF4">
        <w:rPr>
          <w:rFonts w:ascii="Times New Roman" w:hAnsi="Times New Roman" w:cs="Times New Roman"/>
          <w:sz w:val="24"/>
          <w:szCs w:val="24"/>
        </w:rPr>
        <w:t> </w:t>
      </w:r>
      <w:r w:rsidR="00AE2FA4" w:rsidRPr="00FD2515">
        <w:rPr>
          <w:rFonts w:ascii="Times New Roman" w:hAnsi="Times New Roman" w:cs="Times New Roman"/>
          <w:sz w:val="24"/>
          <w:szCs w:val="24"/>
        </w:rPr>
        <w:t>punktu šķidrumi, kuru uzliesmošanas temperatūra ir augstāka par 35 °C, nav klasificējami 3. kategorijā, ja ir iegūti negatīvi rezultāti ilgstošas degšanas pārbaudē (Apvienoto Nāciju Organizācijas (ANO) Rekomendāciju par bīstamu kravu pārvadājumiem Testēšanas un kritēriju rokasgrāmatas III</w:t>
      </w:r>
      <w:r w:rsidR="007E5AF4">
        <w:rPr>
          <w:rFonts w:ascii="Times New Roman" w:hAnsi="Times New Roman" w:cs="Times New Roman"/>
          <w:sz w:val="24"/>
          <w:szCs w:val="24"/>
        </w:rPr>
        <w:t> </w:t>
      </w:r>
      <w:r w:rsidR="00AE2FA4" w:rsidRPr="00FD2515">
        <w:rPr>
          <w:rFonts w:ascii="Times New Roman" w:hAnsi="Times New Roman" w:cs="Times New Roman"/>
          <w:sz w:val="24"/>
          <w:szCs w:val="24"/>
        </w:rPr>
        <w:t>daļas 32. iedaļa, L.2). Šis nosacījums neattiecas uz paaugstinātas temperatūras vai augsta spiediena gadījumiem.</w:t>
      </w:r>
    </w:p>
    <w:p w14:paraId="6C41CC1E" w14:textId="77777777" w:rsidR="00494868" w:rsidRPr="00706E60" w:rsidRDefault="00494868" w:rsidP="00494868">
      <w:pPr>
        <w:shd w:val="clear" w:color="auto" w:fill="FFFFFF"/>
        <w:spacing w:after="0" w:line="240" w:lineRule="auto"/>
        <w:ind w:firstLine="300"/>
        <w:jc w:val="right"/>
        <w:rPr>
          <w:rFonts w:ascii="Times New Roman" w:eastAsia="Times New Roman" w:hAnsi="Times New Roman" w:cs="Times New Roman"/>
          <w:sz w:val="24"/>
          <w:szCs w:val="24"/>
          <w:lang w:eastAsia="lv-LV"/>
        </w:rPr>
      </w:pPr>
    </w:p>
    <w:p w14:paraId="33409E66" w14:textId="77777777" w:rsidR="00494868" w:rsidRPr="00706E60" w:rsidRDefault="00494868" w:rsidP="00494868">
      <w:pPr>
        <w:shd w:val="clear" w:color="auto" w:fill="FFFFFF"/>
        <w:spacing w:after="0" w:line="240" w:lineRule="auto"/>
        <w:ind w:firstLine="300"/>
        <w:jc w:val="right"/>
        <w:rPr>
          <w:rFonts w:ascii="Times New Roman" w:eastAsia="Times New Roman" w:hAnsi="Times New Roman" w:cs="Times New Roman"/>
          <w:sz w:val="24"/>
          <w:szCs w:val="24"/>
          <w:lang w:eastAsia="lv-LV"/>
        </w:rPr>
      </w:pPr>
      <w:r w:rsidRPr="00706E60">
        <w:rPr>
          <w:rFonts w:ascii="Times New Roman" w:eastAsia="Times New Roman" w:hAnsi="Times New Roman" w:cs="Times New Roman"/>
          <w:sz w:val="24"/>
          <w:szCs w:val="24"/>
          <w:lang w:eastAsia="lv-LV"/>
        </w:rPr>
        <w:t>2. tabula</w:t>
      </w:r>
    </w:p>
    <w:p w14:paraId="51098080" w14:textId="77777777" w:rsidR="00494868" w:rsidRPr="00494868" w:rsidRDefault="00494868" w:rsidP="00494868">
      <w:pPr>
        <w:shd w:val="clear" w:color="auto" w:fill="FFFFFF"/>
        <w:spacing w:after="0" w:line="240" w:lineRule="auto"/>
        <w:ind w:firstLine="300"/>
        <w:jc w:val="right"/>
        <w:rPr>
          <w:rFonts w:ascii="Times New Roman" w:eastAsia="Times New Roman" w:hAnsi="Times New Roman" w:cs="Times New Roman"/>
          <w:sz w:val="20"/>
          <w:szCs w:val="20"/>
          <w:lang w:eastAsia="lv-LV"/>
        </w:rPr>
      </w:pPr>
    </w:p>
    <w:p w14:paraId="40771BE6" w14:textId="77777777" w:rsidR="00706E60" w:rsidRDefault="00E0707B" w:rsidP="00706E60">
      <w:pPr>
        <w:shd w:val="clear" w:color="auto" w:fill="FFFFFF"/>
        <w:spacing w:after="0" w:line="240" w:lineRule="auto"/>
        <w:jc w:val="center"/>
        <w:rPr>
          <w:rFonts w:ascii="Times New Roman" w:eastAsia="Times New Roman" w:hAnsi="Times New Roman" w:cs="Times New Roman"/>
          <w:b/>
          <w:bCs/>
          <w:sz w:val="28"/>
          <w:szCs w:val="28"/>
          <w:lang w:eastAsia="lv-LV"/>
        </w:rPr>
      </w:pPr>
      <w:r w:rsidRPr="00FD2515">
        <w:rPr>
          <w:rFonts w:ascii="Times New Roman" w:eastAsia="Times New Roman" w:hAnsi="Times New Roman" w:cs="Times New Roman"/>
          <w:b/>
          <w:bCs/>
          <w:sz w:val="28"/>
          <w:szCs w:val="28"/>
          <w:lang w:eastAsia="lv-LV"/>
        </w:rPr>
        <w:t>Kvalificējošie daudzumi bīstamām vielām un bīstamo vielu grupām, pēc kuriem objekts ir pieskaitāms pie vietējas nozīmes paaugstinātas bīstamības objekta</w:t>
      </w:r>
    </w:p>
    <w:p w14:paraId="74939958" w14:textId="77777777" w:rsidR="00494868" w:rsidRPr="00494868" w:rsidRDefault="00494868" w:rsidP="00706E60">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6755"/>
        <w:gridCol w:w="1606"/>
      </w:tblGrid>
      <w:tr w:rsidR="00FD2515" w:rsidRPr="00FD2515" w14:paraId="0159B12C" w14:textId="77777777" w:rsidTr="00227204">
        <w:trPr>
          <w:trHeight w:val="1225"/>
        </w:trPr>
        <w:tc>
          <w:tcPr>
            <w:tcW w:w="402"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2412E5A6" w14:textId="77777777" w:rsidR="00E0707B" w:rsidRPr="00FD2515" w:rsidRDefault="00E0707B" w:rsidP="005D6E2A">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Nr. </w:t>
            </w:r>
            <w:r w:rsidRPr="00FD2515">
              <w:rPr>
                <w:rFonts w:ascii="Times New Roman" w:eastAsia="Times New Roman" w:hAnsi="Times New Roman" w:cs="Times New Roman"/>
                <w:b/>
                <w:sz w:val="24"/>
                <w:szCs w:val="24"/>
                <w:lang w:eastAsia="lv-LV"/>
              </w:rPr>
              <w:br/>
              <w:t>p. k.</w:t>
            </w:r>
          </w:p>
        </w:tc>
        <w:tc>
          <w:tcPr>
            <w:tcW w:w="371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0400DDF6" w14:textId="77777777" w:rsidR="00E0707B" w:rsidRPr="00FD2515" w:rsidRDefault="00E0707B" w:rsidP="005D6E2A">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Bīstamās vielas un bīstamo vielu grupas</w:t>
            </w:r>
          </w:p>
        </w:tc>
        <w:tc>
          <w:tcPr>
            <w:tcW w:w="883" w:type="pct"/>
            <w:tcBorders>
              <w:top w:val="outset" w:sz="6" w:space="0" w:color="414142"/>
              <w:left w:val="outset" w:sz="6" w:space="0" w:color="414142"/>
              <w:right w:val="outset" w:sz="6" w:space="0" w:color="414142"/>
            </w:tcBorders>
            <w:shd w:val="clear" w:color="auto" w:fill="BFBFBF" w:themeFill="background1" w:themeFillShade="BF"/>
            <w:vAlign w:val="center"/>
            <w:hideMark/>
          </w:tcPr>
          <w:p w14:paraId="304FD2E0" w14:textId="77777777" w:rsidR="00E0707B" w:rsidRPr="00FD2515" w:rsidRDefault="00E0707B" w:rsidP="000962F3">
            <w:pPr>
              <w:spacing w:after="0" w:line="240" w:lineRule="auto"/>
              <w:jc w:val="center"/>
              <w:rPr>
                <w:rFonts w:ascii="Times New Roman" w:eastAsia="Times New Roman" w:hAnsi="Times New Roman" w:cs="Times New Roman"/>
                <w:b/>
                <w:sz w:val="24"/>
                <w:szCs w:val="24"/>
                <w:lang w:eastAsia="lv-LV"/>
              </w:rPr>
            </w:pPr>
            <w:r w:rsidRPr="00FD2515">
              <w:rPr>
                <w:rFonts w:ascii="Times New Roman" w:eastAsia="Times New Roman" w:hAnsi="Times New Roman" w:cs="Times New Roman"/>
                <w:b/>
                <w:sz w:val="24"/>
                <w:szCs w:val="24"/>
                <w:lang w:eastAsia="lv-LV"/>
              </w:rPr>
              <w:t>Bīstamo vielu kvalificējošais daudzums (tonnās)</w:t>
            </w:r>
          </w:p>
        </w:tc>
      </w:tr>
      <w:tr w:rsidR="00FD2515" w:rsidRPr="00FD2515" w14:paraId="4300A79E" w14:textId="77777777" w:rsidTr="00227204">
        <w:tc>
          <w:tcPr>
            <w:tcW w:w="402" w:type="pct"/>
            <w:tcBorders>
              <w:top w:val="outset" w:sz="6" w:space="0" w:color="414142"/>
              <w:left w:val="outset" w:sz="6" w:space="0" w:color="414142"/>
              <w:bottom w:val="outset" w:sz="6" w:space="0" w:color="414142"/>
              <w:right w:val="outset" w:sz="6" w:space="0" w:color="414142"/>
            </w:tcBorders>
          </w:tcPr>
          <w:p w14:paraId="68EE97A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243C19F7"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Amonija nitrātu saturošs kompleksais mēslojums, kas satur arī fosfātus vai kāliju, vai abus un kas var pašsadalīties</w:t>
            </w:r>
            <w:r w:rsidRPr="00FD2515">
              <w:rPr>
                <w:rFonts w:ascii="Times New Roman" w:eastAsia="Times New Roman" w:hAnsi="Times New Roman" w:cs="Times New Roman"/>
                <w:sz w:val="24"/>
                <w:szCs w:val="24"/>
                <w:vertAlign w:val="superscript"/>
                <w:lang w:eastAsia="lv-LV"/>
              </w:rPr>
              <w:t>1</w:t>
            </w:r>
            <w:r w:rsidRPr="00FD2515">
              <w:rPr>
                <w:rFonts w:ascii="Times New Roman" w:eastAsia="Times New Roman" w:hAnsi="Times New Roman" w:cs="Times New Roman"/>
                <w:sz w:val="24"/>
                <w:szCs w:val="24"/>
                <w:lang w:eastAsia="lv-LV"/>
              </w:rPr>
              <w:t>, ja tajā amonija nitrāta nodrošinātais slāpekļa saturs ir:</w:t>
            </w:r>
          </w:p>
          <w:p w14:paraId="58A4BFE3" w14:textId="6221E0A5" w:rsidR="000962F3"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E0707B" w:rsidRPr="00FD2515">
              <w:rPr>
                <w:rFonts w:ascii="Times New Roman" w:eastAsia="Times New Roman" w:hAnsi="Times New Roman" w:cs="Times New Roman"/>
                <w:sz w:val="24"/>
                <w:szCs w:val="24"/>
                <w:lang w:eastAsia="lv-LV"/>
              </w:rPr>
              <w:t>no 15,75 masas %</w:t>
            </w:r>
            <w:r w:rsidR="00E0707B" w:rsidRPr="00FD2515">
              <w:rPr>
                <w:rFonts w:ascii="Times New Roman" w:eastAsia="Times New Roman" w:hAnsi="Times New Roman" w:cs="Times New Roman"/>
                <w:sz w:val="24"/>
                <w:szCs w:val="24"/>
                <w:vertAlign w:val="superscript"/>
                <w:lang w:eastAsia="lv-LV"/>
              </w:rPr>
              <w:t>2</w:t>
            </w:r>
            <w:r w:rsidR="00E0707B" w:rsidRPr="00FD2515">
              <w:rPr>
                <w:rFonts w:ascii="Times New Roman" w:eastAsia="Times New Roman" w:hAnsi="Times New Roman" w:cs="Times New Roman"/>
                <w:sz w:val="24"/>
                <w:szCs w:val="24"/>
                <w:lang w:eastAsia="lv-LV"/>
              </w:rPr>
              <w:t> līdz 24,5 masas %</w:t>
            </w:r>
            <w:r w:rsidR="00E0707B" w:rsidRPr="00FD2515">
              <w:rPr>
                <w:rFonts w:ascii="Times New Roman" w:eastAsia="Times New Roman" w:hAnsi="Times New Roman" w:cs="Times New Roman"/>
                <w:sz w:val="24"/>
                <w:szCs w:val="24"/>
                <w:vertAlign w:val="superscript"/>
                <w:lang w:eastAsia="lv-LV"/>
              </w:rPr>
              <w:t>3</w:t>
            </w:r>
            <w:r w:rsidR="00E0707B" w:rsidRPr="00FD2515">
              <w:rPr>
                <w:rFonts w:ascii="Times New Roman" w:eastAsia="Times New Roman" w:hAnsi="Times New Roman" w:cs="Times New Roman"/>
                <w:sz w:val="24"/>
                <w:szCs w:val="24"/>
                <w:lang w:eastAsia="lv-LV"/>
              </w:rPr>
              <w:t> no kompleksā mēslojuma, bet kopējais degošo vai organisko vielu saturs ir mazāks vai vienāds ar 0,4 % vai šis kompleksais mēslojums atbilst Eiropas Parlamenta un Padomes 2003. gad</w:t>
            </w:r>
            <w:r>
              <w:rPr>
                <w:rFonts w:ascii="Times New Roman" w:eastAsia="Times New Roman" w:hAnsi="Times New Roman" w:cs="Times New Roman"/>
                <w:sz w:val="24"/>
                <w:szCs w:val="24"/>
                <w:lang w:eastAsia="lv-LV"/>
              </w:rPr>
              <w:t>a 13. oktobra Regulas (EK) Nr. </w:t>
            </w:r>
            <w:hyperlink r:id="rId17" w:tgtFrame="_blank" w:history="1">
              <w:r w:rsidR="00E0707B" w:rsidRPr="00FD2515">
                <w:rPr>
                  <w:rFonts w:ascii="Times New Roman" w:eastAsia="Times New Roman" w:hAnsi="Times New Roman" w:cs="Times New Roman"/>
                  <w:sz w:val="24"/>
                  <w:szCs w:val="24"/>
                  <w:lang w:eastAsia="lv-LV"/>
                </w:rPr>
                <w:t>2003/2003</w:t>
              </w:r>
            </w:hyperlink>
            <w:r w:rsidR="00E0707B" w:rsidRPr="00FD2515">
              <w:rPr>
                <w:rFonts w:ascii="Times New Roman" w:eastAsia="Times New Roman" w:hAnsi="Times New Roman" w:cs="Times New Roman"/>
                <w:sz w:val="24"/>
                <w:szCs w:val="24"/>
                <w:lang w:eastAsia="lv-LV"/>
              </w:rPr>
              <w:t> par mēslošanas lī</w:t>
            </w:r>
            <w:r>
              <w:rPr>
                <w:rFonts w:ascii="Times New Roman" w:eastAsia="Times New Roman" w:hAnsi="Times New Roman" w:cs="Times New Roman"/>
                <w:sz w:val="24"/>
                <w:szCs w:val="24"/>
                <w:lang w:eastAsia="lv-LV"/>
              </w:rPr>
              <w:t>dzekļiem (turpmāk – regula Nr. </w:t>
            </w:r>
            <w:hyperlink r:id="rId18" w:tgtFrame="_blank" w:history="1">
              <w:r w:rsidR="00E0707B" w:rsidRPr="00FD2515">
                <w:rPr>
                  <w:rFonts w:ascii="Times New Roman" w:eastAsia="Times New Roman" w:hAnsi="Times New Roman" w:cs="Times New Roman"/>
                  <w:sz w:val="24"/>
                  <w:szCs w:val="24"/>
                  <w:lang w:eastAsia="lv-LV"/>
                </w:rPr>
                <w:t>2003/2003</w:t>
              </w:r>
            </w:hyperlink>
            <w:r w:rsidR="00E0707B" w:rsidRPr="00FD2515">
              <w:rPr>
                <w:rFonts w:ascii="Times New Roman" w:eastAsia="Times New Roman" w:hAnsi="Times New Roman" w:cs="Times New Roman"/>
                <w:sz w:val="24"/>
                <w:szCs w:val="24"/>
                <w:lang w:eastAsia="lv-LV"/>
              </w:rPr>
              <w:t>) III pielikuma 2. iedaļā noteiktajām prasībām;</w:t>
            </w:r>
          </w:p>
          <w:p w14:paraId="2CA0D14D" w14:textId="1BF92F81" w:rsidR="00E0707B"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E0707B" w:rsidRPr="00FD2515">
              <w:rPr>
                <w:rFonts w:ascii="Times New Roman" w:eastAsia="Times New Roman" w:hAnsi="Times New Roman" w:cs="Times New Roman"/>
                <w:sz w:val="24"/>
                <w:szCs w:val="24"/>
                <w:lang w:eastAsia="lv-LV"/>
              </w:rPr>
              <w:t>mazāks vai vienāds ar 15,75 masas %</w:t>
            </w:r>
            <w:r w:rsidR="00E0707B" w:rsidRPr="00FD2515">
              <w:rPr>
                <w:rFonts w:ascii="Times New Roman" w:eastAsia="Times New Roman" w:hAnsi="Times New Roman" w:cs="Times New Roman"/>
                <w:sz w:val="24"/>
                <w:szCs w:val="24"/>
                <w:vertAlign w:val="superscript"/>
                <w:lang w:eastAsia="lv-LV"/>
              </w:rPr>
              <w:t>4</w:t>
            </w:r>
            <w:r w:rsidR="00E0707B" w:rsidRPr="00FD2515">
              <w:rPr>
                <w:rFonts w:ascii="Times New Roman" w:eastAsia="Times New Roman" w:hAnsi="Times New Roman" w:cs="Times New Roman"/>
                <w:sz w:val="24"/>
                <w:szCs w:val="24"/>
                <w:lang w:eastAsia="lv-LV"/>
              </w:rPr>
              <w:t> no kompleksā mēslojuma, bet degošo vielu saturs nav ierobežots</w:t>
            </w:r>
          </w:p>
        </w:tc>
        <w:tc>
          <w:tcPr>
            <w:tcW w:w="883" w:type="pct"/>
            <w:tcBorders>
              <w:top w:val="outset" w:sz="6" w:space="0" w:color="414142"/>
              <w:left w:val="outset" w:sz="6" w:space="0" w:color="414142"/>
              <w:bottom w:val="outset" w:sz="6" w:space="0" w:color="414142"/>
              <w:right w:val="outset" w:sz="6" w:space="0" w:color="414142"/>
            </w:tcBorders>
            <w:hideMark/>
          </w:tcPr>
          <w:p w14:paraId="308A4187"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500</w:t>
            </w:r>
          </w:p>
        </w:tc>
      </w:tr>
    </w:tbl>
    <w:p w14:paraId="08E4E90F" w14:textId="77777777" w:rsidR="007E5AF4" w:rsidRDefault="007E5AF4">
      <w:r>
        <w:br w:type="page"/>
      </w: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6755"/>
        <w:gridCol w:w="1606"/>
      </w:tblGrid>
      <w:tr w:rsidR="00FD2515" w:rsidRPr="00FD2515" w14:paraId="0C64296F"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B2B2E7F" w14:textId="414B82C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12A3664D"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Amonija nitrātu saturošs mēslojums, kas atbilst regulas Nr. </w:t>
            </w:r>
            <w:hyperlink r:id="rId19" w:tgtFrame="_blank" w:history="1">
              <w:r w:rsidRPr="00FD2515">
                <w:rPr>
                  <w:rFonts w:ascii="Times New Roman" w:eastAsia="Times New Roman" w:hAnsi="Times New Roman" w:cs="Times New Roman"/>
                  <w:sz w:val="24"/>
                  <w:szCs w:val="24"/>
                  <w:lang w:eastAsia="lv-LV"/>
                </w:rPr>
                <w:t>2003/2003</w:t>
              </w:r>
            </w:hyperlink>
            <w:r w:rsidRPr="00FD2515">
              <w:rPr>
                <w:rFonts w:ascii="Times New Roman" w:eastAsia="Times New Roman" w:hAnsi="Times New Roman" w:cs="Times New Roman"/>
                <w:sz w:val="24"/>
                <w:szCs w:val="24"/>
                <w:lang w:eastAsia="lv-LV"/>
              </w:rPr>
              <w:t> III pielikuma 2. iedaļā noteiktajām prasībām:</w:t>
            </w:r>
          </w:p>
          <w:p w14:paraId="6CA434A7" w14:textId="1F45FF1E" w:rsidR="000962F3"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E0707B" w:rsidRPr="00FD2515">
              <w:rPr>
                <w:rFonts w:ascii="Times New Roman" w:eastAsia="Times New Roman" w:hAnsi="Times New Roman" w:cs="Times New Roman"/>
                <w:sz w:val="24"/>
                <w:szCs w:val="24"/>
                <w:lang w:eastAsia="lv-LV"/>
              </w:rPr>
              <w:t>tikai amonija nitrātu saturošs mēslojums;</w:t>
            </w:r>
          </w:p>
          <w:p w14:paraId="6BBB323A" w14:textId="24A507D2" w:rsidR="000962F3"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E0707B" w:rsidRPr="00FD2515">
              <w:rPr>
                <w:rFonts w:ascii="Times New Roman" w:eastAsia="Times New Roman" w:hAnsi="Times New Roman" w:cs="Times New Roman"/>
                <w:sz w:val="24"/>
                <w:szCs w:val="24"/>
                <w:lang w:eastAsia="lv-LV"/>
              </w:rPr>
              <w:t>kompleksais amonija nitrāta mēslojums, kurā amonija nitrāta nodrošinātais slāpekļa daudzums ir:</w:t>
            </w:r>
          </w:p>
          <w:p w14:paraId="41B5A317"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 vairāk nekā 24,5 masas % no kompleksā amonija nitrāta mēslojuma, izņemot amonija nitrāta maisījumus ar dolomītiem, kaļķakmeni un/vai kalcija karbonātu, ar tīrības pakāpi vismaz 90 %;</w:t>
            </w:r>
          </w:p>
          <w:p w14:paraId="2AAEB628"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b) vairāk nekā 15,75 masas % no kompleksā amonija nitrāta mēslojuma, ja tas ir amonija nitrāta un amonija sulfāta maisījums;</w:t>
            </w:r>
          </w:p>
          <w:p w14:paraId="0192259C"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c) vairāk nekā 28 masas %</w:t>
            </w:r>
            <w:r w:rsidRPr="00FD2515">
              <w:rPr>
                <w:rFonts w:ascii="Times New Roman" w:eastAsia="Times New Roman" w:hAnsi="Times New Roman" w:cs="Times New Roman"/>
                <w:sz w:val="24"/>
                <w:szCs w:val="24"/>
                <w:vertAlign w:val="superscript"/>
                <w:lang w:eastAsia="lv-LV"/>
              </w:rPr>
              <w:t>5</w:t>
            </w:r>
            <w:r w:rsidRPr="00FD2515">
              <w:rPr>
                <w:rFonts w:ascii="Times New Roman" w:eastAsia="Times New Roman" w:hAnsi="Times New Roman" w:cs="Times New Roman"/>
                <w:sz w:val="24"/>
                <w:szCs w:val="24"/>
                <w:lang w:eastAsia="lv-LV"/>
              </w:rPr>
              <w:t> no kompleksā amonija nitrāta mēslojuma, ja tas ir amonija nitrāta maisījums ar dolomītu, kaļķakmeni un/vai kalcija karbonātu, ar tīrības pakāpi vismaz 90 %</w:t>
            </w:r>
          </w:p>
        </w:tc>
        <w:tc>
          <w:tcPr>
            <w:tcW w:w="883" w:type="pct"/>
            <w:tcBorders>
              <w:top w:val="outset" w:sz="6" w:space="0" w:color="414142"/>
              <w:left w:val="outset" w:sz="6" w:space="0" w:color="414142"/>
              <w:bottom w:val="outset" w:sz="6" w:space="0" w:color="414142"/>
              <w:right w:val="outset" w:sz="6" w:space="0" w:color="414142"/>
            </w:tcBorders>
            <w:hideMark/>
          </w:tcPr>
          <w:p w14:paraId="5EB97902"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100</w:t>
            </w:r>
          </w:p>
        </w:tc>
      </w:tr>
      <w:tr w:rsidR="00FD2515" w:rsidRPr="00FD2515" w14:paraId="0A7D701C" w14:textId="77777777" w:rsidTr="00227204">
        <w:tc>
          <w:tcPr>
            <w:tcW w:w="402" w:type="pct"/>
            <w:tcBorders>
              <w:top w:val="outset" w:sz="6" w:space="0" w:color="414142"/>
              <w:left w:val="outset" w:sz="6" w:space="0" w:color="414142"/>
              <w:bottom w:val="outset" w:sz="6" w:space="0" w:color="414142"/>
              <w:right w:val="outset" w:sz="6" w:space="0" w:color="414142"/>
            </w:tcBorders>
          </w:tcPr>
          <w:p w14:paraId="79962EE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119190B6"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Amonija nitrāts un maisījumi, kas satur amonija nitrātu un kuros amonija nitrāta nodrošinātais slāpekļa saturs ir:</w:t>
            </w:r>
          </w:p>
          <w:p w14:paraId="1AA0993D" w14:textId="6F1DA26E" w:rsidR="000962F3"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E0707B" w:rsidRPr="00FD2515">
              <w:rPr>
                <w:rFonts w:ascii="Times New Roman" w:eastAsia="Times New Roman" w:hAnsi="Times New Roman" w:cs="Times New Roman"/>
                <w:sz w:val="24"/>
                <w:szCs w:val="24"/>
                <w:lang w:eastAsia="lv-LV"/>
              </w:rPr>
              <w:t>no 24,5 masas % līdz 28 masas % no maisījuma un kas satur ne vairāk kā 0,4 % degošu vielu;</w:t>
            </w:r>
          </w:p>
          <w:p w14:paraId="50BDB2DE" w14:textId="12DDE8D3" w:rsidR="000962F3"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E0707B" w:rsidRPr="00FD2515">
              <w:rPr>
                <w:rFonts w:ascii="Times New Roman" w:eastAsia="Times New Roman" w:hAnsi="Times New Roman" w:cs="Times New Roman"/>
                <w:sz w:val="24"/>
                <w:szCs w:val="24"/>
                <w:lang w:eastAsia="lv-LV"/>
              </w:rPr>
              <w:t>vairāk nekā 28 masas % no maisījuma un kas satur ne vairāk kā 0,2 % degošu vielu;</w:t>
            </w:r>
          </w:p>
          <w:p w14:paraId="14921F5C" w14:textId="19D3A0F3" w:rsidR="00E0707B" w:rsidRPr="00FD2515" w:rsidRDefault="007E5AF4" w:rsidP="007E5A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E0707B" w:rsidRPr="00FD2515">
              <w:rPr>
                <w:rFonts w:ascii="Times New Roman" w:eastAsia="Times New Roman" w:hAnsi="Times New Roman" w:cs="Times New Roman"/>
                <w:sz w:val="24"/>
                <w:szCs w:val="24"/>
                <w:lang w:eastAsia="lv-LV"/>
              </w:rPr>
              <w:t>amonija nitrāta ūdens šķīdumi, kuros amonija nitrāta koncentrācija ir vairāk nekā 80 masas % no šī šķīduma</w:t>
            </w:r>
          </w:p>
        </w:tc>
        <w:tc>
          <w:tcPr>
            <w:tcW w:w="883" w:type="pct"/>
            <w:tcBorders>
              <w:top w:val="outset" w:sz="6" w:space="0" w:color="414142"/>
              <w:left w:val="outset" w:sz="6" w:space="0" w:color="414142"/>
              <w:bottom w:val="outset" w:sz="6" w:space="0" w:color="414142"/>
              <w:right w:val="outset" w:sz="6" w:space="0" w:color="414142"/>
            </w:tcBorders>
            <w:hideMark/>
          </w:tcPr>
          <w:p w14:paraId="44C9BDA6"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r w:rsidR="00FD2515" w:rsidRPr="00FD2515" w14:paraId="0D67ADBF"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9429DBE"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5BAA450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Kompleksais kālija nitrāta mēslojums mikrogranulu un granulu veidā un kam ir tāda pati bīstamības kategorija kā tīram kālija nitrātam</w:t>
            </w:r>
          </w:p>
        </w:tc>
        <w:tc>
          <w:tcPr>
            <w:tcW w:w="883" w:type="pct"/>
            <w:tcBorders>
              <w:top w:val="outset" w:sz="6" w:space="0" w:color="414142"/>
              <w:left w:val="outset" w:sz="6" w:space="0" w:color="414142"/>
              <w:bottom w:val="outset" w:sz="6" w:space="0" w:color="414142"/>
              <w:right w:val="outset" w:sz="6" w:space="0" w:color="414142"/>
            </w:tcBorders>
            <w:hideMark/>
          </w:tcPr>
          <w:p w14:paraId="2E264667"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500</w:t>
            </w:r>
          </w:p>
        </w:tc>
      </w:tr>
      <w:tr w:rsidR="00FD2515" w:rsidRPr="00FD2515" w14:paraId="3C31A1B8" w14:textId="77777777" w:rsidTr="00227204">
        <w:tc>
          <w:tcPr>
            <w:tcW w:w="402" w:type="pct"/>
            <w:tcBorders>
              <w:top w:val="outset" w:sz="6" w:space="0" w:color="414142"/>
              <w:left w:val="outset" w:sz="6" w:space="0" w:color="414142"/>
              <w:bottom w:val="outset" w:sz="6" w:space="0" w:color="414142"/>
              <w:right w:val="outset" w:sz="6" w:space="0" w:color="414142"/>
            </w:tcBorders>
          </w:tcPr>
          <w:p w14:paraId="5D81211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3DDEA195"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Kompleksais kālija nitrāta mēslojums kristāliskā veidā un kam ir tāda pati bīstamības kategorija kā tīram kālija nitrātam</w:t>
            </w:r>
          </w:p>
        </w:tc>
        <w:tc>
          <w:tcPr>
            <w:tcW w:w="883" w:type="pct"/>
            <w:tcBorders>
              <w:top w:val="outset" w:sz="6" w:space="0" w:color="414142"/>
              <w:left w:val="outset" w:sz="6" w:space="0" w:color="414142"/>
              <w:bottom w:val="outset" w:sz="6" w:space="0" w:color="414142"/>
              <w:right w:val="outset" w:sz="6" w:space="0" w:color="414142"/>
            </w:tcBorders>
            <w:hideMark/>
          </w:tcPr>
          <w:p w14:paraId="20E99624"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100</w:t>
            </w:r>
          </w:p>
        </w:tc>
      </w:tr>
      <w:tr w:rsidR="00FD2515" w:rsidRPr="00FD2515" w14:paraId="7CC0B4AE" w14:textId="77777777" w:rsidTr="00227204">
        <w:tc>
          <w:tcPr>
            <w:tcW w:w="402" w:type="pct"/>
            <w:tcBorders>
              <w:top w:val="outset" w:sz="6" w:space="0" w:color="414142"/>
              <w:left w:val="outset" w:sz="6" w:space="0" w:color="414142"/>
              <w:bottom w:val="outset" w:sz="6" w:space="0" w:color="414142"/>
              <w:right w:val="outset" w:sz="6" w:space="0" w:color="414142"/>
            </w:tcBorders>
          </w:tcPr>
          <w:p w14:paraId="5715E3FD"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DD83A1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Broms</w:t>
            </w:r>
          </w:p>
        </w:tc>
        <w:tc>
          <w:tcPr>
            <w:tcW w:w="883" w:type="pct"/>
            <w:tcBorders>
              <w:top w:val="outset" w:sz="6" w:space="0" w:color="414142"/>
              <w:left w:val="outset" w:sz="6" w:space="0" w:color="414142"/>
              <w:bottom w:val="outset" w:sz="6" w:space="0" w:color="414142"/>
              <w:right w:val="outset" w:sz="6" w:space="0" w:color="414142"/>
            </w:tcBorders>
            <w:hideMark/>
          </w:tcPr>
          <w:p w14:paraId="6B38CA95"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4FE59511"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7E06F79"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48213CF7"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Hlors</w:t>
            </w:r>
          </w:p>
        </w:tc>
        <w:tc>
          <w:tcPr>
            <w:tcW w:w="883" w:type="pct"/>
            <w:tcBorders>
              <w:top w:val="outset" w:sz="6" w:space="0" w:color="414142"/>
              <w:left w:val="outset" w:sz="6" w:space="0" w:color="414142"/>
              <w:bottom w:val="outset" w:sz="6" w:space="0" w:color="414142"/>
              <w:right w:val="outset" w:sz="6" w:space="0" w:color="414142"/>
            </w:tcBorders>
            <w:hideMark/>
          </w:tcPr>
          <w:p w14:paraId="3E2C9890"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59CAD568" w14:textId="77777777" w:rsidTr="00227204">
        <w:tc>
          <w:tcPr>
            <w:tcW w:w="402" w:type="pct"/>
            <w:tcBorders>
              <w:top w:val="outset" w:sz="6" w:space="0" w:color="414142"/>
              <w:left w:val="outset" w:sz="6" w:space="0" w:color="414142"/>
              <w:bottom w:val="outset" w:sz="6" w:space="0" w:color="414142"/>
              <w:right w:val="outset" w:sz="6" w:space="0" w:color="414142"/>
            </w:tcBorders>
          </w:tcPr>
          <w:p w14:paraId="35949554"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20317D6D"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Etilēnimīns</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25A58422"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3B7B810C" w14:textId="77777777" w:rsidTr="00227204">
        <w:tc>
          <w:tcPr>
            <w:tcW w:w="402" w:type="pct"/>
            <w:tcBorders>
              <w:top w:val="outset" w:sz="6" w:space="0" w:color="414142"/>
              <w:left w:val="outset" w:sz="6" w:space="0" w:color="414142"/>
              <w:bottom w:val="outset" w:sz="6" w:space="0" w:color="414142"/>
              <w:right w:val="outset" w:sz="6" w:space="0" w:color="414142"/>
            </w:tcBorders>
          </w:tcPr>
          <w:p w14:paraId="5569D471"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5807CED6"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Fluors</w:t>
            </w:r>
          </w:p>
        </w:tc>
        <w:tc>
          <w:tcPr>
            <w:tcW w:w="883" w:type="pct"/>
            <w:tcBorders>
              <w:top w:val="outset" w:sz="6" w:space="0" w:color="414142"/>
              <w:left w:val="outset" w:sz="6" w:space="0" w:color="414142"/>
              <w:bottom w:val="outset" w:sz="6" w:space="0" w:color="414142"/>
              <w:right w:val="outset" w:sz="6" w:space="0" w:color="414142"/>
            </w:tcBorders>
            <w:hideMark/>
          </w:tcPr>
          <w:p w14:paraId="3E96D523"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3D9ECE87"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C128154"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3CF8306F"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Formaldehīds (koncentrācija ≥ 90 %)</w:t>
            </w:r>
          </w:p>
        </w:tc>
        <w:tc>
          <w:tcPr>
            <w:tcW w:w="883" w:type="pct"/>
            <w:tcBorders>
              <w:top w:val="outset" w:sz="6" w:space="0" w:color="414142"/>
              <w:left w:val="outset" w:sz="6" w:space="0" w:color="414142"/>
              <w:bottom w:val="outset" w:sz="6" w:space="0" w:color="414142"/>
              <w:right w:val="outset" w:sz="6" w:space="0" w:color="414142"/>
            </w:tcBorders>
            <w:hideMark/>
          </w:tcPr>
          <w:p w14:paraId="1866DFA7"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7DE9CA82" w14:textId="77777777" w:rsidTr="00227204">
        <w:tc>
          <w:tcPr>
            <w:tcW w:w="402" w:type="pct"/>
            <w:tcBorders>
              <w:top w:val="outset" w:sz="6" w:space="0" w:color="414142"/>
              <w:left w:val="outset" w:sz="6" w:space="0" w:color="414142"/>
              <w:bottom w:val="outset" w:sz="6" w:space="0" w:color="414142"/>
              <w:right w:val="outset" w:sz="6" w:space="0" w:color="414142"/>
            </w:tcBorders>
          </w:tcPr>
          <w:p w14:paraId="1065E81D"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3086568F"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Ūdeņradis</w:t>
            </w:r>
          </w:p>
        </w:tc>
        <w:tc>
          <w:tcPr>
            <w:tcW w:w="883" w:type="pct"/>
            <w:tcBorders>
              <w:top w:val="outset" w:sz="6" w:space="0" w:color="414142"/>
              <w:left w:val="outset" w:sz="6" w:space="0" w:color="414142"/>
              <w:bottom w:val="outset" w:sz="6" w:space="0" w:color="414142"/>
              <w:right w:val="outset" w:sz="6" w:space="0" w:color="414142"/>
            </w:tcBorders>
            <w:hideMark/>
          </w:tcPr>
          <w:p w14:paraId="2CB3845E"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4C1105B9"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D0ADE8E"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508B4D7"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Hlorūdeņradis (sašķidrināta gāze)</w:t>
            </w:r>
          </w:p>
        </w:tc>
        <w:tc>
          <w:tcPr>
            <w:tcW w:w="883" w:type="pct"/>
            <w:tcBorders>
              <w:top w:val="outset" w:sz="6" w:space="0" w:color="414142"/>
              <w:left w:val="outset" w:sz="6" w:space="0" w:color="414142"/>
              <w:bottom w:val="outset" w:sz="6" w:space="0" w:color="414142"/>
              <w:right w:val="outset" w:sz="6" w:space="0" w:color="414142"/>
            </w:tcBorders>
            <w:hideMark/>
          </w:tcPr>
          <w:p w14:paraId="6A0E9257"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047F9A5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4415562F"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19829F6"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Svina alkilsavienojumi</w:t>
            </w:r>
          </w:p>
        </w:tc>
        <w:tc>
          <w:tcPr>
            <w:tcW w:w="883" w:type="pct"/>
            <w:tcBorders>
              <w:top w:val="outset" w:sz="6" w:space="0" w:color="414142"/>
              <w:left w:val="outset" w:sz="6" w:space="0" w:color="414142"/>
              <w:bottom w:val="outset" w:sz="6" w:space="0" w:color="414142"/>
              <w:right w:val="outset" w:sz="6" w:space="0" w:color="414142"/>
            </w:tcBorders>
            <w:hideMark/>
          </w:tcPr>
          <w:p w14:paraId="458E7086"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35D90EA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2E5038B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569BD6A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xml:space="preserve">1. vai 2. kategorijas sašķidrinātas uzliesmojošās gāzes </w:t>
            </w:r>
            <w:r w:rsidRPr="007E5AF4">
              <w:rPr>
                <w:rFonts w:ascii="Times New Roman" w:eastAsia="Times New Roman" w:hAnsi="Times New Roman" w:cs="Times New Roman"/>
                <w:sz w:val="24"/>
                <w:szCs w:val="24"/>
                <w:lang w:eastAsia="lv-LV"/>
              </w:rPr>
              <w:t>(tostarp sašķidrināta naftas gāze (</w:t>
            </w:r>
            <w:r w:rsidRPr="007E5AF4">
              <w:rPr>
                <w:rFonts w:ascii="Times New Roman" w:eastAsia="Times New Roman" w:hAnsi="Times New Roman" w:cs="Times New Roman"/>
                <w:iCs/>
                <w:sz w:val="24"/>
                <w:szCs w:val="24"/>
                <w:lang w:eastAsia="lv-LV"/>
              </w:rPr>
              <w:t>sašķidrinātu ogļūdeņražu maisījums, kas iegūts naftas pārstrādes rezultātā</w:t>
            </w:r>
            <w:r w:rsidRPr="007E5AF4">
              <w:rPr>
                <w:rFonts w:ascii="Times New Roman" w:eastAsia="Times New Roman" w:hAnsi="Times New Roman" w:cs="Times New Roman"/>
                <w:sz w:val="24"/>
                <w:szCs w:val="24"/>
                <w:lang w:eastAsia="lv-LV"/>
              </w:rPr>
              <w:t>)) un dabasgāze</w:t>
            </w:r>
            <w:r w:rsidRPr="007E5AF4">
              <w:rPr>
                <w:rFonts w:ascii="Times New Roman" w:eastAsia="Times New Roman" w:hAnsi="Times New Roman" w:cs="Times New Roman"/>
                <w:sz w:val="24"/>
                <w:szCs w:val="24"/>
                <w:vertAlign w:val="superscript"/>
                <w:lang w:eastAsia="lv-LV"/>
              </w:rPr>
              <w:t>6</w:t>
            </w:r>
          </w:p>
        </w:tc>
        <w:tc>
          <w:tcPr>
            <w:tcW w:w="883" w:type="pct"/>
            <w:tcBorders>
              <w:top w:val="outset" w:sz="6" w:space="0" w:color="414142"/>
              <w:left w:val="outset" w:sz="6" w:space="0" w:color="414142"/>
              <w:bottom w:val="outset" w:sz="6" w:space="0" w:color="414142"/>
              <w:right w:val="outset" w:sz="6" w:space="0" w:color="414142"/>
            </w:tcBorders>
            <w:hideMark/>
          </w:tcPr>
          <w:p w14:paraId="3385FA1E"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2F56C2B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631376D4"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CC28744"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Acetilēns</w:t>
            </w:r>
          </w:p>
        </w:tc>
        <w:tc>
          <w:tcPr>
            <w:tcW w:w="883" w:type="pct"/>
            <w:tcBorders>
              <w:top w:val="outset" w:sz="6" w:space="0" w:color="414142"/>
              <w:left w:val="outset" w:sz="6" w:space="0" w:color="414142"/>
              <w:bottom w:val="outset" w:sz="6" w:space="0" w:color="414142"/>
              <w:right w:val="outset" w:sz="6" w:space="0" w:color="414142"/>
            </w:tcBorders>
            <w:hideMark/>
          </w:tcPr>
          <w:p w14:paraId="4DCC3D41"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1CEF5679" w14:textId="77777777" w:rsidTr="00227204">
        <w:tc>
          <w:tcPr>
            <w:tcW w:w="402" w:type="pct"/>
            <w:tcBorders>
              <w:top w:val="outset" w:sz="6" w:space="0" w:color="414142"/>
              <w:left w:val="outset" w:sz="6" w:space="0" w:color="414142"/>
              <w:bottom w:val="outset" w:sz="6" w:space="0" w:color="414142"/>
              <w:right w:val="outset" w:sz="6" w:space="0" w:color="414142"/>
            </w:tcBorders>
          </w:tcPr>
          <w:p w14:paraId="2E782FEF"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53D3B4AC"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Etilēnoksīds</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7BC703F2"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387EEB8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24D527AA"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205F7815"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Propilēnoksīds</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098E7082"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497267C0" w14:textId="77777777" w:rsidTr="00227204">
        <w:tc>
          <w:tcPr>
            <w:tcW w:w="402" w:type="pct"/>
            <w:tcBorders>
              <w:top w:val="outset" w:sz="6" w:space="0" w:color="414142"/>
              <w:left w:val="outset" w:sz="6" w:space="0" w:color="414142"/>
              <w:bottom w:val="outset" w:sz="6" w:space="0" w:color="414142"/>
              <w:right w:val="outset" w:sz="6" w:space="0" w:color="414142"/>
            </w:tcBorders>
          </w:tcPr>
          <w:p w14:paraId="781DFAF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3131078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Metanols</w:t>
            </w:r>
          </w:p>
        </w:tc>
        <w:tc>
          <w:tcPr>
            <w:tcW w:w="883" w:type="pct"/>
            <w:tcBorders>
              <w:top w:val="outset" w:sz="6" w:space="0" w:color="414142"/>
              <w:left w:val="outset" w:sz="6" w:space="0" w:color="414142"/>
              <w:bottom w:val="outset" w:sz="6" w:space="0" w:color="414142"/>
              <w:right w:val="outset" w:sz="6" w:space="0" w:color="414142"/>
            </w:tcBorders>
            <w:hideMark/>
          </w:tcPr>
          <w:p w14:paraId="40F9C7CA"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r w:rsidR="00FD2515" w:rsidRPr="00FD2515" w14:paraId="005E330F" w14:textId="77777777" w:rsidTr="00227204">
        <w:tc>
          <w:tcPr>
            <w:tcW w:w="402" w:type="pct"/>
            <w:tcBorders>
              <w:top w:val="outset" w:sz="6" w:space="0" w:color="414142"/>
              <w:left w:val="outset" w:sz="6" w:space="0" w:color="414142"/>
              <w:bottom w:val="outset" w:sz="6" w:space="0" w:color="414142"/>
              <w:right w:val="outset" w:sz="6" w:space="0" w:color="414142"/>
            </w:tcBorders>
          </w:tcPr>
          <w:p w14:paraId="450302A6"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1F89623D"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4,4′-metilēnbis(2-hloranilīns) un tā sāļi, pulverveidā</w:t>
            </w:r>
          </w:p>
        </w:tc>
        <w:tc>
          <w:tcPr>
            <w:tcW w:w="883" w:type="pct"/>
            <w:tcBorders>
              <w:top w:val="outset" w:sz="6" w:space="0" w:color="414142"/>
              <w:left w:val="outset" w:sz="6" w:space="0" w:color="414142"/>
              <w:bottom w:val="outset" w:sz="6" w:space="0" w:color="414142"/>
              <w:right w:val="outset" w:sz="6" w:space="0" w:color="414142"/>
            </w:tcBorders>
            <w:hideMark/>
          </w:tcPr>
          <w:p w14:paraId="748A8005"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hAnsi="Times New Roman" w:cs="Times New Roman"/>
                <w:sz w:val="24"/>
                <w:szCs w:val="24"/>
                <w:shd w:val="clear" w:color="auto" w:fill="FFFFFF"/>
              </w:rPr>
              <w:t>0,01</w:t>
            </w:r>
            <w:r w:rsidRPr="00FD2515">
              <w:rPr>
                <w:rFonts w:ascii="Times New Roman" w:eastAsia="Times New Roman" w:hAnsi="Times New Roman" w:cs="Times New Roman"/>
                <w:sz w:val="24"/>
                <w:szCs w:val="24"/>
                <w:lang w:eastAsia="lv-LV"/>
              </w:rPr>
              <w:t> </w:t>
            </w:r>
          </w:p>
        </w:tc>
      </w:tr>
      <w:tr w:rsidR="00FD2515" w:rsidRPr="00FD2515" w14:paraId="6237928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38D98803"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C43B276"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Metilizocianāts</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1C2212CA"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0,15 </w:t>
            </w:r>
          </w:p>
        </w:tc>
      </w:tr>
      <w:tr w:rsidR="00FD2515" w:rsidRPr="00FD2515" w14:paraId="781C7C6D"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8FCC891"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64A72AC1"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Skābeklis</w:t>
            </w:r>
          </w:p>
        </w:tc>
        <w:tc>
          <w:tcPr>
            <w:tcW w:w="883" w:type="pct"/>
            <w:tcBorders>
              <w:top w:val="outset" w:sz="6" w:space="0" w:color="414142"/>
              <w:left w:val="outset" w:sz="6" w:space="0" w:color="414142"/>
              <w:bottom w:val="outset" w:sz="6" w:space="0" w:color="414142"/>
              <w:right w:val="outset" w:sz="6" w:space="0" w:color="414142"/>
            </w:tcBorders>
            <w:hideMark/>
          </w:tcPr>
          <w:p w14:paraId="7C202446"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20</w:t>
            </w:r>
          </w:p>
        </w:tc>
      </w:tr>
      <w:tr w:rsidR="00FD2515" w:rsidRPr="00FD2515" w14:paraId="116483B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77DE4A1F"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25CE7017"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2,4-toluoldiizocianāts</w:t>
            </w:r>
          </w:p>
          <w:p w14:paraId="7BAEDA53"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2,6-toluoldiizocianāts</w:t>
            </w:r>
          </w:p>
        </w:tc>
        <w:tc>
          <w:tcPr>
            <w:tcW w:w="883" w:type="pct"/>
            <w:tcBorders>
              <w:top w:val="outset" w:sz="6" w:space="0" w:color="414142"/>
              <w:left w:val="outset" w:sz="6" w:space="0" w:color="414142"/>
              <w:bottom w:val="outset" w:sz="6" w:space="0" w:color="414142"/>
              <w:right w:val="outset" w:sz="6" w:space="0" w:color="414142"/>
            </w:tcBorders>
            <w:hideMark/>
          </w:tcPr>
          <w:p w14:paraId="7DFA964A"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0AB70255" w14:textId="77777777" w:rsidTr="00227204">
        <w:tc>
          <w:tcPr>
            <w:tcW w:w="402" w:type="pct"/>
            <w:tcBorders>
              <w:top w:val="outset" w:sz="6" w:space="0" w:color="414142"/>
              <w:left w:val="outset" w:sz="6" w:space="0" w:color="414142"/>
              <w:bottom w:val="outset" w:sz="6" w:space="0" w:color="414142"/>
              <w:right w:val="outset" w:sz="6" w:space="0" w:color="414142"/>
            </w:tcBorders>
          </w:tcPr>
          <w:p w14:paraId="581D5CBE"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97BC26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Karbonildihlorīds</w:t>
            </w:r>
            <w:proofErr w:type="spellEnd"/>
            <w:r w:rsidRPr="00FD2515">
              <w:rPr>
                <w:rFonts w:ascii="Times New Roman" w:eastAsia="Times New Roman" w:hAnsi="Times New Roman" w:cs="Times New Roman"/>
                <w:sz w:val="24"/>
                <w:szCs w:val="24"/>
                <w:lang w:eastAsia="lv-LV"/>
              </w:rPr>
              <w:t xml:space="preserve"> (fosgēns)</w:t>
            </w:r>
          </w:p>
        </w:tc>
        <w:tc>
          <w:tcPr>
            <w:tcW w:w="883" w:type="pct"/>
            <w:tcBorders>
              <w:top w:val="outset" w:sz="6" w:space="0" w:color="414142"/>
              <w:left w:val="outset" w:sz="6" w:space="0" w:color="414142"/>
              <w:bottom w:val="outset" w:sz="6" w:space="0" w:color="414142"/>
              <w:right w:val="outset" w:sz="6" w:space="0" w:color="414142"/>
            </w:tcBorders>
            <w:hideMark/>
          </w:tcPr>
          <w:p w14:paraId="1BDD0FE2"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0,1</w:t>
            </w:r>
          </w:p>
        </w:tc>
      </w:tr>
      <w:tr w:rsidR="00FD2515" w:rsidRPr="00FD2515" w14:paraId="783D5A7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29E1375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4014005B"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Sēra dihlorīds</w:t>
            </w:r>
          </w:p>
        </w:tc>
        <w:tc>
          <w:tcPr>
            <w:tcW w:w="883" w:type="pct"/>
            <w:tcBorders>
              <w:top w:val="outset" w:sz="6" w:space="0" w:color="414142"/>
              <w:left w:val="outset" w:sz="6" w:space="0" w:color="414142"/>
              <w:bottom w:val="outset" w:sz="6" w:space="0" w:color="414142"/>
              <w:right w:val="outset" w:sz="6" w:space="0" w:color="414142"/>
            </w:tcBorders>
            <w:hideMark/>
          </w:tcPr>
          <w:p w14:paraId="5A5E8C68"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1</w:t>
            </w:r>
          </w:p>
        </w:tc>
      </w:tr>
      <w:tr w:rsidR="00FD2515" w:rsidRPr="00FD2515" w14:paraId="3F929791" w14:textId="77777777" w:rsidTr="00227204">
        <w:tc>
          <w:tcPr>
            <w:tcW w:w="402" w:type="pct"/>
            <w:tcBorders>
              <w:top w:val="outset" w:sz="6" w:space="0" w:color="414142"/>
              <w:left w:val="outset" w:sz="6" w:space="0" w:color="414142"/>
              <w:bottom w:val="outset" w:sz="6" w:space="0" w:color="414142"/>
              <w:right w:val="outset" w:sz="6" w:space="0" w:color="414142"/>
            </w:tcBorders>
          </w:tcPr>
          <w:p w14:paraId="64C40AD3"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4FE03610"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Sēra trioksīds</w:t>
            </w:r>
          </w:p>
        </w:tc>
        <w:tc>
          <w:tcPr>
            <w:tcW w:w="883" w:type="pct"/>
            <w:tcBorders>
              <w:top w:val="outset" w:sz="6" w:space="0" w:color="414142"/>
              <w:left w:val="outset" w:sz="6" w:space="0" w:color="414142"/>
              <w:bottom w:val="outset" w:sz="6" w:space="0" w:color="414142"/>
              <w:right w:val="outset" w:sz="6" w:space="0" w:color="414142"/>
            </w:tcBorders>
            <w:hideMark/>
          </w:tcPr>
          <w:p w14:paraId="6786F5DA"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090FCA02" w14:textId="77777777" w:rsidTr="00227204">
        <w:tc>
          <w:tcPr>
            <w:tcW w:w="402" w:type="pct"/>
            <w:tcBorders>
              <w:top w:val="outset" w:sz="6" w:space="0" w:color="414142"/>
              <w:left w:val="outset" w:sz="6" w:space="0" w:color="414142"/>
              <w:bottom w:val="outset" w:sz="6" w:space="0" w:color="414142"/>
              <w:right w:val="outset" w:sz="6" w:space="0" w:color="414142"/>
            </w:tcBorders>
          </w:tcPr>
          <w:p w14:paraId="75CD7AAD"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66E8395A"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Naftas produkti un alternatīvi degvielas veidi:</w:t>
            </w:r>
          </w:p>
          <w:p w14:paraId="27891743" w14:textId="77777777" w:rsidR="000962F3" w:rsidRPr="00FD2515" w:rsidRDefault="000962F3"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a) benzīni un ligroīni;</w:t>
            </w:r>
          </w:p>
          <w:p w14:paraId="41002336" w14:textId="090AC726"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b) petrolejas (ieskaitot reaktīvo dzinēju degviel</w:t>
            </w:r>
            <w:r w:rsidR="00E67FA1">
              <w:rPr>
                <w:rFonts w:ascii="Times New Roman" w:eastAsia="Times New Roman" w:hAnsi="Times New Roman" w:cs="Times New Roman"/>
                <w:sz w:val="24"/>
                <w:szCs w:val="24"/>
                <w:lang w:eastAsia="lv-LV"/>
              </w:rPr>
              <w:t>u</w:t>
            </w:r>
            <w:r w:rsidRPr="00FD2515">
              <w:rPr>
                <w:rFonts w:ascii="Times New Roman" w:eastAsia="Times New Roman" w:hAnsi="Times New Roman" w:cs="Times New Roman"/>
                <w:sz w:val="24"/>
                <w:szCs w:val="24"/>
                <w:lang w:eastAsia="lv-LV"/>
              </w:rPr>
              <w:t>);</w:t>
            </w:r>
          </w:p>
          <w:p w14:paraId="4E529816"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c) gāzeļļas (ieskaitot dīzeļdegvielu, šķidro krāšņu kurināmo un gāzeļļas maisījumus);</w:t>
            </w:r>
          </w:p>
          <w:p w14:paraId="3A1A5DB4" w14:textId="77777777" w:rsidR="000962F3"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d) mazuts un citas smagās degvieleļļas;</w:t>
            </w:r>
          </w:p>
          <w:p w14:paraId="57333806" w14:textId="13173C2A" w:rsidR="00E0707B" w:rsidRPr="00FD2515" w:rsidRDefault="00E0707B" w:rsidP="00E67FA1">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e) alternatīvi degvielas veidi, kuri kalpo tiem pašiem nolūkiem un kuriem ir līdzīgas īpašības attiecībā uz uzliesmojamību un bīstamību videi kā š</w:t>
            </w:r>
            <w:r w:rsidR="00E67FA1">
              <w:rPr>
                <w:rFonts w:ascii="Times New Roman" w:eastAsia="Times New Roman" w:hAnsi="Times New Roman" w:cs="Times New Roman"/>
                <w:sz w:val="24"/>
                <w:szCs w:val="24"/>
                <w:lang w:eastAsia="lv-LV"/>
              </w:rPr>
              <w:t>ā</w:t>
            </w:r>
            <w:r w:rsidRPr="00FD2515">
              <w:rPr>
                <w:rFonts w:ascii="Times New Roman" w:eastAsia="Times New Roman" w:hAnsi="Times New Roman" w:cs="Times New Roman"/>
                <w:sz w:val="24"/>
                <w:szCs w:val="24"/>
                <w:lang w:eastAsia="lv-LV"/>
              </w:rPr>
              <w:t xml:space="preserve"> punkta </w:t>
            </w:r>
            <w:r w:rsidR="00E67FA1">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a</w:t>
            </w:r>
            <w:r w:rsidR="00E67FA1">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 xml:space="preserve"> līdz </w:t>
            </w:r>
            <w:r w:rsidR="00E67FA1">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d</w:t>
            </w:r>
            <w:r w:rsidR="00E67FA1">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 xml:space="preserve"> apakšpunktā minētajām vielām</w:t>
            </w:r>
          </w:p>
        </w:tc>
        <w:tc>
          <w:tcPr>
            <w:tcW w:w="883" w:type="pct"/>
            <w:tcBorders>
              <w:top w:val="outset" w:sz="6" w:space="0" w:color="414142"/>
              <w:left w:val="outset" w:sz="6" w:space="0" w:color="414142"/>
              <w:bottom w:val="outset" w:sz="6" w:space="0" w:color="414142"/>
              <w:right w:val="outset" w:sz="6" w:space="0" w:color="414142"/>
            </w:tcBorders>
            <w:hideMark/>
          </w:tcPr>
          <w:p w14:paraId="62F917B8"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70</w:t>
            </w:r>
          </w:p>
        </w:tc>
      </w:tr>
      <w:tr w:rsidR="00FD2515" w:rsidRPr="00FD2515" w14:paraId="6267D202" w14:textId="77777777" w:rsidTr="00227204">
        <w:tc>
          <w:tcPr>
            <w:tcW w:w="402" w:type="pct"/>
            <w:tcBorders>
              <w:top w:val="outset" w:sz="6" w:space="0" w:color="414142"/>
              <w:left w:val="outset" w:sz="6" w:space="0" w:color="414142"/>
              <w:bottom w:val="outset" w:sz="6" w:space="0" w:color="414142"/>
              <w:right w:val="outset" w:sz="6" w:space="0" w:color="414142"/>
            </w:tcBorders>
          </w:tcPr>
          <w:p w14:paraId="3DC5723D"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5ABC5AE3"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Bezūdens amonjaks</w:t>
            </w:r>
          </w:p>
        </w:tc>
        <w:tc>
          <w:tcPr>
            <w:tcW w:w="883" w:type="pct"/>
            <w:tcBorders>
              <w:top w:val="outset" w:sz="6" w:space="0" w:color="414142"/>
              <w:left w:val="outset" w:sz="6" w:space="0" w:color="414142"/>
              <w:bottom w:val="outset" w:sz="6" w:space="0" w:color="414142"/>
              <w:right w:val="outset" w:sz="6" w:space="0" w:color="414142"/>
            </w:tcBorders>
            <w:hideMark/>
          </w:tcPr>
          <w:p w14:paraId="06F7904F"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0189D54B" w14:textId="77777777" w:rsidTr="00227204">
        <w:tc>
          <w:tcPr>
            <w:tcW w:w="402" w:type="pct"/>
            <w:tcBorders>
              <w:top w:val="outset" w:sz="6" w:space="0" w:color="414142"/>
              <w:left w:val="outset" w:sz="6" w:space="0" w:color="414142"/>
              <w:bottom w:val="outset" w:sz="6" w:space="0" w:color="414142"/>
              <w:right w:val="outset" w:sz="6" w:space="0" w:color="414142"/>
            </w:tcBorders>
          </w:tcPr>
          <w:p w14:paraId="43F0701E"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A09FD1F"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 xml:space="preserve">Bora </w:t>
            </w:r>
            <w:proofErr w:type="spellStart"/>
            <w:r w:rsidRPr="00FD2515">
              <w:rPr>
                <w:rFonts w:ascii="Times New Roman" w:eastAsia="Times New Roman" w:hAnsi="Times New Roman" w:cs="Times New Roman"/>
                <w:sz w:val="24"/>
                <w:szCs w:val="24"/>
                <w:lang w:eastAsia="lv-LV"/>
              </w:rPr>
              <w:t>trifluorīds</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6C408060"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6A2E7E84" w14:textId="77777777" w:rsidTr="00227204">
        <w:tc>
          <w:tcPr>
            <w:tcW w:w="402" w:type="pct"/>
            <w:tcBorders>
              <w:top w:val="outset" w:sz="6" w:space="0" w:color="414142"/>
              <w:left w:val="outset" w:sz="6" w:space="0" w:color="414142"/>
              <w:bottom w:val="outset" w:sz="6" w:space="0" w:color="414142"/>
              <w:right w:val="outset" w:sz="6" w:space="0" w:color="414142"/>
            </w:tcBorders>
          </w:tcPr>
          <w:p w14:paraId="1FC85FD0"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65105F91"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Ūdeņraža sulfīds</w:t>
            </w:r>
          </w:p>
        </w:tc>
        <w:tc>
          <w:tcPr>
            <w:tcW w:w="883" w:type="pct"/>
            <w:tcBorders>
              <w:top w:val="outset" w:sz="6" w:space="0" w:color="414142"/>
              <w:left w:val="outset" w:sz="6" w:space="0" w:color="414142"/>
              <w:bottom w:val="outset" w:sz="6" w:space="0" w:color="414142"/>
              <w:right w:val="outset" w:sz="6" w:space="0" w:color="414142"/>
            </w:tcBorders>
            <w:hideMark/>
          </w:tcPr>
          <w:p w14:paraId="402F1B13"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w:t>
            </w:r>
          </w:p>
        </w:tc>
      </w:tr>
      <w:tr w:rsidR="00FD2515" w:rsidRPr="00FD2515" w14:paraId="503B7FF3" w14:textId="77777777" w:rsidTr="00227204">
        <w:tc>
          <w:tcPr>
            <w:tcW w:w="402" w:type="pct"/>
            <w:tcBorders>
              <w:top w:val="outset" w:sz="6" w:space="0" w:color="414142"/>
              <w:left w:val="outset" w:sz="6" w:space="0" w:color="414142"/>
              <w:bottom w:val="outset" w:sz="6" w:space="0" w:color="414142"/>
              <w:right w:val="outset" w:sz="6" w:space="0" w:color="414142"/>
            </w:tcBorders>
          </w:tcPr>
          <w:p w14:paraId="14B88D42"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70FE7C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Piperidīns</w:t>
            </w:r>
          </w:p>
        </w:tc>
        <w:tc>
          <w:tcPr>
            <w:tcW w:w="883" w:type="pct"/>
            <w:tcBorders>
              <w:top w:val="outset" w:sz="6" w:space="0" w:color="414142"/>
              <w:left w:val="outset" w:sz="6" w:space="0" w:color="414142"/>
              <w:bottom w:val="outset" w:sz="6" w:space="0" w:color="414142"/>
              <w:right w:val="outset" w:sz="6" w:space="0" w:color="414142"/>
            </w:tcBorders>
            <w:hideMark/>
          </w:tcPr>
          <w:p w14:paraId="083ABB99"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783613AF" w14:textId="77777777" w:rsidTr="00227204">
        <w:tc>
          <w:tcPr>
            <w:tcW w:w="402" w:type="pct"/>
            <w:tcBorders>
              <w:top w:val="outset" w:sz="6" w:space="0" w:color="414142"/>
              <w:left w:val="outset" w:sz="6" w:space="0" w:color="414142"/>
              <w:bottom w:val="outset" w:sz="6" w:space="0" w:color="414142"/>
              <w:right w:val="outset" w:sz="6" w:space="0" w:color="414142"/>
            </w:tcBorders>
          </w:tcPr>
          <w:p w14:paraId="15A85CEE"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701CD28"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Bis(2-</w:t>
            </w:r>
            <w:proofErr w:type="spellStart"/>
            <w:r w:rsidRPr="00FD2515">
              <w:rPr>
                <w:rFonts w:ascii="Times New Roman" w:eastAsia="Times New Roman" w:hAnsi="Times New Roman" w:cs="Times New Roman"/>
                <w:sz w:val="24"/>
                <w:szCs w:val="24"/>
                <w:lang w:eastAsia="lv-LV"/>
              </w:rPr>
              <w:t>dimetilaminoetil)(metil)amīns</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1B28684D"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1BDFDEB2" w14:textId="77777777" w:rsidTr="00227204">
        <w:tc>
          <w:tcPr>
            <w:tcW w:w="402" w:type="pct"/>
            <w:tcBorders>
              <w:top w:val="outset" w:sz="6" w:space="0" w:color="414142"/>
              <w:left w:val="outset" w:sz="6" w:space="0" w:color="414142"/>
              <w:bottom w:val="outset" w:sz="6" w:space="0" w:color="414142"/>
              <w:right w:val="outset" w:sz="6" w:space="0" w:color="414142"/>
            </w:tcBorders>
          </w:tcPr>
          <w:p w14:paraId="4D9E05E0"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42545265"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3-(2-etilheksiloksi)propilamīns</w:t>
            </w:r>
          </w:p>
        </w:tc>
        <w:tc>
          <w:tcPr>
            <w:tcW w:w="883" w:type="pct"/>
            <w:tcBorders>
              <w:top w:val="outset" w:sz="6" w:space="0" w:color="414142"/>
              <w:left w:val="outset" w:sz="6" w:space="0" w:color="414142"/>
              <w:bottom w:val="outset" w:sz="6" w:space="0" w:color="414142"/>
              <w:right w:val="outset" w:sz="6" w:space="0" w:color="414142"/>
            </w:tcBorders>
            <w:hideMark/>
          </w:tcPr>
          <w:p w14:paraId="37E9B55F"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w:t>
            </w:r>
          </w:p>
        </w:tc>
      </w:tr>
      <w:tr w:rsidR="00FD2515" w:rsidRPr="00FD2515" w14:paraId="038DA736" w14:textId="77777777" w:rsidTr="00227204">
        <w:tc>
          <w:tcPr>
            <w:tcW w:w="402" w:type="pct"/>
            <w:tcBorders>
              <w:top w:val="outset" w:sz="6" w:space="0" w:color="414142"/>
              <w:left w:val="outset" w:sz="6" w:space="0" w:color="414142"/>
              <w:bottom w:val="outset" w:sz="6" w:space="0" w:color="414142"/>
              <w:right w:val="outset" w:sz="6" w:space="0" w:color="414142"/>
            </w:tcBorders>
          </w:tcPr>
          <w:p w14:paraId="766F1CB1"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1FAC9DD3" w14:textId="2BBFF9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Nātrija hipohlorīta maisījumi</w:t>
            </w:r>
            <w:r w:rsidRPr="00FD2515">
              <w:rPr>
                <w:rFonts w:ascii="Times New Roman" w:eastAsia="Times New Roman" w:hAnsi="Times New Roman" w:cs="Times New Roman"/>
                <w:sz w:val="24"/>
                <w:szCs w:val="24"/>
                <w:vertAlign w:val="superscript"/>
                <w:lang w:eastAsia="lv-LV"/>
              </w:rPr>
              <w:t>7</w:t>
            </w:r>
            <w:r w:rsidRPr="00FD2515">
              <w:rPr>
                <w:rFonts w:ascii="Times New Roman" w:eastAsia="Times New Roman" w:hAnsi="Times New Roman" w:cs="Times New Roman"/>
                <w:sz w:val="24"/>
                <w:szCs w:val="24"/>
                <w:lang w:eastAsia="lv-LV"/>
              </w:rPr>
              <w:t>, kas klasificēti kā</w:t>
            </w:r>
            <w:r w:rsidR="007E5AF4">
              <w:rPr>
                <w:rFonts w:ascii="Times New Roman" w:eastAsia="Times New Roman" w:hAnsi="Times New Roman" w:cs="Times New Roman"/>
                <w:sz w:val="24"/>
                <w:szCs w:val="24"/>
                <w:lang w:eastAsia="lv-LV"/>
              </w:rPr>
              <w:t xml:space="preserve"> </w:t>
            </w:r>
            <w:hyperlink r:id="rId20" w:anchor="piel1" w:tgtFrame="_blank" w:history="1">
              <w:r w:rsidRPr="00FD2515">
                <w:rPr>
                  <w:rFonts w:ascii="Times New Roman" w:eastAsia="Times New Roman" w:hAnsi="Times New Roman" w:cs="Times New Roman"/>
                  <w:sz w:val="24"/>
                  <w:szCs w:val="24"/>
                  <w:lang w:eastAsia="lv-LV"/>
                </w:rPr>
                <w:t>1.</w:t>
              </w:r>
            </w:hyperlink>
            <w:r w:rsidRPr="00FD2515">
              <w:rPr>
                <w:rFonts w:ascii="Times New Roman" w:eastAsia="Times New Roman" w:hAnsi="Times New Roman" w:cs="Times New Roman"/>
                <w:sz w:val="24"/>
                <w:szCs w:val="24"/>
                <w:lang w:eastAsia="lv-LV"/>
              </w:rPr>
              <w:t> kategorijas akūti toksiski ūdens organismiem [H400] un satur mazāk nekā 5 % aktīvā hlora, un nav iekļauti citās šā pielikuma 1. tabulā minētajās bīstamības kategorijās</w:t>
            </w:r>
          </w:p>
        </w:tc>
        <w:tc>
          <w:tcPr>
            <w:tcW w:w="883" w:type="pct"/>
            <w:tcBorders>
              <w:top w:val="outset" w:sz="6" w:space="0" w:color="414142"/>
              <w:left w:val="outset" w:sz="6" w:space="0" w:color="414142"/>
              <w:bottom w:val="outset" w:sz="6" w:space="0" w:color="414142"/>
              <w:right w:val="outset" w:sz="6" w:space="0" w:color="414142"/>
            </w:tcBorders>
            <w:hideMark/>
          </w:tcPr>
          <w:p w14:paraId="3C2F744E"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20</w:t>
            </w:r>
          </w:p>
        </w:tc>
      </w:tr>
      <w:tr w:rsidR="00FD2515" w:rsidRPr="00FD2515" w14:paraId="33C55F32" w14:textId="77777777" w:rsidTr="00227204">
        <w:tc>
          <w:tcPr>
            <w:tcW w:w="402" w:type="pct"/>
            <w:tcBorders>
              <w:top w:val="outset" w:sz="6" w:space="0" w:color="414142"/>
              <w:left w:val="outset" w:sz="6" w:space="0" w:color="414142"/>
              <w:bottom w:val="outset" w:sz="6" w:space="0" w:color="414142"/>
              <w:right w:val="outset" w:sz="6" w:space="0" w:color="414142"/>
            </w:tcBorders>
          </w:tcPr>
          <w:p w14:paraId="6C54720B"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EA80F5F"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Propilamīns</w:t>
            </w:r>
            <w:r w:rsidRPr="00FD2515">
              <w:rPr>
                <w:rFonts w:ascii="Times New Roman" w:eastAsia="Times New Roman" w:hAnsi="Times New Roman" w:cs="Times New Roman"/>
                <w:sz w:val="24"/>
                <w:szCs w:val="24"/>
                <w:vertAlign w:val="superscript"/>
                <w:lang w:eastAsia="lv-LV"/>
              </w:rPr>
              <w:t>8</w:t>
            </w:r>
          </w:p>
        </w:tc>
        <w:tc>
          <w:tcPr>
            <w:tcW w:w="883" w:type="pct"/>
            <w:tcBorders>
              <w:top w:val="outset" w:sz="6" w:space="0" w:color="414142"/>
              <w:left w:val="outset" w:sz="6" w:space="0" w:color="414142"/>
              <w:bottom w:val="outset" w:sz="6" w:space="0" w:color="414142"/>
              <w:right w:val="outset" w:sz="6" w:space="0" w:color="414142"/>
            </w:tcBorders>
            <w:hideMark/>
          </w:tcPr>
          <w:p w14:paraId="1062A7A0"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r w:rsidR="00FD2515" w:rsidRPr="00FD2515" w14:paraId="62A1A2E5" w14:textId="77777777" w:rsidTr="00227204">
        <w:tc>
          <w:tcPr>
            <w:tcW w:w="402" w:type="pct"/>
            <w:tcBorders>
              <w:top w:val="outset" w:sz="6" w:space="0" w:color="414142"/>
              <w:left w:val="outset" w:sz="6" w:space="0" w:color="414142"/>
              <w:bottom w:val="outset" w:sz="6" w:space="0" w:color="414142"/>
              <w:right w:val="outset" w:sz="6" w:space="0" w:color="414142"/>
            </w:tcBorders>
          </w:tcPr>
          <w:p w14:paraId="35E1D23D"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334B362B"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proofErr w:type="spellStart"/>
            <w:r w:rsidRPr="00FD2515">
              <w:rPr>
                <w:rFonts w:ascii="Times New Roman" w:eastAsia="Times New Roman" w:hAnsi="Times New Roman" w:cs="Times New Roman"/>
                <w:sz w:val="24"/>
                <w:szCs w:val="24"/>
                <w:lang w:eastAsia="lv-LV"/>
              </w:rPr>
              <w:t>Terc-butilakrilāts</w:t>
            </w:r>
            <w:r w:rsidRPr="00FD2515">
              <w:rPr>
                <w:rFonts w:ascii="Times New Roman" w:eastAsia="Times New Roman" w:hAnsi="Times New Roman" w:cs="Times New Roman"/>
                <w:sz w:val="24"/>
                <w:szCs w:val="24"/>
                <w:vertAlign w:val="superscript"/>
                <w:lang w:eastAsia="lv-LV"/>
              </w:rPr>
              <w:t>8</w:t>
            </w:r>
            <w:proofErr w:type="spellEnd"/>
          </w:p>
        </w:tc>
        <w:tc>
          <w:tcPr>
            <w:tcW w:w="883" w:type="pct"/>
            <w:tcBorders>
              <w:top w:val="outset" w:sz="6" w:space="0" w:color="414142"/>
              <w:left w:val="outset" w:sz="6" w:space="0" w:color="414142"/>
              <w:bottom w:val="outset" w:sz="6" w:space="0" w:color="414142"/>
              <w:right w:val="outset" w:sz="6" w:space="0" w:color="414142"/>
            </w:tcBorders>
            <w:hideMark/>
          </w:tcPr>
          <w:p w14:paraId="6769D873"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20</w:t>
            </w:r>
          </w:p>
        </w:tc>
      </w:tr>
      <w:tr w:rsidR="00FD2515" w:rsidRPr="00FD2515" w14:paraId="53654B5B" w14:textId="77777777" w:rsidTr="00227204">
        <w:tc>
          <w:tcPr>
            <w:tcW w:w="402" w:type="pct"/>
            <w:tcBorders>
              <w:top w:val="outset" w:sz="6" w:space="0" w:color="414142"/>
              <w:left w:val="outset" w:sz="6" w:space="0" w:color="414142"/>
              <w:bottom w:val="outset" w:sz="6" w:space="0" w:color="414142"/>
              <w:right w:val="outset" w:sz="6" w:space="0" w:color="414142"/>
            </w:tcBorders>
          </w:tcPr>
          <w:p w14:paraId="6DF31357"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2139DCE1"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2-metilbut-3-butēnnitrils</w:t>
            </w:r>
            <w:r w:rsidRPr="00FD2515">
              <w:rPr>
                <w:rFonts w:ascii="Times New Roman" w:eastAsia="Times New Roman" w:hAnsi="Times New Roman" w:cs="Times New Roman"/>
                <w:sz w:val="24"/>
                <w:szCs w:val="24"/>
                <w:vertAlign w:val="superscript"/>
                <w:lang w:eastAsia="lv-LV"/>
              </w:rPr>
              <w:t>8</w:t>
            </w:r>
          </w:p>
        </w:tc>
        <w:tc>
          <w:tcPr>
            <w:tcW w:w="883" w:type="pct"/>
            <w:tcBorders>
              <w:top w:val="outset" w:sz="6" w:space="0" w:color="414142"/>
              <w:left w:val="outset" w:sz="6" w:space="0" w:color="414142"/>
              <w:bottom w:val="outset" w:sz="6" w:space="0" w:color="414142"/>
              <w:right w:val="outset" w:sz="6" w:space="0" w:color="414142"/>
            </w:tcBorders>
            <w:hideMark/>
          </w:tcPr>
          <w:p w14:paraId="43DB6959"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r w:rsidR="00FD2515" w:rsidRPr="00FD2515" w14:paraId="728B1605" w14:textId="77777777" w:rsidTr="00227204">
        <w:tc>
          <w:tcPr>
            <w:tcW w:w="402" w:type="pct"/>
            <w:tcBorders>
              <w:top w:val="outset" w:sz="6" w:space="0" w:color="414142"/>
              <w:left w:val="outset" w:sz="6" w:space="0" w:color="414142"/>
              <w:bottom w:val="outset" w:sz="6" w:space="0" w:color="414142"/>
              <w:right w:val="outset" w:sz="6" w:space="0" w:color="414142"/>
            </w:tcBorders>
          </w:tcPr>
          <w:p w14:paraId="7008BB98"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1A11B8BF"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3,5-dimetil-1,3,5,2H-tetrahidrotiadiazīn-2-tions</w:t>
            </w:r>
            <w:r w:rsidRPr="00FD2515">
              <w:rPr>
                <w:rFonts w:ascii="Times New Roman" w:eastAsia="Times New Roman" w:hAnsi="Times New Roman" w:cs="Times New Roman"/>
                <w:sz w:val="24"/>
                <w:szCs w:val="24"/>
                <w:lang w:eastAsia="lv-LV"/>
              </w:rPr>
              <w:br/>
              <w:t>(dazomets)</w:t>
            </w:r>
            <w:r w:rsidRPr="00FD2515">
              <w:rPr>
                <w:rFonts w:ascii="Times New Roman" w:eastAsia="Times New Roman" w:hAnsi="Times New Roman" w:cs="Times New Roman"/>
                <w:sz w:val="24"/>
                <w:szCs w:val="24"/>
                <w:vertAlign w:val="superscript"/>
                <w:lang w:eastAsia="lv-LV"/>
              </w:rPr>
              <w:t>8</w:t>
            </w:r>
          </w:p>
        </w:tc>
        <w:tc>
          <w:tcPr>
            <w:tcW w:w="883" w:type="pct"/>
            <w:tcBorders>
              <w:top w:val="outset" w:sz="6" w:space="0" w:color="414142"/>
              <w:left w:val="outset" w:sz="6" w:space="0" w:color="414142"/>
              <w:bottom w:val="outset" w:sz="6" w:space="0" w:color="414142"/>
              <w:right w:val="outset" w:sz="6" w:space="0" w:color="414142"/>
            </w:tcBorders>
            <w:hideMark/>
          </w:tcPr>
          <w:p w14:paraId="34E93B0C"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10</w:t>
            </w:r>
          </w:p>
        </w:tc>
      </w:tr>
      <w:tr w:rsidR="00FD2515" w:rsidRPr="00FD2515" w14:paraId="5877CD49" w14:textId="77777777" w:rsidTr="00227204">
        <w:tc>
          <w:tcPr>
            <w:tcW w:w="402" w:type="pct"/>
            <w:tcBorders>
              <w:top w:val="outset" w:sz="6" w:space="0" w:color="414142"/>
              <w:left w:val="outset" w:sz="6" w:space="0" w:color="414142"/>
              <w:bottom w:val="outset" w:sz="6" w:space="0" w:color="414142"/>
              <w:right w:val="outset" w:sz="6" w:space="0" w:color="414142"/>
            </w:tcBorders>
          </w:tcPr>
          <w:p w14:paraId="5CD8B5C6"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0C265CB"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Metilakrilāts</w:t>
            </w:r>
            <w:r w:rsidRPr="00FD2515">
              <w:rPr>
                <w:rFonts w:ascii="Times New Roman" w:eastAsia="Times New Roman" w:hAnsi="Times New Roman" w:cs="Times New Roman"/>
                <w:sz w:val="24"/>
                <w:szCs w:val="24"/>
                <w:vertAlign w:val="superscript"/>
                <w:lang w:eastAsia="lv-LV"/>
              </w:rPr>
              <w:t>8</w:t>
            </w:r>
          </w:p>
        </w:tc>
        <w:tc>
          <w:tcPr>
            <w:tcW w:w="883" w:type="pct"/>
            <w:tcBorders>
              <w:top w:val="outset" w:sz="6" w:space="0" w:color="414142"/>
              <w:left w:val="outset" w:sz="6" w:space="0" w:color="414142"/>
              <w:bottom w:val="outset" w:sz="6" w:space="0" w:color="414142"/>
              <w:right w:val="outset" w:sz="6" w:space="0" w:color="414142"/>
            </w:tcBorders>
            <w:hideMark/>
          </w:tcPr>
          <w:p w14:paraId="3CC7CFB3"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r w:rsidR="00FD2515" w:rsidRPr="00FD2515" w14:paraId="5CCFB073" w14:textId="77777777" w:rsidTr="00227204">
        <w:tc>
          <w:tcPr>
            <w:tcW w:w="402" w:type="pct"/>
            <w:tcBorders>
              <w:top w:val="outset" w:sz="6" w:space="0" w:color="414142"/>
              <w:left w:val="outset" w:sz="6" w:space="0" w:color="414142"/>
              <w:bottom w:val="outset" w:sz="6" w:space="0" w:color="414142"/>
              <w:right w:val="outset" w:sz="6" w:space="0" w:color="414142"/>
            </w:tcBorders>
          </w:tcPr>
          <w:p w14:paraId="070B44DC"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565D6F82"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3-metilpiridīns</w:t>
            </w:r>
            <w:r w:rsidRPr="00FD2515">
              <w:rPr>
                <w:rFonts w:ascii="Times New Roman" w:eastAsia="Times New Roman" w:hAnsi="Times New Roman" w:cs="Times New Roman"/>
                <w:sz w:val="24"/>
                <w:szCs w:val="24"/>
                <w:vertAlign w:val="superscript"/>
                <w:lang w:eastAsia="lv-LV"/>
              </w:rPr>
              <w:t>8</w:t>
            </w:r>
          </w:p>
        </w:tc>
        <w:tc>
          <w:tcPr>
            <w:tcW w:w="883" w:type="pct"/>
            <w:tcBorders>
              <w:top w:val="outset" w:sz="6" w:space="0" w:color="414142"/>
              <w:left w:val="outset" w:sz="6" w:space="0" w:color="414142"/>
              <w:bottom w:val="outset" w:sz="6" w:space="0" w:color="414142"/>
              <w:right w:val="outset" w:sz="6" w:space="0" w:color="414142"/>
            </w:tcBorders>
            <w:hideMark/>
          </w:tcPr>
          <w:p w14:paraId="598BA1EC"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r w:rsidR="00FD2515" w:rsidRPr="00FD2515" w14:paraId="2EDF9A7E" w14:textId="77777777" w:rsidTr="00227204">
        <w:tc>
          <w:tcPr>
            <w:tcW w:w="402" w:type="pct"/>
            <w:tcBorders>
              <w:top w:val="outset" w:sz="6" w:space="0" w:color="414142"/>
              <w:left w:val="outset" w:sz="6" w:space="0" w:color="414142"/>
              <w:bottom w:val="outset" w:sz="6" w:space="0" w:color="414142"/>
              <w:right w:val="outset" w:sz="6" w:space="0" w:color="414142"/>
            </w:tcBorders>
          </w:tcPr>
          <w:p w14:paraId="26B12430" w14:textId="77777777" w:rsidR="00E0707B" w:rsidRPr="00FD2515" w:rsidRDefault="00E0707B" w:rsidP="005D6E2A">
            <w:pPr>
              <w:pStyle w:val="ListParagraph"/>
              <w:numPr>
                <w:ilvl w:val="0"/>
                <w:numId w:val="1"/>
              </w:numPr>
              <w:spacing w:after="0" w:line="240" w:lineRule="auto"/>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74C61B4D" w14:textId="77777777" w:rsidR="00E0707B" w:rsidRPr="00FD2515" w:rsidRDefault="00E0707B" w:rsidP="007E5AF4">
            <w:pPr>
              <w:spacing w:after="0" w:line="240" w:lineRule="auto"/>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1-brom-3-hlorpropāns</w:t>
            </w:r>
            <w:r w:rsidRPr="00FD2515">
              <w:rPr>
                <w:rFonts w:ascii="Times New Roman" w:eastAsia="Times New Roman" w:hAnsi="Times New Roman" w:cs="Times New Roman"/>
                <w:sz w:val="24"/>
                <w:szCs w:val="24"/>
                <w:vertAlign w:val="superscript"/>
                <w:lang w:eastAsia="lv-LV"/>
              </w:rPr>
              <w:t>8</w:t>
            </w:r>
          </w:p>
        </w:tc>
        <w:tc>
          <w:tcPr>
            <w:tcW w:w="883" w:type="pct"/>
            <w:tcBorders>
              <w:top w:val="outset" w:sz="6" w:space="0" w:color="414142"/>
              <w:left w:val="outset" w:sz="6" w:space="0" w:color="414142"/>
              <w:bottom w:val="outset" w:sz="6" w:space="0" w:color="414142"/>
              <w:right w:val="outset" w:sz="6" w:space="0" w:color="414142"/>
            </w:tcBorders>
            <w:hideMark/>
          </w:tcPr>
          <w:p w14:paraId="6F125F51" w14:textId="77777777" w:rsidR="00E0707B" w:rsidRPr="00FD2515" w:rsidRDefault="00E0707B" w:rsidP="005D6E2A">
            <w:pPr>
              <w:spacing w:after="0" w:line="240" w:lineRule="auto"/>
              <w:jc w:val="center"/>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50</w:t>
            </w:r>
          </w:p>
        </w:tc>
      </w:tr>
    </w:tbl>
    <w:p w14:paraId="5336952F" w14:textId="77777777" w:rsidR="00A40E1D" w:rsidRPr="00FD2515" w:rsidRDefault="00E0707B" w:rsidP="000962F3">
      <w:pPr>
        <w:shd w:val="clear" w:color="auto" w:fill="FFFFFF"/>
        <w:spacing w:after="0" w:line="240" w:lineRule="auto"/>
        <w:ind w:firstLine="300"/>
        <w:rPr>
          <w:rFonts w:ascii="Times New Roman" w:eastAsia="Times New Roman" w:hAnsi="Times New Roman" w:cs="Times New Roman"/>
          <w:sz w:val="28"/>
          <w:szCs w:val="28"/>
          <w:lang w:eastAsia="lv-LV"/>
        </w:rPr>
      </w:pPr>
      <w:r w:rsidRPr="00FD2515">
        <w:rPr>
          <w:rFonts w:ascii="Times New Roman" w:eastAsia="Times New Roman" w:hAnsi="Times New Roman" w:cs="Times New Roman"/>
          <w:sz w:val="28"/>
          <w:szCs w:val="28"/>
          <w:lang w:eastAsia="lv-LV"/>
        </w:rPr>
        <w:t xml:space="preserve"> </w:t>
      </w:r>
    </w:p>
    <w:p w14:paraId="70061BDD" w14:textId="16F40183" w:rsidR="00E0707B" w:rsidRPr="00FD2515" w:rsidRDefault="00E0707B" w:rsidP="00706E60">
      <w:pPr>
        <w:shd w:val="clear" w:color="auto" w:fill="FFFFFF"/>
        <w:spacing w:after="0" w:line="240" w:lineRule="auto"/>
        <w:ind w:firstLine="709"/>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lang w:eastAsia="lv-LV"/>
        </w:rPr>
        <w:t>Piezīmes</w:t>
      </w:r>
      <w:r w:rsidR="00706E60">
        <w:rPr>
          <w:rFonts w:ascii="Times New Roman" w:eastAsia="Times New Roman" w:hAnsi="Times New Roman" w:cs="Times New Roman"/>
          <w:sz w:val="24"/>
          <w:szCs w:val="24"/>
          <w:lang w:eastAsia="lv-LV"/>
        </w:rPr>
        <w:t>.</w:t>
      </w:r>
    </w:p>
    <w:p w14:paraId="3567EDCA" w14:textId="3ED715A9" w:rsidR="00E0707B" w:rsidRPr="00FD2515" w:rsidRDefault="00A40E1D"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1</w:t>
      </w:r>
      <w:r w:rsidR="007E5AF4">
        <w:rPr>
          <w:rFonts w:ascii="Times New Roman" w:eastAsia="Times New Roman" w:hAnsi="Times New Roman" w:cs="Times New Roman"/>
          <w:sz w:val="24"/>
          <w:szCs w:val="24"/>
          <w:lang w:eastAsia="lv-LV"/>
        </w:rPr>
        <w:t> A</w:t>
      </w:r>
      <w:r w:rsidR="00E0707B" w:rsidRPr="00FD2515">
        <w:rPr>
          <w:rFonts w:ascii="Times New Roman" w:eastAsia="Times New Roman" w:hAnsi="Times New Roman" w:cs="Times New Roman"/>
          <w:sz w:val="24"/>
          <w:szCs w:val="24"/>
          <w:lang w:eastAsia="lv-LV"/>
        </w:rPr>
        <w:t xml:space="preserve">monija nitrātu saturošu mēslošanas līdzekļu vai kompleksā mēslojuma spēju </w:t>
      </w:r>
      <w:proofErr w:type="spellStart"/>
      <w:r w:rsidR="00E0707B" w:rsidRPr="00FD2515">
        <w:rPr>
          <w:rFonts w:ascii="Times New Roman" w:eastAsia="Times New Roman" w:hAnsi="Times New Roman" w:cs="Times New Roman"/>
          <w:sz w:val="24"/>
          <w:szCs w:val="24"/>
          <w:lang w:eastAsia="lv-LV"/>
        </w:rPr>
        <w:t>pašsadalīties</w:t>
      </w:r>
      <w:proofErr w:type="spellEnd"/>
      <w:r w:rsidR="00E0707B" w:rsidRPr="00FD2515">
        <w:rPr>
          <w:rFonts w:ascii="Times New Roman" w:eastAsia="Times New Roman" w:hAnsi="Times New Roman" w:cs="Times New Roman"/>
          <w:sz w:val="24"/>
          <w:szCs w:val="24"/>
          <w:lang w:eastAsia="lv-LV"/>
        </w:rPr>
        <w:t xml:space="preserve"> nosaka ar Apvienoto Nāciju Organizācij</w:t>
      </w:r>
      <w:r w:rsidR="00E67FA1">
        <w:rPr>
          <w:rFonts w:ascii="Times New Roman" w:eastAsia="Times New Roman" w:hAnsi="Times New Roman" w:cs="Times New Roman"/>
          <w:sz w:val="24"/>
          <w:szCs w:val="24"/>
          <w:lang w:eastAsia="lv-LV"/>
        </w:rPr>
        <w:t>as</w:t>
      </w:r>
      <w:r w:rsidR="00E0707B" w:rsidRPr="00FD2515">
        <w:rPr>
          <w:rFonts w:ascii="Times New Roman" w:eastAsia="Times New Roman" w:hAnsi="Times New Roman" w:cs="Times New Roman"/>
          <w:sz w:val="24"/>
          <w:szCs w:val="24"/>
          <w:lang w:eastAsia="lv-LV"/>
        </w:rPr>
        <w:t xml:space="preserve"> (turpmāk</w:t>
      </w:r>
      <w:r w:rsidR="00E67FA1">
        <w:rPr>
          <w:rFonts w:ascii="Times New Roman" w:eastAsia="Times New Roman" w:hAnsi="Times New Roman" w:cs="Times New Roman"/>
          <w:sz w:val="24"/>
          <w:szCs w:val="24"/>
          <w:lang w:eastAsia="lv-LV"/>
        </w:rPr>
        <w:t xml:space="preserve"> – </w:t>
      </w:r>
      <w:r w:rsidR="00E0707B" w:rsidRPr="00FD2515">
        <w:rPr>
          <w:rFonts w:ascii="Times New Roman" w:eastAsia="Times New Roman" w:hAnsi="Times New Roman" w:cs="Times New Roman"/>
          <w:sz w:val="24"/>
          <w:szCs w:val="24"/>
          <w:lang w:eastAsia="lv-LV"/>
        </w:rPr>
        <w:t>ANO) Notecējumu pārbaudi, kas aprakstīta ANO Rekomendāciju par bīstamu kravu pārvadājumiem Testēšanas un kritēriju rokasgrāmatas III daļas 38.2. sadaļā.</w:t>
      </w:r>
    </w:p>
    <w:p w14:paraId="6F1A25A3" w14:textId="76ACDDCD" w:rsidR="00E0707B" w:rsidRPr="00FD2515" w:rsidRDefault="00A40E1D"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2</w:t>
      </w:r>
      <w:r w:rsidRPr="00FD2515">
        <w:rPr>
          <w:rFonts w:ascii="Times New Roman" w:eastAsia="Times New Roman" w:hAnsi="Times New Roman" w:cs="Times New Roman"/>
          <w:sz w:val="24"/>
          <w:szCs w:val="24"/>
          <w:lang w:eastAsia="lv-LV"/>
        </w:rPr>
        <w:t xml:space="preserve"> </w:t>
      </w:r>
      <w:r w:rsidR="007E5AF4">
        <w:rPr>
          <w:rFonts w:ascii="Times New Roman" w:eastAsia="Times New Roman" w:hAnsi="Times New Roman" w:cs="Times New Roman"/>
          <w:sz w:val="24"/>
          <w:szCs w:val="24"/>
          <w:lang w:eastAsia="lv-LV"/>
        </w:rPr>
        <w:t>S</w:t>
      </w:r>
      <w:r w:rsidR="00E0707B" w:rsidRPr="00FD2515">
        <w:rPr>
          <w:rFonts w:ascii="Times New Roman" w:eastAsia="Times New Roman" w:hAnsi="Times New Roman" w:cs="Times New Roman"/>
          <w:sz w:val="24"/>
          <w:szCs w:val="24"/>
          <w:lang w:eastAsia="lv-LV"/>
        </w:rPr>
        <w:t>lāpekļa saturs 15,75 % (masas procentos) atbilst 45 % amonija nitrāta no attiecīgā mēslošanas līdzekļa vai cita maisījuma.</w:t>
      </w:r>
    </w:p>
    <w:p w14:paraId="5922D473" w14:textId="24471D89" w:rsidR="00E0707B" w:rsidRPr="00FD2515" w:rsidRDefault="00A40E1D"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3</w:t>
      </w:r>
      <w:r w:rsidRPr="00FD2515">
        <w:rPr>
          <w:rFonts w:ascii="Times New Roman" w:eastAsia="Times New Roman" w:hAnsi="Times New Roman" w:cs="Times New Roman"/>
          <w:sz w:val="24"/>
          <w:szCs w:val="24"/>
          <w:lang w:eastAsia="lv-LV"/>
        </w:rPr>
        <w:t xml:space="preserve"> </w:t>
      </w:r>
      <w:r w:rsidR="007E5AF4">
        <w:rPr>
          <w:rFonts w:ascii="Times New Roman" w:eastAsia="Times New Roman" w:hAnsi="Times New Roman" w:cs="Times New Roman"/>
          <w:sz w:val="24"/>
          <w:szCs w:val="24"/>
          <w:lang w:eastAsia="lv-LV"/>
        </w:rPr>
        <w:t>S</w:t>
      </w:r>
      <w:r w:rsidR="00E0707B" w:rsidRPr="00FD2515">
        <w:rPr>
          <w:rFonts w:ascii="Times New Roman" w:eastAsia="Times New Roman" w:hAnsi="Times New Roman" w:cs="Times New Roman"/>
          <w:sz w:val="24"/>
          <w:szCs w:val="24"/>
          <w:lang w:eastAsia="lv-LV"/>
        </w:rPr>
        <w:t>lāpekļa saturs 24,5 % (masas procentos) atbilst 70 % amonija nitrāta no attiecīgā mēslošanas līdzekļa vai cita maisījuma.</w:t>
      </w:r>
    </w:p>
    <w:p w14:paraId="283D31E5" w14:textId="058B06A8" w:rsidR="00E0707B" w:rsidRPr="00FD2515" w:rsidRDefault="00A40E1D"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4</w:t>
      </w:r>
      <w:r w:rsidRPr="00FD2515">
        <w:rPr>
          <w:rFonts w:ascii="Times New Roman" w:eastAsia="Times New Roman" w:hAnsi="Times New Roman" w:cs="Times New Roman"/>
          <w:sz w:val="24"/>
          <w:szCs w:val="24"/>
          <w:lang w:eastAsia="lv-LV"/>
        </w:rPr>
        <w:t xml:space="preserve"> </w:t>
      </w:r>
      <w:r w:rsidR="007E5AF4">
        <w:rPr>
          <w:rFonts w:ascii="Times New Roman" w:eastAsia="Times New Roman" w:hAnsi="Times New Roman" w:cs="Times New Roman"/>
          <w:sz w:val="24"/>
          <w:szCs w:val="24"/>
          <w:lang w:eastAsia="lv-LV"/>
        </w:rPr>
        <w:t>S</w:t>
      </w:r>
      <w:r w:rsidR="00E0707B" w:rsidRPr="00FD2515">
        <w:rPr>
          <w:rFonts w:ascii="Times New Roman" w:eastAsia="Times New Roman" w:hAnsi="Times New Roman" w:cs="Times New Roman"/>
          <w:sz w:val="24"/>
          <w:szCs w:val="24"/>
          <w:lang w:eastAsia="lv-LV"/>
        </w:rPr>
        <w:t>lāpekļa saturs 15,75 % (masas procentos) atbilst 45 masas % amonija nitrāta no attiecīgā līdzekļa vai cita maisījuma.</w:t>
      </w:r>
    </w:p>
    <w:p w14:paraId="4EAFEA2B" w14:textId="0D6DD1C6" w:rsidR="00E0707B" w:rsidRPr="00FD2515" w:rsidRDefault="00A40E1D"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5</w:t>
      </w:r>
      <w:r w:rsidRPr="00FD2515">
        <w:rPr>
          <w:rFonts w:ascii="Times New Roman" w:eastAsia="Times New Roman" w:hAnsi="Times New Roman" w:cs="Times New Roman"/>
          <w:sz w:val="24"/>
          <w:szCs w:val="24"/>
          <w:lang w:eastAsia="lv-LV"/>
        </w:rPr>
        <w:t xml:space="preserve"> </w:t>
      </w:r>
      <w:r w:rsidR="007E5AF4">
        <w:rPr>
          <w:rFonts w:ascii="Times New Roman" w:eastAsia="Times New Roman" w:hAnsi="Times New Roman" w:cs="Times New Roman"/>
          <w:sz w:val="24"/>
          <w:szCs w:val="24"/>
          <w:lang w:eastAsia="lv-LV"/>
        </w:rPr>
        <w:t>S</w:t>
      </w:r>
      <w:r w:rsidR="00E0707B" w:rsidRPr="00FD2515">
        <w:rPr>
          <w:rFonts w:ascii="Times New Roman" w:eastAsia="Times New Roman" w:hAnsi="Times New Roman" w:cs="Times New Roman"/>
          <w:sz w:val="24"/>
          <w:szCs w:val="24"/>
          <w:lang w:eastAsia="lv-LV"/>
        </w:rPr>
        <w:t>lāpekļa saturs 28 % (masas procentos) atbilst 80 masas % amonija nitrāta no attiecīgā līdzekļa vai cita maisījuma.</w:t>
      </w:r>
    </w:p>
    <w:p w14:paraId="4DB75481" w14:textId="53180CD2" w:rsidR="00E0707B" w:rsidRPr="00FD2515" w:rsidRDefault="00E0707B"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lastRenderedPageBreak/>
        <w:t>6</w:t>
      </w:r>
      <w:r w:rsidR="00A40E1D" w:rsidRPr="00FD2515">
        <w:rPr>
          <w:rFonts w:ascii="Times New Roman" w:eastAsia="Times New Roman" w:hAnsi="Times New Roman" w:cs="Times New Roman"/>
          <w:sz w:val="24"/>
          <w:szCs w:val="24"/>
          <w:lang w:eastAsia="lv-LV"/>
        </w:rPr>
        <w:t xml:space="preserve"> </w:t>
      </w:r>
      <w:r w:rsidR="007E5AF4" w:rsidRPr="00FD2515">
        <w:rPr>
          <w:rFonts w:ascii="Times New Roman" w:eastAsia="Times New Roman" w:hAnsi="Times New Roman" w:cs="Times New Roman"/>
          <w:sz w:val="24"/>
          <w:szCs w:val="24"/>
          <w:lang w:eastAsia="lv-LV"/>
        </w:rPr>
        <w:t>Š</w:t>
      </w:r>
      <w:r w:rsidRPr="00FD2515">
        <w:rPr>
          <w:rFonts w:ascii="Times New Roman" w:eastAsia="Times New Roman" w:hAnsi="Times New Roman" w:cs="Times New Roman"/>
          <w:sz w:val="24"/>
          <w:szCs w:val="24"/>
          <w:lang w:eastAsia="lv-LV"/>
        </w:rPr>
        <w:t>eit var iekļaut arī attīrītu biogāzi, ja tā apstrādāta saskaņā ar standartiem, kas tiek piemēroti attīrītas un uzlabotas biogāzes ieguvē, nodrošinot dabasgāzes kvalitātei līdzvērtīgu kvalitāti, tostarp līdzvērtīgu metāna saturu un ne vairāk kā 1 % skābekļa.</w:t>
      </w:r>
    </w:p>
    <w:p w14:paraId="0D31AD63" w14:textId="022BCD1F" w:rsidR="00E0707B" w:rsidRPr="00FD2515" w:rsidRDefault="00E0707B"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7</w:t>
      </w:r>
      <w:r w:rsidR="00A40E1D" w:rsidRPr="00FD2515">
        <w:rPr>
          <w:rFonts w:ascii="Times New Roman" w:eastAsia="Times New Roman" w:hAnsi="Times New Roman" w:cs="Times New Roman"/>
          <w:sz w:val="24"/>
          <w:szCs w:val="24"/>
          <w:lang w:eastAsia="lv-LV"/>
        </w:rPr>
        <w:t xml:space="preserve"> </w:t>
      </w:r>
      <w:r w:rsidR="007E5AF4" w:rsidRPr="00FD2515">
        <w:rPr>
          <w:rFonts w:ascii="Times New Roman" w:eastAsia="Times New Roman" w:hAnsi="Times New Roman" w:cs="Times New Roman"/>
          <w:sz w:val="24"/>
          <w:szCs w:val="24"/>
          <w:lang w:eastAsia="lv-LV"/>
        </w:rPr>
        <w:t>A</w:t>
      </w:r>
      <w:r w:rsidRPr="00FD2515">
        <w:rPr>
          <w:rFonts w:ascii="Times New Roman" w:eastAsia="Times New Roman" w:hAnsi="Times New Roman" w:cs="Times New Roman"/>
          <w:sz w:val="24"/>
          <w:szCs w:val="24"/>
          <w:lang w:eastAsia="lv-LV"/>
        </w:rPr>
        <w:t>r nosacījumu, ka maisījums, kura sastāvā nav nātrija hipohlorīta, netiek klasificēts kā 1. kategorijas akūti toksisks ūdens organismiem [H400].</w:t>
      </w:r>
    </w:p>
    <w:p w14:paraId="45D55E3F" w14:textId="7EC7CDE9" w:rsidR="00E0707B" w:rsidRPr="00FD2515" w:rsidRDefault="00E0707B" w:rsidP="00A40E1D">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FD2515">
        <w:rPr>
          <w:rFonts w:ascii="Times New Roman" w:eastAsia="Times New Roman" w:hAnsi="Times New Roman" w:cs="Times New Roman"/>
          <w:sz w:val="24"/>
          <w:szCs w:val="24"/>
          <w:vertAlign w:val="superscript"/>
          <w:lang w:eastAsia="lv-LV"/>
        </w:rPr>
        <w:t>8</w:t>
      </w:r>
      <w:r w:rsidR="00A40E1D" w:rsidRPr="00FD2515">
        <w:rPr>
          <w:rFonts w:ascii="Times New Roman" w:eastAsia="Times New Roman" w:hAnsi="Times New Roman" w:cs="Times New Roman"/>
          <w:sz w:val="24"/>
          <w:szCs w:val="24"/>
          <w:lang w:eastAsia="lv-LV"/>
        </w:rPr>
        <w:t xml:space="preserve"> </w:t>
      </w:r>
      <w:r w:rsidR="007E5AF4" w:rsidRPr="00FD2515">
        <w:rPr>
          <w:rFonts w:ascii="Times New Roman" w:eastAsia="Times New Roman" w:hAnsi="Times New Roman" w:cs="Times New Roman"/>
          <w:sz w:val="24"/>
          <w:szCs w:val="24"/>
          <w:lang w:eastAsia="lv-LV"/>
        </w:rPr>
        <w:t>J</w:t>
      </w:r>
      <w:r w:rsidRPr="00FD2515">
        <w:rPr>
          <w:rFonts w:ascii="Times New Roman" w:eastAsia="Times New Roman" w:hAnsi="Times New Roman" w:cs="Times New Roman"/>
          <w:sz w:val="24"/>
          <w:szCs w:val="24"/>
          <w:lang w:eastAsia="lv-LV"/>
        </w:rPr>
        <w:t xml:space="preserve">a bīstamā viela ir iekļauta P5a vai P5b kategorijā </w:t>
      </w:r>
      <w:r w:rsidR="004D6FAC" w:rsidRPr="00FD2515">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Uzliesmojoši šķidrumi</w:t>
      </w:r>
      <w:r w:rsidR="004D6FAC" w:rsidRPr="00FD2515">
        <w:rPr>
          <w:rFonts w:ascii="Times New Roman" w:eastAsia="Times New Roman" w:hAnsi="Times New Roman" w:cs="Times New Roman"/>
          <w:sz w:val="24"/>
          <w:szCs w:val="24"/>
          <w:lang w:eastAsia="lv-LV"/>
        </w:rPr>
        <w:t>"</w:t>
      </w:r>
      <w:r w:rsidRPr="00FD2515">
        <w:rPr>
          <w:rFonts w:ascii="Times New Roman" w:eastAsia="Times New Roman" w:hAnsi="Times New Roman" w:cs="Times New Roman"/>
          <w:sz w:val="24"/>
          <w:szCs w:val="24"/>
          <w:lang w:eastAsia="lv-LV"/>
        </w:rPr>
        <w:t>, piemēro mazāko kvalificējošo daudzumu.</w:t>
      </w:r>
      <w:bookmarkStart w:id="2" w:name="n4"/>
      <w:bookmarkEnd w:id="2"/>
    </w:p>
    <w:p w14:paraId="258D61F8" w14:textId="77777777" w:rsidR="003821AF" w:rsidRPr="00FD2515" w:rsidRDefault="003821AF" w:rsidP="00455DF3">
      <w:pPr>
        <w:spacing w:after="0"/>
        <w:rPr>
          <w:rFonts w:ascii="Times New Roman" w:hAnsi="Times New Roman" w:cs="Times New Roman"/>
          <w:sz w:val="28"/>
          <w:szCs w:val="28"/>
        </w:rPr>
      </w:pPr>
    </w:p>
    <w:p w14:paraId="3BF41AB8" w14:textId="77777777" w:rsidR="003821AF" w:rsidRPr="00FD2515" w:rsidRDefault="003821AF" w:rsidP="00455DF3">
      <w:pPr>
        <w:spacing w:after="0"/>
        <w:rPr>
          <w:rFonts w:ascii="Times New Roman" w:hAnsi="Times New Roman" w:cs="Times New Roman"/>
          <w:sz w:val="28"/>
          <w:szCs w:val="28"/>
        </w:rPr>
      </w:pPr>
    </w:p>
    <w:p w14:paraId="39665682" w14:textId="77777777" w:rsidR="004D6FAC" w:rsidRPr="00FD2515" w:rsidRDefault="004D6FAC" w:rsidP="00455DF3">
      <w:pPr>
        <w:tabs>
          <w:tab w:val="left" w:pos="4678"/>
        </w:tabs>
        <w:spacing w:after="0"/>
        <w:rPr>
          <w:rFonts w:ascii="Times New Roman" w:hAnsi="Times New Roman" w:cs="Times New Roman"/>
          <w:sz w:val="28"/>
        </w:rPr>
      </w:pPr>
    </w:p>
    <w:p w14:paraId="26117B3E" w14:textId="77777777" w:rsidR="004D6FAC" w:rsidRPr="00FD2515" w:rsidRDefault="004D6FAC" w:rsidP="007E5AF4">
      <w:pPr>
        <w:tabs>
          <w:tab w:val="left" w:pos="2268"/>
          <w:tab w:val="left" w:pos="6804"/>
        </w:tabs>
        <w:ind w:firstLine="709"/>
        <w:rPr>
          <w:rFonts w:ascii="Times New Roman" w:hAnsi="Times New Roman" w:cs="Times New Roman"/>
          <w:sz w:val="28"/>
        </w:rPr>
      </w:pPr>
      <w:r w:rsidRPr="00FD2515">
        <w:rPr>
          <w:rFonts w:ascii="Times New Roman" w:hAnsi="Times New Roman" w:cs="Times New Roman"/>
          <w:sz w:val="28"/>
        </w:rPr>
        <w:t xml:space="preserve">Iekšlietu ministrs </w:t>
      </w:r>
      <w:r w:rsidRPr="00FD2515">
        <w:rPr>
          <w:rFonts w:ascii="Times New Roman" w:hAnsi="Times New Roman" w:cs="Times New Roman"/>
          <w:sz w:val="28"/>
        </w:rPr>
        <w:tab/>
        <w:t>Rihards Kozlovskis</w:t>
      </w:r>
    </w:p>
    <w:sectPr w:rsidR="004D6FAC" w:rsidRPr="00FD2515" w:rsidSect="00455DF3">
      <w:headerReference w:type="default" r:id="rId21"/>
      <w:footerReference w:type="default" r:id="rId22"/>
      <w:footerReference w:type="first" r:id="rId23"/>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59171" w14:textId="77777777" w:rsidR="00764FFB" w:rsidRDefault="00764FFB" w:rsidP="00043019">
      <w:pPr>
        <w:spacing w:after="0" w:line="240" w:lineRule="auto"/>
      </w:pPr>
      <w:r>
        <w:separator/>
      </w:r>
    </w:p>
  </w:endnote>
  <w:endnote w:type="continuationSeparator" w:id="0">
    <w:p w14:paraId="2F244FDE" w14:textId="77777777" w:rsidR="00764FFB" w:rsidRDefault="00764FFB" w:rsidP="0004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EDF0" w14:textId="769950A2" w:rsidR="004D6FAC" w:rsidRPr="004D6FAC" w:rsidRDefault="004D6FAC">
    <w:pPr>
      <w:pStyle w:val="Footer"/>
      <w:rPr>
        <w:rFonts w:ascii="Times New Roman" w:hAnsi="Times New Roman" w:cs="Times New Roman"/>
        <w:sz w:val="16"/>
        <w:szCs w:val="16"/>
      </w:rPr>
    </w:pPr>
    <w:r w:rsidRPr="004D6FAC">
      <w:rPr>
        <w:rFonts w:ascii="Times New Roman" w:hAnsi="Times New Roman" w:cs="Times New Roman"/>
        <w:sz w:val="16"/>
        <w:szCs w:val="16"/>
      </w:rPr>
      <w:t>N1722_7p1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8C17" w14:textId="513B4E12" w:rsidR="004D6FAC" w:rsidRPr="004D6FAC" w:rsidRDefault="004D6FAC">
    <w:pPr>
      <w:pStyle w:val="Footer"/>
      <w:rPr>
        <w:rFonts w:ascii="Times New Roman" w:hAnsi="Times New Roman" w:cs="Times New Roman"/>
        <w:sz w:val="16"/>
        <w:szCs w:val="16"/>
      </w:rPr>
    </w:pPr>
    <w:r w:rsidRPr="004D6FAC">
      <w:rPr>
        <w:rFonts w:ascii="Times New Roman" w:hAnsi="Times New Roman" w:cs="Times New Roman"/>
        <w:sz w:val="16"/>
        <w:szCs w:val="16"/>
      </w:rPr>
      <w:t>N1722_7p1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B2A07" w14:textId="77777777" w:rsidR="00764FFB" w:rsidRDefault="00764FFB" w:rsidP="00043019">
      <w:pPr>
        <w:spacing w:after="0" w:line="240" w:lineRule="auto"/>
      </w:pPr>
      <w:r>
        <w:separator/>
      </w:r>
    </w:p>
  </w:footnote>
  <w:footnote w:type="continuationSeparator" w:id="0">
    <w:p w14:paraId="32657614" w14:textId="77777777" w:rsidR="00764FFB" w:rsidRDefault="00764FFB" w:rsidP="00043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65476"/>
      <w:docPartObj>
        <w:docPartGallery w:val="Page Numbers (Top of Page)"/>
        <w:docPartUnique/>
      </w:docPartObj>
    </w:sdtPr>
    <w:sdtEndPr>
      <w:rPr>
        <w:rFonts w:ascii="Times New Roman" w:hAnsi="Times New Roman" w:cs="Times New Roman"/>
        <w:sz w:val="24"/>
      </w:rPr>
    </w:sdtEndPr>
    <w:sdtContent>
      <w:p w14:paraId="11CE2C43" w14:textId="77777777" w:rsidR="00807F5B" w:rsidRPr="004D6FAC" w:rsidRDefault="00807F5B">
        <w:pPr>
          <w:pStyle w:val="Header"/>
          <w:jc w:val="center"/>
          <w:rPr>
            <w:rFonts w:ascii="Times New Roman" w:hAnsi="Times New Roman" w:cs="Times New Roman"/>
            <w:sz w:val="24"/>
          </w:rPr>
        </w:pPr>
        <w:r w:rsidRPr="004D6FAC">
          <w:rPr>
            <w:rFonts w:ascii="Times New Roman" w:hAnsi="Times New Roman" w:cs="Times New Roman"/>
            <w:sz w:val="24"/>
          </w:rPr>
          <w:fldChar w:fldCharType="begin"/>
        </w:r>
        <w:r w:rsidRPr="004D6FAC">
          <w:rPr>
            <w:rFonts w:ascii="Times New Roman" w:hAnsi="Times New Roman" w:cs="Times New Roman"/>
            <w:sz w:val="24"/>
          </w:rPr>
          <w:instrText>PAGE   \* MERGEFORMAT</w:instrText>
        </w:r>
        <w:r w:rsidRPr="004D6FAC">
          <w:rPr>
            <w:rFonts w:ascii="Times New Roman" w:hAnsi="Times New Roman" w:cs="Times New Roman"/>
            <w:sz w:val="24"/>
          </w:rPr>
          <w:fldChar w:fldCharType="separate"/>
        </w:r>
        <w:r w:rsidR="00472568">
          <w:rPr>
            <w:rFonts w:ascii="Times New Roman" w:hAnsi="Times New Roman" w:cs="Times New Roman"/>
            <w:noProof/>
            <w:sz w:val="24"/>
          </w:rPr>
          <w:t>9</w:t>
        </w:r>
        <w:r w:rsidRPr="004D6FAC">
          <w:rPr>
            <w:rFonts w:ascii="Times New Roman" w:hAnsi="Times New Roman" w:cs="Times New Roman"/>
            <w:sz w:val="24"/>
          </w:rPr>
          <w:fldChar w:fldCharType="end"/>
        </w:r>
      </w:p>
    </w:sdtContent>
  </w:sdt>
  <w:p w14:paraId="2D84D371" w14:textId="77777777" w:rsidR="00807F5B" w:rsidRDefault="00807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2059"/>
    <w:multiLevelType w:val="hybridMultilevel"/>
    <w:tmpl w:val="95DE075E"/>
    <w:lvl w:ilvl="0" w:tplc="47A4BE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A2456F5"/>
    <w:multiLevelType w:val="hybridMultilevel"/>
    <w:tmpl w:val="6E8E9606"/>
    <w:lvl w:ilvl="0" w:tplc="0A0A932C">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BBF6B68"/>
    <w:multiLevelType w:val="hybridMultilevel"/>
    <w:tmpl w:val="468A779A"/>
    <w:lvl w:ilvl="0" w:tplc="1B70DA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D89120B"/>
    <w:multiLevelType w:val="hybridMultilevel"/>
    <w:tmpl w:val="30CC6846"/>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19"/>
    <w:rsid w:val="0003294E"/>
    <w:rsid w:val="00043019"/>
    <w:rsid w:val="000612F4"/>
    <w:rsid w:val="00074335"/>
    <w:rsid w:val="000962F3"/>
    <w:rsid w:val="000D01FF"/>
    <w:rsid w:val="000E0AFE"/>
    <w:rsid w:val="00125DA6"/>
    <w:rsid w:val="002243E1"/>
    <w:rsid w:val="00227204"/>
    <w:rsid w:val="00273B16"/>
    <w:rsid w:val="002B4A6A"/>
    <w:rsid w:val="0035266B"/>
    <w:rsid w:val="00360058"/>
    <w:rsid w:val="003821AF"/>
    <w:rsid w:val="00382D45"/>
    <w:rsid w:val="003F3842"/>
    <w:rsid w:val="003F43D3"/>
    <w:rsid w:val="003F6AED"/>
    <w:rsid w:val="00410E0C"/>
    <w:rsid w:val="00455DF3"/>
    <w:rsid w:val="00466CF6"/>
    <w:rsid w:val="00472568"/>
    <w:rsid w:val="00474BA5"/>
    <w:rsid w:val="00494868"/>
    <w:rsid w:val="004D6FAC"/>
    <w:rsid w:val="005034D5"/>
    <w:rsid w:val="005130D9"/>
    <w:rsid w:val="00541AE6"/>
    <w:rsid w:val="0054394B"/>
    <w:rsid w:val="0055326F"/>
    <w:rsid w:val="00571F6F"/>
    <w:rsid w:val="005E3AA5"/>
    <w:rsid w:val="00661E29"/>
    <w:rsid w:val="00680D68"/>
    <w:rsid w:val="006B3B3F"/>
    <w:rsid w:val="006B528E"/>
    <w:rsid w:val="006E7BBD"/>
    <w:rsid w:val="00706E60"/>
    <w:rsid w:val="00737826"/>
    <w:rsid w:val="00764FFB"/>
    <w:rsid w:val="00794FAD"/>
    <w:rsid w:val="007B5F6D"/>
    <w:rsid w:val="007C3388"/>
    <w:rsid w:val="007E5AF4"/>
    <w:rsid w:val="00807F5B"/>
    <w:rsid w:val="00831E36"/>
    <w:rsid w:val="0084075F"/>
    <w:rsid w:val="008C3E65"/>
    <w:rsid w:val="008F194B"/>
    <w:rsid w:val="00911161"/>
    <w:rsid w:val="009C4B05"/>
    <w:rsid w:val="009E73D9"/>
    <w:rsid w:val="00A40E1D"/>
    <w:rsid w:val="00A41FB8"/>
    <w:rsid w:val="00A651F1"/>
    <w:rsid w:val="00A845E2"/>
    <w:rsid w:val="00AE2FA4"/>
    <w:rsid w:val="00B24C44"/>
    <w:rsid w:val="00B31A2F"/>
    <w:rsid w:val="00B514F5"/>
    <w:rsid w:val="00B91E50"/>
    <w:rsid w:val="00BF0D6F"/>
    <w:rsid w:val="00CD7B0E"/>
    <w:rsid w:val="00D141CE"/>
    <w:rsid w:val="00D61A93"/>
    <w:rsid w:val="00D659A9"/>
    <w:rsid w:val="00DA6DE8"/>
    <w:rsid w:val="00DC7C68"/>
    <w:rsid w:val="00E0707B"/>
    <w:rsid w:val="00E13F1F"/>
    <w:rsid w:val="00E22FC5"/>
    <w:rsid w:val="00E62FFD"/>
    <w:rsid w:val="00E67FA1"/>
    <w:rsid w:val="00F85636"/>
    <w:rsid w:val="00F9741A"/>
    <w:rsid w:val="00FD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19"/>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19"/>
    <w:pPr>
      <w:ind w:left="720"/>
      <w:contextualSpacing/>
    </w:pPr>
  </w:style>
  <w:style w:type="paragraph" w:styleId="Header">
    <w:name w:val="header"/>
    <w:basedOn w:val="Normal"/>
    <w:link w:val="HeaderChar"/>
    <w:uiPriority w:val="99"/>
    <w:unhideWhenUsed/>
    <w:rsid w:val="000430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019"/>
    <w:rPr>
      <w:lang w:val="lv-LV"/>
    </w:rPr>
  </w:style>
  <w:style w:type="paragraph" w:styleId="Footer">
    <w:name w:val="footer"/>
    <w:basedOn w:val="Normal"/>
    <w:link w:val="FooterChar"/>
    <w:uiPriority w:val="99"/>
    <w:unhideWhenUsed/>
    <w:rsid w:val="000430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019"/>
    <w:rPr>
      <w:lang w:val="lv-LV"/>
    </w:rPr>
  </w:style>
  <w:style w:type="paragraph" w:styleId="BalloonText">
    <w:name w:val="Balloon Text"/>
    <w:basedOn w:val="Normal"/>
    <w:link w:val="BalloonTextChar"/>
    <w:uiPriority w:val="99"/>
    <w:semiHidden/>
    <w:unhideWhenUsed/>
    <w:rsid w:val="006E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BD"/>
    <w:rPr>
      <w:rFonts w:ascii="Segoe U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19"/>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19"/>
    <w:pPr>
      <w:ind w:left="720"/>
      <w:contextualSpacing/>
    </w:pPr>
  </w:style>
  <w:style w:type="paragraph" w:styleId="Header">
    <w:name w:val="header"/>
    <w:basedOn w:val="Normal"/>
    <w:link w:val="HeaderChar"/>
    <w:uiPriority w:val="99"/>
    <w:unhideWhenUsed/>
    <w:rsid w:val="000430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019"/>
    <w:rPr>
      <w:lang w:val="lv-LV"/>
    </w:rPr>
  </w:style>
  <w:style w:type="paragraph" w:styleId="Footer">
    <w:name w:val="footer"/>
    <w:basedOn w:val="Normal"/>
    <w:link w:val="FooterChar"/>
    <w:uiPriority w:val="99"/>
    <w:unhideWhenUsed/>
    <w:rsid w:val="000430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019"/>
    <w:rPr>
      <w:lang w:val="lv-LV"/>
    </w:rPr>
  </w:style>
  <w:style w:type="paragraph" w:styleId="BalloonText">
    <w:name w:val="Balloon Text"/>
    <w:basedOn w:val="Normal"/>
    <w:link w:val="BalloonTextChar"/>
    <w:uiPriority w:val="99"/>
    <w:semiHidden/>
    <w:unhideWhenUsed/>
    <w:rsid w:val="006E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B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6680">
      <w:bodyDiv w:val="1"/>
      <w:marLeft w:val="0"/>
      <w:marRight w:val="0"/>
      <w:marTop w:val="0"/>
      <w:marBottom w:val="0"/>
      <w:divBdr>
        <w:top w:val="none" w:sz="0" w:space="0" w:color="auto"/>
        <w:left w:val="none" w:sz="0" w:space="0" w:color="auto"/>
        <w:bottom w:val="none" w:sz="0" w:space="0" w:color="auto"/>
        <w:right w:val="none" w:sz="0" w:space="0" w:color="auto"/>
      </w:divBdr>
    </w:div>
    <w:div w:id="19642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08/1272/oj/?locale=LV" TargetMode="External"/><Relationship Id="rId18" Type="http://schemas.openxmlformats.org/officeDocument/2006/relationships/hyperlink" Target="http://eur-lex.europa.eu/eli/reg/2003/2003/oj/?locale=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eli/reg/2008/1272/oj/?locale=LV" TargetMode="External"/><Relationship Id="rId17" Type="http://schemas.openxmlformats.org/officeDocument/2006/relationships/hyperlink" Target="http://eur-lex.europa.eu/eli/reg/2003/2003/oj/?locale=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06/1907/oj/?locale=LV" TargetMode="External"/><Relationship Id="rId20" Type="http://schemas.openxmlformats.org/officeDocument/2006/relationships/hyperlink" Target="http://likumi.lv/ta/id/280652-rupniecisko-avariju-riska-novertesanas-kartiba-un-riska-samazinasanas-pasak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08/1272/oj/?locale=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eli/reg/2008/1272/oj/?locale=LV" TargetMode="External"/><Relationship Id="rId23" Type="http://schemas.openxmlformats.org/officeDocument/2006/relationships/footer" Target="footer2.xml"/><Relationship Id="rId10" Type="http://schemas.openxmlformats.org/officeDocument/2006/relationships/hyperlink" Target="http://eur-lex.europa.eu/eli/reg/2008/1272/oj/?locale=LV" TargetMode="External"/><Relationship Id="rId19" Type="http://schemas.openxmlformats.org/officeDocument/2006/relationships/hyperlink" Target="http://eur-lex.europa.eu/eli/reg/2003/2003/oj/?locale=LV" TargetMode="External"/><Relationship Id="rId4" Type="http://schemas.microsoft.com/office/2007/relationships/stylesWithEffects" Target="stylesWithEffects.xml"/><Relationship Id="rId9" Type="http://schemas.openxmlformats.org/officeDocument/2006/relationships/hyperlink" Target="http://likumi.lv/ta/id/280652-rupniecisko-avariju-riska-novertesanas-kartiba-un-riska-samazinasanas-pasakumi" TargetMode="External"/><Relationship Id="rId14" Type="http://schemas.openxmlformats.org/officeDocument/2006/relationships/hyperlink" Target="http://eur-lex.europa.eu/eli/reg/2008/1272/oj/?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0F86-D5EA-4681-AC88-E8648FE6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11877</Words>
  <Characters>6770</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"Kartība kāda nosaka un apzina paaugstinātas bīstamības objektus, kā arī civilās aizsardzības un katastrofas pārvaldīšanas plānošanu un īstenošanu" 1.pielikums</vt:lpstr>
      <vt:lpstr>Ministru kabineta noteikumu projekts "Kartība kāda nosaka un apzina paaugstinātas bīstamības objektus, kā arī civilās aizsardzības un katastrofas pārvaldīšanas plānošanu un īstenošanu" 1.pielikums</vt:lpstr>
    </vt:vector>
  </TitlesOfParts>
  <Company>VUGD</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"Kartība kāda nosaka un apzina paaugstinātas bīstamības objektus, kā arī civilās aizsardzības un katastrofas pārvaldīšanas plānošanu un īstenošanu" 1.pielikums</dc:title>
  <dc:creator>Jevgenija Petuhova</dc:creator>
  <dc:description>67075877, jevgenija.petuhova@vugd.gov.lv;</dc:description>
  <cp:lastModifiedBy>Leontīne Babkina</cp:lastModifiedBy>
  <cp:revision>25</cp:revision>
  <cp:lastPrinted>2017-09-01T11:31:00Z</cp:lastPrinted>
  <dcterms:created xsi:type="dcterms:W3CDTF">2017-07-14T10:52:00Z</dcterms:created>
  <dcterms:modified xsi:type="dcterms:W3CDTF">2017-09-20T08:23:00Z</dcterms:modified>
</cp:coreProperties>
</file>