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CDD5" w14:textId="77777777" w:rsidR="00C611AC" w:rsidRDefault="00C611AC" w:rsidP="00B352C3">
      <w:pPr>
        <w:pStyle w:val="Title"/>
        <w:outlineLvl w:val="0"/>
      </w:pPr>
      <w:bookmarkStart w:id="0" w:name="OLE_LINK1"/>
      <w:bookmarkStart w:id="1" w:name="OLE_LINK2"/>
    </w:p>
    <w:bookmarkEnd w:id="0"/>
    <w:bookmarkEnd w:id="1"/>
    <w:p w14:paraId="7D9F49E7" w14:textId="210853C6" w:rsidR="00C611AC" w:rsidRPr="005736DB" w:rsidRDefault="006E7BBA" w:rsidP="00FE7ED6">
      <w:pPr>
        <w:jc w:val="center"/>
        <w:rPr>
          <w:b/>
        </w:rPr>
      </w:pPr>
      <w:r w:rsidRPr="005736DB">
        <w:rPr>
          <w:b/>
        </w:rPr>
        <w:t xml:space="preserve">Ministru kabineta noteikumu projekta </w:t>
      </w:r>
      <w:r w:rsidR="00FE7ED6">
        <w:rPr>
          <w:b/>
        </w:rPr>
        <w:t>“</w:t>
      </w:r>
      <w:r w:rsidR="005736DB" w:rsidRPr="005736DB">
        <w:rPr>
          <w:b/>
        </w:rPr>
        <w:t xml:space="preserve">Par </w:t>
      </w:r>
      <w:r w:rsidR="004361ED" w:rsidRPr="004361ED">
        <w:rPr>
          <w:b/>
        </w:rPr>
        <w:t xml:space="preserve">Latvijas Republikas </w:t>
      </w:r>
      <w:r w:rsidR="00035136">
        <w:rPr>
          <w:b/>
        </w:rPr>
        <w:t>valdības</w:t>
      </w:r>
      <w:r w:rsidR="004361ED" w:rsidRPr="004361ED">
        <w:rPr>
          <w:b/>
        </w:rPr>
        <w:t xml:space="preserve"> un Ķīnas Tautas Republikas </w:t>
      </w:r>
      <w:r w:rsidR="00035136">
        <w:rPr>
          <w:b/>
        </w:rPr>
        <w:t>valdības</w:t>
      </w:r>
      <w:r w:rsidR="00035136" w:rsidRPr="004361ED">
        <w:rPr>
          <w:b/>
        </w:rPr>
        <w:t xml:space="preserve"> </w:t>
      </w:r>
      <w:r w:rsidR="004361ED" w:rsidRPr="004361ED">
        <w:rPr>
          <w:b/>
        </w:rPr>
        <w:t xml:space="preserve">līgumu par sadarbību </w:t>
      </w:r>
      <w:r w:rsidR="00E15445">
        <w:rPr>
          <w:b/>
        </w:rPr>
        <w:t>zinātnes un tehnoloģiju</w:t>
      </w:r>
      <w:r w:rsidR="004361ED" w:rsidRPr="004361ED">
        <w:rPr>
          <w:b/>
        </w:rPr>
        <w:t xml:space="preserve"> jomā</w:t>
      </w:r>
      <w:r w:rsidR="005736DB" w:rsidRPr="005736DB">
        <w:rPr>
          <w:b/>
          <w:color w:val="000000"/>
        </w:rPr>
        <w:t xml:space="preserve">” </w:t>
      </w:r>
      <w:r w:rsidR="00852042" w:rsidRPr="005736DB">
        <w:rPr>
          <w:b/>
        </w:rPr>
        <w:t>sākotnējā</w:t>
      </w:r>
      <w:r w:rsidR="002D3306" w:rsidRPr="005736DB">
        <w:rPr>
          <w:b/>
        </w:rPr>
        <w:t>s</w:t>
      </w:r>
      <w:r w:rsidR="00852042" w:rsidRPr="005736DB">
        <w:rPr>
          <w:b/>
        </w:rPr>
        <w:t xml:space="preserve"> ietekmes novērtējuma </w:t>
      </w:r>
      <w:smartTag w:uri="schemas-tilde-lv/tildestengine" w:element="veidnes">
        <w:smartTagPr>
          <w:attr w:name="text" w:val="ziņojums"/>
          <w:attr w:name="baseform" w:val="ziņojums"/>
          <w:attr w:name="id" w:val="-1"/>
        </w:smartTagPr>
        <w:r w:rsidR="00852042" w:rsidRPr="005736DB">
          <w:rPr>
            <w:b/>
          </w:rPr>
          <w:t>ziņojums</w:t>
        </w:r>
      </w:smartTag>
      <w:r w:rsidR="00852042" w:rsidRPr="005736DB">
        <w:rPr>
          <w:b/>
        </w:rPr>
        <w:t xml:space="preserve"> (anotācija)</w:t>
      </w:r>
    </w:p>
    <w:tbl>
      <w:tblPr>
        <w:tblpPr w:leftFromText="180" w:rightFromText="180" w:vertAnchor="text" w:horzAnchor="margin" w:tblpXSpec="center" w:tblpY="149"/>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602"/>
      </w:tblGrid>
      <w:tr w:rsidR="00852042" w:rsidRPr="007C0F2C" w14:paraId="3F7C45F0" w14:textId="77777777" w:rsidTr="008272B4">
        <w:trPr>
          <w:trHeight w:val="121"/>
        </w:trPr>
        <w:tc>
          <w:tcPr>
            <w:tcW w:w="9513" w:type="dxa"/>
            <w:gridSpan w:val="3"/>
            <w:vAlign w:val="center"/>
          </w:tcPr>
          <w:p w14:paraId="62E327D7" w14:textId="77777777"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14:paraId="53EC628C" w14:textId="77777777" w:rsidTr="008272B4">
        <w:trPr>
          <w:trHeight w:val="382"/>
        </w:trPr>
        <w:tc>
          <w:tcPr>
            <w:tcW w:w="716" w:type="dxa"/>
          </w:tcPr>
          <w:p w14:paraId="1D93D212" w14:textId="77777777" w:rsidR="00262E2B" w:rsidRPr="002D6487" w:rsidRDefault="00262E2B" w:rsidP="00BD06FC">
            <w:pPr>
              <w:pStyle w:val="naiskr"/>
              <w:spacing w:before="120" w:after="120"/>
            </w:pPr>
            <w:r w:rsidRPr="002D6487">
              <w:t>1.</w:t>
            </w:r>
          </w:p>
        </w:tc>
        <w:tc>
          <w:tcPr>
            <w:tcW w:w="3195" w:type="dxa"/>
          </w:tcPr>
          <w:p w14:paraId="4AEEB3C3" w14:textId="78D8F136" w:rsidR="00D1224B" w:rsidRDefault="002D7F54" w:rsidP="00BD06FC">
            <w:pPr>
              <w:pStyle w:val="naiskr"/>
              <w:spacing w:before="120" w:after="120"/>
              <w:ind w:hanging="10"/>
            </w:pPr>
            <w:r w:rsidRPr="002D6487">
              <w:t>Pamatojums</w:t>
            </w:r>
          </w:p>
          <w:p w14:paraId="1721AEC8" w14:textId="77777777" w:rsidR="00D1224B" w:rsidRPr="00D1224B" w:rsidRDefault="00D1224B" w:rsidP="00D1224B"/>
          <w:p w14:paraId="2B6BDCB6" w14:textId="77777777" w:rsidR="00D1224B" w:rsidRPr="00D1224B" w:rsidRDefault="00D1224B" w:rsidP="00D576AC">
            <w:pPr>
              <w:jc w:val="center"/>
            </w:pPr>
          </w:p>
          <w:p w14:paraId="46A38AE8" w14:textId="77777777" w:rsidR="00D1224B" w:rsidRPr="00D1224B" w:rsidRDefault="00D1224B" w:rsidP="00D1224B"/>
          <w:p w14:paraId="38ECB679" w14:textId="77777777" w:rsidR="00D1224B" w:rsidRPr="00D1224B" w:rsidRDefault="00D1224B" w:rsidP="00D1224B"/>
          <w:p w14:paraId="4D0CD719" w14:textId="77777777" w:rsidR="00D1224B" w:rsidRPr="00D1224B" w:rsidRDefault="00D1224B" w:rsidP="00D1224B"/>
          <w:p w14:paraId="4D010F17" w14:textId="77777777" w:rsidR="00D1224B" w:rsidRPr="00D1224B" w:rsidRDefault="00D1224B" w:rsidP="00D1224B"/>
          <w:p w14:paraId="35AA9D2E" w14:textId="3CACCBEF" w:rsidR="00D1224B" w:rsidRDefault="00D1224B" w:rsidP="00D1224B"/>
          <w:p w14:paraId="4C186850" w14:textId="5F66B2C2" w:rsidR="00262E2B" w:rsidRPr="00D1224B" w:rsidRDefault="00D1224B" w:rsidP="00D1224B">
            <w:pPr>
              <w:tabs>
                <w:tab w:val="left" w:pos="956"/>
              </w:tabs>
            </w:pPr>
            <w:r>
              <w:tab/>
            </w:r>
          </w:p>
        </w:tc>
        <w:tc>
          <w:tcPr>
            <w:tcW w:w="5602" w:type="dxa"/>
          </w:tcPr>
          <w:p w14:paraId="427314A9" w14:textId="77183DAD" w:rsidR="00EE5751" w:rsidRPr="002D6487" w:rsidRDefault="005736DB" w:rsidP="00FB5F90">
            <w:pPr>
              <w:widowControl w:val="0"/>
              <w:spacing w:after="120"/>
              <w:ind w:left="64" w:right="198"/>
              <w:jc w:val="both"/>
              <w:rPr>
                <w:lang w:eastAsia="x-none"/>
              </w:rPr>
            </w:pPr>
            <w:r w:rsidRPr="00200748">
              <w:t>M</w:t>
            </w:r>
            <w:r w:rsidR="00C34F91" w:rsidRPr="00200748">
              <w:t xml:space="preserve">inistru kabineta noteikumu projekts </w:t>
            </w:r>
            <w:r w:rsidR="00FE7ED6" w:rsidRPr="00200748">
              <w:t>“P</w:t>
            </w:r>
            <w:r w:rsidRPr="00200748">
              <w:t xml:space="preserve">ar </w:t>
            </w:r>
            <w:r w:rsidR="004361ED" w:rsidRPr="00200748">
              <w:t xml:space="preserve"> Latvijas Republikas </w:t>
            </w:r>
            <w:r w:rsidR="00035136" w:rsidRPr="00200748">
              <w:t xml:space="preserve">valdības </w:t>
            </w:r>
            <w:r w:rsidR="004361ED" w:rsidRPr="00200748">
              <w:t xml:space="preserve">un Ķīnas Tautas Republikas </w:t>
            </w:r>
            <w:r w:rsidR="00035136" w:rsidRPr="00200748">
              <w:t xml:space="preserve"> valdības </w:t>
            </w:r>
            <w:r w:rsidR="004361ED" w:rsidRPr="00200748">
              <w:t xml:space="preserve">līgumu par sadarbību </w:t>
            </w:r>
            <w:r w:rsidR="007F5CC0" w:rsidRPr="00200748">
              <w:t>zinātnes un tehnoloģiju</w:t>
            </w:r>
            <w:r w:rsidR="004361ED" w:rsidRPr="00200748">
              <w:t xml:space="preserve"> jomā</w:t>
            </w:r>
            <w:r w:rsidR="00C34F91" w:rsidRPr="00200748">
              <w:t>”</w:t>
            </w:r>
            <w:r w:rsidRPr="00200748">
              <w:t xml:space="preserve"> ir </w:t>
            </w:r>
            <w:r w:rsidR="00C34F91" w:rsidRPr="00200748">
              <w:t xml:space="preserve">izstrādāts, </w:t>
            </w:r>
            <w:r w:rsidRPr="00200748">
              <w:t>ievērojot abu Pušu interesi</w:t>
            </w:r>
            <w:r w:rsidR="00FB5F90">
              <w:t>,</w:t>
            </w:r>
            <w:r w:rsidR="00FA6D6F" w:rsidRPr="00200748">
              <w:t xml:space="preserve"> ņemot vērā</w:t>
            </w:r>
            <w:r w:rsidR="00CB6153">
              <w:t xml:space="preserve"> </w:t>
            </w:r>
            <w:r w:rsidR="00CB6153" w:rsidRPr="001E4A2E">
              <w:rPr>
                <w:bCs/>
                <w:szCs w:val="26"/>
              </w:rPr>
              <w:t>Zinātnes, tehnoloģiju attīstības un inovācijas pamatnostādnēs 2014.–2020.</w:t>
            </w:r>
            <w:bookmarkStart w:id="2" w:name="_Toc366779511"/>
            <w:bookmarkStart w:id="3" w:name="_Toc372166956"/>
            <w:bookmarkStart w:id="4" w:name="_Toc375047053"/>
            <w:r w:rsidR="00CB6153" w:rsidRPr="001E4A2E">
              <w:rPr>
                <w:bCs/>
                <w:szCs w:val="26"/>
              </w:rPr>
              <w:t>gadam</w:t>
            </w:r>
            <w:r w:rsidR="00CB6153">
              <w:rPr>
                <w:bCs/>
                <w:szCs w:val="26"/>
              </w:rPr>
              <w:t xml:space="preserve"> noteikto</w:t>
            </w:r>
            <w:r w:rsidR="00CB6153" w:rsidRPr="001E4A2E">
              <w:rPr>
                <w:bCs/>
                <w:szCs w:val="26"/>
              </w:rPr>
              <w:t>, kas paredz atbalstīt zinātnes internacionalizāciju un starptautisko sadarbību</w:t>
            </w:r>
            <w:bookmarkEnd w:id="2"/>
            <w:bookmarkEnd w:id="3"/>
            <w:bookmarkEnd w:id="4"/>
            <w:r w:rsidR="00FB5F90">
              <w:rPr>
                <w:bCs/>
                <w:szCs w:val="26"/>
              </w:rPr>
              <w:t xml:space="preserve">, kā arī </w:t>
            </w:r>
            <w:r w:rsidR="00200748" w:rsidRPr="00200748">
              <w:t>Eiropas Pētniecības telpas</w:t>
            </w:r>
            <w:r w:rsidR="00D5337E">
              <w:t xml:space="preserve"> (turpmāk – ERA)</w:t>
            </w:r>
            <w:r w:rsidR="00200748" w:rsidRPr="00200748">
              <w:t xml:space="preserve"> nacionālajā ceļvedī 2016. – 2020. </w:t>
            </w:r>
            <w:r w:rsidR="00D5337E" w:rsidRPr="00200748">
              <w:t xml:space="preserve"> gadam</w:t>
            </w:r>
            <w:r w:rsidR="00D5337E" w:rsidRPr="00200748">
              <w:rPr>
                <w:i/>
              </w:rPr>
              <w:t xml:space="preserve"> </w:t>
            </w:r>
            <w:r w:rsidR="00200748" w:rsidRPr="00200748">
              <w:rPr>
                <w:i/>
              </w:rPr>
              <w:t>(I</w:t>
            </w:r>
            <w:r w:rsidR="00200748" w:rsidRPr="00200748">
              <w:rPr>
                <w:i/>
                <w:color w:val="000000"/>
                <w:shd w:val="clear" w:color="auto" w:fill="FBFCFC"/>
              </w:rPr>
              <w:t>nformatīvais ziņojums “Par Eiropas Pētniecības telpas ceļveža 2016. – 2020. gadam īstenošanu Latvijā” apstiprināts Ministru kabinetā 2016. gada 13. septembrī</w:t>
            </w:r>
            <w:r w:rsidR="00200748" w:rsidRPr="00200748">
              <w:rPr>
                <w:i/>
              </w:rPr>
              <w:t>)</w:t>
            </w:r>
            <w:r w:rsidR="00200748" w:rsidRPr="00200748">
              <w:t xml:space="preserve"> ietverto </w:t>
            </w:r>
            <w:r w:rsidR="00EE5751" w:rsidRPr="00200748">
              <w:t>nacionāl</w:t>
            </w:r>
            <w:r w:rsidR="00200748" w:rsidRPr="00200748">
              <w:t>o</w:t>
            </w:r>
            <w:r w:rsidR="00EE5751" w:rsidRPr="00200748">
              <w:t xml:space="preserve"> rīcības virzien</w:t>
            </w:r>
            <w:r w:rsidR="00200748" w:rsidRPr="00200748">
              <w:t>u</w:t>
            </w:r>
            <w:r w:rsidR="00EE5751" w:rsidRPr="00200748">
              <w:t xml:space="preserve"> (6.1.6.apakšpunkts)</w:t>
            </w:r>
            <w:r w:rsidR="00200748" w:rsidRPr="00200748">
              <w:t xml:space="preserve"> “S</w:t>
            </w:r>
            <w:r w:rsidR="00EE5751" w:rsidRPr="00200748">
              <w:t>tiprināt starptautisko divpusējo un daudzpusējo sadarbību pētniecībā ar valstīm ārpus ES un ERA asociētajām valstīm</w:t>
            </w:r>
            <w:r w:rsidR="00200748" w:rsidRPr="00200748">
              <w:t xml:space="preserve">”. </w:t>
            </w:r>
            <w:r w:rsidR="00D5337E">
              <w:t>Tā īstenošanai kā</w:t>
            </w:r>
            <w:r w:rsidR="00200748" w:rsidRPr="00200748">
              <w:t xml:space="preserve"> viens no veicamajiem uzdevumiem paredzēts – </w:t>
            </w:r>
            <w:r w:rsidR="00EE5751" w:rsidRPr="00200748">
              <w:t>jaunu divpusējās vai daudzpusējās sadarbības programm</w:t>
            </w:r>
            <w:r w:rsidR="00200748" w:rsidRPr="00200748">
              <w:t>u slēgšana</w:t>
            </w:r>
            <w:r w:rsidR="00EE5751" w:rsidRPr="00200748">
              <w:t xml:space="preserve"> ar trešajām valstīm, ar kurām Latvijai ir stratēģiska interese sadarboties.</w:t>
            </w:r>
            <w:r w:rsidR="00EE5751" w:rsidRPr="00200748">
              <w:rPr>
                <w:lang w:eastAsia="x-none"/>
              </w:rPr>
              <w:t xml:space="preserve"> </w:t>
            </w:r>
          </w:p>
        </w:tc>
      </w:tr>
      <w:tr w:rsidR="00262E2B" w:rsidRPr="007C0F2C" w14:paraId="75469679" w14:textId="77777777" w:rsidTr="008272B4">
        <w:trPr>
          <w:trHeight w:val="274"/>
        </w:trPr>
        <w:tc>
          <w:tcPr>
            <w:tcW w:w="716" w:type="dxa"/>
          </w:tcPr>
          <w:p w14:paraId="2E8D75D1" w14:textId="77777777" w:rsidR="00262E2B" w:rsidRPr="002D6487" w:rsidRDefault="00262E2B" w:rsidP="00BD06FC">
            <w:pPr>
              <w:pStyle w:val="naiskr"/>
              <w:spacing w:before="120" w:after="120"/>
            </w:pPr>
            <w:r w:rsidRPr="002D6487">
              <w:t>2.</w:t>
            </w:r>
          </w:p>
        </w:tc>
        <w:tc>
          <w:tcPr>
            <w:tcW w:w="3195" w:type="dxa"/>
          </w:tcPr>
          <w:p w14:paraId="03EDAE6B" w14:textId="77777777" w:rsidR="00262E2B" w:rsidRPr="002D6487" w:rsidRDefault="00262E2B" w:rsidP="00BD06FC">
            <w:pPr>
              <w:pStyle w:val="naiskr"/>
              <w:tabs>
                <w:tab w:val="left" w:pos="170"/>
              </w:tabs>
              <w:spacing w:before="120" w:after="120"/>
            </w:pPr>
            <w:r w:rsidRPr="002D6487">
              <w:t>Pašreizējā situācija</w:t>
            </w:r>
            <w:r w:rsidR="001F5CD6" w:rsidRPr="002D6487">
              <w:t xml:space="preserve"> un problēmas</w:t>
            </w:r>
            <w:r w:rsidR="00554BE8">
              <w:t>, kuru risināšanai tiesību akta projekts izstrādāts, tiesiskā regulējuma mērķis un būtība</w:t>
            </w:r>
          </w:p>
        </w:tc>
        <w:tc>
          <w:tcPr>
            <w:tcW w:w="5602" w:type="dxa"/>
          </w:tcPr>
          <w:p w14:paraId="5048EA07" w14:textId="0F09DE81" w:rsidR="004361ED" w:rsidRDefault="005736DB" w:rsidP="004361ED">
            <w:pPr>
              <w:pStyle w:val="Default"/>
              <w:ind w:left="64" w:right="152"/>
              <w:jc w:val="both"/>
              <w:rPr>
                <w:rFonts w:ascii="Times New Roman" w:hAnsi="Times New Roman" w:cs="Times New Roman"/>
              </w:rPr>
            </w:pPr>
            <w:r w:rsidRPr="00D76BD1">
              <w:rPr>
                <w:rFonts w:ascii="Times New Roman" w:hAnsi="Times New Roman" w:cs="Times New Roman"/>
              </w:rPr>
              <w:t>201</w:t>
            </w:r>
            <w:r w:rsidR="00EE22BB" w:rsidRPr="00D76BD1">
              <w:rPr>
                <w:rFonts w:ascii="Times New Roman" w:hAnsi="Times New Roman" w:cs="Times New Roman"/>
              </w:rPr>
              <w:t>5</w:t>
            </w:r>
            <w:r w:rsidR="00064B90" w:rsidRPr="00D76BD1">
              <w:rPr>
                <w:rFonts w:ascii="Times New Roman" w:hAnsi="Times New Roman" w:cs="Times New Roman"/>
              </w:rPr>
              <w:t>.gad</w:t>
            </w:r>
            <w:r w:rsidR="00952819" w:rsidRPr="00D76BD1">
              <w:rPr>
                <w:rFonts w:ascii="Times New Roman" w:hAnsi="Times New Roman" w:cs="Times New Roman"/>
              </w:rPr>
              <w:t>a decembrī</w:t>
            </w:r>
            <w:r w:rsidR="00064B90" w:rsidRPr="00D76BD1">
              <w:rPr>
                <w:rFonts w:ascii="Times New Roman" w:hAnsi="Times New Roman" w:cs="Times New Roman"/>
              </w:rPr>
              <w:t xml:space="preserve"> tika saņemts</w:t>
            </w:r>
            <w:r w:rsidRPr="00D76BD1">
              <w:rPr>
                <w:rFonts w:ascii="Times New Roman" w:hAnsi="Times New Roman" w:cs="Times New Roman"/>
              </w:rPr>
              <w:t xml:space="preserve"> </w:t>
            </w:r>
            <w:r w:rsidR="00064B90" w:rsidRPr="00D76BD1">
              <w:rPr>
                <w:rFonts w:ascii="Times New Roman" w:hAnsi="Times New Roman" w:cs="Times New Roman"/>
              </w:rPr>
              <w:t>Ķīnas</w:t>
            </w:r>
            <w:r w:rsidRPr="00D76BD1">
              <w:rPr>
                <w:rFonts w:ascii="Times New Roman" w:hAnsi="Times New Roman" w:cs="Times New Roman"/>
              </w:rPr>
              <w:t xml:space="preserve"> puses ierosinājum</w:t>
            </w:r>
            <w:r w:rsidR="00064B90" w:rsidRPr="00D76BD1">
              <w:rPr>
                <w:rFonts w:ascii="Times New Roman" w:hAnsi="Times New Roman" w:cs="Times New Roman"/>
              </w:rPr>
              <w:t>s</w:t>
            </w:r>
            <w:r w:rsidR="00EE22BB" w:rsidRPr="00D76BD1">
              <w:rPr>
                <w:rFonts w:ascii="Times New Roman" w:hAnsi="Times New Roman" w:cs="Times New Roman"/>
              </w:rPr>
              <w:t xml:space="preserve"> noslēgt </w:t>
            </w:r>
            <w:r w:rsidR="00064B90" w:rsidRPr="00D76BD1">
              <w:rPr>
                <w:rFonts w:ascii="Times New Roman" w:hAnsi="Times New Roman" w:cs="Times New Roman"/>
              </w:rPr>
              <w:t xml:space="preserve">Latvijas Republikas valdības un Ķīnas Tautas Republikas valdības </w:t>
            </w:r>
            <w:r w:rsidR="00EE22BB" w:rsidRPr="00D76BD1">
              <w:rPr>
                <w:rFonts w:ascii="Times New Roman" w:hAnsi="Times New Roman" w:cs="Times New Roman"/>
              </w:rPr>
              <w:t>līgumu par sadarbību zinātn</w:t>
            </w:r>
            <w:r w:rsidR="001671A7">
              <w:rPr>
                <w:rFonts w:ascii="Times New Roman" w:hAnsi="Times New Roman" w:cs="Times New Roman"/>
              </w:rPr>
              <w:t>es</w:t>
            </w:r>
            <w:r w:rsidR="00EE22BB" w:rsidRPr="00D76BD1">
              <w:rPr>
                <w:rFonts w:ascii="Times New Roman" w:hAnsi="Times New Roman" w:cs="Times New Roman"/>
              </w:rPr>
              <w:t xml:space="preserve"> un tehnoloģ</w:t>
            </w:r>
            <w:r w:rsidR="001671A7">
              <w:rPr>
                <w:rFonts w:ascii="Times New Roman" w:hAnsi="Times New Roman" w:cs="Times New Roman"/>
              </w:rPr>
              <w:t>iju jomā</w:t>
            </w:r>
            <w:r w:rsidR="00E93616">
              <w:rPr>
                <w:rFonts w:ascii="Times New Roman" w:hAnsi="Times New Roman" w:cs="Times New Roman"/>
              </w:rPr>
              <w:t xml:space="preserve"> (turpmāk – Līguma projekts)</w:t>
            </w:r>
            <w:r w:rsidR="00EE22BB" w:rsidRPr="00D76BD1">
              <w:rPr>
                <w:rFonts w:ascii="Times New Roman" w:hAnsi="Times New Roman" w:cs="Times New Roman"/>
              </w:rPr>
              <w:t xml:space="preserve">. </w:t>
            </w:r>
            <w:r w:rsidR="00E93616">
              <w:rPr>
                <w:rFonts w:ascii="Times New Roman" w:hAnsi="Times New Roman" w:cs="Times New Roman"/>
              </w:rPr>
              <w:t>Pēc L</w:t>
            </w:r>
            <w:r w:rsidR="00EE22BB" w:rsidRPr="00D76BD1">
              <w:rPr>
                <w:rFonts w:ascii="Times New Roman" w:hAnsi="Times New Roman" w:cs="Times New Roman"/>
              </w:rPr>
              <w:t xml:space="preserve">īguma projekta </w:t>
            </w:r>
            <w:r w:rsidR="00E93616">
              <w:rPr>
                <w:rFonts w:ascii="Times New Roman" w:hAnsi="Times New Roman" w:cs="Times New Roman"/>
              </w:rPr>
              <w:t>iesniegšanas</w:t>
            </w:r>
            <w:r w:rsidR="00EE22BB" w:rsidRPr="00D76BD1">
              <w:rPr>
                <w:rFonts w:ascii="Times New Roman" w:hAnsi="Times New Roman" w:cs="Times New Roman"/>
              </w:rPr>
              <w:t xml:space="preserve"> </w:t>
            </w:r>
            <w:r w:rsidR="00952819" w:rsidRPr="00D76BD1">
              <w:rPr>
                <w:rFonts w:ascii="Times New Roman" w:hAnsi="Times New Roman" w:cs="Times New Roman"/>
              </w:rPr>
              <w:t xml:space="preserve">Ķīnas puse sniedza skaidrojumu, ka 1996.gadā noslēgtais Latvijas Republikas valdības un Ķīnas </w:t>
            </w:r>
            <w:r w:rsidR="00E93616">
              <w:rPr>
                <w:rFonts w:ascii="Times New Roman" w:hAnsi="Times New Roman" w:cs="Times New Roman"/>
              </w:rPr>
              <w:t xml:space="preserve">Tautas Republikas </w:t>
            </w:r>
            <w:r w:rsidR="00952819" w:rsidRPr="00D76BD1">
              <w:rPr>
                <w:rFonts w:ascii="Times New Roman" w:hAnsi="Times New Roman" w:cs="Times New Roman"/>
              </w:rPr>
              <w:t>līgums par sadarbību zinātnē un tehnoloģijā</w:t>
            </w:r>
            <w:r w:rsidR="00E93616">
              <w:rPr>
                <w:rFonts w:ascii="Times New Roman" w:hAnsi="Times New Roman" w:cs="Times New Roman"/>
              </w:rPr>
              <w:t xml:space="preserve"> (turpmāk – 1996.gada līgums)</w:t>
            </w:r>
            <w:r w:rsidR="00952819" w:rsidRPr="00D76BD1">
              <w:rPr>
                <w:rFonts w:ascii="Times New Roman" w:hAnsi="Times New Roman" w:cs="Times New Roman"/>
              </w:rPr>
              <w:t xml:space="preserve"> nav spēkā, jo nezināmu iemeslu dēļ Ķīnas puse nacionālā līmenī netika veikusi </w:t>
            </w:r>
            <w:r w:rsidR="00E93616">
              <w:rPr>
                <w:rFonts w:ascii="Times New Roman" w:hAnsi="Times New Roman" w:cs="Times New Roman"/>
              </w:rPr>
              <w:t>1996.gada līguma 8.punktā minētās nepieciešamās juridiskās procedūras.</w:t>
            </w:r>
            <w:r w:rsidR="00884244">
              <w:rPr>
                <w:rFonts w:ascii="Times New Roman" w:hAnsi="Times New Roman" w:cs="Times New Roman"/>
              </w:rPr>
              <w:t xml:space="preserve"> Ņemot vērā Latvijas un Ķīnas sadarbības attīstību zinātnes un tehnoloģiju jomā sadarbības, tika uzsākta līgumprojekta saskaņošana. </w:t>
            </w:r>
          </w:p>
          <w:p w14:paraId="151A6139" w14:textId="77777777" w:rsidR="00EE22BB" w:rsidRPr="00D76BD1" w:rsidRDefault="00EE22BB" w:rsidP="004361ED">
            <w:pPr>
              <w:pStyle w:val="Default"/>
              <w:ind w:left="64" w:right="152"/>
              <w:jc w:val="both"/>
              <w:rPr>
                <w:rFonts w:ascii="Times New Roman" w:hAnsi="Times New Roman" w:cs="Times New Roman"/>
              </w:rPr>
            </w:pPr>
          </w:p>
          <w:p w14:paraId="1847005D" w14:textId="15946C8D" w:rsidR="005736DB" w:rsidRPr="00D76BD1" w:rsidRDefault="00E93616" w:rsidP="00035136">
            <w:pPr>
              <w:ind w:left="64" w:right="152"/>
              <w:jc w:val="both"/>
            </w:pPr>
            <w:r>
              <w:t>Līguma projekts</w:t>
            </w:r>
            <w:r w:rsidR="005E2D36" w:rsidRPr="00D76BD1">
              <w:t xml:space="preserve"> paredz, ka Puses veicinās </w:t>
            </w:r>
            <w:r w:rsidR="00D76BD1" w:rsidRPr="00D76BD1">
              <w:t xml:space="preserve">zinātnisko un tehnoloģisko sadarbību abpusēji interesējošās jomās, sekmējot informācijas, zinātnieku, pētnieku un ekspertu apmaiņu, mudinot pētniecības iestādes un augstākās izglītības iestādes uzsākt un attīstīt tiešus kontaktus, kopīgi finansējot projektus, </w:t>
            </w:r>
            <w:r w:rsidR="001F6D46">
              <w:t xml:space="preserve">kā arī </w:t>
            </w:r>
            <w:r w:rsidR="00D76BD1" w:rsidRPr="00D76BD1">
              <w:t xml:space="preserve">organizējot konferences, seminārus, izstādes un piedaloties tajos. </w:t>
            </w:r>
            <w:r w:rsidR="001F6D46">
              <w:t>Pēc Līguma parakstīšanas t</w:t>
            </w:r>
            <w:r w:rsidR="00D76BD1" w:rsidRPr="00D76BD1">
              <w:t xml:space="preserve">iks izveidota </w:t>
            </w:r>
            <w:r w:rsidR="001F6D46">
              <w:t xml:space="preserve">Latvijas un Ķīnas </w:t>
            </w:r>
            <w:r w:rsidR="00D76BD1" w:rsidRPr="00D76BD1">
              <w:t xml:space="preserve">Zinātniskās un tehnoloģiskās sadarbības apvienotā komiteja, lai veicinātu un koordinētu </w:t>
            </w:r>
            <w:r w:rsidR="00D76BD1" w:rsidRPr="00D76BD1">
              <w:lastRenderedPageBreak/>
              <w:t>sadarbību minētajās jomās, noteiktu sadarb</w:t>
            </w:r>
            <w:r>
              <w:t>ības virzienus</w:t>
            </w:r>
            <w:r w:rsidR="00595D98">
              <w:t>. K</w:t>
            </w:r>
            <w:r w:rsidR="00595D98" w:rsidRPr="00A822E3">
              <w:t>omiteja rīko</w:t>
            </w:r>
            <w:r w:rsidR="00595D98">
              <w:t>s</w:t>
            </w:r>
            <w:r w:rsidR="00595D98" w:rsidRPr="00A822E3">
              <w:t xml:space="preserve"> sanāksmes</w:t>
            </w:r>
            <w:r w:rsidR="00595D98">
              <w:t xml:space="preserve"> pēc vajadzības, pārmaiņus Ķīnā un Latvijā.</w:t>
            </w:r>
          </w:p>
          <w:p w14:paraId="7C9A8BCC" w14:textId="77777777" w:rsidR="00952819" w:rsidRDefault="00952819" w:rsidP="00035136">
            <w:pPr>
              <w:ind w:left="64" w:right="152"/>
              <w:jc w:val="both"/>
              <w:rPr>
                <w:highlight w:val="yellow"/>
              </w:rPr>
            </w:pPr>
          </w:p>
          <w:p w14:paraId="4FF201BA" w14:textId="41949BE3" w:rsidR="00952819" w:rsidRDefault="00655484" w:rsidP="00035136">
            <w:pPr>
              <w:ind w:left="64" w:right="152"/>
              <w:jc w:val="both"/>
            </w:pPr>
            <w:r>
              <w:t xml:space="preserve">Divpusējās vizītes laikā 2016.gada 10.oktobrī Ķīnas viceministrs informēja, ka zinātnes, tehnoloģiju un inovāciju attīstība šobrīd Ķīnā ir viena no pamatprioritātēm. Vienlaikus viceministrs sniedza </w:t>
            </w:r>
            <w:r w:rsidR="001F6D46">
              <w:t>informāciju</w:t>
            </w:r>
            <w:r>
              <w:t>, ka  zinātnes jomā Ķīna</w:t>
            </w:r>
            <w:r w:rsidR="001F6D46">
              <w:t xml:space="preserve"> </w:t>
            </w:r>
            <w:r>
              <w:t xml:space="preserve">sadarbojas ar 156 valstīm; starpvaldību līgumi noslēgti ar 110 valstīm, tostarp ar lielāko daļu ES dalībvalstu. </w:t>
            </w:r>
          </w:p>
          <w:p w14:paraId="081F7B2E" w14:textId="77777777" w:rsidR="00B60AAA" w:rsidRDefault="00B60AAA" w:rsidP="00035136">
            <w:pPr>
              <w:ind w:left="64" w:right="152"/>
              <w:jc w:val="both"/>
            </w:pPr>
          </w:p>
          <w:p w14:paraId="4F62535A" w14:textId="5D811ACD" w:rsidR="00161206" w:rsidRPr="0035290D" w:rsidRDefault="001F6D46" w:rsidP="00DD5907">
            <w:pPr>
              <w:ind w:left="64" w:right="152"/>
              <w:jc w:val="both"/>
            </w:pPr>
            <w:r>
              <w:t>Latvijas ar Ķīnas sadarbība zinātnes jomā kļūst arvien aktīvāka,</w:t>
            </w:r>
            <w:r w:rsidR="00B60AAA">
              <w:t xml:space="preserve"> tostarp pakāpeniski pieaug arī kopīgo pētījumu un zinātnisko publikāciju skaits.</w:t>
            </w:r>
            <w:r w:rsidR="00161206">
              <w:t xml:space="preserve"> </w:t>
            </w:r>
            <w:r w:rsidR="007B28A3">
              <w:t>Saskaņā ar Izglītības un zinātnes ministrijas rīcībā esošo informāciju šobrīd visaktīvāk</w:t>
            </w:r>
            <w:r w:rsidR="001671A7">
              <w:t>ā abu</w:t>
            </w:r>
            <w:r w:rsidR="007B28A3">
              <w:t xml:space="preserve"> valstu sadarbība ir sinoloģijas un dabaszinātņu jomā. </w:t>
            </w:r>
            <w:r w:rsidR="00161206">
              <w:t>Vairākas Latvijas augstākās izglītības un zinātniskās institūcijas sadarb</w:t>
            </w:r>
            <w:r w:rsidR="007B28A3">
              <w:t>ojas</w:t>
            </w:r>
            <w:r w:rsidR="00161206">
              <w:t xml:space="preserve"> ar institūcijām Ķīn</w:t>
            </w:r>
            <w:r w:rsidR="001671A7">
              <w:t>ā</w:t>
            </w:r>
            <w:r w:rsidR="00161206">
              <w:t xml:space="preserve">, piemēram, </w:t>
            </w:r>
            <w:r w:rsidR="00EA28CA">
              <w:t xml:space="preserve">Rīgas Tehniskā universitāte, </w:t>
            </w:r>
            <w:r w:rsidR="008D6240">
              <w:t xml:space="preserve">Latvijas Universitāte, Organiskās sintēzes institūts, </w:t>
            </w:r>
            <w:r w:rsidR="008D6240">
              <w:rPr>
                <w:b/>
              </w:rPr>
              <w:t xml:space="preserve"> </w:t>
            </w:r>
            <w:r w:rsidR="008D6240" w:rsidRPr="008D6240">
              <w:t>Elektro</w:t>
            </w:r>
            <w:r w:rsidR="008D6240" w:rsidRPr="0035290D">
              <w:t>nikas un datorzinātņu institūts u.c.</w:t>
            </w:r>
          </w:p>
          <w:p w14:paraId="11C152A3" w14:textId="75C6AAA6" w:rsidR="00DD5907" w:rsidRPr="0035290D" w:rsidRDefault="00DD5907" w:rsidP="00DD5907">
            <w:pPr>
              <w:ind w:left="64" w:right="152"/>
              <w:jc w:val="both"/>
            </w:pPr>
            <w:r w:rsidRPr="0035290D">
              <w:t xml:space="preserve">Latvijas augstākās izglītības iestādes un zinātniskās institūcijas izteikušas interesi </w:t>
            </w:r>
            <w:r w:rsidR="001671A7">
              <w:t xml:space="preserve">arī turpmāk </w:t>
            </w:r>
            <w:r w:rsidRPr="0035290D">
              <w:t>stiprināt sadarbību ar Ķīnu tādās jomās kā sinoloģija, dabaszinātņu nozares, viedā enerģētika, IKT u.c.</w:t>
            </w:r>
          </w:p>
          <w:p w14:paraId="4FB24B7A" w14:textId="77777777" w:rsidR="00EA28CA" w:rsidRDefault="007B28A3" w:rsidP="00EA28CA">
            <w:pPr>
              <w:ind w:left="64" w:right="152"/>
              <w:jc w:val="both"/>
            </w:pPr>
            <w:r w:rsidRPr="0035290D">
              <w:t xml:space="preserve">Papildus divpusējai sadarbībai attīstās Latvijas un Ķīnas sadarbība arī ES projektu un </w:t>
            </w:r>
            <w:r w:rsidRPr="0035290D">
              <w:rPr>
                <w:bCs/>
              </w:rPr>
              <w:t>Centrāleiropas</w:t>
            </w:r>
            <w:r w:rsidRPr="0035290D">
              <w:t xml:space="preserve"> un Austrumeiropas valstu un </w:t>
            </w:r>
            <w:r w:rsidRPr="0035290D">
              <w:rPr>
                <w:bCs/>
              </w:rPr>
              <w:t>Ķīnas</w:t>
            </w:r>
            <w:r w:rsidRPr="0035290D">
              <w:t xml:space="preserve"> (16+1) sadarbības formāta  ietvaros.</w:t>
            </w:r>
            <w:r w:rsidR="00EA28CA">
              <w:t xml:space="preserve"> </w:t>
            </w:r>
          </w:p>
          <w:p w14:paraId="49B38FF3" w14:textId="4DC7207B" w:rsidR="00DD5907" w:rsidRDefault="00EA28CA" w:rsidP="00EA28CA">
            <w:pPr>
              <w:ind w:left="64" w:right="152"/>
              <w:jc w:val="both"/>
            </w:pPr>
            <w:r>
              <w:t>ES valstu s</w:t>
            </w:r>
            <w:r w:rsidR="00DD5907" w:rsidRPr="0035290D">
              <w:t xml:space="preserve">adarbība ar Ķīnu programmas </w:t>
            </w:r>
            <w:r>
              <w:t>Apvārsnis </w:t>
            </w:r>
            <w:r w:rsidR="00DD5907" w:rsidRPr="00A03B9B">
              <w:t xml:space="preserve">2020 ietvaros </w:t>
            </w:r>
            <w:r>
              <w:t xml:space="preserve">gan </w:t>
            </w:r>
            <w:r w:rsidR="00DD5907">
              <w:t xml:space="preserve">pašreiz </w:t>
            </w:r>
            <w:r w:rsidR="00DD5907" w:rsidRPr="00A03B9B">
              <w:t>praktiski nenotiek.</w:t>
            </w:r>
            <w:r w:rsidR="00DD5907">
              <w:t xml:space="preserve"> </w:t>
            </w:r>
            <w:r>
              <w:t xml:space="preserve">Tādējādi </w:t>
            </w:r>
            <w:r w:rsidR="00DD5907" w:rsidRPr="00B563FF">
              <w:t xml:space="preserve">ES delegācija Ķīnā šobrīd veic pasākumus programmas Apvārsnis 2020 atpazīstamības sekmēšanai Ķīnā un </w:t>
            </w:r>
            <w:r>
              <w:t>veic</w:t>
            </w:r>
            <w:r w:rsidR="00DD5907" w:rsidRPr="00B563FF">
              <w:t xml:space="preserve"> Ķīnā esošo sadarbības projektu uzskaiti, lai sagatavotu priekšlikumus lēmumu pieņēmējiem nepieciešamajiem uzlabojumiem.</w:t>
            </w:r>
          </w:p>
          <w:p w14:paraId="6233B8D4" w14:textId="203552DA" w:rsidR="005F6D7B" w:rsidRPr="00E15445" w:rsidRDefault="00B555DC" w:rsidP="00B555DC">
            <w:pPr>
              <w:ind w:left="64" w:right="152"/>
              <w:jc w:val="both"/>
              <w:rPr>
                <w:bCs/>
                <w:highlight w:val="yellow"/>
              </w:rPr>
            </w:pPr>
            <w:r w:rsidRPr="00B555DC">
              <w:t>Līguma projekts ir saskaņots ar Ķīnas pusi.</w:t>
            </w:r>
          </w:p>
        </w:tc>
      </w:tr>
      <w:tr w:rsidR="00262E2B" w:rsidRPr="007C0F2C" w14:paraId="76B07A34" w14:textId="77777777" w:rsidTr="008272B4">
        <w:trPr>
          <w:trHeight w:val="453"/>
        </w:trPr>
        <w:tc>
          <w:tcPr>
            <w:tcW w:w="716" w:type="dxa"/>
          </w:tcPr>
          <w:p w14:paraId="30078AA8" w14:textId="36B62D26" w:rsidR="00262E2B" w:rsidRPr="002D6487" w:rsidRDefault="00262E2B" w:rsidP="00BD06FC">
            <w:pPr>
              <w:pStyle w:val="naiskr"/>
              <w:spacing w:before="120" w:after="120"/>
            </w:pPr>
            <w:r w:rsidRPr="002D6487">
              <w:lastRenderedPageBreak/>
              <w:t>3.</w:t>
            </w:r>
          </w:p>
        </w:tc>
        <w:tc>
          <w:tcPr>
            <w:tcW w:w="3195" w:type="dxa"/>
          </w:tcPr>
          <w:p w14:paraId="2C5F1BAF" w14:textId="77777777" w:rsidR="00262E2B" w:rsidRPr="002D6487" w:rsidRDefault="0062080D" w:rsidP="0062080D">
            <w:pPr>
              <w:pStyle w:val="naiskr"/>
              <w:spacing w:before="120" w:after="120"/>
            </w:pPr>
            <w:r>
              <w:t xml:space="preserve">Projekta izstrādē iesaistītas institūcijas </w:t>
            </w:r>
          </w:p>
        </w:tc>
        <w:tc>
          <w:tcPr>
            <w:tcW w:w="5602" w:type="dxa"/>
          </w:tcPr>
          <w:p w14:paraId="57B5DB72" w14:textId="77777777" w:rsidR="00B352C3" w:rsidRPr="00E15445" w:rsidRDefault="0062080D" w:rsidP="00637346">
            <w:pPr>
              <w:pStyle w:val="NormalWeb"/>
              <w:spacing w:before="120" w:beforeAutospacing="0" w:after="120" w:afterAutospacing="0"/>
              <w:ind w:left="74" w:right="198"/>
              <w:jc w:val="both"/>
              <w:rPr>
                <w:rFonts w:ascii="Times New Roman" w:hAnsi="Times New Roman" w:cs="Times New Roman"/>
                <w:color w:val="auto"/>
                <w:sz w:val="24"/>
                <w:szCs w:val="24"/>
                <w:highlight w:val="yellow"/>
                <w:lang w:val="lv-LV"/>
              </w:rPr>
            </w:pPr>
            <w:r w:rsidRPr="006C37F7">
              <w:rPr>
                <w:rFonts w:ascii="Times New Roman" w:hAnsi="Times New Roman" w:cs="Times New Roman"/>
                <w:color w:val="auto"/>
                <w:sz w:val="24"/>
                <w:szCs w:val="24"/>
                <w:lang w:val="lv-LV"/>
              </w:rPr>
              <w:t>Projektu izstrādāja Latvijas Republikas Izglītības un zinātnes ministrija.</w:t>
            </w:r>
          </w:p>
        </w:tc>
      </w:tr>
      <w:tr w:rsidR="00D205B2" w:rsidRPr="007C0F2C" w14:paraId="555AE046" w14:textId="77777777" w:rsidTr="008272B4">
        <w:trPr>
          <w:trHeight w:val="1266"/>
        </w:trPr>
        <w:tc>
          <w:tcPr>
            <w:tcW w:w="716" w:type="dxa"/>
            <w:tcBorders>
              <w:bottom w:val="single" w:sz="4" w:space="0" w:color="auto"/>
            </w:tcBorders>
          </w:tcPr>
          <w:p w14:paraId="6B4D1C44" w14:textId="77777777" w:rsidR="00D205B2" w:rsidRPr="002D6487" w:rsidRDefault="0062080D" w:rsidP="00BD06FC">
            <w:pPr>
              <w:pStyle w:val="naiskr"/>
              <w:spacing w:before="120" w:after="120"/>
            </w:pPr>
            <w:r>
              <w:t>4</w:t>
            </w:r>
            <w:r w:rsidR="00D205B2" w:rsidRPr="002D6487">
              <w:t>.</w:t>
            </w:r>
          </w:p>
        </w:tc>
        <w:tc>
          <w:tcPr>
            <w:tcW w:w="3195" w:type="dxa"/>
            <w:tcBorders>
              <w:bottom w:val="single" w:sz="4" w:space="0" w:color="auto"/>
            </w:tcBorders>
          </w:tcPr>
          <w:p w14:paraId="084254D1" w14:textId="77777777" w:rsidR="00D205B2" w:rsidRPr="002D6487" w:rsidRDefault="00D205B2" w:rsidP="00BD06FC">
            <w:pPr>
              <w:pStyle w:val="naiskr"/>
              <w:spacing w:before="120" w:after="120"/>
            </w:pPr>
            <w:r w:rsidRPr="002D6487">
              <w:t>Cita informācija</w:t>
            </w:r>
          </w:p>
        </w:tc>
        <w:tc>
          <w:tcPr>
            <w:tcW w:w="5602" w:type="dxa"/>
            <w:tcBorders>
              <w:bottom w:val="single" w:sz="4" w:space="0" w:color="auto"/>
            </w:tcBorders>
            <w:shd w:val="clear" w:color="auto" w:fill="auto"/>
          </w:tcPr>
          <w:p w14:paraId="73BC8FFE" w14:textId="77777777" w:rsidR="00637346" w:rsidRPr="006C37F7" w:rsidRDefault="00637346" w:rsidP="005736DB">
            <w:pPr>
              <w:pStyle w:val="tvhtmlmktable"/>
              <w:spacing w:before="0" w:beforeAutospacing="0" w:after="0" w:afterAutospacing="0"/>
              <w:ind w:left="74" w:right="152"/>
              <w:jc w:val="both"/>
            </w:pPr>
            <w:r w:rsidRPr="006C37F7">
              <w:t xml:space="preserve">Papildus saistības Latvijas Republikai šis projekts neuzliek. </w:t>
            </w:r>
          </w:p>
          <w:p w14:paraId="23ECFAB6" w14:textId="618DA98C" w:rsidR="007570A0" w:rsidRPr="00E15445" w:rsidRDefault="00C34F91" w:rsidP="001671A7">
            <w:pPr>
              <w:ind w:left="74" w:right="283"/>
              <w:jc w:val="both"/>
              <w:rPr>
                <w:highlight w:val="yellow"/>
              </w:rPr>
            </w:pPr>
            <w:r w:rsidRPr="006C37F7">
              <w:t xml:space="preserve">Līgums </w:t>
            </w:r>
            <w:r w:rsidR="005E2D36" w:rsidRPr="006C37F7">
              <w:t>tiks īstenots</w:t>
            </w:r>
            <w:r w:rsidR="00637346" w:rsidRPr="006C37F7">
              <w:t xml:space="preserve"> no Izglītības un zinātnes ministrijai</w:t>
            </w:r>
            <w:r w:rsidR="005E2D36" w:rsidRPr="006C37F7">
              <w:t xml:space="preserve"> </w:t>
            </w:r>
            <w:r w:rsidR="00637346" w:rsidRPr="006C37F7">
              <w:t>piešķirtajiem budžeta līdzekļiem.</w:t>
            </w:r>
          </w:p>
        </w:tc>
      </w:tr>
    </w:tbl>
    <w:p w14:paraId="24BFC90B" w14:textId="77777777" w:rsidR="002D6487" w:rsidRPr="00313B85" w:rsidRDefault="002D6487" w:rsidP="002D6487">
      <w:pPr>
        <w:pStyle w:val="naisf"/>
        <w:widowControl w:val="0"/>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539"/>
      </w:tblGrid>
      <w:tr w:rsidR="002D6487" w:rsidRPr="00313B85" w14:paraId="7BC6DFA2" w14:textId="77777777" w:rsidTr="00F93FA0">
        <w:tc>
          <w:tcPr>
            <w:tcW w:w="9503" w:type="dxa"/>
            <w:gridSpan w:val="3"/>
            <w:vAlign w:val="center"/>
          </w:tcPr>
          <w:p w14:paraId="6C906D88" w14:textId="77777777" w:rsidR="002D6487" w:rsidRPr="00313B85" w:rsidRDefault="002D6487" w:rsidP="00685E69">
            <w:pPr>
              <w:pStyle w:val="naisnod"/>
              <w:widowControl w:val="0"/>
              <w:spacing w:before="0" w:after="120"/>
            </w:pPr>
            <w:r w:rsidRPr="00313B85">
              <w:t>II. Tiesību akta projekta ietekme uz sabiedrību</w:t>
            </w:r>
            <w:r w:rsidR="0062080D">
              <w:t>, tautsaimniecības attīstību un administratīvo slogu</w:t>
            </w:r>
          </w:p>
        </w:tc>
      </w:tr>
      <w:tr w:rsidR="002D6487" w:rsidRPr="00313B85" w14:paraId="1D7F8951" w14:textId="77777777" w:rsidTr="00C51658">
        <w:trPr>
          <w:trHeight w:val="467"/>
        </w:trPr>
        <w:tc>
          <w:tcPr>
            <w:tcW w:w="431" w:type="dxa"/>
          </w:tcPr>
          <w:p w14:paraId="177E32FB" w14:textId="77777777" w:rsidR="002D6487" w:rsidRPr="00313B85" w:rsidRDefault="002D6487" w:rsidP="00685E69">
            <w:pPr>
              <w:pStyle w:val="naiskr"/>
              <w:widowControl w:val="0"/>
              <w:spacing w:before="0" w:after="120"/>
            </w:pPr>
            <w:r w:rsidRPr="00313B85">
              <w:t>1.</w:t>
            </w:r>
          </w:p>
        </w:tc>
        <w:tc>
          <w:tcPr>
            <w:tcW w:w="3533" w:type="dxa"/>
          </w:tcPr>
          <w:p w14:paraId="5F7674AA" w14:textId="77777777" w:rsidR="002D6487" w:rsidRPr="00313B85" w:rsidRDefault="002D6487" w:rsidP="00685E69">
            <w:pPr>
              <w:pStyle w:val="naiskr"/>
              <w:widowControl w:val="0"/>
              <w:spacing w:before="0" w:after="120"/>
            </w:pPr>
            <w:r w:rsidRPr="00313B85">
              <w:t>Sabiedrības mērķgrupa</w:t>
            </w:r>
            <w:r w:rsidR="0062080D">
              <w:t>s, kuras tiesiskais regulējums ietekmē vai varētu ietekmēt</w:t>
            </w:r>
          </w:p>
        </w:tc>
        <w:tc>
          <w:tcPr>
            <w:tcW w:w="5539" w:type="dxa"/>
          </w:tcPr>
          <w:p w14:paraId="5E668169" w14:textId="0D0ADB97" w:rsidR="002D6487" w:rsidRPr="002D6487" w:rsidRDefault="002D6487" w:rsidP="004D1BAA">
            <w:pPr>
              <w:pStyle w:val="naiskr"/>
              <w:widowControl w:val="0"/>
              <w:spacing w:before="0" w:after="120"/>
              <w:ind w:left="142" w:right="114"/>
              <w:jc w:val="both"/>
            </w:pPr>
            <w:r w:rsidRPr="004D1BAA">
              <w:rPr>
                <w:iCs/>
              </w:rPr>
              <w:t>Valsts pārvaldes institūcijas, kur</w:t>
            </w:r>
            <w:r w:rsidR="0020070F" w:rsidRPr="004D1BAA">
              <w:rPr>
                <w:iCs/>
              </w:rPr>
              <w:t xml:space="preserve">u darbību var skart </w:t>
            </w:r>
            <w:r w:rsidR="00EC2F11" w:rsidRPr="004D1BAA">
              <w:rPr>
                <w:bCs/>
              </w:rPr>
              <w:t xml:space="preserve">Latvijas un </w:t>
            </w:r>
            <w:r w:rsidR="004361ED" w:rsidRPr="004D1BAA">
              <w:rPr>
                <w:bCs/>
              </w:rPr>
              <w:t>Ķīnas</w:t>
            </w:r>
            <w:r w:rsidR="001A08B5" w:rsidRPr="004D1BAA">
              <w:rPr>
                <w:bCs/>
              </w:rPr>
              <w:t xml:space="preserve"> </w:t>
            </w:r>
            <w:r w:rsidRPr="004D1BAA">
              <w:rPr>
                <w:bCs/>
              </w:rPr>
              <w:t>sadarbīb</w:t>
            </w:r>
            <w:r w:rsidR="0020070F" w:rsidRPr="004D1BAA">
              <w:rPr>
                <w:bCs/>
              </w:rPr>
              <w:t>as</w:t>
            </w:r>
            <w:r w:rsidRPr="004D1BAA">
              <w:t xml:space="preserve"> </w:t>
            </w:r>
            <w:r w:rsidR="004D1BAA" w:rsidRPr="004D1BAA">
              <w:t>zinātnes un tehnoloģiju</w:t>
            </w:r>
            <w:r w:rsidR="005736DB" w:rsidRPr="004D1BAA">
              <w:t xml:space="preserve"> </w:t>
            </w:r>
            <w:r w:rsidRPr="004D1BAA">
              <w:t>jomā</w:t>
            </w:r>
            <w:r w:rsidR="0020070F" w:rsidRPr="004D1BAA">
              <w:t xml:space="preserve"> jautājumi</w:t>
            </w:r>
            <w:r w:rsidR="00DF36AF" w:rsidRPr="004D1BAA">
              <w:t xml:space="preserve">, </w:t>
            </w:r>
            <w:r w:rsidR="004D1BAA" w:rsidRPr="004D1BAA">
              <w:t xml:space="preserve">augstākās izglītības un zinātniskās </w:t>
            </w:r>
            <w:r w:rsidR="004D1BAA" w:rsidRPr="004D1BAA">
              <w:lastRenderedPageBreak/>
              <w:t>institūcijas</w:t>
            </w:r>
            <w:r w:rsidR="00DF36AF" w:rsidRPr="004D1BAA">
              <w:t xml:space="preserve">, jo līgums paredz </w:t>
            </w:r>
            <w:r w:rsidR="004D1BAA" w:rsidRPr="004D1BAA">
              <w:t>sekmēt informācijas un personu apmaiņu, kā arī kopīgu projektu īstenošanu.</w:t>
            </w:r>
          </w:p>
        </w:tc>
      </w:tr>
      <w:tr w:rsidR="002D6487" w:rsidRPr="00313B85" w14:paraId="315F4665" w14:textId="77777777" w:rsidTr="00C51658">
        <w:trPr>
          <w:trHeight w:val="625"/>
        </w:trPr>
        <w:tc>
          <w:tcPr>
            <w:tcW w:w="431" w:type="dxa"/>
          </w:tcPr>
          <w:p w14:paraId="40C398AE" w14:textId="77777777" w:rsidR="002D6487" w:rsidRPr="00313B85" w:rsidRDefault="002D6487" w:rsidP="00685E69">
            <w:pPr>
              <w:pStyle w:val="naiskr"/>
              <w:widowControl w:val="0"/>
              <w:spacing w:before="0" w:after="120"/>
            </w:pPr>
            <w:r w:rsidRPr="00313B85">
              <w:lastRenderedPageBreak/>
              <w:t>2.</w:t>
            </w:r>
          </w:p>
        </w:tc>
        <w:tc>
          <w:tcPr>
            <w:tcW w:w="3533" w:type="dxa"/>
          </w:tcPr>
          <w:p w14:paraId="2AC52427" w14:textId="77777777" w:rsidR="002D6487" w:rsidRPr="00313B85" w:rsidRDefault="0062080D" w:rsidP="0062080D">
            <w:pPr>
              <w:pStyle w:val="naiskr"/>
              <w:widowControl w:val="0"/>
              <w:spacing w:before="0" w:after="120"/>
            </w:pPr>
            <w:r>
              <w:t>Tiesiskā regulējuma ietekme uz tautsaimniecības un administratīvo slogu</w:t>
            </w:r>
          </w:p>
        </w:tc>
        <w:tc>
          <w:tcPr>
            <w:tcW w:w="5539" w:type="dxa"/>
          </w:tcPr>
          <w:p w14:paraId="6808B6F2" w14:textId="77777777" w:rsidR="002D6487" w:rsidRPr="00313B85" w:rsidRDefault="002D6487" w:rsidP="00685E69">
            <w:pPr>
              <w:pStyle w:val="naiskr"/>
              <w:widowControl w:val="0"/>
              <w:spacing w:before="0" w:after="120"/>
              <w:ind w:left="142" w:right="114"/>
            </w:pPr>
            <w:r w:rsidRPr="00313B85">
              <w:t xml:space="preserve">Nav. </w:t>
            </w:r>
          </w:p>
        </w:tc>
      </w:tr>
      <w:tr w:rsidR="002D6487" w:rsidRPr="00313B85" w14:paraId="5DF634CF" w14:textId="77777777" w:rsidTr="00C51658">
        <w:trPr>
          <w:trHeight w:val="673"/>
        </w:trPr>
        <w:tc>
          <w:tcPr>
            <w:tcW w:w="431" w:type="dxa"/>
          </w:tcPr>
          <w:p w14:paraId="2F1C5A6C" w14:textId="77777777" w:rsidR="002D6487" w:rsidRPr="00313B85" w:rsidRDefault="0062080D" w:rsidP="00685E69">
            <w:pPr>
              <w:pStyle w:val="naiskr"/>
              <w:widowControl w:val="0"/>
              <w:spacing w:before="0" w:after="120"/>
            </w:pPr>
            <w:r>
              <w:t>3</w:t>
            </w:r>
            <w:r w:rsidR="002D6487" w:rsidRPr="00313B85">
              <w:t>.</w:t>
            </w:r>
          </w:p>
        </w:tc>
        <w:tc>
          <w:tcPr>
            <w:tcW w:w="3533" w:type="dxa"/>
          </w:tcPr>
          <w:p w14:paraId="6DC5B0E1" w14:textId="77777777" w:rsidR="002D6487" w:rsidRPr="00313B85" w:rsidRDefault="002D6487" w:rsidP="00685E69">
            <w:pPr>
              <w:pStyle w:val="naiskr"/>
              <w:widowControl w:val="0"/>
              <w:spacing w:before="0" w:after="120"/>
            </w:pPr>
            <w:r w:rsidRPr="00313B85">
              <w:t>Administratīvo izmaksu monetārs novērtējums</w:t>
            </w:r>
          </w:p>
        </w:tc>
        <w:tc>
          <w:tcPr>
            <w:tcW w:w="5539" w:type="dxa"/>
          </w:tcPr>
          <w:p w14:paraId="541FAB29" w14:textId="77777777" w:rsidR="002D6487" w:rsidRPr="00313B85" w:rsidRDefault="002D6487" w:rsidP="00685E69">
            <w:pPr>
              <w:pStyle w:val="naiskr"/>
              <w:widowControl w:val="0"/>
              <w:spacing w:before="0" w:after="120"/>
              <w:ind w:left="142" w:right="114"/>
            </w:pPr>
            <w:r w:rsidRPr="00313B85">
              <w:t>Nav attiecināms.</w:t>
            </w:r>
          </w:p>
        </w:tc>
      </w:tr>
      <w:tr w:rsidR="002D6487" w:rsidRPr="00313B85" w14:paraId="0B3C56D6" w14:textId="77777777" w:rsidTr="00C51658">
        <w:trPr>
          <w:trHeight w:val="247"/>
        </w:trPr>
        <w:tc>
          <w:tcPr>
            <w:tcW w:w="431" w:type="dxa"/>
          </w:tcPr>
          <w:p w14:paraId="4954DF23" w14:textId="77777777" w:rsidR="002D6487" w:rsidRPr="00313B85" w:rsidRDefault="0062080D" w:rsidP="00685E69">
            <w:pPr>
              <w:pStyle w:val="naiskr"/>
              <w:widowControl w:val="0"/>
              <w:spacing w:before="0" w:after="120"/>
            </w:pPr>
            <w:r>
              <w:t>4</w:t>
            </w:r>
            <w:r w:rsidR="002D6487" w:rsidRPr="00313B85">
              <w:t>.</w:t>
            </w:r>
          </w:p>
        </w:tc>
        <w:tc>
          <w:tcPr>
            <w:tcW w:w="3533" w:type="dxa"/>
          </w:tcPr>
          <w:p w14:paraId="580117CE" w14:textId="77777777" w:rsidR="002D6487" w:rsidRPr="00313B85" w:rsidRDefault="002D6487" w:rsidP="00685E69">
            <w:pPr>
              <w:pStyle w:val="naiskr"/>
              <w:widowControl w:val="0"/>
              <w:spacing w:before="0" w:after="120"/>
            </w:pPr>
            <w:r w:rsidRPr="00313B85">
              <w:t>Cita informācija</w:t>
            </w:r>
          </w:p>
        </w:tc>
        <w:tc>
          <w:tcPr>
            <w:tcW w:w="5539" w:type="dxa"/>
          </w:tcPr>
          <w:p w14:paraId="3CFB2EB9" w14:textId="77777777" w:rsidR="002D6487" w:rsidRPr="00313B85" w:rsidRDefault="002D6487" w:rsidP="00685E69">
            <w:pPr>
              <w:pStyle w:val="naiskr"/>
              <w:widowControl w:val="0"/>
              <w:spacing w:before="0" w:after="120"/>
              <w:ind w:left="142" w:right="114"/>
            </w:pPr>
            <w:r w:rsidRPr="00313B85">
              <w:t xml:space="preserve">Nav. </w:t>
            </w:r>
          </w:p>
        </w:tc>
      </w:tr>
    </w:tbl>
    <w:p w14:paraId="24DC0B3D" w14:textId="77777777" w:rsidR="002D6487" w:rsidRPr="00313B85" w:rsidRDefault="002D6487" w:rsidP="002D6487">
      <w:pPr>
        <w:pStyle w:val="naiskr"/>
        <w:widowControl w:val="0"/>
        <w:tabs>
          <w:tab w:val="left" w:pos="2628"/>
        </w:tabs>
        <w:spacing w:before="0" w:after="120"/>
        <w:rPr>
          <w:highlight w:val="yellow"/>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27"/>
        <w:gridCol w:w="5612"/>
      </w:tblGrid>
      <w:tr w:rsidR="002D6487" w:rsidRPr="00313B85" w14:paraId="4B29AE25" w14:textId="77777777" w:rsidTr="002D6487">
        <w:trPr>
          <w:jc w:val="center"/>
        </w:trPr>
        <w:tc>
          <w:tcPr>
            <w:tcW w:w="9576" w:type="dxa"/>
            <w:gridSpan w:val="3"/>
          </w:tcPr>
          <w:p w14:paraId="28A7DF2E" w14:textId="77777777" w:rsidR="002D6487" w:rsidRPr="00313B85" w:rsidRDefault="002D6487" w:rsidP="00685E69">
            <w:pPr>
              <w:pStyle w:val="naisnod"/>
              <w:widowControl w:val="0"/>
              <w:spacing w:before="0" w:after="120"/>
            </w:pPr>
            <w:r w:rsidRPr="00313B85">
              <w:t>IV. Tiesību akta projekta ietekme uz spēkā esošo tiesību normu sistēmu</w:t>
            </w:r>
          </w:p>
        </w:tc>
      </w:tr>
      <w:tr w:rsidR="002D6487" w:rsidRPr="00313B85" w14:paraId="45B1293E" w14:textId="77777777" w:rsidTr="00C51658">
        <w:trPr>
          <w:jc w:val="center"/>
        </w:trPr>
        <w:tc>
          <w:tcPr>
            <w:tcW w:w="537" w:type="dxa"/>
          </w:tcPr>
          <w:p w14:paraId="190A9165" w14:textId="77777777" w:rsidR="002D6487" w:rsidRPr="00313B85" w:rsidRDefault="002D6487" w:rsidP="00685E69">
            <w:pPr>
              <w:pStyle w:val="naiskr"/>
              <w:widowControl w:val="0"/>
              <w:tabs>
                <w:tab w:val="left" w:pos="2628"/>
              </w:tabs>
              <w:spacing w:before="0" w:after="120"/>
              <w:jc w:val="both"/>
              <w:rPr>
                <w:iCs/>
              </w:rPr>
            </w:pPr>
            <w:r w:rsidRPr="00313B85">
              <w:rPr>
                <w:iCs/>
              </w:rPr>
              <w:t>1.</w:t>
            </w:r>
          </w:p>
        </w:tc>
        <w:tc>
          <w:tcPr>
            <w:tcW w:w="3427" w:type="dxa"/>
          </w:tcPr>
          <w:p w14:paraId="45787BE6" w14:textId="77777777" w:rsidR="002D6487" w:rsidRPr="00313B85" w:rsidRDefault="002D6487" w:rsidP="00685E69">
            <w:pPr>
              <w:pStyle w:val="naiskr"/>
              <w:widowControl w:val="0"/>
              <w:tabs>
                <w:tab w:val="left" w:pos="2628"/>
              </w:tabs>
              <w:spacing w:before="0" w:after="120"/>
              <w:jc w:val="both"/>
              <w:rPr>
                <w:iCs/>
              </w:rPr>
            </w:pPr>
            <w:r w:rsidRPr="00313B85">
              <w:t>Nepieciešamie saistītie tiesību aktu projekti</w:t>
            </w:r>
          </w:p>
        </w:tc>
        <w:tc>
          <w:tcPr>
            <w:tcW w:w="5612" w:type="dxa"/>
          </w:tcPr>
          <w:p w14:paraId="3A3606D7" w14:textId="77777777" w:rsidR="002D6487" w:rsidRPr="00313B85" w:rsidRDefault="002D6487" w:rsidP="00685E69">
            <w:pPr>
              <w:pStyle w:val="naislab"/>
              <w:widowControl w:val="0"/>
              <w:spacing w:before="0" w:after="120"/>
              <w:ind w:left="34" w:right="110"/>
              <w:jc w:val="both"/>
              <w:outlineLvl w:val="0"/>
              <w:rPr>
                <w:highlight w:val="yellow"/>
              </w:rPr>
            </w:pPr>
            <w:r w:rsidRPr="005D2DAC">
              <w:t>Nav.</w:t>
            </w:r>
          </w:p>
        </w:tc>
      </w:tr>
      <w:tr w:rsidR="002D6487" w:rsidRPr="00313B85" w14:paraId="25A4F877" w14:textId="77777777" w:rsidTr="00C51658">
        <w:trPr>
          <w:trHeight w:val="343"/>
          <w:jc w:val="center"/>
        </w:trPr>
        <w:tc>
          <w:tcPr>
            <w:tcW w:w="537" w:type="dxa"/>
          </w:tcPr>
          <w:p w14:paraId="3887FFC6" w14:textId="77777777" w:rsidR="002D6487" w:rsidRPr="005D2DAC" w:rsidRDefault="002D6487" w:rsidP="00685E69">
            <w:pPr>
              <w:pStyle w:val="naiskr"/>
              <w:widowControl w:val="0"/>
              <w:tabs>
                <w:tab w:val="left" w:pos="2628"/>
              </w:tabs>
              <w:spacing w:before="0" w:after="120"/>
              <w:jc w:val="both"/>
              <w:rPr>
                <w:iCs/>
              </w:rPr>
            </w:pPr>
            <w:r w:rsidRPr="005D2DAC">
              <w:rPr>
                <w:iCs/>
              </w:rPr>
              <w:t>2.</w:t>
            </w:r>
          </w:p>
        </w:tc>
        <w:tc>
          <w:tcPr>
            <w:tcW w:w="3427" w:type="dxa"/>
          </w:tcPr>
          <w:p w14:paraId="546C1703" w14:textId="77777777" w:rsidR="002D6487" w:rsidRPr="005D2DAC" w:rsidRDefault="002D6487" w:rsidP="00685E69">
            <w:pPr>
              <w:pStyle w:val="naiskr"/>
              <w:widowControl w:val="0"/>
              <w:tabs>
                <w:tab w:val="left" w:pos="2628"/>
              </w:tabs>
              <w:spacing w:before="0" w:after="120"/>
              <w:jc w:val="both"/>
              <w:rPr>
                <w:iCs/>
              </w:rPr>
            </w:pPr>
            <w:r w:rsidRPr="005D2DAC">
              <w:t>Cita informācija</w:t>
            </w:r>
          </w:p>
        </w:tc>
        <w:tc>
          <w:tcPr>
            <w:tcW w:w="5612" w:type="dxa"/>
          </w:tcPr>
          <w:p w14:paraId="51BB9DE3" w14:textId="1003A083" w:rsidR="002D6487" w:rsidRPr="005D2DAC" w:rsidRDefault="00E93616" w:rsidP="00D55848">
            <w:pPr>
              <w:pStyle w:val="naiskr"/>
              <w:widowControl w:val="0"/>
              <w:tabs>
                <w:tab w:val="left" w:pos="2628"/>
              </w:tabs>
              <w:spacing w:before="0" w:after="120"/>
              <w:jc w:val="both"/>
              <w:rPr>
                <w:iCs/>
              </w:rPr>
            </w:pPr>
            <w:r w:rsidRPr="00164665">
              <w:rPr>
                <w:bCs/>
              </w:rPr>
              <w:t>Līguma projekta 11.pants</w:t>
            </w:r>
            <w:r w:rsidR="0030670C" w:rsidRPr="00164665">
              <w:rPr>
                <w:bCs/>
              </w:rPr>
              <w:t xml:space="preserve"> paredz 1996.gadā </w:t>
            </w:r>
            <w:r w:rsidR="00164665" w:rsidRPr="00164665">
              <w:rPr>
                <w:bCs/>
              </w:rPr>
              <w:t>parakstītā</w:t>
            </w:r>
            <w:r w:rsidR="0030670C" w:rsidRPr="00164665">
              <w:rPr>
                <w:bCs/>
              </w:rPr>
              <w:t xml:space="preserve"> Latvijas Republikas valdības un Ķīnas Tautas Republikas valdības </w:t>
            </w:r>
            <w:r w:rsidRPr="00164665">
              <w:rPr>
                <w:bCs/>
              </w:rPr>
              <w:t>līguma par sadarbību zinātnē un tehnoloģijā (turpmāk – 1996.gada līgums)</w:t>
            </w:r>
            <w:r w:rsidR="0030670C" w:rsidRPr="00164665">
              <w:rPr>
                <w:bCs/>
              </w:rPr>
              <w:t xml:space="preserve"> atzīšanu par spēkā neesošu</w:t>
            </w:r>
            <w:r w:rsidR="00B4681D" w:rsidRPr="00164665">
              <w:rPr>
                <w:bCs/>
              </w:rPr>
              <w:t>,</w:t>
            </w:r>
            <w:r w:rsidR="0030670C" w:rsidRPr="00164665">
              <w:rPr>
                <w:bCs/>
              </w:rPr>
              <w:t xml:space="preserve"> paraksto</w:t>
            </w:r>
            <w:r w:rsidR="00B4681D" w:rsidRPr="00164665">
              <w:rPr>
                <w:bCs/>
              </w:rPr>
              <w:t>t</w:t>
            </w:r>
            <w:r w:rsidR="0030670C" w:rsidRPr="00164665">
              <w:rPr>
                <w:bCs/>
              </w:rPr>
              <w:t xml:space="preserve"> jauno līgumu. Līdz ar to, noteikumu projekts paredz</w:t>
            </w:r>
            <w:r w:rsidR="0030670C" w:rsidRPr="00164665">
              <w:t xml:space="preserve"> </w:t>
            </w:r>
            <w:r w:rsidR="0030670C" w:rsidRPr="00164665">
              <w:rPr>
                <w:bCs/>
              </w:rPr>
              <w:t>atzīt par spēku zaudējuš</w:t>
            </w:r>
            <w:r w:rsidRPr="00164665">
              <w:rPr>
                <w:bCs/>
              </w:rPr>
              <w:t>u</w:t>
            </w:r>
            <w:r w:rsidR="0030670C" w:rsidRPr="00164665">
              <w:rPr>
                <w:bCs/>
              </w:rPr>
              <w:t xml:space="preserve"> Ministru kabineta </w:t>
            </w:r>
            <w:r w:rsidRPr="00164665">
              <w:rPr>
                <w:szCs w:val="28"/>
              </w:rPr>
              <w:t xml:space="preserve">1996.gada 6.jūnija rīkojumu Nr.214 “Par Latvijas Republikas valdības un Ķīnas Tautas Republikas valdības </w:t>
            </w:r>
            <w:r w:rsidR="00DD50E2">
              <w:rPr>
                <w:szCs w:val="28"/>
              </w:rPr>
              <w:t>no</w:t>
            </w:r>
            <w:r w:rsidRPr="00164665">
              <w:rPr>
                <w:szCs w:val="28"/>
              </w:rPr>
              <w:t>līgumu</w:t>
            </w:r>
            <w:r w:rsidRPr="004431D9">
              <w:rPr>
                <w:szCs w:val="28"/>
              </w:rPr>
              <w:t xml:space="preserve"> par sadarbību zinātnē un tehnoloģijā”</w:t>
            </w:r>
            <w:r>
              <w:rPr>
                <w:szCs w:val="28"/>
              </w:rPr>
              <w:t xml:space="preserve">. Ņemot vērā, ka Ķīnas puse netika veikusi 1996.gada </w:t>
            </w:r>
            <w:r w:rsidR="00DD50E2">
              <w:rPr>
                <w:szCs w:val="28"/>
              </w:rPr>
              <w:t>no</w:t>
            </w:r>
            <w:r>
              <w:rPr>
                <w:szCs w:val="28"/>
              </w:rPr>
              <w:t xml:space="preserve">līguma 8.punktā minēto, tas </w:t>
            </w:r>
            <w:r w:rsidR="00D55848">
              <w:rPr>
                <w:szCs w:val="28"/>
              </w:rPr>
              <w:t>nav</w:t>
            </w:r>
            <w:r>
              <w:rPr>
                <w:szCs w:val="28"/>
              </w:rPr>
              <w:t xml:space="preserve"> stājies spēkā.</w:t>
            </w:r>
          </w:p>
        </w:tc>
      </w:tr>
    </w:tbl>
    <w:p w14:paraId="44DCAF64" w14:textId="77777777" w:rsidR="002D6487" w:rsidRDefault="002D6487" w:rsidP="002D6487">
      <w:pPr>
        <w:pStyle w:val="naiskr"/>
        <w:widowControl w:val="0"/>
        <w:tabs>
          <w:tab w:val="left" w:pos="2628"/>
        </w:tabs>
        <w:spacing w:before="0" w:after="120"/>
        <w:rPr>
          <w:highlight w:val="yellow"/>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615"/>
      </w:tblGrid>
      <w:tr w:rsidR="002D6487" w:rsidRPr="00313B85" w14:paraId="27A86E8F" w14:textId="77777777" w:rsidTr="00F33A4E">
        <w:trPr>
          <w:jc w:val="center"/>
        </w:trPr>
        <w:tc>
          <w:tcPr>
            <w:tcW w:w="9579" w:type="dxa"/>
            <w:gridSpan w:val="3"/>
          </w:tcPr>
          <w:p w14:paraId="61417813" w14:textId="77777777" w:rsidR="002D6487" w:rsidRPr="005D2DAC" w:rsidRDefault="002D6487" w:rsidP="00685E69">
            <w:pPr>
              <w:pStyle w:val="naisnod"/>
              <w:widowControl w:val="0"/>
              <w:spacing w:before="0" w:after="120"/>
              <w:jc w:val="both"/>
            </w:pPr>
            <w:r w:rsidRPr="005D2DAC">
              <w:t>V. Tiesību akta projekta atbilstība Latvijas Republikas starptautiskajām saistībām</w:t>
            </w:r>
          </w:p>
        </w:tc>
      </w:tr>
      <w:tr w:rsidR="002D6487" w:rsidRPr="00313B85" w14:paraId="1DDDE833" w14:textId="77777777" w:rsidTr="00C51658">
        <w:trPr>
          <w:trHeight w:val="403"/>
          <w:jc w:val="center"/>
        </w:trPr>
        <w:tc>
          <w:tcPr>
            <w:tcW w:w="396" w:type="dxa"/>
          </w:tcPr>
          <w:p w14:paraId="03A62EE2" w14:textId="77777777" w:rsidR="002D6487" w:rsidRPr="005D2DAC" w:rsidRDefault="002D6487" w:rsidP="00685E69">
            <w:pPr>
              <w:pStyle w:val="naiskr"/>
              <w:widowControl w:val="0"/>
              <w:tabs>
                <w:tab w:val="left" w:pos="2628"/>
              </w:tabs>
              <w:spacing w:before="0" w:after="120"/>
              <w:jc w:val="both"/>
              <w:rPr>
                <w:iCs/>
              </w:rPr>
            </w:pPr>
            <w:r w:rsidRPr="005D2DAC">
              <w:rPr>
                <w:iCs/>
              </w:rPr>
              <w:t>1.</w:t>
            </w:r>
          </w:p>
        </w:tc>
        <w:tc>
          <w:tcPr>
            <w:tcW w:w="3568" w:type="dxa"/>
          </w:tcPr>
          <w:p w14:paraId="196139CB" w14:textId="77777777" w:rsidR="002D6487" w:rsidRPr="005D2DAC" w:rsidRDefault="002D6487" w:rsidP="00685E69">
            <w:pPr>
              <w:pStyle w:val="naiskr"/>
              <w:widowControl w:val="0"/>
              <w:tabs>
                <w:tab w:val="left" w:pos="2628"/>
              </w:tabs>
              <w:spacing w:before="0" w:after="120"/>
              <w:jc w:val="both"/>
              <w:rPr>
                <w:iCs/>
              </w:rPr>
            </w:pPr>
            <w:r w:rsidRPr="005D2DAC">
              <w:t>Saistības pret Eiropas Savienību</w:t>
            </w:r>
          </w:p>
        </w:tc>
        <w:tc>
          <w:tcPr>
            <w:tcW w:w="5615" w:type="dxa"/>
          </w:tcPr>
          <w:p w14:paraId="41F2E23C" w14:textId="77777777" w:rsidR="002D6487" w:rsidRPr="005D2DAC" w:rsidRDefault="002D6487" w:rsidP="00685E69">
            <w:pPr>
              <w:pStyle w:val="naiskr"/>
              <w:widowControl w:val="0"/>
              <w:tabs>
                <w:tab w:val="left" w:pos="2628"/>
              </w:tabs>
              <w:spacing w:before="0" w:after="120"/>
              <w:jc w:val="both"/>
              <w:rPr>
                <w:iCs/>
              </w:rPr>
            </w:pPr>
            <w:r w:rsidRPr="005D2DAC">
              <w:t xml:space="preserve">Nav. </w:t>
            </w:r>
          </w:p>
        </w:tc>
      </w:tr>
      <w:tr w:rsidR="002D6487" w:rsidRPr="00313B85" w14:paraId="59752947" w14:textId="77777777" w:rsidTr="00C51658">
        <w:trPr>
          <w:trHeight w:val="325"/>
          <w:jc w:val="center"/>
        </w:trPr>
        <w:tc>
          <w:tcPr>
            <w:tcW w:w="396" w:type="dxa"/>
          </w:tcPr>
          <w:p w14:paraId="65219C2E" w14:textId="77777777" w:rsidR="002D6487" w:rsidRPr="005D2DAC" w:rsidRDefault="002D6487" w:rsidP="00685E69">
            <w:pPr>
              <w:pStyle w:val="naiskr"/>
              <w:widowControl w:val="0"/>
              <w:tabs>
                <w:tab w:val="left" w:pos="2628"/>
              </w:tabs>
              <w:spacing w:before="0" w:after="120"/>
              <w:jc w:val="both"/>
              <w:rPr>
                <w:iCs/>
              </w:rPr>
            </w:pPr>
            <w:r w:rsidRPr="005D2DAC">
              <w:rPr>
                <w:iCs/>
              </w:rPr>
              <w:t>2.</w:t>
            </w:r>
          </w:p>
        </w:tc>
        <w:tc>
          <w:tcPr>
            <w:tcW w:w="3568" w:type="dxa"/>
          </w:tcPr>
          <w:p w14:paraId="55717EA1" w14:textId="77777777" w:rsidR="002D6487" w:rsidRPr="005D2DAC" w:rsidRDefault="002D6487" w:rsidP="00685E69">
            <w:pPr>
              <w:pStyle w:val="naiskr"/>
              <w:widowControl w:val="0"/>
              <w:tabs>
                <w:tab w:val="left" w:pos="2628"/>
              </w:tabs>
              <w:spacing w:before="0" w:after="120"/>
              <w:jc w:val="both"/>
              <w:rPr>
                <w:iCs/>
              </w:rPr>
            </w:pPr>
            <w:r w:rsidRPr="005D2DAC">
              <w:t>Citas starptautiskās saistības</w:t>
            </w:r>
          </w:p>
        </w:tc>
        <w:tc>
          <w:tcPr>
            <w:tcW w:w="5615" w:type="dxa"/>
          </w:tcPr>
          <w:p w14:paraId="7E13D23B" w14:textId="77777777" w:rsidR="002D6487" w:rsidRPr="005D2DAC" w:rsidRDefault="002D6487" w:rsidP="00685E69">
            <w:pPr>
              <w:pStyle w:val="naiskr"/>
              <w:widowControl w:val="0"/>
              <w:tabs>
                <w:tab w:val="left" w:pos="2628"/>
              </w:tabs>
              <w:spacing w:before="0" w:after="120"/>
              <w:jc w:val="both"/>
              <w:rPr>
                <w:iCs/>
              </w:rPr>
            </w:pPr>
            <w:r>
              <w:rPr>
                <w:iCs/>
              </w:rPr>
              <w:t>Nav.</w:t>
            </w:r>
          </w:p>
        </w:tc>
      </w:tr>
      <w:tr w:rsidR="002D6487" w:rsidRPr="00313B85" w14:paraId="3EBF799D" w14:textId="77777777" w:rsidTr="00C51658">
        <w:trPr>
          <w:jc w:val="center"/>
        </w:trPr>
        <w:tc>
          <w:tcPr>
            <w:tcW w:w="396" w:type="dxa"/>
          </w:tcPr>
          <w:p w14:paraId="7EBD6EC4" w14:textId="77777777" w:rsidR="002D6487" w:rsidRPr="005D2DAC" w:rsidRDefault="002D6487" w:rsidP="00685E69">
            <w:pPr>
              <w:pStyle w:val="naiskr"/>
              <w:widowControl w:val="0"/>
              <w:tabs>
                <w:tab w:val="left" w:pos="2628"/>
              </w:tabs>
              <w:spacing w:before="0" w:after="120"/>
              <w:jc w:val="both"/>
              <w:rPr>
                <w:iCs/>
              </w:rPr>
            </w:pPr>
            <w:r w:rsidRPr="005D2DAC">
              <w:rPr>
                <w:iCs/>
              </w:rPr>
              <w:t>3.</w:t>
            </w:r>
          </w:p>
        </w:tc>
        <w:tc>
          <w:tcPr>
            <w:tcW w:w="3568" w:type="dxa"/>
          </w:tcPr>
          <w:p w14:paraId="444F5D93" w14:textId="77777777" w:rsidR="002D6487" w:rsidRPr="005D2DAC" w:rsidRDefault="002D6487" w:rsidP="00685E69">
            <w:pPr>
              <w:pStyle w:val="naiskr"/>
              <w:widowControl w:val="0"/>
              <w:tabs>
                <w:tab w:val="left" w:pos="2628"/>
              </w:tabs>
              <w:spacing w:before="0" w:after="120"/>
              <w:jc w:val="both"/>
            </w:pPr>
            <w:r w:rsidRPr="005D2DAC">
              <w:t>Cita informācija</w:t>
            </w:r>
          </w:p>
        </w:tc>
        <w:tc>
          <w:tcPr>
            <w:tcW w:w="5615" w:type="dxa"/>
          </w:tcPr>
          <w:p w14:paraId="33C59A5C" w14:textId="4D3C2B18" w:rsidR="002D6487" w:rsidRPr="005D2DAC" w:rsidRDefault="00C0269A" w:rsidP="005144A1">
            <w:pPr>
              <w:autoSpaceDE w:val="0"/>
              <w:autoSpaceDN w:val="0"/>
              <w:adjustRightInd w:val="0"/>
              <w:jc w:val="both"/>
              <w:rPr>
                <w:iCs/>
              </w:rPr>
            </w:pPr>
            <w:r w:rsidRPr="00C0269A">
              <w:rPr>
                <w:iCs/>
              </w:rPr>
              <w:t>ES un Ķīnas stratēģ</w:t>
            </w:r>
            <w:r>
              <w:rPr>
                <w:iCs/>
              </w:rPr>
              <w:t>iskā sadarbības programma 2020. </w:t>
            </w:r>
            <w:r w:rsidRPr="00C0269A">
              <w:rPr>
                <w:iCs/>
              </w:rPr>
              <w:t>gadam</w:t>
            </w:r>
            <w:r w:rsidR="00C1115A">
              <w:rPr>
                <w:iCs/>
              </w:rPr>
              <w:t>, kas parakstīta 2013.gadā,</w:t>
            </w:r>
            <w:r w:rsidR="005144A1">
              <w:rPr>
                <w:iCs/>
              </w:rPr>
              <w:t xml:space="preserve"> un Nolīgums </w:t>
            </w:r>
            <w:r w:rsidR="005144A1" w:rsidRPr="005144A1">
              <w:rPr>
                <w:rFonts w:eastAsia="EUAlbertina-Bold-Identity-H"/>
                <w:bCs/>
              </w:rPr>
              <w:t>par zinātniski tehnisko sadarbību starp Eiropas Kopienu un Ķīnas Tautas Republikas valdību</w:t>
            </w:r>
            <w:r w:rsidR="00C1115A">
              <w:rPr>
                <w:rFonts w:eastAsia="EUAlbertina-Bold-Identity-H"/>
                <w:bCs/>
              </w:rPr>
              <w:t>, kas parakstīts 1998.gadā,</w:t>
            </w:r>
            <w:r w:rsidR="005144A1">
              <w:rPr>
                <w:rFonts w:eastAsia="EUAlbertina-Bold-Identity-H"/>
                <w:bCs/>
              </w:rPr>
              <w:t xml:space="preserve"> </w:t>
            </w:r>
            <w:r w:rsidR="00057EBE">
              <w:rPr>
                <w:iCs/>
              </w:rPr>
              <w:t>paredz Ķīnas un dalībvalstu sadarbības stiprināšanu zinātnes un tehnoloģiju jomā, iesaistot augstākās izglītības un zinātniskās institūcijas.</w:t>
            </w:r>
          </w:p>
        </w:tc>
      </w:tr>
    </w:tbl>
    <w:p w14:paraId="52A94CBB" w14:textId="5BE270A9" w:rsidR="002D6487" w:rsidRDefault="002D6487" w:rsidP="002D6487">
      <w:pPr>
        <w:widowControl w:val="0"/>
        <w:spacing w:after="120"/>
        <w:rPr>
          <w:highlight w:val="yellow"/>
        </w:rPr>
      </w:pPr>
    </w:p>
    <w:tbl>
      <w:tblPr>
        <w:tblW w:w="53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544"/>
        <w:gridCol w:w="5678"/>
      </w:tblGrid>
      <w:tr w:rsidR="00F33A4E" w14:paraId="56B7526F" w14:textId="77777777" w:rsidTr="00685E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8468D" w14:textId="77777777" w:rsidR="00F33A4E" w:rsidRDefault="00F33A4E" w:rsidP="00685E69">
            <w:pPr>
              <w:pStyle w:val="naisnod"/>
              <w:widowControl w:val="0"/>
              <w:spacing w:before="0" w:after="120"/>
              <w:jc w:val="both"/>
              <w:rPr>
                <w:color w:val="414142"/>
                <w:sz w:val="20"/>
                <w:szCs w:val="20"/>
              </w:rPr>
            </w:pPr>
            <w:r w:rsidRPr="00F33A4E">
              <w:t>VI. Sabiedrības līdzdalība un komunikācijas aktivitātes</w:t>
            </w:r>
          </w:p>
        </w:tc>
      </w:tr>
      <w:tr w:rsidR="00F33A4E" w14:paraId="0F98737A" w14:textId="77777777" w:rsidTr="00C51658">
        <w:trPr>
          <w:trHeight w:val="540"/>
          <w:jc w:val="center"/>
        </w:trPr>
        <w:tc>
          <w:tcPr>
            <w:tcW w:w="217" w:type="pct"/>
            <w:tcBorders>
              <w:top w:val="outset" w:sz="6" w:space="0" w:color="414142"/>
              <w:left w:val="outset" w:sz="6" w:space="0" w:color="414142"/>
              <w:bottom w:val="outset" w:sz="6" w:space="0" w:color="414142"/>
              <w:right w:val="outset" w:sz="6" w:space="0" w:color="414142"/>
            </w:tcBorders>
            <w:hideMark/>
          </w:tcPr>
          <w:p w14:paraId="51E2438A" w14:textId="77777777" w:rsidR="00F33A4E" w:rsidRPr="00F33A4E" w:rsidRDefault="00F33A4E" w:rsidP="00685E69">
            <w:pPr>
              <w:pStyle w:val="naiskr"/>
              <w:widowControl w:val="0"/>
              <w:tabs>
                <w:tab w:val="left" w:pos="2628"/>
              </w:tabs>
              <w:spacing w:before="0" w:after="120"/>
              <w:jc w:val="both"/>
            </w:pPr>
            <w:r w:rsidRPr="00F33A4E">
              <w:t>1.</w:t>
            </w:r>
          </w:p>
        </w:tc>
        <w:tc>
          <w:tcPr>
            <w:tcW w:w="1838" w:type="pct"/>
            <w:tcBorders>
              <w:top w:val="outset" w:sz="6" w:space="0" w:color="414142"/>
              <w:left w:val="outset" w:sz="6" w:space="0" w:color="414142"/>
              <w:bottom w:val="outset" w:sz="6" w:space="0" w:color="414142"/>
              <w:right w:val="outset" w:sz="6" w:space="0" w:color="414142"/>
            </w:tcBorders>
            <w:hideMark/>
          </w:tcPr>
          <w:p w14:paraId="7045EF74" w14:textId="77777777" w:rsidR="00F33A4E" w:rsidRPr="00F33A4E" w:rsidRDefault="00F33A4E" w:rsidP="00F33A4E">
            <w:pPr>
              <w:pStyle w:val="naiskr"/>
              <w:widowControl w:val="0"/>
              <w:tabs>
                <w:tab w:val="left" w:pos="2628"/>
              </w:tabs>
              <w:spacing w:before="0" w:after="120"/>
            </w:pPr>
            <w:r w:rsidRPr="00F33A4E">
              <w:t>Plānotās sabiedrības līdzdalības un komunikācijas aktivitātes saistībā ar projektu</w:t>
            </w:r>
          </w:p>
        </w:tc>
        <w:tc>
          <w:tcPr>
            <w:tcW w:w="2946" w:type="pct"/>
            <w:tcBorders>
              <w:top w:val="outset" w:sz="6" w:space="0" w:color="414142"/>
              <w:left w:val="outset" w:sz="6" w:space="0" w:color="414142"/>
              <w:bottom w:val="outset" w:sz="6" w:space="0" w:color="414142"/>
              <w:right w:val="outset" w:sz="6" w:space="0" w:color="414142"/>
            </w:tcBorders>
            <w:hideMark/>
          </w:tcPr>
          <w:p w14:paraId="46002BAD" w14:textId="6F6D390B" w:rsidR="00F33A4E" w:rsidRPr="00F33A4E" w:rsidRDefault="00F33A4E" w:rsidP="00685E69">
            <w:pPr>
              <w:pStyle w:val="naiskr"/>
              <w:widowControl w:val="0"/>
              <w:tabs>
                <w:tab w:val="left" w:pos="2628"/>
              </w:tabs>
              <w:spacing w:before="0" w:after="120"/>
              <w:jc w:val="both"/>
            </w:pPr>
            <w:r>
              <w:t>Nav.</w:t>
            </w:r>
          </w:p>
        </w:tc>
      </w:tr>
      <w:tr w:rsidR="00884244" w:rsidRPr="00884244" w14:paraId="7E43EF47" w14:textId="77777777" w:rsidTr="00C51658">
        <w:trPr>
          <w:trHeight w:val="330"/>
          <w:jc w:val="center"/>
        </w:trPr>
        <w:tc>
          <w:tcPr>
            <w:tcW w:w="217" w:type="pct"/>
            <w:tcBorders>
              <w:top w:val="outset" w:sz="6" w:space="0" w:color="414142"/>
              <w:left w:val="outset" w:sz="6" w:space="0" w:color="414142"/>
              <w:bottom w:val="outset" w:sz="6" w:space="0" w:color="414142"/>
              <w:right w:val="outset" w:sz="6" w:space="0" w:color="414142"/>
            </w:tcBorders>
            <w:hideMark/>
          </w:tcPr>
          <w:p w14:paraId="6692CAD0" w14:textId="77777777" w:rsidR="00F33A4E" w:rsidRPr="00884244" w:rsidRDefault="00F33A4E" w:rsidP="00685E69">
            <w:pPr>
              <w:pStyle w:val="naiskr"/>
              <w:widowControl w:val="0"/>
              <w:tabs>
                <w:tab w:val="left" w:pos="2628"/>
              </w:tabs>
              <w:spacing w:before="0" w:after="120"/>
              <w:jc w:val="both"/>
              <w:rPr>
                <w:color w:val="000000" w:themeColor="text1"/>
              </w:rPr>
            </w:pPr>
            <w:r w:rsidRPr="00884244">
              <w:rPr>
                <w:color w:val="000000" w:themeColor="text1"/>
              </w:rPr>
              <w:t>2.</w:t>
            </w:r>
          </w:p>
        </w:tc>
        <w:tc>
          <w:tcPr>
            <w:tcW w:w="1838" w:type="pct"/>
            <w:tcBorders>
              <w:top w:val="outset" w:sz="6" w:space="0" w:color="414142"/>
              <w:left w:val="outset" w:sz="6" w:space="0" w:color="414142"/>
              <w:bottom w:val="outset" w:sz="6" w:space="0" w:color="414142"/>
              <w:right w:val="outset" w:sz="6" w:space="0" w:color="414142"/>
            </w:tcBorders>
            <w:hideMark/>
          </w:tcPr>
          <w:p w14:paraId="287B6FF2" w14:textId="77777777" w:rsidR="00F33A4E" w:rsidRPr="00884244" w:rsidRDefault="00F33A4E" w:rsidP="00F33A4E">
            <w:pPr>
              <w:pStyle w:val="naiskr"/>
              <w:widowControl w:val="0"/>
              <w:tabs>
                <w:tab w:val="left" w:pos="2628"/>
              </w:tabs>
              <w:spacing w:before="0" w:after="120"/>
              <w:rPr>
                <w:color w:val="000000" w:themeColor="text1"/>
              </w:rPr>
            </w:pPr>
            <w:r w:rsidRPr="00884244">
              <w:rPr>
                <w:color w:val="000000" w:themeColor="text1"/>
              </w:rPr>
              <w:t>Sabiedrības līdzdalība projekta izstrādē</w:t>
            </w:r>
          </w:p>
        </w:tc>
        <w:tc>
          <w:tcPr>
            <w:tcW w:w="2946" w:type="pct"/>
            <w:tcBorders>
              <w:top w:val="outset" w:sz="6" w:space="0" w:color="414142"/>
              <w:left w:val="outset" w:sz="6" w:space="0" w:color="414142"/>
              <w:bottom w:val="outset" w:sz="6" w:space="0" w:color="414142"/>
              <w:right w:val="outset" w:sz="6" w:space="0" w:color="414142"/>
            </w:tcBorders>
            <w:hideMark/>
          </w:tcPr>
          <w:p w14:paraId="22825D59" w14:textId="1303CF0D" w:rsidR="00F33A4E" w:rsidRPr="00884244" w:rsidRDefault="00884244" w:rsidP="00884244">
            <w:pPr>
              <w:pStyle w:val="naiskr"/>
              <w:widowControl w:val="0"/>
              <w:tabs>
                <w:tab w:val="left" w:pos="2628"/>
              </w:tabs>
              <w:spacing w:before="0" w:after="0"/>
              <w:jc w:val="both"/>
              <w:rPr>
                <w:color w:val="000000" w:themeColor="text1"/>
              </w:rPr>
            </w:pPr>
            <w:r w:rsidRPr="00884244">
              <w:rPr>
                <w:color w:val="000000" w:themeColor="text1"/>
              </w:rPr>
              <w:t xml:space="preserve">Līguma projekts viedokļa sniegšanai tika nosūtīts Latvijas Rektoru padomei, Latvijas Universitāšu asociācijai un Valsts Zinātnisko institūciju asociācijai. Līguma izstrādes gaitā tika apzinātas Latvijas augstākās izglītības iestāžu un zinātnisko institūciju intereses sadarbībai ar Ķīnu zinātnes </w:t>
            </w:r>
            <w:r w:rsidRPr="00884244">
              <w:rPr>
                <w:color w:val="000000" w:themeColor="text1"/>
              </w:rPr>
              <w:lastRenderedPageBreak/>
              <w:t>jomā.</w:t>
            </w:r>
          </w:p>
        </w:tc>
      </w:tr>
      <w:tr w:rsidR="00F33A4E" w14:paraId="5C3136B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0F3F6FBB" w14:textId="77777777" w:rsidR="00F33A4E" w:rsidRPr="00F33A4E" w:rsidRDefault="00F33A4E" w:rsidP="00685E69">
            <w:pPr>
              <w:pStyle w:val="naiskr"/>
              <w:widowControl w:val="0"/>
              <w:tabs>
                <w:tab w:val="left" w:pos="2628"/>
              </w:tabs>
              <w:spacing w:before="0" w:after="120"/>
              <w:jc w:val="both"/>
            </w:pPr>
            <w:r w:rsidRPr="00F33A4E">
              <w:lastRenderedPageBreak/>
              <w:t>3.</w:t>
            </w:r>
          </w:p>
        </w:tc>
        <w:tc>
          <w:tcPr>
            <w:tcW w:w="1838" w:type="pct"/>
            <w:tcBorders>
              <w:top w:val="outset" w:sz="6" w:space="0" w:color="414142"/>
              <w:left w:val="outset" w:sz="6" w:space="0" w:color="414142"/>
              <w:bottom w:val="outset" w:sz="6" w:space="0" w:color="414142"/>
              <w:right w:val="outset" w:sz="6" w:space="0" w:color="414142"/>
            </w:tcBorders>
            <w:hideMark/>
          </w:tcPr>
          <w:p w14:paraId="0FAE1302" w14:textId="77777777" w:rsidR="00F33A4E" w:rsidRPr="00F33A4E" w:rsidRDefault="00F33A4E" w:rsidP="00F33A4E">
            <w:pPr>
              <w:pStyle w:val="naiskr"/>
              <w:widowControl w:val="0"/>
              <w:tabs>
                <w:tab w:val="left" w:pos="2628"/>
              </w:tabs>
              <w:spacing w:before="0" w:after="120"/>
            </w:pPr>
            <w:r w:rsidRPr="00F33A4E">
              <w:t>Sabiedrības līdzdalības rezultāti</w:t>
            </w:r>
          </w:p>
        </w:tc>
        <w:tc>
          <w:tcPr>
            <w:tcW w:w="2946" w:type="pct"/>
            <w:tcBorders>
              <w:top w:val="outset" w:sz="6" w:space="0" w:color="414142"/>
              <w:left w:val="outset" w:sz="6" w:space="0" w:color="414142"/>
              <w:bottom w:val="outset" w:sz="6" w:space="0" w:color="414142"/>
              <w:right w:val="outset" w:sz="6" w:space="0" w:color="414142"/>
            </w:tcBorders>
            <w:hideMark/>
          </w:tcPr>
          <w:p w14:paraId="241BDE70" w14:textId="47E938BE" w:rsidR="00F33A4E" w:rsidRPr="00F33A4E" w:rsidRDefault="00F33A4E" w:rsidP="00DF36AF">
            <w:pPr>
              <w:pStyle w:val="naiskr"/>
              <w:widowControl w:val="0"/>
              <w:tabs>
                <w:tab w:val="left" w:pos="2628"/>
              </w:tabs>
              <w:spacing w:before="0" w:after="120"/>
              <w:jc w:val="both"/>
            </w:pPr>
          </w:p>
        </w:tc>
      </w:tr>
      <w:tr w:rsidR="00F33A4E" w14:paraId="2BEF0A41" w14:textId="77777777" w:rsidTr="00C51658">
        <w:trPr>
          <w:trHeight w:val="465"/>
          <w:jc w:val="center"/>
        </w:trPr>
        <w:tc>
          <w:tcPr>
            <w:tcW w:w="217" w:type="pct"/>
            <w:tcBorders>
              <w:top w:val="outset" w:sz="6" w:space="0" w:color="414142"/>
              <w:left w:val="outset" w:sz="6" w:space="0" w:color="414142"/>
              <w:bottom w:val="outset" w:sz="6" w:space="0" w:color="414142"/>
              <w:right w:val="outset" w:sz="6" w:space="0" w:color="414142"/>
            </w:tcBorders>
            <w:hideMark/>
          </w:tcPr>
          <w:p w14:paraId="670C137E" w14:textId="77777777" w:rsidR="00F33A4E" w:rsidRPr="00F33A4E" w:rsidRDefault="00F33A4E" w:rsidP="00685E69">
            <w:pPr>
              <w:pStyle w:val="naiskr"/>
              <w:widowControl w:val="0"/>
              <w:tabs>
                <w:tab w:val="left" w:pos="2628"/>
              </w:tabs>
              <w:spacing w:before="0" w:after="120"/>
              <w:jc w:val="both"/>
            </w:pPr>
            <w:r w:rsidRPr="00F33A4E">
              <w:t>4.</w:t>
            </w:r>
          </w:p>
        </w:tc>
        <w:tc>
          <w:tcPr>
            <w:tcW w:w="1838" w:type="pct"/>
            <w:tcBorders>
              <w:top w:val="outset" w:sz="6" w:space="0" w:color="414142"/>
              <w:left w:val="outset" w:sz="6" w:space="0" w:color="414142"/>
              <w:bottom w:val="outset" w:sz="6" w:space="0" w:color="414142"/>
              <w:right w:val="outset" w:sz="6" w:space="0" w:color="414142"/>
            </w:tcBorders>
            <w:hideMark/>
          </w:tcPr>
          <w:p w14:paraId="5554B7E4" w14:textId="77777777" w:rsidR="00F33A4E" w:rsidRPr="00F33A4E" w:rsidRDefault="00F33A4E" w:rsidP="00F33A4E">
            <w:pPr>
              <w:pStyle w:val="naiskr"/>
              <w:widowControl w:val="0"/>
              <w:tabs>
                <w:tab w:val="left" w:pos="2628"/>
              </w:tabs>
              <w:spacing w:before="0" w:after="120"/>
            </w:pPr>
            <w:r w:rsidRPr="00F33A4E">
              <w:t>Cita informācija</w:t>
            </w:r>
          </w:p>
        </w:tc>
        <w:tc>
          <w:tcPr>
            <w:tcW w:w="2946" w:type="pct"/>
            <w:tcBorders>
              <w:top w:val="outset" w:sz="6" w:space="0" w:color="414142"/>
              <w:left w:val="outset" w:sz="6" w:space="0" w:color="414142"/>
              <w:bottom w:val="outset" w:sz="6" w:space="0" w:color="414142"/>
              <w:right w:val="outset" w:sz="6" w:space="0" w:color="414142"/>
            </w:tcBorders>
            <w:hideMark/>
          </w:tcPr>
          <w:p w14:paraId="0B969C18" w14:textId="5FB968FE" w:rsidR="00F33A4E" w:rsidRPr="00F33A4E" w:rsidRDefault="00F33A4E" w:rsidP="00685E69">
            <w:pPr>
              <w:pStyle w:val="naiskr"/>
              <w:widowControl w:val="0"/>
              <w:tabs>
                <w:tab w:val="left" w:pos="2628"/>
              </w:tabs>
              <w:spacing w:before="0" w:after="120"/>
              <w:jc w:val="both"/>
            </w:pPr>
            <w:r>
              <w:t>Nav.</w:t>
            </w:r>
          </w:p>
        </w:tc>
      </w:tr>
    </w:tbl>
    <w:p w14:paraId="437603E0" w14:textId="77777777" w:rsidR="00F33A4E" w:rsidRDefault="00F33A4E" w:rsidP="002D6487">
      <w:pPr>
        <w:widowControl w:val="0"/>
        <w:spacing w:after="120"/>
        <w:rPr>
          <w:highlight w:val="yellow"/>
        </w:rPr>
      </w:pPr>
    </w:p>
    <w:tbl>
      <w:tblPr>
        <w:tblStyle w:val="TableGrid"/>
        <w:tblW w:w="9640" w:type="dxa"/>
        <w:tblInd w:w="-289" w:type="dxa"/>
        <w:tblLook w:val="04A0" w:firstRow="1" w:lastRow="0" w:firstColumn="1" w:lastColumn="0" w:noHBand="0" w:noVBand="1"/>
      </w:tblPr>
      <w:tblGrid>
        <w:gridCol w:w="426"/>
        <w:gridCol w:w="3544"/>
        <w:gridCol w:w="5670"/>
      </w:tblGrid>
      <w:tr w:rsidR="00271778" w14:paraId="25C0E317" w14:textId="77777777" w:rsidTr="00F33A4E">
        <w:tc>
          <w:tcPr>
            <w:tcW w:w="9640" w:type="dxa"/>
            <w:gridSpan w:val="3"/>
          </w:tcPr>
          <w:p w14:paraId="43F193D3" w14:textId="77777777" w:rsidR="00271778" w:rsidRDefault="00271778" w:rsidP="00637346">
            <w:pPr>
              <w:spacing w:before="75" w:after="75"/>
              <w:jc w:val="center"/>
              <w:rPr>
                <w:b/>
                <w:bCs/>
              </w:rPr>
            </w:pPr>
            <w:r>
              <w:rPr>
                <w:b/>
                <w:bCs/>
              </w:rPr>
              <w:t>VII. Tiesību akta projekta izpildes nodrošināšana un tās ietekme uz institūcijām</w:t>
            </w:r>
          </w:p>
        </w:tc>
      </w:tr>
      <w:tr w:rsidR="00271778" w14:paraId="49A1B826" w14:textId="77777777" w:rsidTr="00C51658">
        <w:tc>
          <w:tcPr>
            <w:tcW w:w="426" w:type="dxa"/>
          </w:tcPr>
          <w:p w14:paraId="73D4B03C" w14:textId="77777777" w:rsidR="00271778" w:rsidRDefault="00271778" w:rsidP="00271778">
            <w:pPr>
              <w:pStyle w:val="tvhtmlmktable"/>
            </w:pPr>
            <w:r>
              <w:t>1.</w:t>
            </w:r>
          </w:p>
        </w:tc>
        <w:tc>
          <w:tcPr>
            <w:tcW w:w="3544" w:type="dxa"/>
          </w:tcPr>
          <w:p w14:paraId="4179E78E" w14:textId="77777777" w:rsidR="00271778" w:rsidRDefault="00271778" w:rsidP="00271778">
            <w:pPr>
              <w:pStyle w:val="tvhtmlmktable"/>
            </w:pPr>
            <w:r>
              <w:t>Projekta izpildē iesaistītās institūcijas</w:t>
            </w:r>
          </w:p>
        </w:tc>
        <w:tc>
          <w:tcPr>
            <w:tcW w:w="5670" w:type="dxa"/>
          </w:tcPr>
          <w:p w14:paraId="7CB512DE" w14:textId="77777777" w:rsidR="00271778" w:rsidRDefault="00271778" w:rsidP="00C34F91">
            <w:pPr>
              <w:pStyle w:val="tvhtmlmktable"/>
              <w:jc w:val="both"/>
            </w:pPr>
            <w:r>
              <w:t>Projekta izpildi nodrošinās Izglītības un zinātnes ministrija</w:t>
            </w:r>
            <w:r w:rsidR="00FB4515">
              <w:t>.</w:t>
            </w:r>
          </w:p>
        </w:tc>
      </w:tr>
      <w:tr w:rsidR="00271778" w14:paraId="1D335C2D" w14:textId="77777777" w:rsidTr="00B73651">
        <w:tc>
          <w:tcPr>
            <w:tcW w:w="426" w:type="dxa"/>
          </w:tcPr>
          <w:p w14:paraId="5C225A0D" w14:textId="77777777" w:rsidR="00271778" w:rsidRDefault="00271778" w:rsidP="00271778">
            <w:pPr>
              <w:pStyle w:val="tvhtmlmktable"/>
            </w:pPr>
            <w:r>
              <w:t>2.</w:t>
            </w:r>
          </w:p>
        </w:tc>
        <w:tc>
          <w:tcPr>
            <w:tcW w:w="3544" w:type="dxa"/>
          </w:tcPr>
          <w:p w14:paraId="2CE5932B" w14:textId="77777777" w:rsidR="00271778" w:rsidRDefault="00271778" w:rsidP="0062080D">
            <w:pPr>
              <w:pStyle w:val="tvhtmlmktable"/>
              <w:spacing w:before="0" w:beforeAutospacing="0" w:after="0" w:afterAutospacing="0"/>
            </w:pPr>
            <w:r>
              <w:t>Projekta izpildes ietekme uz pārvaldes funkcijām</w:t>
            </w:r>
            <w:r w:rsidR="0062080D">
              <w:t xml:space="preserve"> un institucionālo struktūru.</w:t>
            </w:r>
          </w:p>
          <w:p w14:paraId="7E4BA86B" w14:textId="77777777" w:rsidR="0062080D" w:rsidRDefault="0062080D" w:rsidP="0062080D">
            <w:pPr>
              <w:pStyle w:val="tvhtmlmktable"/>
              <w:spacing w:before="0" w:beforeAutospacing="0" w:after="0" w:afterAutospacing="0"/>
            </w:pPr>
            <w:r>
              <w:t>Jaunu institūciju izveide, esošu institūciju likvidācija vai reorganizācija, to ietekme uz institūcijas cilvēkresursiem</w:t>
            </w:r>
          </w:p>
        </w:tc>
        <w:tc>
          <w:tcPr>
            <w:tcW w:w="5670" w:type="dxa"/>
            <w:shd w:val="clear" w:color="auto" w:fill="auto"/>
          </w:tcPr>
          <w:p w14:paraId="3788FBDF" w14:textId="77777777" w:rsidR="00271778" w:rsidRDefault="0062080D" w:rsidP="00271778">
            <w:pPr>
              <w:pStyle w:val="tvhtmlmktable"/>
              <w:jc w:val="both"/>
            </w:pPr>
            <w:r w:rsidRPr="00B73651">
              <w:t xml:space="preserve">Pārvaldes funkcijas un uzdevumi netiek grozīti, institucionālā struktūra netiek mainīta. Jaunas institūcijas netiek izveidotas. Esošās institūcijas netiks likvidētas vai reorganizētas. </w:t>
            </w:r>
            <w:r w:rsidR="00271778" w:rsidRPr="00B73651">
              <w:t>Projekts tiks izpildīts esošo pārvaldes funkciju ietvaros</w:t>
            </w:r>
            <w:r w:rsidR="002D6487" w:rsidRPr="00B73651">
              <w:t>.</w:t>
            </w:r>
            <w:r w:rsidR="00271778">
              <w:t xml:space="preserve"> </w:t>
            </w:r>
          </w:p>
        </w:tc>
      </w:tr>
      <w:tr w:rsidR="00271778" w14:paraId="54A8C112" w14:textId="77777777" w:rsidTr="00C51658">
        <w:tc>
          <w:tcPr>
            <w:tcW w:w="426" w:type="dxa"/>
          </w:tcPr>
          <w:p w14:paraId="5663ECBC" w14:textId="77777777" w:rsidR="00271778" w:rsidRDefault="0062080D" w:rsidP="00271778">
            <w:pPr>
              <w:pStyle w:val="tvhtmlmktable"/>
            </w:pPr>
            <w:r>
              <w:t>3</w:t>
            </w:r>
            <w:r w:rsidR="00271778">
              <w:t>.</w:t>
            </w:r>
          </w:p>
        </w:tc>
        <w:tc>
          <w:tcPr>
            <w:tcW w:w="3544" w:type="dxa"/>
          </w:tcPr>
          <w:p w14:paraId="527DBF96" w14:textId="77777777" w:rsidR="00271778" w:rsidRDefault="00271778" w:rsidP="00271778">
            <w:pPr>
              <w:pStyle w:val="tvhtmlmktable"/>
            </w:pPr>
            <w:r>
              <w:t>Cita informācija</w:t>
            </w:r>
          </w:p>
        </w:tc>
        <w:tc>
          <w:tcPr>
            <w:tcW w:w="5670" w:type="dxa"/>
          </w:tcPr>
          <w:p w14:paraId="3D2BCEC9" w14:textId="77777777" w:rsidR="00271778" w:rsidRDefault="00271778" w:rsidP="00271778">
            <w:pPr>
              <w:pStyle w:val="tvhtmlmktable"/>
            </w:pPr>
            <w:r>
              <w:t xml:space="preserve">Nav. </w:t>
            </w:r>
          </w:p>
        </w:tc>
      </w:tr>
    </w:tbl>
    <w:p w14:paraId="6903B763" w14:textId="77777777" w:rsidR="00637346" w:rsidRDefault="00637346" w:rsidP="00CC5D63">
      <w:pPr>
        <w:pStyle w:val="naisf"/>
        <w:spacing w:before="0" w:after="0"/>
        <w:rPr>
          <w:sz w:val="16"/>
          <w:szCs w:val="16"/>
        </w:rPr>
      </w:pPr>
    </w:p>
    <w:p w14:paraId="4E9F47BA" w14:textId="0C6928AC" w:rsidR="002D6487" w:rsidRPr="005D2DAC" w:rsidRDefault="002D6487" w:rsidP="002D6487">
      <w:pPr>
        <w:pStyle w:val="naisf"/>
        <w:widowControl w:val="0"/>
        <w:spacing w:before="0" w:after="120"/>
        <w:ind w:firstLine="0"/>
        <w:jc w:val="center"/>
      </w:pPr>
      <w:r w:rsidRPr="005D2DAC">
        <w:t>Anotācijas III sadaļa</w:t>
      </w:r>
      <w:r w:rsidR="00F33A4E">
        <w:t xml:space="preserve"> un</w:t>
      </w:r>
      <w:r w:rsidRPr="005D2DAC">
        <w:t xml:space="preserve"> V sadaļas 1. un 2. tabula – nav attiecināms.</w:t>
      </w:r>
    </w:p>
    <w:p w14:paraId="4F8F8096" w14:textId="77777777" w:rsidR="00373B17" w:rsidRPr="00563E9D" w:rsidRDefault="00373B17" w:rsidP="00B352C3">
      <w:pPr>
        <w:pStyle w:val="naisf"/>
        <w:spacing w:before="0" w:after="0"/>
        <w:rPr>
          <w:sz w:val="16"/>
          <w:szCs w:val="16"/>
        </w:rPr>
      </w:pPr>
    </w:p>
    <w:p w14:paraId="4F44E869" w14:textId="77777777" w:rsidR="00E41B73" w:rsidRDefault="00B22DC8" w:rsidP="00F47118">
      <w:r>
        <w:t>I</w:t>
      </w:r>
      <w:r w:rsidR="00E41B73" w:rsidRPr="00E41B73">
        <w:t>zglītības un zinātnes ministr</w:t>
      </w:r>
      <w:r w:rsidR="005736DB">
        <w:t>s</w:t>
      </w:r>
      <w:r w:rsidR="00F47118">
        <w:tab/>
      </w:r>
      <w:r w:rsidR="00F47118">
        <w:tab/>
      </w:r>
      <w:r w:rsidR="00F47118">
        <w:tab/>
      </w:r>
      <w:r w:rsidR="00F47118">
        <w:tab/>
      </w:r>
      <w:r w:rsidR="00F47118">
        <w:tab/>
      </w:r>
      <w:r w:rsidR="00F47118">
        <w:tab/>
      </w:r>
      <w:r w:rsidR="005736DB">
        <w:t>K</w:t>
      </w:r>
      <w:r w:rsidR="00E41B73" w:rsidRPr="00E41B73">
        <w:t>.</w:t>
      </w:r>
      <w:r w:rsidR="005736DB">
        <w:t>Šadurskis</w:t>
      </w:r>
    </w:p>
    <w:p w14:paraId="2194EFE5" w14:textId="77777777" w:rsidR="00B51B37" w:rsidRDefault="00B51B37" w:rsidP="007F3149">
      <w:pPr>
        <w:pStyle w:val="Subtitle"/>
        <w:spacing w:before="0" w:after="0"/>
        <w:ind w:right="0"/>
        <w:rPr>
          <w:b w:val="0"/>
          <w:i/>
          <w:sz w:val="18"/>
          <w:szCs w:val="18"/>
          <w:lang w:val="lv-LV"/>
        </w:rPr>
      </w:pPr>
    </w:p>
    <w:p w14:paraId="69C3DF4F" w14:textId="77777777" w:rsidR="00F47118" w:rsidRPr="00F47118" w:rsidRDefault="00F47118" w:rsidP="005736DB">
      <w:pPr>
        <w:jc w:val="both"/>
      </w:pPr>
      <w:r w:rsidRPr="00F47118">
        <w:t>Vīza: Valsts sekretāre</w:t>
      </w:r>
      <w:r w:rsidR="005736DB">
        <w:t xml:space="preserve"> </w:t>
      </w:r>
      <w:r w:rsidRPr="00F47118">
        <w:t xml:space="preserve"> </w:t>
      </w:r>
      <w:r w:rsidR="005736DB">
        <w:tab/>
      </w:r>
      <w:r w:rsidR="005736DB">
        <w:tab/>
      </w:r>
      <w:r w:rsidR="005736DB">
        <w:tab/>
      </w:r>
      <w:r w:rsidR="005736DB">
        <w:tab/>
      </w:r>
      <w:r w:rsidR="005736DB">
        <w:tab/>
      </w:r>
      <w:r w:rsidR="005736DB">
        <w:tab/>
        <w:t>L.Lejiņa</w:t>
      </w:r>
    </w:p>
    <w:p w14:paraId="1A5ABF9B" w14:textId="77777777" w:rsidR="00B51B37" w:rsidRDefault="00B51B37" w:rsidP="007F3149">
      <w:pPr>
        <w:pStyle w:val="Subtitle"/>
        <w:spacing w:before="0" w:after="0"/>
        <w:ind w:right="0"/>
        <w:rPr>
          <w:b w:val="0"/>
          <w:i/>
          <w:sz w:val="18"/>
          <w:szCs w:val="18"/>
          <w:lang w:val="lv-LV"/>
        </w:rPr>
      </w:pPr>
    </w:p>
    <w:p w14:paraId="267551FC" w14:textId="77777777" w:rsidR="00B51B37" w:rsidRDefault="00B51B37" w:rsidP="007F3149">
      <w:pPr>
        <w:pStyle w:val="Subtitle"/>
        <w:spacing w:before="0" w:after="0"/>
        <w:ind w:right="0"/>
        <w:rPr>
          <w:b w:val="0"/>
          <w:i/>
          <w:sz w:val="18"/>
          <w:szCs w:val="18"/>
          <w:lang w:val="lv-LV"/>
        </w:rPr>
      </w:pPr>
    </w:p>
    <w:p w14:paraId="7DD6FE9E" w14:textId="77777777" w:rsidR="00307417" w:rsidRPr="00307417" w:rsidRDefault="00307417" w:rsidP="00307417">
      <w:pPr>
        <w:rPr>
          <w:lang w:eastAsia="en-US"/>
        </w:rPr>
      </w:pPr>
    </w:p>
    <w:p w14:paraId="7404DAD8" w14:textId="1188DFD2" w:rsidR="004361ED" w:rsidRDefault="004361ED" w:rsidP="004361ED">
      <w:pPr>
        <w:rPr>
          <w:sz w:val="20"/>
          <w:szCs w:val="20"/>
        </w:rPr>
      </w:pPr>
      <w:r w:rsidRPr="004361ED">
        <w:rPr>
          <w:sz w:val="20"/>
          <w:szCs w:val="20"/>
        </w:rPr>
        <w:fldChar w:fldCharType="begin"/>
      </w:r>
      <w:r w:rsidRPr="004361ED">
        <w:rPr>
          <w:sz w:val="20"/>
          <w:szCs w:val="20"/>
        </w:rPr>
        <w:instrText xml:space="preserve"> TIME \@ "dd.MM.yyyy. H:mm" </w:instrText>
      </w:r>
      <w:r w:rsidRPr="004361ED">
        <w:rPr>
          <w:sz w:val="20"/>
          <w:szCs w:val="20"/>
        </w:rPr>
        <w:fldChar w:fldCharType="separate"/>
      </w:r>
      <w:r w:rsidR="00D576AC">
        <w:rPr>
          <w:noProof/>
          <w:sz w:val="20"/>
          <w:szCs w:val="20"/>
        </w:rPr>
        <w:t>19.09.2017. 17:46</w:t>
      </w:r>
      <w:r w:rsidRPr="004361ED">
        <w:rPr>
          <w:sz w:val="20"/>
          <w:szCs w:val="20"/>
        </w:rPr>
        <w:fldChar w:fldCharType="end"/>
      </w:r>
    </w:p>
    <w:p w14:paraId="7B178048" w14:textId="4476F44E" w:rsidR="000955F8" w:rsidRPr="004361ED" w:rsidRDefault="00DE7307" w:rsidP="004361ED">
      <w:pPr>
        <w:rPr>
          <w:sz w:val="20"/>
          <w:szCs w:val="20"/>
        </w:rPr>
      </w:pPr>
      <w:r>
        <w:rPr>
          <w:sz w:val="20"/>
          <w:szCs w:val="20"/>
        </w:rPr>
        <w:t>980</w:t>
      </w:r>
    </w:p>
    <w:p w14:paraId="794C7791" w14:textId="34CD4AB1" w:rsidR="004361ED" w:rsidRPr="00E15445" w:rsidRDefault="00E15445" w:rsidP="004361ED">
      <w:pPr>
        <w:keepNext/>
        <w:keepLines/>
        <w:widowControl w:val="0"/>
        <w:suppressAutoHyphens/>
        <w:rPr>
          <w:sz w:val="18"/>
          <w:szCs w:val="18"/>
          <w:lang w:eastAsia="en-US"/>
        </w:rPr>
      </w:pPr>
      <w:r w:rsidRPr="00E15445">
        <w:rPr>
          <w:sz w:val="18"/>
          <w:szCs w:val="18"/>
          <w:lang w:eastAsia="en-US"/>
        </w:rPr>
        <w:t>A.</w:t>
      </w:r>
      <w:r>
        <w:rPr>
          <w:sz w:val="18"/>
          <w:szCs w:val="18"/>
          <w:lang w:eastAsia="en-US"/>
        </w:rPr>
        <w:t>Vahere-Abražune</w:t>
      </w:r>
      <w:r w:rsidR="004361ED" w:rsidRPr="00E15445">
        <w:rPr>
          <w:sz w:val="18"/>
          <w:szCs w:val="18"/>
          <w:lang w:eastAsia="en-US"/>
        </w:rPr>
        <w:t>, 67047896</w:t>
      </w:r>
    </w:p>
    <w:p w14:paraId="0593F37C" w14:textId="3A573AAB" w:rsidR="004361ED" w:rsidRPr="00E15445" w:rsidRDefault="00E15445" w:rsidP="004361ED">
      <w:pPr>
        <w:keepNext/>
        <w:keepLines/>
        <w:widowControl w:val="0"/>
        <w:suppressAutoHyphens/>
        <w:rPr>
          <w:sz w:val="18"/>
          <w:szCs w:val="18"/>
          <w:lang w:eastAsia="en-US"/>
        </w:rPr>
      </w:pPr>
      <w:r>
        <w:rPr>
          <w:sz w:val="18"/>
          <w:szCs w:val="18"/>
          <w:lang w:eastAsia="en-US"/>
        </w:rPr>
        <w:t>anita.vahere-abrazune</w:t>
      </w:r>
      <w:r w:rsidR="004361ED" w:rsidRPr="00E15445">
        <w:rPr>
          <w:sz w:val="18"/>
          <w:szCs w:val="18"/>
          <w:lang w:eastAsia="en-US"/>
        </w:rPr>
        <w:t>@izm.gov.lv</w:t>
      </w:r>
    </w:p>
    <w:p w14:paraId="17F08EA0" w14:textId="77777777" w:rsidR="00BF40ED" w:rsidRPr="00E15445" w:rsidRDefault="00BF40ED" w:rsidP="004361ED">
      <w:pPr>
        <w:pStyle w:val="Subtitle"/>
        <w:spacing w:before="0" w:after="0"/>
        <w:ind w:right="0"/>
        <w:rPr>
          <w:b w:val="0"/>
          <w:sz w:val="16"/>
          <w:szCs w:val="16"/>
          <w:lang w:val="lv-LV"/>
        </w:rPr>
      </w:pPr>
    </w:p>
    <w:sectPr w:rsidR="00BF40ED" w:rsidRPr="00E15445" w:rsidSect="001A7F25">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666C" w14:textId="77777777" w:rsidR="00CC2A8F" w:rsidRDefault="00CC2A8F">
      <w:r>
        <w:separator/>
      </w:r>
    </w:p>
  </w:endnote>
  <w:endnote w:type="continuationSeparator" w:id="0">
    <w:p w14:paraId="171B0374" w14:textId="77777777" w:rsidR="00CC2A8F" w:rsidRDefault="00CC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7C27" w14:textId="77777777" w:rsidR="00D1224B" w:rsidRDefault="00D1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2083" w14:textId="437069E5" w:rsidR="00685E69" w:rsidRPr="00F47118" w:rsidRDefault="00685E69" w:rsidP="00C34F91">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1C0DF4">
      <w:rPr>
        <w:noProof/>
        <w:sz w:val="20"/>
        <w:szCs w:val="20"/>
      </w:rPr>
      <w:t>IZMAnot_</w:t>
    </w:r>
    <w:r w:rsidR="00D576AC">
      <w:rPr>
        <w:noProof/>
        <w:sz w:val="20"/>
        <w:szCs w:val="20"/>
      </w:rPr>
      <w:t>1909</w:t>
    </w:r>
    <w:r>
      <w:rPr>
        <w:noProof/>
        <w:sz w:val="20"/>
        <w:szCs w:val="20"/>
      </w:rPr>
      <w:t>17_Kina</w:t>
    </w:r>
    <w:r w:rsidRPr="009A7FAC">
      <w:rPr>
        <w:sz w:val="20"/>
        <w:szCs w:val="20"/>
      </w:rPr>
      <w:fldChar w:fldCharType="end"/>
    </w:r>
    <w:r>
      <w:rPr>
        <w:sz w:val="20"/>
        <w:szCs w:val="20"/>
      </w:rPr>
      <w:t>_zin</w:t>
    </w:r>
    <w:r w:rsidRPr="009A7FAC">
      <w:rPr>
        <w:sz w:val="20"/>
        <w:szCs w:val="20"/>
      </w:rPr>
      <w:t xml:space="preserve">; </w:t>
    </w:r>
    <w:r w:rsidRPr="004E1924">
      <w:rPr>
        <w:sz w:val="20"/>
        <w:szCs w:val="20"/>
      </w:rPr>
      <w:t xml:space="preserve">Par Latvijas Republikas Izglītības un zinātnes ministrijas un Ķīnas Tautas Republikas Izglītības ministrijas līgumu par sadarbību </w:t>
    </w:r>
    <w:r>
      <w:rPr>
        <w:sz w:val="20"/>
        <w:szCs w:val="20"/>
      </w:rPr>
      <w:t>zinātnes un tehnoloģiju</w:t>
    </w:r>
    <w:r w:rsidRPr="004E1924">
      <w:rPr>
        <w:sz w:val="20"/>
        <w:szCs w:val="20"/>
      </w:rPr>
      <w:t xml:space="preserve"> jomā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2CD9" w14:textId="41EA2522" w:rsidR="006D317E" w:rsidRPr="00F47118" w:rsidRDefault="006D317E" w:rsidP="006D317E">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1C0DF4">
      <w:rPr>
        <w:noProof/>
        <w:sz w:val="20"/>
        <w:szCs w:val="20"/>
      </w:rPr>
      <w:t>IZMAnot_</w:t>
    </w:r>
    <w:r w:rsidR="00D576AC">
      <w:rPr>
        <w:noProof/>
        <w:sz w:val="20"/>
        <w:szCs w:val="20"/>
      </w:rPr>
      <w:t>1909</w:t>
    </w:r>
    <w:bookmarkStart w:id="5" w:name="_GoBack"/>
    <w:bookmarkEnd w:id="5"/>
    <w:r>
      <w:rPr>
        <w:noProof/>
        <w:sz w:val="20"/>
        <w:szCs w:val="20"/>
      </w:rPr>
      <w:t>17_Kina</w:t>
    </w:r>
    <w:r w:rsidRPr="009A7FAC">
      <w:rPr>
        <w:sz w:val="20"/>
        <w:szCs w:val="20"/>
      </w:rPr>
      <w:fldChar w:fldCharType="end"/>
    </w:r>
    <w:r>
      <w:rPr>
        <w:sz w:val="20"/>
        <w:szCs w:val="20"/>
      </w:rPr>
      <w:t>_zin</w:t>
    </w:r>
    <w:r w:rsidRPr="009A7FAC">
      <w:rPr>
        <w:sz w:val="20"/>
        <w:szCs w:val="20"/>
      </w:rPr>
      <w:t xml:space="preserve">; </w:t>
    </w:r>
    <w:r w:rsidRPr="004E1924">
      <w:rPr>
        <w:sz w:val="20"/>
        <w:szCs w:val="20"/>
      </w:rPr>
      <w:t xml:space="preserve">Par Latvijas Republikas Izglītības un zinātnes ministrijas un Ķīnas Tautas Republikas Izglītības ministrijas līgumu par sadarbību </w:t>
    </w:r>
    <w:r>
      <w:rPr>
        <w:sz w:val="20"/>
        <w:szCs w:val="20"/>
      </w:rPr>
      <w:t>zinātnes un tehnoloģiju</w:t>
    </w:r>
    <w:r w:rsidRPr="004E1924">
      <w:rPr>
        <w:sz w:val="20"/>
        <w:szCs w:val="20"/>
      </w:rPr>
      <w:t xml:space="preserve"> jomā</w:t>
    </w:r>
  </w:p>
  <w:p w14:paraId="25007494" w14:textId="61704A7B" w:rsidR="00685E69" w:rsidRPr="006D317E" w:rsidRDefault="00685E69" w:rsidP="006D3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0C71D" w14:textId="77777777" w:rsidR="00CC2A8F" w:rsidRDefault="00CC2A8F">
      <w:r>
        <w:separator/>
      </w:r>
    </w:p>
  </w:footnote>
  <w:footnote w:type="continuationSeparator" w:id="0">
    <w:p w14:paraId="13A3E413" w14:textId="77777777" w:rsidR="00CC2A8F" w:rsidRDefault="00CC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1D66"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3BEC7" w14:textId="77777777" w:rsidR="00685E69" w:rsidRDefault="0068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11E" w14:textId="77777777" w:rsidR="00685E69" w:rsidRDefault="00685E6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6AC">
      <w:rPr>
        <w:rStyle w:val="PageNumber"/>
        <w:noProof/>
      </w:rPr>
      <w:t>3</w:t>
    </w:r>
    <w:r>
      <w:rPr>
        <w:rStyle w:val="PageNumber"/>
      </w:rPr>
      <w:fldChar w:fldCharType="end"/>
    </w:r>
  </w:p>
  <w:p w14:paraId="7CE8722B" w14:textId="77777777" w:rsidR="00685E69" w:rsidRDefault="00685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4573" w14:textId="77777777" w:rsidR="00D1224B" w:rsidRDefault="00D1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3D7245"/>
    <w:multiLevelType w:val="hybridMultilevel"/>
    <w:tmpl w:val="DB92EF52"/>
    <w:lvl w:ilvl="0" w:tplc="CAE65F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20FE1"/>
    <w:rsid w:val="00022E13"/>
    <w:rsid w:val="00023733"/>
    <w:rsid w:val="00032388"/>
    <w:rsid w:val="000339DA"/>
    <w:rsid w:val="00035136"/>
    <w:rsid w:val="00035CE2"/>
    <w:rsid w:val="0005553B"/>
    <w:rsid w:val="00057EBE"/>
    <w:rsid w:val="000604D2"/>
    <w:rsid w:val="00064B90"/>
    <w:rsid w:val="000862EB"/>
    <w:rsid w:val="0009005E"/>
    <w:rsid w:val="000941C5"/>
    <w:rsid w:val="000955F8"/>
    <w:rsid w:val="000A6451"/>
    <w:rsid w:val="000A6CD0"/>
    <w:rsid w:val="000B064E"/>
    <w:rsid w:val="000B3C3C"/>
    <w:rsid w:val="000B44AC"/>
    <w:rsid w:val="000B69CF"/>
    <w:rsid w:val="000C07B1"/>
    <w:rsid w:val="000C07BF"/>
    <w:rsid w:val="000C0C60"/>
    <w:rsid w:val="000C790C"/>
    <w:rsid w:val="000E0378"/>
    <w:rsid w:val="000E56CC"/>
    <w:rsid w:val="000F061D"/>
    <w:rsid w:val="000F064A"/>
    <w:rsid w:val="000F3463"/>
    <w:rsid w:val="000F3C98"/>
    <w:rsid w:val="000F4794"/>
    <w:rsid w:val="000F7E9A"/>
    <w:rsid w:val="000F7F95"/>
    <w:rsid w:val="00115274"/>
    <w:rsid w:val="00124F12"/>
    <w:rsid w:val="00144E3A"/>
    <w:rsid w:val="0015060C"/>
    <w:rsid w:val="00151650"/>
    <w:rsid w:val="0016018A"/>
    <w:rsid w:val="00161206"/>
    <w:rsid w:val="00161F0E"/>
    <w:rsid w:val="00163751"/>
    <w:rsid w:val="00164665"/>
    <w:rsid w:val="001671A7"/>
    <w:rsid w:val="00170E2A"/>
    <w:rsid w:val="00170FD3"/>
    <w:rsid w:val="001743AA"/>
    <w:rsid w:val="00177394"/>
    <w:rsid w:val="00182C18"/>
    <w:rsid w:val="00183CC2"/>
    <w:rsid w:val="001900E4"/>
    <w:rsid w:val="00190F88"/>
    <w:rsid w:val="001924F5"/>
    <w:rsid w:val="001932BB"/>
    <w:rsid w:val="001A08B5"/>
    <w:rsid w:val="001A4066"/>
    <w:rsid w:val="001A6AE4"/>
    <w:rsid w:val="001A7F25"/>
    <w:rsid w:val="001B01FD"/>
    <w:rsid w:val="001B4A71"/>
    <w:rsid w:val="001B5901"/>
    <w:rsid w:val="001C0DF4"/>
    <w:rsid w:val="001D30C5"/>
    <w:rsid w:val="001D5B54"/>
    <w:rsid w:val="001E1DBF"/>
    <w:rsid w:val="001E4639"/>
    <w:rsid w:val="001E4A7D"/>
    <w:rsid w:val="001F43A8"/>
    <w:rsid w:val="001F5CD6"/>
    <w:rsid w:val="001F6D46"/>
    <w:rsid w:val="0020070F"/>
    <w:rsid w:val="00200748"/>
    <w:rsid w:val="0021263D"/>
    <w:rsid w:val="00213F0C"/>
    <w:rsid w:val="00214094"/>
    <w:rsid w:val="0021592D"/>
    <w:rsid w:val="00222D76"/>
    <w:rsid w:val="00223EB1"/>
    <w:rsid w:val="00231344"/>
    <w:rsid w:val="0023436E"/>
    <w:rsid w:val="002347C0"/>
    <w:rsid w:val="00241A6C"/>
    <w:rsid w:val="00242D2B"/>
    <w:rsid w:val="00255B76"/>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B50DB"/>
    <w:rsid w:val="002C0EBD"/>
    <w:rsid w:val="002C12AB"/>
    <w:rsid w:val="002C5590"/>
    <w:rsid w:val="002C6999"/>
    <w:rsid w:val="002C7CAC"/>
    <w:rsid w:val="002D3306"/>
    <w:rsid w:val="002D48AA"/>
    <w:rsid w:val="002D6487"/>
    <w:rsid w:val="002D7BAA"/>
    <w:rsid w:val="002D7EFF"/>
    <w:rsid w:val="002D7F54"/>
    <w:rsid w:val="002E3FF4"/>
    <w:rsid w:val="002F6361"/>
    <w:rsid w:val="002F64D1"/>
    <w:rsid w:val="002F78C8"/>
    <w:rsid w:val="00301CF3"/>
    <w:rsid w:val="0030670C"/>
    <w:rsid w:val="00307417"/>
    <w:rsid w:val="00322BE8"/>
    <w:rsid w:val="0032715C"/>
    <w:rsid w:val="00333262"/>
    <w:rsid w:val="00337CA5"/>
    <w:rsid w:val="00340ECC"/>
    <w:rsid w:val="003511A5"/>
    <w:rsid w:val="0035290D"/>
    <w:rsid w:val="00360F47"/>
    <w:rsid w:val="00362478"/>
    <w:rsid w:val="003628F9"/>
    <w:rsid w:val="00373B17"/>
    <w:rsid w:val="00375B25"/>
    <w:rsid w:val="00383F5C"/>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3F76"/>
    <w:rsid w:val="00427088"/>
    <w:rsid w:val="004361ED"/>
    <w:rsid w:val="0043791B"/>
    <w:rsid w:val="00441483"/>
    <w:rsid w:val="00441BCB"/>
    <w:rsid w:val="004432BE"/>
    <w:rsid w:val="004473A7"/>
    <w:rsid w:val="0045176A"/>
    <w:rsid w:val="00456332"/>
    <w:rsid w:val="00461826"/>
    <w:rsid w:val="0046640B"/>
    <w:rsid w:val="004800F9"/>
    <w:rsid w:val="00481043"/>
    <w:rsid w:val="00482512"/>
    <w:rsid w:val="00485ADA"/>
    <w:rsid w:val="0049134A"/>
    <w:rsid w:val="004A58CB"/>
    <w:rsid w:val="004B1795"/>
    <w:rsid w:val="004B36D3"/>
    <w:rsid w:val="004B56DD"/>
    <w:rsid w:val="004C020F"/>
    <w:rsid w:val="004C1AFD"/>
    <w:rsid w:val="004C558B"/>
    <w:rsid w:val="004D1BAA"/>
    <w:rsid w:val="004D20AC"/>
    <w:rsid w:val="004E263D"/>
    <w:rsid w:val="004F1F88"/>
    <w:rsid w:val="004F5F1B"/>
    <w:rsid w:val="004F6CBE"/>
    <w:rsid w:val="00502374"/>
    <w:rsid w:val="00503565"/>
    <w:rsid w:val="005060A1"/>
    <w:rsid w:val="0050624A"/>
    <w:rsid w:val="005144A1"/>
    <w:rsid w:val="00516072"/>
    <w:rsid w:val="00520058"/>
    <w:rsid w:val="00523A07"/>
    <w:rsid w:val="00525812"/>
    <w:rsid w:val="005332EC"/>
    <w:rsid w:val="00534418"/>
    <w:rsid w:val="005353AB"/>
    <w:rsid w:val="005440C2"/>
    <w:rsid w:val="00544F9C"/>
    <w:rsid w:val="00554BE8"/>
    <w:rsid w:val="005560BC"/>
    <w:rsid w:val="005573BE"/>
    <w:rsid w:val="00563E9D"/>
    <w:rsid w:val="00564EAB"/>
    <w:rsid w:val="0056573F"/>
    <w:rsid w:val="00565F4F"/>
    <w:rsid w:val="00567F36"/>
    <w:rsid w:val="00572700"/>
    <w:rsid w:val="005736DB"/>
    <w:rsid w:val="0057412E"/>
    <w:rsid w:val="00580468"/>
    <w:rsid w:val="0058603B"/>
    <w:rsid w:val="0059431B"/>
    <w:rsid w:val="00594EE4"/>
    <w:rsid w:val="00595D98"/>
    <w:rsid w:val="005A1776"/>
    <w:rsid w:val="005A39CC"/>
    <w:rsid w:val="005B4730"/>
    <w:rsid w:val="005C25AD"/>
    <w:rsid w:val="005C6FE9"/>
    <w:rsid w:val="005E05D7"/>
    <w:rsid w:val="005E2D36"/>
    <w:rsid w:val="005E41E7"/>
    <w:rsid w:val="005E450F"/>
    <w:rsid w:val="005F6D7B"/>
    <w:rsid w:val="00615C71"/>
    <w:rsid w:val="00620443"/>
    <w:rsid w:val="0062080D"/>
    <w:rsid w:val="0062287F"/>
    <w:rsid w:val="0062298A"/>
    <w:rsid w:val="00626514"/>
    <w:rsid w:val="00626589"/>
    <w:rsid w:val="006339A0"/>
    <w:rsid w:val="006349BC"/>
    <w:rsid w:val="006357D8"/>
    <w:rsid w:val="00637346"/>
    <w:rsid w:val="006413A8"/>
    <w:rsid w:val="00642E56"/>
    <w:rsid w:val="00650D36"/>
    <w:rsid w:val="00651E00"/>
    <w:rsid w:val="00655335"/>
    <w:rsid w:val="0065545A"/>
    <w:rsid w:val="00655484"/>
    <w:rsid w:val="00663F2C"/>
    <w:rsid w:val="0067371B"/>
    <w:rsid w:val="00674572"/>
    <w:rsid w:val="006770E2"/>
    <w:rsid w:val="00685E69"/>
    <w:rsid w:val="00687763"/>
    <w:rsid w:val="0069010E"/>
    <w:rsid w:val="006901AE"/>
    <w:rsid w:val="0069200B"/>
    <w:rsid w:val="00692866"/>
    <w:rsid w:val="00692B0D"/>
    <w:rsid w:val="00692EB9"/>
    <w:rsid w:val="00693E0E"/>
    <w:rsid w:val="00694EA8"/>
    <w:rsid w:val="00695EA9"/>
    <w:rsid w:val="006A1AE3"/>
    <w:rsid w:val="006A34DB"/>
    <w:rsid w:val="006B45BF"/>
    <w:rsid w:val="006C0ECD"/>
    <w:rsid w:val="006C30E1"/>
    <w:rsid w:val="006C37F7"/>
    <w:rsid w:val="006C4607"/>
    <w:rsid w:val="006D317E"/>
    <w:rsid w:val="006D48F1"/>
    <w:rsid w:val="006D56B6"/>
    <w:rsid w:val="006E25F9"/>
    <w:rsid w:val="006E7BBA"/>
    <w:rsid w:val="006F45BE"/>
    <w:rsid w:val="006F7953"/>
    <w:rsid w:val="007004FC"/>
    <w:rsid w:val="007020B0"/>
    <w:rsid w:val="00705412"/>
    <w:rsid w:val="007058FA"/>
    <w:rsid w:val="00706670"/>
    <w:rsid w:val="00717247"/>
    <w:rsid w:val="00720ABF"/>
    <w:rsid w:val="0072417C"/>
    <w:rsid w:val="00734450"/>
    <w:rsid w:val="00745F67"/>
    <w:rsid w:val="0075039E"/>
    <w:rsid w:val="00752D9D"/>
    <w:rsid w:val="007538FF"/>
    <w:rsid w:val="00754784"/>
    <w:rsid w:val="007558C4"/>
    <w:rsid w:val="007570A0"/>
    <w:rsid w:val="00757C6E"/>
    <w:rsid w:val="007626AF"/>
    <w:rsid w:val="00762BDA"/>
    <w:rsid w:val="00767169"/>
    <w:rsid w:val="0077070E"/>
    <w:rsid w:val="007805FD"/>
    <w:rsid w:val="00781D10"/>
    <w:rsid w:val="00784422"/>
    <w:rsid w:val="007913F8"/>
    <w:rsid w:val="00795D2A"/>
    <w:rsid w:val="00797255"/>
    <w:rsid w:val="007B28A3"/>
    <w:rsid w:val="007B3B54"/>
    <w:rsid w:val="007B3FA0"/>
    <w:rsid w:val="007B5C8A"/>
    <w:rsid w:val="007B7D88"/>
    <w:rsid w:val="007C0F2C"/>
    <w:rsid w:val="007C2BCC"/>
    <w:rsid w:val="007C4D29"/>
    <w:rsid w:val="007C4EF0"/>
    <w:rsid w:val="007C6711"/>
    <w:rsid w:val="007C7DD6"/>
    <w:rsid w:val="007D099D"/>
    <w:rsid w:val="007D35E2"/>
    <w:rsid w:val="007E2664"/>
    <w:rsid w:val="007E3ABF"/>
    <w:rsid w:val="007E5BFA"/>
    <w:rsid w:val="007E6689"/>
    <w:rsid w:val="007E731C"/>
    <w:rsid w:val="007F0A03"/>
    <w:rsid w:val="007F3149"/>
    <w:rsid w:val="007F5CC0"/>
    <w:rsid w:val="0080130D"/>
    <w:rsid w:val="008041E1"/>
    <w:rsid w:val="008063C6"/>
    <w:rsid w:val="00806A93"/>
    <w:rsid w:val="00810040"/>
    <w:rsid w:val="008104A8"/>
    <w:rsid w:val="00816F6A"/>
    <w:rsid w:val="0082023A"/>
    <w:rsid w:val="00821A7A"/>
    <w:rsid w:val="008253F8"/>
    <w:rsid w:val="008272B4"/>
    <w:rsid w:val="008315E8"/>
    <w:rsid w:val="008325E4"/>
    <w:rsid w:val="00832A2B"/>
    <w:rsid w:val="00842331"/>
    <w:rsid w:val="00845811"/>
    <w:rsid w:val="00846994"/>
    <w:rsid w:val="00850451"/>
    <w:rsid w:val="00852042"/>
    <w:rsid w:val="008534C9"/>
    <w:rsid w:val="0085599D"/>
    <w:rsid w:val="0085703D"/>
    <w:rsid w:val="0086050D"/>
    <w:rsid w:val="00864B5A"/>
    <w:rsid w:val="0087510C"/>
    <w:rsid w:val="00882170"/>
    <w:rsid w:val="00884244"/>
    <w:rsid w:val="0089738E"/>
    <w:rsid w:val="00897585"/>
    <w:rsid w:val="008A6BA0"/>
    <w:rsid w:val="008B5FDB"/>
    <w:rsid w:val="008C50F4"/>
    <w:rsid w:val="008C5649"/>
    <w:rsid w:val="008D24A9"/>
    <w:rsid w:val="008D6240"/>
    <w:rsid w:val="008E3EDE"/>
    <w:rsid w:val="008E44A2"/>
    <w:rsid w:val="008E697D"/>
    <w:rsid w:val="00903263"/>
    <w:rsid w:val="00906A21"/>
    <w:rsid w:val="009079C3"/>
    <w:rsid w:val="00910462"/>
    <w:rsid w:val="009111C8"/>
    <w:rsid w:val="00915AB1"/>
    <w:rsid w:val="00915B45"/>
    <w:rsid w:val="00917532"/>
    <w:rsid w:val="00921391"/>
    <w:rsid w:val="009235BA"/>
    <w:rsid w:val="00924023"/>
    <w:rsid w:val="00924CE2"/>
    <w:rsid w:val="00925B9F"/>
    <w:rsid w:val="00931AED"/>
    <w:rsid w:val="009476A3"/>
    <w:rsid w:val="00952819"/>
    <w:rsid w:val="0095334F"/>
    <w:rsid w:val="00954C94"/>
    <w:rsid w:val="00957D65"/>
    <w:rsid w:val="0096399A"/>
    <w:rsid w:val="00965897"/>
    <w:rsid w:val="00965C20"/>
    <w:rsid w:val="0096765C"/>
    <w:rsid w:val="009727E4"/>
    <w:rsid w:val="009755DE"/>
    <w:rsid w:val="00975B5B"/>
    <w:rsid w:val="00985ADC"/>
    <w:rsid w:val="009934C5"/>
    <w:rsid w:val="00994C0F"/>
    <w:rsid w:val="00997343"/>
    <w:rsid w:val="009A46AD"/>
    <w:rsid w:val="009B22D7"/>
    <w:rsid w:val="009B72ED"/>
    <w:rsid w:val="009C06B1"/>
    <w:rsid w:val="009C31F2"/>
    <w:rsid w:val="009C6CE7"/>
    <w:rsid w:val="009C6DEB"/>
    <w:rsid w:val="009D3789"/>
    <w:rsid w:val="009D384B"/>
    <w:rsid w:val="009D472D"/>
    <w:rsid w:val="009D6504"/>
    <w:rsid w:val="009E12D7"/>
    <w:rsid w:val="009E30FD"/>
    <w:rsid w:val="009E661A"/>
    <w:rsid w:val="009E7807"/>
    <w:rsid w:val="009F1B56"/>
    <w:rsid w:val="009F43A4"/>
    <w:rsid w:val="009F48CD"/>
    <w:rsid w:val="009F6EF0"/>
    <w:rsid w:val="00A057BB"/>
    <w:rsid w:val="00A06781"/>
    <w:rsid w:val="00A068FD"/>
    <w:rsid w:val="00A074C3"/>
    <w:rsid w:val="00A0756B"/>
    <w:rsid w:val="00A07AC9"/>
    <w:rsid w:val="00A11364"/>
    <w:rsid w:val="00A12F5A"/>
    <w:rsid w:val="00A1509C"/>
    <w:rsid w:val="00A17020"/>
    <w:rsid w:val="00A209F9"/>
    <w:rsid w:val="00A23D3E"/>
    <w:rsid w:val="00A24E03"/>
    <w:rsid w:val="00A34260"/>
    <w:rsid w:val="00A53ED0"/>
    <w:rsid w:val="00A5595B"/>
    <w:rsid w:val="00A61F80"/>
    <w:rsid w:val="00A621DA"/>
    <w:rsid w:val="00A649C6"/>
    <w:rsid w:val="00A70CFD"/>
    <w:rsid w:val="00A72A0B"/>
    <w:rsid w:val="00A816CD"/>
    <w:rsid w:val="00A81E42"/>
    <w:rsid w:val="00A850DB"/>
    <w:rsid w:val="00A864FE"/>
    <w:rsid w:val="00A86F41"/>
    <w:rsid w:val="00A87D04"/>
    <w:rsid w:val="00A91CC9"/>
    <w:rsid w:val="00A950C5"/>
    <w:rsid w:val="00AA1D25"/>
    <w:rsid w:val="00AA5C67"/>
    <w:rsid w:val="00AB2B1A"/>
    <w:rsid w:val="00AB397F"/>
    <w:rsid w:val="00AB5832"/>
    <w:rsid w:val="00AB5EB9"/>
    <w:rsid w:val="00AC51F2"/>
    <w:rsid w:val="00AC590C"/>
    <w:rsid w:val="00AE5066"/>
    <w:rsid w:val="00AE5E24"/>
    <w:rsid w:val="00AE61B7"/>
    <w:rsid w:val="00AE6CBA"/>
    <w:rsid w:val="00AE79AD"/>
    <w:rsid w:val="00AF35E4"/>
    <w:rsid w:val="00AF5219"/>
    <w:rsid w:val="00AF5CDE"/>
    <w:rsid w:val="00B026A3"/>
    <w:rsid w:val="00B11A57"/>
    <w:rsid w:val="00B15AC0"/>
    <w:rsid w:val="00B17A19"/>
    <w:rsid w:val="00B211C3"/>
    <w:rsid w:val="00B22DC8"/>
    <w:rsid w:val="00B25597"/>
    <w:rsid w:val="00B267B9"/>
    <w:rsid w:val="00B3342C"/>
    <w:rsid w:val="00B33E09"/>
    <w:rsid w:val="00B352C3"/>
    <w:rsid w:val="00B416C2"/>
    <w:rsid w:val="00B45777"/>
    <w:rsid w:val="00B4681D"/>
    <w:rsid w:val="00B50708"/>
    <w:rsid w:val="00B50C68"/>
    <w:rsid w:val="00B51293"/>
    <w:rsid w:val="00B51B37"/>
    <w:rsid w:val="00B52B1E"/>
    <w:rsid w:val="00B53998"/>
    <w:rsid w:val="00B55481"/>
    <w:rsid w:val="00B555DC"/>
    <w:rsid w:val="00B56C32"/>
    <w:rsid w:val="00B57ACF"/>
    <w:rsid w:val="00B60AAA"/>
    <w:rsid w:val="00B64BB1"/>
    <w:rsid w:val="00B651F3"/>
    <w:rsid w:val="00B700BE"/>
    <w:rsid w:val="00B73166"/>
    <w:rsid w:val="00B73651"/>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E767C"/>
    <w:rsid w:val="00BF40ED"/>
    <w:rsid w:val="00BF5BC2"/>
    <w:rsid w:val="00C022CD"/>
    <w:rsid w:val="00C0269A"/>
    <w:rsid w:val="00C1115A"/>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1658"/>
    <w:rsid w:val="00C5384F"/>
    <w:rsid w:val="00C56964"/>
    <w:rsid w:val="00C611AC"/>
    <w:rsid w:val="00C61A06"/>
    <w:rsid w:val="00C62AD4"/>
    <w:rsid w:val="00C62D9F"/>
    <w:rsid w:val="00C656D5"/>
    <w:rsid w:val="00C669BB"/>
    <w:rsid w:val="00C67103"/>
    <w:rsid w:val="00C71BB9"/>
    <w:rsid w:val="00C74C90"/>
    <w:rsid w:val="00C7548C"/>
    <w:rsid w:val="00C8081A"/>
    <w:rsid w:val="00C85706"/>
    <w:rsid w:val="00C94C28"/>
    <w:rsid w:val="00C974F6"/>
    <w:rsid w:val="00CA3D85"/>
    <w:rsid w:val="00CA6AD7"/>
    <w:rsid w:val="00CB0247"/>
    <w:rsid w:val="00CB3440"/>
    <w:rsid w:val="00CB6153"/>
    <w:rsid w:val="00CC1692"/>
    <w:rsid w:val="00CC2A8F"/>
    <w:rsid w:val="00CC5D63"/>
    <w:rsid w:val="00CD049A"/>
    <w:rsid w:val="00CD138B"/>
    <w:rsid w:val="00CD28F3"/>
    <w:rsid w:val="00CD3E31"/>
    <w:rsid w:val="00CD6156"/>
    <w:rsid w:val="00CD74A3"/>
    <w:rsid w:val="00CD7BD6"/>
    <w:rsid w:val="00CE0527"/>
    <w:rsid w:val="00CE27D4"/>
    <w:rsid w:val="00CE5B23"/>
    <w:rsid w:val="00CF70AD"/>
    <w:rsid w:val="00CF7729"/>
    <w:rsid w:val="00D00059"/>
    <w:rsid w:val="00D107FA"/>
    <w:rsid w:val="00D108AF"/>
    <w:rsid w:val="00D1224B"/>
    <w:rsid w:val="00D12275"/>
    <w:rsid w:val="00D12766"/>
    <w:rsid w:val="00D175C6"/>
    <w:rsid w:val="00D205B2"/>
    <w:rsid w:val="00D20FF4"/>
    <w:rsid w:val="00D21DDE"/>
    <w:rsid w:val="00D24D2C"/>
    <w:rsid w:val="00D25BE4"/>
    <w:rsid w:val="00D30D8E"/>
    <w:rsid w:val="00D33541"/>
    <w:rsid w:val="00D34D6F"/>
    <w:rsid w:val="00D35881"/>
    <w:rsid w:val="00D50A24"/>
    <w:rsid w:val="00D5337E"/>
    <w:rsid w:val="00D55848"/>
    <w:rsid w:val="00D55A65"/>
    <w:rsid w:val="00D576AC"/>
    <w:rsid w:val="00D63022"/>
    <w:rsid w:val="00D710D8"/>
    <w:rsid w:val="00D76BD1"/>
    <w:rsid w:val="00D77911"/>
    <w:rsid w:val="00D80F94"/>
    <w:rsid w:val="00D94DAD"/>
    <w:rsid w:val="00DA4D2D"/>
    <w:rsid w:val="00DA7DA5"/>
    <w:rsid w:val="00DB073B"/>
    <w:rsid w:val="00DB4CE6"/>
    <w:rsid w:val="00DB78F0"/>
    <w:rsid w:val="00DC2E43"/>
    <w:rsid w:val="00DC3759"/>
    <w:rsid w:val="00DC38F1"/>
    <w:rsid w:val="00DD095C"/>
    <w:rsid w:val="00DD1020"/>
    <w:rsid w:val="00DD1330"/>
    <w:rsid w:val="00DD50E2"/>
    <w:rsid w:val="00DD5907"/>
    <w:rsid w:val="00DE0B83"/>
    <w:rsid w:val="00DE1A81"/>
    <w:rsid w:val="00DE1C13"/>
    <w:rsid w:val="00DE4E10"/>
    <w:rsid w:val="00DE7307"/>
    <w:rsid w:val="00DF36AF"/>
    <w:rsid w:val="00DF7E37"/>
    <w:rsid w:val="00E02ABF"/>
    <w:rsid w:val="00E02DD5"/>
    <w:rsid w:val="00E14995"/>
    <w:rsid w:val="00E15445"/>
    <w:rsid w:val="00E179CD"/>
    <w:rsid w:val="00E22835"/>
    <w:rsid w:val="00E23E8D"/>
    <w:rsid w:val="00E37F98"/>
    <w:rsid w:val="00E41B73"/>
    <w:rsid w:val="00E462ED"/>
    <w:rsid w:val="00E46559"/>
    <w:rsid w:val="00E51FE3"/>
    <w:rsid w:val="00E6670C"/>
    <w:rsid w:val="00E70682"/>
    <w:rsid w:val="00E776E8"/>
    <w:rsid w:val="00E92C1F"/>
    <w:rsid w:val="00E93616"/>
    <w:rsid w:val="00E95D4B"/>
    <w:rsid w:val="00E969A9"/>
    <w:rsid w:val="00EA015D"/>
    <w:rsid w:val="00EA28CA"/>
    <w:rsid w:val="00EA38C6"/>
    <w:rsid w:val="00EB15F2"/>
    <w:rsid w:val="00EB199F"/>
    <w:rsid w:val="00EB2A2F"/>
    <w:rsid w:val="00EC23F7"/>
    <w:rsid w:val="00EC2D05"/>
    <w:rsid w:val="00EC2F11"/>
    <w:rsid w:val="00EC4BD8"/>
    <w:rsid w:val="00EC63EB"/>
    <w:rsid w:val="00ED412F"/>
    <w:rsid w:val="00EE22BB"/>
    <w:rsid w:val="00EE2614"/>
    <w:rsid w:val="00EE5751"/>
    <w:rsid w:val="00EE57BC"/>
    <w:rsid w:val="00EF2AE2"/>
    <w:rsid w:val="00EF36B2"/>
    <w:rsid w:val="00EF5F67"/>
    <w:rsid w:val="00F0006E"/>
    <w:rsid w:val="00F201EC"/>
    <w:rsid w:val="00F208A9"/>
    <w:rsid w:val="00F273FB"/>
    <w:rsid w:val="00F33A4E"/>
    <w:rsid w:val="00F41A2A"/>
    <w:rsid w:val="00F41D75"/>
    <w:rsid w:val="00F449BD"/>
    <w:rsid w:val="00F47118"/>
    <w:rsid w:val="00F5139D"/>
    <w:rsid w:val="00F608D9"/>
    <w:rsid w:val="00F63DAC"/>
    <w:rsid w:val="00F7379A"/>
    <w:rsid w:val="00F7454F"/>
    <w:rsid w:val="00F77988"/>
    <w:rsid w:val="00F77F48"/>
    <w:rsid w:val="00F93FA0"/>
    <w:rsid w:val="00F9543F"/>
    <w:rsid w:val="00F95F85"/>
    <w:rsid w:val="00FA0D67"/>
    <w:rsid w:val="00FA6D6F"/>
    <w:rsid w:val="00FB30F1"/>
    <w:rsid w:val="00FB399A"/>
    <w:rsid w:val="00FB4515"/>
    <w:rsid w:val="00FB53E7"/>
    <w:rsid w:val="00FB5F90"/>
    <w:rsid w:val="00FC7284"/>
    <w:rsid w:val="00FD4554"/>
    <w:rsid w:val="00FD4AA0"/>
    <w:rsid w:val="00FE7ED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 w:type="character" w:styleId="Emphasis">
    <w:name w:val="Emphasis"/>
    <w:basedOn w:val="DefaultParagraphFont"/>
    <w:uiPriority w:val="20"/>
    <w:qFormat/>
    <w:rsid w:val="007B28A3"/>
    <w:rPr>
      <w:b/>
      <w:bCs/>
      <w:i w:val="0"/>
      <w:iCs w:val="0"/>
    </w:rPr>
  </w:style>
  <w:style w:type="character" w:customStyle="1" w:styleId="st1">
    <w:name w:val="st1"/>
    <w:basedOn w:val="DefaultParagraphFont"/>
    <w:rsid w:val="007B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DE93-1E55-4974-BDCE-8AE0190C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5172</Words>
  <Characters>2949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IZMAnot_120717_Kina_zin; Par Latvijas Republikas Izglītības un zinātnes ministrijas un Ķīnas Tautas Republikas Izglītības ministrijas līgumu par sadarbību zinātnes un tehnoloģiju jomā</vt:lpstr>
      <vt:lpstr>Par līgumu par sadarbību izglītības, zinātnes un jaunatnes jomā</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IZMAnot_190917_Kina_zin; Par Latvijas Republikas Izglītības un zinātnes ministrijas un Ķīnas Tautas Republikas Izglītības ministrijas līgumu par sadarbību zinātnes un tehnoloģiju jomā</dc:title>
  <dc:subject>IZMAnot_24042015_Japana</dc:subject>
  <dc:creator>Anita.Vahere-Abrazune@izm.gov.lv</dc:creator>
  <dc:description>anita.vahere-abrazune@izm.gov.lv, 67047828</dc:description>
  <cp:lastModifiedBy>Anita Vahere-Abražune</cp:lastModifiedBy>
  <cp:revision>5</cp:revision>
  <cp:lastPrinted>2015-04-16T10:13:00Z</cp:lastPrinted>
  <dcterms:created xsi:type="dcterms:W3CDTF">2017-08-24T10:31:00Z</dcterms:created>
  <dcterms:modified xsi:type="dcterms:W3CDTF">2017-09-19T14:47:00Z</dcterms:modified>
</cp:coreProperties>
</file>