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EF571" w14:textId="77777777" w:rsidR="00D10C16" w:rsidRPr="005817A9" w:rsidRDefault="00D10C16" w:rsidP="00D10C16">
      <w:pPr>
        <w:jc w:val="right"/>
        <w:rPr>
          <w:i/>
          <w:color w:val="auto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5817A9">
        <w:rPr>
          <w:i/>
          <w:color w:val="auto"/>
          <w:sz w:val="28"/>
          <w:szCs w:val="28"/>
        </w:rPr>
        <w:t>Projekts</w:t>
      </w:r>
    </w:p>
    <w:p w14:paraId="3F2ABF66" w14:textId="77777777" w:rsidR="00D10C16" w:rsidRPr="005817A9" w:rsidRDefault="00D10C16" w:rsidP="00D10C16">
      <w:pPr>
        <w:jc w:val="right"/>
        <w:rPr>
          <w:color w:val="auto"/>
          <w:sz w:val="28"/>
          <w:szCs w:val="28"/>
        </w:rPr>
      </w:pPr>
    </w:p>
    <w:p w14:paraId="65FD939B" w14:textId="77777777" w:rsidR="00D10C16" w:rsidRPr="005817A9" w:rsidRDefault="00D10C16" w:rsidP="00D10C16">
      <w:pPr>
        <w:jc w:val="center"/>
        <w:rPr>
          <w:color w:val="auto"/>
          <w:sz w:val="28"/>
          <w:szCs w:val="28"/>
        </w:rPr>
      </w:pPr>
      <w:r w:rsidRPr="005817A9">
        <w:rPr>
          <w:color w:val="auto"/>
          <w:sz w:val="28"/>
          <w:szCs w:val="28"/>
        </w:rPr>
        <w:t>LATVIJAS REPUBLIKAS MINISTRU KABINETS</w:t>
      </w:r>
    </w:p>
    <w:p w14:paraId="4C147C32" w14:textId="77777777" w:rsidR="00D10C16" w:rsidRPr="005817A9" w:rsidRDefault="00D10C16" w:rsidP="00D10C16">
      <w:pPr>
        <w:rPr>
          <w:color w:val="auto"/>
          <w:sz w:val="28"/>
          <w:szCs w:val="28"/>
        </w:rPr>
      </w:pPr>
    </w:p>
    <w:p w14:paraId="48ED70AA" w14:textId="6D3FC3EB" w:rsidR="00D10C16" w:rsidRPr="005817A9" w:rsidRDefault="00BB0837" w:rsidP="00D10C16">
      <w:pPr>
        <w:rPr>
          <w:color w:val="auto"/>
          <w:sz w:val="28"/>
          <w:szCs w:val="28"/>
        </w:rPr>
      </w:pPr>
      <w:r w:rsidRPr="005817A9">
        <w:rPr>
          <w:color w:val="auto"/>
          <w:sz w:val="28"/>
          <w:szCs w:val="28"/>
        </w:rPr>
        <w:t>2017</w:t>
      </w:r>
      <w:r w:rsidR="00D10C16" w:rsidRPr="005817A9">
        <w:rPr>
          <w:color w:val="auto"/>
          <w:sz w:val="28"/>
          <w:szCs w:val="28"/>
        </w:rPr>
        <w:t>.gada ___.___________</w:t>
      </w:r>
      <w:r w:rsidR="00D10C16" w:rsidRPr="005817A9">
        <w:rPr>
          <w:color w:val="auto"/>
          <w:sz w:val="28"/>
          <w:szCs w:val="28"/>
        </w:rPr>
        <w:tab/>
      </w:r>
      <w:r w:rsidR="00D10C16" w:rsidRPr="005817A9">
        <w:rPr>
          <w:color w:val="auto"/>
          <w:sz w:val="28"/>
          <w:szCs w:val="28"/>
        </w:rPr>
        <w:tab/>
        <w:t xml:space="preserve"> </w:t>
      </w:r>
      <w:r w:rsidR="00D10C16" w:rsidRPr="005817A9">
        <w:rPr>
          <w:color w:val="auto"/>
          <w:sz w:val="28"/>
          <w:szCs w:val="28"/>
        </w:rPr>
        <w:tab/>
      </w:r>
      <w:r w:rsidR="00D10C16" w:rsidRPr="005817A9">
        <w:rPr>
          <w:color w:val="auto"/>
          <w:sz w:val="28"/>
          <w:szCs w:val="28"/>
        </w:rPr>
        <w:tab/>
      </w:r>
      <w:r w:rsidR="00D10C16" w:rsidRPr="005817A9">
        <w:rPr>
          <w:color w:val="auto"/>
          <w:sz w:val="28"/>
          <w:szCs w:val="28"/>
        </w:rPr>
        <w:tab/>
        <w:t xml:space="preserve">      </w:t>
      </w:r>
      <w:r w:rsidR="00D4126B" w:rsidRPr="005817A9">
        <w:rPr>
          <w:color w:val="auto"/>
          <w:sz w:val="28"/>
          <w:szCs w:val="28"/>
        </w:rPr>
        <w:t xml:space="preserve">    </w:t>
      </w:r>
      <w:r w:rsidR="00D10C16" w:rsidRPr="005817A9">
        <w:rPr>
          <w:color w:val="auto"/>
          <w:sz w:val="28"/>
          <w:szCs w:val="28"/>
        </w:rPr>
        <w:t>Noteikumi Nr.____</w:t>
      </w:r>
    </w:p>
    <w:p w14:paraId="5808162E" w14:textId="1EA259A9" w:rsidR="00D10C16" w:rsidRPr="005817A9" w:rsidRDefault="00D10C16" w:rsidP="00D10C16">
      <w:pPr>
        <w:rPr>
          <w:color w:val="auto"/>
          <w:sz w:val="28"/>
          <w:szCs w:val="28"/>
        </w:rPr>
      </w:pPr>
      <w:r w:rsidRPr="005817A9">
        <w:rPr>
          <w:color w:val="auto"/>
          <w:sz w:val="28"/>
          <w:szCs w:val="28"/>
        </w:rPr>
        <w:t>Rīgā</w:t>
      </w:r>
      <w:r w:rsidRPr="005817A9">
        <w:rPr>
          <w:color w:val="auto"/>
          <w:sz w:val="28"/>
          <w:szCs w:val="28"/>
        </w:rPr>
        <w:tab/>
      </w:r>
      <w:r w:rsidRPr="005817A9">
        <w:rPr>
          <w:color w:val="auto"/>
          <w:sz w:val="28"/>
          <w:szCs w:val="28"/>
        </w:rPr>
        <w:tab/>
      </w:r>
      <w:r w:rsidRPr="005817A9">
        <w:rPr>
          <w:color w:val="auto"/>
          <w:sz w:val="28"/>
          <w:szCs w:val="28"/>
        </w:rPr>
        <w:tab/>
      </w:r>
      <w:r w:rsidRPr="005817A9">
        <w:rPr>
          <w:color w:val="auto"/>
          <w:sz w:val="28"/>
          <w:szCs w:val="28"/>
        </w:rPr>
        <w:tab/>
      </w:r>
      <w:r w:rsidRPr="005817A9">
        <w:rPr>
          <w:color w:val="auto"/>
          <w:sz w:val="28"/>
          <w:szCs w:val="28"/>
        </w:rPr>
        <w:tab/>
      </w:r>
      <w:r w:rsidRPr="005817A9">
        <w:rPr>
          <w:color w:val="auto"/>
          <w:sz w:val="28"/>
          <w:szCs w:val="28"/>
        </w:rPr>
        <w:tab/>
      </w:r>
      <w:r w:rsidRPr="005817A9">
        <w:rPr>
          <w:color w:val="auto"/>
          <w:sz w:val="28"/>
          <w:szCs w:val="28"/>
        </w:rPr>
        <w:tab/>
      </w:r>
      <w:r w:rsidRPr="005817A9">
        <w:rPr>
          <w:color w:val="auto"/>
          <w:sz w:val="28"/>
          <w:szCs w:val="28"/>
        </w:rPr>
        <w:tab/>
      </w:r>
      <w:r w:rsidRPr="005817A9">
        <w:rPr>
          <w:color w:val="auto"/>
          <w:sz w:val="28"/>
          <w:szCs w:val="28"/>
        </w:rPr>
        <w:tab/>
        <w:t xml:space="preserve">     </w:t>
      </w:r>
      <w:r w:rsidR="00D4126B" w:rsidRPr="005817A9">
        <w:rPr>
          <w:color w:val="auto"/>
          <w:sz w:val="28"/>
          <w:szCs w:val="28"/>
        </w:rPr>
        <w:t xml:space="preserve">     </w:t>
      </w:r>
      <w:r w:rsidRPr="005817A9">
        <w:rPr>
          <w:color w:val="auto"/>
          <w:sz w:val="28"/>
          <w:szCs w:val="28"/>
        </w:rPr>
        <w:t>(prot.Nr.___ ___.§)</w:t>
      </w:r>
    </w:p>
    <w:p w14:paraId="793CDDCF" w14:textId="77777777" w:rsidR="00E325F3" w:rsidRPr="00220A16" w:rsidRDefault="00E325F3" w:rsidP="00482D00">
      <w:pPr>
        <w:ind w:firstLine="720"/>
        <w:rPr>
          <w:rFonts w:cs="Times New Roman"/>
          <w:bCs/>
          <w:color w:val="auto"/>
          <w:sz w:val="28"/>
          <w:szCs w:val="28"/>
        </w:rPr>
      </w:pPr>
    </w:p>
    <w:bookmarkEnd w:id="0"/>
    <w:bookmarkEnd w:id="1"/>
    <w:bookmarkEnd w:id="2"/>
    <w:bookmarkEnd w:id="3"/>
    <w:p w14:paraId="007CE29A" w14:textId="5D3766BE" w:rsidR="007A25ED" w:rsidRPr="00220A16" w:rsidRDefault="00E325F3" w:rsidP="00482D00">
      <w:pPr>
        <w:pStyle w:val="tv20787921"/>
        <w:spacing w:after="0" w:line="240" w:lineRule="auto"/>
        <w:ind w:firstLine="720"/>
        <w:rPr>
          <w:rFonts w:ascii="Times New Roman" w:hAnsi="Times New Roman"/>
          <w:bCs w:val="0"/>
        </w:rPr>
      </w:pPr>
      <w:r w:rsidRPr="00AD5D11">
        <w:rPr>
          <w:rFonts w:ascii="Times New Roman" w:hAnsi="Times New Roman"/>
          <w:bCs w:val="0"/>
        </w:rPr>
        <w:t>Grozījumi Ministru kabineta 20</w:t>
      </w:r>
      <w:r w:rsidR="00097469" w:rsidRPr="00220A16">
        <w:rPr>
          <w:rFonts w:ascii="Times New Roman" w:hAnsi="Times New Roman"/>
          <w:bCs w:val="0"/>
        </w:rPr>
        <w:t>06</w:t>
      </w:r>
      <w:r w:rsidRPr="00220A16">
        <w:rPr>
          <w:rFonts w:ascii="Times New Roman" w:hAnsi="Times New Roman"/>
          <w:bCs w:val="0"/>
        </w:rPr>
        <w:t>.gada 12.</w:t>
      </w:r>
      <w:r w:rsidR="00097469" w:rsidRPr="00220A16">
        <w:rPr>
          <w:rFonts w:ascii="Times New Roman" w:hAnsi="Times New Roman"/>
          <w:bCs w:val="0"/>
        </w:rPr>
        <w:t>decembra</w:t>
      </w:r>
      <w:r w:rsidRPr="00220A16">
        <w:rPr>
          <w:rFonts w:ascii="Times New Roman" w:hAnsi="Times New Roman"/>
          <w:bCs w:val="0"/>
        </w:rPr>
        <w:t xml:space="preserve"> noteikumos Nr.</w:t>
      </w:r>
      <w:r w:rsidR="00097469" w:rsidRPr="00220A16">
        <w:rPr>
          <w:rFonts w:ascii="Times New Roman" w:hAnsi="Times New Roman"/>
          <w:bCs w:val="0"/>
        </w:rPr>
        <w:t>994</w:t>
      </w:r>
      <w:r w:rsidR="00DC0170" w:rsidRPr="00220A16">
        <w:rPr>
          <w:rFonts w:ascii="Times New Roman" w:hAnsi="Times New Roman"/>
          <w:bCs w:val="0"/>
        </w:rPr>
        <w:t xml:space="preserve"> “</w:t>
      </w:r>
      <w:r w:rsidR="00097469" w:rsidRPr="00220A16">
        <w:rPr>
          <w:rFonts w:ascii="Times New Roman" w:hAnsi="Times New Roman"/>
          <w:bCs w:val="0"/>
        </w:rPr>
        <w:t>Kārtība, kādā augstskolas un koledžas tiek</w:t>
      </w:r>
      <w:r w:rsidR="007A25ED" w:rsidRPr="00220A16">
        <w:rPr>
          <w:rFonts w:ascii="Times New Roman" w:hAnsi="Times New Roman"/>
          <w:bCs w:val="0"/>
        </w:rPr>
        <w:t xml:space="preserve"> finansētas </w:t>
      </w:r>
    </w:p>
    <w:p w14:paraId="2F165166" w14:textId="520DCBC4" w:rsidR="00E325F3" w:rsidRPr="00220A16" w:rsidRDefault="00097469" w:rsidP="00482D00">
      <w:pPr>
        <w:pStyle w:val="tv20787921"/>
        <w:spacing w:after="0" w:line="240" w:lineRule="auto"/>
        <w:ind w:firstLine="720"/>
        <w:rPr>
          <w:rFonts w:ascii="Times New Roman" w:hAnsi="Times New Roman"/>
          <w:bCs w:val="0"/>
        </w:rPr>
      </w:pPr>
      <w:r w:rsidRPr="00220A16">
        <w:rPr>
          <w:rFonts w:ascii="Times New Roman" w:hAnsi="Times New Roman"/>
          <w:bCs w:val="0"/>
        </w:rPr>
        <w:t>no valsts budžeta līdzekļiem</w:t>
      </w:r>
      <w:r w:rsidR="00E325F3" w:rsidRPr="00220A16">
        <w:rPr>
          <w:rFonts w:ascii="Times New Roman" w:hAnsi="Times New Roman"/>
          <w:bCs w:val="0"/>
        </w:rPr>
        <w:t>”</w:t>
      </w:r>
    </w:p>
    <w:p w14:paraId="063D91FF" w14:textId="77777777" w:rsidR="00E325F3" w:rsidRPr="00220A16" w:rsidRDefault="00E325F3" w:rsidP="00482D00">
      <w:pPr>
        <w:ind w:firstLine="720"/>
        <w:jc w:val="center"/>
        <w:rPr>
          <w:rFonts w:cs="Times New Roman"/>
          <w:b/>
          <w:color w:val="auto"/>
          <w:sz w:val="28"/>
          <w:szCs w:val="28"/>
        </w:rPr>
      </w:pPr>
    </w:p>
    <w:p w14:paraId="43C3EC59" w14:textId="77777777" w:rsidR="006C04B9" w:rsidRPr="00220A16" w:rsidRDefault="006C04B9" w:rsidP="00482D00">
      <w:pPr>
        <w:ind w:firstLine="720"/>
        <w:jc w:val="center"/>
        <w:rPr>
          <w:rFonts w:cs="Times New Roman"/>
          <w:b/>
          <w:color w:val="auto"/>
          <w:sz w:val="28"/>
          <w:szCs w:val="28"/>
        </w:rPr>
      </w:pPr>
    </w:p>
    <w:p w14:paraId="594A8BFF" w14:textId="77777777" w:rsidR="00097469" w:rsidRPr="00220A16" w:rsidRDefault="00097469" w:rsidP="00482D00">
      <w:pPr>
        <w:ind w:firstLine="720"/>
        <w:jc w:val="right"/>
        <w:rPr>
          <w:rFonts w:cs="Times New Roman"/>
          <w:color w:val="auto"/>
          <w:sz w:val="28"/>
          <w:szCs w:val="28"/>
        </w:rPr>
      </w:pPr>
      <w:r w:rsidRPr="00220A16">
        <w:rPr>
          <w:rFonts w:cs="Times New Roman"/>
          <w:color w:val="auto"/>
          <w:sz w:val="28"/>
          <w:szCs w:val="28"/>
        </w:rPr>
        <w:t>Izdoti saskaņā ar Augstskolu likuma</w:t>
      </w:r>
    </w:p>
    <w:p w14:paraId="3FE3B8C1" w14:textId="6E457E0B" w:rsidR="00E325F3" w:rsidRPr="00220A16" w:rsidRDefault="00097469" w:rsidP="00482D00">
      <w:pPr>
        <w:ind w:firstLine="720"/>
        <w:jc w:val="right"/>
        <w:rPr>
          <w:rFonts w:cs="Times New Roman"/>
          <w:color w:val="auto"/>
          <w:sz w:val="28"/>
          <w:szCs w:val="28"/>
        </w:rPr>
      </w:pPr>
      <w:r w:rsidRPr="00220A16">
        <w:rPr>
          <w:rFonts w:cs="Times New Roman"/>
          <w:color w:val="auto"/>
          <w:sz w:val="28"/>
          <w:szCs w:val="28"/>
        </w:rPr>
        <w:t>52.panta pirmo daļu</w:t>
      </w:r>
    </w:p>
    <w:p w14:paraId="7B016BF8" w14:textId="77777777" w:rsidR="00097469" w:rsidRPr="00220A16" w:rsidRDefault="00097469" w:rsidP="00482D00">
      <w:pPr>
        <w:ind w:firstLine="720"/>
        <w:jc w:val="right"/>
        <w:rPr>
          <w:rFonts w:cs="Times New Roman"/>
          <w:color w:val="auto"/>
          <w:sz w:val="28"/>
          <w:szCs w:val="28"/>
        </w:rPr>
      </w:pPr>
    </w:p>
    <w:p w14:paraId="7901E3F5" w14:textId="2A6CBC98" w:rsidR="00F003EC" w:rsidRPr="00220A16" w:rsidRDefault="00E325F3" w:rsidP="003C6B2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220A16">
        <w:rPr>
          <w:rFonts w:ascii="Times New Roman" w:hAnsi="Times New Roman"/>
          <w:b w:val="0"/>
        </w:rPr>
        <w:t>Izdarīt</w:t>
      </w:r>
      <w:r w:rsidR="00097469" w:rsidRPr="00220A16">
        <w:t xml:space="preserve"> </w:t>
      </w:r>
      <w:r w:rsidR="00097469" w:rsidRPr="00220A16">
        <w:rPr>
          <w:rFonts w:ascii="Times New Roman" w:hAnsi="Times New Roman"/>
          <w:b w:val="0"/>
        </w:rPr>
        <w:t>Ministru kabineta</w:t>
      </w:r>
      <w:r w:rsidRPr="00220A16">
        <w:rPr>
          <w:rFonts w:ascii="Times New Roman" w:hAnsi="Times New Roman"/>
          <w:b w:val="0"/>
        </w:rPr>
        <w:t xml:space="preserve"> </w:t>
      </w:r>
      <w:r w:rsidR="00097469" w:rsidRPr="00220A16">
        <w:rPr>
          <w:rFonts w:ascii="Times New Roman" w:hAnsi="Times New Roman"/>
          <w:b w:val="0"/>
        </w:rPr>
        <w:t>2006.gada</w:t>
      </w:r>
      <w:r w:rsidR="00DC0170" w:rsidRPr="00220A16">
        <w:rPr>
          <w:rFonts w:ascii="Times New Roman" w:hAnsi="Times New Roman"/>
          <w:b w:val="0"/>
        </w:rPr>
        <w:t xml:space="preserve"> 12.decembra noteikumos Nr.994 “</w:t>
      </w:r>
      <w:r w:rsidR="00097469" w:rsidRPr="00220A16">
        <w:rPr>
          <w:rFonts w:ascii="Times New Roman" w:hAnsi="Times New Roman"/>
          <w:b w:val="0"/>
        </w:rPr>
        <w:t>Kārtība, kādā augstskolas un koledžas tiek finansētas no valsts budžeta līdzekļiem”</w:t>
      </w:r>
      <w:r w:rsidRPr="00220A16">
        <w:rPr>
          <w:rFonts w:ascii="Times New Roman" w:hAnsi="Times New Roman"/>
          <w:b w:val="0"/>
          <w:bCs w:val="0"/>
        </w:rPr>
        <w:t xml:space="preserve"> (Latvijas Vēstnesis, 20</w:t>
      </w:r>
      <w:r w:rsidR="00097469" w:rsidRPr="00220A16">
        <w:rPr>
          <w:rFonts w:ascii="Times New Roman" w:hAnsi="Times New Roman"/>
          <w:b w:val="0"/>
          <w:bCs w:val="0"/>
        </w:rPr>
        <w:t>06</w:t>
      </w:r>
      <w:r w:rsidRPr="00220A16">
        <w:rPr>
          <w:rFonts w:ascii="Times New Roman" w:hAnsi="Times New Roman"/>
          <w:b w:val="0"/>
          <w:bCs w:val="0"/>
        </w:rPr>
        <w:t>, 2</w:t>
      </w:r>
      <w:r w:rsidR="00097469" w:rsidRPr="00220A16">
        <w:rPr>
          <w:rFonts w:ascii="Times New Roman" w:hAnsi="Times New Roman"/>
          <w:b w:val="0"/>
          <w:bCs w:val="0"/>
        </w:rPr>
        <w:t>00</w:t>
      </w:r>
      <w:r w:rsidRPr="00220A16">
        <w:rPr>
          <w:rFonts w:ascii="Times New Roman" w:hAnsi="Times New Roman"/>
          <w:b w:val="0"/>
          <w:bCs w:val="0"/>
        </w:rPr>
        <w:t>.nr.</w:t>
      </w:r>
      <w:r w:rsidR="00097469" w:rsidRPr="00220A16">
        <w:rPr>
          <w:rFonts w:ascii="Times New Roman" w:hAnsi="Times New Roman"/>
          <w:b w:val="0"/>
          <w:bCs w:val="0"/>
        </w:rPr>
        <w:t>; 2008</w:t>
      </w:r>
      <w:r w:rsidR="0003443A" w:rsidRPr="00220A16">
        <w:rPr>
          <w:rFonts w:ascii="Times New Roman" w:hAnsi="Times New Roman"/>
          <w:b w:val="0"/>
          <w:bCs w:val="0"/>
        </w:rPr>
        <w:t xml:space="preserve">, </w:t>
      </w:r>
      <w:r w:rsidR="00097469" w:rsidRPr="00220A16">
        <w:rPr>
          <w:rFonts w:ascii="Times New Roman" w:hAnsi="Times New Roman"/>
          <w:b w:val="0"/>
          <w:bCs w:val="0"/>
        </w:rPr>
        <w:t>18</w:t>
      </w:r>
      <w:r w:rsidR="0003443A" w:rsidRPr="00220A16">
        <w:rPr>
          <w:rFonts w:ascii="Times New Roman" w:hAnsi="Times New Roman"/>
          <w:b w:val="0"/>
          <w:bCs w:val="0"/>
        </w:rPr>
        <w:t>.</w:t>
      </w:r>
      <w:r w:rsidR="00175280" w:rsidRPr="00220A16">
        <w:rPr>
          <w:rFonts w:ascii="Times New Roman" w:hAnsi="Times New Roman"/>
          <w:b w:val="0"/>
          <w:bCs w:val="0"/>
        </w:rPr>
        <w:t>, 36.nr.; 2009, 88.</w:t>
      </w:r>
      <w:r w:rsidR="00097469" w:rsidRPr="00220A16">
        <w:rPr>
          <w:rFonts w:ascii="Times New Roman" w:hAnsi="Times New Roman"/>
          <w:b w:val="0"/>
          <w:bCs w:val="0"/>
        </w:rPr>
        <w:t>, 200.nr.; 2011, 78.nr.; 2013, 218.nr.; 2015, 150.nr.</w:t>
      </w:r>
      <w:r w:rsidRPr="00220A16">
        <w:rPr>
          <w:rFonts w:ascii="Times New Roman" w:hAnsi="Times New Roman"/>
          <w:b w:val="0"/>
          <w:bCs w:val="0"/>
        </w:rPr>
        <w:t>) šādus grozījumus:</w:t>
      </w:r>
    </w:p>
    <w:p w14:paraId="5527F1CE" w14:textId="77777777" w:rsidR="00502420" w:rsidRPr="00220A16" w:rsidRDefault="00502420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7645213" w14:textId="6C634896" w:rsidR="00166805" w:rsidRDefault="00AD2733" w:rsidP="0016680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166805" w:rsidRPr="00220A16">
        <w:rPr>
          <w:rFonts w:ascii="Times New Roman" w:hAnsi="Times New Roman"/>
          <w:b w:val="0"/>
        </w:rPr>
        <w:t>. Papildināt noteikumus ar 15.</w:t>
      </w:r>
      <w:r w:rsidR="00166805" w:rsidRPr="00220A16">
        <w:rPr>
          <w:rFonts w:ascii="Times New Roman" w:hAnsi="Times New Roman"/>
          <w:b w:val="0"/>
          <w:vertAlign w:val="superscript"/>
        </w:rPr>
        <w:t>1</w:t>
      </w:r>
      <w:r w:rsidR="00166805" w:rsidRPr="00220A16">
        <w:rPr>
          <w:rFonts w:ascii="Times New Roman" w:hAnsi="Times New Roman"/>
          <w:b w:val="0"/>
        </w:rPr>
        <w:t xml:space="preserve"> punktu šādā redakcijā:</w:t>
      </w:r>
    </w:p>
    <w:p w14:paraId="153ABD4C" w14:textId="77777777" w:rsidR="00220A16" w:rsidRPr="00220A16" w:rsidRDefault="00220A16" w:rsidP="0016680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A8F4C0D" w14:textId="5FCE6D50" w:rsidR="00BE37DB" w:rsidRPr="00220A16" w:rsidRDefault="00166805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D5D11">
        <w:rPr>
          <w:rFonts w:ascii="Times New Roman" w:hAnsi="Times New Roman"/>
          <w:b w:val="0"/>
        </w:rPr>
        <w:t>“15</w:t>
      </w:r>
      <w:r w:rsidRPr="00220A16">
        <w:rPr>
          <w:rFonts w:ascii="Times New Roman" w:hAnsi="Times New Roman"/>
          <w:b w:val="0"/>
        </w:rPr>
        <w:t>.</w:t>
      </w:r>
      <w:r w:rsidRPr="00220A16">
        <w:rPr>
          <w:rFonts w:ascii="Times New Roman" w:hAnsi="Times New Roman"/>
          <w:b w:val="0"/>
          <w:vertAlign w:val="superscript"/>
        </w:rPr>
        <w:t xml:space="preserve">1 </w:t>
      </w:r>
      <w:r w:rsidRPr="00220A16">
        <w:rPr>
          <w:rFonts w:ascii="Times New Roman" w:hAnsi="Times New Roman"/>
          <w:b w:val="0"/>
        </w:rPr>
        <w:t>Izglītības un zinātnes ministrija vismaz reizi trīs gados pārskata studiju izmaksu koeficientus</w:t>
      </w:r>
      <w:r w:rsidR="007C1C7F" w:rsidRPr="00220A16">
        <w:rPr>
          <w:rFonts w:ascii="Times New Roman" w:hAnsi="Times New Roman"/>
          <w:b w:val="0"/>
        </w:rPr>
        <w:t xml:space="preserve"> un studiju vietas bāzes izmaksu aprēķina metodiku</w:t>
      </w:r>
      <w:r w:rsidRPr="00220A16">
        <w:rPr>
          <w:rFonts w:ascii="Times New Roman" w:hAnsi="Times New Roman"/>
          <w:b w:val="0"/>
        </w:rPr>
        <w:t xml:space="preserve">, </w:t>
      </w:r>
      <w:r w:rsidR="007C1C7F" w:rsidRPr="00220A16">
        <w:rPr>
          <w:rFonts w:ascii="Times New Roman" w:hAnsi="Times New Roman"/>
          <w:b w:val="0"/>
        </w:rPr>
        <w:t xml:space="preserve">nepieciešamības gadījumā tos </w:t>
      </w:r>
      <w:r w:rsidRPr="00220A16">
        <w:rPr>
          <w:rFonts w:ascii="Times New Roman" w:hAnsi="Times New Roman"/>
          <w:b w:val="0"/>
        </w:rPr>
        <w:t>aktualizējot atbilstoši faktiskajām izmaksām.”</w:t>
      </w:r>
    </w:p>
    <w:p w14:paraId="0C36E8DC" w14:textId="77777777" w:rsidR="001208BF" w:rsidRPr="00AD5D11" w:rsidRDefault="001208BF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4619F606" w14:textId="14858222" w:rsidR="00793B31" w:rsidRPr="007B1462" w:rsidRDefault="00AD2733" w:rsidP="0016680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7B1462">
        <w:rPr>
          <w:rFonts w:ascii="Times New Roman" w:hAnsi="Times New Roman"/>
          <w:b w:val="0"/>
        </w:rPr>
        <w:t>2</w:t>
      </w:r>
      <w:r w:rsidR="00BE37DB" w:rsidRPr="007B1462">
        <w:rPr>
          <w:rFonts w:ascii="Times New Roman" w:hAnsi="Times New Roman"/>
          <w:b w:val="0"/>
        </w:rPr>
        <w:t>. </w:t>
      </w:r>
      <w:r w:rsidR="00B53E83" w:rsidRPr="007B1462">
        <w:rPr>
          <w:rFonts w:ascii="Times New Roman" w:hAnsi="Times New Roman"/>
          <w:b w:val="0"/>
        </w:rPr>
        <w:t>Aizstāt</w:t>
      </w:r>
      <w:r w:rsidR="00C36575" w:rsidRPr="007B1462">
        <w:rPr>
          <w:rFonts w:ascii="Times New Roman" w:hAnsi="Times New Roman"/>
          <w:b w:val="0"/>
        </w:rPr>
        <w:t xml:space="preserve"> 18.</w:t>
      </w:r>
      <w:r w:rsidR="00C36575" w:rsidRPr="007B1462">
        <w:rPr>
          <w:rFonts w:ascii="Times New Roman" w:hAnsi="Times New Roman"/>
          <w:b w:val="0"/>
          <w:vertAlign w:val="superscript"/>
        </w:rPr>
        <w:t>1</w:t>
      </w:r>
      <w:r w:rsidR="003705D6" w:rsidRPr="007B1462">
        <w:rPr>
          <w:rFonts w:ascii="Times New Roman" w:hAnsi="Times New Roman"/>
          <w:b w:val="0"/>
          <w:vertAlign w:val="superscript"/>
        </w:rPr>
        <w:t xml:space="preserve"> </w:t>
      </w:r>
      <w:r w:rsidR="007B1462" w:rsidRPr="007B1462">
        <w:rPr>
          <w:rFonts w:ascii="Times New Roman" w:hAnsi="Times New Roman"/>
          <w:b w:val="0"/>
        </w:rPr>
        <w:t xml:space="preserve">punktā </w:t>
      </w:r>
      <w:r w:rsidR="00B53E83" w:rsidRPr="007B1462">
        <w:rPr>
          <w:rFonts w:ascii="Times New Roman" w:hAnsi="Times New Roman"/>
          <w:b w:val="0"/>
        </w:rPr>
        <w:t xml:space="preserve">vārdus </w:t>
      </w:r>
      <w:r w:rsidR="00DC0170" w:rsidRPr="007B1462">
        <w:rPr>
          <w:rFonts w:ascii="Times New Roman" w:hAnsi="Times New Roman"/>
          <w:b w:val="0"/>
        </w:rPr>
        <w:t>“</w:t>
      </w:r>
      <w:r w:rsidR="00717E08" w:rsidRPr="007B1462">
        <w:rPr>
          <w:rFonts w:ascii="Times New Roman" w:hAnsi="Times New Roman"/>
          <w:b w:val="0"/>
        </w:rPr>
        <w:t>snieguma finansējuma</w:t>
      </w:r>
      <w:r w:rsidR="00DC0170" w:rsidRPr="007B1462">
        <w:rPr>
          <w:rFonts w:ascii="Times New Roman" w:hAnsi="Times New Roman"/>
          <w:b w:val="0"/>
        </w:rPr>
        <w:t xml:space="preserve"> aprēķināšanai” ar</w:t>
      </w:r>
      <w:r w:rsidR="007B1462" w:rsidRPr="007B1462">
        <w:rPr>
          <w:rFonts w:ascii="Times New Roman" w:hAnsi="Times New Roman"/>
          <w:b w:val="0"/>
        </w:rPr>
        <w:t xml:space="preserve"> </w:t>
      </w:r>
      <w:r w:rsidR="005327E3">
        <w:rPr>
          <w:rFonts w:ascii="Times New Roman" w:hAnsi="Times New Roman"/>
          <w:b w:val="0"/>
        </w:rPr>
        <w:t xml:space="preserve">vārdiem un </w:t>
      </w:r>
      <w:r w:rsidR="007B1462" w:rsidRPr="007B1462">
        <w:rPr>
          <w:rFonts w:ascii="Times New Roman" w:hAnsi="Times New Roman"/>
          <w:b w:val="0"/>
        </w:rPr>
        <w:t xml:space="preserve">skaitli </w:t>
      </w:r>
      <w:r w:rsidR="00DC0170" w:rsidRPr="007B1462">
        <w:rPr>
          <w:rFonts w:ascii="Times New Roman" w:hAnsi="Times New Roman"/>
          <w:b w:val="0"/>
        </w:rPr>
        <w:t>“</w:t>
      </w:r>
      <w:r w:rsidR="005327E3">
        <w:rPr>
          <w:rFonts w:ascii="Times New Roman" w:hAnsi="Times New Roman"/>
          <w:b w:val="0"/>
        </w:rPr>
        <w:t xml:space="preserve">šo noteikumu </w:t>
      </w:r>
      <w:r w:rsidR="005817A9" w:rsidRPr="007B1462">
        <w:rPr>
          <w:rFonts w:ascii="Times New Roman" w:hAnsi="Times New Roman"/>
          <w:b w:val="0"/>
        </w:rPr>
        <w:t>17.4 apakšpunkt</w:t>
      </w:r>
      <w:r w:rsidR="005327E3">
        <w:rPr>
          <w:rFonts w:ascii="Times New Roman" w:hAnsi="Times New Roman"/>
          <w:b w:val="0"/>
        </w:rPr>
        <w:t xml:space="preserve">ā minētā </w:t>
      </w:r>
      <w:r w:rsidR="005817A9" w:rsidRPr="007B1462">
        <w:rPr>
          <w:rFonts w:ascii="Times New Roman" w:hAnsi="Times New Roman"/>
          <w:b w:val="0"/>
        </w:rPr>
        <w:t xml:space="preserve"> snieguma finansējuma aprēķināšanai </w:t>
      </w:r>
      <w:r w:rsidR="00023354" w:rsidRPr="007B1462">
        <w:rPr>
          <w:rFonts w:ascii="Times New Roman" w:hAnsi="Times New Roman"/>
          <w:b w:val="0"/>
        </w:rPr>
        <w:t xml:space="preserve">nākamajam </w:t>
      </w:r>
      <w:r w:rsidR="00F003EC" w:rsidRPr="007B1462">
        <w:rPr>
          <w:rFonts w:ascii="Times New Roman" w:hAnsi="Times New Roman"/>
          <w:b w:val="0"/>
        </w:rPr>
        <w:t>finansēšanas periodam</w:t>
      </w:r>
      <w:r w:rsidR="001959AC" w:rsidRPr="007B1462">
        <w:rPr>
          <w:rFonts w:ascii="Times New Roman" w:hAnsi="Times New Roman"/>
          <w:b w:val="0"/>
        </w:rPr>
        <w:t>”</w:t>
      </w:r>
      <w:r w:rsidR="005327E3">
        <w:rPr>
          <w:rFonts w:ascii="Times New Roman" w:hAnsi="Times New Roman"/>
          <w:b w:val="0"/>
        </w:rPr>
        <w:t>.</w:t>
      </w:r>
    </w:p>
    <w:p w14:paraId="7405BCDC" w14:textId="77777777" w:rsidR="006A36DB" w:rsidRPr="007B1462" w:rsidRDefault="006A36DB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2AE76EF7" w14:textId="570C6DFB" w:rsidR="00936712" w:rsidRPr="007B1462" w:rsidRDefault="00AD2733" w:rsidP="00936712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7B1462">
        <w:rPr>
          <w:rFonts w:ascii="Times New Roman" w:hAnsi="Times New Roman"/>
          <w:b w:val="0"/>
          <w:bCs w:val="0"/>
        </w:rPr>
        <w:t>3</w:t>
      </w:r>
      <w:r w:rsidR="00936712" w:rsidRPr="007B1462">
        <w:rPr>
          <w:rFonts w:ascii="Times New Roman" w:hAnsi="Times New Roman"/>
          <w:b w:val="0"/>
          <w:bCs w:val="0"/>
        </w:rPr>
        <w:t>. Papildināt noteikumus ar 1</w:t>
      </w:r>
      <w:r w:rsidR="00A00A30" w:rsidRPr="007B1462">
        <w:rPr>
          <w:rFonts w:ascii="Times New Roman" w:hAnsi="Times New Roman"/>
          <w:b w:val="0"/>
          <w:bCs w:val="0"/>
        </w:rPr>
        <w:t>8</w:t>
      </w:r>
      <w:r w:rsidR="00936712" w:rsidRPr="007B1462">
        <w:rPr>
          <w:rFonts w:ascii="Times New Roman" w:hAnsi="Times New Roman"/>
          <w:b w:val="0"/>
          <w:bCs w:val="0"/>
        </w:rPr>
        <w:t>.</w:t>
      </w:r>
      <w:r w:rsidR="00A00A30" w:rsidRPr="007B1462">
        <w:rPr>
          <w:rFonts w:ascii="Times New Roman" w:hAnsi="Times New Roman"/>
          <w:b w:val="0"/>
          <w:bCs w:val="0"/>
          <w:vertAlign w:val="superscript"/>
        </w:rPr>
        <w:t>2</w:t>
      </w:r>
      <w:r w:rsidR="00936712" w:rsidRPr="007B1462">
        <w:rPr>
          <w:rFonts w:ascii="Times New Roman" w:hAnsi="Times New Roman"/>
          <w:b w:val="0"/>
          <w:bCs w:val="0"/>
        </w:rPr>
        <w:t xml:space="preserve"> </w:t>
      </w:r>
      <w:r w:rsidR="00F938E2" w:rsidRPr="007B1462">
        <w:rPr>
          <w:rFonts w:ascii="Times New Roman" w:hAnsi="Times New Roman"/>
          <w:b w:val="0"/>
          <w:bCs w:val="0"/>
        </w:rPr>
        <w:t>un</w:t>
      </w:r>
      <w:r w:rsidR="00F13F92" w:rsidRPr="007B1462">
        <w:rPr>
          <w:rFonts w:ascii="Times New Roman" w:hAnsi="Times New Roman"/>
          <w:b w:val="0"/>
          <w:bCs w:val="0"/>
        </w:rPr>
        <w:t xml:space="preserve"> 18.</w:t>
      </w:r>
      <w:r w:rsidR="00F13F92" w:rsidRPr="007B1462">
        <w:rPr>
          <w:rFonts w:ascii="Times New Roman" w:hAnsi="Times New Roman"/>
          <w:b w:val="0"/>
          <w:bCs w:val="0"/>
          <w:vertAlign w:val="superscript"/>
        </w:rPr>
        <w:t>3</w:t>
      </w:r>
      <w:r w:rsidR="00F13F92" w:rsidRPr="007B1462">
        <w:rPr>
          <w:rFonts w:ascii="Times New Roman" w:hAnsi="Times New Roman"/>
          <w:b w:val="0"/>
          <w:bCs w:val="0"/>
        </w:rPr>
        <w:t xml:space="preserve"> </w:t>
      </w:r>
      <w:r w:rsidR="00936712" w:rsidRPr="007B1462">
        <w:rPr>
          <w:rFonts w:ascii="Times New Roman" w:hAnsi="Times New Roman"/>
          <w:b w:val="0"/>
          <w:bCs w:val="0"/>
        </w:rPr>
        <w:t>punktu šādā redakcijā:</w:t>
      </w:r>
    </w:p>
    <w:p w14:paraId="097CC0F3" w14:textId="77777777" w:rsidR="00220A16" w:rsidRPr="007B1462" w:rsidRDefault="00220A16" w:rsidP="00936712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0B98C137" w14:textId="58536820" w:rsidR="00936712" w:rsidRPr="00220A16" w:rsidRDefault="00A00A30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7B1462">
        <w:rPr>
          <w:rFonts w:ascii="Times New Roman" w:hAnsi="Times New Roman"/>
          <w:b w:val="0"/>
          <w:bCs w:val="0"/>
        </w:rPr>
        <w:t>“18</w:t>
      </w:r>
      <w:r w:rsidR="00936712" w:rsidRPr="007B1462">
        <w:rPr>
          <w:rFonts w:ascii="Times New Roman" w:hAnsi="Times New Roman"/>
          <w:b w:val="0"/>
          <w:bCs w:val="0"/>
        </w:rPr>
        <w:t>.</w:t>
      </w:r>
      <w:r w:rsidRPr="007B1462">
        <w:rPr>
          <w:rFonts w:ascii="Times New Roman" w:hAnsi="Times New Roman"/>
          <w:b w:val="0"/>
          <w:bCs w:val="0"/>
          <w:vertAlign w:val="superscript"/>
        </w:rPr>
        <w:t>2</w:t>
      </w:r>
      <w:r w:rsidR="00936712" w:rsidRPr="007B1462">
        <w:rPr>
          <w:rFonts w:ascii="Times New Roman" w:hAnsi="Times New Roman"/>
          <w:b w:val="0"/>
          <w:bCs w:val="0"/>
          <w:vertAlign w:val="superscript"/>
        </w:rPr>
        <w:t xml:space="preserve"> </w:t>
      </w:r>
      <w:r w:rsidR="00936712" w:rsidRPr="007B1462">
        <w:rPr>
          <w:rFonts w:ascii="Times New Roman" w:hAnsi="Times New Roman"/>
          <w:b w:val="0"/>
          <w:bCs w:val="0"/>
        </w:rPr>
        <w:t>Augstskolām piešķir snieguma</w:t>
      </w:r>
      <w:r w:rsidR="00936712" w:rsidRPr="00220A16">
        <w:rPr>
          <w:rFonts w:ascii="Times New Roman" w:hAnsi="Times New Roman"/>
          <w:b w:val="0"/>
          <w:bCs w:val="0"/>
        </w:rPr>
        <w:t xml:space="preserve"> finansējum</w:t>
      </w:r>
      <w:r w:rsidR="00023354" w:rsidRPr="00220A16">
        <w:rPr>
          <w:rFonts w:ascii="Times New Roman" w:hAnsi="Times New Roman"/>
          <w:b w:val="0"/>
          <w:bCs w:val="0"/>
        </w:rPr>
        <w:t>u</w:t>
      </w:r>
      <w:r w:rsidR="00936712" w:rsidRPr="00220A16">
        <w:rPr>
          <w:rFonts w:ascii="Times New Roman" w:hAnsi="Times New Roman"/>
          <w:b w:val="0"/>
          <w:bCs w:val="0"/>
        </w:rPr>
        <w:t xml:space="preserve"> par </w:t>
      </w:r>
      <w:r w:rsidRPr="00220A16">
        <w:rPr>
          <w:rFonts w:ascii="Times New Roman" w:hAnsi="Times New Roman"/>
          <w:b w:val="0"/>
          <w:bCs w:val="0"/>
        </w:rPr>
        <w:t>rezultātiem jauno pedagogu sagatavošanā, ja absolventi turpina vai ir uzsākuši pedagoģisko darbu</w:t>
      </w:r>
      <w:r w:rsidR="009C68F1" w:rsidRPr="00AD5D11">
        <w:rPr>
          <w:rFonts w:ascii="Times New Roman" w:hAnsi="Times New Roman"/>
          <w:b w:val="0"/>
          <w:bCs w:val="0"/>
        </w:rPr>
        <w:t xml:space="preserve">. </w:t>
      </w:r>
      <w:r w:rsidR="009C68F1" w:rsidRPr="00220A16">
        <w:rPr>
          <w:rFonts w:ascii="Times New Roman" w:hAnsi="Times New Roman"/>
          <w:b w:val="0"/>
          <w:bCs w:val="0"/>
        </w:rPr>
        <w:t xml:space="preserve">Snieguma finansējuma par rezultātiem jauno pedagogu sagatavošanā </w:t>
      </w:r>
      <w:r w:rsidR="00936712" w:rsidRPr="00220A16">
        <w:rPr>
          <w:rFonts w:ascii="Times New Roman" w:hAnsi="Times New Roman"/>
          <w:b w:val="0"/>
          <w:bCs w:val="0"/>
        </w:rPr>
        <w:t>apmēru aprēķina, izmantojot šādu formulu:</w:t>
      </w:r>
    </w:p>
    <w:p w14:paraId="7E391964" w14:textId="77777777" w:rsidR="00936712" w:rsidRPr="00220A16" w:rsidRDefault="00936712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6F901D4B" w14:textId="66936A5F" w:rsidR="00936712" w:rsidRPr="00220A16" w:rsidRDefault="0065084F" w:rsidP="00AC1A9E">
      <w:pPr>
        <w:pStyle w:val="tv20787921"/>
        <w:spacing w:after="0" w:line="240" w:lineRule="auto"/>
        <w:ind w:firstLine="720"/>
        <w:rPr>
          <w:rFonts w:ascii="Times New Roman" w:hAnsi="Times New Roman"/>
          <w:b w:val="0"/>
          <w:bCs w:val="0"/>
        </w:rPr>
      </w:pPr>
      <m:oMath>
        <m:sSub>
          <m:sSubPr>
            <m:ctrlPr>
              <w:rPr>
                <w:rFonts w:ascii="Cambria Math" w:eastAsiaTheme="minorHAnsi" w:hAnsi="Cambria Math"/>
                <w:b w:val="0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HAnsi" w:hAnsi="Cambria Math"/>
                <w:b w:val="0"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fin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eastAsiaTheme="minorHAnsi" w:hAnsi="Cambria Math"/>
                <w:b w:val="0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b w:val="0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 w:hAnsi="Cambria Math"/>
                        <w:b w:val="0"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="Cambria Math"/>
                        <w:b w:val="0"/>
                        <w:i/>
                        <w:iCs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 w:val="0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nary>
              </m:den>
            </m:f>
          </m:e>
        </m:d>
      </m:oMath>
      <w:r w:rsidR="00936712" w:rsidRPr="00AD5D11">
        <w:rPr>
          <w:rFonts w:ascii="Times New Roman" w:hAnsi="Times New Roman"/>
          <w:b w:val="0"/>
          <w:bCs w:val="0"/>
        </w:rPr>
        <w:t xml:space="preserve"> </w:t>
      </w:r>
      <w:r w:rsidR="00936712" w:rsidRPr="00220A16">
        <w:rPr>
          <w:rFonts w:ascii="Times New Roman" w:hAnsi="Times New Roman"/>
          <w:b w:val="0"/>
          <w:bCs w:val="0"/>
        </w:rPr>
        <w:t>, kur</w:t>
      </w:r>
    </w:p>
    <w:p w14:paraId="06C0ABC7" w14:textId="77777777" w:rsidR="00936712" w:rsidRPr="00220A16" w:rsidRDefault="00936712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288AA991" w14:textId="77777777" w:rsidR="00936712" w:rsidRPr="00220A16" w:rsidRDefault="00936712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220A16">
        <w:rPr>
          <w:rFonts w:ascii="Times New Roman" w:hAnsi="Times New Roman"/>
          <w:b w:val="0"/>
          <w:bCs w:val="0"/>
        </w:rPr>
        <w:t>B</w:t>
      </w:r>
      <w:r w:rsidRPr="00220A16">
        <w:rPr>
          <w:rFonts w:ascii="Times New Roman" w:hAnsi="Times New Roman"/>
          <w:b w:val="0"/>
          <w:bCs w:val="0"/>
          <w:vertAlign w:val="subscript"/>
        </w:rPr>
        <w:t>a</w:t>
      </w:r>
      <w:r w:rsidRPr="00220A16">
        <w:rPr>
          <w:rFonts w:ascii="Times New Roman" w:hAnsi="Times New Roman"/>
          <w:b w:val="0"/>
          <w:bCs w:val="0"/>
        </w:rPr>
        <w:t xml:space="preserve"> – augstskolai piešķiramo līdzekļu apmērs par rezultātiem pedagogu sagatavošanā;</w:t>
      </w:r>
    </w:p>
    <w:p w14:paraId="6A97E2F6" w14:textId="77777777" w:rsidR="00936712" w:rsidRPr="00220A16" w:rsidRDefault="00936712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5FEAD58D" w14:textId="12CE6D64" w:rsidR="00936712" w:rsidRPr="00220A16" w:rsidRDefault="00936712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220A16">
        <w:rPr>
          <w:rFonts w:ascii="Times New Roman" w:hAnsi="Times New Roman"/>
          <w:b w:val="0"/>
          <w:bCs w:val="0"/>
        </w:rPr>
        <w:t>B</w:t>
      </w:r>
      <w:r w:rsidRPr="00220A16">
        <w:rPr>
          <w:rFonts w:ascii="Times New Roman" w:hAnsi="Times New Roman"/>
          <w:b w:val="0"/>
          <w:bCs w:val="0"/>
          <w:vertAlign w:val="subscript"/>
        </w:rPr>
        <w:t>fin</w:t>
      </w:r>
      <w:r w:rsidRPr="00220A16">
        <w:rPr>
          <w:rFonts w:ascii="Times New Roman" w:hAnsi="Times New Roman"/>
          <w:b w:val="0"/>
          <w:bCs w:val="0"/>
        </w:rPr>
        <w:t xml:space="preserve"> </w:t>
      </w:r>
      <w:r w:rsidR="00023354" w:rsidRPr="00220A16">
        <w:rPr>
          <w:rFonts w:ascii="Times New Roman" w:hAnsi="Times New Roman"/>
          <w:b w:val="0"/>
          <w:bCs w:val="0"/>
        </w:rPr>
        <w:t>–</w:t>
      </w:r>
      <w:r w:rsidRPr="00220A16">
        <w:rPr>
          <w:rFonts w:ascii="Times New Roman" w:hAnsi="Times New Roman"/>
          <w:b w:val="0"/>
          <w:bCs w:val="0"/>
        </w:rPr>
        <w:t xml:space="preserve"> finansējums apakšprogrammā 03.05.00 </w:t>
      </w:r>
      <w:r w:rsidRPr="00220A16">
        <w:rPr>
          <w:rFonts w:ascii="Times New Roman" w:hAnsi="Times New Roman"/>
          <w:b w:val="0"/>
          <w:bCs w:val="0"/>
          <w:i/>
          <w:iCs/>
        </w:rPr>
        <w:t xml:space="preserve">Snieguma finansējums augstskolu stratēģisko mērķu īstenošanai </w:t>
      </w:r>
      <w:r w:rsidRPr="00220A16">
        <w:rPr>
          <w:rFonts w:ascii="Times New Roman" w:hAnsi="Times New Roman"/>
          <w:b w:val="0"/>
          <w:bCs w:val="0"/>
        </w:rPr>
        <w:t>attiecīgajā kalendāra gadā</w:t>
      </w:r>
      <w:r w:rsidR="00023354" w:rsidRPr="00220A16">
        <w:rPr>
          <w:rFonts w:ascii="Times New Roman" w:hAnsi="Times New Roman"/>
          <w:b w:val="0"/>
          <w:bCs w:val="0"/>
        </w:rPr>
        <w:t>;</w:t>
      </w:r>
    </w:p>
    <w:p w14:paraId="4F0F686D" w14:textId="77777777" w:rsidR="00936712" w:rsidRPr="00220A16" w:rsidRDefault="00936712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D25EE26" w14:textId="2E3B95DF" w:rsidR="00936712" w:rsidRPr="00220A16" w:rsidRDefault="00792C91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220A16">
        <w:rPr>
          <w:rFonts w:ascii="Times New Roman" w:hAnsi="Times New Roman"/>
          <w:b w:val="0"/>
          <w:bCs w:val="0"/>
        </w:rPr>
        <w:t>Ia – augstskolas iepriekšējā atskaites periodā</w:t>
      </w:r>
      <w:r w:rsidR="00936712" w:rsidRPr="00220A16">
        <w:rPr>
          <w:rFonts w:ascii="Times New Roman" w:hAnsi="Times New Roman"/>
          <w:b w:val="0"/>
          <w:bCs w:val="0"/>
        </w:rPr>
        <w:t xml:space="preserve"> grādu vai kvalifikāciju ieguvušo absolventu skaits tematiskās grupas “Izglītība” studiju programmās, kuri </w:t>
      </w:r>
      <w:r w:rsidRPr="00220A16">
        <w:rPr>
          <w:rFonts w:ascii="Times New Roman" w:hAnsi="Times New Roman"/>
          <w:b w:val="0"/>
          <w:bCs w:val="0"/>
        </w:rPr>
        <w:t>pēc absolvēšanas turpina vai</w:t>
      </w:r>
      <w:r w:rsidR="00936712" w:rsidRPr="00220A16">
        <w:rPr>
          <w:rFonts w:ascii="Times New Roman" w:hAnsi="Times New Roman"/>
          <w:b w:val="0"/>
          <w:bCs w:val="0"/>
        </w:rPr>
        <w:t xml:space="preserve"> gada laikā ir uzsākuši pedagoģisko darbu vispārējās, </w:t>
      </w:r>
      <w:r w:rsidR="007B1462">
        <w:rPr>
          <w:rFonts w:ascii="Times New Roman" w:hAnsi="Times New Roman"/>
          <w:b w:val="0"/>
          <w:bCs w:val="0"/>
        </w:rPr>
        <w:t>profesionālās tālākizglītības un pilnveides, profesionālās ievirzes un bērnu un jauniešu interešu</w:t>
      </w:r>
      <w:r w:rsidR="00936712" w:rsidRPr="00220A16">
        <w:rPr>
          <w:rFonts w:ascii="Times New Roman" w:hAnsi="Times New Roman"/>
          <w:b w:val="0"/>
          <w:bCs w:val="0"/>
        </w:rPr>
        <w:t xml:space="preserve"> izglītības iestādēs</w:t>
      </w:r>
      <w:r w:rsidR="00023354" w:rsidRPr="00220A16">
        <w:rPr>
          <w:rFonts w:ascii="Times New Roman" w:hAnsi="Times New Roman"/>
          <w:b w:val="0"/>
          <w:bCs w:val="0"/>
        </w:rPr>
        <w:t>;</w:t>
      </w:r>
    </w:p>
    <w:p w14:paraId="532DE565" w14:textId="77777777" w:rsidR="00936712" w:rsidRPr="00AD5D11" w:rsidRDefault="00936712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22C6395F" w14:textId="78C6018F" w:rsidR="00936712" w:rsidRPr="00220A16" w:rsidRDefault="00936712" w:rsidP="0043444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220A16">
        <w:rPr>
          <w:rFonts w:ascii="Times New Roman" w:hAnsi="Times New Roman"/>
          <w:b w:val="0"/>
          <w:bCs w:val="0"/>
        </w:rPr>
        <w:t>∑Ia – augstskolu, kuras pretendē uz snieguma finansējumu par rezultātiem jauno peda</w:t>
      </w:r>
      <w:r w:rsidR="00792C91" w:rsidRPr="00220A16">
        <w:rPr>
          <w:rFonts w:ascii="Times New Roman" w:hAnsi="Times New Roman"/>
          <w:b w:val="0"/>
          <w:bCs w:val="0"/>
        </w:rPr>
        <w:t xml:space="preserve">gogu sagatavošanā, iepriekšējā atskaites periodā </w:t>
      </w:r>
      <w:r w:rsidRPr="00220A16">
        <w:rPr>
          <w:rFonts w:ascii="Times New Roman" w:hAnsi="Times New Roman"/>
          <w:b w:val="0"/>
          <w:bCs w:val="0"/>
        </w:rPr>
        <w:t xml:space="preserve">grādu vai kvalifikāciju ieguvušo absolventu kopējais skaits tematiskās grupas “Izglītība” studiju programmās, kuri </w:t>
      </w:r>
      <w:r w:rsidR="00792C91" w:rsidRPr="00220A16">
        <w:rPr>
          <w:rFonts w:ascii="Times New Roman" w:hAnsi="Times New Roman"/>
          <w:b w:val="0"/>
          <w:bCs w:val="0"/>
        </w:rPr>
        <w:t>pēc absolvēšanas turpina vai gada laikā</w:t>
      </w:r>
      <w:r w:rsidRPr="00220A16">
        <w:rPr>
          <w:rFonts w:ascii="Times New Roman" w:hAnsi="Times New Roman"/>
          <w:b w:val="0"/>
          <w:bCs w:val="0"/>
        </w:rPr>
        <w:t xml:space="preserve"> ir uzsākuši pedagoģisko darbu </w:t>
      </w:r>
      <w:r w:rsidR="0043579A" w:rsidRPr="00220A16">
        <w:rPr>
          <w:rFonts w:ascii="Times New Roman" w:hAnsi="Times New Roman"/>
          <w:b w:val="0"/>
          <w:bCs w:val="0"/>
        </w:rPr>
        <w:t xml:space="preserve">vispārējās, </w:t>
      </w:r>
      <w:r w:rsidR="0043579A">
        <w:rPr>
          <w:rFonts w:ascii="Times New Roman" w:hAnsi="Times New Roman"/>
          <w:b w:val="0"/>
          <w:bCs w:val="0"/>
        </w:rPr>
        <w:t>profesionālās tālākizglītības un pilnveides, profesionālās ievirzes un bērnu un jauniešu interešu</w:t>
      </w:r>
      <w:r w:rsidR="0043579A" w:rsidRPr="00220A16">
        <w:rPr>
          <w:rFonts w:ascii="Times New Roman" w:hAnsi="Times New Roman"/>
          <w:b w:val="0"/>
          <w:bCs w:val="0"/>
        </w:rPr>
        <w:t xml:space="preserve"> izglītības iestādēs</w:t>
      </w:r>
      <w:r w:rsidR="007E5520">
        <w:rPr>
          <w:rFonts w:ascii="Times New Roman" w:hAnsi="Times New Roman"/>
          <w:b w:val="0"/>
          <w:bCs w:val="0"/>
        </w:rPr>
        <w:t>.</w:t>
      </w:r>
    </w:p>
    <w:p w14:paraId="5FC82F93" w14:textId="77777777" w:rsidR="00936712" w:rsidRPr="00AD5D11" w:rsidRDefault="00936712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608808E" w14:textId="54DFE01F" w:rsidR="00792C91" w:rsidRDefault="00F13F92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AD5D11" w:rsidDel="00F13F92">
        <w:rPr>
          <w:rFonts w:ascii="Times New Roman" w:hAnsi="Times New Roman"/>
          <w:b w:val="0"/>
          <w:bCs w:val="0"/>
        </w:rPr>
        <w:t xml:space="preserve"> </w:t>
      </w:r>
      <w:r w:rsidR="00EC0E2E" w:rsidRPr="00220A16">
        <w:rPr>
          <w:rFonts w:ascii="Times New Roman" w:hAnsi="Times New Roman"/>
          <w:b w:val="0"/>
          <w:bCs w:val="0"/>
        </w:rPr>
        <w:t>18.</w:t>
      </w:r>
      <w:r w:rsidRPr="00220A16">
        <w:rPr>
          <w:rFonts w:ascii="Times New Roman" w:hAnsi="Times New Roman"/>
          <w:b w:val="0"/>
          <w:bCs w:val="0"/>
          <w:vertAlign w:val="superscript"/>
        </w:rPr>
        <w:t>3</w:t>
      </w:r>
      <w:r w:rsidRPr="00220A16">
        <w:rPr>
          <w:rFonts w:ascii="Times New Roman" w:hAnsi="Times New Roman"/>
          <w:b w:val="0"/>
          <w:bCs w:val="0"/>
        </w:rPr>
        <w:t xml:space="preserve"> </w:t>
      </w:r>
      <w:r w:rsidR="00EC0E2E" w:rsidRPr="00220A16">
        <w:rPr>
          <w:rFonts w:ascii="Times New Roman" w:hAnsi="Times New Roman"/>
          <w:b w:val="0"/>
          <w:bCs w:val="0"/>
        </w:rPr>
        <w:t xml:space="preserve">Informāciju, kura nepieciešama </w:t>
      </w:r>
      <w:r w:rsidR="00565855" w:rsidRPr="00220A16">
        <w:rPr>
          <w:rFonts w:ascii="Times New Roman" w:hAnsi="Times New Roman"/>
          <w:b w:val="0"/>
          <w:bCs w:val="0"/>
        </w:rPr>
        <w:t xml:space="preserve">šo </w:t>
      </w:r>
      <w:r w:rsidR="00565855" w:rsidRPr="007B1462">
        <w:rPr>
          <w:rFonts w:ascii="Times New Roman" w:hAnsi="Times New Roman"/>
          <w:b w:val="0"/>
          <w:bCs w:val="0"/>
        </w:rPr>
        <w:t xml:space="preserve">noteikumu </w:t>
      </w:r>
      <w:r w:rsidRPr="007B1462">
        <w:rPr>
          <w:rFonts w:ascii="Times New Roman" w:hAnsi="Times New Roman"/>
          <w:b w:val="0"/>
          <w:bCs w:val="0"/>
        </w:rPr>
        <w:t>18</w:t>
      </w:r>
      <w:r w:rsidR="008C260E" w:rsidRPr="007B1462">
        <w:rPr>
          <w:rFonts w:ascii="Times New Roman" w:hAnsi="Times New Roman"/>
          <w:b w:val="0"/>
          <w:bCs w:val="0"/>
        </w:rPr>
        <w:t>.</w:t>
      </w:r>
      <w:r w:rsidRPr="007B1462">
        <w:rPr>
          <w:rFonts w:ascii="Times New Roman" w:hAnsi="Times New Roman"/>
          <w:b w:val="0"/>
          <w:bCs w:val="0"/>
          <w:vertAlign w:val="superscript"/>
        </w:rPr>
        <w:t>2</w:t>
      </w:r>
      <w:r w:rsidRPr="007B1462">
        <w:rPr>
          <w:rFonts w:ascii="Times New Roman" w:hAnsi="Times New Roman"/>
          <w:b w:val="0"/>
          <w:bCs w:val="0"/>
        </w:rPr>
        <w:t xml:space="preserve"> </w:t>
      </w:r>
      <w:r w:rsidR="008C260E" w:rsidRPr="007B1462">
        <w:rPr>
          <w:rFonts w:ascii="Times New Roman" w:hAnsi="Times New Roman"/>
          <w:b w:val="0"/>
          <w:bCs w:val="0"/>
        </w:rPr>
        <w:t>punkt</w:t>
      </w:r>
      <w:r w:rsidR="00565855" w:rsidRPr="007B1462">
        <w:rPr>
          <w:rFonts w:ascii="Times New Roman" w:hAnsi="Times New Roman"/>
          <w:b w:val="0"/>
          <w:bCs w:val="0"/>
        </w:rPr>
        <w:t>ā noteiktā</w:t>
      </w:r>
      <w:r w:rsidR="008C260E" w:rsidRPr="007B1462">
        <w:rPr>
          <w:rFonts w:ascii="Times New Roman" w:hAnsi="Times New Roman"/>
          <w:b w:val="0"/>
          <w:bCs w:val="0"/>
        </w:rPr>
        <w:t xml:space="preserve"> </w:t>
      </w:r>
      <w:r w:rsidR="00EC0E2E" w:rsidRPr="007B1462">
        <w:rPr>
          <w:rFonts w:ascii="Times New Roman" w:hAnsi="Times New Roman"/>
          <w:b w:val="0"/>
          <w:bCs w:val="0"/>
        </w:rPr>
        <w:t>snieguma finansējuma aprēķināšanai</w:t>
      </w:r>
      <w:r w:rsidR="00792C91" w:rsidRPr="007B1462">
        <w:rPr>
          <w:rFonts w:ascii="Times New Roman" w:hAnsi="Times New Roman"/>
          <w:b w:val="0"/>
          <w:bCs w:val="0"/>
        </w:rPr>
        <w:t xml:space="preserve"> nāk</w:t>
      </w:r>
      <w:r w:rsidRPr="007B1462">
        <w:rPr>
          <w:rFonts w:ascii="Times New Roman" w:hAnsi="Times New Roman"/>
          <w:b w:val="0"/>
          <w:bCs w:val="0"/>
        </w:rPr>
        <w:t>amajam</w:t>
      </w:r>
      <w:r w:rsidR="00792C91" w:rsidRPr="007B1462">
        <w:rPr>
          <w:rFonts w:ascii="Times New Roman" w:hAnsi="Times New Roman"/>
          <w:b w:val="0"/>
          <w:bCs w:val="0"/>
        </w:rPr>
        <w:t xml:space="preserve"> finansēšanas periodam</w:t>
      </w:r>
      <w:r w:rsidRPr="007B1462">
        <w:rPr>
          <w:rFonts w:ascii="Times New Roman" w:hAnsi="Times New Roman"/>
          <w:b w:val="0"/>
          <w:bCs w:val="0"/>
        </w:rPr>
        <w:t xml:space="preserve">, </w:t>
      </w:r>
      <w:r w:rsidR="00AD2733" w:rsidRPr="007B1462">
        <w:rPr>
          <w:rFonts w:ascii="Times New Roman" w:hAnsi="Times New Roman"/>
          <w:b w:val="0"/>
          <w:bCs w:val="0"/>
        </w:rPr>
        <w:t xml:space="preserve">Izglītības un zinātnes ministrija </w:t>
      </w:r>
      <w:r w:rsidR="00792C91" w:rsidRPr="007B1462">
        <w:rPr>
          <w:rFonts w:ascii="Times New Roman" w:hAnsi="Times New Roman"/>
          <w:b w:val="0"/>
          <w:bCs w:val="0"/>
        </w:rPr>
        <w:t>iegū</w:t>
      </w:r>
      <w:r w:rsidRPr="007B1462">
        <w:rPr>
          <w:rFonts w:ascii="Times New Roman" w:hAnsi="Times New Roman"/>
          <w:b w:val="0"/>
          <w:bCs w:val="0"/>
        </w:rPr>
        <w:t>st</w:t>
      </w:r>
      <w:r w:rsidR="00792C91" w:rsidRPr="007B1462">
        <w:rPr>
          <w:rFonts w:ascii="Times New Roman" w:hAnsi="Times New Roman"/>
          <w:b w:val="0"/>
          <w:bCs w:val="0"/>
        </w:rPr>
        <w:t xml:space="preserve"> no Valsts </w:t>
      </w:r>
      <w:r w:rsidR="00565855" w:rsidRPr="007B1462">
        <w:rPr>
          <w:rFonts w:ascii="Times New Roman" w:hAnsi="Times New Roman"/>
          <w:b w:val="0"/>
          <w:bCs w:val="0"/>
        </w:rPr>
        <w:t>i</w:t>
      </w:r>
      <w:r w:rsidR="00792C91" w:rsidRPr="007B1462">
        <w:rPr>
          <w:rFonts w:ascii="Times New Roman" w:hAnsi="Times New Roman"/>
          <w:b w:val="0"/>
          <w:bCs w:val="0"/>
        </w:rPr>
        <w:t>zglītības informācijas sistēmas</w:t>
      </w:r>
      <w:r w:rsidRPr="007B1462">
        <w:rPr>
          <w:rFonts w:ascii="Times New Roman" w:hAnsi="Times New Roman"/>
          <w:b w:val="0"/>
          <w:bCs w:val="0"/>
        </w:rPr>
        <w:t>,</w:t>
      </w:r>
      <w:r w:rsidR="00792C91" w:rsidRPr="007B1462">
        <w:rPr>
          <w:rFonts w:ascii="Times New Roman" w:hAnsi="Times New Roman"/>
          <w:b w:val="0"/>
          <w:bCs w:val="0"/>
        </w:rPr>
        <w:t xml:space="preserve"> izmantojot līdz iepriekšējā gada 1.oktobrim</w:t>
      </w:r>
      <w:r w:rsidR="00AD2733" w:rsidRPr="007B1462">
        <w:rPr>
          <w:rFonts w:ascii="Times New Roman" w:hAnsi="Times New Roman"/>
          <w:b w:val="0"/>
          <w:bCs w:val="0"/>
        </w:rPr>
        <w:t xml:space="preserve"> šajā sistēmā</w:t>
      </w:r>
      <w:r w:rsidR="00792C91" w:rsidRPr="007B1462">
        <w:rPr>
          <w:rFonts w:ascii="Times New Roman" w:hAnsi="Times New Roman"/>
          <w:b w:val="0"/>
          <w:bCs w:val="0"/>
        </w:rPr>
        <w:t xml:space="preserve"> ievadīto informāciju par grādu vai kvalifikāciju ieguvušo absolventu skait</w:t>
      </w:r>
      <w:r w:rsidR="00565855" w:rsidRPr="007B1462">
        <w:rPr>
          <w:rFonts w:ascii="Times New Roman" w:hAnsi="Times New Roman"/>
          <w:b w:val="0"/>
          <w:bCs w:val="0"/>
        </w:rPr>
        <w:t>u</w:t>
      </w:r>
      <w:r w:rsidR="00792C91" w:rsidRPr="007B1462">
        <w:rPr>
          <w:rFonts w:ascii="Times New Roman" w:hAnsi="Times New Roman"/>
          <w:b w:val="0"/>
          <w:bCs w:val="0"/>
        </w:rPr>
        <w:t xml:space="preserve"> tematiskās grupas “Izglītība”</w:t>
      </w:r>
      <w:r w:rsidR="00AD2733" w:rsidRPr="007B1462">
        <w:rPr>
          <w:rFonts w:ascii="Times New Roman" w:hAnsi="Times New Roman"/>
          <w:b w:val="0"/>
          <w:bCs w:val="0"/>
        </w:rPr>
        <w:t xml:space="preserve"> studiju programmās. Informāciju</w:t>
      </w:r>
      <w:r w:rsidR="00792C91" w:rsidRPr="007B1462">
        <w:rPr>
          <w:rFonts w:ascii="Times New Roman" w:hAnsi="Times New Roman"/>
          <w:b w:val="0"/>
          <w:bCs w:val="0"/>
        </w:rPr>
        <w:t xml:space="preserve"> par tiem absolventiem, kuri ir uzsākuši</w:t>
      </w:r>
      <w:r w:rsidR="00AD2733" w:rsidRPr="007B1462">
        <w:rPr>
          <w:rFonts w:ascii="Times New Roman" w:hAnsi="Times New Roman"/>
          <w:b w:val="0"/>
          <w:bCs w:val="0"/>
        </w:rPr>
        <w:t xml:space="preserve"> vai turpina</w:t>
      </w:r>
      <w:r w:rsidR="00792C91" w:rsidRPr="007B1462">
        <w:rPr>
          <w:rFonts w:ascii="Times New Roman" w:hAnsi="Times New Roman"/>
          <w:b w:val="0"/>
          <w:bCs w:val="0"/>
        </w:rPr>
        <w:t xml:space="preserve"> pedagoģisko darbu </w:t>
      </w:r>
      <w:r w:rsidR="0043579A" w:rsidRPr="00220A16">
        <w:rPr>
          <w:rFonts w:ascii="Times New Roman" w:hAnsi="Times New Roman"/>
          <w:b w:val="0"/>
          <w:bCs w:val="0"/>
        </w:rPr>
        <w:t xml:space="preserve">vispārējās, </w:t>
      </w:r>
      <w:r w:rsidR="0043579A">
        <w:rPr>
          <w:rFonts w:ascii="Times New Roman" w:hAnsi="Times New Roman"/>
          <w:b w:val="0"/>
          <w:bCs w:val="0"/>
        </w:rPr>
        <w:t>profesionālās tālākizglītības un pilnveides, profesionālās ievirzes un bērnu un jauniešu interešu</w:t>
      </w:r>
      <w:r w:rsidR="0043579A" w:rsidRPr="00220A16">
        <w:rPr>
          <w:rFonts w:ascii="Times New Roman" w:hAnsi="Times New Roman"/>
          <w:b w:val="0"/>
          <w:bCs w:val="0"/>
        </w:rPr>
        <w:t xml:space="preserve"> izglītības iestādēs</w:t>
      </w:r>
      <w:r w:rsidR="00565855" w:rsidRPr="007B1462">
        <w:rPr>
          <w:rFonts w:ascii="Times New Roman" w:hAnsi="Times New Roman"/>
          <w:b w:val="0"/>
          <w:bCs w:val="0"/>
        </w:rPr>
        <w:t xml:space="preserve"> </w:t>
      </w:r>
      <w:r w:rsidR="00AD2733" w:rsidRPr="007B1462">
        <w:rPr>
          <w:rFonts w:ascii="Times New Roman" w:hAnsi="Times New Roman"/>
          <w:b w:val="0"/>
          <w:bCs w:val="0"/>
        </w:rPr>
        <w:t xml:space="preserve">Izglītības un zinātnes ministrija iegūst </w:t>
      </w:r>
      <w:r w:rsidR="00792C91" w:rsidRPr="007B1462">
        <w:rPr>
          <w:rFonts w:ascii="Times New Roman" w:hAnsi="Times New Roman"/>
          <w:b w:val="0"/>
          <w:bCs w:val="0"/>
        </w:rPr>
        <w:t xml:space="preserve">no Valsts </w:t>
      </w:r>
      <w:r w:rsidR="00565855" w:rsidRPr="007B1462">
        <w:rPr>
          <w:rFonts w:ascii="Times New Roman" w:hAnsi="Times New Roman"/>
          <w:b w:val="0"/>
          <w:bCs w:val="0"/>
        </w:rPr>
        <w:t>i</w:t>
      </w:r>
      <w:r w:rsidR="00792C91" w:rsidRPr="007B1462">
        <w:rPr>
          <w:rFonts w:ascii="Times New Roman" w:hAnsi="Times New Roman"/>
          <w:b w:val="0"/>
          <w:bCs w:val="0"/>
        </w:rPr>
        <w:t>zglītības informācijas sistēmas līdz 1.oktobrim.</w:t>
      </w:r>
      <w:r w:rsidR="0080426E" w:rsidRPr="007B1462">
        <w:rPr>
          <w:rFonts w:ascii="Times New Roman" w:hAnsi="Times New Roman"/>
          <w:b w:val="0"/>
          <w:bCs w:val="0"/>
        </w:rPr>
        <w:t xml:space="preserve"> </w:t>
      </w:r>
      <w:r w:rsidR="00565855" w:rsidRPr="007B1462">
        <w:rPr>
          <w:rFonts w:ascii="Times New Roman" w:hAnsi="Times New Roman"/>
          <w:b w:val="0"/>
          <w:bCs w:val="0"/>
        </w:rPr>
        <w:t xml:space="preserve">Šo noteikumu </w:t>
      </w:r>
      <w:r w:rsidRPr="007B1462">
        <w:rPr>
          <w:rFonts w:ascii="Times New Roman" w:hAnsi="Times New Roman"/>
          <w:b w:val="0"/>
          <w:bCs w:val="0"/>
        </w:rPr>
        <w:t>18</w:t>
      </w:r>
      <w:r w:rsidR="0080426E" w:rsidRPr="007B1462">
        <w:rPr>
          <w:rFonts w:ascii="Times New Roman" w:hAnsi="Times New Roman"/>
          <w:b w:val="0"/>
          <w:bCs w:val="0"/>
        </w:rPr>
        <w:t>.</w:t>
      </w:r>
      <w:r w:rsidRPr="007B1462">
        <w:rPr>
          <w:rFonts w:ascii="Times New Roman" w:hAnsi="Times New Roman"/>
          <w:b w:val="0"/>
          <w:bCs w:val="0"/>
          <w:vertAlign w:val="superscript"/>
        </w:rPr>
        <w:t>2</w:t>
      </w:r>
      <w:r w:rsidRPr="007B1462">
        <w:rPr>
          <w:rFonts w:ascii="Times New Roman" w:hAnsi="Times New Roman"/>
          <w:b w:val="0"/>
          <w:bCs w:val="0"/>
        </w:rPr>
        <w:t xml:space="preserve"> </w:t>
      </w:r>
      <w:r w:rsidR="0080426E" w:rsidRPr="007B1462">
        <w:rPr>
          <w:rFonts w:ascii="Times New Roman" w:hAnsi="Times New Roman"/>
          <w:b w:val="0"/>
          <w:bCs w:val="0"/>
        </w:rPr>
        <w:t xml:space="preserve">punktā </w:t>
      </w:r>
      <w:r w:rsidR="00565855" w:rsidRPr="007B1462">
        <w:rPr>
          <w:rFonts w:ascii="Times New Roman" w:hAnsi="Times New Roman"/>
          <w:b w:val="0"/>
          <w:bCs w:val="0"/>
        </w:rPr>
        <w:t xml:space="preserve">noteiktajā kārtībā </w:t>
      </w:r>
      <w:r w:rsidR="0080426E" w:rsidRPr="007B1462">
        <w:rPr>
          <w:rFonts w:ascii="Times New Roman" w:hAnsi="Times New Roman"/>
          <w:b w:val="0"/>
          <w:bCs w:val="0"/>
        </w:rPr>
        <w:t>aprēķinātais finansējums tiek augstskolām piešķirts</w:t>
      </w:r>
      <w:r w:rsidR="007D3542" w:rsidRPr="007B1462">
        <w:rPr>
          <w:rFonts w:ascii="Times New Roman" w:hAnsi="Times New Roman"/>
          <w:b w:val="0"/>
          <w:bCs w:val="0"/>
        </w:rPr>
        <w:t xml:space="preserve"> </w:t>
      </w:r>
      <w:r w:rsidR="00E73D1B" w:rsidRPr="007B1462">
        <w:rPr>
          <w:rFonts w:ascii="Times New Roman" w:hAnsi="Times New Roman"/>
          <w:b w:val="0"/>
          <w:bCs w:val="0"/>
        </w:rPr>
        <w:t>uz šo noteikumu 20.punktā minēto līgumu</w:t>
      </w:r>
      <w:r w:rsidR="0080426E" w:rsidRPr="007B1462">
        <w:rPr>
          <w:rFonts w:ascii="Times New Roman" w:hAnsi="Times New Roman"/>
          <w:b w:val="0"/>
          <w:bCs w:val="0"/>
        </w:rPr>
        <w:t xml:space="preserve"> </w:t>
      </w:r>
      <w:r w:rsidR="00E73D1B" w:rsidRPr="007B1462">
        <w:rPr>
          <w:rFonts w:ascii="Times New Roman" w:hAnsi="Times New Roman"/>
          <w:b w:val="0"/>
          <w:bCs w:val="0"/>
        </w:rPr>
        <w:t>pamata</w:t>
      </w:r>
      <w:r w:rsidR="0080426E" w:rsidRPr="007B1462">
        <w:rPr>
          <w:rFonts w:ascii="Times New Roman" w:hAnsi="Times New Roman"/>
          <w:b w:val="0"/>
          <w:bCs w:val="0"/>
        </w:rPr>
        <w:t>.</w:t>
      </w:r>
      <w:r w:rsidR="00C21B47" w:rsidRPr="007B1462">
        <w:rPr>
          <w:rFonts w:ascii="Times New Roman" w:hAnsi="Times New Roman"/>
          <w:b w:val="0"/>
          <w:bCs w:val="0"/>
        </w:rPr>
        <w:t>”</w:t>
      </w:r>
    </w:p>
    <w:p w14:paraId="1C538E27" w14:textId="77777777" w:rsidR="00E73D1B" w:rsidRDefault="00E73D1B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4C8137F9" w14:textId="3F2CA17A" w:rsidR="00E73D1B" w:rsidRPr="007B1462" w:rsidRDefault="00E73D1B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7B1462">
        <w:rPr>
          <w:rFonts w:ascii="Times New Roman" w:hAnsi="Times New Roman"/>
          <w:b w:val="0"/>
        </w:rPr>
        <w:t xml:space="preserve">4. </w:t>
      </w:r>
      <w:r w:rsidR="00B53E83" w:rsidRPr="007B1462">
        <w:rPr>
          <w:rFonts w:ascii="Times New Roman" w:hAnsi="Times New Roman"/>
          <w:b w:val="0"/>
        </w:rPr>
        <w:t>Aizstāt</w:t>
      </w:r>
      <w:r w:rsidRPr="007B1462">
        <w:rPr>
          <w:rFonts w:ascii="Times New Roman" w:hAnsi="Times New Roman"/>
          <w:b w:val="0"/>
        </w:rPr>
        <w:t xml:space="preserve"> 20.</w:t>
      </w:r>
      <w:r w:rsidRPr="007B1462">
        <w:rPr>
          <w:rFonts w:ascii="Times New Roman" w:hAnsi="Times New Roman"/>
          <w:b w:val="0"/>
          <w:vertAlign w:val="superscript"/>
        </w:rPr>
        <w:t xml:space="preserve"> </w:t>
      </w:r>
      <w:r w:rsidR="00B53E83" w:rsidRPr="007B1462">
        <w:rPr>
          <w:rFonts w:ascii="Times New Roman" w:hAnsi="Times New Roman"/>
          <w:b w:val="0"/>
        </w:rPr>
        <w:t>punkt</w:t>
      </w:r>
      <w:r w:rsidR="005327E3">
        <w:rPr>
          <w:rFonts w:ascii="Times New Roman" w:hAnsi="Times New Roman"/>
          <w:b w:val="0"/>
        </w:rPr>
        <w:t>ā</w:t>
      </w:r>
      <w:r w:rsidR="00B53E83" w:rsidRPr="007B1462">
        <w:rPr>
          <w:rFonts w:ascii="Times New Roman" w:hAnsi="Times New Roman"/>
          <w:b w:val="0"/>
        </w:rPr>
        <w:t xml:space="preserve"> </w:t>
      </w:r>
      <w:r w:rsidR="007B1462">
        <w:rPr>
          <w:rFonts w:ascii="Times New Roman" w:hAnsi="Times New Roman"/>
          <w:b w:val="0"/>
        </w:rPr>
        <w:t xml:space="preserve">skaitļus un </w:t>
      </w:r>
      <w:r w:rsidR="00B53E83" w:rsidRPr="007B1462">
        <w:rPr>
          <w:rFonts w:ascii="Times New Roman" w:hAnsi="Times New Roman"/>
          <w:b w:val="0"/>
        </w:rPr>
        <w:t xml:space="preserve">vārdus </w:t>
      </w:r>
      <w:r w:rsidRPr="007B1462">
        <w:rPr>
          <w:rFonts w:ascii="Times New Roman" w:hAnsi="Times New Roman"/>
          <w:b w:val="0"/>
        </w:rPr>
        <w:t xml:space="preserve">“14. un 17. punktu” ar </w:t>
      </w:r>
      <w:r w:rsidR="007B1462">
        <w:rPr>
          <w:rFonts w:ascii="Times New Roman" w:hAnsi="Times New Roman"/>
          <w:b w:val="0"/>
        </w:rPr>
        <w:t xml:space="preserve">skaitļiem un </w:t>
      </w:r>
      <w:r w:rsidRPr="007B1462">
        <w:rPr>
          <w:rFonts w:ascii="Times New Roman" w:hAnsi="Times New Roman"/>
          <w:b w:val="0"/>
        </w:rPr>
        <w:t xml:space="preserve">vārdiem “14., 17. un </w:t>
      </w:r>
      <w:r w:rsidRPr="007B1462">
        <w:rPr>
          <w:rFonts w:ascii="Times New Roman" w:hAnsi="Times New Roman"/>
          <w:b w:val="0"/>
          <w:bCs w:val="0"/>
        </w:rPr>
        <w:t>18.</w:t>
      </w:r>
      <w:r w:rsidRPr="007B1462">
        <w:rPr>
          <w:rFonts w:ascii="Times New Roman" w:hAnsi="Times New Roman"/>
          <w:b w:val="0"/>
          <w:bCs w:val="0"/>
          <w:vertAlign w:val="superscript"/>
        </w:rPr>
        <w:t>2</w:t>
      </w:r>
      <w:r w:rsidRPr="007B1462">
        <w:rPr>
          <w:rFonts w:ascii="Times New Roman" w:hAnsi="Times New Roman"/>
          <w:b w:val="0"/>
          <w:bCs w:val="0"/>
        </w:rPr>
        <w:t xml:space="preserve"> </w:t>
      </w:r>
      <w:r w:rsidRPr="007B1462">
        <w:rPr>
          <w:rFonts w:ascii="Times New Roman" w:hAnsi="Times New Roman"/>
          <w:b w:val="0"/>
        </w:rPr>
        <w:t>punktu”</w:t>
      </w:r>
      <w:r w:rsidR="005327E3">
        <w:rPr>
          <w:rFonts w:ascii="Times New Roman" w:hAnsi="Times New Roman"/>
          <w:b w:val="0"/>
        </w:rPr>
        <w:t>.</w:t>
      </w:r>
    </w:p>
    <w:p w14:paraId="05FBA701" w14:textId="77777777" w:rsidR="00792C91" w:rsidRPr="007B1462" w:rsidRDefault="00792C91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3A746D67" w14:textId="4064B8C2" w:rsidR="00792C91" w:rsidRPr="007B1462" w:rsidRDefault="00E73D1B" w:rsidP="00792C9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7B1462">
        <w:rPr>
          <w:rFonts w:ascii="Times New Roman" w:hAnsi="Times New Roman"/>
          <w:b w:val="0"/>
          <w:bCs w:val="0"/>
        </w:rPr>
        <w:t>5</w:t>
      </w:r>
      <w:r w:rsidR="00792C91" w:rsidRPr="007B1462">
        <w:rPr>
          <w:rFonts w:ascii="Times New Roman" w:hAnsi="Times New Roman"/>
          <w:b w:val="0"/>
          <w:bCs w:val="0"/>
        </w:rPr>
        <w:t xml:space="preserve">. Papildināt noteikumus ar </w:t>
      </w:r>
      <w:r w:rsidR="00F938E2" w:rsidRPr="007B1462">
        <w:rPr>
          <w:rFonts w:ascii="Times New Roman" w:hAnsi="Times New Roman"/>
          <w:b w:val="0"/>
          <w:bCs w:val="0"/>
        </w:rPr>
        <w:t>31</w:t>
      </w:r>
      <w:r w:rsidR="00792C91" w:rsidRPr="007B1462">
        <w:rPr>
          <w:rFonts w:ascii="Times New Roman" w:hAnsi="Times New Roman"/>
          <w:b w:val="0"/>
          <w:bCs w:val="0"/>
        </w:rPr>
        <w:t>.</w:t>
      </w:r>
      <w:r w:rsidR="00F938E2" w:rsidRPr="007B1462">
        <w:rPr>
          <w:rFonts w:ascii="Times New Roman" w:hAnsi="Times New Roman"/>
          <w:b w:val="0"/>
          <w:bCs w:val="0"/>
          <w:vertAlign w:val="superscript"/>
        </w:rPr>
        <w:t>2</w:t>
      </w:r>
      <w:r w:rsidR="00F938E2" w:rsidRPr="007B1462">
        <w:rPr>
          <w:rFonts w:ascii="Times New Roman" w:hAnsi="Times New Roman"/>
          <w:b w:val="0"/>
          <w:bCs w:val="0"/>
        </w:rPr>
        <w:t xml:space="preserve"> </w:t>
      </w:r>
      <w:r w:rsidR="00792C91" w:rsidRPr="007B1462">
        <w:rPr>
          <w:rFonts w:ascii="Times New Roman" w:hAnsi="Times New Roman"/>
          <w:b w:val="0"/>
          <w:bCs w:val="0"/>
        </w:rPr>
        <w:t>punktu šādā redakcijā:</w:t>
      </w:r>
    </w:p>
    <w:p w14:paraId="2335D1FC" w14:textId="4E325FD5" w:rsidR="00792C91" w:rsidRPr="00220A16" w:rsidRDefault="00565855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7B1462">
        <w:rPr>
          <w:rFonts w:ascii="Times New Roman" w:hAnsi="Times New Roman"/>
          <w:b w:val="0"/>
          <w:bCs w:val="0"/>
        </w:rPr>
        <w:t>“</w:t>
      </w:r>
      <w:r w:rsidR="00F938E2" w:rsidRPr="007B1462">
        <w:rPr>
          <w:rFonts w:ascii="Times New Roman" w:hAnsi="Times New Roman"/>
          <w:b w:val="0"/>
          <w:bCs w:val="0"/>
        </w:rPr>
        <w:t xml:space="preserve">31. </w:t>
      </w:r>
      <w:r w:rsidR="00F938E2" w:rsidRPr="007B1462">
        <w:rPr>
          <w:rFonts w:ascii="Times New Roman" w:hAnsi="Times New Roman"/>
          <w:b w:val="0"/>
          <w:bCs w:val="0"/>
          <w:vertAlign w:val="superscript"/>
        </w:rPr>
        <w:t>2</w:t>
      </w:r>
      <w:r w:rsidR="00F938E2" w:rsidRPr="007B1462">
        <w:rPr>
          <w:rFonts w:ascii="Times New Roman" w:hAnsi="Times New Roman"/>
          <w:b w:val="0"/>
          <w:bCs w:val="0"/>
        </w:rPr>
        <w:t xml:space="preserve"> </w:t>
      </w:r>
      <w:r w:rsidR="00792C91" w:rsidRPr="007B1462">
        <w:rPr>
          <w:rFonts w:ascii="Times New Roman" w:hAnsi="Times New Roman"/>
          <w:b w:val="0"/>
          <w:bCs w:val="0"/>
        </w:rPr>
        <w:t xml:space="preserve">Informāciju, kura nepieciešama </w:t>
      </w:r>
      <w:r w:rsidRPr="007B1462">
        <w:rPr>
          <w:rFonts w:ascii="Times New Roman" w:hAnsi="Times New Roman"/>
          <w:b w:val="0"/>
          <w:bCs w:val="0"/>
        </w:rPr>
        <w:t xml:space="preserve">šo noteikumu </w:t>
      </w:r>
      <w:r w:rsidR="00F938E2" w:rsidRPr="007B1462">
        <w:rPr>
          <w:rFonts w:ascii="Times New Roman" w:hAnsi="Times New Roman"/>
          <w:b w:val="0"/>
          <w:bCs w:val="0"/>
        </w:rPr>
        <w:t>18</w:t>
      </w:r>
      <w:r w:rsidR="008C260E" w:rsidRPr="007B1462">
        <w:rPr>
          <w:rFonts w:ascii="Times New Roman" w:hAnsi="Times New Roman"/>
          <w:b w:val="0"/>
          <w:bCs w:val="0"/>
        </w:rPr>
        <w:t>.</w:t>
      </w:r>
      <w:r w:rsidR="00F938E2" w:rsidRPr="007B1462">
        <w:rPr>
          <w:rFonts w:ascii="Times New Roman" w:hAnsi="Times New Roman"/>
          <w:b w:val="0"/>
          <w:bCs w:val="0"/>
          <w:vertAlign w:val="superscript"/>
        </w:rPr>
        <w:t>2</w:t>
      </w:r>
      <w:r w:rsidR="00F938E2" w:rsidRPr="007B1462">
        <w:rPr>
          <w:rFonts w:ascii="Times New Roman" w:hAnsi="Times New Roman"/>
          <w:b w:val="0"/>
          <w:bCs w:val="0"/>
        </w:rPr>
        <w:t xml:space="preserve"> </w:t>
      </w:r>
      <w:r w:rsidR="008C260E" w:rsidRPr="007B1462">
        <w:rPr>
          <w:rFonts w:ascii="Times New Roman" w:hAnsi="Times New Roman"/>
          <w:b w:val="0"/>
          <w:bCs w:val="0"/>
        </w:rPr>
        <w:t>punkt</w:t>
      </w:r>
      <w:r w:rsidRPr="007B1462">
        <w:rPr>
          <w:rFonts w:ascii="Times New Roman" w:hAnsi="Times New Roman"/>
          <w:b w:val="0"/>
          <w:bCs w:val="0"/>
        </w:rPr>
        <w:t>ā noteiktā</w:t>
      </w:r>
      <w:r w:rsidR="008C260E" w:rsidRPr="007B1462">
        <w:rPr>
          <w:rFonts w:ascii="Times New Roman" w:hAnsi="Times New Roman"/>
          <w:b w:val="0"/>
          <w:bCs w:val="0"/>
        </w:rPr>
        <w:t xml:space="preserve"> </w:t>
      </w:r>
      <w:r w:rsidR="00792C91" w:rsidRPr="007B1462">
        <w:rPr>
          <w:rFonts w:ascii="Times New Roman" w:hAnsi="Times New Roman"/>
          <w:b w:val="0"/>
          <w:bCs w:val="0"/>
        </w:rPr>
        <w:t xml:space="preserve">snieguma finansējuma aprēķināšanai </w:t>
      </w:r>
      <w:r w:rsidR="008C260E" w:rsidRPr="007B1462">
        <w:rPr>
          <w:rFonts w:ascii="Times New Roman" w:hAnsi="Times New Roman"/>
          <w:b w:val="0"/>
          <w:bCs w:val="0"/>
        </w:rPr>
        <w:t>2018. un 2019.gadam</w:t>
      </w:r>
      <w:r w:rsidR="00792C91" w:rsidRPr="007B1462">
        <w:rPr>
          <w:rFonts w:ascii="Times New Roman" w:hAnsi="Times New Roman"/>
          <w:b w:val="0"/>
          <w:bCs w:val="0"/>
        </w:rPr>
        <w:t xml:space="preserve"> </w:t>
      </w:r>
      <w:r w:rsidR="00E73D1B" w:rsidRPr="007B1462">
        <w:rPr>
          <w:rFonts w:ascii="Times New Roman" w:hAnsi="Times New Roman"/>
          <w:b w:val="0"/>
          <w:bCs w:val="0"/>
        </w:rPr>
        <w:t xml:space="preserve">Izglītības un zinātnes ministrija iegūst </w:t>
      </w:r>
      <w:r w:rsidR="00792C91" w:rsidRPr="007B1462">
        <w:rPr>
          <w:rFonts w:ascii="Times New Roman" w:hAnsi="Times New Roman"/>
          <w:b w:val="0"/>
          <w:bCs w:val="0"/>
        </w:rPr>
        <w:t xml:space="preserve">no Valsts </w:t>
      </w:r>
      <w:r w:rsidRPr="007B1462">
        <w:rPr>
          <w:rFonts w:ascii="Times New Roman" w:hAnsi="Times New Roman"/>
          <w:b w:val="0"/>
          <w:bCs w:val="0"/>
        </w:rPr>
        <w:t>i</w:t>
      </w:r>
      <w:r w:rsidR="00792C91" w:rsidRPr="007B1462">
        <w:rPr>
          <w:rFonts w:ascii="Times New Roman" w:hAnsi="Times New Roman"/>
          <w:b w:val="0"/>
          <w:bCs w:val="0"/>
        </w:rPr>
        <w:t>zglītības informācijas sistēmas</w:t>
      </w:r>
      <w:r w:rsidR="00CB75CB">
        <w:rPr>
          <w:rFonts w:ascii="Times New Roman" w:hAnsi="Times New Roman"/>
          <w:b w:val="0"/>
          <w:bCs w:val="0"/>
        </w:rPr>
        <w:t>,</w:t>
      </w:r>
      <w:r w:rsidR="00792C91" w:rsidRPr="007B1462">
        <w:rPr>
          <w:rFonts w:ascii="Times New Roman" w:hAnsi="Times New Roman"/>
          <w:b w:val="0"/>
          <w:bCs w:val="0"/>
        </w:rPr>
        <w:t xml:space="preserve"> izmantojot līdz </w:t>
      </w:r>
      <w:r w:rsidR="008C260E" w:rsidRPr="007B1462">
        <w:rPr>
          <w:rFonts w:ascii="Times New Roman" w:hAnsi="Times New Roman"/>
          <w:b w:val="0"/>
          <w:bCs w:val="0"/>
        </w:rPr>
        <w:t>2017.</w:t>
      </w:r>
      <w:r w:rsidR="00792C91" w:rsidRPr="007B1462">
        <w:rPr>
          <w:rFonts w:ascii="Times New Roman" w:hAnsi="Times New Roman"/>
          <w:b w:val="0"/>
          <w:bCs w:val="0"/>
        </w:rPr>
        <w:t xml:space="preserve"> gada 1.</w:t>
      </w:r>
      <w:r w:rsidR="008C260E" w:rsidRPr="007B1462">
        <w:rPr>
          <w:rFonts w:ascii="Times New Roman" w:hAnsi="Times New Roman"/>
          <w:b w:val="0"/>
          <w:bCs w:val="0"/>
        </w:rPr>
        <w:t>decembrim</w:t>
      </w:r>
      <w:r w:rsidR="00792C91" w:rsidRPr="007B1462">
        <w:rPr>
          <w:rFonts w:ascii="Times New Roman" w:hAnsi="Times New Roman"/>
          <w:b w:val="0"/>
          <w:bCs w:val="0"/>
        </w:rPr>
        <w:t xml:space="preserve"> ievadīto informāciju par grādu vai kvalifikāciju ieguvušo absolventu skait</w:t>
      </w:r>
      <w:r w:rsidRPr="007B1462">
        <w:rPr>
          <w:rFonts w:ascii="Times New Roman" w:hAnsi="Times New Roman"/>
          <w:b w:val="0"/>
          <w:bCs w:val="0"/>
        </w:rPr>
        <w:t>u</w:t>
      </w:r>
      <w:r w:rsidR="00792C91" w:rsidRPr="007B1462">
        <w:rPr>
          <w:rFonts w:ascii="Times New Roman" w:hAnsi="Times New Roman"/>
          <w:b w:val="0"/>
          <w:bCs w:val="0"/>
        </w:rPr>
        <w:t xml:space="preserve"> tematiskās grupas “Izglītība” studiju programmās. Inf</w:t>
      </w:r>
      <w:r w:rsidR="00E73D1B" w:rsidRPr="007B1462">
        <w:rPr>
          <w:rFonts w:ascii="Times New Roman" w:hAnsi="Times New Roman"/>
          <w:b w:val="0"/>
          <w:bCs w:val="0"/>
        </w:rPr>
        <w:t xml:space="preserve">ormācija par tiem absolventiem, kuri ir uzsākuši vai turpina </w:t>
      </w:r>
      <w:r w:rsidR="00792C91" w:rsidRPr="007B1462">
        <w:rPr>
          <w:rFonts w:ascii="Times New Roman" w:hAnsi="Times New Roman"/>
          <w:b w:val="0"/>
          <w:bCs w:val="0"/>
        </w:rPr>
        <w:t xml:space="preserve">pedagoģisko darbu </w:t>
      </w:r>
      <w:r w:rsidR="0043579A" w:rsidRPr="00220A16">
        <w:rPr>
          <w:rFonts w:ascii="Times New Roman" w:hAnsi="Times New Roman"/>
          <w:b w:val="0"/>
          <w:bCs w:val="0"/>
        </w:rPr>
        <w:t xml:space="preserve">vispārējās, </w:t>
      </w:r>
      <w:r w:rsidR="0043579A">
        <w:rPr>
          <w:rFonts w:ascii="Times New Roman" w:hAnsi="Times New Roman"/>
          <w:b w:val="0"/>
          <w:bCs w:val="0"/>
        </w:rPr>
        <w:t>profesionālās tālākizglītības un pilnveides, profesionālās ievirzes un bērnu un jauniešu interešu</w:t>
      </w:r>
      <w:r w:rsidR="0043579A" w:rsidRPr="00220A16">
        <w:rPr>
          <w:rFonts w:ascii="Times New Roman" w:hAnsi="Times New Roman"/>
          <w:b w:val="0"/>
          <w:bCs w:val="0"/>
        </w:rPr>
        <w:t xml:space="preserve"> izglītības iestādēs</w:t>
      </w:r>
      <w:r w:rsidR="0043579A" w:rsidRPr="007B1462">
        <w:rPr>
          <w:rFonts w:ascii="Times New Roman" w:hAnsi="Times New Roman"/>
          <w:b w:val="0"/>
          <w:bCs w:val="0"/>
        </w:rPr>
        <w:t xml:space="preserve"> </w:t>
      </w:r>
      <w:r w:rsidR="00792C91" w:rsidRPr="007B1462">
        <w:rPr>
          <w:rFonts w:ascii="Times New Roman" w:hAnsi="Times New Roman"/>
          <w:b w:val="0"/>
          <w:bCs w:val="0"/>
        </w:rPr>
        <w:t xml:space="preserve">tiek iegūta no Valsts </w:t>
      </w:r>
      <w:r w:rsidRPr="007B1462">
        <w:rPr>
          <w:rFonts w:ascii="Times New Roman" w:hAnsi="Times New Roman"/>
          <w:b w:val="0"/>
          <w:bCs w:val="0"/>
        </w:rPr>
        <w:t>i</w:t>
      </w:r>
      <w:r w:rsidR="00792C91" w:rsidRPr="007B1462">
        <w:rPr>
          <w:rFonts w:ascii="Times New Roman" w:hAnsi="Times New Roman"/>
          <w:b w:val="0"/>
          <w:bCs w:val="0"/>
        </w:rPr>
        <w:t xml:space="preserve">zglītības informācijas </w:t>
      </w:r>
      <w:r w:rsidR="00792C91" w:rsidRPr="007B1462">
        <w:rPr>
          <w:rFonts w:ascii="Times New Roman" w:hAnsi="Times New Roman"/>
          <w:b w:val="0"/>
          <w:bCs w:val="0"/>
        </w:rPr>
        <w:lastRenderedPageBreak/>
        <w:t>sistēmas līdz</w:t>
      </w:r>
      <w:r w:rsidR="008C260E" w:rsidRPr="007B1462">
        <w:rPr>
          <w:rFonts w:ascii="Times New Roman" w:hAnsi="Times New Roman"/>
          <w:b w:val="0"/>
          <w:bCs w:val="0"/>
        </w:rPr>
        <w:t xml:space="preserve"> 2018.gada</w:t>
      </w:r>
      <w:r w:rsidR="00792C91" w:rsidRPr="007B1462">
        <w:rPr>
          <w:rFonts w:ascii="Times New Roman" w:hAnsi="Times New Roman"/>
          <w:b w:val="0"/>
          <w:bCs w:val="0"/>
        </w:rPr>
        <w:t xml:space="preserve"> 1.</w:t>
      </w:r>
      <w:r w:rsidR="008C260E" w:rsidRPr="007B1462">
        <w:rPr>
          <w:rFonts w:ascii="Times New Roman" w:hAnsi="Times New Roman"/>
          <w:b w:val="0"/>
          <w:bCs w:val="0"/>
        </w:rPr>
        <w:t>decembrim</w:t>
      </w:r>
      <w:r w:rsidR="00792C91" w:rsidRPr="007B1462">
        <w:rPr>
          <w:rFonts w:ascii="Times New Roman" w:hAnsi="Times New Roman"/>
          <w:b w:val="0"/>
          <w:bCs w:val="0"/>
        </w:rPr>
        <w:t>.</w:t>
      </w:r>
      <w:r w:rsidR="007D3542" w:rsidRPr="007B1462">
        <w:rPr>
          <w:rFonts w:ascii="Times New Roman" w:hAnsi="Times New Roman"/>
          <w:b w:val="0"/>
          <w:bCs w:val="0"/>
        </w:rPr>
        <w:t xml:space="preserve"> </w:t>
      </w:r>
      <w:r w:rsidRPr="007B1462">
        <w:rPr>
          <w:rFonts w:ascii="Times New Roman" w:hAnsi="Times New Roman"/>
          <w:b w:val="0"/>
          <w:bCs w:val="0"/>
        </w:rPr>
        <w:t xml:space="preserve">Šo noteikumu </w:t>
      </w:r>
      <w:r w:rsidR="007D3542" w:rsidRPr="007B1462">
        <w:rPr>
          <w:rFonts w:ascii="Times New Roman" w:hAnsi="Times New Roman"/>
          <w:b w:val="0"/>
          <w:bCs w:val="0"/>
        </w:rPr>
        <w:t>1</w:t>
      </w:r>
      <w:r w:rsidR="00A00A30" w:rsidRPr="007B1462">
        <w:rPr>
          <w:rFonts w:ascii="Times New Roman" w:hAnsi="Times New Roman"/>
          <w:b w:val="0"/>
          <w:bCs w:val="0"/>
        </w:rPr>
        <w:t>8</w:t>
      </w:r>
      <w:r w:rsidR="007D3542" w:rsidRPr="007B1462">
        <w:rPr>
          <w:rFonts w:ascii="Times New Roman" w:hAnsi="Times New Roman"/>
          <w:b w:val="0"/>
          <w:bCs w:val="0"/>
        </w:rPr>
        <w:t>.</w:t>
      </w:r>
      <w:r w:rsidR="00A00A30" w:rsidRPr="007B1462">
        <w:rPr>
          <w:rFonts w:ascii="Times New Roman" w:hAnsi="Times New Roman"/>
          <w:b w:val="0"/>
          <w:bCs w:val="0"/>
          <w:vertAlign w:val="superscript"/>
        </w:rPr>
        <w:t>2</w:t>
      </w:r>
      <w:r w:rsidR="007D3542" w:rsidRPr="007B1462">
        <w:rPr>
          <w:rFonts w:ascii="Times New Roman" w:hAnsi="Times New Roman"/>
          <w:b w:val="0"/>
          <w:bCs w:val="0"/>
        </w:rPr>
        <w:t xml:space="preserve">  punktā</w:t>
      </w:r>
      <w:r w:rsidRPr="007B1462">
        <w:rPr>
          <w:rFonts w:ascii="Times New Roman" w:hAnsi="Times New Roman"/>
          <w:b w:val="0"/>
          <w:bCs w:val="0"/>
        </w:rPr>
        <w:t xml:space="preserve"> noteiktajā kārtībā</w:t>
      </w:r>
      <w:r w:rsidR="007D3542" w:rsidRPr="007B1462">
        <w:rPr>
          <w:rFonts w:ascii="Times New Roman" w:hAnsi="Times New Roman"/>
          <w:b w:val="0"/>
          <w:bCs w:val="0"/>
        </w:rPr>
        <w:t xml:space="preserve"> aprēķinātais finansējums 2018.gadā tiek augstskolām piešķirts uz Izglītības un zinātnes ministrijas izdota rīkojuma pamata.</w:t>
      </w:r>
      <w:r w:rsidR="00E73D1B" w:rsidRPr="007B1462">
        <w:rPr>
          <w:rFonts w:ascii="Times New Roman" w:hAnsi="Times New Roman"/>
          <w:b w:val="0"/>
          <w:bCs w:val="0"/>
        </w:rPr>
        <w:t>”</w:t>
      </w:r>
    </w:p>
    <w:p w14:paraId="64154E8E" w14:textId="77777777" w:rsidR="00B053E0" w:rsidRDefault="00B053E0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31EBDC07" w14:textId="6F23E5AA" w:rsidR="0049270A" w:rsidRPr="007B1462" w:rsidRDefault="0049270A" w:rsidP="0049270A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6</w:t>
      </w:r>
      <w:r w:rsidRPr="007B1462">
        <w:rPr>
          <w:rFonts w:ascii="Times New Roman" w:hAnsi="Times New Roman"/>
          <w:b w:val="0"/>
          <w:bCs w:val="0"/>
        </w:rPr>
        <w:t>. Papildināt noteikumus ar 31.</w:t>
      </w:r>
      <w:r w:rsidRPr="007B1462">
        <w:rPr>
          <w:rFonts w:ascii="Times New Roman" w:hAnsi="Times New Roman"/>
          <w:b w:val="0"/>
          <w:bCs w:val="0"/>
          <w:vertAlign w:val="superscript"/>
        </w:rPr>
        <w:t>3</w:t>
      </w:r>
      <w:r w:rsidRPr="007B1462">
        <w:rPr>
          <w:rFonts w:ascii="Times New Roman" w:hAnsi="Times New Roman"/>
          <w:b w:val="0"/>
          <w:bCs w:val="0"/>
        </w:rPr>
        <w:t xml:space="preserve"> punktu šādā redakcijā:</w:t>
      </w:r>
    </w:p>
    <w:p w14:paraId="63543E6E" w14:textId="77777777" w:rsidR="0049270A" w:rsidRPr="00220A16" w:rsidRDefault="0049270A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38B1CE2D" w14:textId="21F1A28A" w:rsidR="007D3542" w:rsidRPr="005817A9" w:rsidRDefault="0049270A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“</w:t>
      </w:r>
      <w:r w:rsidR="00C21B47" w:rsidRPr="00220A16">
        <w:rPr>
          <w:rFonts w:ascii="Times New Roman" w:hAnsi="Times New Roman"/>
          <w:b w:val="0"/>
          <w:bCs w:val="0"/>
        </w:rPr>
        <w:t>31</w:t>
      </w:r>
      <w:r w:rsidR="002B5690" w:rsidRPr="00220A16">
        <w:rPr>
          <w:rFonts w:ascii="Times New Roman" w:hAnsi="Times New Roman"/>
          <w:b w:val="0"/>
          <w:bCs w:val="0"/>
        </w:rPr>
        <w:t>.</w:t>
      </w:r>
      <w:r w:rsidR="00AD5D11" w:rsidRPr="00AD2733">
        <w:rPr>
          <w:rFonts w:ascii="Times New Roman" w:hAnsi="Times New Roman"/>
          <w:b w:val="0"/>
          <w:vertAlign w:val="superscript"/>
        </w:rPr>
        <w:t>3</w:t>
      </w:r>
      <w:r w:rsidR="00222257" w:rsidRPr="00220A16">
        <w:rPr>
          <w:rFonts w:ascii="Times New Roman" w:hAnsi="Times New Roman"/>
          <w:b w:val="0"/>
          <w:bCs w:val="0"/>
        </w:rPr>
        <w:t xml:space="preserve"> </w:t>
      </w:r>
      <w:r w:rsidR="00B053E0" w:rsidRPr="00220A16">
        <w:rPr>
          <w:rFonts w:ascii="Times New Roman" w:hAnsi="Times New Roman"/>
          <w:b w:val="0"/>
          <w:bCs w:val="0"/>
        </w:rPr>
        <w:t xml:space="preserve">Šo noteikumu </w:t>
      </w:r>
      <w:r w:rsidR="002B5690" w:rsidRPr="00220A16">
        <w:rPr>
          <w:rFonts w:ascii="Times New Roman" w:hAnsi="Times New Roman"/>
          <w:b w:val="0"/>
          <w:bCs w:val="0"/>
        </w:rPr>
        <w:t>2</w:t>
      </w:r>
      <w:r w:rsidR="00B053E0" w:rsidRPr="00220A16">
        <w:rPr>
          <w:rFonts w:ascii="Times New Roman" w:hAnsi="Times New Roman"/>
          <w:b w:val="0"/>
          <w:bCs w:val="0"/>
        </w:rPr>
        <w:t>.pielikumā aprēķinātās</w:t>
      </w:r>
      <w:r w:rsidR="004F4E6B" w:rsidRPr="00220A16">
        <w:rPr>
          <w:rFonts w:ascii="Times New Roman" w:hAnsi="Times New Roman"/>
          <w:b w:val="0"/>
          <w:bCs w:val="0"/>
        </w:rPr>
        <w:t xml:space="preserve"> studiju vietas</w:t>
      </w:r>
      <w:r w:rsidR="00B053E0" w:rsidRPr="00220A16">
        <w:rPr>
          <w:rFonts w:ascii="Times New Roman" w:hAnsi="Times New Roman"/>
          <w:b w:val="0"/>
          <w:bCs w:val="0"/>
        </w:rPr>
        <w:t xml:space="preserve"> bāzes izmaksas</w:t>
      </w:r>
      <w:r w:rsidR="00322AD5" w:rsidRPr="00220A16">
        <w:rPr>
          <w:rFonts w:ascii="Times New Roman" w:hAnsi="Times New Roman"/>
          <w:b w:val="0"/>
          <w:bCs w:val="0"/>
        </w:rPr>
        <w:t xml:space="preserve"> </w:t>
      </w:r>
      <w:r w:rsidR="00222257" w:rsidRPr="00AD5D11">
        <w:rPr>
          <w:rFonts w:ascii="Times New Roman" w:hAnsi="Times New Roman"/>
          <w:b w:val="0"/>
          <w:bCs w:val="0"/>
        </w:rPr>
        <w:t>20</w:t>
      </w:r>
      <w:r w:rsidR="008C5EFB">
        <w:rPr>
          <w:rFonts w:ascii="Times New Roman" w:hAnsi="Times New Roman"/>
          <w:b w:val="0"/>
          <w:bCs w:val="0"/>
        </w:rPr>
        <w:t>21</w:t>
      </w:r>
      <w:r w:rsidR="00222257" w:rsidRPr="00AD5D11">
        <w:rPr>
          <w:rFonts w:ascii="Times New Roman" w:hAnsi="Times New Roman"/>
          <w:b w:val="0"/>
          <w:bCs w:val="0"/>
        </w:rPr>
        <w:t xml:space="preserve">.gadā tiek </w:t>
      </w:r>
      <w:r w:rsidR="00322AD5" w:rsidRPr="00AD5D11">
        <w:rPr>
          <w:rFonts w:ascii="Times New Roman" w:hAnsi="Times New Roman"/>
          <w:b w:val="0"/>
          <w:bCs w:val="0"/>
        </w:rPr>
        <w:t>nodrošinātas</w:t>
      </w:r>
      <w:r w:rsidR="00B053E0" w:rsidRPr="00AD5D11">
        <w:rPr>
          <w:rFonts w:ascii="Times New Roman" w:hAnsi="Times New Roman"/>
          <w:b w:val="0"/>
          <w:bCs w:val="0"/>
        </w:rPr>
        <w:t xml:space="preserve"> </w:t>
      </w:r>
      <w:r w:rsidR="00C10D65" w:rsidRPr="00AD5D11">
        <w:rPr>
          <w:rFonts w:ascii="Times New Roman" w:hAnsi="Times New Roman"/>
          <w:b w:val="0"/>
          <w:bCs w:val="0"/>
        </w:rPr>
        <w:t>80</w:t>
      </w:r>
      <w:r w:rsidR="00322AD5" w:rsidRPr="00AD5D11">
        <w:rPr>
          <w:rFonts w:ascii="Times New Roman" w:hAnsi="Times New Roman"/>
          <w:b w:val="0"/>
          <w:bCs w:val="0"/>
        </w:rPr>
        <w:t xml:space="preserve"> </w:t>
      </w:r>
      <w:r w:rsidR="00222257" w:rsidRPr="005817A9">
        <w:rPr>
          <w:rFonts w:ascii="Times New Roman" w:hAnsi="Times New Roman"/>
          <w:b w:val="0"/>
          <w:bCs w:val="0"/>
        </w:rPr>
        <w:t xml:space="preserve">procentu </w:t>
      </w:r>
      <w:r w:rsidR="00322AD5" w:rsidRPr="005817A9">
        <w:rPr>
          <w:rFonts w:ascii="Times New Roman" w:hAnsi="Times New Roman"/>
          <w:b w:val="0"/>
          <w:bCs w:val="0"/>
        </w:rPr>
        <w:t>apmērā</w:t>
      </w:r>
      <w:r w:rsidR="00222257" w:rsidRPr="005817A9">
        <w:rPr>
          <w:rFonts w:ascii="Times New Roman" w:hAnsi="Times New Roman"/>
          <w:b w:val="0"/>
        </w:rPr>
        <w:t xml:space="preserve">, </w:t>
      </w:r>
      <w:r w:rsidR="00322AD5" w:rsidRPr="005817A9">
        <w:rPr>
          <w:rFonts w:ascii="Times New Roman" w:hAnsi="Times New Roman"/>
          <w:b w:val="0"/>
        </w:rPr>
        <w:t>20</w:t>
      </w:r>
      <w:r w:rsidR="00983F30">
        <w:rPr>
          <w:rFonts w:ascii="Times New Roman" w:hAnsi="Times New Roman"/>
          <w:b w:val="0"/>
        </w:rPr>
        <w:t>2</w:t>
      </w:r>
      <w:r w:rsidR="008C5EFB">
        <w:rPr>
          <w:rFonts w:ascii="Times New Roman" w:hAnsi="Times New Roman"/>
          <w:b w:val="0"/>
        </w:rPr>
        <w:t>2</w:t>
      </w:r>
      <w:r w:rsidR="00322AD5" w:rsidRPr="005817A9">
        <w:rPr>
          <w:rFonts w:ascii="Times New Roman" w:hAnsi="Times New Roman"/>
          <w:b w:val="0"/>
        </w:rPr>
        <w:t>.gadā</w:t>
      </w:r>
      <w:r w:rsidR="00222257" w:rsidRPr="005817A9">
        <w:rPr>
          <w:rFonts w:ascii="Times New Roman" w:hAnsi="Times New Roman"/>
          <w:b w:val="0"/>
        </w:rPr>
        <w:t xml:space="preserve"> – 90 procentu apmērā.”</w:t>
      </w:r>
    </w:p>
    <w:p w14:paraId="4D94191A" w14:textId="77777777" w:rsidR="00222257" w:rsidRPr="00220A16" w:rsidRDefault="00222257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777AA124" w14:textId="4B813B33" w:rsidR="003E2C64" w:rsidRPr="00220A16" w:rsidRDefault="0049270A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7</w:t>
      </w:r>
      <w:r w:rsidR="003E2C64" w:rsidRPr="00220A16">
        <w:rPr>
          <w:rFonts w:ascii="Times New Roman" w:hAnsi="Times New Roman"/>
          <w:b w:val="0"/>
          <w:bCs w:val="0"/>
        </w:rPr>
        <w:t>.  Izteikt 2.pielikumu šādā redakcijā:</w:t>
      </w:r>
    </w:p>
    <w:p w14:paraId="63F13246" w14:textId="77777777" w:rsidR="006A013A" w:rsidRPr="00220A16" w:rsidRDefault="006A013A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3722A024" w14:textId="77777777" w:rsidR="006A013A" w:rsidRPr="00220A16" w:rsidRDefault="006A013A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628CED4" w14:textId="77777777" w:rsidR="0005662D" w:rsidRPr="00220A16" w:rsidRDefault="0005662D" w:rsidP="00482D00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2E8EDD42" w14:textId="1DD51FFD" w:rsidR="001208BF" w:rsidRPr="00220A16" w:rsidRDefault="00486184" w:rsidP="003B08FA">
      <w:pPr>
        <w:shd w:val="clear" w:color="auto" w:fill="FFFFFF"/>
        <w:ind w:firstLine="720"/>
        <w:jc w:val="right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bCs/>
          <w:color w:val="auto"/>
          <w:sz w:val="28"/>
          <w:szCs w:val="28"/>
          <w:lang w:eastAsia="lv-LV"/>
        </w:rPr>
        <w:t>“</w:t>
      </w:r>
      <w:r w:rsidR="001208BF" w:rsidRPr="00220A16">
        <w:rPr>
          <w:rFonts w:eastAsia="Times New Roman" w:cs="Times New Roman"/>
          <w:bCs/>
          <w:color w:val="auto"/>
          <w:sz w:val="28"/>
          <w:szCs w:val="28"/>
          <w:lang w:eastAsia="lv-LV"/>
        </w:rPr>
        <w:t>2.pielikums</w:t>
      </w:r>
    </w:p>
    <w:p w14:paraId="40A4F4C7" w14:textId="77777777" w:rsidR="001208BF" w:rsidRPr="00220A16" w:rsidRDefault="001208BF" w:rsidP="003B08FA">
      <w:pPr>
        <w:shd w:val="clear" w:color="auto" w:fill="FFFFFF"/>
        <w:ind w:firstLine="720"/>
        <w:jc w:val="right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bCs/>
          <w:color w:val="auto"/>
          <w:sz w:val="28"/>
          <w:szCs w:val="28"/>
          <w:lang w:eastAsia="lv-LV"/>
        </w:rPr>
        <w:t>Ministru kabineta</w:t>
      </w:r>
    </w:p>
    <w:p w14:paraId="2DC5F1AC" w14:textId="134F5993" w:rsidR="001208BF" w:rsidRPr="00220A16" w:rsidRDefault="001208BF" w:rsidP="003B08FA">
      <w:pPr>
        <w:shd w:val="clear" w:color="auto" w:fill="FFFFFF"/>
        <w:ind w:firstLine="720"/>
        <w:jc w:val="right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bCs/>
          <w:color w:val="auto"/>
          <w:sz w:val="28"/>
          <w:szCs w:val="28"/>
          <w:lang w:eastAsia="lv-LV"/>
        </w:rPr>
        <w:t>2006.gada 12.decembra noteikumiem Nr.994</w:t>
      </w:r>
    </w:p>
    <w:p w14:paraId="3B9DBF70" w14:textId="77777777" w:rsidR="001208BF" w:rsidRPr="00220A16" w:rsidRDefault="001208BF" w:rsidP="00482D00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</w:p>
    <w:p w14:paraId="150484D9" w14:textId="39CAFECD" w:rsidR="0005662D" w:rsidRPr="00220A16" w:rsidRDefault="0005662D" w:rsidP="00482D00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  <w:t>Studiju vietas bāzes izmaksu un sociālā nodrošinājuma izmaksu aprēķinu metodika</w:t>
      </w:r>
    </w:p>
    <w:p w14:paraId="7022B909" w14:textId="77777777" w:rsidR="00DF222E" w:rsidRPr="00220A16" w:rsidRDefault="00DF222E" w:rsidP="00482D00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</w:p>
    <w:p w14:paraId="04C40E22" w14:textId="703EB6D0" w:rsidR="0005662D" w:rsidRPr="00220A16" w:rsidRDefault="0005662D" w:rsidP="00482D00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  <w:t>I. Studiju vietas bāzes izmaksu aprēķins</w:t>
      </w:r>
    </w:p>
    <w:p w14:paraId="5D03A786" w14:textId="77777777" w:rsidR="001C2CD5" w:rsidRPr="00220A16" w:rsidRDefault="001C2CD5" w:rsidP="00482D00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</w:p>
    <w:p w14:paraId="705ECF18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 Studiju vietas bāzes izmaksas aprēķina, izmantojot šādu formulu:</w:t>
      </w:r>
    </w:p>
    <w:p w14:paraId="1B471DAC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03BB406" w14:textId="77777777" w:rsidR="0005662D" w:rsidRPr="00220A16" w:rsidRDefault="0005662D" w:rsidP="00482D00">
      <w:pPr>
        <w:shd w:val="clear" w:color="auto" w:fill="FFFFFF"/>
        <w:ind w:firstLine="720"/>
        <w:jc w:val="center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Tb = N1 + N2 + N3 + N4 + N5 + N6 + N7, kur</w:t>
      </w:r>
    </w:p>
    <w:p w14:paraId="1249FF11" w14:textId="77777777" w:rsidR="00482D00" w:rsidRPr="00220A16" w:rsidRDefault="00482D00" w:rsidP="00482D00">
      <w:pPr>
        <w:shd w:val="clear" w:color="auto" w:fill="FFFFFF"/>
        <w:ind w:firstLine="720"/>
        <w:jc w:val="center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D75F7AA" w14:textId="39665BE9" w:rsidR="0005662D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1.1. </w:t>
      </w:r>
      <w:r w:rsidR="007432FF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N1 –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darba alga (turpmāk </w:t>
      </w:r>
      <w:r w:rsidR="00D44A92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d.a.) uz vienu studiju vietu =</w:t>
      </w:r>
    </w:p>
    <w:p w14:paraId="3BCAEFC4" w14:textId="77777777" w:rsidR="00482D00" w:rsidRPr="00220A16" w:rsidRDefault="00482D00" w:rsidP="00482D00">
      <w:pPr>
        <w:ind w:firstLine="720"/>
        <w:rPr>
          <w:color w:val="auto"/>
          <w:lang w:eastAsia="lv-LV"/>
        </w:rPr>
      </w:pPr>
    </w:p>
    <w:p w14:paraId="01AAF20E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(akadēmiskā personāla vidējā d.a. uz vienu studiju vietu gadā) + (pārējo darbinieku (turpmāk – darbinieks) d.a. uz vienu studiju vietu gadā):</w:t>
      </w:r>
    </w:p>
    <w:p w14:paraId="26E0BE5B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614B4E6" w14:textId="76E22127" w:rsidR="0005662D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1.1.1.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akadēmiskā personāla d.a. uz vienu studiju vietu gadā =</w:t>
      </w:r>
    </w:p>
    <w:p w14:paraId="16F37231" w14:textId="77777777" w:rsidR="00482D00" w:rsidRPr="00220A16" w:rsidRDefault="00482D00" w:rsidP="00482D00">
      <w:pPr>
        <w:ind w:firstLine="720"/>
        <w:rPr>
          <w:color w:val="auto"/>
          <w:lang w:eastAsia="lv-LV"/>
        </w:rPr>
      </w:pPr>
    </w:p>
    <w:p w14:paraId="336C8EDE" w14:textId="684C97A7" w:rsidR="0005662D" w:rsidRPr="00732BD9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= [12 x (akadēmiskā personāla d.a. x proporcija)] / (vidējais studentu skaits uz </w:t>
      </w:r>
      <w:r w:rsidRPr="00732BD9">
        <w:rPr>
          <w:rFonts w:eastAsia="Times New Roman" w:cs="Times New Roman"/>
          <w:color w:val="auto"/>
          <w:sz w:val="28"/>
          <w:szCs w:val="28"/>
          <w:lang w:eastAsia="lv-LV"/>
        </w:rPr>
        <w:t>vienu akadēmisko person</w:t>
      </w:r>
      <w:r w:rsidR="00433618" w:rsidRPr="00732BD9">
        <w:rPr>
          <w:rFonts w:eastAsia="Times New Roman" w:cs="Times New Roman"/>
          <w:color w:val="auto"/>
          <w:sz w:val="28"/>
          <w:szCs w:val="28"/>
          <w:lang w:eastAsia="lv-LV"/>
        </w:rPr>
        <w:t>ālu</w:t>
      </w:r>
      <w:r w:rsidRPr="00732BD9">
        <w:rPr>
          <w:rFonts w:eastAsia="Times New Roman" w:cs="Times New Roman"/>
          <w:color w:val="auto"/>
          <w:sz w:val="28"/>
          <w:szCs w:val="28"/>
          <w:lang w:eastAsia="lv-LV"/>
        </w:rPr>
        <w:t>);</w:t>
      </w:r>
    </w:p>
    <w:p w14:paraId="5C1ED392" w14:textId="77777777" w:rsidR="00482D00" w:rsidRPr="00732BD9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6B196DF" w14:textId="77777777" w:rsidR="0005662D" w:rsidRPr="00732BD9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732BD9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25A7725D" w14:textId="77777777" w:rsidR="00482D00" w:rsidRPr="00732BD9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45F5CC37" w14:textId="2CDF95E4" w:rsidR="0005662D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732BD9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="0005662D" w:rsidRPr="00732BD9">
        <w:rPr>
          <w:rFonts w:eastAsia="Times New Roman" w:cs="Times New Roman"/>
          <w:color w:val="auto"/>
          <w:sz w:val="28"/>
          <w:szCs w:val="28"/>
          <w:lang w:eastAsia="lv-LV"/>
        </w:rPr>
        <w:t xml:space="preserve">Akadēmiskā personāla d.a. </w:t>
      </w:r>
      <w:r w:rsidR="00D9792E" w:rsidRPr="00732BD9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05662D" w:rsidRPr="00732BD9">
        <w:rPr>
          <w:rFonts w:eastAsia="Times New Roman" w:cs="Times New Roman"/>
          <w:color w:val="auto"/>
          <w:sz w:val="28"/>
          <w:szCs w:val="28"/>
          <w:lang w:eastAsia="lv-LV"/>
        </w:rPr>
        <w:t xml:space="preserve"> saskaņā ar normatīvajiem aktiem</w:t>
      </w:r>
      <w:r w:rsidR="005817A9" w:rsidRPr="00732BD9">
        <w:rPr>
          <w:rFonts w:eastAsia="Times New Roman" w:cs="Times New Roman"/>
          <w:color w:val="auto"/>
          <w:sz w:val="28"/>
          <w:szCs w:val="28"/>
          <w:lang w:eastAsia="lv-LV"/>
        </w:rPr>
        <w:t>, kuri nosaka pedagoga darba samaksu</w:t>
      </w:r>
      <w:r w:rsidR="0005662D" w:rsidRPr="00732BD9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3DB29F6" w14:textId="77777777" w:rsidR="00482D00" w:rsidRPr="00AD5D11" w:rsidRDefault="00482D00" w:rsidP="00482D00">
      <w:pPr>
        <w:ind w:firstLine="720"/>
        <w:rPr>
          <w:color w:val="auto"/>
          <w:lang w:eastAsia="lv-LV"/>
        </w:rPr>
      </w:pPr>
    </w:p>
    <w:p w14:paraId="01A846B5" w14:textId="400EE9E2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2. Proporcija </w:t>
      </w:r>
      <w:r w:rsidR="00D9792E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ekspertu atzinums:</w:t>
      </w:r>
    </w:p>
    <w:p w14:paraId="7FD2C543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tbl>
      <w:tblPr>
        <w:tblW w:w="35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6"/>
        <w:gridCol w:w="2366"/>
      </w:tblGrid>
      <w:tr w:rsidR="00220A16" w:rsidRPr="00220A16" w14:paraId="14274D4E" w14:textId="77777777" w:rsidTr="00E103AB">
        <w:trPr>
          <w:trHeight w:val="60"/>
        </w:trPr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AD305F" w14:textId="77777777" w:rsidR="0005662D" w:rsidRPr="00220A16" w:rsidRDefault="0005662D" w:rsidP="00482D00">
            <w:pPr>
              <w:ind w:firstLine="72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Akadēmiskais personāls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58335" w14:textId="77777777" w:rsidR="0005662D" w:rsidRPr="00220A16" w:rsidRDefault="0005662D" w:rsidP="00482D00">
            <w:pPr>
              <w:ind w:firstLine="72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Proporcija (%)</w:t>
            </w:r>
          </w:p>
        </w:tc>
      </w:tr>
      <w:tr w:rsidR="00220A16" w:rsidRPr="00220A16" w14:paraId="2623F5C4" w14:textId="77777777" w:rsidTr="00E103AB">
        <w:trPr>
          <w:trHeight w:val="60"/>
        </w:trPr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CD5847" w14:textId="77777777" w:rsidR="0005662D" w:rsidRPr="00220A16" w:rsidRDefault="0005662D" w:rsidP="00482D00">
            <w:pPr>
              <w:ind w:firstLine="72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Profesors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0810F" w14:textId="4326AD5D" w:rsidR="0005662D" w:rsidRPr="00220A16" w:rsidRDefault="007432FF" w:rsidP="00482D00">
            <w:pPr>
              <w:ind w:firstLine="72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15</w:t>
            </w:r>
          </w:p>
        </w:tc>
      </w:tr>
      <w:tr w:rsidR="00220A16" w:rsidRPr="00220A16" w14:paraId="0D32A9A1" w14:textId="77777777" w:rsidTr="00E103AB">
        <w:trPr>
          <w:trHeight w:val="60"/>
        </w:trPr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982776" w14:textId="77777777" w:rsidR="0005662D" w:rsidRPr="00220A16" w:rsidRDefault="0005662D" w:rsidP="00482D00">
            <w:pPr>
              <w:ind w:firstLine="72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Asociētais profesors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2EA9BF" w14:textId="47D2658A" w:rsidR="0005662D" w:rsidRPr="00220A16" w:rsidRDefault="007432FF" w:rsidP="00482D00">
            <w:pPr>
              <w:ind w:firstLine="72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15</w:t>
            </w:r>
          </w:p>
        </w:tc>
      </w:tr>
      <w:tr w:rsidR="00220A16" w:rsidRPr="00220A16" w14:paraId="2C52F478" w14:textId="77777777" w:rsidTr="00E103AB">
        <w:trPr>
          <w:trHeight w:val="60"/>
        </w:trPr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A24387" w14:textId="77777777" w:rsidR="0005662D" w:rsidRPr="00220A16" w:rsidRDefault="0005662D" w:rsidP="00482D00">
            <w:pPr>
              <w:ind w:firstLine="72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Docents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057B2B" w14:textId="02DF0922" w:rsidR="0005662D" w:rsidRPr="00220A16" w:rsidRDefault="007432FF" w:rsidP="00482D00">
            <w:pPr>
              <w:ind w:firstLine="72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30</w:t>
            </w:r>
          </w:p>
        </w:tc>
      </w:tr>
      <w:tr w:rsidR="00220A16" w:rsidRPr="00220A16" w14:paraId="76E13FAE" w14:textId="77777777" w:rsidTr="00E103AB">
        <w:trPr>
          <w:trHeight w:val="60"/>
        </w:trPr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795CE4" w14:textId="77777777" w:rsidR="0005662D" w:rsidRPr="00220A16" w:rsidRDefault="0005662D" w:rsidP="00482D00">
            <w:pPr>
              <w:ind w:firstLine="72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Lektors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D3A46" w14:textId="392348B0" w:rsidR="0005662D" w:rsidRPr="00220A16" w:rsidRDefault="007432FF" w:rsidP="00482D00">
            <w:pPr>
              <w:ind w:firstLine="72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25</w:t>
            </w:r>
          </w:p>
        </w:tc>
      </w:tr>
      <w:tr w:rsidR="00171B57" w:rsidRPr="00220A16" w14:paraId="1C423149" w14:textId="77777777" w:rsidTr="00E103AB">
        <w:trPr>
          <w:trHeight w:val="60"/>
        </w:trPr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54F584" w14:textId="77777777" w:rsidR="0005662D" w:rsidRPr="00220A16" w:rsidRDefault="0005662D" w:rsidP="00482D00">
            <w:pPr>
              <w:ind w:firstLine="72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Asistents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B93CE" w14:textId="69D05714" w:rsidR="0005662D" w:rsidRPr="00220A16" w:rsidRDefault="007432FF" w:rsidP="00482D00">
            <w:pPr>
              <w:ind w:firstLine="72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  <w:r w:rsidRPr="00220A16"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  <w:t>15</w:t>
            </w:r>
          </w:p>
        </w:tc>
      </w:tr>
    </w:tbl>
    <w:p w14:paraId="4D51B704" w14:textId="77777777" w:rsidR="00482D00" w:rsidRPr="00220A16" w:rsidRDefault="00482D00" w:rsidP="00482D00">
      <w:pPr>
        <w:shd w:val="clear" w:color="auto" w:fill="FFFFFF"/>
        <w:ind w:firstLine="72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2698321" w14:textId="03374D62" w:rsidR="0005662D" w:rsidRPr="00220A16" w:rsidRDefault="0005662D" w:rsidP="003B08FA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AD5D11">
        <w:rPr>
          <w:rFonts w:eastAsia="Times New Roman" w:cs="Times New Roman"/>
          <w:color w:val="auto"/>
          <w:sz w:val="28"/>
          <w:szCs w:val="28"/>
          <w:lang w:eastAsia="lv-LV"/>
        </w:rPr>
        <w:t>3. Vidējais studentu sk</w:t>
      </w:r>
      <w:r w:rsidR="003B08FA" w:rsidRPr="00AD5D11">
        <w:rPr>
          <w:rFonts w:eastAsia="Times New Roman" w:cs="Times New Roman"/>
          <w:color w:val="auto"/>
          <w:sz w:val="28"/>
          <w:szCs w:val="28"/>
          <w:lang w:eastAsia="lv-LV"/>
        </w:rPr>
        <w:t>aits uz vienu akadēmisko personālu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C122F9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19 (ekspertu atzinums).</w:t>
      </w:r>
    </w:p>
    <w:p w14:paraId="52E6FDF4" w14:textId="77777777" w:rsidR="00482D00" w:rsidRPr="00220A16" w:rsidRDefault="00482D00" w:rsidP="00482D00">
      <w:pPr>
        <w:shd w:val="clear" w:color="auto" w:fill="FFFFFF"/>
        <w:ind w:firstLine="72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4D85904" w14:textId="17930E2E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1.1.2. darbinieku d.a. uz vienu studiju vietu gadā</w:t>
      </w:r>
      <w:r w:rsidR="00C122F9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=</w:t>
      </w:r>
    </w:p>
    <w:p w14:paraId="02A949E5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ADBA1A1" w14:textId="78D3BBAA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(akadēmiskā personāla d.a. uz vienu studiju vietu gadā</w:t>
      </w:r>
      <w:r w:rsidR="000E1BE0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/</w:t>
      </w:r>
      <w:r w:rsidR="000E1BE0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darbinieku vidējās mēneša d.a. attiecība pret akadēmiskā personāla darba algu) x (darbinieku skaits uz vienu akadēmisko </w:t>
      </w:r>
      <w:r w:rsidR="003B08FA" w:rsidRPr="00220A16">
        <w:rPr>
          <w:rFonts w:eastAsia="Times New Roman" w:cs="Times New Roman"/>
          <w:color w:val="auto"/>
          <w:sz w:val="28"/>
          <w:szCs w:val="28"/>
          <w:lang w:eastAsia="lv-LV"/>
        </w:rPr>
        <w:t>personālu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);</w:t>
      </w:r>
    </w:p>
    <w:p w14:paraId="338477E9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6D479A6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7BF8F571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004BBF2F" w14:textId="051536CA" w:rsidR="0005662D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="00EC6B0A" w:rsidRPr="00220A16">
        <w:rPr>
          <w:rFonts w:eastAsia="Times New Roman" w:cs="Times New Roman"/>
          <w:color w:val="auto"/>
          <w:sz w:val="28"/>
          <w:szCs w:val="28"/>
          <w:lang w:eastAsia="lv-LV"/>
        </w:rPr>
        <w:t>D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arbinieku vidējās mēneša d.a. attiecība pret akadēmiskā personāla darba algu – 2 (ekspertu atzinums).</w:t>
      </w:r>
    </w:p>
    <w:p w14:paraId="18ECF20E" w14:textId="77777777" w:rsidR="00482D00" w:rsidRPr="00220A16" w:rsidRDefault="00482D00" w:rsidP="00482D00">
      <w:pPr>
        <w:ind w:firstLine="720"/>
        <w:rPr>
          <w:color w:val="auto"/>
          <w:lang w:eastAsia="lv-LV"/>
        </w:rPr>
      </w:pPr>
    </w:p>
    <w:p w14:paraId="74F2146F" w14:textId="4B78D248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2. </w:t>
      </w:r>
      <w:r w:rsidR="00EC6B0A" w:rsidRPr="00220A16">
        <w:rPr>
          <w:rFonts w:eastAsia="Times New Roman" w:cs="Times New Roman"/>
          <w:color w:val="auto"/>
          <w:sz w:val="28"/>
          <w:szCs w:val="28"/>
          <w:lang w:eastAsia="lv-LV"/>
        </w:rPr>
        <w:t>D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arbinieku skaits uz vienu akadēmisko </w:t>
      </w:r>
      <w:r w:rsidR="003B08FA" w:rsidRPr="00220A16">
        <w:rPr>
          <w:rFonts w:eastAsia="Times New Roman" w:cs="Times New Roman"/>
          <w:color w:val="auto"/>
          <w:sz w:val="28"/>
          <w:szCs w:val="28"/>
          <w:lang w:eastAsia="lv-LV"/>
        </w:rPr>
        <w:t>personālu</w:t>
      </w:r>
      <w:r w:rsidRPr="00220A16" w:rsidDel="00812B6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– 1 (ekspertu atzinums).</w:t>
      </w:r>
    </w:p>
    <w:p w14:paraId="06B2C942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606E688" w14:textId="0FD0D26F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1.2. N2 </w:t>
      </w:r>
      <w:r w:rsidR="00C122F9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darba devēja valsts sociālās apdrošināšanas obligātās iemaksas uz vienu studiju vietu gadā =</w:t>
      </w:r>
    </w:p>
    <w:p w14:paraId="13DFA359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1C6A92D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(d.a. uz vienu studiju vietu gadā) x (valsts sociālās apdrošināšanas obligātās iemaksas procents);</w:t>
      </w:r>
    </w:p>
    <w:p w14:paraId="058A53EB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D54FEE9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Piezīme.</w:t>
      </w:r>
    </w:p>
    <w:p w14:paraId="26C215E5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50C40922" w14:textId="75BA99AD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Valsts sociālās apdrošināšanas obligātās iemaksas procents </w:t>
      </w:r>
      <w:r w:rsidR="00722293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saskaņā ar normatīviem.</w:t>
      </w:r>
    </w:p>
    <w:p w14:paraId="7ECEBC84" w14:textId="77777777" w:rsidR="00482D00" w:rsidRPr="00220A16" w:rsidRDefault="00482D00" w:rsidP="00482D00">
      <w:pPr>
        <w:ind w:firstLine="720"/>
        <w:rPr>
          <w:color w:val="auto"/>
          <w:lang w:eastAsia="lv-LV"/>
        </w:rPr>
      </w:pPr>
    </w:p>
    <w:p w14:paraId="71F2179E" w14:textId="7A4DC191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  <w:t>1.3. N3 - komandējumu un dienesta braucienu izmaksas uz vienu studiju vietu gadā =</w:t>
      </w:r>
    </w:p>
    <w:p w14:paraId="1407C6CC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F81065A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= [(ārzemju komandējumu summa mācībspēkam gadā) + (Latvijas komandējumu summa mācībspēkam gadā)] / (vidējais studentu skaits uz vienu akadēmisko personu);</w:t>
      </w:r>
    </w:p>
    <w:p w14:paraId="096241FA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3DD9192" w14:textId="1989BA56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color w:val="auto"/>
          <w:sz w:val="28"/>
          <w:szCs w:val="28"/>
          <w:lang w:eastAsia="lv-LV"/>
        </w:rPr>
        <w:tab/>
        <w:t>Piezīme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53BE36A7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6267704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  vidējais studentu skaits uz vienu akadēmisko personu – 19 (ekspertu atzinums).</w:t>
      </w:r>
    </w:p>
    <w:p w14:paraId="43439476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DCE0CE9" w14:textId="447DF032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1.3.1. Ārzemju komandējumu summa mācībspēkam gadā =</w:t>
      </w:r>
    </w:p>
    <w:p w14:paraId="0F261EF2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E1BC774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(ārzemju komandējumu dienas nauda x ārzemju komandējumu dienu skaits) + (ārzemju komandējumu naktsmītnes apmaksa dienā x ārzemju komandējumu naktsmītnes dienu skaits)</w:t>
      </w:r>
    </w:p>
    <w:p w14:paraId="12A34D02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ABF53F4" w14:textId="2E74968A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i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color w:val="auto"/>
          <w:sz w:val="28"/>
          <w:szCs w:val="28"/>
          <w:lang w:eastAsia="lv-LV"/>
        </w:rPr>
        <w:tab/>
        <w:t>Piezīmes.</w:t>
      </w:r>
    </w:p>
    <w:p w14:paraId="49C006F2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i/>
          <w:color w:val="auto"/>
          <w:sz w:val="28"/>
          <w:szCs w:val="28"/>
          <w:lang w:eastAsia="lv-LV"/>
        </w:rPr>
      </w:pPr>
    </w:p>
    <w:p w14:paraId="790494EC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 ārzemju komandējumu dienas nauda –  36,99 euro (ekspertu atzinums).</w:t>
      </w:r>
    </w:p>
    <w:p w14:paraId="66D75172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FD22768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2. ārzemju komandējumu dienu skaits – 4 (ekspertu atzinums).</w:t>
      </w:r>
    </w:p>
    <w:p w14:paraId="6D5C72F4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C3E9C6A" w14:textId="7FBC0CEF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3. ārzemju komandējumu naktsmītnes apmaksa dienā–  96,75 euro (ekspertu atzinums).</w:t>
      </w:r>
    </w:p>
    <w:p w14:paraId="0EB2F41A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9039455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4. ārzemju komandējumu naktsmītnes dienu skaits - 3 (ekspertu atzinums).</w:t>
      </w:r>
    </w:p>
    <w:p w14:paraId="024B4DDC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DF69E2E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1.3.2. Latvijas komandējumu summa mācībspēkam gadā =</w:t>
      </w:r>
    </w:p>
    <w:p w14:paraId="695E443D" w14:textId="191F19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p w14:paraId="606CBD50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(Latvijas komandējumu dienas nauda x Latvijas komandējumu dienu skaits) + (Latvijas komandējumu naktsmītnes apmaksa dienā x Latvijas komandējumu naktsmītnes dienu skaits)</w:t>
      </w:r>
    </w:p>
    <w:p w14:paraId="5920B109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6A78825" w14:textId="13B5FA7E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i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color w:val="auto"/>
          <w:sz w:val="28"/>
          <w:szCs w:val="28"/>
          <w:lang w:eastAsia="lv-LV"/>
        </w:rPr>
        <w:tab/>
        <w:t>Piezīmes.</w:t>
      </w:r>
    </w:p>
    <w:p w14:paraId="5634990F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41EC45E" w14:textId="772AA7D1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 Latvijas komandējumu dienas nauda –  5,69 euro (ekspertu atzinums).</w:t>
      </w:r>
    </w:p>
    <w:p w14:paraId="3AE0B8C7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B600438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2. Latvijas komandējumu dienu skaits – 1 (ekspertu atzinums).</w:t>
      </w:r>
    </w:p>
    <w:p w14:paraId="5A1D8C73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D8EA96B" w14:textId="7F8D1ACF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3. Latvijas komandējumu naktsmītnes apmaksa dienā–  34,15 euro (ekspertu atzinums).</w:t>
      </w:r>
    </w:p>
    <w:p w14:paraId="3AA1EFAB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9B90A83" w14:textId="250635E1" w:rsidR="00791471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4. Latvijas komandējumu naktsmītnes dienu skaits – 0 (ekspertu atzinums).</w:t>
      </w:r>
    </w:p>
    <w:p w14:paraId="71744F6E" w14:textId="77777777" w:rsidR="008C2946" w:rsidRPr="00220A16" w:rsidRDefault="008C2946" w:rsidP="008C2946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729206A" w14:textId="4E845898" w:rsidR="0005662D" w:rsidRPr="00220A16" w:rsidRDefault="007432FF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1.4. N4 –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pakalpojumu izmaksas uz vienu studiju vietu gadā =</w:t>
      </w:r>
    </w:p>
    <w:p w14:paraId="69FE5172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FCD83E8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(sakaru pakalpojumu izmaksas uz vienu studiju vietu gadā) + (nekustamā īpašuma nodoklis par zemi uz vienu studiju vietu gadā) + (remontu izmaksas uz vienu studiju vietu gadā) + (tehniskās apkopes izmaksas uz vienu studiju vietu gadā) + (e-studiju vides nodrošināšana un uzturēšana vidēji vienai studiju vietai gadā) +  (administratīvā darba nodrošināšana uz vienu studiju vietu gadā) + (citi pakalpojumi uz vienu studiju vietu gadā):</w:t>
      </w:r>
    </w:p>
    <w:p w14:paraId="5C8770DB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A4A4FCC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1.4.1. sakaru pakalpojumu izmaksas uz vienu studiju vietu gadā =</w:t>
      </w:r>
    </w:p>
    <w:p w14:paraId="530177B8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FE409F8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(tālruņa pakalpojumu izmaksas uz vienu studiju vietu gadā) + (pasta un citu pakalpojumu izmaksas uz vienu studiju vietu gadā) + (interneta pakalpojumu izmaksas uz vienu studiju vietu gadā):</w:t>
      </w:r>
    </w:p>
    <w:p w14:paraId="7A5AB8D7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A5F4629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1.4.1.1. tālruņa pakalpojumu izmaksas uz vienu studiju vietu gadā =</w:t>
      </w:r>
    </w:p>
    <w:p w14:paraId="0571F8A2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4136F48" w14:textId="57F7B190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[(abonēšanas maksa par vienu tālruni mēnesī) x 12 + (sarunu ilgums dienā minūtēs) x (dienu skaits) x (vidēji vienas starptautiskās sarunu minūtes cena</w:t>
      </w:r>
      <w:r w:rsidR="008F558E" w:rsidRPr="00220A16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atrodoties La</w:t>
      </w:r>
      <w:r w:rsidR="00F0210B" w:rsidRPr="00220A16">
        <w:rPr>
          <w:rFonts w:eastAsia="Times New Roman" w:cs="Times New Roman"/>
          <w:color w:val="auto"/>
          <w:sz w:val="28"/>
          <w:szCs w:val="28"/>
          <w:lang w:eastAsia="lv-LV"/>
        </w:rPr>
        <w:t>tvijā un veicot zvanus uz ārvalstīm</w:t>
      </w:r>
      <w:r w:rsidR="00433618" w:rsidRPr="00220A16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F0210B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ārvalstīs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veicot zvanus uz Latviju un ārvalstīm, saņemot zvanus ār</w:t>
      </w:r>
      <w:r w:rsidR="009336E3" w:rsidRPr="00220A16">
        <w:rPr>
          <w:rFonts w:eastAsia="Times New Roman" w:cs="Times New Roman"/>
          <w:color w:val="auto"/>
          <w:sz w:val="28"/>
          <w:szCs w:val="28"/>
          <w:lang w:eastAsia="lv-LV"/>
        </w:rPr>
        <w:t>valstīs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)] / (studentu skaits uz vienu tālruni);</w:t>
      </w:r>
    </w:p>
    <w:p w14:paraId="005C2151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8A0F593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6976D852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11F9C8C5" w14:textId="065AAD15" w:rsidR="0005662D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Abonēšanas maksa par vienu tālruni mēnesī – 4,27 </w:t>
      </w:r>
      <w:r w:rsidR="0005662D" w:rsidRPr="00220A16">
        <w:rPr>
          <w:rFonts w:eastAsia="Times New Roman" w:cs="Times New Roman"/>
          <w:i/>
          <w:color w:val="auto"/>
          <w:sz w:val="28"/>
          <w:szCs w:val="28"/>
          <w:lang w:eastAsia="lv-LV"/>
        </w:rPr>
        <w:t xml:space="preserve">euro +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PVN (ekspertu atzinums).</w:t>
      </w:r>
    </w:p>
    <w:p w14:paraId="0F55AEF7" w14:textId="77777777" w:rsidR="00482D00" w:rsidRPr="00220A16" w:rsidRDefault="00482D00" w:rsidP="00482D00">
      <w:pPr>
        <w:ind w:firstLine="720"/>
        <w:rPr>
          <w:color w:val="auto"/>
          <w:lang w:eastAsia="lv-LV"/>
        </w:rPr>
      </w:pPr>
    </w:p>
    <w:p w14:paraId="3697E22B" w14:textId="0F408184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2. Sarunu ilgums dienā minūtēs </w:t>
      </w:r>
      <w:r w:rsidR="0059747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20 (ekspertu atzinums).</w:t>
      </w:r>
    </w:p>
    <w:p w14:paraId="5FAEBEB1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BCC52BA" w14:textId="38B55129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3. Dienu skaits </w:t>
      </w:r>
      <w:r w:rsidR="0059747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240 dienas (ekspertu atzinums).</w:t>
      </w:r>
    </w:p>
    <w:p w14:paraId="4DD671C1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88E91DE" w14:textId="16549CC3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4. Vidēji vienas starptautiskās sarunu minūtes cena</w:t>
      </w:r>
      <w:r w:rsidR="00C11981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atrodoties Latvijā un veicot zvanus uz ār</w:t>
      </w:r>
      <w:r w:rsidR="009336E3" w:rsidRPr="00220A16">
        <w:rPr>
          <w:rFonts w:eastAsia="Times New Roman" w:cs="Times New Roman"/>
          <w:color w:val="auto"/>
          <w:sz w:val="28"/>
          <w:szCs w:val="28"/>
          <w:lang w:eastAsia="lv-LV"/>
        </w:rPr>
        <w:t>valstīm, ārvalstīs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veicot zvanus uz Latviju un ā</w:t>
      </w:r>
      <w:r w:rsidR="009336E3" w:rsidRPr="00220A16">
        <w:rPr>
          <w:rFonts w:eastAsia="Times New Roman" w:cs="Times New Roman"/>
          <w:color w:val="auto"/>
          <w:sz w:val="28"/>
          <w:szCs w:val="28"/>
          <w:lang w:eastAsia="lv-LV"/>
        </w:rPr>
        <w:t>rvalstīm, saņemot zvanus ārvalstīs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– 0,33 </w:t>
      </w:r>
      <w:r w:rsidRPr="00220A16">
        <w:rPr>
          <w:rFonts w:eastAsia="Times New Roman" w:cs="Times New Roman"/>
          <w:i/>
          <w:color w:val="auto"/>
          <w:sz w:val="28"/>
          <w:szCs w:val="28"/>
          <w:lang w:eastAsia="lv-LV"/>
        </w:rPr>
        <w:t xml:space="preserve">euro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(ekspertu atzinums).</w:t>
      </w:r>
    </w:p>
    <w:p w14:paraId="36D6D0B5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07EEBDB" w14:textId="243440EB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5. Studiju vietu skaits uz vienu tālruni </w:t>
      </w:r>
      <w:r w:rsidR="00397238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50 (ekspertu atzinums).</w:t>
      </w:r>
    </w:p>
    <w:p w14:paraId="6A117031" w14:textId="77777777" w:rsidR="00482D00" w:rsidRPr="00220A16" w:rsidRDefault="00482D00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02B1436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1.4.1.2. pasta un citu pakalpojumu izmaksas uz vienu studiju vietu gadā – 0,77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atzinums);</w:t>
      </w:r>
    </w:p>
    <w:p w14:paraId="0F457FCB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FB34BC8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1.4.1.3. interneta pakalpojumu izmaksas uz vienu studiju vietu gadā – 8,19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atzinums);</w:t>
      </w:r>
    </w:p>
    <w:p w14:paraId="78444B96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C6F34A3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1.4.2. nekustamā īpašuma nodoklis par zemi uz vienu studiju vietu gadā =</w:t>
      </w:r>
    </w:p>
    <w:p w14:paraId="6F14A636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1432A27" w14:textId="6092B9DA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(nekustamā īpašuma nodokļa par zemi vidējā vērtība par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) x (</w:t>
      </w:r>
      <w:r w:rsidR="00217089" w:rsidRPr="00220A16">
        <w:rPr>
          <w:rFonts w:eastAsia="Times New Roman" w:cs="Times New Roman"/>
          <w:color w:val="auto"/>
          <w:sz w:val="28"/>
          <w:szCs w:val="28"/>
          <w:lang w:eastAsia="lv-LV"/>
        </w:rPr>
        <w:t>kvadrātmetri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="00397238"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uz vienu studiju vietu gadā) / (vidējais stāvu skaits</w:t>
      </w:r>
      <w:r w:rsidR="00397238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ēkā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) x 2;</w:t>
      </w:r>
    </w:p>
    <w:p w14:paraId="0639550A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8B50B4F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60801801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047FBA2F" w14:textId="292E0AD5" w:rsidR="0005662D" w:rsidRPr="00220A16" w:rsidRDefault="009454F8" w:rsidP="009454F8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Nekustamā īpašuma nodokļa par zemi vidējā vērtība par 1 m</w:t>
      </w:r>
      <w:r w:rsidR="0005662D"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C235ED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C235ED" w:rsidRPr="00220A16">
        <w:rPr>
          <w:rFonts w:eastAsia="Times New Roman" w:cs="Times New Roman"/>
          <w:color w:val="auto"/>
          <w:sz w:val="28"/>
          <w:szCs w:val="28"/>
          <w:lang w:eastAsia="lv-LV"/>
        </w:rPr>
        <w:t>0,</w:t>
      </w:r>
      <w:r w:rsidR="008C2946" w:rsidRPr="00220A16">
        <w:rPr>
          <w:rFonts w:eastAsia="Times New Roman" w:cs="Times New Roman"/>
          <w:color w:val="auto"/>
          <w:sz w:val="28"/>
          <w:szCs w:val="28"/>
          <w:lang w:eastAsia="lv-LV"/>
        </w:rPr>
        <w:t>2863</w:t>
      </w:r>
      <w:r w:rsidR="00C235E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C235ED" w:rsidRPr="00220A16">
        <w:rPr>
          <w:rFonts w:eastAsia="Times New Roman" w:cs="Times New Roman"/>
          <w:i/>
          <w:color w:val="auto"/>
          <w:sz w:val="28"/>
          <w:szCs w:val="28"/>
          <w:lang w:eastAsia="lv-LV"/>
        </w:rPr>
        <w:t>euro</w:t>
      </w:r>
      <w:r w:rsidR="00C235E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(</w:t>
      </w:r>
      <w:r w:rsidR="00A267FE" w:rsidRPr="00220A16">
        <w:rPr>
          <w:rFonts w:eastAsia="Times New Roman" w:cs="Times New Roman"/>
          <w:color w:val="auto"/>
          <w:sz w:val="28"/>
          <w:szCs w:val="28"/>
          <w:lang w:eastAsia="lv-LV"/>
        </w:rPr>
        <w:t>ekspertu atzinums</w:t>
      </w:r>
      <w:r w:rsidR="00C235ED" w:rsidRPr="00220A16">
        <w:rPr>
          <w:rFonts w:eastAsia="Times New Roman" w:cs="Times New Roman"/>
          <w:color w:val="auto"/>
          <w:sz w:val="28"/>
          <w:szCs w:val="28"/>
          <w:lang w:eastAsia="lv-LV"/>
        </w:rPr>
        <w:t>)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D25C11F" w14:textId="77777777" w:rsidR="009454F8" w:rsidRPr="00220A16" w:rsidRDefault="009454F8" w:rsidP="009454F8">
      <w:pPr>
        <w:ind w:firstLine="720"/>
        <w:rPr>
          <w:color w:val="auto"/>
          <w:lang w:eastAsia="lv-LV"/>
        </w:rPr>
      </w:pPr>
    </w:p>
    <w:p w14:paraId="33164071" w14:textId="6BF4FC38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9454F8" w:rsidRPr="00220A16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5C3F39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Kvadrātmetri</w:t>
      </w:r>
      <w:r w:rsidR="00A267FE"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uz vienu studiju vietu gadā </w:t>
      </w:r>
      <w:r w:rsidR="00A267FE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6 (ekspertu atzinums).</w:t>
      </w:r>
    </w:p>
    <w:p w14:paraId="0E858231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7B2FEB2" w14:textId="307CE95B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3. Vidējais stāvu skaits </w:t>
      </w:r>
      <w:r w:rsidR="00A267FE" w:rsidRPr="00220A16">
        <w:rPr>
          <w:rFonts w:eastAsia="Times New Roman" w:cs="Times New Roman"/>
          <w:color w:val="auto"/>
          <w:sz w:val="28"/>
          <w:szCs w:val="28"/>
          <w:lang w:eastAsia="lv-LV"/>
        </w:rPr>
        <w:t>ēkā</w:t>
      </w:r>
      <w:r w:rsidR="00F0210B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A267FE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4 (ekspertu atzinums).</w:t>
      </w:r>
    </w:p>
    <w:p w14:paraId="32E0388A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8E1F617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1.4.3. remontu izmaksas uz vienu studiju vietu gadā =</w:t>
      </w:r>
    </w:p>
    <w:p w14:paraId="5EE5DC73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FAA9AE8" w14:textId="7F93F129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[(1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kārtējā remonta izmaksas uz vienu studiju vietu gadā) + (1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kapitālā remonta izmaksas uz vienu studiju vietu gadā) + (1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avārijas remonta izmaksas uz vienu studiju vietu gadā)] x (</w:t>
      </w:r>
      <w:r w:rsidR="009E08E3" w:rsidRPr="00220A16">
        <w:rPr>
          <w:rFonts w:eastAsia="Times New Roman" w:cs="Times New Roman"/>
          <w:color w:val="auto"/>
          <w:sz w:val="28"/>
          <w:szCs w:val="28"/>
          <w:lang w:eastAsia="lv-LV"/>
        </w:rPr>
        <w:t>kvadrātmetri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uz vienu studiju vietu gadā);</w:t>
      </w:r>
    </w:p>
    <w:p w14:paraId="33470B35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F05AC38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4785CB84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27ACB697" w14:textId="637797F3" w:rsidR="0005662D" w:rsidRPr="00220A16" w:rsidRDefault="009454F8" w:rsidP="009454F8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1 m</w:t>
      </w:r>
      <w:r w:rsidR="0005662D"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 kārtējā remonta izmaksas u</w:t>
      </w:r>
      <w:r w:rsidR="008C2946" w:rsidRPr="00220A16">
        <w:rPr>
          <w:rFonts w:eastAsia="Times New Roman" w:cs="Times New Roman"/>
          <w:color w:val="auto"/>
          <w:sz w:val="28"/>
          <w:szCs w:val="28"/>
          <w:lang w:eastAsia="lv-LV"/>
        </w:rPr>
        <w:t>z vienu studiju vietu gadā – 28,46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05662D"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72DD69EE" w14:textId="77777777" w:rsidR="009454F8" w:rsidRPr="00220A16" w:rsidRDefault="009454F8" w:rsidP="009454F8">
      <w:pPr>
        <w:ind w:firstLine="720"/>
        <w:rPr>
          <w:color w:val="auto"/>
          <w:lang w:eastAsia="lv-LV"/>
        </w:rPr>
      </w:pPr>
    </w:p>
    <w:p w14:paraId="27E574F5" w14:textId="5DBC2AF6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2.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 kapitālā remonta izmaksas uz vienu studiju vietu gadā </w:t>
      </w:r>
      <w:r w:rsidR="00A267FE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2,85 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318AD5CE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8C49407" w14:textId="5A8776A6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3.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 avārijas remonta izmaksas uz vienu studiju vietu gadā </w:t>
      </w:r>
      <w:r w:rsidR="00A267FE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A267FE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1,42 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36390BE4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86F8CCA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1.4.4. tehniskās apkopes izmaksas uz vienu studiju vietu gadā =</w:t>
      </w:r>
    </w:p>
    <w:p w14:paraId="4589EB51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A78D65C" w14:textId="799891D8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10 x (tehniskās apkopes izmaksas mēnesī uz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) x (</w:t>
      </w:r>
      <w:r w:rsidR="0039660D" w:rsidRPr="00220A16">
        <w:rPr>
          <w:rFonts w:eastAsia="Times New Roman" w:cs="Times New Roman"/>
          <w:color w:val="auto"/>
          <w:sz w:val="28"/>
          <w:szCs w:val="28"/>
          <w:lang w:eastAsia="lv-LV"/>
        </w:rPr>
        <w:t>kvadrātmetri</w:t>
      </w:r>
      <w:r w:rsidR="00DB2B00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uz vienu studiju vietu gadā);</w:t>
      </w:r>
    </w:p>
    <w:p w14:paraId="571552D3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8C44B02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Piezīme.</w:t>
      </w:r>
    </w:p>
    <w:p w14:paraId="658DA5D7" w14:textId="77777777" w:rsidR="00C82C89" w:rsidRPr="00220A16" w:rsidRDefault="00C82C89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7D7E5F6B" w14:textId="39E247D0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Tehniskās apkopes izmaksas mēnesī uz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 vienai studiju vietai </w:t>
      </w:r>
      <w:r w:rsidR="00DB2B00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8C2946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0,51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68173EAB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41F87F3" w14:textId="1839FDB9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1.4.5. e-studiju vides nodrošināšana un uzturēšana vidēji vienai studiju vietai gadā – 2,03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="009454F8"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atzinums);</w:t>
      </w:r>
    </w:p>
    <w:p w14:paraId="5629AF61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8AF6DAF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1.4.6. administratīvā darba nodrošināšana uz vienu studiju vietu gadā =</w:t>
      </w:r>
    </w:p>
    <w:p w14:paraId="03C761C0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D0FCEE0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[(sakaru pakalpojumu izmaksas uz vienu studiju vietu gadā) + (nekustamā īpašuma nodoklis par zemi uz vienu studiju vietu gadā) + (remontu izmaksas uz vienu studiju vietu gadā) + (tehniskās apkopes izmaksas uz vienu studiju vietu gadā)] x (procenti no kopējās summas administratīvā darba nodrošināšanai);</w:t>
      </w:r>
    </w:p>
    <w:p w14:paraId="12FDB76D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28074C3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Piezīme.</w:t>
      </w:r>
    </w:p>
    <w:p w14:paraId="2A729EAD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750C53C0" w14:textId="1F7DD041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Administratīvā darba nodrošināšanai </w:t>
      </w:r>
      <w:r w:rsidR="00DB2B00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astoņi procenti no kopējās summas (ekspertu atzinums).</w:t>
      </w:r>
    </w:p>
    <w:p w14:paraId="0A3E10AB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4F5D0B4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1.4.7. citi pakalpojumi uz vienu studiju vietu gadā =</w:t>
      </w:r>
    </w:p>
    <w:p w14:paraId="0A121DFB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5546F39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[(sakaru pakalpojumu izmaksas uz vienu studiju vietu gadā) + (nekustamā īpašuma nodoklis par zemi uz vienu studiju vietu gadā) + (remontu izmaksas uz vienu studiju vietu gadā) + (tehniskās apkopes izmaksas uz vienu studiju vietu gadā) + (administratīvā darba nodrošināšana uz vienu studiju vietu gadā)] x (procenti no kopējās summas citiem pakalpojumiem);</w:t>
      </w:r>
    </w:p>
    <w:p w14:paraId="7414DFF3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33B8B7D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Piezīme.</w:t>
      </w:r>
    </w:p>
    <w:p w14:paraId="5FE06F34" w14:textId="77777777" w:rsidR="009454F8" w:rsidRPr="00220A16" w:rsidRDefault="009454F8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7E631392" w14:textId="38AB1EB0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Citiem pakalpojumiem </w:t>
      </w:r>
      <w:r w:rsidR="00DB2B00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astoņi procenti no kopējās summas (ekspertu atzinums).</w:t>
      </w:r>
    </w:p>
    <w:p w14:paraId="3E318C0C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ED87B07" w14:textId="41F47709" w:rsidR="00C67EF2" w:rsidRPr="00220A16" w:rsidRDefault="0005662D" w:rsidP="00C67EF2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1.5. N5 </w:t>
      </w:r>
      <w:r w:rsidR="00DB2B00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materiālu, energoresursu, ūdens un inventāra izmaksas uz vienu studiju vietu gadā =</w:t>
      </w:r>
    </w:p>
    <w:p w14:paraId="0DD67311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2D8FA2F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(patērētā elektroenerģija) + (apkure) + (ūdensapgāde) + (kanalizācija) + (mācību līdzekļu un materiālu iegādes izmaksas uz vienu studiju vietu gadā) + (inventāra iegādes izmaksas vienam studentam gadā) + (kancelejas preču iegādes izmaksas uz vienu studiju vietu gadā):</w:t>
      </w:r>
    </w:p>
    <w:p w14:paraId="77090A52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902AEE5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1.5.1. patērētā elektroenerģija =</w:t>
      </w:r>
    </w:p>
    <w:p w14:paraId="30DDE001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6FC6E85" w14:textId="7F02AA25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= [(vidējais apgaismojuma lietošanas laiks gadā) x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C11981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apgaismošanai nepiecieš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amās kWh</w:t>
      </w:r>
      <w:r w:rsidRPr="00220A16" w:rsidDel="00DA026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x (</w:t>
      </w:r>
      <w:r w:rsidR="008C2946" w:rsidRPr="00220A16">
        <w:rPr>
          <w:rFonts w:eastAsia="Times New Roman" w:cs="Times New Roman"/>
          <w:color w:val="auto"/>
          <w:sz w:val="28"/>
          <w:szCs w:val="28"/>
          <w:lang w:eastAsia="lv-LV"/>
        </w:rPr>
        <w:t>m</w:t>
      </w:r>
      <w:r w:rsidR="008C2946"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2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uz vienu studiju vietu gadā) x (1 kWh cena)] + [(vidējais datoru darbināšanas laiks gadā) x 0,1 kWh x (1 kWh cena)];</w:t>
      </w:r>
    </w:p>
    <w:p w14:paraId="4AE755B6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D28AA4D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27D00EAB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3C1A187A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 Vidējais apgaismojuma lietošanas laiks gadā</w:t>
      </w:r>
      <w:r w:rsidRPr="00220A16" w:rsidDel="00DA026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– 720 h (ekspertu atzinums).</w:t>
      </w:r>
    </w:p>
    <w:p w14:paraId="0494901E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029C541" w14:textId="77D78F99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2.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3F47FE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apgaismošanai nepiecieša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mās kWh – 0,01 (ekspertu atzinums)</w:t>
      </w:r>
      <w:r w:rsidR="0061594E" w:rsidRPr="00220A16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42E16BC5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D812CA5" w14:textId="46FEEB80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3. 1 kWh cena </w:t>
      </w:r>
      <w:r w:rsidR="00E1412F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405645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9552EF" w:rsidRPr="00220A16">
        <w:rPr>
          <w:rFonts w:eastAsia="Times New Roman" w:cs="Times New Roman"/>
          <w:color w:val="auto"/>
          <w:sz w:val="28"/>
          <w:szCs w:val="28"/>
          <w:lang w:eastAsia="lv-LV"/>
        </w:rPr>
        <w:t>saskaņā ar spēkā esošajiem tarifiem attiecīgajam gadam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526979D5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F9AB493" w14:textId="41ECC24E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4. Vidējais datoru darbināšanas laiks gadā</w:t>
      </w:r>
      <w:r w:rsidRPr="00220A16" w:rsidDel="00DA026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E1412F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960 h (ekspertu atzinums).</w:t>
      </w:r>
    </w:p>
    <w:p w14:paraId="3373BD4B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D0E1DFB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1.5.2. apkure = (apkure par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mēnesī) x (m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2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uz vienu studiju vietu gadā) x 7;</w:t>
      </w:r>
    </w:p>
    <w:p w14:paraId="7A31A2B6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1A0F0F6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Piezīme.</w:t>
      </w:r>
    </w:p>
    <w:p w14:paraId="5D3C105C" w14:textId="77777777" w:rsidR="0061594E" w:rsidRPr="00220A16" w:rsidRDefault="0061594E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7648F1D8" w14:textId="32E6F73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Apkure par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 mēnesī </w:t>
      </w:r>
      <w:r w:rsidR="00E1412F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0,94 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7F3C3438" w14:textId="77777777" w:rsidR="003F081D" w:rsidRPr="00220A16" w:rsidRDefault="003F081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772DB8F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1.5.3. ūdensapgāde =</w:t>
      </w:r>
    </w:p>
    <w:p w14:paraId="43AC33DE" w14:textId="77777777" w:rsidR="003F081D" w:rsidRPr="00220A16" w:rsidRDefault="003F081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C5DF2F6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(ūdensapgāde kubikmetros uz vienu studiju vietu gadā) x (1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ūdens cena);</w:t>
      </w:r>
    </w:p>
    <w:p w14:paraId="404E984D" w14:textId="77777777" w:rsidR="003F081D" w:rsidRPr="00220A16" w:rsidRDefault="003F081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B3EA46D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223594D8" w14:textId="77777777" w:rsidR="003F081D" w:rsidRPr="00220A16" w:rsidRDefault="003F081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2D36DA5E" w14:textId="5B97F428" w:rsidR="0005662D" w:rsidRPr="00220A16" w:rsidRDefault="003F081D" w:rsidP="003F081D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Ūdensapgāde uz vienu studiju vietu gadā </w:t>
      </w:r>
      <w:r w:rsidR="005B4D4D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12 m</w:t>
      </w:r>
      <w:r w:rsidR="0005662D"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7C9BF842" w14:textId="77777777" w:rsidR="003F081D" w:rsidRPr="00220A16" w:rsidRDefault="003F081D" w:rsidP="003F081D">
      <w:pPr>
        <w:ind w:firstLine="720"/>
        <w:rPr>
          <w:color w:val="auto"/>
          <w:lang w:eastAsia="lv-LV"/>
        </w:rPr>
      </w:pPr>
    </w:p>
    <w:p w14:paraId="2C6409DD" w14:textId="6A333BAB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2. Viena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 ūdens cena </w:t>
      </w:r>
      <w:r w:rsidR="0056540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saskaņā ar spēkā esošajiem tarifiem</w:t>
      </w:r>
      <w:r w:rsidR="00AD2E91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attiecīgajam gadam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6F7E964B" w14:textId="77777777" w:rsidR="003F081D" w:rsidRPr="00220A16" w:rsidRDefault="003F081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4DB223A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1.5.4. kanalizācija =</w:t>
      </w:r>
    </w:p>
    <w:p w14:paraId="6658AD6F" w14:textId="77777777" w:rsidR="003F081D" w:rsidRPr="00220A16" w:rsidRDefault="003F081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5BCD4BA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(kanalizācija kubikmetros uz vienu studiju vietu gadā) x (1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kanalizācijas cena);</w:t>
      </w:r>
    </w:p>
    <w:p w14:paraId="730274A1" w14:textId="77777777" w:rsidR="003F081D" w:rsidRPr="00220A16" w:rsidRDefault="003F081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839AC41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4041479D" w14:textId="77777777" w:rsidR="003F081D" w:rsidRPr="00220A16" w:rsidRDefault="003F081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4791F46F" w14:textId="505C85FE" w:rsidR="0005662D" w:rsidRPr="00220A16" w:rsidRDefault="003F081D" w:rsidP="003F081D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Kanalizācija uz vienu studiju vietu gadā </w:t>
      </w:r>
      <w:r w:rsidR="005B4D4D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12 m</w:t>
      </w:r>
      <w:r w:rsidR="0005662D"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23652715" w14:textId="77777777" w:rsidR="003F081D" w:rsidRPr="00220A16" w:rsidRDefault="003F081D" w:rsidP="003F081D">
      <w:pPr>
        <w:ind w:firstLine="720"/>
        <w:rPr>
          <w:color w:val="auto"/>
          <w:lang w:eastAsia="lv-LV"/>
        </w:rPr>
      </w:pPr>
    </w:p>
    <w:p w14:paraId="455B105A" w14:textId="499C21ED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2. 1 m</w:t>
      </w:r>
      <w:r w:rsidRPr="00220A16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 kanalizācijas cena </w:t>
      </w:r>
      <w:r w:rsidR="005B4D4D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saskaņā ar spēkā esošajiem tarifiem</w:t>
      </w:r>
      <w:r w:rsidR="002A7E93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attiecīgajam gadam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088D545E" w14:textId="77777777" w:rsidR="003F081D" w:rsidRPr="00220A16" w:rsidRDefault="003F081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18F3837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1.5.5. mācību līdzekļu un materiālu iegādes izmaksas uz vienu studiju vietu gadā – 5,34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 xml:space="preserve">euro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(ekspertu atzinums);</w:t>
      </w:r>
    </w:p>
    <w:p w14:paraId="2F29A95E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E6C88EB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1.5.6. inventāra iegādes izmaksas uz vienu studiju vietu gadā – 16,51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atzinums);</w:t>
      </w:r>
    </w:p>
    <w:p w14:paraId="6C5352D0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4CD91A4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1.5.7. kancelejas preču iegādes izmaksas uz vienu studiju vietu gadā – 6,20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atzinums);</w:t>
      </w:r>
    </w:p>
    <w:p w14:paraId="539CE355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D58F433" w14:textId="322225FF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1.6. N6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grāmatu un žurnālu iegādes izmaksas vienam studentam gadā =</w:t>
      </w:r>
    </w:p>
    <w:p w14:paraId="44CA11C4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89D4E7F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[(mācību grāmatu skaits uz vienu studiju vietu gadā) x (vidējā vienas grāmatas cena) / (grāmatu kalpošanas laiks gados)] + [(žurnālu skaits uz vienu studiju vietu gadā) x (vidējā viena žurnāla cena) / (žurnāla kalpošanas laiks gados)] + (datu bāžu abonēšanas izmaksas vidēji vienai studiju vietai gadā);</w:t>
      </w:r>
    </w:p>
    <w:p w14:paraId="17185689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5D955A6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1BBC8071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1DB79048" w14:textId="599272BE" w:rsidR="0005662D" w:rsidRPr="00220A16" w:rsidRDefault="004A467B" w:rsidP="004A467B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Mācību grāmatu skaits uz vienu studiju vietu gadā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13 (ekspertu atzinums).</w:t>
      </w:r>
    </w:p>
    <w:p w14:paraId="29982B25" w14:textId="77777777" w:rsidR="004A467B" w:rsidRPr="00220A16" w:rsidRDefault="004A467B" w:rsidP="004A467B">
      <w:pPr>
        <w:ind w:firstLine="720"/>
        <w:rPr>
          <w:color w:val="auto"/>
          <w:lang w:eastAsia="lv-LV"/>
        </w:rPr>
      </w:pPr>
    </w:p>
    <w:p w14:paraId="2626DEDE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2. Vidējā vienas grāmatas cena – 14,66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6248B6B7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C40B3C7" w14:textId="3B015B76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3. Grāmatu kalpošanas laiks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10 gadu (ekspertu atzinums).</w:t>
      </w:r>
    </w:p>
    <w:p w14:paraId="1A968690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93DBDED" w14:textId="3E1EA27F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4. Žurnālu skaits uz vienu studiju vietu gadā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12 (ekspertu atzinums).</w:t>
      </w:r>
    </w:p>
    <w:p w14:paraId="1BB5145D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0ABDE66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5. Vidējā viena žurnāla cena – 3,59 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0CDAE34B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C7FDCD4" w14:textId="384CB9CE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6. Žurnālu kalpošanas laiks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1 gadu (ekspertu atzinums).</w:t>
      </w:r>
    </w:p>
    <w:p w14:paraId="444E6DDE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47688A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7. Datu bāžu abonēšanas izmaksas vidēji vienai studiju vietai gadā</w:t>
      </w:r>
      <w:r w:rsidRPr="00220A16" w:rsidDel="005D7464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– 5,15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0FD9AB47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5EFCFE7" w14:textId="581BFF84" w:rsidR="0005662D" w:rsidRPr="00220A16" w:rsidRDefault="004A467B" w:rsidP="008411A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1.7. N7 –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iekārtu iegādes un modernizēšanas izmaksas uz vienu studiju vietu gadā =</w:t>
      </w:r>
      <w:r w:rsidR="008411A0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(iekārtu iegādes izmaksas uz vienu studiju vietu gadā) + (iekārtu modernizēšanas izmaksas uz vienu studiju vietu gadā):</w:t>
      </w:r>
    </w:p>
    <w:p w14:paraId="4EF0B331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C078D16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1.7.1. iekārtu iegādes izmaksas uz vienu studiju vietu gadā – 203,94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atzinums);</w:t>
      </w:r>
    </w:p>
    <w:p w14:paraId="031750FF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8BC595D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1.7.2. iekārtu modernizēšanas izmaksas =</w:t>
      </w:r>
    </w:p>
    <w:p w14:paraId="308AF338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CBD0C7E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(iekārtu iegādes izmaksas uz vienu studiju vietu gadā) x (procenti no iekārtu izmaksu summas iekārtu modernizēšanai).</w:t>
      </w:r>
    </w:p>
    <w:p w14:paraId="5DA1881B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B951117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Piezīme.</w:t>
      </w:r>
    </w:p>
    <w:p w14:paraId="18EF5FB5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158803BC" w14:textId="4C5EE16F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Iekārtu modernizēšanai – 30 procentu no iekārtu iegādes izmaksām uz vienu studiju vietu gadā (ekspertu atzinums).</w:t>
      </w:r>
    </w:p>
    <w:p w14:paraId="32376BCF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F94D9FE" w14:textId="77777777" w:rsidR="006C04B9" w:rsidRPr="00220A16" w:rsidRDefault="006C04B9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E03F7E6" w14:textId="77777777" w:rsidR="0005662D" w:rsidRPr="00220A16" w:rsidRDefault="0005662D" w:rsidP="00482D00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  <w:t>II. Sociālā nodrošinājuma izmaksu aprēķins</w:t>
      </w:r>
    </w:p>
    <w:p w14:paraId="132FC1DD" w14:textId="77777777" w:rsidR="004A467B" w:rsidRPr="00220A16" w:rsidRDefault="004A467B" w:rsidP="00482D00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</w:p>
    <w:p w14:paraId="1C7BCFF9" w14:textId="77777777" w:rsidR="006C04B9" w:rsidRPr="00220A16" w:rsidRDefault="006C04B9" w:rsidP="00482D00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</w:p>
    <w:p w14:paraId="1949F9AA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2. Sociālā nodrošinājuma izmaksas uz vienu studiju vietu gadā aprēķina, izmantojot šādu formulu:</w:t>
      </w:r>
    </w:p>
    <w:p w14:paraId="2A2CF0B6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5FBB0B2" w14:textId="77777777" w:rsidR="0005662D" w:rsidRPr="00220A16" w:rsidRDefault="0005662D" w:rsidP="00482D00">
      <w:pPr>
        <w:shd w:val="clear" w:color="auto" w:fill="FFFFFF"/>
        <w:ind w:firstLine="720"/>
        <w:jc w:val="center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S = S1 + S2, kur</w:t>
      </w:r>
    </w:p>
    <w:p w14:paraId="191B3D27" w14:textId="77777777" w:rsidR="004A467B" w:rsidRPr="00220A16" w:rsidRDefault="004A467B" w:rsidP="00482D00">
      <w:pPr>
        <w:shd w:val="clear" w:color="auto" w:fill="FFFFFF"/>
        <w:ind w:firstLine="720"/>
        <w:jc w:val="center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3B67082" w14:textId="44BF2BD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2.1. S1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3F47FE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stipendiju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izmaksas uz vienu studiju vietu gadā =</w:t>
      </w:r>
    </w:p>
    <w:p w14:paraId="4505BC23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9070EE1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(vidējais stipendijas lielums mēnesī) x 12;</w:t>
      </w:r>
    </w:p>
    <w:p w14:paraId="080F62AF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ED2BDE8" w14:textId="45263F3F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Piezīme.</w:t>
      </w:r>
    </w:p>
    <w:p w14:paraId="5149907D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</w:p>
    <w:p w14:paraId="05CC43E7" w14:textId="450B5552" w:rsidR="0005662D" w:rsidRPr="00220A16" w:rsidRDefault="0005662D" w:rsidP="004A467B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Vidējais stipendijas lielums mēnesī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saskaņā ar Ministru kabineta noteikumiem</w:t>
      </w:r>
      <w:r w:rsidR="009552EF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stipendijām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0E38FF1A" w14:textId="77777777" w:rsidR="004A467B" w:rsidRPr="00220A16" w:rsidRDefault="004A467B" w:rsidP="004A467B">
      <w:pPr>
        <w:ind w:firstLine="720"/>
        <w:rPr>
          <w:color w:val="auto"/>
          <w:lang w:eastAsia="lv-LV"/>
        </w:rPr>
      </w:pPr>
    </w:p>
    <w:p w14:paraId="0855A780" w14:textId="29F1219B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2.2. S2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sporta, kultūras un dienesta viesnīcas izmaksas uz vienu studiju vietu gadā =</w:t>
      </w:r>
    </w:p>
    <w:p w14:paraId="62933B0C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9077DEA" w14:textId="77777777" w:rsidR="0005662D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= (sportam uz vienu studiju vietu gadā) + (kultūrai uz vienu studiju vietu gadā) + (dienesta viesnīcas izmaksas uz vienu studiju vietu gadā).</w:t>
      </w:r>
    </w:p>
    <w:p w14:paraId="454D14C0" w14:textId="77777777" w:rsidR="004A467B" w:rsidRPr="00220A16" w:rsidRDefault="004A467B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921D7FA" w14:textId="5F97FBE6" w:rsidR="004A467B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Piezīmes.</w:t>
      </w:r>
    </w:p>
    <w:p w14:paraId="62675D92" w14:textId="64A79586" w:rsidR="004A467B" w:rsidRPr="00220A16" w:rsidRDefault="004A467B" w:rsidP="008C260E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1.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Sportam uz vienu studiju vietu gadā </w:t>
      </w:r>
      <w:r w:rsidR="00691764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691764" w:rsidRPr="00220A16">
        <w:rPr>
          <w:rFonts w:eastAsia="Times New Roman" w:cs="Times New Roman"/>
          <w:color w:val="auto"/>
          <w:sz w:val="28"/>
          <w:szCs w:val="28"/>
          <w:lang w:eastAsia="lv-LV"/>
        </w:rPr>
        <w:t>22,00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05662D"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758432A8" w14:textId="0C200FE6" w:rsidR="004A467B" w:rsidRPr="00220A16" w:rsidRDefault="0005662D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2. Kultūrai uz vienu studiju vietu gadā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2,85 </w:t>
      </w:r>
      <w:r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</w:p>
    <w:p w14:paraId="312DE3A2" w14:textId="5658F0D5" w:rsidR="0005662D" w:rsidRPr="00220A16" w:rsidRDefault="00943652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3. 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Dienesta viesnīcas izmaksas uz vienu studiju vietu gadā </w:t>
      </w:r>
      <w:r w:rsidR="00E103AB" w:rsidRPr="00220A16">
        <w:rPr>
          <w:rFonts w:eastAsia="Times New Roman" w:cs="Times New Roman"/>
          <w:color w:val="auto"/>
          <w:sz w:val="28"/>
          <w:szCs w:val="28"/>
          <w:lang w:eastAsia="lv-LV"/>
        </w:rPr>
        <w:t>–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4,98 </w:t>
      </w:r>
      <w:r w:rsidR="0005662D" w:rsidRPr="00220A16">
        <w:rPr>
          <w:rFonts w:eastAsia="Times New Roman" w:cs="Times New Roman"/>
          <w:i/>
          <w:iCs/>
          <w:color w:val="auto"/>
          <w:sz w:val="28"/>
          <w:szCs w:val="28"/>
          <w:lang w:eastAsia="lv-LV"/>
        </w:rPr>
        <w:t>euro</w:t>
      </w:r>
      <w:r w:rsidR="0005662D" w:rsidRPr="00220A16">
        <w:rPr>
          <w:rFonts w:eastAsia="Times New Roman" w:cs="Times New Roman"/>
          <w:color w:val="auto"/>
          <w:sz w:val="28"/>
          <w:szCs w:val="28"/>
          <w:lang w:eastAsia="lv-LV"/>
        </w:rPr>
        <w:t> (ekspertu atzinums).</w:t>
      </w:r>
      <w:r w:rsidR="00486184" w:rsidRPr="00220A16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45DB193E" w14:textId="77777777" w:rsidR="006C04B9" w:rsidRDefault="006C04B9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B505426" w14:textId="77777777" w:rsidR="0049270A" w:rsidRPr="00220A16" w:rsidRDefault="0049270A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1642CEE" w14:textId="59606344" w:rsidR="006C04B9" w:rsidRDefault="0049270A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8. Šo noteikumu 6</w:t>
      </w:r>
      <w:r w:rsidR="008C5EFB">
        <w:rPr>
          <w:rFonts w:eastAsia="Times New Roman" w:cs="Times New Roman"/>
          <w:color w:val="auto"/>
          <w:sz w:val="28"/>
          <w:szCs w:val="28"/>
          <w:lang w:eastAsia="lv-LV"/>
        </w:rPr>
        <w:t>. un 7. punkts stājas spēkā 2021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>.gada 1.janvārī.</w:t>
      </w:r>
    </w:p>
    <w:p w14:paraId="13B916D7" w14:textId="77777777" w:rsidR="0049270A" w:rsidRDefault="0049270A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EADF233" w14:textId="77777777" w:rsidR="0049270A" w:rsidRPr="00220A16" w:rsidRDefault="0049270A" w:rsidP="00482D00">
      <w:pPr>
        <w:shd w:val="clear" w:color="auto" w:fill="FFFFFF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E1F4110" w14:textId="77777777" w:rsidR="009C7124" w:rsidRPr="00220A16" w:rsidRDefault="009C7124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7D2FF1D" w14:textId="1AEF347E" w:rsidR="00C912BB" w:rsidRPr="00220A16" w:rsidRDefault="0005662D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Ministru prezidents</w:t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  <w:t>Māris Kučinskis</w:t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  </w:t>
      </w:r>
    </w:p>
    <w:p w14:paraId="2491DF57" w14:textId="77777777" w:rsidR="00C912BB" w:rsidRPr="00220A16" w:rsidRDefault="00C912BB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56C9113" w14:textId="77777777" w:rsidR="00935927" w:rsidRPr="00220A16" w:rsidRDefault="00935927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B31E45A" w14:textId="19707391" w:rsidR="00C912BB" w:rsidRPr="00220A16" w:rsidRDefault="0005662D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Izglītības un zinātnes ministrs</w:t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  <w:t xml:space="preserve">                    </w:t>
      </w:r>
      <w:r w:rsidR="00171B57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Kārlis Šadurskis</w:t>
      </w:r>
    </w:p>
    <w:p w14:paraId="1411F8B6" w14:textId="77777777" w:rsidR="00C912BB" w:rsidRPr="00220A16" w:rsidRDefault="00C912BB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07F1172" w14:textId="77777777" w:rsidR="00C912BB" w:rsidRPr="00220A16" w:rsidRDefault="00C912BB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04BE33B" w14:textId="77777777" w:rsidR="009C7124" w:rsidRPr="00220A16" w:rsidRDefault="009C7124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5CD0625" w14:textId="25A80EC3" w:rsidR="00C912BB" w:rsidRPr="00220A16" w:rsidRDefault="00CC343E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Iesniedzējs</w:t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: </w:t>
      </w:r>
    </w:p>
    <w:p w14:paraId="5EB6CCCD" w14:textId="0A0E4D35" w:rsidR="0005662D" w:rsidRPr="00220A16" w:rsidRDefault="0005662D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>Izglītības un zinātnes ministrs</w:t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C912BB"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ab/>
        <w:t>Kārlis Šadurskis</w:t>
      </w:r>
    </w:p>
    <w:p w14:paraId="25DBCBAF" w14:textId="77777777" w:rsidR="0005662D" w:rsidRPr="00220A16" w:rsidRDefault="0005662D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816B33E" w14:textId="15AE671F" w:rsidR="00C912BB" w:rsidRPr="00220A16" w:rsidRDefault="00C912BB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     </w:t>
      </w:r>
    </w:p>
    <w:p w14:paraId="69E704EC" w14:textId="77777777" w:rsidR="00C912BB" w:rsidRPr="00220A16" w:rsidRDefault="00C912BB" w:rsidP="00482D00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220A16">
        <w:rPr>
          <w:rFonts w:eastAsia="Times New Roman" w:cs="Times New Roman"/>
          <w:color w:val="auto"/>
          <w:sz w:val="28"/>
          <w:szCs w:val="28"/>
          <w:lang w:eastAsia="lv-LV"/>
        </w:rPr>
        <w:t xml:space="preserve">Vizē: </w:t>
      </w:r>
    </w:p>
    <w:p w14:paraId="5EB4C2CD" w14:textId="1DE2B635" w:rsidR="00C912BB" w:rsidRPr="00220A16" w:rsidRDefault="00C912BB" w:rsidP="00482D00">
      <w:pPr>
        <w:ind w:firstLine="720"/>
        <w:jc w:val="both"/>
        <w:rPr>
          <w:rFonts w:cs="Times New Roman"/>
          <w:color w:val="auto"/>
          <w:sz w:val="28"/>
          <w:szCs w:val="28"/>
        </w:rPr>
      </w:pPr>
      <w:r w:rsidRPr="00220A16">
        <w:rPr>
          <w:rFonts w:cs="Times New Roman"/>
          <w:color w:val="auto"/>
          <w:sz w:val="28"/>
          <w:szCs w:val="28"/>
        </w:rPr>
        <w:t>Valsts sekretāre                                                                   Līga Lejiņa</w:t>
      </w:r>
    </w:p>
    <w:p w14:paraId="45967ACB" w14:textId="77777777" w:rsidR="00C912BB" w:rsidRPr="00220A16" w:rsidRDefault="00C912BB" w:rsidP="00482D00">
      <w:pPr>
        <w:ind w:firstLine="720"/>
        <w:jc w:val="both"/>
        <w:rPr>
          <w:rFonts w:cs="Times New Roman"/>
          <w:color w:val="auto"/>
          <w:sz w:val="28"/>
          <w:szCs w:val="28"/>
        </w:rPr>
      </w:pPr>
    </w:p>
    <w:p w14:paraId="00F4F69F" w14:textId="77777777" w:rsidR="00C912BB" w:rsidRPr="00220A16" w:rsidRDefault="00C912BB" w:rsidP="00482D00">
      <w:pPr>
        <w:ind w:firstLine="720"/>
        <w:jc w:val="both"/>
        <w:rPr>
          <w:rFonts w:cs="Times New Roman"/>
          <w:color w:val="auto"/>
          <w:sz w:val="28"/>
          <w:szCs w:val="28"/>
        </w:rPr>
      </w:pPr>
    </w:p>
    <w:p w14:paraId="07D6A126" w14:textId="0966BAB8" w:rsidR="00C912BB" w:rsidRPr="00220A16" w:rsidRDefault="002D3CF0" w:rsidP="00482D00">
      <w:pPr>
        <w:ind w:firstLine="720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01</w:t>
      </w:r>
      <w:r w:rsidR="00BB0837" w:rsidRPr="00220A16">
        <w:rPr>
          <w:rFonts w:cs="Times New Roman"/>
          <w:color w:val="auto"/>
          <w:sz w:val="18"/>
          <w:szCs w:val="18"/>
        </w:rPr>
        <w:t>.0</w:t>
      </w:r>
      <w:r>
        <w:rPr>
          <w:rFonts w:cs="Times New Roman"/>
          <w:color w:val="auto"/>
          <w:sz w:val="18"/>
          <w:szCs w:val="18"/>
        </w:rPr>
        <w:t>9</w:t>
      </w:r>
      <w:r w:rsidR="00C912BB" w:rsidRPr="00220A16">
        <w:rPr>
          <w:rFonts w:cs="Times New Roman"/>
          <w:color w:val="auto"/>
          <w:sz w:val="18"/>
          <w:szCs w:val="18"/>
        </w:rPr>
        <w:t>.</w:t>
      </w:r>
      <w:r w:rsidR="009C47E6" w:rsidRPr="00220A16">
        <w:rPr>
          <w:rFonts w:cs="Times New Roman"/>
          <w:color w:val="auto"/>
          <w:sz w:val="18"/>
          <w:szCs w:val="18"/>
        </w:rPr>
        <w:t>2017</w:t>
      </w:r>
      <w:r w:rsidR="00620BBC" w:rsidRPr="00220A16">
        <w:rPr>
          <w:rFonts w:cs="Times New Roman"/>
          <w:color w:val="auto"/>
          <w:sz w:val="18"/>
          <w:szCs w:val="18"/>
        </w:rPr>
        <w:t>.</w:t>
      </w:r>
      <w:r w:rsidR="00BB0837" w:rsidRPr="00220A16">
        <w:rPr>
          <w:rFonts w:cs="Times New Roman"/>
          <w:color w:val="auto"/>
          <w:sz w:val="18"/>
          <w:szCs w:val="18"/>
        </w:rPr>
        <w:t xml:space="preserve"> 1</w:t>
      </w:r>
      <w:r>
        <w:rPr>
          <w:rFonts w:cs="Times New Roman"/>
          <w:color w:val="auto"/>
          <w:sz w:val="18"/>
          <w:szCs w:val="18"/>
        </w:rPr>
        <w:t>0</w:t>
      </w:r>
      <w:r w:rsidR="00E81845" w:rsidRPr="00220A16">
        <w:rPr>
          <w:rFonts w:cs="Times New Roman"/>
          <w:color w:val="auto"/>
          <w:sz w:val="18"/>
          <w:szCs w:val="18"/>
        </w:rPr>
        <w:t>:10</w:t>
      </w:r>
    </w:p>
    <w:p w14:paraId="4FF0D16C" w14:textId="045DC013" w:rsidR="00C912BB" w:rsidRPr="00220A16" w:rsidRDefault="0043579A" w:rsidP="00482D00">
      <w:pPr>
        <w:ind w:firstLine="720"/>
        <w:rPr>
          <w:rFonts w:cs="Times New Roman"/>
          <w:noProof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22</w:t>
      </w:r>
      <w:r w:rsidR="0049270A">
        <w:rPr>
          <w:rFonts w:cs="Times New Roman"/>
          <w:color w:val="auto"/>
          <w:sz w:val="18"/>
          <w:szCs w:val="18"/>
        </w:rPr>
        <w:t>66</w:t>
      </w:r>
    </w:p>
    <w:p w14:paraId="649EF2ED" w14:textId="52504CFC" w:rsidR="00C912BB" w:rsidRPr="00220A16" w:rsidRDefault="0005662D" w:rsidP="004A467B">
      <w:pPr>
        <w:ind w:firstLine="720"/>
        <w:rPr>
          <w:rFonts w:cs="Times New Roman"/>
          <w:noProof/>
          <w:color w:val="auto"/>
          <w:sz w:val="18"/>
          <w:szCs w:val="18"/>
        </w:rPr>
      </w:pPr>
      <w:r w:rsidRPr="00220A16">
        <w:rPr>
          <w:rFonts w:cs="Times New Roman"/>
          <w:noProof/>
          <w:color w:val="auto"/>
          <w:sz w:val="18"/>
          <w:szCs w:val="18"/>
        </w:rPr>
        <w:t>J.Paiders</w:t>
      </w:r>
      <w:r w:rsidR="00171B57" w:rsidRPr="00220A16">
        <w:rPr>
          <w:rFonts w:cs="Times New Roman"/>
          <w:noProof/>
          <w:color w:val="auto"/>
          <w:sz w:val="18"/>
          <w:szCs w:val="18"/>
        </w:rPr>
        <w:t>, 67047936</w:t>
      </w:r>
    </w:p>
    <w:p w14:paraId="44BA627E" w14:textId="12F7A453" w:rsidR="004F12B5" w:rsidRPr="00220A16" w:rsidRDefault="007432FF" w:rsidP="00B34A6D">
      <w:pPr>
        <w:ind w:firstLine="720"/>
        <w:rPr>
          <w:rFonts w:cs="Times New Roman"/>
          <w:noProof/>
          <w:color w:val="auto"/>
          <w:sz w:val="18"/>
          <w:szCs w:val="18"/>
        </w:rPr>
      </w:pPr>
      <w:r w:rsidRPr="00220A16">
        <w:rPr>
          <w:rFonts w:cs="Times New Roman"/>
          <w:noProof/>
          <w:color w:val="auto"/>
          <w:sz w:val="18"/>
          <w:szCs w:val="18"/>
        </w:rPr>
        <w:t>Janis.Paiders@izm.gov.lv</w:t>
      </w:r>
    </w:p>
    <w:sectPr w:rsidR="004F12B5" w:rsidRPr="00220A16" w:rsidSect="00D84399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F1D3" w14:textId="77777777" w:rsidR="0065084F" w:rsidRDefault="0065084F" w:rsidP="00343C09">
      <w:r>
        <w:separator/>
      </w:r>
    </w:p>
  </w:endnote>
  <w:endnote w:type="continuationSeparator" w:id="0">
    <w:p w14:paraId="611939E5" w14:textId="77777777" w:rsidR="0065084F" w:rsidRDefault="0065084F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3D65" w14:textId="0AEF70BC" w:rsidR="00F938E2" w:rsidRPr="00D84399" w:rsidRDefault="002D3CF0" w:rsidP="00D84399">
    <w:pPr>
      <w:pStyle w:val="tv20787921"/>
      <w:spacing w:after="0" w:line="240" w:lineRule="auto"/>
      <w:jc w:val="both"/>
      <w:rPr>
        <w:sz w:val="22"/>
        <w:szCs w:val="22"/>
      </w:rPr>
    </w:pPr>
    <w:r>
      <w:rPr>
        <w:rFonts w:ascii="Times New Roman" w:hAnsi="Times New Roman"/>
        <w:b w:val="0"/>
        <w:bCs w:val="0"/>
        <w:sz w:val="22"/>
        <w:szCs w:val="22"/>
      </w:rPr>
      <w:t>IZMnot_010917</w:t>
    </w:r>
    <w:r w:rsidR="00F938E2">
      <w:rPr>
        <w:rFonts w:ascii="Times New Roman" w:hAnsi="Times New Roman"/>
        <w:b w:val="0"/>
        <w:bCs w:val="0"/>
        <w:sz w:val="22"/>
        <w:szCs w:val="22"/>
      </w:rPr>
      <w:t>_AI_finansesana</w:t>
    </w:r>
    <w:r w:rsidR="00F938E2" w:rsidRPr="007B69D6">
      <w:rPr>
        <w:rFonts w:ascii="Times New Roman" w:hAnsi="Times New Roman"/>
        <w:b w:val="0"/>
        <w:bCs w:val="0"/>
        <w:sz w:val="22"/>
        <w:szCs w:val="22"/>
      </w:rPr>
      <w:t>;</w:t>
    </w:r>
    <w:r w:rsidR="00F938E2" w:rsidRPr="00BE37DB">
      <w:t xml:space="preserve"> </w:t>
    </w:r>
    <w:r w:rsidR="00F938E2" w:rsidRPr="00BE37DB">
      <w:rPr>
        <w:rFonts w:ascii="Times New Roman" w:hAnsi="Times New Roman"/>
        <w:b w:val="0"/>
        <w:bCs w:val="0"/>
        <w:sz w:val="22"/>
        <w:szCs w:val="22"/>
      </w:rPr>
      <w:t>Grozījumi Ministru kabineta 2006.gada 12.decembra noteikumos Nr.994 „Kārtība, kādā augstskolas un koledžas tiek finansētas no valsts budžeta līdzekļiem”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ABFE" w14:textId="2135DB5B" w:rsidR="00F938E2" w:rsidRPr="00D84399" w:rsidRDefault="00F938E2" w:rsidP="00D84399">
    <w:pPr>
      <w:pStyle w:val="tv20787921"/>
      <w:spacing w:after="0" w:line="240" w:lineRule="auto"/>
      <w:jc w:val="both"/>
      <w:rPr>
        <w:sz w:val="22"/>
        <w:szCs w:val="22"/>
      </w:rPr>
    </w:pPr>
    <w:r>
      <w:rPr>
        <w:rFonts w:ascii="Times New Roman" w:hAnsi="Times New Roman"/>
        <w:b w:val="0"/>
        <w:bCs w:val="0"/>
        <w:sz w:val="22"/>
        <w:szCs w:val="22"/>
      </w:rPr>
      <w:t>IZMnot_</w:t>
    </w:r>
    <w:r w:rsidR="002D3CF0">
      <w:rPr>
        <w:rFonts w:ascii="Times New Roman" w:hAnsi="Times New Roman"/>
        <w:b w:val="0"/>
        <w:bCs w:val="0"/>
        <w:sz w:val="22"/>
        <w:szCs w:val="22"/>
      </w:rPr>
      <w:t>010917</w:t>
    </w:r>
    <w:r>
      <w:rPr>
        <w:rFonts w:ascii="Times New Roman" w:hAnsi="Times New Roman"/>
        <w:b w:val="0"/>
        <w:bCs w:val="0"/>
        <w:sz w:val="22"/>
        <w:szCs w:val="22"/>
      </w:rPr>
      <w:t>_AI_finansesana</w:t>
    </w:r>
    <w:r w:rsidRPr="007B69D6">
      <w:rPr>
        <w:rFonts w:ascii="Times New Roman" w:hAnsi="Times New Roman"/>
        <w:b w:val="0"/>
        <w:bCs w:val="0"/>
        <w:sz w:val="22"/>
        <w:szCs w:val="22"/>
      </w:rPr>
      <w:t>;</w:t>
    </w:r>
    <w:r w:rsidRPr="00BE37DB">
      <w:t xml:space="preserve"> </w:t>
    </w:r>
    <w:r w:rsidRPr="00BE37DB">
      <w:rPr>
        <w:rFonts w:ascii="Times New Roman" w:hAnsi="Times New Roman"/>
        <w:b w:val="0"/>
        <w:bCs w:val="0"/>
        <w:sz w:val="22"/>
        <w:szCs w:val="22"/>
      </w:rPr>
      <w:t>Grozījumi Ministru kabineta 2006.gada 12.decembra noteikumos Nr.994 „Kārtība, kādā augstskolas un koledžas tiek finansētas no valsts budžeta līdzekļiem”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8BCB2" w14:textId="77777777" w:rsidR="0065084F" w:rsidRDefault="0065084F" w:rsidP="00343C09">
      <w:r>
        <w:separator/>
      </w:r>
    </w:p>
  </w:footnote>
  <w:footnote w:type="continuationSeparator" w:id="0">
    <w:p w14:paraId="5AB72E65" w14:textId="77777777" w:rsidR="0065084F" w:rsidRDefault="0065084F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0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CFAB8E" w14:textId="5C69E0E8" w:rsidR="00F938E2" w:rsidRDefault="00F938E2" w:rsidP="00C912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7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2B0"/>
    <w:multiLevelType w:val="hybridMultilevel"/>
    <w:tmpl w:val="A28C8556"/>
    <w:lvl w:ilvl="0" w:tplc="1FDCC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94E2C"/>
    <w:multiLevelType w:val="hybridMultilevel"/>
    <w:tmpl w:val="6E7601D2"/>
    <w:lvl w:ilvl="0" w:tplc="4962B4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1DF3"/>
    <w:multiLevelType w:val="hybridMultilevel"/>
    <w:tmpl w:val="A28C8556"/>
    <w:lvl w:ilvl="0" w:tplc="1FDCC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2DC3"/>
    <w:multiLevelType w:val="hybridMultilevel"/>
    <w:tmpl w:val="A28C8556"/>
    <w:lvl w:ilvl="0" w:tplc="1FDCC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44A8D"/>
    <w:multiLevelType w:val="hybridMultilevel"/>
    <w:tmpl w:val="28E89A44"/>
    <w:lvl w:ilvl="0" w:tplc="0DEA3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5CD8"/>
    <w:multiLevelType w:val="hybridMultilevel"/>
    <w:tmpl w:val="18548FFA"/>
    <w:lvl w:ilvl="0" w:tplc="62EC9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FB796A"/>
    <w:multiLevelType w:val="hybridMultilevel"/>
    <w:tmpl w:val="C1D8FDE0"/>
    <w:lvl w:ilvl="0" w:tplc="D53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A404C"/>
    <w:multiLevelType w:val="hybridMultilevel"/>
    <w:tmpl w:val="9CF60206"/>
    <w:lvl w:ilvl="0" w:tplc="A766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D2A48"/>
    <w:multiLevelType w:val="hybridMultilevel"/>
    <w:tmpl w:val="DC428D3A"/>
    <w:lvl w:ilvl="0" w:tplc="72F0C8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83D81"/>
    <w:multiLevelType w:val="hybridMultilevel"/>
    <w:tmpl w:val="FE42F3F0"/>
    <w:lvl w:ilvl="0" w:tplc="1C90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E65CD"/>
    <w:multiLevelType w:val="hybridMultilevel"/>
    <w:tmpl w:val="998E80D8"/>
    <w:lvl w:ilvl="0" w:tplc="EEE089DE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4505EB"/>
    <w:multiLevelType w:val="hybridMultilevel"/>
    <w:tmpl w:val="18548FFA"/>
    <w:lvl w:ilvl="0" w:tplc="62EC9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ED5349"/>
    <w:multiLevelType w:val="multilevel"/>
    <w:tmpl w:val="E0E07C5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F1F45AB"/>
    <w:multiLevelType w:val="hybridMultilevel"/>
    <w:tmpl w:val="85EC3842"/>
    <w:lvl w:ilvl="0" w:tplc="4C62A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1F03B1"/>
    <w:multiLevelType w:val="hybridMultilevel"/>
    <w:tmpl w:val="35F6A842"/>
    <w:lvl w:ilvl="0" w:tplc="DDC0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6090C"/>
    <w:multiLevelType w:val="hybridMultilevel"/>
    <w:tmpl w:val="A28C8556"/>
    <w:lvl w:ilvl="0" w:tplc="1FDCC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1114E3"/>
    <w:multiLevelType w:val="hybridMultilevel"/>
    <w:tmpl w:val="A28C8556"/>
    <w:lvl w:ilvl="0" w:tplc="1FDCC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DC3F82"/>
    <w:multiLevelType w:val="hybridMultilevel"/>
    <w:tmpl w:val="B1FC81DE"/>
    <w:lvl w:ilvl="0" w:tplc="E998E9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01FA9"/>
    <w:multiLevelType w:val="hybridMultilevel"/>
    <w:tmpl w:val="D1540AE8"/>
    <w:lvl w:ilvl="0" w:tplc="C7B26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06705"/>
    <w:multiLevelType w:val="multilevel"/>
    <w:tmpl w:val="D4F452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F77B26"/>
    <w:multiLevelType w:val="hybridMultilevel"/>
    <w:tmpl w:val="AC20B23C"/>
    <w:lvl w:ilvl="0" w:tplc="27B6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8603F"/>
    <w:multiLevelType w:val="hybridMultilevel"/>
    <w:tmpl w:val="FA1219B0"/>
    <w:lvl w:ilvl="0" w:tplc="A4524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2D67F9"/>
    <w:multiLevelType w:val="hybridMultilevel"/>
    <w:tmpl w:val="1C0C51CA"/>
    <w:lvl w:ilvl="0" w:tplc="BBAA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9195A"/>
    <w:multiLevelType w:val="hybridMultilevel"/>
    <w:tmpl w:val="1BCA7ABC"/>
    <w:lvl w:ilvl="0" w:tplc="4D72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1771EB"/>
    <w:multiLevelType w:val="hybridMultilevel"/>
    <w:tmpl w:val="D3E48316"/>
    <w:lvl w:ilvl="0" w:tplc="7CA8B4C8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77201E"/>
    <w:multiLevelType w:val="hybridMultilevel"/>
    <w:tmpl w:val="FA1219B0"/>
    <w:lvl w:ilvl="0" w:tplc="A4524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DE2C86"/>
    <w:multiLevelType w:val="hybridMultilevel"/>
    <w:tmpl w:val="4260E8DA"/>
    <w:lvl w:ilvl="0" w:tplc="DFAA0B6A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F12D35"/>
    <w:multiLevelType w:val="hybridMultilevel"/>
    <w:tmpl w:val="F488A9D4"/>
    <w:lvl w:ilvl="0" w:tplc="25B0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D5385B"/>
    <w:multiLevelType w:val="hybridMultilevel"/>
    <w:tmpl w:val="FA1219B0"/>
    <w:lvl w:ilvl="0" w:tplc="A4524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6475FA"/>
    <w:multiLevelType w:val="hybridMultilevel"/>
    <w:tmpl w:val="5370430E"/>
    <w:lvl w:ilvl="0" w:tplc="85B636F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C00ED"/>
    <w:multiLevelType w:val="hybridMultilevel"/>
    <w:tmpl w:val="3DF43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E5DD9"/>
    <w:multiLevelType w:val="hybridMultilevel"/>
    <w:tmpl w:val="9D9875F4"/>
    <w:lvl w:ilvl="0" w:tplc="28DE3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0"/>
  </w:num>
  <w:num w:numId="5">
    <w:abstractNumId w:val="32"/>
  </w:num>
  <w:num w:numId="6">
    <w:abstractNumId w:val="4"/>
  </w:num>
  <w:num w:numId="7">
    <w:abstractNumId w:val="18"/>
  </w:num>
  <w:num w:numId="8">
    <w:abstractNumId w:val="36"/>
  </w:num>
  <w:num w:numId="9">
    <w:abstractNumId w:val="29"/>
  </w:num>
  <w:num w:numId="10">
    <w:abstractNumId w:val="26"/>
  </w:num>
  <w:num w:numId="11">
    <w:abstractNumId w:val="30"/>
  </w:num>
  <w:num w:numId="12">
    <w:abstractNumId w:val="34"/>
  </w:num>
  <w:num w:numId="13">
    <w:abstractNumId w:val="20"/>
  </w:num>
  <w:num w:numId="14">
    <w:abstractNumId w:val="2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8"/>
  </w:num>
  <w:num w:numId="23">
    <w:abstractNumId w:val="31"/>
  </w:num>
  <w:num w:numId="24">
    <w:abstractNumId w:val="9"/>
  </w:num>
  <w:num w:numId="25">
    <w:abstractNumId w:val="23"/>
  </w:num>
  <w:num w:numId="26">
    <w:abstractNumId w:val="16"/>
  </w:num>
  <w:num w:numId="27">
    <w:abstractNumId w:val="33"/>
  </w:num>
  <w:num w:numId="28">
    <w:abstractNumId w:val="12"/>
  </w:num>
  <w:num w:numId="29">
    <w:abstractNumId w:val="21"/>
  </w:num>
  <w:num w:numId="30">
    <w:abstractNumId w:val="37"/>
  </w:num>
  <w:num w:numId="31">
    <w:abstractNumId w:val="25"/>
  </w:num>
  <w:num w:numId="32">
    <w:abstractNumId w:val="13"/>
  </w:num>
  <w:num w:numId="33">
    <w:abstractNumId w:val="28"/>
  </w:num>
  <w:num w:numId="34">
    <w:abstractNumId w:val="27"/>
  </w:num>
  <w:num w:numId="35">
    <w:abstractNumId w:val="17"/>
  </w:num>
  <w:num w:numId="36">
    <w:abstractNumId w:val="35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8"/>
    <w:rsid w:val="0000028B"/>
    <w:rsid w:val="00001765"/>
    <w:rsid w:val="00002BF7"/>
    <w:rsid w:val="00002E15"/>
    <w:rsid w:val="00003ECB"/>
    <w:rsid w:val="00005DC3"/>
    <w:rsid w:val="00010122"/>
    <w:rsid w:val="00011157"/>
    <w:rsid w:val="00014933"/>
    <w:rsid w:val="00014BC5"/>
    <w:rsid w:val="00014FC1"/>
    <w:rsid w:val="0001700D"/>
    <w:rsid w:val="000177E7"/>
    <w:rsid w:val="000216C5"/>
    <w:rsid w:val="00023354"/>
    <w:rsid w:val="00023DE2"/>
    <w:rsid w:val="0002562D"/>
    <w:rsid w:val="0002632A"/>
    <w:rsid w:val="00030CEE"/>
    <w:rsid w:val="00032755"/>
    <w:rsid w:val="0003443A"/>
    <w:rsid w:val="00034EF8"/>
    <w:rsid w:val="00036C52"/>
    <w:rsid w:val="00041D49"/>
    <w:rsid w:val="00041ECB"/>
    <w:rsid w:val="00042FDF"/>
    <w:rsid w:val="00043D9B"/>
    <w:rsid w:val="000453C3"/>
    <w:rsid w:val="00045A76"/>
    <w:rsid w:val="00045F50"/>
    <w:rsid w:val="00045F57"/>
    <w:rsid w:val="00047DE3"/>
    <w:rsid w:val="00050A1B"/>
    <w:rsid w:val="000516F2"/>
    <w:rsid w:val="000537F2"/>
    <w:rsid w:val="0005662D"/>
    <w:rsid w:val="000576E9"/>
    <w:rsid w:val="000603A1"/>
    <w:rsid w:val="00060789"/>
    <w:rsid w:val="00060F07"/>
    <w:rsid w:val="000630D1"/>
    <w:rsid w:val="00064805"/>
    <w:rsid w:val="00066AEE"/>
    <w:rsid w:val="00071B1F"/>
    <w:rsid w:val="00073283"/>
    <w:rsid w:val="00073387"/>
    <w:rsid w:val="00074816"/>
    <w:rsid w:val="00076091"/>
    <w:rsid w:val="00080602"/>
    <w:rsid w:val="000816BF"/>
    <w:rsid w:val="000824AD"/>
    <w:rsid w:val="00083A55"/>
    <w:rsid w:val="000841D2"/>
    <w:rsid w:val="00084DAE"/>
    <w:rsid w:val="00091FC4"/>
    <w:rsid w:val="0009280F"/>
    <w:rsid w:val="00093AE9"/>
    <w:rsid w:val="00094076"/>
    <w:rsid w:val="000943A3"/>
    <w:rsid w:val="00097469"/>
    <w:rsid w:val="000A08F8"/>
    <w:rsid w:val="000A123F"/>
    <w:rsid w:val="000A37F7"/>
    <w:rsid w:val="000A4B00"/>
    <w:rsid w:val="000A4BE2"/>
    <w:rsid w:val="000B1669"/>
    <w:rsid w:val="000B2386"/>
    <w:rsid w:val="000B2EBD"/>
    <w:rsid w:val="000B3F30"/>
    <w:rsid w:val="000B54BE"/>
    <w:rsid w:val="000C0BF1"/>
    <w:rsid w:val="000C2A34"/>
    <w:rsid w:val="000C3987"/>
    <w:rsid w:val="000C7A33"/>
    <w:rsid w:val="000D5B98"/>
    <w:rsid w:val="000D7459"/>
    <w:rsid w:val="000E1446"/>
    <w:rsid w:val="000E17FC"/>
    <w:rsid w:val="000E1BE0"/>
    <w:rsid w:val="000E2FFC"/>
    <w:rsid w:val="000E368D"/>
    <w:rsid w:val="000F04FE"/>
    <w:rsid w:val="000F3F85"/>
    <w:rsid w:val="000F54EB"/>
    <w:rsid w:val="000F5582"/>
    <w:rsid w:val="000F6A30"/>
    <w:rsid w:val="00102A8A"/>
    <w:rsid w:val="00103047"/>
    <w:rsid w:val="00103BD7"/>
    <w:rsid w:val="001047B9"/>
    <w:rsid w:val="00110B3C"/>
    <w:rsid w:val="00115B32"/>
    <w:rsid w:val="00115BCA"/>
    <w:rsid w:val="001208BF"/>
    <w:rsid w:val="00120E82"/>
    <w:rsid w:val="00121718"/>
    <w:rsid w:val="00121D23"/>
    <w:rsid w:val="001223CC"/>
    <w:rsid w:val="0012243C"/>
    <w:rsid w:val="001229B3"/>
    <w:rsid w:val="00124304"/>
    <w:rsid w:val="00125324"/>
    <w:rsid w:val="001253B3"/>
    <w:rsid w:val="001265E2"/>
    <w:rsid w:val="001301C8"/>
    <w:rsid w:val="00130CFB"/>
    <w:rsid w:val="001322C5"/>
    <w:rsid w:val="00134416"/>
    <w:rsid w:val="00134E7C"/>
    <w:rsid w:val="001405C5"/>
    <w:rsid w:val="00144ACD"/>
    <w:rsid w:val="00146FB9"/>
    <w:rsid w:val="00154CF4"/>
    <w:rsid w:val="00155078"/>
    <w:rsid w:val="00157209"/>
    <w:rsid w:val="00157212"/>
    <w:rsid w:val="00157F22"/>
    <w:rsid w:val="00160A81"/>
    <w:rsid w:val="00161845"/>
    <w:rsid w:val="001625A7"/>
    <w:rsid w:val="001649B0"/>
    <w:rsid w:val="00166805"/>
    <w:rsid w:val="001675D5"/>
    <w:rsid w:val="00171B57"/>
    <w:rsid w:val="00172E6F"/>
    <w:rsid w:val="001734FD"/>
    <w:rsid w:val="00174D6A"/>
    <w:rsid w:val="00175280"/>
    <w:rsid w:val="001779D4"/>
    <w:rsid w:val="00177D98"/>
    <w:rsid w:val="00180066"/>
    <w:rsid w:val="00180621"/>
    <w:rsid w:val="00181691"/>
    <w:rsid w:val="001842C2"/>
    <w:rsid w:val="00184E8C"/>
    <w:rsid w:val="00191442"/>
    <w:rsid w:val="001928D2"/>
    <w:rsid w:val="00193AB6"/>
    <w:rsid w:val="00193D3B"/>
    <w:rsid w:val="0019485E"/>
    <w:rsid w:val="001959AC"/>
    <w:rsid w:val="001964A5"/>
    <w:rsid w:val="00197CAC"/>
    <w:rsid w:val="001A18DD"/>
    <w:rsid w:val="001A39EE"/>
    <w:rsid w:val="001A4F74"/>
    <w:rsid w:val="001A5514"/>
    <w:rsid w:val="001B1397"/>
    <w:rsid w:val="001B262F"/>
    <w:rsid w:val="001B5C5C"/>
    <w:rsid w:val="001B7036"/>
    <w:rsid w:val="001B7320"/>
    <w:rsid w:val="001B78B7"/>
    <w:rsid w:val="001B7ADC"/>
    <w:rsid w:val="001B7F03"/>
    <w:rsid w:val="001C090E"/>
    <w:rsid w:val="001C2CD5"/>
    <w:rsid w:val="001C46DB"/>
    <w:rsid w:val="001C739F"/>
    <w:rsid w:val="001C7958"/>
    <w:rsid w:val="001C7BDC"/>
    <w:rsid w:val="001D28A8"/>
    <w:rsid w:val="001D4F73"/>
    <w:rsid w:val="001E12FD"/>
    <w:rsid w:val="001E2826"/>
    <w:rsid w:val="001E3158"/>
    <w:rsid w:val="001E413A"/>
    <w:rsid w:val="001F2DC7"/>
    <w:rsid w:val="001F3BA0"/>
    <w:rsid w:val="001F5F11"/>
    <w:rsid w:val="001F6DDB"/>
    <w:rsid w:val="001F7875"/>
    <w:rsid w:val="00200138"/>
    <w:rsid w:val="00202DB1"/>
    <w:rsid w:val="00203602"/>
    <w:rsid w:val="0020455B"/>
    <w:rsid w:val="0020532C"/>
    <w:rsid w:val="00207869"/>
    <w:rsid w:val="0021009D"/>
    <w:rsid w:val="002116FD"/>
    <w:rsid w:val="002122C6"/>
    <w:rsid w:val="00213249"/>
    <w:rsid w:val="00217089"/>
    <w:rsid w:val="0021735F"/>
    <w:rsid w:val="00220A16"/>
    <w:rsid w:val="00220C96"/>
    <w:rsid w:val="002215F7"/>
    <w:rsid w:val="00222257"/>
    <w:rsid w:val="00224D2A"/>
    <w:rsid w:val="002254B9"/>
    <w:rsid w:val="00226795"/>
    <w:rsid w:val="002269B0"/>
    <w:rsid w:val="00234C24"/>
    <w:rsid w:val="00237EF1"/>
    <w:rsid w:val="002417B9"/>
    <w:rsid w:val="002424F2"/>
    <w:rsid w:val="0024492B"/>
    <w:rsid w:val="002457D0"/>
    <w:rsid w:val="00247C4B"/>
    <w:rsid w:val="00250515"/>
    <w:rsid w:val="002505E9"/>
    <w:rsid w:val="002515AC"/>
    <w:rsid w:val="0025450F"/>
    <w:rsid w:val="00260087"/>
    <w:rsid w:val="002653C7"/>
    <w:rsid w:val="00267908"/>
    <w:rsid w:val="002716B5"/>
    <w:rsid w:val="00271772"/>
    <w:rsid w:val="00271962"/>
    <w:rsid w:val="0027355C"/>
    <w:rsid w:val="002852DA"/>
    <w:rsid w:val="00285C82"/>
    <w:rsid w:val="002873D6"/>
    <w:rsid w:val="00287737"/>
    <w:rsid w:val="00291A5E"/>
    <w:rsid w:val="00291F7E"/>
    <w:rsid w:val="00295473"/>
    <w:rsid w:val="002A17FB"/>
    <w:rsid w:val="002A3C87"/>
    <w:rsid w:val="002A64B2"/>
    <w:rsid w:val="002A7589"/>
    <w:rsid w:val="002A7A28"/>
    <w:rsid w:val="002A7E93"/>
    <w:rsid w:val="002B0037"/>
    <w:rsid w:val="002B059E"/>
    <w:rsid w:val="002B0B10"/>
    <w:rsid w:val="002B0CBE"/>
    <w:rsid w:val="002B0FEE"/>
    <w:rsid w:val="002B2733"/>
    <w:rsid w:val="002B3066"/>
    <w:rsid w:val="002B3E2E"/>
    <w:rsid w:val="002B3FAC"/>
    <w:rsid w:val="002B5690"/>
    <w:rsid w:val="002B5EAE"/>
    <w:rsid w:val="002B6150"/>
    <w:rsid w:val="002B6CB4"/>
    <w:rsid w:val="002B75F7"/>
    <w:rsid w:val="002B7ACE"/>
    <w:rsid w:val="002C0E67"/>
    <w:rsid w:val="002C12BD"/>
    <w:rsid w:val="002C3CF9"/>
    <w:rsid w:val="002C7DFF"/>
    <w:rsid w:val="002C7F5F"/>
    <w:rsid w:val="002D0290"/>
    <w:rsid w:val="002D3CF0"/>
    <w:rsid w:val="002D4A54"/>
    <w:rsid w:val="002D4BCE"/>
    <w:rsid w:val="002D4CDB"/>
    <w:rsid w:val="002D575B"/>
    <w:rsid w:val="002D5A44"/>
    <w:rsid w:val="002D67DB"/>
    <w:rsid w:val="002D6EA8"/>
    <w:rsid w:val="002E3A9C"/>
    <w:rsid w:val="002E66D8"/>
    <w:rsid w:val="002F07D5"/>
    <w:rsid w:val="002F0A21"/>
    <w:rsid w:val="002F1A2D"/>
    <w:rsid w:val="002F1D21"/>
    <w:rsid w:val="002F2087"/>
    <w:rsid w:val="002F6486"/>
    <w:rsid w:val="002F6FE8"/>
    <w:rsid w:val="002F74F3"/>
    <w:rsid w:val="0030246E"/>
    <w:rsid w:val="00302D65"/>
    <w:rsid w:val="00303A10"/>
    <w:rsid w:val="00303A44"/>
    <w:rsid w:val="00306913"/>
    <w:rsid w:val="003109D4"/>
    <w:rsid w:val="00311913"/>
    <w:rsid w:val="0031256E"/>
    <w:rsid w:val="00312BD5"/>
    <w:rsid w:val="0031573D"/>
    <w:rsid w:val="003157C8"/>
    <w:rsid w:val="00316D7F"/>
    <w:rsid w:val="00316DC4"/>
    <w:rsid w:val="003215A6"/>
    <w:rsid w:val="0032212B"/>
    <w:rsid w:val="003226E3"/>
    <w:rsid w:val="00322AD5"/>
    <w:rsid w:val="003252EB"/>
    <w:rsid w:val="003255F3"/>
    <w:rsid w:val="003305D9"/>
    <w:rsid w:val="003315A6"/>
    <w:rsid w:val="003339B5"/>
    <w:rsid w:val="0033406A"/>
    <w:rsid w:val="00335660"/>
    <w:rsid w:val="00336048"/>
    <w:rsid w:val="00336297"/>
    <w:rsid w:val="003367B8"/>
    <w:rsid w:val="00340447"/>
    <w:rsid w:val="00343AFE"/>
    <w:rsid w:val="00343C09"/>
    <w:rsid w:val="00350094"/>
    <w:rsid w:val="00351066"/>
    <w:rsid w:val="00352084"/>
    <w:rsid w:val="00352720"/>
    <w:rsid w:val="003543D6"/>
    <w:rsid w:val="00354540"/>
    <w:rsid w:val="0035561E"/>
    <w:rsid w:val="00355803"/>
    <w:rsid w:val="00356A99"/>
    <w:rsid w:val="00363B2C"/>
    <w:rsid w:val="00366681"/>
    <w:rsid w:val="00367730"/>
    <w:rsid w:val="00367D4B"/>
    <w:rsid w:val="003705D6"/>
    <w:rsid w:val="00376201"/>
    <w:rsid w:val="00377865"/>
    <w:rsid w:val="00377BF2"/>
    <w:rsid w:val="00377FE8"/>
    <w:rsid w:val="00383D7B"/>
    <w:rsid w:val="00385F7D"/>
    <w:rsid w:val="00386AA3"/>
    <w:rsid w:val="00390EB2"/>
    <w:rsid w:val="00392AE3"/>
    <w:rsid w:val="00392D52"/>
    <w:rsid w:val="0039660D"/>
    <w:rsid w:val="00397238"/>
    <w:rsid w:val="00397CE8"/>
    <w:rsid w:val="003A11C0"/>
    <w:rsid w:val="003A70CD"/>
    <w:rsid w:val="003B0218"/>
    <w:rsid w:val="003B08FA"/>
    <w:rsid w:val="003B1EB8"/>
    <w:rsid w:val="003B44C7"/>
    <w:rsid w:val="003B478F"/>
    <w:rsid w:val="003B60E6"/>
    <w:rsid w:val="003C123F"/>
    <w:rsid w:val="003C5083"/>
    <w:rsid w:val="003C6080"/>
    <w:rsid w:val="003C6B21"/>
    <w:rsid w:val="003C7D8B"/>
    <w:rsid w:val="003D05A2"/>
    <w:rsid w:val="003D275A"/>
    <w:rsid w:val="003D2DCB"/>
    <w:rsid w:val="003D5B22"/>
    <w:rsid w:val="003D6DDF"/>
    <w:rsid w:val="003D75C1"/>
    <w:rsid w:val="003D76F8"/>
    <w:rsid w:val="003E2C64"/>
    <w:rsid w:val="003E5A97"/>
    <w:rsid w:val="003E75A5"/>
    <w:rsid w:val="003F081D"/>
    <w:rsid w:val="003F12AF"/>
    <w:rsid w:val="003F47FE"/>
    <w:rsid w:val="003F6391"/>
    <w:rsid w:val="003F63DB"/>
    <w:rsid w:val="00401E6D"/>
    <w:rsid w:val="00402F1B"/>
    <w:rsid w:val="004044F7"/>
    <w:rsid w:val="00404CD2"/>
    <w:rsid w:val="00405645"/>
    <w:rsid w:val="00405D91"/>
    <w:rsid w:val="0041178D"/>
    <w:rsid w:val="004118C3"/>
    <w:rsid w:val="00411A7C"/>
    <w:rsid w:val="00411AB5"/>
    <w:rsid w:val="0041317B"/>
    <w:rsid w:val="00415A42"/>
    <w:rsid w:val="00415B4F"/>
    <w:rsid w:val="00416519"/>
    <w:rsid w:val="00417738"/>
    <w:rsid w:val="004209BC"/>
    <w:rsid w:val="00425D9F"/>
    <w:rsid w:val="004276CB"/>
    <w:rsid w:val="00427BB5"/>
    <w:rsid w:val="00430190"/>
    <w:rsid w:val="0043025D"/>
    <w:rsid w:val="0043251F"/>
    <w:rsid w:val="00432928"/>
    <w:rsid w:val="0043308F"/>
    <w:rsid w:val="00433618"/>
    <w:rsid w:val="0043444B"/>
    <w:rsid w:val="0043579A"/>
    <w:rsid w:val="00435CE2"/>
    <w:rsid w:val="00437C3E"/>
    <w:rsid w:val="00444999"/>
    <w:rsid w:val="004526D2"/>
    <w:rsid w:val="004530C9"/>
    <w:rsid w:val="0045317D"/>
    <w:rsid w:val="00453B12"/>
    <w:rsid w:val="00454BA4"/>
    <w:rsid w:val="00455983"/>
    <w:rsid w:val="00455E11"/>
    <w:rsid w:val="00456D1E"/>
    <w:rsid w:val="004621E6"/>
    <w:rsid w:val="00462288"/>
    <w:rsid w:val="0046339A"/>
    <w:rsid w:val="00464273"/>
    <w:rsid w:val="00464B71"/>
    <w:rsid w:val="00464CB2"/>
    <w:rsid w:val="004661E5"/>
    <w:rsid w:val="0046644F"/>
    <w:rsid w:val="0046745A"/>
    <w:rsid w:val="00467A30"/>
    <w:rsid w:val="00470C26"/>
    <w:rsid w:val="00471E7F"/>
    <w:rsid w:val="00472523"/>
    <w:rsid w:val="00473AA0"/>
    <w:rsid w:val="0047646F"/>
    <w:rsid w:val="004817F4"/>
    <w:rsid w:val="00482338"/>
    <w:rsid w:val="00482D00"/>
    <w:rsid w:val="004836F3"/>
    <w:rsid w:val="00485351"/>
    <w:rsid w:val="00485F57"/>
    <w:rsid w:val="00486184"/>
    <w:rsid w:val="004902EA"/>
    <w:rsid w:val="0049270A"/>
    <w:rsid w:val="00492ECF"/>
    <w:rsid w:val="00493591"/>
    <w:rsid w:val="00493831"/>
    <w:rsid w:val="00494FF3"/>
    <w:rsid w:val="00496215"/>
    <w:rsid w:val="00496526"/>
    <w:rsid w:val="004A200B"/>
    <w:rsid w:val="004A2208"/>
    <w:rsid w:val="004A35B7"/>
    <w:rsid w:val="004A3859"/>
    <w:rsid w:val="004A467B"/>
    <w:rsid w:val="004A5D8C"/>
    <w:rsid w:val="004B1CBE"/>
    <w:rsid w:val="004B2D05"/>
    <w:rsid w:val="004B5E34"/>
    <w:rsid w:val="004B61AA"/>
    <w:rsid w:val="004C1462"/>
    <w:rsid w:val="004C2612"/>
    <w:rsid w:val="004C449F"/>
    <w:rsid w:val="004C69B2"/>
    <w:rsid w:val="004C7671"/>
    <w:rsid w:val="004C768E"/>
    <w:rsid w:val="004C7927"/>
    <w:rsid w:val="004D19EC"/>
    <w:rsid w:val="004D4D2B"/>
    <w:rsid w:val="004D505E"/>
    <w:rsid w:val="004D758A"/>
    <w:rsid w:val="004E04B9"/>
    <w:rsid w:val="004E066C"/>
    <w:rsid w:val="004E0847"/>
    <w:rsid w:val="004E1019"/>
    <w:rsid w:val="004E1E11"/>
    <w:rsid w:val="004E1E44"/>
    <w:rsid w:val="004E31CB"/>
    <w:rsid w:val="004E379C"/>
    <w:rsid w:val="004E3AF1"/>
    <w:rsid w:val="004E49EB"/>
    <w:rsid w:val="004E4C18"/>
    <w:rsid w:val="004E56F0"/>
    <w:rsid w:val="004F01A5"/>
    <w:rsid w:val="004F0B63"/>
    <w:rsid w:val="004F12B5"/>
    <w:rsid w:val="004F4536"/>
    <w:rsid w:val="004F4628"/>
    <w:rsid w:val="004F4E6B"/>
    <w:rsid w:val="004F60F0"/>
    <w:rsid w:val="004F6B1B"/>
    <w:rsid w:val="004F74D2"/>
    <w:rsid w:val="004F7D77"/>
    <w:rsid w:val="004F7F0C"/>
    <w:rsid w:val="00502420"/>
    <w:rsid w:val="00504581"/>
    <w:rsid w:val="00504D94"/>
    <w:rsid w:val="00505306"/>
    <w:rsid w:val="00507F2D"/>
    <w:rsid w:val="00511CDC"/>
    <w:rsid w:val="005158F0"/>
    <w:rsid w:val="005167D8"/>
    <w:rsid w:val="00521F61"/>
    <w:rsid w:val="00523A89"/>
    <w:rsid w:val="005279EF"/>
    <w:rsid w:val="00527AED"/>
    <w:rsid w:val="00527CBF"/>
    <w:rsid w:val="00527FDC"/>
    <w:rsid w:val="00530048"/>
    <w:rsid w:val="005303F8"/>
    <w:rsid w:val="00530D77"/>
    <w:rsid w:val="005327E3"/>
    <w:rsid w:val="00533BF6"/>
    <w:rsid w:val="00534631"/>
    <w:rsid w:val="00542841"/>
    <w:rsid w:val="0054555C"/>
    <w:rsid w:val="0054558E"/>
    <w:rsid w:val="0054686B"/>
    <w:rsid w:val="005479C7"/>
    <w:rsid w:val="0055145D"/>
    <w:rsid w:val="005514C7"/>
    <w:rsid w:val="00553863"/>
    <w:rsid w:val="00554168"/>
    <w:rsid w:val="00556155"/>
    <w:rsid w:val="0055656B"/>
    <w:rsid w:val="00557585"/>
    <w:rsid w:val="00557D28"/>
    <w:rsid w:val="00560022"/>
    <w:rsid w:val="00560841"/>
    <w:rsid w:val="005609B6"/>
    <w:rsid w:val="005621E5"/>
    <w:rsid w:val="00562347"/>
    <w:rsid w:val="00563D27"/>
    <w:rsid w:val="00564156"/>
    <w:rsid w:val="005649B0"/>
    <w:rsid w:val="0056540B"/>
    <w:rsid w:val="00565855"/>
    <w:rsid w:val="00565905"/>
    <w:rsid w:val="00566230"/>
    <w:rsid w:val="00571959"/>
    <w:rsid w:val="00573F90"/>
    <w:rsid w:val="005743EF"/>
    <w:rsid w:val="00574701"/>
    <w:rsid w:val="005766DB"/>
    <w:rsid w:val="005807B2"/>
    <w:rsid w:val="005817A9"/>
    <w:rsid w:val="0058240F"/>
    <w:rsid w:val="00583F0F"/>
    <w:rsid w:val="00584D7F"/>
    <w:rsid w:val="0059056F"/>
    <w:rsid w:val="00590A28"/>
    <w:rsid w:val="005919C3"/>
    <w:rsid w:val="0059499E"/>
    <w:rsid w:val="00595A2C"/>
    <w:rsid w:val="00596367"/>
    <w:rsid w:val="0059721C"/>
    <w:rsid w:val="0059747B"/>
    <w:rsid w:val="005A210D"/>
    <w:rsid w:val="005A3710"/>
    <w:rsid w:val="005A4377"/>
    <w:rsid w:val="005A5917"/>
    <w:rsid w:val="005A61D8"/>
    <w:rsid w:val="005A7D8C"/>
    <w:rsid w:val="005B01AF"/>
    <w:rsid w:val="005B1AB0"/>
    <w:rsid w:val="005B28E7"/>
    <w:rsid w:val="005B4D4D"/>
    <w:rsid w:val="005B590E"/>
    <w:rsid w:val="005B59A1"/>
    <w:rsid w:val="005C094D"/>
    <w:rsid w:val="005C14EF"/>
    <w:rsid w:val="005C2B0D"/>
    <w:rsid w:val="005C37F3"/>
    <w:rsid w:val="005C3F39"/>
    <w:rsid w:val="005C40A8"/>
    <w:rsid w:val="005C5784"/>
    <w:rsid w:val="005C6529"/>
    <w:rsid w:val="005C652E"/>
    <w:rsid w:val="005C6BFE"/>
    <w:rsid w:val="005D05D9"/>
    <w:rsid w:val="005D25EB"/>
    <w:rsid w:val="005D4573"/>
    <w:rsid w:val="005D53F1"/>
    <w:rsid w:val="005D5B02"/>
    <w:rsid w:val="005E0DA9"/>
    <w:rsid w:val="005E1F1C"/>
    <w:rsid w:val="005E2C59"/>
    <w:rsid w:val="005E3FFD"/>
    <w:rsid w:val="005E4B40"/>
    <w:rsid w:val="005E751F"/>
    <w:rsid w:val="005E77F4"/>
    <w:rsid w:val="005F066E"/>
    <w:rsid w:val="005F0A25"/>
    <w:rsid w:val="005F2B9E"/>
    <w:rsid w:val="005F3665"/>
    <w:rsid w:val="005F5C83"/>
    <w:rsid w:val="005F78C6"/>
    <w:rsid w:val="006008DE"/>
    <w:rsid w:val="00602587"/>
    <w:rsid w:val="006057D9"/>
    <w:rsid w:val="00606159"/>
    <w:rsid w:val="00606172"/>
    <w:rsid w:val="00606512"/>
    <w:rsid w:val="006073E2"/>
    <w:rsid w:val="00612E7E"/>
    <w:rsid w:val="00613F70"/>
    <w:rsid w:val="00614B3B"/>
    <w:rsid w:val="0061594E"/>
    <w:rsid w:val="00615AB7"/>
    <w:rsid w:val="00615EF8"/>
    <w:rsid w:val="00616CB0"/>
    <w:rsid w:val="006204E7"/>
    <w:rsid w:val="00620BBC"/>
    <w:rsid w:val="00622D1E"/>
    <w:rsid w:val="00630877"/>
    <w:rsid w:val="00631EDD"/>
    <w:rsid w:val="00634EBB"/>
    <w:rsid w:val="0063510A"/>
    <w:rsid w:val="006357E5"/>
    <w:rsid w:val="00635904"/>
    <w:rsid w:val="00636FF1"/>
    <w:rsid w:val="00641BA0"/>
    <w:rsid w:val="0064378A"/>
    <w:rsid w:val="00646DE6"/>
    <w:rsid w:val="006477E9"/>
    <w:rsid w:val="0065084F"/>
    <w:rsid w:val="00652CC7"/>
    <w:rsid w:val="00656E26"/>
    <w:rsid w:val="0066048A"/>
    <w:rsid w:val="00662EE2"/>
    <w:rsid w:val="00663EE2"/>
    <w:rsid w:val="00667890"/>
    <w:rsid w:val="006705DE"/>
    <w:rsid w:val="00672642"/>
    <w:rsid w:val="00673C64"/>
    <w:rsid w:val="00674085"/>
    <w:rsid w:val="00681017"/>
    <w:rsid w:val="0068175B"/>
    <w:rsid w:val="0068443E"/>
    <w:rsid w:val="00685432"/>
    <w:rsid w:val="00691764"/>
    <w:rsid w:val="0069222A"/>
    <w:rsid w:val="006926DE"/>
    <w:rsid w:val="00693F19"/>
    <w:rsid w:val="006959F6"/>
    <w:rsid w:val="006972E3"/>
    <w:rsid w:val="0069762C"/>
    <w:rsid w:val="006A013A"/>
    <w:rsid w:val="006A02E1"/>
    <w:rsid w:val="006A1729"/>
    <w:rsid w:val="006A339C"/>
    <w:rsid w:val="006A36DB"/>
    <w:rsid w:val="006A499E"/>
    <w:rsid w:val="006A604C"/>
    <w:rsid w:val="006A6786"/>
    <w:rsid w:val="006A7866"/>
    <w:rsid w:val="006B2A3F"/>
    <w:rsid w:val="006B3559"/>
    <w:rsid w:val="006B51C2"/>
    <w:rsid w:val="006C02F9"/>
    <w:rsid w:val="006C04B9"/>
    <w:rsid w:val="006C3195"/>
    <w:rsid w:val="006C399A"/>
    <w:rsid w:val="006D3D72"/>
    <w:rsid w:val="006D44DF"/>
    <w:rsid w:val="006D6CCA"/>
    <w:rsid w:val="006D70EF"/>
    <w:rsid w:val="006E3408"/>
    <w:rsid w:val="006E4DED"/>
    <w:rsid w:val="006E5584"/>
    <w:rsid w:val="006E71AF"/>
    <w:rsid w:val="006E7C29"/>
    <w:rsid w:val="006F0890"/>
    <w:rsid w:val="006F0DB9"/>
    <w:rsid w:val="006F0FDE"/>
    <w:rsid w:val="006F189A"/>
    <w:rsid w:val="006F1B66"/>
    <w:rsid w:val="006F281E"/>
    <w:rsid w:val="006F2EA4"/>
    <w:rsid w:val="006F3DB4"/>
    <w:rsid w:val="006F4BB7"/>
    <w:rsid w:val="006F6A23"/>
    <w:rsid w:val="00704E95"/>
    <w:rsid w:val="00704FDD"/>
    <w:rsid w:val="00706DF1"/>
    <w:rsid w:val="0071001E"/>
    <w:rsid w:val="00711AE4"/>
    <w:rsid w:val="00711E3C"/>
    <w:rsid w:val="00712762"/>
    <w:rsid w:val="00712EAF"/>
    <w:rsid w:val="007161CC"/>
    <w:rsid w:val="00717E08"/>
    <w:rsid w:val="00717F53"/>
    <w:rsid w:val="0072177B"/>
    <w:rsid w:val="007217A8"/>
    <w:rsid w:val="00722293"/>
    <w:rsid w:val="00724C00"/>
    <w:rsid w:val="00724CC8"/>
    <w:rsid w:val="00727224"/>
    <w:rsid w:val="0073176C"/>
    <w:rsid w:val="00731A11"/>
    <w:rsid w:val="00732012"/>
    <w:rsid w:val="0073248A"/>
    <w:rsid w:val="00732BD9"/>
    <w:rsid w:val="00732C4A"/>
    <w:rsid w:val="00735D7C"/>
    <w:rsid w:val="00737F1D"/>
    <w:rsid w:val="007432FF"/>
    <w:rsid w:val="00743924"/>
    <w:rsid w:val="00747B89"/>
    <w:rsid w:val="00753E8D"/>
    <w:rsid w:val="00754A38"/>
    <w:rsid w:val="007563DC"/>
    <w:rsid w:val="00760CA2"/>
    <w:rsid w:val="00764E56"/>
    <w:rsid w:val="00767296"/>
    <w:rsid w:val="00773025"/>
    <w:rsid w:val="00773C31"/>
    <w:rsid w:val="0077467D"/>
    <w:rsid w:val="00776067"/>
    <w:rsid w:val="007809DB"/>
    <w:rsid w:val="00781FD2"/>
    <w:rsid w:val="00783BC0"/>
    <w:rsid w:val="00783FF5"/>
    <w:rsid w:val="00787835"/>
    <w:rsid w:val="00787D21"/>
    <w:rsid w:val="00791471"/>
    <w:rsid w:val="00792C91"/>
    <w:rsid w:val="0079345F"/>
    <w:rsid w:val="00793B31"/>
    <w:rsid w:val="00794A6E"/>
    <w:rsid w:val="0079649D"/>
    <w:rsid w:val="00796CC7"/>
    <w:rsid w:val="0079766B"/>
    <w:rsid w:val="007A18BD"/>
    <w:rsid w:val="007A1EDB"/>
    <w:rsid w:val="007A2527"/>
    <w:rsid w:val="007A25DD"/>
    <w:rsid w:val="007A25ED"/>
    <w:rsid w:val="007A3C99"/>
    <w:rsid w:val="007A4285"/>
    <w:rsid w:val="007A7D71"/>
    <w:rsid w:val="007B09D3"/>
    <w:rsid w:val="007B1462"/>
    <w:rsid w:val="007B1471"/>
    <w:rsid w:val="007B22DD"/>
    <w:rsid w:val="007B327B"/>
    <w:rsid w:val="007B45DD"/>
    <w:rsid w:val="007B521A"/>
    <w:rsid w:val="007B5ABC"/>
    <w:rsid w:val="007B69D6"/>
    <w:rsid w:val="007C04E6"/>
    <w:rsid w:val="007C06BA"/>
    <w:rsid w:val="007C197E"/>
    <w:rsid w:val="007C1C7F"/>
    <w:rsid w:val="007C4BBD"/>
    <w:rsid w:val="007C79AF"/>
    <w:rsid w:val="007C7DDD"/>
    <w:rsid w:val="007D0165"/>
    <w:rsid w:val="007D042E"/>
    <w:rsid w:val="007D3542"/>
    <w:rsid w:val="007D76A4"/>
    <w:rsid w:val="007E0044"/>
    <w:rsid w:val="007E2C3F"/>
    <w:rsid w:val="007E4100"/>
    <w:rsid w:val="007E5520"/>
    <w:rsid w:val="007E6AAE"/>
    <w:rsid w:val="007E7906"/>
    <w:rsid w:val="007E7D96"/>
    <w:rsid w:val="007F0D44"/>
    <w:rsid w:val="007F2C07"/>
    <w:rsid w:val="007F6749"/>
    <w:rsid w:val="00800999"/>
    <w:rsid w:val="00802B0A"/>
    <w:rsid w:val="00803401"/>
    <w:rsid w:val="0080426E"/>
    <w:rsid w:val="008052ED"/>
    <w:rsid w:val="00805D5E"/>
    <w:rsid w:val="00806CCB"/>
    <w:rsid w:val="008108AF"/>
    <w:rsid w:val="00810E06"/>
    <w:rsid w:val="00811625"/>
    <w:rsid w:val="0082015A"/>
    <w:rsid w:val="00820210"/>
    <w:rsid w:val="008216E2"/>
    <w:rsid w:val="00823174"/>
    <w:rsid w:val="008239E9"/>
    <w:rsid w:val="00823ACF"/>
    <w:rsid w:val="00823EF6"/>
    <w:rsid w:val="00825A0D"/>
    <w:rsid w:val="008268EE"/>
    <w:rsid w:val="008301E1"/>
    <w:rsid w:val="008339E2"/>
    <w:rsid w:val="00834585"/>
    <w:rsid w:val="008354E8"/>
    <w:rsid w:val="00837E9A"/>
    <w:rsid w:val="008411A0"/>
    <w:rsid w:val="00841C5C"/>
    <w:rsid w:val="00842683"/>
    <w:rsid w:val="008435F5"/>
    <w:rsid w:val="0084604E"/>
    <w:rsid w:val="00846063"/>
    <w:rsid w:val="00846440"/>
    <w:rsid w:val="008477F6"/>
    <w:rsid w:val="00847946"/>
    <w:rsid w:val="00851D20"/>
    <w:rsid w:val="00855BBC"/>
    <w:rsid w:val="008563F0"/>
    <w:rsid w:val="0085691B"/>
    <w:rsid w:val="00861118"/>
    <w:rsid w:val="00863476"/>
    <w:rsid w:val="00864CD2"/>
    <w:rsid w:val="00866309"/>
    <w:rsid w:val="00867218"/>
    <w:rsid w:val="008678FB"/>
    <w:rsid w:val="00867A3F"/>
    <w:rsid w:val="00867A86"/>
    <w:rsid w:val="00871417"/>
    <w:rsid w:val="0087389A"/>
    <w:rsid w:val="00873E4A"/>
    <w:rsid w:val="00874AFD"/>
    <w:rsid w:val="00876C24"/>
    <w:rsid w:val="008817D2"/>
    <w:rsid w:val="00881F20"/>
    <w:rsid w:val="00883AFC"/>
    <w:rsid w:val="0088480B"/>
    <w:rsid w:val="008864FA"/>
    <w:rsid w:val="00886888"/>
    <w:rsid w:val="00886EE6"/>
    <w:rsid w:val="0088795B"/>
    <w:rsid w:val="008908DB"/>
    <w:rsid w:val="008921EB"/>
    <w:rsid w:val="00892D80"/>
    <w:rsid w:val="00894A59"/>
    <w:rsid w:val="00894CE0"/>
    <w:rsid w:val="00895DAC"/>
    <w:rsid w:val="00896084"/>
    <w:rsid w:val="008A313E"/>
    <w:rsid w:val="008A460D"/>
    <w:rsid w:val="008A4FA9"/>
    <w:rsid w:val="008B0637"/>
    <w:rsid w:val="008B2216"/>
    <w:rsid w:val="008B32E7"/>
    <w:rsid w:val="008B61EE"/>
    <w:rsid w:val="008B6477"/>
    <w:rsid w:val="008B65B3"/>
    <w:rsid w:val="008B7690"/>
    <w:rsid w:val="008B7FB1"/>
    <w:rsid w:val="008C1D1F"/>
    <w:rsid w:val="008C260E"/>
    <w:rsid w:val="008C2946"/>
    <w:rsid w:val="008C355F"/>
    <w:rsid w:val="008C5EFB"/>
    <w:rsid w:val="008D5CAC"/>
    <w:rsid w:val="008E0058"/>
    <w:rsid w:val="008E199A"/>
    <w:rsid w:val="008E5465"/>
    <w:rsid w:val="008F097B"/>
    <w:rsid w:val="008F09A6"/>
    <w:rsid w:val="008F153D"/>
    <w:rsid w:val="008F3D4A"/>
    <w:rsid w:val="008F558E"/>
    <w:rsid w:val="008F56E7"/>
    <w:rsid w:val="008F67C2"/>
    <w:rsid w:val="008F7C80"/>
    <w:rsid w:val="00900823"/>
    <w:rsid w:val="00900CF0"/>
    <w:rsid w:val="00901FB1"/>
    <w:rsid w:val="00902112"/>
    <w:rsid w:val="009021D3"/>
    <w:rsid w:val="00906619"/>
    <w:rsid w:val="00906D38"/>
    <w:rsid w:val="00906DB2"/>
    <w:rsid w:val="009079C8"/>
    <w:rsid w:val="009116AF"/>
    <w:rsid w:val="009133F1"/>
    <w:rsid w:val="0091404B"/>
    <w:rsid w:val="009148F3"/>
    <w:rsid w:val="009158F9"/>
    <w:rsid w:val="00917C14"/>
    <w:rsid w:val="0092331B"/>
    <w:rsid w:val="0092509A"/>
    <w:rsid w:val="00925AC6"/>
    <w:rsid w:val="009268B1"/>
    <w:rsid w:val="00932C0B"/>
    <w:rsid w:val="009336E3"/>
    <w:rsid w:val="00933A9B"/>
    <w:rsid w:val="00933B53"/>
    <w:rsid w:val="00934E09"/>
    <w:rsid w:val="00935927"/>
    <w:rsid w:val="00936712"/>
    <w:rsid w:val="00936CF0"/>
    <w:rsid w:val="00937562"/>
    <w:rsid w:val="009418C8"/>
    <w:rsid w:val="009422C2"/>
    <w:rsid w:val="00943652"/>
    <w:rsid w:val="00943C8A"/>
    <w:rsid w:val="009454F8"/>
    <w:rsid w:val="00946C54"/>
    <w:rsid w:val="009500DC"/>
    <w:rsid w:val="00952C60"/>
    <w:rsid w:val="00953429"/>
    <w:rsid w:val="009552EF"/>
    <w:rsid w:val="00956E8E"/>
    <w:rsid w:val="00964118"/>
    <w:rsid w:val="0096427F"/>
    <w:rsid w:val="0097062C"/>
    <w:rsid w:val="00970802"/>
    <w:rsid w:val="00975447"/>
    <w:rsid w:val="009761A6"/>
    <w:rsid w:val="0097635D"/>
    <w:rsid w:val="00976543"/>
    <w:rsid w:val="00977D6F"/>
    <w:rsid w:val="00977FDE"/>
    <w:rsid w:val="00980547"/>
    <w:rsid w:val="009817B0"/>
    <w:rsid w:val="00981A1E"/>
    <w:rsid w:val="009832FD"/>
    <w:rsid w:val="00983F30"/>
    <w:rsid w:val="0098497C"/>
    <w:rsid w:val="009934D7"/>
    <w:rsid w:val="0099351B"/>
    <w:rsid w:val="00993B81"/>
    <w:rsid w:val="009940AA"/>
    <w:rsid w:val="009A3E00"/>
    <w:rsid w:val="009A7203"/>
    <w:rsid w:val="009A7B24"/>
    <w:rsid w:val="009A7DFA"/>
    <w:rsid w:val="009B122C"/>
    <w:rsid w:val="009B2E65"/>
    <w:rsid w:val="009B43DD"/>
    <w:rsid w:val="009B5928"/>
    <w:rsid w:val="009B6614"/>
    <w:rsid w:val="009B6ADC"/>
    <w:rsid w:val="009C0886"/>
    <w:rsid w:val="009C1F38"/>
    <w:rsid w:val="009C4465"/>
    <w:rsid w:val="009C47E6"/>
    <w:rsid w:val="009C5014"/>
    <w:rsid w:val="009C68F1"/>
    <w:rsid w:val="009C6B37"/>
    <w:rsid w:val="009C7124"/>
    <w:rsid w:val="009D2E5D"/>
    <w:rsid w:val="009D4889"/>
    <w:rsid w:val="009D609D"/>
    <w:rsid w:val="009E08E3"/>
    <w:rsid w:val="009E4A9B"/>
    <w:rsid w:val="009E59DA"/>
    <w:rsid w:val="009F0106"/>
    <w:rsid w:val="009F1969"/>
    <w:rsid w:val="009F5C4E"/>
    <w:rsid w:val="00A00A30"/>
    <w:rsid w:val="00A03D9D"/>
    <w:rsid w:val="00A03FE5"/>
    <w:rsid w:val="00A07C78"/>
    <w:rsid w:val="00A10206"/>
    <w:rsid w:val="00A10290"/>
    <w:rsid w:val="00A10360"/>
    <w:rsid w:val="00A1085E"/>
    <w:rsid w:val="00A12AC0"/>
    <w:rsid w:val="00A13505"/>
    <w:rsid w:val="00A14943"/>
    <w:rsid w:val="00A14CBE"/>
    <w:rsid w:val="00A16650"/>
    <w:rsid w:val="00A1699F"/>
    <w:rsid w:val="00A232EE"/>
    <w:rsid w:val="00A2374D"/>
    <w:rsid w:val="00A23875"/>
    <w:rsid w:val="00A267FE"/>
    <w:rsid w:val="00A324F7"/>
    <w:rsid w:val="00A32C47"/>
    <w:rsid w:val="00A347A7"/>
    <w:rsid w:val="00A348C8"/>
    <w:rsid w:val="00A34951"/>
    <w:rsid w:val="00A350C7"/>
    <w:rsid w:val="00A3594F"/>
    <w:rsid w:val="00A35A56"/>
    <w:rsid w:val="00A44067"/>
    <w:rsid w:val="00A45144"/>
    <w:rsid w:val="00A476CE"/>
    <w:rsid w:val="00A503E4"/>
    <w:rsid w:val="00A50CAB"/>
    <w:rsid w:val="00A52725"/>
    <w:rsid w:val="00A55113"/>
    <w:rsid w:val="00A55F19"/>
    <w:rsid w:val="00A57353"/>
    <w:rsid w:val="00A57EFD"/>
    <w:rsid w:val="00A606E4"/>
    <w:rsid w:val="00A60DA6"/>
    <w:rsid w:val="00A6293D"/>
    <w:rsid w:val="00A63A37"/>
    <w:rsid w:val="00A641AC"/>
    <w:rsid w:val="00A64EAA"/>
    <w:rsid w:val="00A67615"/>
    <w:rsid w:val="00A70454"/>
    <w:rsid w:val="00A7276A"/>
    <w:rsid w:val="00A737E2"/>
    <w:rsid w:val="00A73847"/>
    <w:rsid w:val="00A73DBE"/>
    <w:rsid w:val="00A776B4"/>
    <w:rsid w:val="00A7789D"/>
    <w:rsid w:val="00A77D5E"/>
    <w:rsid w:val="00A80663"/>
    <w:rsid w:val="00A820EB"/>
    <w:rsid w:val="00A827D4"/>
    <w:rsid w:val="00A844EC"/>
    <w:rsid w:val="00A86E7B"/>
    <w:rsid w:val="00A959EF"/>
    <w:rsid w:val="00A97598"/>
    <w:rsid w:val="00A97912"/>
    <w:rsid w:val="00A97E26"/>
    <w:rsid w:val="00AA1766"/>
    <w:rsid w:val="00AA2A3D"/>
    <w:rsid w:val="00AA3C14"/>
    <w:rsid w:val="00AA3C17"/>
    <w:rsid w:val="00AA3D0E"/>
    <w:rsid w:val="00AA4B6A"/>
    <w:rsid w:val="00AA5A98"/>
    <w:rsid w:val="00AA5B4E"/>
    <w:rsid w:val="00AA5ED4"/>
    <w:rsid w:val="00AA6F04"/>
    <w:rsid w:val="00AB16A9"/>
    <w:rsid w:val="00AB6984"/>
    <w:rsid w:val="00AB6ADE"/>
    <w:rsid w:val="00AC02A1"/>
    <w:rsid w:val="00AC1A9E"/>
    <w:rsid w:val="00AC3DBB"/>
    <w:rsid w:val="00AC4065"/>
    <w:rsid w:val="00AC518C"/>
    <w:rsid w:val="00AC5994"/>
    <w:rsid w:val="00AC6A39"/>
    <w:rsid w:val="00AD01DD"/>
    <w:rsid w:val="00AD0DF1"/>
    <w:rsid w:val="00AD2733"/>
    <w:rsid w:val="00AD281C"/>
    <w:rsid w:val="00AD2E91"/>
    <w:rsid w:val="00AD3965"/>
    <w:rsid w:val="00AD5D11"/>
    <w:rsid w:val="00AE0478"/>
    <w:rsid w:val="00AE1EC0"/>
    <w:rsid w:val="00AE6739"/>
    <w:rsid w:val="00AE7B4B"/>
    <w:rsid w:val="00AF203E"/>
    <w:rsid w:val="00AF252C"/>
    <w:rsid w:val="00AF2DF1"/>
    <w:rsid w:val="00AF699B"/>
    <w:rsid w:val="00B009A7"/>
    <w:rsid w:val="00B02719"/>
    <w:rsid w:val="00B03E6A"/>
    <w:rsid w:val="00B053E0"/>
    <w:rsid w:val="00B068AA"/>
    <w:rsid w:val="00B068B7"/>
    <w:rsid w:val="00B06D6E"/>
    <w:rsid w:val="00B10E21"/>
    <w:rsid w:val="00B1251A"/>
    <w:rsid w:val="00B138C1"/>
    <w:rsid w:val="00B157B3"/>
    <w:rsid w:val="00B15A06"/>
    <w:rsid w:val="00B162F7"/>
    <w:rsid w:val="00B200D0"/>
    <w:rsid w:val="00B23B94"/>
    <w:rsid w:val="00B25691"/>
    <w:rsid w:val="00B2731C"/>
    <w:rsid w:val="00B3030F"/>
    <w:rsid w:val="00B30350"/>
    <w:rsid w:val="00B30E89"/>
    <w:rsid w:val="00B31607"/>
    <w:rsid w:val="00B31920"/>
    <w:rsid w:val="00B3241B"/>
    <w:rsid w:val="00B34A6D"/>
    <w:rsid w:val="00B3660B"/>
    <w:rsid w:val="00B40BA0"/>
    <w:rsid w:val="00B432D2"/>
    <w:rsid w:val="00B446C7"/>
    <w:rsid w:val="00B45073"/>
    <w:rsid w:val="00B46192"/>
    <w:rsid w:val="00B465E9"/>
    <w:rsid w:val="00B46F33"/>
    <w:rsid w:val="00B4795F"/>
    <w:rsid w:val="00B521E4"/>
    <w:rsid w:val="00B5299A"/>
    <w:rsid w:val="00B53A5A"/>
    <w:rsid w:val="00B53E83"/>
    <w:rsid w:val="00B54C6E"/>
    <w:rsid w:val="00B60A22"/>
    <w:rsid w:val="00B647BE"/>
    <w:rsid w:val="00B67DD2"/>
    <w:rsid w:val="00B67EEE"/>
    <w:rsid w:val="00B72121"/>
    <w:rsid w:val="00B72B4B"/>
    <w:rsid w:val="00B7483C"/>
    <w:rsid w:val="00B75287"/>
    <w:rsid w:val="00B761D4"/>
    <w:rsid w:val="00B76340"/>
    <w:rsid w:val="00B80D28"/>
    <w:rsid w:val="00B82047"/>
    <w:rsid w:val="00B82DC5"/>
    <w:rsid w:val="00B849CB"/>
    <w:rsid w:val="00B86000"/>
    <w:rsid w:val="00B8689B"/>
    <w:rsid w:val="00B90A0C"/>
    <w:rsid w:val="00B90CA2"/>
    <w:rsid w:val="00B9279A"/>
    <w:rsid w:val="00B95217"/>
    <w:rsid w:val="00B966E6"/>
    <w:rsid w:val="00B96903"/>
    <w:rsid w:val="00BA1C2C"/>
    <w:rsid w:val="00BA4EFA"/>
    <w:rsid w:val="00BA52E5"/>
    <w:rsid w:val="00BA6639"/>
    <w:rsid w:val="00BA691A"/>
    <w:rsid w:val="00BA7C2D"/>
    <w:rsid w:val="00BB0837"/>
    <w:rsid w:val="00BB2BF7"/>
    <w:rsid w:val="00BB4096"/>
    <w:rsid w:val="00BB76D8"/>
    <w:rsid w:val="00BC187B"/>
    <w:rsid w:val="00BC20DF"/>
    <w:rsid w:val="00BC354C"/>
    <w:rsid w:val="00BC4B7B"/>
    <w:rsid w:val="00BC7FC5"/>
    <w:rsid w:val="00BD13E5"/>
    <w:rsid w:val="00BD158F"/>
    <w:rsid w:val="00BD1942"/>
    <w:rsid w:val="00BD35AA"/>
    <w:rsid w:val="00BD696A"/>
    <w:rsid w:val="00BE37AE"/>
    <w:rsid w:val="00BE37DB"/>
    <w:rsid w:val="00BE3881"/>
    <w:rsid w:val="00BE461E"/>
    <w:rsid w:val="00BE702F"/>
    <w:rsid w:val="00BE7D1B"/>
    <w:rsid w:val="00BF3229"/>
    <w:rsid w:val="00BF36E4"/>
    <w:rsid w:val="00BF4749"/>
    <w:rsid w:val="00BF48B0"/>
    <w:rsid w:val="00BF645D"/>
    <w:rsid w:val="00BF76D6"/>
    <w:rsid w:val="00C02822"/>
    <w:rsid w:val="00C0511B"/>
    <w:rsid w:val="00C07285"/>
    <w:rsid w:val="00C0756A"/>
    <w:rsid w:val="00C10D65"/>
    <w:rsid w:val="00C1166F"/>
    <w:rsid w:val="00C11981"/>
    <w:rsid w:val="00C121F6"/>
    <w:rsid w:val="00C122F9"/>
    <w:rsid w:val="00C12FA1"/>
    <w:rsid w:val="00C145C9"/>
    <w:rsid w:val="00C160D5"/>
    <w:rsid w:val="00C17D77"/>
    <w:rsid w:val="00C212F6"/>
    <w:rsid w:val="00C21A9B"/>
    <w:rsid w:val="00C21B47"/>
    <w:rsid w:val="00C22A60"/>
    <w:rsid w:val="00C2320E"/>
    <w:rsid w:val="00C235ED"/>
    <w:rsid w:val="00C27BF0"/>
    <w:rsid w:val="00C3182C"/>
    <w:rsid w:val="00C355D1"/>
    <w:rsid w:val="00C36575"/>
    <w:rsid w:val="00C36790"/>
    <w:rsid w:val="00C3768F"/>
    <w:rsid w:val="00C376E0"/>
    <w:rsid w:val="00C3771F"/>
    <w:rsid w:val="00C40397"/>
    <w:rsid w:val="00C40B3E"/>
    <w:rsid w:val="00C40D55"/>
    <w:rsid w:val="00C41726"/>
    <w:rsid w:val="00C4280E"/>
    <w:rsid w:val="00C431AA"/>
    <w:rsid w:val="00C44F29"/>
    <w:rsid w:val="00C4518A"/>
    <w:rsid w:val="00C50624"/>
    <w:rsid w:val="00C50A1E"/>
    <w:rsid w:val="00C523AA"/>
    <w:rsid w:val="00C52B30"/>
    <w:rsid w:val="00C558CF"/>
    <w:rsid w:val="00C56691"/>
    <w:rsid w:val="00C575B2"/>
    <w:rsid w:val="00C576AB"/>
    <w:rsid w:val="00C578A5"/>
    <w:rsid w:val="00C61216"/>
    <w:rsid w:val="00C6183C"/>
    <w:rsid w:val="00C64028"/>
    <w:rsid w:val="00C652D6"/>
    <w:rsid w:val="00C66E04"/>
    <w:rsid w:val="00C67EF2"/>
    <w:rsid w:val="00C67F96"/>
    <w:rsid w:val="00C72AEE"/>
    <w:rsid w:val="00C73FC6"/>
    <w:rsid w:val="00C8254A"/>
    <w:rsid w:val="00C82C89"/>
    <w:rsid w:val="00C86BB6"/>
    <w:rsid w:val="00C912BB"/>
    <w:rsid w:val="00C917A8"/>
    <w:rsid w:val="00C920B9"/>
    <w:rsid w:val="00C94106"/>
    <w:rsid w:val="00C95091"/>
    <w:rsid w:val="00C96AD8"/>
    <w:rsid w:val="00C97B4B"/>
    <w:rsid w:val="00CA2C44"/>
    <w:rsid w:val="00CA3DBA"/>
    <w:rsid w:val="00CA6875"/>
    <w:rsid w:val="00CB0702"/>
    <w:rsid w:val="00CB4FE9"/>
    <w:rsid w:val="00CB75CB"/>
    <w:rsid w:val="00CC03E5"/>
    <w:rsid w:val="00CC343E"/>
    <w:rsid w:val="00CC39E8"/>
    <w:rsid w:val="00CC3E85"/>
    <w:rsid w:val="00CC4B4B"/>
    <w:rsid w:val="00CC52D0"/>
    <w:rsid w:val="00CC793F"/>
    <w:rsid w:val="00CC7CF3"/>
    <w:rsid w:val="00CD16F0"/>
    <w:rsid w:val="00CE00F1"/>
    <w:rsid w:val="00CE0FAA"/>
    <w:rsid w:val="00CE2A48"/>
    <w:rsid w:val="00CE6350"/>
    <w:rsid w:val="00CE705E"/>
    <w:rsid w:val="00CE7977"/>
    <w:rsid w:val="00CF01F8"/>
    <w:rsid w:val="00CF088D"/>
    <w:rsid w:val="00CF22F9"/>
    <w:rsid w:val="00CF3DFF"/>
    <w:rsid w:val="00CF4EB0"/>
    <w:rsid w:val="00CF6831"/>
    <w:rsid w:val="00D10C16"/>
    <w:rsid w:val="00D143AC"/>
    <w:rsid w:val="00D17AEA"/>
    <w:rsid w:val="00D216C9"/>
    <w:rsid w:val="00D23881"/>
    <w:rsid w:val="00D24179"/>
    <w:rsid w:val="00D25C90"/>
    <w:rsid w:val="00D268FB"/>
    <w:rsid w:val="00D26BFC"/>
    <w:rsid w:val="00D275F3"/>
    <w:rsid w:val="00D32860"/>
    <w:rsid w:val="00D330EE"/>
    <w:rsid w:val="00D352FD"/>
    <w:rsid w:val="00D36071"/>
    <w:rsid w:val="00D37176"/>
    <w:rsid w:val="00D37451"/>
    <w:rsid w:val="00D4005A"/>
    <w:rsid w:val="00D4126B"/>
    <w:rsid w:val="00D431DE"/>
    <w:rsid w:val="00D4413D"/>
    <w:rsid w:val="00D44463"/>
    <w:rsid w:val="00D44A6F"/>
    <w:rsid w:val="00D44A92"/>
    <w:rsid w:val="00D44E27"/>
    <w:rsid w:val="00D46962"/>
    <w:rsid w:val="00D511FC"/>
    <w:rsid w:val="00D527AA"/>
    <w:rsid w:val="00D52BB9"/>
    <w:rsid w:val="00D52BD9"/>
    <w:rsid w:val="00D546F2"/>
    <w:rsid w:val="00D55F75"/>
    <w:rsid w:val="00D60715"/>
    <w:rsid w:val="00D6291D"/>
    <w:rsid w:val="00D640F4"/>
    <w:rsid w:val="00D646C8"/>
    <w:rsid w:val="00D65055"/>
    <w:rsid w:val="00D742E0"/>
    <w:rsid w:val="00D744A5"/>
    <w:rsid w:val="00D80160"/>
    <w:rsid w:val="00D801B4"/>
    <w:rsid w:val="00D80DD0"/>
    <w:rsid w:val="00D80EA7"/>
    <w:rsid w:val="00D81E9B"/>
    <w:rsid w:val="00D82A2B"/>
    <w:rsid w:val="00D83B99"/>
    <w:rsid w:val="00D84399"/>
    <w:rsid w:val="00D87014"/>
    <w:rsid w:val="00D9107D"/>
    <w:rsid w:val="00D93333"/>
    <w:rsid w:val="00D934CE"/>
    <w:rsid w:val="00D93A7A"/>
    <w:rsid w:val="00D94FA5"/>
    <w:rsid w:val="00D95822"/>
    <w:rsid w:val="00D95BE8"/>
    <w:rsid w:val="00D9792E"/>
    <w:rsid w:val="00D97DC5"/>
    <w:rsid w:val="00DA06D1"/>
    <w:rsid w:val="00DA1A5F"/>
    <w:rsid w:val="00DA1EC1"/>
    <w:rsid w:val="00DA4626"/>
    <w:rsid w:val="00DB127D"/>
    <w:rsid w:val="00DB1B8F"/>
    <w:rsid w:val="00DB2B00"/>
    <w:rsid w:val="00DB3781"/>
    <w:rsid w:val="00DB584F"/>
    <w:rsid w:val="00DB6072"/>
    <w:rsid w:val="00DC0170"/>
    <w:rsid w:val="00DC5BEE"/>
    <w:rsid w:val="00DC5DF0"/>
    <w:rsid w:val="00DC69A5"/>
    <w:rsid w:val="00DC70C0"/>
    <w:rsid w:val="00DC7A62"/>
    <w:rsid w:val="00DD1542"/>
    <w:rsid w:val="00DD2541"/>
    <w:rsid w:val="00DD3909"/>
    <w:rsid w:val="00DD3A38"/>
    <w:rsid w:val="00DD5DB8"/>
    <w:rsid w:val="00DE27B7"/>
    <w:rsid w:val="00DE2A58"/>
    <w:rsid w:val="00DE2A63"/>
    <w:rsid w:val="00DE2ED6"/>
    <w:rsid w:val="00DE3871"/>
    <w:rsid w:val="00DE3A33"/>
    <w:rsid w:val="00DE4F33"/>
    <w:rsid w:val="00DE69D0"/>
    <w:rsid w:val="00DF222E"/>
    <w:rsid w:val="00DF2D8A"/>
    <w:rsid w:val="00DF2DD5"/>
    <w:rsid w:val="00DF3820"/>
    <w:rsid w:val="00DF7588"/>
    <w:rsid w:val="00E0227F"/>
    <w:rsid w:val="00E034EB"/>
    <w:rsid w:val="00E05B8A"/>
    <w:rsid w:val="00E073BD"/>
    <w:rsid w:val="00E075D0"/>
    <w:rsid w:val="00E079F8"/>
    <w:rsid w:val="00E103AB"/>
    <w:rsid w:val="00E1392B"/>
    <w:rsid w:val="00E14012"/>
    <w:rsid w:val="00E1412F"/>
    <w:rsid w:val="00E17193"/>
    <w:rsid w:val="00E21616"/>
    <w:rsid w:val="00E22AA8"/>
    <w:rsid w:val="00E325F3"/>
    <w:rsid w:val="00E35BA4"/>
    <w:rsid w:val="00E36578"/>
    <w:rsid w:val="00E36759"/>
    <w:rsid w:val="00E50B84"/>
    <w:rsid w:val="00E51BDA"/>
    <w:rsid w:val="00E52CBF"/>
    <w:rsid w:val="00E54A00"/>
    <w:rsid w:val="00E55583"/>
    <w:rsid w:val="00E635CF"/>
    <w:rsid w:val="00E63869"/>
    <w:rsid w:val="00E63EC0"/>
    <w:rsid w:val="00E71A78"/>
    <w:rsid w:val="00E720BA"/>
    <w:rsid w:val="00E72BB9"/>
    <w:rsid w:val="00E73907"/>
    <w:rsid w:val="00E73D01"/>
    <w:rsid w:val="00E73D1B"/>
    <w:rsid w:val="00E762C0"/>
    <w:rsid w:val="00E76CE5"/>
    <w:rsid w:val="00E80C2B"/>
    <w:rsid w:val="00E80E54"/>
    <w:rsid w:val="00E810A9"/>
    <w:rsid w:val="00E81791"/>
    <w:rsid w:val="00E81845"/>
    <w:rsid w:val="00E83CFB"/>
    <w:rsid w:val="00E87BFA"/>
    <w:rsid w:val="00E93180"/>
    <w:rsid w:val="00E974C0"/>
    <w:rsid w:val="00EA2E95"/>
    <w:rsid w:val="00EA3FF7"/>
    <w:rsid w:val="00EA58F2"/>
    <w:rsid w:val="00EA65BE"/>
    <w:rsid w:val="00EA6B69"/>
    <w:rsid w:val="00EB2B75"/>
    <w:rsid w:val="00EB5B4E"/>
    <w:rsid w:val="00EB5BAA"/>
    <w:rsid w:val="00EB7A61"/>
    <w:rsid w:val="00EC0E2E"/>
    <w:rsid w:val="00EC14AE"/>
    <w:rsid w:val="00EC5EDF"/>
    <w:rsid w:val="00EC6B0A"/>
    <w:rsid w:val="00EC70FE"/>
    <w:rsid w:val="00EC72B3"/>
    <w:rsid w:val="00ED2274"/>
    <w:rsid w:val="00ED2373"/>
    <w:rsid w:val="00ED331E"/>
    <w:rsid w:val="00ED3CDD"/>
    <w:rsid w:val="00ED6E96"/>
    <w:rsid w:val="00EE06C4"/>
    <w:rsid w:val="00EE19F0"/>
    <w:rsid w:val="00EE3C84"/>
    <w:rsid w:val="00EE6613"/>
    <w:rsid w:val="00EE6924"/>
    <w:rsid w:val="00EE696E"/>
    <w:rsid w:val="00EF01AB"/>
    <w:rsid w:val="00EF10C9"/>
    <w:rsid w:val="00EF1F61"/>
    <w:rsid w:val="00EF4628"/>
    <w:rsid w:val="00EF5223"/>
    <w:rsid w:val="00EF62E2"/>
    <w:rsid w:val="00F003EC"/>
    <w:rsid w:val="00F00571"/>
    <w:rsid w:val="00F01FB2"/>
    <w:rsid w:val="00F0210B"/>
    <w:rsid w:val="00F03F8A"/>
    <w:rsid w:val="00F04169"/>
    <w:rsid w:val="00F04922"/>
    <w:rsid w:val="00F10ECC"/>
    <w:rsid w:val="00F11E19"/>
    <w:rsid w:val="00F13F92"/>
    <w:rsid w:val="00F147AC"/>
    <w:rsid w:val="00F17D8B"/>
    <w:rsid w:val="00F21A0E"/>
    <w:rsid w:val="00F231D6"/>
    <w:rsid w:val="00F2383A"/>
    <w:rsid w:val="00F26971"/>
    <w:rsid w:val="00F27C2E"/>
    <w:rsid w:val="00F31BE6"/>
    <w:rsid w:val="00F336F3"/>
    <w:rsid w:val="00F3390B"/>
    <w:rsid w:val="00F345D7"/>
    <w:rsid w:val="00F35322"/>
    <w:rsid w:val="00F36534"/>
    <w:rsid w:val="00F36F9E"/>
    <w:rsid w:val="00F43257"/>
    <w:rsid w:val="00F44969"/>
    <w:rsid w:val="00F50C35"/>
    <w:rsid w:val="00F52724"/>
    <w:rsid w:val="00F56BCB"/>
    <w:rsid w:val="00F57625"/>
    <w:rsid w:val="00F6197E"/>
    <w:rsid w:val="00F61C59"/>
    <w:rsid w:val="00F642E9"/>
    <w:rsid w:val="00F6643F"/>
    <w:rsid w:val="00F73A3E"/>
    <w:rsid w:val="00F74597"/>
    <w:rsid w:val="00F746F3"/>
    <w:rsid w:val="00F749F0"/>
    <w:rsid w:val="00F7516F"/>
    <w:rsid w:val="00F76866"/>
    <w:rsid w:val="00F77DC2"/>
    <w:rsid w:val="00F80A04"/>
    <w:rsid w:val="00F81C1D"/>
    <w:rsid w:val="00F8508A"/>
    <w:rsid w:val="00F8682E"/>
    <w:rsid w:val="00F912D3"/>
    <w:rsid w:val="00F91A76"/>
    <w:rsid w:val="00F92F3B"/>
    <w:rsid w:val="00F938E2"/>
    <w:rsid w:val="00F94658"/>
    <w:rsid w:val="00F95200"/>
    <w:rsid w:val="00F97429"/>
    <w:rsid w:val="00FA3EDE"/>
    <w:rsid w:val="00FA5131"/>
    <w:rsid w:val="00FA628A"/>
    <w:rsid w:val="00FA688D"/>
    <w:rsid w:val="00FA708A"/>
    <w:rsid w:val="00FC0353"/>
    <w:rsid w:val="00FC2205"/>
    <w:rsid w:val="00FC2FC9"/>
    <w:rsid w:val="00FC78C8"/>
    <w:rsid w:val="00FD0808"/>
    <w:rsid w:val="00FD0E9D"/>
    <w:rsid w:val="00FD0EFA"/>
    <w:rsid w:val="00FD50D1"/>
    <w:rsid w:val="00FD75AC"/>
    <w:rsid w:val="00FE2888"/>
    <w:rsid w:val="00FF1FB5"/>
    <w:rsid w:val="00FF350B"/>
    <w:rsid w:val="00FF4B75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0F1D"/>
  <w15:docId w15:val="{DAE0F702-98F1-443C-8F47-2A6A159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character" w:customStyle="1" w:styleId="spelle">
    <w:name w:val="spelle"/>
    <w:basedOn w:val="DefaultParagraphFont"/>
    <w:rsid w:val="00704FDD"/>
  </w:style>
  <w:style w:type="paragraph" w:customStyle="1" w:styleId="tv2132">
    <w:name w:val="tv2132"/>
    <w:basedOn w:val="Normal"/>
    <w:rsid w:val="00704FDD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Normal1">
    <w:name w:val="Normal1"/>
    <w:uiPriority w:val="99"/>
    <w:rsid w:val="009418C8"/>
    <w:rPr>
      <w:rFonts w:ascii="Cambria" w:eastAsia="Cambria" w:hAnsi="Cambria" w:cs="Cambria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465"/>
    <w:rPr>
      <w:rFonts w:ascii="Calibri" w:eastAsia="Calibri" w:hAnsi="Calibri" w:cs="Times New Roman"/>
      <w:color w:val="auto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465"/>
    <w:rPr>
      <w:rFonts w:ascii="Calibri" w:eastAsia="Calibri" w:hAnsi="Calibri" w:cs="Times New Roman"/>
      <w:color w:val="auto"/>
      <w:sz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C4465"/>
    <w:rPr>
      <w:vertAlign w:val="superscript"/>
    </w:rPr>
  </w:style>
  <w:style w:type="paragraph" w:customStyle="1" w:styleId="tvhtml">
    <w:name w:val="tv_html"/>
    <w:basedOn w:val="Normal"/>
    <w:rsid w:val="006A36D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Revision">
    <w:name w:val="Revision"/>
    <w:hidden/>
    <w:uiPriority w:val="99"/>
    <w:semiHidden/>
    <w:rsid w:val="0058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2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452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759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9D9F-EC61-4EAD-AB86-D2F7F240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10710</Words>
  <Characters>6105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12.novembra noteikumos Nr.1316 „Kārtība, kādā aprēķina un piešķir bāzes finansējumu zinātniskajām institūcijām”</vt:lpstr>
    </vt:vector>
  </TitlesOfParts>
  <Company>IZM</Company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12.novembra noteikumos Nr.1316 „Kārtība, kādā aprēķina un piešķir bāzes finansējumu zinātniskajām institūcijām”</dc:title>
  <dc:subject>noteikumu projekts</dc:subject>
  <dc:creator>Reinis Lasmanis</dc:creator>
  <dc:description>Laura.Treimane@izm.gov.lv
67047966</dc:description>
  <cp:lastModifiedBy>Diāna Laipniece</cp:lastModifiedBy>
  <cp:revision>2</cp:revision>
  <cp:lastPrinted>2017-08-31T08:50:00Z</cp:lastPrinted>
  <dcterms:created xsi:type="dcterms:W3CDTF">2017-10-10T10:50:00Z</dcterms:created>
  <dcterms:modified xsi:type="dcterms:W3CDTF">2017-10-10T10:50:00Z</dcterms:modified>
</cp:coreProperties>
</file>