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D083" w14:textId="77777777" w:rsidR="00C23AB8" w:rsidRPr="006055EC" w:rsidRDefault="000546CF" w:rsidP="00F400E6">
      <w:pPr>
        <w:spacing w:after="240" w:line="240" w:lineRule="auto"/>
        <w:jc w:val="center"/>
        <w:rPr>
          <w:b/>
          <w:sz w:val="28"/>
          <w:szCs w:val="28"/>
        </w:rPr>
      </w:pPr>
      <w:r w:rsidRPr="006055EC">
        <w:rPr>
          <w:b/>
          <w:sz w:val="28"/>
          <w:szCs w:val="28"/>
        </w:rPr>
        <w:t>Informatīvais ziņojums</w:t>
      </w:r>
      <w:bookmarkStart w:id="0" w:name="_GoBack"/>
      <w:bookmarkEnd w:id="0"/>
    </w:p>
    <w:p w14:paraId="238D1433" w14:textId="677A9329" w:rsidR="000546CF" w:rsidRPr="006055EC" w:rsidRDefault="000546CF" w:rsidP="00BE6E7C">
      <w:pPr>
        <w:spacing w:after="240"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sanāksmi 201</w:t>
      </w:r>
      <w:r w:rsidR="00E05E96">
        <w:rPr>
          <w:b/>
          <w:sz w:val="28"/>
          <w:szCs w:val="28"/>
        </w:rPr>
        <w:t>7</w:t>
      </w:r>
      <w:r w:rsidR="000512A7" w:rsidRPr="006055EC">
        <w:rPr>
          <w:b/>
          <w:sz w:val="28"/>
          <w:szCs w:val="28"/>
        </w:rPr>
        <w:t>.</w:t>
      </w:r>
      <w:r w:rsidR="00DF6D1A">
        <w:rPr>
          <w:b/>
          <w:sz w:val="28"/>
          <w:szCs w:val="28"/>
        </w:rPr>
        <w:t xml:space="preserve"> </w:t>
      </w:r>
      <w:r w:rsidR="000512A7" w:rsidRPr="006055EC">
        <w:rPr>
          <w:b/>
          <w:sz w:val="28"/>
          <w:szCs w:val="28"/>
        </w:rPr>
        <w:t xml:space="preserve">gada </w:t>
      </w:r>
      <w:r w:rsidR="003A3712">
        <w:rPr>
          <w:b/>
          <w:sz w:val="28"/>
          <w:szCs w:val="28"/>
        </w:rPr>
        <w:t>1</w:t>
      </w:r>
      <w:r w:rsidR="00E05E96">
        <w:rPr>
          <w:b/>
          <w:sz w:val="28"/>
          <w:szCs w:val="28"/>
        </w:rPr>
        <w:t>2</w:t>
      </w:r>
      <w:r w:rsidR="00DF6D1A">
        <w:rPr>
          <w:b/>
          <w:sz w:val="28"/>
          <w:szCs w:val="28"/>
        </w:rPr>
        <w:t>-</w:t>
      </w:r>
      <w:r w:rsidR="003A3712">
        <w:rPr>
          <w:b/>
          <w:sz w:val="28"/>
          <w:szCs w:val="28"/>
        </w:rPr>
        <w:t>1</w:t>
      </w:r>
      <w:r w:rsidR="00E05E96">
        <w:rPr>
          <w:b/>
          <w:sz w:val="28"/>
          <w:szCs w:val="28"/>
        </w:rPr>
        <w:t>3</w:t>
      </w:r>
      <w:r w:rsidR="003A3712">
        <w:rPr>
          <w:b/>
          <w:sz w:val="28"/>
          <w:szCs w:val="28"/>
        </w:rPr>
        <w:t>.</w:t>
      </w:r>
      <w:r w:rsidR="00DF6D1A">
        <w:rPr>
          <w:b/>
          <w:sz w:val="28"/>
          <w:szCs w:val="28"/>
        </w:rPr>
        <w:t xml:space="preserve"> </w:t>
      </w:r>
      <w:r w:rsidR="003A3712">
        <w:rPr>
          <w:b/>
          <w:sz w:val="28"/>
          <w:szCs w:val="28"/>
        </w:rPr>
        <w:t>oktobrī</w:t>
      </w:r>
    </w:p>
    <w:p w14:paraId="367C55D2" w14:textId="77777777"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5AF522A4" w14:textId="77777777" w:rsidR="000546CF" w:rsidRPr="006055EC" w:rsidRDefault="000546CF" w:rsidP="000A50C5">
      <w:pPr>
        <w:spacing w:line="240" w:lineRule="auto"/>
        <w:jc w:val="both"/>
        <w:rPr>
          <w:sz w:val="28"/>
          <w:szCs w:val="28"/>
        </w:rPr>
      </w:pPr>
    </w:p>
    <w:p w14:paraId="4D350ED6" w14:textId="356143C4" w:rsidR="003F161E" w:rsidRDefault="00DF6D1A" w:rsidP="00D40054">
      <w:pPr>
        <w:spacing w:after="240" w:line="240" w:lineRule="auto"/>
        <w:ind w:firstLine="567"/>
        <w:jc w:val="both"/>
        <w:rPr>
          <w:sz w:val="28"/>
          <w:szCs w:val="28"/>
        </w:rPr>
      </w:pPr>
      <w:r>
        <w:rPr>
          <w:sz w:val="28"/>
          <w:szCs w:val="28"/>
        </w:rPr>
        <w:t>2017</w:t>
      </w:r>
      <w:r w:rsidRPr="006055EC">
        <w:rPr>
          <w:sz w:val="28"/>
          <w:szCs w:val="28"/>
        </w:rPr>
        <w:t>. gada</w:t>
      </w:r>
      <w:r w:rsidR="000546CF" w:rsidRPr="006055EC">
        <w:rPr>
          <w:sz w:val="28"/>
          <w:szCs w:val="28"/>
        </w:rPr>
        <w:t xml:space="preserve"> </w:t>
      </w:r>
      <w:r w:rsidR="003A3712">
        <w:rPr>
          <w:sz w:val="28"/>
          <w:szCs w:val="28"/>
        </w:rPr>
        <w:t>1</w:t>
      </w:r>
      <w:r>
        <w:rPr>
          <w:sz w:val="28"/>
          <w:szCs w:val="28"/>
        </w:rPr>
        <w:t>2.-</w:t>
      </w:r>
      <w:r w:rsidR="00E05E96">
        <w:rPr>
          <w:sz w:val="28"/>
          <w:szCs w:val="28"/>
        </w:rPr>
        <w:t>13</w:t>
      </w:r>
      <w:r w:rsidR="003A3712">
        <w:rPr>
          <w:sz w:val="28"/>
          <w:szCs w:val="28"/>
        </w:rPr>
        <w:t>.</w:t>
      </w:r>
      <w:r>
        <w:rPr>
          <w:sz w:val="28"/>
          <w:szCs w:val="28"/>
        </w:rPr>
        <w:t xml:space="preserve"> </w:t>
      </w:r>
      <w:r w:rsidR="003A3712">
        <w:rPr>
          <w:sz w:val="28"/>
          <w:szCs w:val="28"/>
        </w:rPr>
        <w:t>oktobrī</w:t>
      </w:r>
      <w:r w:rsidR="006A6503" w:rsidRPr="006055EC">
        <w:rPr>
          <w:sz w:val="28"/>
          <w:szCs w:val="28"/>
        </w:rPr>
        <w:t xml:space="preserve"> Luksemburgā </w:t>
      </w:r>
      <w:r w:rsidR="000546CF" w:rsidRPr="006055EC">
        <w:rPr>
          <w:sz w:val="28"/>
          <w:szCs w:val="28"/>
        </w:rPr>
        <w:t xml:space="preserve">notiks Eiropas Savienības Tieslietu un iekšlietu ministru padomes (turpmāk – Padome) sanāksme. </w:t>
      </w:r>
      <w:r w:rsidR="00E05E96">
        <w:rPr>
          <w:sz w:val="28"/>
          <w:szCs w:val="28"/>
        </w:rPr>
        <w:t xml:space="preserve">Sanāksmes darba kārtībā ir iekļauti šādi iekšlietu jomas jautājumi: </w:t>
      </w:r>
    </w:p>
    <w:p w14:paraId="6B6711C4" w14:textId="51030E40" w:rsidR="00777E93" w:rsidRDefault="00320862" w:rsidP="00D40054">
      <w:pPr>
        <w:spacing w:after="240" w:line="240" w:lineRule="auto"/>
        <w:jc w:val="both"/>
        <w:rPr>
          <w:sz w:val="28"/>
          <w:szCs w:val="28"/>
        </w:rPr>
      </w:pPr>
      <w:r w:rsidRPr="00FC28A7">
        <w:rPr>
          <w:b/>
          <w:bCs/>
        </w:rPr>
        <w:t>-</w:t>
      </w:r>
      <w:r>
        <w:rPr>
          <w:bCs/>
        </w:rPr>
        <w:t xml:space="preserve"> </w:t>
      </w:r>
      <w:r w:rsidRPr="00320862">
        <w:rPr>
          <w:b/>
          <w:bCs/>
          <w:i/>
          <w:sz w:val="28"/>
          <w:szCs w:val="28"/>
        </w:rPr>
        <w:t>ECRIS-TCN</w:t>
      </w:r>
      <w:r w:rsidRPr="00320862">
        <w:rPr>
          <w:b/>
          <w:bCs/>
          <w:sz w:val="28"/>
          <w:szCs w:val="28"/>
        </w:rPr>
        <w:t>:</w:t>
      </w:r>
      <w:r w:rsidRPr="00320862">
        <w:rPr>
          <w:sz w:val="28"/>
          <w:szCs w:val="28"/>
        </w:rPr>
        <w:t xml:space="preserve"> </w:t>
      </w:r>
      <w:r w:rsidRPr="00320862">
        <w:rPr>
          <w:i/>
          <w:sz w:val="28"/>
          <w:szCs w:val="28"/>
        </w:rPr>
        <w:t>Priekšlikums – Eiropas Parlamenta un Padomes Regula, ar ko groza Padomes Pamatlēmumu 2009/315/TI attiecībā uz informācijas apmaiņu par trešo valstu valstspiederīgajiem un attiecībā uz Eiropas Sodāmības reģistru informācijas sistēmu (ECRIS) un ar ko aizstāj Padomes Lēmumu 2009/316/TI</w:t>
      </w:r>
    </w:p>
    <w:p w14:paraId="1B8CCEF0" w14:textId="1FCD5570" w:rsidR="00320862" w:rsidRPr="00320862" w:rsidRDefault="00320862" w:rsidP="00320862">
      <w:pPr>
        <w:spacing w:line="240" w:lineRule="auto"/>
        <w:ind w:firstLine="567"/>
        <w:jc w:val="both"/>
        <w:rPr>
          <w:sz w:val="28"/>
          <w:szCs w:val="28"/>
        </w:rPr>
      </w:pPr>
      <w:r w:rsidRPr="00320862">
        <w:rPr>
          <w:sz w:val="28"/>
          <w:szCs w:val="28"/>
        </w:rPr>
        <w:t xml:space="preserve">2016. gada 19. janvārī Eiropas Komisija (turpmāk – Komisija) nāca klajā ar priekšlikumu Eiropas Parlamenta un Padomes direktīvai, ar ko groza Padomes Pamatlēmumu 2009/315/TI attiecībā uz informācijas apmaiņu par trešo valstu valstspiederīgajiem un attiecībā uz Eiropas sodāmības reģistru informācijas sistēmu (ECRIS) un ar ko aizstāj Padomes Lēmumu 2009/3016/TI </w:t>
      </w:r>
      <w:proofErr w:type="gramStart"/>
      <w:r w:rsidRPr="00320862">
        <w:rPr>
          <w:sz w:val="28"/>
          <w:szCs w:val="28"/>
        </w:rPr>
        <w:t>(</w:t>
      </w:r>
      <w:proofErr w:type="gramEnd"/>
      <w:r w:rsidRPr="00320862">
        <w:rPr>
          <w:sz w:val="28"/>
          <w:szCs w:val="28"/>
        </w:rPr>
        <w:t xml:space="preserve">turpmāk – direktīvas priekšlikums). Direktīvas priekšlikumā, kuras mērķis ir palielināt apmaiņu ar sodāmības reģistru informāciju attiecībā uz trešo valstu pilsoņiem, tika paredzēts izveidot decentralizētu sistēmu, kas attiecīgi identificētu to dalībvalsti, kura glabā informāciju par trešo valstu pilsoņu sodāmību (pamatojoties uz </w:t>
      </w:r>
      <w:proofErr w:type="spellStart"/>
      <w:r w:rsidRPr="00320862">
        <w:rPr>
          <w:sz w:val="28"/>
          <w:szCs w:val="28"/>
        </w:rPr>
        <w:t>indeksfiltru</w:t>
      </w:r>
      <w:proofErr w:type="spellEnd"/>
      <w:r w:rsidRPr="00320862">
        <w:rPr>
          <w:sz w:val="28"/>
          <w:szCs w:val="28"/>
        </w:rPr>
        <w:t xml:space="preserve"> un “ir/nav trāpījums” (</w:t>
      </w:r>
      <w:proofErr w:type="spellStart"/>
      <w:r w:rsidR="00DF6D1A">
        <w:rPr>
          <w:i/>
          <w:sz w:val="28"/>
          <w:szCs w:val="28"/>
        </w:rPr>
        <w:t>hit</w:t>
      </w:r>
      <w:proofErr w:type="spellEnd"/>
      <w:r w:rsidR="00DF6D1A">
        <w:rPr>
          <w:i/>
          <w:sz w:val="28"/>
          <w:szCs w:val="28"/>
        </w:rPr>
        <w:t xml:space="preserve">/no </w:t>
      </w:r>
      <w:proofErr w:type="spellStart"/>
      <w:r w:rsidRPr="00320862">
        <w:rPr>
          <w:i/>
          <w:sz w:val="28"/>
          <w:szCs w:val="28"/>
        </w:rPr>
        <w:t>hit</w:t>
      </w:r>
      <w:proofErr w:type="spellEnd"/>
      <w:r w:rsidRPr="00320862">
        <w:rPr>
          <w:sz w:val="28"/>
          <w:szCs w:val="28"/>
        </w:rPr>
        <w:t>) meklēšanas mehānismu).</w:t>
      </w:r>
    </w:p>
    <w:p w14:paraId="00FDDA08" w14:textId="11AEC1A0" w:rsidR="00320862" w:rsidRDefault="00320862" w:rsidP="00320862">
      <w:pPr>
        <w:spacing w:line="240" w:lineRule="auto"/>
        <w:ind w:firstLine="567"/>
        <w:jc w:val="both"/>
        <w:rPr>
          <w:sz w:val="28"/>
          <w:szCs w:val="28"/>
        </w:rPr>
      </w:pPr>
      <w:r w:rsidRPr="00320862">
        <w:rPr>
          <w:sz w:val="28"/>
          <w:szCs w:val="28"/>
        </w:rPr>
        <w:t xml:space="preserve">Ņemot vērā 2016. gada 9. jūnija </w:t>
      </w:r>
      <w:r w:rsidR="00DF6D1A">
        <w:rPr>
          <w:sz w:val="28"/>
          <w:szCs w:val="28"/>
        </w:rPr>
        <w:t>P</w:t>
      </w:r>
      <w:r w:rsidRPr="00320862">
        <w:rPr>
          <w:sz w:val="28"/>
          <w:szCs w:val="28"/>
        </w:rPr>
        <w:t xml:space="preserve">adomes uzstādījumu par centralizēta risinājuma (nevis decentralizēta risinājuma, kā to sākotnēji paredzēja direktīvas priekšlikums) nepieciešamību, 2017. gada 29. jūnijā Komisija </w:t>
      </w:r>
      <w:r>
        <w:rPr>
          <w:sz w:val="28"/>
          <w:szCs w:val="28"/>
        </w:rPr>
        <w:t>nāca</w:t>
      </w:r>
      <w:r w:rsidRPr="00320862">
        <w:rPr>
          <w:sz w:val="28"/>
          <w:szCs w:val="28"/>
        </w:rPr>
        <w:t xml:space="preserve"> klajā ar priekšlikumu E</w:t>
      </w:r>
      <w:r w:rsidR="00F400E6">
        <w:rPr>
          <w:sz w:val="28"/>
          <w:szCs w:val="28"/>
        </w:rPr>
        <w:t>iropas Parlamenta</w:t>
      </w:r>
      <w:r w:rsidRPr="00320862">
        <w:rPr>
          <w:sz w:val="28"/>
          <w:szCs w:val="28"/>
        </w:rPr>
        <w:t xml:space="preserve"> un Padomes regulai, </w:t>
      </w:r>
      <w:r w:rsidRPr="00320862">
        <w:rPr>
          <w:color w:val="000000"/>
          <w:sz w:val="28"/>
          <w:szCs w:val="28"/>
          <w:lang w:eastAsia="lv-LV"/>
        </w:rPr>
        <w:t>ar ko ECRIS papildināšanai un atbalstam izveido centralizētu sistēmu tādu dalībvalstu identificēšanai, kurām ir informācija par notiesājošiem spriedumiem par trešo valstu valstspiederīgajiem un bezvalstniekiem, un ar ko groza Regulu (ES) 1077/2011</w:t>
      </w:r>
      <w:r w:rsidRPr="00320862">
        <w:rPr>
          <w:sz w:val="28"/>
          <w:szCs w:val="28"/>
        </w:rPr>
        <w:t xml:space="preserve"> (turpmāk – regulas priekšlikums).</w:t>
      </w:r>
    </w:p>
    <w:p w14:paraId="4B206748" w14:textId="092F129B" w:rsidR="00320862" w:rsidRDefault="00320862" w:rsidP="00320862">
      <w:pPr>
        <w:spacing w:line="240" w:lineRule="auto"/>
        <w:ind w:firstLine="567"/>
        <w:jc w:val="both"/>
        <w:rPr>
          <w:sz w:val="28"/>
          <w:szCs w:val="28"/>
        </w:rPr>
      </w:pPr>
      <w:r w:rsidRPr="00320862">
        <w:rPr>
          <w:sz w:val="28"/>
          <w:szCs w:val="28"/>
        </w:rPr>
        <w:t xml:space="preserve">2017. gada 12.-13. oktobra </w:t>
      </w:r>
      <w:r>
        <w:rPr>
          <w:sz w:val="28"/>
          <w:szCs w:val="28"/>
        </w:rPr>
        <w:t>Pa</w:t>
      </w:r>
      <w:r w:rsidR="001F5054">
        <w:rPr>
          <w:sz w:val="28"/>
          <w:szCs w:val="28"/>
        </w:rPr>
        <w:t>domes sanāksmē</w:t>
      </w:r>
      <w:r w:rsidRPr="00320862">
        <w:rPr>
          <w:sz w:val="28"/>
          <w:szCs w:val="28"/>
        </w:rPr>
        <w:t xml:space="preserve"> plānota</w:t>
      </w:r>
      <w:r w:rsidR="00DF6D1A">
        <w:rPr>
          <w:sz w:val="28"/>
          <w:szCs w:val="28"/>
        </w:rPr>
        <w:t>s</w:t>
      </w:r>
      <w:r w:rsidRPr="00320862">
        <w:rPr>
          <w:sz w:val="28"/>
          <w:szCs w:val="28"/>
        </w:rPr>
        <w:t xml:space="preserve"> politiska</w:t>
      </w:r>
      <w:r w:rsidR="00DF6D1A">
        <w:rPr>
          <w:sz w:val="28"/>
          <w:szCs w:val="28"/>
        </w:rPr>
        <w:t>s</w:t>
      </w:r>
      <w:r w:rsidRPr="00320862">
        <w:rPr>
          <w:sz w:val="28"/>
          <w:szCs w:val="28"/>
        </w:rPr>
        <w:t xml:space="preserve"> debate</w:t>
      </w:r>
      <w:r w:rsidR="00DF6D1A">
        <w:rPr>
          <w:sz w:val="28"/>
          <w:szCs w:val="28"/>
        </w:rPr>
        <w:t>s</w:t>
      </w:r>
      <w:r w:rsidRPr="00320862">
        <w:rPr>
          <w:sz w:val="28"/>
          <w:szCs w:val="28"/>
        </w:rPr>
        <w:t xml:space="preserve"> </w:t>
      </w:r>
      <w:r w:rsidR="001F5054">
        <w:rPr>
          <w:sz w:val="28"/>
          <w:szCs w:val="28"/>
        </w:rPr>
        <w:t xml:space="preserve">par diviem jautājumiem, proti, </w:t>
      </w:r>
      <w:r w:rsidRPr="00320862">
        <w:rPr>
          <w:sz w:val="28"/>
          <w:szCs w:val="28"/>
        </w:rPr>
        <w:t>par trešās valsts pilso</w:t>
      </w:r>
      <w:r w:rsidR="001F5054">
        <w:rPr>
          <w:sz w:val="28"/>
          <w:szCs w:val="28"/>
        </w:rPr>
        <w:t xml:space="preserve">ņa (turpmāk – TCN) </w:t>
      </w:r>
      <w:r w:rsidRPr="00320862">
        <w:rPr>
          <w:sz w:val="28"/>
          <w:szCs w:val="28"/>
        </w:rPr>
        <w:t xml:space="preserve">definīciju, kā arī </w:t>
      </w:r>
      <w:r w:rsidR="001F5054">
        <w:rPr>
          <w:sz w:val="28"/>
          <w:szCs w:val="28"/>
        </w:rPr>
        <w:t xml:space="preserve">par to, </w:t>
      </w:r>
      <w:r w:rsidRPr="00320862">
        <w:rPr>
          <w:sz w:val="28"/>
          <w:szCs w:val="28"/>
        </w:rPr>
        <w:t>kādos gadījumos TCN pirkstu nospiedumi būtu ievietojami ECRIS-TCN centrālās sistēmas datu ierakstā.</w:t>
      </w:r>
    </w:p>
    <w:p w14:paraId="70463132" w14:textId="3EE7DEAD" w:rsidR="00DF6D1A" w:rsidRDefault="001F5054" w:rsidP="00FC28A7">
      <w:pPr>
        <w:spacing w:line="240" w:lineRule="auto"/>
        <w:ind w:firstLine="567"/>
        <w:jc w:val="both"/>
        <w:rPr>
          <w:sz w:val="28"/>
          <w:szCs w:val="28"/>
        </w:rPr>
      </w:pPr>
      <w:r w:rsidRPr="001F5054">
        <w:rPr>
          <w:sz w:val="28"/>
          <w:szCs w:val="28"/>
        </w:rPr>
        <w:t>Pašlaik regulas priekšlikums paredz, ka TCN ir “tādas valsts valstspiederīgais, kura nav dalībvalsts, neatkarīgi no tā, vai šai personai ir arī kādas dalībvalsts valstspiederība, vai bezvalstnieks, vai persona, kuras valstspiederība notiesāšanas dalībvalstij nav zināma”.</w:t>
      </w:r>
      <w:r>
        <w:rPr>
          <w:sz w:val="28"/>
          <w:szCs w:val="28"/>
        </w:rPr>
        <w:t xml:space="preserve"> Šāda</w:t>
      </w:r>
      <w:r w:rsidR="00DF6D1A">
        <w:rPr>
          <w:sz w:val="28"/>
          <w:szCs w:val="28"/>
        </w:rPr>
        <w:t>m</w:t>
      </w:r>
      <w:r>
        <w:rPr>
          <w:sz w:val="28"/>
          <w:szCs w:val="28"/>
        </w:rPr>
        <w:t xml:space="preserve"> definīcijas tvērumam nepiekrīt Padomes Juridiskais dienests.</w:t>
      </w:r>
    </w:p>
    <w:p w14:paraId="68E89BED" w14:textId="77777777" w:rsidR="00D40054" w:rsidRDefault="00D40054">
      <w:pPr>
        <w:widowControl/>
        <w:spacing w:line="240" w:lineRule="auto"/>
        <w:rPr>
          <w:sz w:val="28"/>
          <w:szCs w:val="28"/>
        </w:rPr>
      </w:pPr>
      <w:r>
        <w:rPr>
          <w:sz w:val="28"/>
          <w:szCs w:val="28"/>
        </w:rPr>
        <w:br w:type="page"/>
      </w:r>
    </w:p>
    <w:p w14:paraId="6C38B2F0" w14:textId="4B0DBBC0" w:rsidR="001F5054" w:rsidRPr="001F5054" w:rsidRDefault="001F5054" w:rsidP="001F5054">
      <w:pPr>
        <w:spacing w:line="240" w:lineRule="auto"/>
        <w:ind w:firstLine="567"/>
        <w:jc w:val="both"/>
        <w:rPr>
          <w:sz w:val="28"/>
          <w:szCs w:val="28"/>
          <w:u w:val="single"/>
        </w:rPr>
      </w:pPr>
      <w:r w:rsidRPr="001F5054">
        <w:rPr>
          <w:sz w:val="28"/>
          <w:szCs w:val="28"/>
        </w:rPr>
        <w:lastRenderedPageBreak/>
        <w:t>Ievērojot minēto, kā arī paturot prātā, ka nepieciešams nodrošināt pēc iespējas efektīvāku ECRIS-TCN darbību, ministr</w:t>
      </w:r>
      <w:r>
        <w:rPr>
          <w:sz w:val="28"/>
          <w:szCs w:val="28"/>
        </w:rPr>
        <w:t xml:space="preserve">i tie aicināti </w:t>
      </w:r>
      <w:r w:rsidRPr="001F5054">
        <w:rPr>
          <w:sz w:val="28"/>
          <w:szCs w:val="28"/>
        </w:rPr>
        <w:t xml:space="preserve">norādīt, </w:t>
      </w:r>
      <w:r w:rsidRPr="001F5054">
        <w:rPr>
          <w:sz w:val="28"/>
          <w:szCs w:val="28"/>
          <w:u w:val="single"/>
        </w:rPr>
        <w:t>vai regulas un direktīvas priekšlikumu tvērumā būtu iekļaujamas notiesātas personas, kurām:</w:t>
      </w:r>
    </w:p>
    <w:p w14:paraId="56359C4B" w14:textId="77777777" w:rsidR="001F5054" w:rsidRPr="001F5054" w:rsidRDefault="001F5054" w:rsidP="001F5054">
      <w:pPr>
        <w:pStyle w:val="ListParagraph"/>
        <w:widowControl/>
        <w:numPr>
          <w:ilvl w:val="0"/>
          <w:numId w:val="29"/>
        </w:numPr>
        <w:spacing w:line="240" w:lineRule="auto"/>
        <w:jc w:val="both"/>
        <w:rPr>
          <w:sz w:val="28"/>
          <w:szCs w:val="28"/>
          <w:u w:val="single"/>
        </w:rPr>
      </w:pPr>
      <w:r w:rsidRPr="001F5054">
        <w:rPr>
          <w:sz w:val="28"/>
          <w:szCs w:val="28"/>
          <w:u w:val="single"/>
        </w:rPr>
        <w:t>ir divas vai vairākas pilsonības, ja viena no tām ir trešās valsts pilsonība;</w:t>
      </w:r>
    </w:p>
    <w:p w14:paraId="61B9D3DE" w14:textId="77777777" w:rsidR="001F5054" w:rsidRDefault="001F5054" w:rsidP="001F5054">
      <w:pPr>
        <w:pStyle w:val="ListParagraph"/>
        <w:widowControl/>
        <w:numPr>
          <w:ilvl w:val="0"/>
          <w:numId w:val="29"/>
        </w:numPr>
        <w:spacing w:line="240" w:lineRule="auto"/>
        <w:jc w:val="both"/>
        <w:rPr>
          <w:sz w:val="28"/>
          <w:szCs w:val="28"/>
          <w:u w:val="single"/>
        </w:rPr>
      </w:pPr>
      <w:r w:rsidRPr="001F5054">
        <w:rPr>
          <w:sz w:val="28"/>
          <w:szCs w:val="28"/>
          <w:u w:val="single"/>
        </w:rPr>
        <w:t>nav trešās valsts pilsonības, taču kurām ir divu vai vairāku ES dalībvalstu pilsonības.</w:t>
      </w:r>
    </w:p>
    <w:p w14:paraId="368C02CE" w14:textId="6F7F8C4B" w:rsidR="001F5054" w:rsidRDefault="001F5054" w:rsidP="001F5054">
      <w:pPr>
        <w:widowControl/>
        <w:spacing w:line="240" w:lineRule="auto"/>
        <w:ind w:firstLine="567"/>
        <w:jc w:val="both"/>
        <w:rPr>
          <w:sz w:val="28"/>
          <w:szCs w:val="28"/>
        </w:rPr>
      </w:pPr>
      <w:r w:rsidRPr="001F5054">
        <w:rPr>
          <w:sz w:val="28"/>
          <w:szCs w:val="28"/>
        </w:rPr>
        <w:t xml:space="preserve">Šobrīd regulas priekšlikuma 5. panta </w:t>
      </w:r>
      <w:r w:rsidR="00D40054" w:rsidRPr="001F5054">
        <w:rPr>
          <w:sz w:val="28"/>
          <w:szCs w:val="28"/>
        </w:rPr>
        <w:t>pirmā daļa</w:t>
      </w:r>
      <w:r w:rsidRPr="001F5054">
        <w:rPr>
          <w:sz w:val="28"/>
          <w:szCs w:val="28"/>
        </w:rPr>
        <w:t xml:space="preserve"> no</w:t>
      </w:r>
      <w:r>
        <w:rPr>
          <w:sz w:val="28"/>
          <w:szCs w:val="28"/>
        </w:rPr>
        <w:t>saka</w:t>
      </w:r>
      <w:r w:rsidRPr="001F5054">
        <w:rPr>
          <w:sz w:val="28"/>
          <w:szCs w:val="28"/>
        </w:rPr>
        <w:t>, ka notiesāšanas dalībvalsts centrālajai iestādei par notiesāto TCN ECRIS-TCN centrālās sistēmas datu ierakstā jāievada arī daktiloskopijas dati (pirkstu nospiedumi).</w:t>
      </w:r>
    </w:p>
    <w:p w14:paraId="59273D30" w14:textId="5648D772" w:rsidR="001F5054" w:rsidRDefault="001F5054" w:rsidP="00D40054">
      <w:pPr>
        <w:widowControl/>
        <w:spacing w:after="240" w:line="240" w:lineRule="auto"/>
        <w:ind w:firstLine="567"/>
        <w:jc w:val="both"/>
        <w:rPr>
          <w:sz w:val="28"/>
          <w:szCs w:val="28"/>
          <w:u w:val="single"/>
        </w:rPr>
      </w:pPr>
      <w:r w:rsidRPr="001F5054">
        <w:rPr>
          <w:sz w:val="28"/>
          <w:szCs w:val="28"/>
        </w:rPr>
        <w:t>Ņemot vērā</w:t>
      </w:r>
      <w:r>
        <w:rPr>
          <w:sz w:val="28"/>
          <w:szCs w:val="28"/>
        </w:rPr>
        <w:t xml:space="preserve"> to</w:t>
      </w:r>
      <w:r w:rsidRPr="001F5054">
        <w:rPr>
          <w:sz w:val="28"/>
          <w:szCs w:val="28"/>
        </w:rPr>
        <w:t xml:space="preserve">, ka dalībvalstu viedokļi par šo jautājumu krasi atšķiras, </w:t>
      </w:r>
      <w:r>
        <w:rPr>
          <w:sz w:val="28"/>
          <w:szCs w:val="28"/>
        </w:rPr>
        <w:t xml:space="preserve">ministri tiek aicināti </w:t>
      </w:r>
      <w:r w:rsidR="00A3510C">
        <w:rPr>
          <w:sz w:val="28"/>
          <w:szCs w:val="28"/>
        </w:rPr>
        <w:t xml:space="preserve">izteikties par </w:t>
      </w:r>
      <w:r>
        <w:rPr>
          <w:sz w:val="28"/>
          <w:szCs w:val="28"/>
        </w:rPr>
        <w:t>prezidentūra</w:t>
      </w:r>
      <w:r w:rsidR="00A3510C">
        <w:rPr>
          <w:sz w:val="28"/>
          <w:szCs w:val="28"/>
        </w:rPr>
        <w:t>s sagatavoto</w:t>
      </w:r>
      <w:r w:rsidRPr="001F5054">
        <w:rPr>
          <w:sz w:val="28"/>
          <w:szCs w:val="28"/>
        </w:rPr>
        <w:t xml:space="preserve"> kompromisa priekšlikumu, </w:t>
      </w:r>
      <w:r>
        <w:rPr>
          <w:sz w:val="28"/>
          <w:szCs w:val="28"/>
        </w:rPr>
        <w:t xml:space="preserve">kas paredz, </w:t>
      </w:r>
      <w:r w:rsidRPr="001F5054">
        <w:rPr>
          <w:sz w:val="28"/>
          <w:szCs w:val="28"/>
        </w:rPr>
        <w:t xml:space="preserve">ka ECRIS-TCN centrālās sistēmas datu ierakstā </w:t>
      </w:r>
      <w:r w:rsidRPr="001F5054">
        <w:rPr>
          <w:sz w:val="28"/>
          <w:szCs w:val="28"/>
          <w:u w:val="single"/>
        </w:rPr>
        <w:t>kā minimums ievietojami pirkstu nospiedumi par tām personām, kurām piemērots brīvības atņemšanas sods par noziedzīgiem nodarījumiem, kas izdarīti ar nodomu (tīši)</w:t>
      </w:r>
      <w:r w:rsidRPr="001F5054">
        <w:rPr>
          <w:sz w:val="28"/>
          <w:szCs w:val="28"/>
        </w:rPr>
        <w:t xml:space="preserve">. Tāpat arī ministri tiek aicināti norādīt, vai ar kompromisa priekšlikumu būtu aptverami arī gadījumi, kad piemērots </w:t>
      </w:r>
      <w:r w:rsidRPr="001F5054">
        <w:rPr>
          <w:sz w:val="28"/>
          <w:szCs w:val="28"/>
          <w:u w:val="single"/>
        </w:rPr>
        <w:t>nosacīts sods.</w:t>
      </w:r>
    </w:p>
    <w:p w14:paraId="437E18CA" w14:textId="635893CB" w:rsidR="00A3510C" w:rsidRDefault="00A3510C" w:rsidP="00C44CE5">
      <w:pPr>
        <w:widowControl/>
        <w:spacing w:after="240" w:line="240" w:lineRule="auto"/>
        <w:ind w:firstLine="567"/>
        <w:jc w:val="both"/>
        <w:rPr>
          <w:sz w:val="28"/>
          <w:szCs w:val="28"/>
        </w:rPr>
      </w:pPr>
      <w:r>
        <w:rPr>
          <w:sz w:val="28"/>
          <w:szCs w:val="28"/>
        </w:rPr>
        <w:t xml:space="preserve">Dalībai sanāksmē </w:t>
      </w:r>
      <w:r w:rsidR="00DF6D1A">
        <w:rPr>
          <w:sz w:val="28"/>
          <w:szCs w:val="28"/>
        </w:rPr>
        <w:t xml:space="preserve">ir </w:t>
      </w:r>
      <w:r>
        <w:rPr>
          <w:sz w:val="28"/>
          <w:szCs w:val="28"/>
        </w:rPr>
        <w:t>sagatavota nacionālā pozīcija.</w:t>
      </w:r>
    </w:p>
    <w:p w14:paraId="3FDBE2A5" w14:textId="08C756E1" w:rsidR="00A3510C" w:rsidRPr="00A3510C" w:rsidRDefault="00A3510C" w:rsidP="00FC28A7">
      <w:pPr>
        <w:widowControl/>
        <w:spacing w:after="240" w:line="240" w:lineRule="auto"/>
        <w:jc w:val="both"/>
        <w:rPr>
          <w:sz w:val="28"/>
          <w:szCs w:val="28"/>
        </w:rPr>
      </w:pPr>
      <w:r w:rsidRPr="00A3510C">
        <w:rPr>
          <w:sz w:val="28"/>
          <w:szCs w:val="28"/>
        </w:rPr>
        <w:t xml:space="preserve">- </w:t>
      </w:r>
      <w:r w:rsidRPr="00A3510C">
        <w:rPr>
          <w:b/>
          <w:bCs/>
          <w:i/>
          <w:sz w:val="28"/>
          <w:szCs w:val="28"/>
        </w:rPr>
        <w:t>Tieslietu un iekšlietu stratēģisko pamatnostādņu vidusposma pārskats</w:t>
      </w:r>
    </w:p>
    <w:p w14:paraId="68F3CE28" w14:textId="4FDA45F9" w:rsidR="001F5054" w:rsidRPr="00A3510C" w:rsidRDefault="00A3510C" w:rsidP="00A3510C">
      <w:pPr>
        <w:spacing w:line="240" w:lineRule="auto"/>
        <w:ind w:firstLine="567"/>
        <w:jc w:val="both"/>
        <w:rPr>
          <w:i/>
          <w:sz w:val="28"/>
          <w:szCs w:val="28"/>
        </w:rPr>
      </w:pPr>
      <w:r w:rsidRPr="00A3510C">
        <w:rPr>
          <w:sz w:val="28"/>
          <w:szCs w:val="28"/>
        </w:rPr>
        <w:t>Saskaņā ar Līgumu par Eiropas Savienības darbību (</w:t>
      </w:r>
      <w:r w:rsidRPr="00DF6D1A">
        <w:rPr>
          <w:sz w:val="28"/>
          <w:szCs w:val="28"/>
        </w:rPr>
        <w:t>turpmāk – LESD)</w:t>
      </w:r>
      <w:r w:rsidRPr="00DF6D1A">
        <w:rPr>
          <w:rStyle w:val="FootnoteReference"/>
          <w:sz w:val="28"/>
          <w:szCs w:val="28"/>
        </w:rPr>
        <w:footnoteReference w:id="1"/>
      </w:r>
      <w:r w:rsidRPr="00A3510C">
        <w:rPr>
          <w:sz w:val="28"/>
          <w:szCs w:val="28"/>
        </w:rPr>
        <w:t xml:space="preserve"> Eiropadome 2014.</w:t>
      </w:r>
      <w:r w:rsidR="00DF6D1A">
        <w:rPr>
          <w:sz w:val="28"/>
          <w:szCs w:val="28"/>
        </w:rPr>
        <w:t xml:space="preserve"> </w:t>
      </w:r>
      <w:r w:rsidRPr="00A3510C">
        <w:rPr>
          <w:sz w:val="28"/>
          <w:szCs w:val="28"/>
        </w:rPr>
        <w:t>gada jūnija secinājumos (</w:t>
      </w:r>
      <w:r w:rsidRPr="00DF6D1A">
        <w:rPr>
          <w:sz w:val="28"/>
          <w:szCs w:val="28"/>
        </w:rPr>
        <w:t>turpmāk – Padomes secinājumi)</w:t>
      </w:r>
      <w:r w:rsidRPr="00DF6D1A">
        <w:rPr>
          <w:rStyle w:val="FootnoteReference"/>
          <w:sz w:val="28"/>
          <w:szCs w:val="28"/>
        </w:rPr>
        <w:footnoteReference w:id="2"/>
      </w:r>
      <w:r w:rsidRPr="00A3510C">
        <w:rPr>
          <w:sz w:val="28"/>
          <w:szCs w:val="28"/>
        </w:rPr>
        <w:t xml:space="preserve"> noteica likumdošanas un darbības plānošanas stratēģiskās pamatnostādnes turpmākajiem gadiem brīvības, drošības un tiesiskuma telpā</w:t>
      </w:r>
      <w:r w:rsidRPr="00A3510C">
        <w:rPr>
          <w:i/>
          <w:sz w:val="28"/>
          <w:szCs w:val="28"/>
        </w:rPr>
        <w:t xml:space="preserve"> </w:t>
      </w:r>
      <w:r w:rsidRPr="00DF6D1A">
        <w:rPr>
          <w:sz w:val="28"/>
          <w:szCs w:val="28"/>
        </w:rPr>
        <w:t>(turpmāk – stratēģiskās pamatnostādnes)</w:t>
      </w:r>
      <w:r w:rsidRPr="00A3510C">
        <w:rPr>
          <w:i/>
          <w:sz w:val="28"/>
          <w:szCs w:val="28"/>
        </w:rPr>
        <w:t>.</w:t>
      </w:r>
    </w:p>
    <w:p w14:paraId="2E081A1D" w14:textId="1427BB60" w:rsidR="00A3510C" w:rsidRPr="00A3510C" w:rsidRDefault="00A3510C" w:rsidP="00A3510C">
      <w:pPr>
        <w:spacing w:line="240" w:lineRule="auto"/>
        <w:ind w:firstLine="567"/>
        <w:jc w:val="both"/>
        <w:rPr>
          <w:sz w:val="28"/>
          <w:szCs w:val="28"/>
        </w:rPr>
      </w:pPr>
      <w:r w:rsidRPr="00A3510C">
        <w:rPr>
          <w:sz w:val="28"/>
          <w:szCs w:val="28"/>
        </w:rPr>
        <w:t>Padomes secinājumi arī paredz, ka 2017.</w:t>
      </w:r>
      <w:r w:rsidR="00DF6D1A">
        <w:rPr>
          <w:sz w:val="28"/>
          <w:szCs w:val="28"/>
        </w:rPr>
        <w:t xml:space="preserve"> </w:t>
      </w:r>
      <w:r w:rsidRPr="00A3510C">
        <w:rPr>
          <w:sz w:val="28"/>
          <w:szCs w:val="28"/>
        </w:rPr>
        <w:t xml:space="preserve">gadā Eiropadomei ir jārīko stratēģisko pamatnostādņu starpposma pārskatīšana. Ņemot vērā minēto, </w:t>
      </w:r>
      <w:r>
        <w:rPr>
          <w:sz w:val="28"/>
          <w:szCs w:val="28"/>
        </w:rPr>
        <w:t>prezidentūra</w:t>
      </w:r>
      <w:r w:rsidRPr="00A3510C">
        <w:rPr>
          <w:i/>
          <w:sz w:val="28"/>
          <w:szCs w:val="28"/>
        </w:rPr>
        <w:t xml:space="preserve"> </w:t>
      </w:r>
      <w:r w:rsidRPr="00A3510C">
        <w:rPr>
          <w:sz w:val="28"/>
          <w:szCs w:val="28"/>
        </w:rPr>
        <w:t>ir plānojusi uzsākt diskusiju par stratēģisko pamatnostādņu pārskatīšanu.</w:t>
      </w:r>
    </w:p>
    <w:p w14:paraId="1AB54852" w14:textId="534C1C0E" w:rsidR="00A3510C" w:rsidRPr="00A3510C" w:rsidRDefault="00A3510C" w:rsidP="00BE6E7C">
      <w:pPr>
        <w:spacing w:line="240" w:lineRule="auto"/>
        <w:ind w:firstLine="567"/>
        <w:jc w:val="both"/>
        <w:rPr>
          <w:sz w:val="28"/>
          <w:szCs w:val="28"/>
        </w:rPr>
      </w:pPr>
      <w:r w:rsidRPr="00A3510C">
        <w:rPr>
          <w:sz w:val="28"/>
          <w:szCs w:val="28"/>
        </w:rPr>
        <w:t>Šā gada 12.</w:t>
      </w:r>
      <w:r w:rsidR="00DF6D1A">
        <w:rPr>
          <w:sz w:val="28"/>
          <w:szCs w:val="28"/>
        </w:rPr>
        <w:t xml:space="preserve"> </w:t>
      </w:r>
      <w:r w:rsidRPr="00A3510C">
        <w:rPr>
          <w:sz w:val="28"/>
          <w:szCs w:val="28"/>
        </w:rPr>
        <w:t>oktobra kopīgajā tieslietu un iekšlietu ministru sesijā ES Tieslietu un iekšlietu ministru padomes ietvaros ministri tiks aicināti diskutēt par šādiem jautājumiem:</w:t>
      </w:r>
    </w:p>
    <w:p w14:paraId="7B8845E8" w14:textId="29DD182F" w:rsidR="00A3510C" w:rsidRPr="00A3510C" w:rsidRDefault="00A3510C" w:rsidP="00BE6E7C">
      <w:pPr>
        <w:pStyle w:val="ListParagraph"/>
        <w:widowControl/>
        <w:numPr>
          <w:ilvl w:val="0"/>
          <w:numId w:val="33"/>
        </w:numPr>
        <w:spacing w:line="240" w:lineRule="auto"/>
        <w:ind w:left="714" w:hanging="357"/>
        <w:jc w:val="both"/>
        <w:rPr>
          <w:sz w:val="28"/>
          <w:szCs w:val="28"/>
        </w:rPr>
      </w:pPr>
      <w:r w:rsidRPr="00A3510C">
        <w:rPr>
          <w:sz w:val="28"/>
          <w:szCs w:val="28"/>
        </w:rPr>
        <w:t>kādi ir būtiskākie līdzšinējie sasniegumi saistībā ar 2014.</w:t>
      </w:r>
      <w:r w:rsidR="00DF6D1A">
        <w:rPr>
          <w:sz w:val="28"/>
          <w:szCs w:val="28"/>
        </w:rPr>
        <w:t xml:space="preserve"> </w:t>
      </w:r>
      <w:r w:rsidRPr="00A3510C">
        <w:rPr>
          <w:sz w:val="28"/>
          <w:szCs w:val="28"/>
        </w:rPr>
        <w:t xml:space="preserve">gada stratēģiskajām pamatnostādnēm; </w:t>
      </w:r>
    </w:p>
    <w:p w14:paraId="0063AA6F" w14:textId="21F58769" w:rsidR="00A3510C" w:rsidRPr="00A3510C" w:rsidRDefault="00A3510C" w:rsidP="00D40054">
      <w:pPr>
        <w:pStyle w:val="ListParagraph"/>
        <w:widowControl/>
        <w:numPr>
          <w:ilvl w:val="0"/>
          <w:numId w:val="33"/>
        </w:numPr>
        <w:spacing w:after="240" w:line="240" w:lineRule="auto"/>
        <w:ind w:left="714" w:hanging="357"/>
        <w:jc w:val="both"/>
        <w:rPr>
          <w:sz w:val="28"/>
          <w:szCs w:val="28"/>
        </w:rPr>
      </w:pPr>
      <w:r w:rsidRPr="00A3510C">
        <w:rPr>
          <w:sz w:val="28"/>
          <w:szCs w:val="28"/>
        </w:rPr>
        <w:t>kādi nozīmīgi jautājumi vēl ir jārisina saistībā ar 2014.</w:t>
      </w:r>
      <w:r w:rsidR="00DF6D1A">
        <w:rPr>
          <w:sz w:val="28"/>
          <w:szCs w:val="28"/>
        </w:rPr>
        <w:t xml:space="preserve"> </w:t>
      </w:r>
      <w:r w:rsidRPr="00A3510C">
        <w:rPr>
          <w:sz w:val="28"/>
          <w:szCs w:val="28"/>
        </w:rPr>
        <w:t>gada stratēģiskajām pamatnostādnēm.</w:t>
      </w:r>
    </w:p>
    <w:p w14:paraId="775E797B" w14:textId="77777777" w:rsidR="00C44CE5" w:rsidRDefault="00A3510C" w:rsidP="00C44CE5">
      <w:pPr>
        <w:spacing w:after="240" w:line="240" w:lineRule="auto"/>
        <w:ind w:firstLine="567"/>
        <w:jc w:val="both"/>
        <w:rPr>
          <w:sz w:val="28"/>
          <w:szCs w:val="28"/>
        </w:rPr>
      </w:pPr>
      <w:r>
        <w:rPr>
          <w:sz w:val="28"/>
          <w:szCs w:val="28"/>
        </w:rPr>
        <w:t>Dalībai sanāksmē ir sagatavota nacionālā pozīcija.</w:t>
      </w:r>
    </w:p>
    <w:p w14:paraId="637BA1B0" w14:textId="41FD978F" w:rsidR="00A3510C" w:rsidRDefault="00A3510C" w:rsidP="00C44CE5">
      <w:pPr>
        <w:spacing w:after="240" w:line="240" w:lineRule="auto"/>
        <w:jc w:val="both"/>
        <w:rPr>
          <w:bCs/>
          <w:i/>
          <w:sz w:val="28"/>
          <w:szCs w:val="28"/>
        </w:rPr>
      </w:pPr>
      <w:r w:rsidRPr="00A3510C">
        <w:rPr>
          <w:sz w:val="28"/>
          <w:szCs w:val="28"/>
        </w:rPr>
        <w:lastRenderedPageBreak/>
        <w:t>-</w:t>
      </w:r>
      <w:r>
        <w:rPr>
          <w:sz w:val="28"/>
          <w:szCs w:val="28"/>
        </w:rPr>
        <w:t xml:space="preserve"> </w:t>
      </w:r>
      <w:r>
        <w:rPr>
          <w:b/>
          <w:i/>
          <w:sz w:val="28"/>
          <w:szCs w:val="28"/>
        </w:rPr>
        <w:t>Šengenas pakotne</w:t>
      </w:r>
      <w:r w:rsidR="00FC28A7" w:rsidRPr="00FC28A7">
        <w:rPr>
          <w:b/>
          <w:i/>
          <w:sz w:val="28"/>
          <w:szCs w:val="28"/>
        </w:rPr>
        <w:t>:</w:t>
      </w:r>
      <w:r>
        <w:rPr>
          <w:i/>
          <w:sz w:val="28"/>
          <w:szCs w:val="28"/>
        </w:rPr>
        <w:t xml:space="preserve"> </w:t>
      </w:r>
      <w:r w:rsidRPr="00A3510C">
        <w:rPr>
          <w:bCs/>
          <w:i/>
          <w:sz w:val="28"/>
          <w:szCs w:val="28"/>
        </w:rPr>
        <w:t>Komisijas paziņojum</w:t>
      </w:r>
      <w:r>
        <w:rPr>
          <w:bCs/>
          <w:i/>
          <w:sz w:val="28"/>
          <w:szCs w:val="28"/>
        </w:rPr>
        <w:t>s</w:t>
      </w:r>
      <w:r w:rsidRPr="00A3510C">
        <w:rPr>
          <w:bCs/>
          <w:i/>
          <w:sz w:val="28"/>
          <w:szCs w:val="28"/>
        </w:rPr>
        <w:t xml:space="preserve"> par Šengenas telpas saglabāšanu un stiprināšanu;</w:t>
      </w:r>
      <w:r>
        <w:rPr>
          <w:bCs/>
          <w:i/>
          <w:sz w:val="28"/>
          <w:szCs w:val="28"/>
        </w:rPr>
        <w:t xml:space="preserve"> </w:t>
      </w:r>
      <w:r w:rsidR="004B11B1">
        <w:rPr>
          <w:bCs/>
          <w:i/>
          <w:sz w:val="28"/>
          <w:szCs w:val="28"/>
        </w:rPr>
        <w:t>p</w:t>
      </w:r>
      <w:r w:rsidR="004B11B1" w:rsidRPr="004B11B1">
        <w:rPr>
          <w:bCs/>
          <w:i/>
          <w:sz w:val="28"/>
          <w:szCs w:val="28"/>
        </w:rPr>
        <w:t>riekšlikums Eiropas Parlamenta un Padomes regulai, ar ko groza Regulu (ES) 2016/399 attiecībā uz noteikumiem, kas piemērojami robežu kontroles pagaidu atjaunošanai uz iekšējām robežām</w:t>
      </w:r>
    </w:p>
    <w:p w14:paraId="08A8312F" w14:textId="542D37BB" w:rsidR="00A3510C" w:rsidRPr="00063485" w:rsidRDefault="00A3510C" w:rsidP="00A3510C">
      <w:pPr>
        <w:spacing w:line="240" w:lineRule="auto"/>
        <w:jc w:val="both"/>
        <w:rPr>
          <w:sz w:val="28"/>
          <w:szCs w:val="28"/>
        </w:rPr>
      </w:pPr>
      <w:r>
        <w:rPr>
          <w:bCs/>
          <w:sz w:val="28"/>
          <w:szCs w:val="28"/>
        </w:rPr>
        <w:tab/>
      </w:r>
      <w:r w:rsidRPr="00063485">
        <w:rPr>
          <w:sz w:val="28"/>
          <w:szCs w:val="28"/>
        </w:rPr>
        <w:t>Š.g. 27.</w:t>
      </w:r>
      <w:r w:rsidR="00DF6D1A">
        <w:rPr>
          <w:sz w:val="28"/>
          <w:szCs w:val="28"/>
        </w:rPr>
        <w:t xml:space="preserve"> </w:t>
      </w:r>
      <w:r w:rsidRPr="00063485">
        <w:rPr>
          <w:sz w:val="28"/>
          <w:szCs w:val="28"/>
        </w:rPr>
        <w:t>septembrī Komisija nāca klajā ar paziņojumu par Šengenas telpas saglabāšanu un stiprināšanu. Līdz ar paziņojumu Komisija prezentēja arī priekšlikumu Šengenas robežu kodeksa grozījumiem attiecībā uz pagaidu iekšējo robežu kontroles atjaunošanu un rekomendāciju par iekšējo robežu kontroles noteikumu piemērošanu.</w:t>
      </w:r>
    </w:p>
    <w:p w14:paraId="22B4F8D2" w14:textId="7BBBD1C0" w:rsidR="00063485" w:rsidRPr="00063485" w:rsidRDefault="00A3510C" w:rsidP="00063485">
      <w:pPr>
        <w:spacing w:line="240" w:lineRule="auto"/>
        <w:jc w:val="both"/>
        <w:rPr>
          <w:sz w:val="28"/>
          <w:szCs w:val="28"/>
        </w:rPr>
      </w:pPr>
      <w:r w:rsidRPr="00063485">
        <w:rPr>
          <w:sz w:val="28"/>
          <w:szCs w:val="28"/>
        </w:rPr>
        <w:tab/>
      </w:r>
      <w:r w:rsidR="00063485" w:rsidRPr="00063485">
        <w:rPr>
          <w:sz w:val="28"/>
          <w:szCs w:val="28"/>
        </w:rPr>
        <w:t>Paziņojumā par Šengenas telpas saglabāšanu un stiprināš</w:t>
      </w:r>
      <w:r w:rsidR="00063485" w:rsidRPr="00BE6E7C">
        <w:rPr>
          <w:sz w:val="28"/>
          <w:szCs w:val="28"/>
        </w:rPr>
        <w:t>anu</w:t>
      </w:r>
      <w:r w:rsidR="00063485" w:rsidRPr="00063485">
        <w:rPr>
          <w:sz w:val="28"/>
          <w:szCs w:val="28"/>
        </w:rPr>
        <w:t xml:space="preserve"> Komisija ir atspoguļojusi migrācijas plūsmu un terorisma draudu kopš 2015.</w:t>
      </w:r>
      <w:r w:rsidR="00BE6E7C">
        <w:rPr>
          <w:sz w:val="28"/>
          <w:szCs w:val="28"/>
        </w:rPr>
        <w:t xml:space="preserve"> </w:t>
      </w:r>
      <w:r w:rsidR="00063485" w:rsidRPr="00063485">
        <w:rPr>
          <w:sz w:val="28"/>
          <w:szCs w:val="28"/>
        </w:rPr>
        <w:t>gada ietekmi uz Šengenas telpas darbību, kā arī</w:t>
      </w:r>
      <w:r w:rsidR="00BE6E7C" w:rsidRPr="00063485">
        <w:rPr>
          <w:sz w:val="28"/>
          <w:szCs w:val="28"/>
        </w:rPr>
        <w:t xml:space="preserve"> </w:t>
      </w:r>
      <w:r w:rsidR="00063485" w:rsidRPr="00063485">
        <w:rPr>
          <w:sz w:val="28"/>
          <w:szCs w:val="28"/>
        </w:rPr>
        <w:t xml:space="preserve">paveikto, lai mazinātu to negatīvo ietekmi. Šengenas telpas stiprināšanai Komisija ir iezīmējusi </w:t>
      </w:r>
      <w:r w:rsidR="00063485" w:rsidRPr="00063485">
        <w:rPr>
          <w:sz w:val="28"/>
          <w:szCs w:val="28"/>
          <w:u w:val="single"/>
        </w:rPr>
        <w:t>vairākus pasākumus</w:t>
      </w:r>
      <w:r w:rsidR="00063485" w:rsidRPr="00063485">
        <w:rPr>
          <w:sz w:val="28"/>
          <w:szCs w:val="28"/>
        </w:rPr>
        <w:t>, kas pielāgotu Šengenas sadarbības ietvaru nākotnes izaicinājumiem:</w:t>
      </w:r>
    </w:p>
    <w:p w14:paraId="16226405" w14:textId="77777777" w:rsidR="00063485" w:rsidRPr="00063485" w:rsidRDefault="00063485" w:rsidP="00063485">
      <w:pPr>
        <w:pStyle w:val="ListParagraph"/>
        <w:numPr>
          <w:ilvl w:val="0"/>
          <w:numId w:val="35"/>
        </w:numPr>
        <w:spacing w:line="240" w:lineRule="auto"/>
        <w:ind w:left="714" w:hanging="357"/>
        <w:jc w:val="both"/>
        <w:rPr>
          <w:sz w:val="28"/>
          <w:szCs w:val="28"/>
        </w:rPr>
      </w:pPr>
      <w:r w:rsidRPr="00063485">
        <w:rPr>
          <w:sz w:val="28"/>
          <w:szCs w:val="28"/>
          <w:u w:val="single"/>
        </w:rPr>
        <w:t>grozījumi Šengenas robežu kodeksā</w:t>
      </w:r>
      <w:r w:rsidRPr="00063485">
        <w:rPr>
          <w:sz w:val="28"/>
          <w:szCs w:val="28"/>
        </w:rPr>
        <w:t xml:space="preserve"> attiecībā uz noteikumiem par iekšējās robežu kontroles atjaunošanu, paredzot, ka iekšējo robežu kontroles atjaunošanas termiņš plānotos gadījumos iekšējās drošības un sabiedriskās kārtības nodrošināšanai var tikt pagarināts līdz vienam gadam, savukārt gadījumos, kad apdraudējums iekšējai drošībai un sabiedriskajai kārtībai turpinās, dalībvalsts var pagarināt iekšējo robežu kontroli vēl uz maksimāli diviem gadiem (ik pa sešu mēnešu periodu);</w:t>
      </w:r>
    </w:p>
    <w:p w14:paraId="289EF37F" w14:textId="6E0D9F50" w:rsidR="00063485" w:rsidRPr="00063485" w:rsidRDefault="00063485" w:rsidP="00063485">
      <w:pPr>
        <w:pStyle w:val="ListParagraph"/>
        <w:numPr>
          <w:ilvl w:val="0"/>
          <w:numId w:val="35"/>
        </w:numPr>
        <w:spacing w:line="240" w:lineRule="auto"/>
        <w:ind w:left="714" w:hanging="357"/>
        <w:jc w:val="both"/>
        <w:rPr>
          <w:sz w:val="28"/>
          <w:szCs w:val="28"/>
        </w:rPr>
      </w:pPr>
      <w:r w:rsidRPr="00063485">
        <w:rPr>
          <w:sz w:val="28"/>
          <w:szCs w:val="28"/>
          <w:u w:val="single"/>
        </w:rPr>
        <w:t>rekomendācija</w:t>
      </w:r>
      <w:r w:rsidRPr="00063485">
        <w:rPr>
          <w:sz w:val="28"/>
          <w:szCs w:val="28"/>
        </w:rPr>
        <w:t>, kas nodrošinātu vadlīnijas iekšējo robežu kontroles noteikumu piemērošanai, uzsverot nepieciešamību izvērtēt iekšējo robežu kontrole ietekmi uz brīvu personu kustību un iekšējo tirgu. Atjaunojot robežu kontroli, dalībvalstij ir jāatturas no jebkādiem pasākumiem, kas nav tieši saistīti ar iekšējās drošības vai sabiedriskās kārtības uzturēšanu;</w:t>
      </w:r>
    </w:p>
    <w:p w14:paraId="00CECA6A" w14:textId="6E7E033F" w:rsidR="00063485" w:rsidRPr="00063485" w:rsidRDefault="00063485" w:rsidP="00D40054">
      <w:pPr>
        <w:pStyle w:val="ListParagraph"/>
        <w:numPr>
          <w:ilvl w:val="0"/>
          <w:numId w:val="35"/>
        </w:numPr>
        <w:spacing w:after="240" w:line="240" w:lineRule="auto"/>
        <w:ind w:left="714" w:hanging="357"/>
        <w:jc w:val="both"/>
        <w:rPr>
          <w:sz w:val="26"/>
          <w:szCs w:val="26"/>
        </w:rPr>
      </w:pPr>
      <w:r w:rsidRPr="00063485">
        <w:rPr>
          <w:sz w:val="28"/>
          <w:szCs w:val="28"/>
        </w:rPr>
        <w:t xml:space="preserve">Komisija </w:t>
      </w:r>
      <w:r w:rsidRPr="00063485">
        <w:rPr>
          <w:sz w:val="28"/>
          <w:szCs w:val="28"/>
          <w:u w:val="single"/>
        </w:rPr>
        <w:t>aicina paplašināt Šengenas telpu</w:t>
      </w:r>
      <w:r w:rsidRPr="00063485">
        <w:rPr>
          <w:sz w:val="28"/>
          <w:szCs w:val="28"/>
        </w:rPr>
        <w:t xml:space="preserve">, uzņemot dalībvalstis, kurās ir veikti attiecīgie pasākumi, lai pilnībā piemērotu Šengenas </w:t>
      </w:r>
      <w:proofErr w:type="spellStart"/>
      <w:r w:rsidRPr="00063485">
        <w:rPr>
          <w:i/>
          <w:sz w:val="28"/>
          <w:szCs w:val="28"/>
        </w:rPr>
        <w:t>acquis</w:t>
      </w:r>
      <w:proofErr w:type="spellEnd"/>
      <w:r w:rsidRPr="00063485">
        <w:rPr>
          <w:sz w:val="28"/>
          <w:szCs w:val="28"/>
        </w:rPr>
        <w:t>, proti, Rumāniju, Bulgāriju.</w:t>
      </w:r>
    </w:p>
    <w:p w14:paraId="734F7AC0" w14:textId="4546106E" w:rsidR="00063485" w:rsidRDefault="00063485" w:rsidP="00BE6E7C">
      <w:pPr>
        <w:spacing w:after="240" w:line="240" w:lineRule="auto"/>
        <w:ind w:firstLine="567"/>
        <w:jc w:val="both"/>
        <w:rPr>
          <w:sz w:val="28"/>
          <w:szCs w:val="28"/>
        </w:rPr>
      </w:pPr>
      <w:r w:rsidRPr="00063485">
        <w:rPr>
          <w:sz w:val="28"/>
          <w:szCs w:val="28"/>
        </w:rPr>
        <w:t>Dalībai sanāksmē ir sagatavota nacionālā pozīcija.</w:t>
      </w:r>
    </w:p>
    <w:p w14:paraId="41B1B4DC" w14:textId="5165CA5A" w:rsidR="00063485" w:rsidRPr="00063485" w:rsidRDefault="00063485" w:rsidP="00BE6E7C">
      <w:pPr>
        <w:spacing w:line="240" w:lineRule="auto"/>
        <w:ind w:firstLine="567"/>
        <w:jc w:val="both"/>
        <w:rPr>
          <w:sz w:val="28"/>
          <w:szCs w:val="28"/>
        </w:rPr>
      </w:pPr>
      <w:r>
        <w:rPr>
          <w:sz w:val="28"/>
          <w:szCs w:val="28"/>
        </w:rPr>
        <w:t xml:space="preserve">Līdztekus šiem jautājumiem ministri tiks informēti par panākto progresu diskusijās par Kopējās Eiropas Patvēruma sistēmas reformu, aktualitātēm migrācijas jomā, kā arī cīņā ar terorismu. </w:t>
      </w:r>
    </w:p>
    <w:p w14:paraId="429A71B1" w14:textId="3A086C04" w:rsidR="00063485" w:rsidRDefault="00063485" w:rsidP="00063485">
      <w:pPr>
        <w:spacing w:line="240" w:lineRule="auto"/>
        <w:jc w:val="both"/>
        <w:rPr>
          <w:sz w:val="26"/>
          <w:szCs w:val="26"/>
        </w:rPr>
      </w:pPr>
      <w:r>
        <w:rPr>
          <w:sz w:val="26"/>
          <w:szCs w:val="26"/>
        </w:rPr>
        <w:tab/>
      </w:r>
    </w:p>
    <w:p w14:paraId="3F45FE51" w14:textId="77777777" w:rsidR="00D40054" w:rsidRDefault="00D40054">
      <w:pPr>
        <w:widowControl/>
        <w:spacing w:line="240" w:lineRule="auto"/>
        <w:rPr>
          <w:b/>
          <w:sz w:val="28"/>
          <w:szCs w:val="28"/>
        </w:rPr>
      </w:pPr>
      <w:r>
        <w:rPr>
          <w:b/>
          <w:sz w:val="28"/>
          <w:szCs w:val="28"/>
        </w:rPr>
        <w:br w:type="page"/>
      </w:r>
    </w:p>
    <w:p w14:paraId="58F2598D" w14:textId="38556665" w:rsidR="0039011F" w:rsidRPr="006055EC" w:rsidRDefault="0047262F" w:rsidP="00C44CE5">
      <w:pPr>
        <w:spacing w:after="240" w:line="240" w:lineRule="auto"/>
        <w:jc w:val="center"/>
        <w:rPr>
          <w:b/>
          <w:sz w:val="28"/>
          <w:szCs w:val="28"/>
        </w:rPr>
      </w:pPr>
      <w:r w:rsidRPr="006055EC">
        <w:rPr>
          <w:b/>
          <w:sz w:val="28"/>
          <w:szCs w:val="28"/>
        </w:rPr>
        <w:lastRenderedPageBreak/>
        <w:t>II</w:t>
      </w:r>
      <w:r w:rsidR="000508DF" w:rsidRPr="006055EC">
        <w:rPr>
          <w:b/>
          <w:sz w:val="28"/>
          <w:szCs w:val="28"/>
        </w:rPr>
        <w:t>.</w:t>
      </w:r>
      <w:r w:rsidR="0039011F" w:rsidRPr="006055EC">
        <w:rPr>
          <w:b/>
          <w:sz w:val="28"/>
          <w:szCs w:val="28"/>
        </w:rPr>
        <w:t xml:space="preserve"> Latvijas delegācija</w:t>
      </w:r>
    </w:p>
    <w:p w14:paraId="2DFC0113" w14:textId="3589AAB3" w:rsidR="00632633" w:rsidRPr="006055EC" w:rsidRDefault="0039011F" w:rsidP="00BD79FD">
      <w:pPr>
        <w:spacing w:line="240" w:lineRule="auto"/>
        <w:ind w:firstLine="567"/>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FC28A7">
        <w:rPr>
          <w:sz w:val="28"/>
          <w:szCs w:val="28"/>
        </w:rPr>
        <w:t xml:space="preserve">iekšlietu ministrs Rihards </w:t>
      </w:r>
      <w:r w:rsidR="007A1D05" w:rsidRPr="006055EC">
        <w:rPr>
          <w:sz w:val="28"/>
          <w:szCs w:val="28"/>
        </w:rPr>
        <w:t>Kozlovskis.</w:t>
      </w:r>
    </w:p>
    <w:p w14:paraId="37C212F7" w14:textId="77777777" w:rsidR="0039011F" w:rsidRDefault="0039011F" w:rsidP="004E426D">
      <w:pPr>
        <w:spacing w:line="240" w:lineRule="auto"/>
        <w:jc w:val="both"/>
        <w:rPr>
          <w:sz w:val="28"/>
          <w:szCs w:val="28"/>
        </w:rPr>
      </w:pPr>
    </w:p>
    <w:p w14:paraId="7B3A4A28" w14:textId="77777777" w:rsidR="00D40054" w:rsidRDefault="00D40054" w:rsidP="004E426D">
      <w:pPr>
        <w:spacing w:line="240" w:lineRule="auto"/>
        <w:rPr>
          <w:sz w:val="28"/>
          <w:szCs w:val="28"/>
        </w:rPr>
      </w:pPr>
    </w:p>
    <w:p w14:paraId="7DDCC7AE" w14:textId="7939F3C1" w:rsidR="00FC7706" w:rsidRPr="006055EC" w:rsidRDefault="00A30826" w:rsidP="004E426D">
      <w:pPr>
        <w:spacing w:line="240" w:lineRule="auto"/>
        <w:rPr>
          <w:sz w:val="28"/>
          <w:szCs w:val="28"/>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FC28A7">
        <w:rPr>
          <w:sz w:val="28"/>
          <w:szCs w:val="28"/>
        </w:rPr>
        <w:t xml:space="preserve">Rihards </w:t>
      </w:r>
      <w:r w:rsidRPr="006055EC">
        <w:rPr>
          <w:sz w:val="28"/>
          <w:szCs w:val="28"/>
        </w:rPr>
        <w:t>Kozlovskis</w:t>
      </w:r>
    </w:p>
    <w:p w14:paraId="7FA40CA1" w14:textId="77777777" w:rsidR="000C12F5" w:rsidRDefault="000C12F5" w:rsidP="00C8408E">
      <w:pPr>
        <w:spacing w:line="240" w:lineRule="auto"/>
        <w:rPr>
          <w:sz w:val="20"/>
        </w:rPr>
      </w:pPr>
    </w:p>
    <w:p w14:paraId="3A60916A" w14:textId="77777777" w:rsidR="004B11B1" w:rsidRDefault="004B11B1" w:rsidP="004B11B1">
      <w:pPr>
        <w:spacing w:line="240" w:lineRule="auto"/>
        <w:rPr>
          <w:sz w:val="20"/>
        </w:rPr>
      </w:pPr>
    </w:p>
    <w:p w14:paraId="25B76753" w14:textId="77777777" w:rsidR="004B11B1" w:rsidRDefault="004B11B1" w:rsidP="004B11B1">
      <w:pPr>
        <w:spacing w:line="240" w:lineRule="auto"/>
        <w:rPr>
          <w:sz w:val="20"/>
        </w:rPr>
      </w:pPr>
    </w:p>
    <w:p w14:paraId="0803B080" w14:textId="77777777" w:rsidR="004B11B1" w:rsidRDefault="004B11B1" w:rsidP="004B11B1">
      <w:pPr>
        <w:spacing w:line="240" w:lineRule="auto"/>
        <w:rPr>
          <w:sz w:val="20"/>
        </w:rPr>
      </w:pPr>
    </w:p>
    <w:p w14:paraId="1096CDB5" w14:textId="77777777" w:rsidR="004B11B1" w:rsidRDefault="004B11B1" w:rsidP="004B11B1">
      <w:pPr>
        <w:spacing w:line="240" w:lineRule="auto"/>
        <w:rPr>
          <w:sz w:val="20"/>
        </w:rPr>
      </w:pPr>
    </w:p>
    <w:p w14:paraId="045E5CDE" w14:textId="77777777" w:rsidR="004B11B1" w:rsidRDefault="004B11B1" w:rsidP="004B11B1">
      <w:pPr>
        <w:spacing w:line="240" w:lineRule="auto"/>
        <w:rPr>
          <w:sz w:val="20"/>
        </w:rPr>
      </w:pPr>
    </w:p>
    <w:p w14:paraId="331D6865" w14:textId="77777777" w:rsidR="004B11B1" w:rsidRDefault="004B11B1" w:rsidP="004B11B1">
      <w:pPr>
        <w:spacing w:line="240" w:lineRule="auto"/>
        <w:rPr>
          <w:sz w:val="20"/>
        </w:rPr>
      </w:pPr>
    </w:p>
    <w:p w14:paraId="0A3AC9EE" w14:textId="77777777" w:rsidR="004B11B1" w:rsidRDefault="004B11B1" w:rsidP="004B11B1">
      <w:pPr>
        <w:spacing w:line="240" w:lineRule="auto"/>
        <w:rPr>
          <w:sz w:val="20"/>
        </w:rPr>
      </w:pPr>
    </w:p>
    <w:p w14:paraId="0C615DC5" w14:textId="77777777" w:rsidR="004B11B1" w:rsidRDefault="004B11B1" w:rsidP="004B11B1">
      <w:pPr>
        <w:spacing w:line="240" w:lineRule="auto"/>
        <w:rPr>
          <w:sz w:val="20"/>
        </w:rPr>
      </w:pPr>
    </w:p>
    <w:p w14:paraId="0E570BC9" w14:textId="77777777" w:rsidR="004B11B1" w:rsidRDefault="004B11B1" w:rsidP="004B11B1">
      <w:pPr>
        <w:spacing w:line="240" w:lineRule="auto"/>
        <w:rPr>
          <w:sz w:val="20"/>
        </w:rPr>
      </w:pPr>
    </w:p>
    <w:p w14:paraId="3C6BE0DB" w14:textId="77777777" w:rsidR="004B11B1" w:rsidRDefault="004B11B1" w:rsidP="004B11B1">
      <w:pPr>
        <w:spacing w:line="240" w:lineRule="auto"/>
        <w:rPr>
          <w:sz w:val="20"/>
        </w:rPr>
      </w:pPr>
    </w:p>
    <w:p w14:paraId="119E0C4D" w14:textId="77777777" w:rsidR="004B11B1" w:rsidRDefault="004B11B1" w:rsidP="004B11B1">
      <w:pPr>
        <w:spacing w:line="240" w:lineRule="auto"/>
        <w:rPr>
          <w:sz w:val="20"/>
        </w:rPr>
      </w:pPr>
    </w:p>
    <w:p w14:paraId="774A982C" w14:textId="77777777" w:rsidR="004B11B1" w:rsidRDefault="004B11B1" w:rsidP="004B11B1">
      <w:pPr>
        <w:spacing w:line="240" w:lineRule="auto"/>
        <w:rPr>
          <w:sz w:val="20"/>
        </w:rPr>
      </w:pPr>
    </w:p>
    <w:p w14:paraId="03BCC4A7" w14:textId="77777777" w:rsidR="004B11B1" w:rsidRDefault="004B11B1" w:rsidP="004B11B1">
      <w:pPr>
        <w:spacing w:line="240" w:lineRule="auto"/>
        <w:rPr>
          <w:sz w:val="20"/>
        </w:rPr>
      </w:pPr>
    </w:p>
    <w:p w14:paraId="7BD0E719" w14:textId="77777777" w:rsidR="004B11B1" w:rsidRDefault="004B11B1" w:rsidP="004B11B1">
      <w:pPr>
        <w:spacing w:line="240" w:lineRule="auto"/>
        <w:rPr>
          <w:sz w:val="20"/>
        </w:rPr>
      </w:pPr>
    </w:p>
    <w:p w14:paraId="183E9F46" w14:textId="77777777" w:rsidR="004B11B1" w:rsidRDefault="004B11B1" w:rsidP="004B11B1">
      <w:pPr>
        <w:spacing w:line="240" w:lineRule="auto"/>
        <w:rPr>
          <w:sz w:val="20"/>
        </w:rPr>
      </w:pPr>
    </w:p>
    <w:p w14:paraId="3570F734" w14:textId="77777777" w:rsidR="004B11B1" w:rsidRDefault="004B11B1" w:rsidP="004B11B1">
      <w:pPr>
        <w:spacing w:line="240" w:lineRule="auto"/>
        <w:rPr>
          <w:sz w:val="20"/>
        </w:rPr>
      </w:pPr>
    </w:p>
    <w:p w14:paraId="49C85743" w14:textId="77777777" w:rsidR="004B11B1" w:rsidRDefault="004B11B1" w:rsidP="004B11B1">
      <w:pPr>
        <w:spacing w:line="240" w:lineRule="auto"/>
        <w:rPr>
          <w:sz w:val="20"/>
        </w:rPr>
      </w:pPr>
    </w:p>
    <w:p w14:paraId="25C88939" w14:textId="77777777" w:rsidR="004B11B1" w:rsidRDefault="004B11B1" w:rsidP="004B11B1">
      <w:pPr>
        <w:spacing w:line="240" w:lineRule="auto"/>
        <w:rPr>
          <w:sz w:val="20"/>
        </w:rPr>
      </w:pPr>
    </w:p>
    <w:p w14:paraId="1945080E" w14:textId="77777777" w:rsidR="004B11B1" w:rsidRDefault="004B11B1" w:rsidP="004B11B1">
      <w:pPr>
        <w:spacing w:line="240" w:lineRule="auto"/>
        <w:rPr>
          <w:sz w:val="20"/>
        </w:rPr>
      </w:pPr>
    </w:p>
    <w:p w14:paraId="0852CB58" w14:textId="77777777" w:rsidR="004B11B1" w:rsidRDefault="004B11B1" w:rsidP="004B11B1">
      <w:pPr>
        <w:spacing w:line="240" w:lineRule="auto"/>
        <w:rPr>
          <w:sz w:val="20"/>
        </w:rPr>
      </w:pPr>
    </w:p>
    <w:p w14:paraId="6B4FA2AB" w14:textId="77777777" w:rsidR="004B11B1" w:rsidRDefault="004B11B1" w:rsidP="004B11B1">
      <w:pPr>
        <w:spacing w:line="240" w:lineRule="auto"/>
        <w:rPr>
          <w:sz w:val="20"/>
        </w:rPr>
      </w:pPr>
    </w:p>
    <w:p w14:paraId="692060B2" w14:textId="77777777" w:rsidR="004B11B1" w:rsidRDefault="004B11B1" w:rsidP="004B11B1">
      <w:pPr>
        <w:spacing w:line="240" w:lineRule="auto"/>
        <w:rPr>
          <w:sz w:val="20"/>
        </w:rPr>
      </w:pPr>
    </w:p>
    <w:p w14:paraId="1A2A8022" w14:textId="77777777" w:rsidR="004B11B1" w:rsidRDefault="004B11B1" w:rsidP="004B11B1">
      <w:pPr>
        <w:spacing w:line="240" w:lineRule="auto"/>
        <w:rPr>
          <w:sz w:val="20"/>
        </w:rPr>
      </w:pPr>
    </w:p>
    <w:p w14:paraId="6B82484E" w14:textId="77777777" w:rsidR="004B11B1" w:rsidRDefault="004B11B1" w:rsidP="004B11B1">
      <w:pPr>
        <w:spacing w:line="240" w:lineRule="auto"/>
        <w:rPr>
          <w:sz w:val="20"/>
        </w:rPr>
      </w:pPr>
    </w:p>
    <w:p w14:paraId="001CBBC5" w14:textId="77777777" w:rsidR="004B11B1" w:rsidRDefault="004B11B1" w:rsidP="004B11B1">
      <w:pPr>
        <w:spacing w:line="240" w:lineRule="auto"/>
        <w:rPr>
          <w:sz w:val="20"/>
        </w:rPr>
      </w:pPr>
    </w:p>
    <w:p w14:paraId="695C298A" w14:textId="77777777" w:rsidR="004B11B1" w:rsidRDefault="004B11B1" w:rsidP="004B11B1">
      <w:pPr>
        <w:spacing w:line="240" w:lineRule="auto"/>
        <w:rPr>
          <w:sz w:val="20"/>
        </w:rPr>
      </w:pPr>
    </w:p>
    <w:p w14:paraId="0FB27D16" w14:textId="77777777" w:rsidR="004B11B1" w:rsidRDefault="004B11B1" w:rsidP="004B11B1">
      <w:pPr>
        <w:spacing w:line="240" w:lineRule="auto"/>
        <w:rPr>
          <w:sz w:val="20"/>
        </w:rPr>
      </w:pPr>
    </w:p>
    <w:p w14:paraId="4D7570B6" w14:textId="77777777" w:rsidR="004B11B1" w:rsidRDefault="004B11B1" w:rsidP="004B11B1">
      <w:pPr>
        <w:spacing w:line="240" w:lineRule="auto"/>
        <w:rPr>
          <w:sz w:val="20"/>
        </w:rPr>
      </w:pPr>
    </w:p>
    <w:p w14:paraId="2D71C70B" w14:textId="77777777" w:rsidR="004B11B1" w:rsidRDefault="004B11B1" w:rsidP="004B11B1">
      <w:pPr>
        <w:spacing w:line="240" w:lineRule="auto"/>
        <w:rPr>
          <w:sz w:val="20"/>
        </w:rPr>
      </w:pPr>
    </w:p>
    <w:p w14:paraId="00EDAB12" w14:textId="77777777" w:rsidR="004B11B1" w:rsidRDefault="004B11B1" w:rsidP="004B11B1">
      <w:pPr>
        <w:spacing w:line="240" w:lineRule="auto"/>
        <w:rPr>
          <w:sz w:val="20"/>
        </w:rPr>
      </w:pPr>
    </w:p>
    <w:p w14:paraId="38C87C40" w14:textId="77777777" w:rsidR="004B11B1" w:rsidRDefault="004B11B1" w:rsidP="004B11B1">
      <w:pPr>
        <w:spacing w:line="240" w:lineRule="auto"/>
        <w:rPr>
          <w:sz w:val="20"/>
        </w:rPr>
      </w:pPr>
    </w:p>
    <w:p w14:paraId="7E536B41" w14:textId="77777777" w:rsidR="004B11B1" w:rsidRDefault="004B11B1" w:rsidP="004B11B1">
      <w:pPr>
        <w:spacing w:line="240" w:lineRule="auto"/>
        <w:rPr>
          <w:sz w:val="20"/>
        </w:rPr>
      </w:pPr>
    </w:p>
    <w:p w14:paraId="61469745" w14:textId="77777777" w:rsidR="004B11B1" w:rsidRDefault="004B11B1" w:rsidP="004B11B1">
      <w:pPr>
        <w:spacing w:line="240" w:lineRule="auto"/>
        <w:rPr>
          <w:sz w:val="20"/>
        </w:rPr>
      </w:pPr>
    </w:p>
    <w:p w14:paraId="6C26193E" w14:textId="77777777" w:rsidR="004B11B1" w:rsidRDefault="004B11B1" w:rsidP="004B11B1">
      <w:pPr>
        <w:spacing w:line="240" w:lineRule="auto"/>
        <w:rPr>
          <w:sz w:val="20"/>
        </w:rPr>
      </w:pPr>
    </w:p>
    <w:p w14:paraId="0CA33DF0" w14:textId="77777777" w:rsidR="004B11B1" w:rsidRDefault="004B11B1" w:rsidP="004B11B1">
      <w:pPr>
        <w:spacing w:line="240" w:lineRule="auto"/>
        <w:rPr>
          <w:sz w:val="20"/>
        </w:rPr>
      </w:pPr>
    </w:p>
    <w:p w14:paraId="6D8BCE91" w14:textId="77777777" w:rsidR="004B11B1" w:rsidRDefault="004B11B1" w:rsidP="004B11B1">
      <w:pPr>
        <w:spacing w:line="240" w:lineRule="auto"/>
        <w:rPr>
          <w:sz w:val="20"/>
        </w:rPr>
      </w:pPr>
    </w:p>
    <w:p w14:paraId="27807B3A" w14:textId="77777777" w:rsidR="004B11B1" w:rsidRDefault="004B11B1" w:rsidP="004B11B1">
      <w:pPr>
        <w:spacing w:line="240" w:lineRule="auto"/>
        <w:rPr>
          <w:sz w:val="20"/>
        </w:rPr>
      </w:pPr>
    </w:p>
    <w:p w14:paraId="07041EF0" w14:textId="77777777" w:rsidR="004B11B1" w:rsidRDefault="004B11B1" w:rsidP="004B11B1">
      <w:pPr>
        <w:spacing w:line="240" w:lineRule="auto"/>
        <w:rPr>
          <w:sz w:val="20"/>
        </w:rPr>
      </w:pPr>
    </w:p>
    <w:p w14:paraId="44239FE0" w14:textId="77777777" w:rsidR="004B11B1" w:rsidRDefault="004B11B1" w:rsidP="004B11B1">
      <w:pPr>
        <w:spacing w:line="240" w:lineRule="auto"/>
        <w:rPr>
          <w:sz w:val="20"/>
        </w:rPr>
      </w:pPr>
    </w:p>
    <w:p w14:paraId="25B9212E" w14:textId="77777777" w:rsidR="004B11B1" w:rsidRDefault="004B11B1" w:rsidP="004B11B1">
      <w:pPr>
        <w:spacing w:line="240" w:lineRule="auto"/>
        <w:rPr>
          <w:sz w:val="20"/>
        </w:rPr>
      </w:pPr>
    </w:p>
    <w:p w14:paraId="4A3A9C28" w14:textId="77777777" w:rsidR="004B11B1" w:rsidRDefault="004B11B1" w:rsidP="004B11B1">
      <w:pPr>
        <w:spacing w:line="240" w:lineRule="auto"/>
        <w:rPr>
          <w:sz w:val="20"/>
        </w:rPr>
      </w:pPr>
    </w:p>
    <w:p w14:paraId="75AA26A5" w14:textId="6C0ED0AF" w:rsidR="004B11B1" w:rsidRPr="004B11B1" w:rsidRDefault="00944D7E" w:rsidP="004B11B1">
      <w:pPr>
        <w:spacing w:line="240" w:lineRule="auto"/>
        <w:rPr>
          <w:sz w:val="20"/>
        </w:rPr>
      </w:pPr>
      <w:r>
        <w:rPr>
          <w:sz w:val="20"/>
        </w:rPr>
        <w:fldChar w:fldCharType="begin"/>
      </w:r>
      <w:r>
        <w:rPr>
          <w:sz w:val="20"/>
        </w:rPr>
        <w:instrText xml:space="preserve"> CREATEDATE  \@ "dd.MM.yyyy. HH:MM"  \* MERGEFORMAT </w:instrText>
      </w:r>
      <w:r>
        <w:rPr>
          <w:sz w:val="20"/>
        </w:rPr>
        <w:fldChar w:fldCharType="separate"/>
      </w:r>
      <w:r>
        <w:rPr>
          <w:noProof/>
          <w:sz w:val="20"/>
        </w:rPr>
        <w:t>05.10.2017. 08:10</w:t>
      </w:r>
      <w:r>
        <w:rPr>
          <w:sz w:val="20"/>
        </w:rPr>
        <w:fldChar w:fldCharType="end"/>
      </w:r>
    </w:p>
    <w:p w14:paraId="1B997650" w14:textId="4C9BD8A4" w:rsidR="004B11B1" w:rsidRPr="004B11B1" w:rsidRDefault="00944D7E" w:rsidP="004B11B1">
      <w:pPr>
        <w:spacing w:line="240" w:lineRule="auto"/>
        <w:rPr>
          <w:sz w:val="20"/>
        </w:rPr>
      </w:pPr>
      <w:r>
        <w:rPr>
          <w:sz w:val="20"/>
        </w:rPr>
        <w:fldChar w:fldCharType="begin"/>
      </w:r>
      <w:r>
        <w:rPr>
          <w:sz w:val="20"/>
        </w:rPr>
        <w:instrText xml:space="preserve"> NUMWORDS   \* MERGEFORMAT </w:instrText>
      </w:r>
      <w:r>
        <w:rPr>
          <w:sz w:val="20"/>
        </w:rPr>
        <w:fldChar w:fldCharType="separate"/>
      </w:r>
      <w:r w:rsidR="00196947">
        <w:rPr>
          <w:noProof/>
          <w:sz w:val="20"/>
        </w:rPr>
        <w:t>919</w:t>
      </w:r>
      <w:r>
        <w:rPr>
          <w:sz w:val="20"/>
        </w:rPr>
        <w:fldChar w:fldCharType="end"/>
      </w:r>
      <w:r w:rsidR="004B11B1" w:rsidRPr="004B11B1">
        <w:rPr>
          <w:sz w:val="20"/>
        </w:rPr>
        <w:tab/>
      </w:r>
    </w:p>
    <w:p w14:paraId="695CA3F7" w14:textId="77777777" w:rsidR="004B11B1" w:rsidRPr="004B11B1" w:rsidRDefault="004B11B1" w:rsidP="004B11B1">
      <w:pPr>
        <w:spacing w:line="240" w:lineRule="auto"/>
        <w:rPr>
          <w:sz w:val="20"/>
        </w:rPr>
      </w:pPr>
      <w:r w:rsidRPr="004B11B1">
        <w:rPr>
          <w:sz w:val="20"/>
        </w:rPr>
        <w:t>Eiropas lietu un starptautiskās sadarbības departamenta</w:t>
      </w:r>
    </w:p>
    <w:p w14:paraId="220B30D2" w14:textId="65EE4E06" w:rsidR="004B11B1" w:rsidRPr="004B11B1" w:rsidRDefault="004B11B1" w:rsidP="004B11B1">
      <w:pPr>
        <w:spacing w:line="240" w:lineRule="auto"/>
        <w:rPr>
          <w:sz w:val="20"/>
        </w:rPr>
      </w:pPr>
      <w:r w:rsidRPr="004B11B1">
        <w:rPr>
          <w:sz w:val="20"/>
        </w:rPr>
        <w:t xml:space="preserve">Eiropas lietu nodaļas </w:t>
      </w:r>
      <w:r>
        <w:rPr>
          <w:sz w:val="20"/>
        </w:rPr>
        <w:t>vadītāja</w:t>
      </w:r>
    </w:p>
    <w:p w14:paraId="225CA5F5" w14:textId="52ADADEA" w:rsidR="004B11B1" w:rsidRPr="004B11B1" w:rsidRDefault="004B11B1" w:rsidP="004B11B1">
      <w:pPr>
        <w:spacing w:line="240" w:lineRule="auto"/>
        <w:rPr>
          <w:sz w:val="20"/>
        </w:rPr>
      </w:pPr>
      <w:r>
        <w:rPr>
          <w:sz w:val="20"/>
        </w:rPr>
        <w:t>I.</w:t>
      </w:r>
      <w:r w:rsidRPr="004B11B1">
        <w:rPr>
          <w:sz w:val="20"/>
        </w:rPr>
        <w:t xml:space="preserve"> </w:t>
      </w:r>
      <w:r>
        <w:rPr>
          <w:sz w:val="20"/>
        </w:rPr>
        <w:t>Muceniece</w:t>
      </w:r>
      <w:r w:rsidRPr="004B11B1">
        <w:rPr>
          <w:sz w:val="20"/>
        </w:rPr>
        <w:t>, 67219</w:t>
      </w:r>
      <w:r>
        <w:rPr>
          <w:sz w:val="20"/>
        </w:rPr>
        <w:t>170</w:t>
      </w:r>
    </w:p>
    <w:p w14:paraId="27BE644A" w14:textId="053AC33C" w:rsidR="00063485" w:rsidRDefault="004B11B1" w:rsidP="004B11B1">
      <w:pPr>
        <w:spacing w:line="240" w:lineRule="auto"/>
        <w:rPr>
          <w:sz w:val="20"/>
        </w:rPr>
      </w:pPr>
      <w:hyperlink r:id="rId8" w:history="1">
        <w:r w:rsidRPr="0002797A">
          <w:rPr>
            <w:rStyle w:val="Hyperlink"/>
            <w:sz w:val="20"/>
          </w:rPr>
          <w:t>iveta.muceniece@iem.gov.lv</w:t>
        </w:r>
      </w:hyperlink>
    </w:p>
    <w:p w14:paraId="4E1D2ACA" w14:textId="77777777" w:rsidR="004B11B1" w:rsidRPr="00063485" w:rsidRDefault="004B11B1" w:rsidP="004B11B1">
      <w:pPr>
        <w:spacing w:line="240" w:lineRule="auto"/>
        <w:rPr>
          <w:sz w:val="20"/>
        </w:rPr>
      </w:pPr>
    </w:p>
    <w:sectPr w:rsidR="004B11B1" w:rsidRPr="00063485" w:rsidSect="00D4005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E1655" w14:textId="77777777" w:rsidR="00341F3E" w:rsidRDefault="00341F3E">
      <w:r>
        <w:separator/>
      </w:r>
    </w:p>
  </w:endnote>
  <w:endnote w:type="continuationSeparator" w:id="0">
    <w:p w14:paraId="61ECD585" w14:textId="77777777" w:rsidR="00341F3E" w:rsidRDefault="00341F3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554" w14:textId="77777777"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53FA1" w14:textId="77777777"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7E08" w14:textId="77777777" w:rsidR="00944D7E" w:rsidRDefault="00944D7E" w:rsidP="00944D7E">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B5188A">
      <w:rPr>
        <w:i/>
        <w:iCs/>
        <w:noProof/>
        <w:sz w:val="20"/>
      </w:rPr>
      <w:t>IeMzino_051017</w:t>
    </w:r>
    <w:r>
      <w:rPr>
        <w:i/>
        <w:iCs/>
        <w:sz w:val="20"/>
      </w:rPr>
      <w:fldChar w:fldCharType="end"/>
    </w:r>
    <w:r w:rsidRPr="00F400E6">
      <w:rPr>
        <w:i/>
        <w:iCs/>
        <w:sz w:val="20"/>
      </w:rPr>
      <w:t xml:space="preserve">; Par Eiropas Savienības Tieslietu un iekšlietu ministru padomes sanāksmi 2017. gada </w:t>
    </w:r>
  </w:p>
  <w:p w14:paraId="735688D6" w14:textId="6C4E3752" w:rsidR="00F1303B" w:rsidRPr="00E05E96" w:rsidRDefault="00944D7E" w:rsidP="00DF6D1A">
    <w:pPr>
      <w:pStyle w:val="Footer"/>
      <w:jc w:val="both"/>
      <w:rPr>
        <w:i/>
        <w:iCs/>
        <w:sz w:val="20"/>
      </w:rPr>
    </w:pPr>
    <w:r>
      <w:rPr>
        <w:i/>
        <w:iCs/>
        <w:sz w:val="20"/>
      </w:rPr>
      <w:t>12.-</w:t>
    </w:r>
    <w:r w:rsidRPr="00F400E6">
      <w:rPr>
        <w:i/>
        <w:iCs/>
        <w:sz w:val="20"/>
      </w:rPr>
      <w:t>13. oktobrī</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F352" w14:textId="77777777" w:rsidR="00944D7E" w:rsidRDefault="00944D7E" w:rsidP="00944D7E">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B5188A">
      <w:rPr>
        <w:i/>
        <w:iCs/>
        <w:noProof/>
        <w:sz w:val="20"/>
      </w:rPr>
      <w:t>IeMzino_051017</w:t>
    </w:r>
    <w:r>
      <w:rPr>
        <w:i/>
        <w:iCs/>
        <w:sz w:val="20"/>
      </w:rPr>
      <w:fldChar w:fldCharType="end"/>
    </w:r>
    <w:r w:rsidRPr="00F400E6">
      <w:rPr>
        <w:i/>
        <w:iCs/>
        <w:sz w:val="20"/>
      </w:rPr>
      <w:t xml:space="preserve">; Par Eiropas Savienības Tieslietu un iekšlietu ministru padomes sanāksmi 2017. gada </w:t>
    </w:r>
  </w:p>
  <w:p w14:paraId="24B08079" w14:textId="524A7947" w:rsidR="00F1303B" w:rsidRPr="00944D7E" w:rsidRDefault="00944D7E" w:rsidP="00944D7E">
    <w:pPr>
      <w:pStyle w:val="Footer"/>
      <w:jc w:val="both"/>
      <w:rPr>
        <w:i/>
        <w:iCs/>
        <w:sz w:val="20"/>
      </w:rPr>
    </w:pPr>
    <w:r>
      <w:rPr>
        <w:i/>
        <w:iCs/>
        <w:sz w:val="20"/>
      </w:rPr>
      <w:t>12.-</w:t>
    </w:r>
    <w:r w:rsidRPr="00F400E6">
      <w:rPr>
        <w:i/>
        <w:iCs/>
        <w:sz w:val="20"/>
      </w:rPr>
      <w:t>13. oktobrī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9A9" w14:textId="77777777" w:rsidR="00341F3E" w:rsidRDefault="00341F3E">
      <w:pPr>
        <w:pStyle w:val="FootnoteText"/>
      </w:pPr>
      <w:r>
        <w:separator/>
      </w:r>
    </w:p>
  </w:footnote>
  <w:footnote w:type="continuationSeparator" w:id="0">
    <w:p w14:paraId="278E2E2A" w14:textId="77777777" w:rsidR="00341F3E" w:rsidRDefault="00341F3E">
      <w:pPr>
        <w:pStyle w:val="FootnoteText"/>
      </w:pPr>
      <w:r>
        <w:separator/>
      </w:r>
    </w:p>
  </w:footnote>
  <w:footnote w:id="1">
    <w:p w14:paraId="007A6075" w14:textId="3EFECA17" w:rsidR="00A3510C" w:rsidRPr="00F400E6" w:rsidRDefault="00A3510C" w:rsidP="00D40054">
      <w:pPr>
        <w:pStyle w:val="FootnoteText"/>
        <w:tabs>
          <w:tab w:val="clear" w:pos="567"/>
        </w:tabs>
        <w:ind w:left="142" w:hanging="142"/>
      </w:pPr>
      <w:r w:rsidRPr="00547E79">
        <w:rPr>
          <w:rStyle w:val="FootnoteReference"/>
        </w:rPr>
        <w:footnoteRef/>
      </w:r>
      <w:r w:rsidR="00BE6E7C">
        <w:t xml:space="preserve"> </w:t>
      </w:r>
      <w:r w:rsidR="00D40054" w:rsidRPr="00D40054">
        <w:t>LESD 68. pants: “Eiropadome nosaka likumdošanas un ope</w:t>
      </w:r>
      <w:r w:rsidR="00D40054">
        <w:t xml:space="preserve">ratīvās plānošanas stratēģiskās </w:t>
      </w:r>
      <w:r w:rsidR="00D40054" w:rsidRPr="00D40054">
        <w:t>pamatnostādnes brīvības, drošības un tiesiskuma telpā”</w:t>
      </w:r>
    </w:p>
  </w:footnote>
  <w:footnote w:id="2">
    <w:p w14:paraId="71D309B2" w14:textId="057B3278" w:rsidR="00A3510C" w:rsidRPr="00F400E6" w:rsidRDefault="00A3510C" w:rsidP="00A3510C">
      <w:pPr>
        <w:pStyle w:val="FootnoteText"/>
      </w:pPr>
      <w:r w:rsidRPr="00F400E6">
        <w:rPr>
          <w:rStyle w:val="FootnoteReference"/>
        </w:rPr>
        <w:footnoteRef/>
      </w:r>
      <w:r w:rsidR="00BE6E7C" w:rsidRPr="00F400E6">
        <w:t xml:space="preserve"> </w:t>
      </w:r>
      <w:r w:rsidRPr="00F400E6">
        <w:t>EUCO 79/14</w:t>
      </w:r>
    </w:p>
    <w:p w14:paraId="32F2FBF9" w14:textId="77777777" w:rsidR="00F400E6" w:rsidRPr="00BE6E7C" w:rsidRDefault="00F400E6" w:rsidP="00A3510C">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87E5"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D1B5B" w14:textId="77777777"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980072"/>
      <w:docPartObj>
        <w:docPartGallery w:val="Page Numbers (Top of Page)"/>
        <w:docPartUnique/>
      </w:docPartObj>
    </w:sdtPr>
    <w:sdtEndPr>
      <w:rPr>
        <w:noProof/>
      </w:rPr>
    </w:sdtEndPr>
    <w:sdtContent>
      <w:p w14:paraId="2211BB09" w14:textId="77777777" w:rsidR="00F400E6" w:rsidRDefault="00F400E6">
        <w:pPr>
          <w:pStyle w:val="Header"/>
          <w:jc w:val="center"/>
          <w:rPr>
            <w:noProof/>
          </w:rPr>
        </w:pPr>
        <w:r>
          <w:fldChar w:fldCharType="begin"/>
        </w:r>
        <w:r>
          <w:instrText xml:space="preserve"> PAGE   \* MERGEFORMAT </w:instrText>
        </w:r>
        <w:r>
          <w:fldChar w:fldCharType="separate"/>
        </w:r>
        <w:r w:rsidR="00B5188A">
          <w:rPr>
            <w:noProof/>
          </w:rPr>
          <w:t>4</w:t>
        </w:r>
        <w:r>
          <w:rPr>
            <w:noProof/>
          </w:rPr>
          <w:fldChar w:fldCharType="end"/>
        </w:r>
      </w:p>
      <w:p w14:paraId="5ACF8BB7" w14:textId="77777777" w:rsidR="00F400E6" w:rsidRDefault="00F400E6">
        <w:pPr>
          <w:pStyle w:val="Header"/>
          <w:jc w:val="center"/>
          <w:rPr>
            <w:noProof/>
          </w:rPr>
        </w:pPr>
      </w:p>
      <w:p w14:paraId="4C7DC356" w14:textId="42ADA6F9" w:rsidR="00F400E6" w:rsidRDefault="00D40054" w:rsidP="00D40054">
        <w:pPr>
          <w:pStyle w:val="Header"/>
          <w:jc w:val="right"/>
        </w:pPr>
        <w:r>
          <w:rPr>
            <w:i/>
            <w:noProof/>
          </w:rPr>
          <w:t>Pielikums Nr. 1</w:t>
        </w:r>
      </w:p>
    </w:sdtContent>
  </w:sdt>
  <w:p w14:paraId="3180EFA5" w14:textId="77777777" w:rsidR="00F400E6" w:rsidRDefault="00F400E6" w:rsidP="00F400E6">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70CB" w14:textId="6360ECC7" w:rsidR="00F400E6" w:rsidRPr="00F400E6" w:rsidRDefault="00F400E6" w:rsidP="00F400E6">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15:restartNumberingAfterBreak="0">
    <w:nsid w:val="20867E65"/>
    <w:multiLevelType w:val="hybridMultilevel"/>
    <w:tmpl w:val="78025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294E46"/>
    <w:multiLevelType w:val="hybridMultilevel"/>
    <w:tmpl w:val="2C52A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0" w15:restartNumberingAfterBreak="0">
    <w:nsid w:val="2FBF784E"/>
    <w:multiLevelType w:val="hybridMultilevel"/>
    <w:tmpl w:val="00CCDDD8"/>
    <w:lvl w:ilvl="0" w:tplc="05DE77B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2"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4"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6"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9" w15:restartNumberingAfterBreak="0">
    <w:nsid w:val="558815A5"/>
    <w:multiLevelType w:val="hybridMultilevel"/>
    <w:tmpl w:val="CD0AA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CE5D7A"/>
    <w:multiLevelType w:val="hybridMultilevel"/>
    <w:tmpl w:val="DED409D0"/>
    <w:lvl w:ilvl="0" w:tplc="7380819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57337B"/>
    <w:multiLevelType w:val="hybridMultilevel"/>
    <w:tmpl w:val="C6589388"/>
    <w:lvl w:ilvl="0" w:tplc="41967CD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995650"/>
    <w:multiLevelType w:val="hybridMultilevel"/>
    <w:tmpl w:val="31F84062"/>
    <w:lvl w:ilvl="0" w:tplc="095A336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C20123"/>
    <w:multiLevelType w:val="hybridMultilevel"/>
    <w:tmpl w:val="4EDCB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6CD2366"/>
    <w:multiLevelType w:val="hybridMultilevel"/>
    <w:tmpl w:val="23B2B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9"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1"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9"/>
  </w:num>
  <w:num w:numId="2">
    <w:abstractNumId w:val="13"/>
  </w:num>
  <w:num w:numId="3">
    <w:abstractNumId w:val="30"/>
  </w:num>
  <w:num w:numId="4">
    <w:abstractNumId w:val="4"/>
  </w:num>
  <w:num w:numId="5">
    <w:abstractNumId w:val="18"/>
  </w:num>
  <w:num w:numId="6">
    <w:abstractNumId w:val="11"/>
  </w:num>
  <w:num w:numId="7">
    <w:abstractNumId w:val="15"/>
  </w:num>
  <w:num w:numId="8">
    <w:abstractNumId w:val="28"/>
  </w:num>
  <w:num w:numId="9">
    <w:abstractNumId w:val="8"/>
  </w:num>
  <w:num w:numId="10">
    <w:abstractNumId w:val="2"/>
  </w:num>
  <w:num w:numId="11">
    <w:abstractNumId w:val="5"/>
  </w:num>
  <w:num w:numId="12">
    <w:abstractNumId w:val="5"/>
  </w:num>
  <w:num w:numId="13">
    <w:abstractNumId w:val="5"/>
  </w:num>
  <w:num w:numId="14">
    <w:abstractNumId w:val="5"/>
  </w:num>
  <w:num w:numId="15">
    <w:abstractNumId w:val="14"/>
  </w:num>
  <w:num w:numId="16">
    <w:abstractNumId w:val="31"/>
  </w:num>
  <w:num w:numId="17">
    <w:abstractNumId w:val="24"/>
  </w:num>
  <w:num w:numId="18">
    <w:abstractNumId w:val="27"/>
  </w:num>
  <w:num w:numId="19">
    <w:abstractNumId w:val="1"/>
  </w:num>
  <w:num w:numId="20">
    <w:abstractNumId w:val="29"/>
  </w:num>
  <w:num w:numId="21">
    <w:abstractNumId w:val="16"/>
  </w:num>
  <w:num w:numId="22">
    <w:abstractNumId w:val="0"/>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2"/>
  </w:num>
  <w:num w:numId="28">
    <w:abstractNumId w:val="3"/>
  </w:num>
  <w:num w:numId="29">
    <w:abstractNumId w:val="23"/>
  </w:num>
  <w:num w:numId="30">
    <w:abstractNumId w:val="20"/>
  </w:num>
  <w:num w:numId="31">
    <w:abstractNumId w:val="21"/>
  </w:num>
  <w:num w:numId="32">
    <w:abstractNumId w:val="19"/>
  </w:num>
  <w:num w:numId="33">
    <w:abstractNumId w:val="12"/>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6E7B"/>
    <w:rsid w:val="0003073A"/>
    <w:rsid w:val="00034647"/>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5A0C"/>
    <w:rsid w:val="000A50C5"/>
    <w:rsid w:val="000C12F5"/>
    <w:rsid w:val="000C2380"/>
    <w:rsid w:val="000C24C6"/>
    <w:rsid w:val="000C475B"/>
    <w:rsid w:val="000D1AF5"/>
    <w:rsid w:val="000D6963"/>
    <w:rsid w:val="000E44AA"/>
    <w:rsid w:val="000E6DA8"/>
    <w:rsid w:val="000E7205"/>
    <w:rsid w:val="000F674E"/>
    <w:rsid w:val="00100CBA"/>
    <w:rsid w:val="00105F08"/>
    <w:rsid w:val="00116662"/>
    <w:rsid w:val="00117D5C"/>
    <w:rsid w:val="0012198D"/>
    <w:rsid w:val="00125B10"/>
    <w:rsid w:val="00130329"/>
    <w:rsid w:val="0014365B"/>
    <w:rsid w:val="00144045"/>
    <w:rsid w:val="00151747"/>
    <w:rsid w:val="001524D3"/>
    <w:rsid w:val="0015379F"/>
    <w:rsid w:val="001542A5"/>
    <w:rsid w:val="00154EBB"/>
    <w:rsid w:val="00163771"/>
    <w:rsid w:val="00177AE3"/>
    <w:rsid w:val="00195B4E"/>
    <w:rsid w:val="00196150"/>
    <w:rsid w:val="00196947"/>
    <w:rsid w:val="00197B88"/>
    <w:rsid w:val="001B3088"/>
    <w:rsid w:val="001C018E"/>
    <w:rsid w:val="001C18C8"/>
    <w:rsid w:val="001C5B3D"/>
    <w:rsid w:val="001E0ADB"/>
    <w:rsid w:val="001F0178"/>
    <w:rsid w:val="001F41E6"/>
    <w:rsid w:val="001F5054"/>
    <w:rsid w:val="001F6D1A"/>
    <w:rsid w:val="0020244F"/>
    <w:rsid w:val="00202D00"/>
    <w:rsid w:val="002136AA"/>
    <w:rsid w:val="002144BD"/>
    <w:rsid w:val="00225403"/>
    <w:rsid w:val="00225617"/>
    <w:rsid w:val="002306F8"/>
    <w:rsid w:val="0023513E"/>
    <w:rsid w:val="0023532E"/>
    <w:rsid w:val="00241F6E"/>
    <w:rsid w:val="00243CA8"/>
    <w:rsid w:val="00252B94"/>
    <w:rsid w:val="00256AB4"/>
    <w:rsid w:val="00257A3D"/>
    <w:rsid w:val="00261B3E"/>
    <w:rsid w:val="00261F1E"/>
    <w:rsid w:val="002622BB"/>
    <w:rsid w:val="00274536"/>
    <w:rsid w:val="00285E2E"/>
    <w:rsid w:val="00287508"/>
    <w:rsid w:val="002940A0"/>
    <w:rsid w:val="00294308"/>
    <w:rsid w:val="0029453A"/>
    <w:rsid w:val="002955CA"/>
    <w:rsid w:val="00297219"/>
    <w:rsid w:val="002A23A3"/>
    <w:rsid w:val="002A6D5D"/>
    <w:rsid w:val="002A730F"/>
    <w:rsid w:val="002A7E6A"/>
    <w:rsid w:val="002B322C"/>
    <w:rsid w:val="002C6460"/>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1F3E"/>
    <w:rsid w:val="00343CDD"/>
    <w:rsid w:val="00352795"/>
    <w:rsid w:val="00352BE9"/>
    <w:rsid w:val="00354ABC"/>
    <w:rsid w:val="00356DE3"/>
    <w:rsid w:val="003575E3"/>
    <w:rsid w:val="00363C24"/>
    <w:rsid w:val="003668AA"/>
    <w:rsid w:val="0037397D"/>
    <w:rsid w:val="003813BF"/>
    <w:rsid w:val="0038200B"/>
    <w:rsid w:val="0038336C"/>
    <w:rsid w:val="00386D47"/>
    <w:rsid w:val="0039011F"/>
    <w:rsid w:val="00390236"/>
    <w:rsid w:val="00390E80"/>
    <w:rsid w:val="00393211"/>
    <w:rsid w:val="003A3712"/>
    <w:rsid w:val="003A6F67"/>
    <w:rsid w:val="003B2166"/>
    <w:rsid w:val="003C5014"/>
    <w:rsid w:val="003C6383"/>
    <w:rsid w:val="003F161E"/>
    <w:rsid w:val="00400464"/>
    <w:rsid w:val="00410786"/>
    <w:rsid w:val="004137C1"/>
    <w:rsid w:val="0042552E"/>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83AB1"/>
    <w:rsid w:val="004A69B5"/>
    <w:rsid w:val="004A7E01"/>
    <w:rsid w:val="004B11B1"/>
    <w:rsid w:val="004B3CFE"/>
    <w:rsid w:val="004C0842"/>
    <w:rsid w:val="004C2F4C"/>
    <w:rsid w:val="004C5413"/>
    <w:rsid w:val="004C7F52"/>
    <w:rsid w:val="004D108B"/>
    <w:rsid w:val="004D4D45"/>
    <w:rsid w:val="004D609B"/>
    <w:rsid w:val="004E2037"/>
    <w:rsid w:val="004E426D"/>
    <w:rsid w:val="004E78F3"/>
    <w:rsid w:val="004F63DE"/>
    <w:rsid w:val="00501ECF"/>
    <w:rsid w:val="0050227C"/>
    <w:rsid w:val="00514345"/>
    <w:rsid w:val="00533248"/>
    <w:rsid w:val="0054080C"/>
    <w:rsid w:val="00567A91"/>
    <w:rsid w:val="00572600"/>
    <w:rsid w:val="0058356F"/>
    <w:rsid w:val="00594A9A"/>
    <w:rsid w:val="005A0835"/>
    <w:rsid w:val="005A3418"/>
    <w:rsid w:val="005A6D01"/>
    <w:rsid w:val="005B2A01"/>
    <w:rsid w:val="005B3AB5"/>
    <w:rsid w:val="005C068D"/>
    <w:rsid w:val="005C1798"/>
    <w:rsid w:val="005C5B9F"/>
    <w:rsid w:val="005C6353"/>
    <w:rsid w:val="005D02E8"/>
    <w:rsid w:val="005D0D96"/>
    <w:rsid w:val="005D3041"/>
    <w:rsid w:val="005D6A72"/>
    <w:rsid w:val="005E3659"/>
    <w:rsid w:val="005E60EC"/>
    <w:rsid w:val="005E70F0"/>
    <w:rsid w:val="005E775E"/>
    <w:rsid w:val="005F3163"/>
    <w:rsid w:val="00603C8C"/>
    <w:rsid w:val="006055EC"/>
    <w:rsid w:val="00612818"/>
    <w:rsid w:val="00632633"/>
    <w:rsid w:val="00642BE1"/>
    <w:rsid w:val="006520D4"/>
    <w:rsid w:val="0065704C"/>
    <w:rsid w:val="00660290"/>
    <w:rsid w:val="00671142"/>
    <w:rsid w:val="00677FFD"/>
    <w:rsid w:val="00680189"/>
    <w:rsid w:val="00682408"/>
    <w:rsid w:val="0068381C"/>
    <w:rsid w:val="00691D07"/>
    <w:rsid w:val="00692514"/>
    <w:rsid w:val="006A2486"/>
    <w:rsid w:val="006A26CE"/>
    <w:rsid w:val="006A6503"/>
    <w:rsid w:val="006B130C"/>
    <w:rsid w:val="006B5CD3"/>
    <w:rsid w:val="006B6770"/>
    <w:rsid w:val="006B7E26"/>
    <w:rsid w:val="006C01B3"/>
    <w:rsid w:val="006D5D34"/>
    <w:rsid w:val="006D65A4"/>
    <w:rsid w:val="006D7296"/>
    <w:rsid w:val="006E3610"/>
    <w:rsid w:val="006E3F27"/>
    <w:rsid w:val="006E5222"/>
    <w:rsid w:val="006F0DF1"/>
    <w:rsid w:val="00706CAD"/>
    <w:rsid w:val="00710F3A"/>
    <w:rsid w:val="00723526"/>
    <w:rsid w:val="00734C27"/>
    <w:rsid w:val="00734EBB"/>
    <w:rsid w:val="00744BAC"/>
    <w:rsid w:val="00763A78"/>
    <w:rsid w:val="00765088"/>
    <w:rsid w:val="00765F86"/>
    <w:rsid w:val="00772B9B"/>
    <w:rsid w:val="00775A61"/>
    <w:rsid w:val="00777E93"/>
    <w:rsid w:val="007804A2"/>
    <w:rsid w:val="00780572"/>
    <w:rsid w:val="007A1D05"/>
    <w:rsid w:val="007A24E1"/>
    <w:rsid w:val="007A5310"/>
    <w:rsid w:val="007A5956"/>
    <w:rsid w:val="007B37CF"/>
    <w:rsid w:val="007B748D"/>
    <w:rsid w:val="007C4036"/>
    <w:rsid w:val="007F69FD"/>
    <w:rsid w:val="00824668"/>
    <w:rsid w:val="00827F8E"/>
    <w:rsid w:val="00831548"/>
    <w:rsid w:val="00834B30"/>
    <w:rsid w:val="0084351B"/>
    <w:rsid w:val="008437F7"/>
    <w:rsid w:val="0084385F"/>
    <w:rsid w:val="00854ABE"/>
    <w:rsid w:val="00854DDE"/>
    <w:rsid w:val="00855794"/>
    <w:rsid w:val="00857CB4"/>
    <w:rsid w:val="00865608"/>
    <w:rsid w:val="008731CF"/>
    <w:rsid w:val="00884562"/>
    <w:rsid w:val="008A129E"/>
    <w:rsid w:val="008A48E4"/>
    <w:rsid w:val="008A5956"/>
    <w:rsid w:val="008A6938"/>
    <w:rsid w:val="008A69D9"/>
    <w:rsid w:val="008A6C74"/>
    <w:rsid w:val="008B0D36"/>
    <w:rsid w:val="008B2C94"/>
    <w:rsid w:val="008C48BE"/>
    <w:rsid w:val="008C6506"/>
    <w:rsid w:val="008C78E8"/>
    <w:rsid w:val="008D4A7E"/>
    <w:rsid w:val="008D589F"/>
    <w:rsid w:val="008E6C8C"/>
    <w:rsid w:val="008E77A4"/>
    <w:rsid w:val="008F45E5"/>
    <w:rsid w:val="0092219F"/>
    <w:rsid w:val="0092223B"/>
    <w:rsid w:val="00924076"/>
    <w:rsid w:val="009340C2"/>
    <w:rsid w:val="00936B18"/>
    <w:rsid w:val="00944D7E"/>
    <w:rsid w:val="00973929"/>
    <w:rsid w:val="0098447F"/>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E55"/>
    <w:rsid w:val="00A44EE6"/>
    <w:rsid w:val="00A45DC2"/>
    <w:rsid w:val="00A501E3"/>
    <w:rsid w:val="00A55D18"/>
    <w:rsid w:val="00A63B07"/>
    <w:rsid w:val="00A65C51"/>
    <w:rsid w:val="00A704D2"/>
    <w:rsid w:val="00A84A46"/>
    <w:rsid w:val="00A84F05"/>
    <w:rsid w:val="00AB1754"/>
    <w:rsid w:val="00AB70E7"/>
    <w:rsid w:val="00AC358B"/>
    <w:rsid w:val="00AC3D3F"/>
    <w:rsid w:val="00AC4F10"/>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7F45"/>
    <w:rsid w:val="00B5188A"/>
    <w:rsid w:val="00B55C00"/>
    <w:rsid w:val="00B63AB6"/>
    <w:rsid w:val="00B70CAE"/>
    <w:rsid w:val="00B83F3E"/>
    <w:rsid w:val="00B87DE8"/>
    <w:rsid w:val="00BC4EC7"/>
    <w:rsid w:val="00BC7E05"/>
    <w:rsid w:val="00BD18C6"/>
    <w:rsid w:val="00BD4E18"/>
    <w:rsid w:val="00BD79FD"/>
    <w:rsid w:val="00BE254B"/>
    <w:rsid w:val="00BE2FB8"/>
    <w:rsid w:val="00BE6E7C"/>
    <w:rsid w:val="00C008E7"/>
    <w:rsid w:val="00C068A7"/>
    <w:rsid w:val="00C22FFA"/>
    <w:rsid w:val="00C23AB8"/>
    <w:rsid w:val="00C303BE"/>
    <w:rsid w:val="00C321AD"/>
    <w:rsid w:val="00C41AFF"/>
    <w:rsid w:val="00C44CE5"/>
    <w:rsid w:val="00C56E75"/>
    <w:rsid w:val="00C57846"/>
    <w:rsid w:val="00C707FB"/>
    <w:rsid w:val="00C70FDD"/>
    <w:rsid w:val="00C76761"/>
    <w:rsid w:val="00C76C4E"/>
    <w:rsid w:val="00C80A2B"/>
    <w:rsid w:val="00C816E5"/>
    <w:rsid w:val="00C8408E"/>
    <w:rsid w:val="00C926B4"/>
    <w:rsid w:val="00C95CD3"/>
    <w:rsid w:val="00CA2896"/>
    <w:rsid w:val="00CB6654"/>
    <w:rsid w:val="00CC4B1C"/>
    <w:rsid w:val="00CD08C1"/>
    <w:rsid w:val="00CD2CF7"/>
    <w:rsid w:val="00CE70C9"/>
    <w:rsid w:val="00CF7C15"/>
    <w:rsid w:val="00D019E9"/>
    <w:rsid w:val="00D07AA3"/>
    <w:rsid w:val="00D14A97"/>
    <w:rsid w:val="00D1541F"/>
    <w:rsid w:val="00D155CA"/>
    <w:rsid w:val="00D16C30"/>
    <w:rsid w:val="00D248F8"/>
    <w:rsid w:val="00D32913"/>
    <w:rsid w:val="00D33899"/>
    <w:rsid w:val="00D3396C"/>
    <w:rsid w:val="00D40054"/>
    <w:rsid w:val="00D44622"/>
    <w:rsid w:val="00D57867"/>
    <w:rsid w:val="00D61825"/>
    <w:rsid w:val="00D6529B"/>
    <w:rsid w:val="00D66259"/>
    <w:rsid w:val="00D94C84"/>
    <w:rsid w:val="00DA0C30"/>
    <w:rsid w:val="00DA2705"/>
    <w:rsid w:val="00DA676A"/>
    <w:rsid w:val="00DB16EB"/>
    <w:rsid w:val="00DB33E2"/>
    <w:rsid w:val="00DC0368"/>
    <w:rsid w:val="00DC1626"/>
    <w:rsid w:val="00DD179D"/>
    <w:rsid w:val="00DF6D1A"/>
    <w:rsid w:val="00DF7AEB"/>
    <w:rsid w:val="00E05E96"/>
    <w:rsid w:val="00E102CC"/>
    <w:rsid w:val="00E1595E"/>
    <w:rsid w:val="00E15E82"/>
    <w:rsid w:val="00E41E0C"/>
    <w:rsid w:val="00E43675"/>
    <w:rsid w:val="00E44319"/>
    <w:rsid w:val="00E44333"/>
    <w:rsid w:val="00E531EF"/>
    <w:rsid w:val="00E65231"/>
    <w:rsid w:val="00E65685"/>
    <w:rsid w:val="00E65A0E"/>
    <w:rsid w:val="00E701F6"/>
    <w:rsid w:val="00EB315E"/>
    <w:rsid w:val="00EB43AA"/>
    <w:rsid w:val="00EB4B1E"/>
    <w:rsid w:val="00EC1F33"/>
    <w:rsid w:val="00EC79F7"/>
    <w:rsid w:val="00ED2970"/>
    <w:rsid w:val="00EF24B8"/>
    <w:rsid w:val="00EF4CAB"/>
    <w:rsid w:val="00F0245F"/>
    <w:rsid w:val="00F02E2A"/>
    <w:rsid w:val="00F06151"/>
    <w:rsid w:val="00F101D4"/>
    <w:rsid w:val="00F1303B"/>
    <w:rsid w:val="00F15383"/>
    <w:rsid w:val="00F1770E"/>
    <w:rsid w:val="00F22562"/>
    <w:rsid w:val="00F2384B"/>
    <w:rsid w:val="00F302B9"/>
    <w:rsid w:val="00F32E2B"/>
    <w:rsid w:val="00F33F0D"/>
    <w:rsid w:val="00F35423"/>
    <w:rsid w:val="00F35AFD"/>
    <w:rsid w:val="00F400E6"/>
    <w:rsid w:val="00F4342F"/>
    <w:rsid w:val="00F51AE1"/>
    <w:rsid w:val="00F52E5D"/>
    <w:rsid w:val="00F55696"/>
    <w:rsid w:val="00F679F0"/>
    <w:rsid w:val="00F73A93"/>
    <w:rsid w:val="00F74706"/>
    <w:rsid w:val="00F76DD1"/>
    <w:rsid w:val="00F9138F"/>
    <w:rsid w:val="00F96CA1"/>
    <w:rsid w:val="00FA1669"/>
    <w:rsid w:val="00FB17CE"/>
    <w:rsid w:val="00FB69B0"/>
    <w:rsid w:val="00FC0436"/>
    <w:rsid w:val="00FC28A7"/>
    <w:rsid w:val="00FC7706"/>
    <w:rsid w:val="00FD18EB"/>
    <w:rsid w:val="00FE0D0A"/>
    <w:rsid w:val="00FE3483"/>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E43B2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rPr>
      <w:b/>
      <w:vertAlign w:val="superscript"/>
    </w:rPr>
  </w:style>
  <w:style w:type="paragraph" w:styleId="FootnoteText">
    <w:name w:val="footnote text"/>
    <w:aliases w:val=" Char,Footnote,Fußnote"/>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
    <w:link w:val="FootnoteText"/>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character" w:customStyle="1" w:styleId="FooterChar">
    <w:name w:val="Footer Char"/>
    <w:basedOn w:val="DefaultParagraphFont"/>
    <w:link w:val="Footer"/>
    <w:uiPriority w:val="99"/>
    <w:rsid w:val="00F400E6"/>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B5F1-3FFF-464C-BB41-B13B483B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6646</Characters>
  <Application>Microsoft Office Word</Application>
  <DocSecurity>0</DocSecurity>
  <Lines>154</Lines>
  <Paragraphs>73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4</cp:revision>
  <cp:lastPrinted>2017-10-06T08:14:00Z</cp:lastPrinted>
  <dcterms:created xsi:type="dcterms:W3CDTF">2017-10-06T08:12:00Z</dcterms:created>
  <dcterms:modified xsi:type="dcterms:W3CDTF">2017-10-06T08:36:00Z</dcterms:modified>
</cp:coreProperties>
</file>