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45"/>
    <w:bookmarkStart w:id="1" w:name="OLE_LINK46"/>
    <w:p w:rsidR="001B2481" w:rsidRPr="008D25A9" w:rsidRDefault="00EF16F2" w:rsidP="001B248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E98B83F5F32E42FA9F50CA4542C74A7D"/>
          </w:placeholder>
        </w:sdtPr>
        <w:sdtContent>
          <w:r w:rsidR="00BC04FC">
            <w:rPr>
              <w:rFonts w:ascii="Times New Roman" w:eastAsia="Times New Roman" w:hAnsi="Times New Roman" w:cs="Times New Roman"/>
              <w:b/>
              <w:bCs/>
              <w:color w:val="000000" w:themeColor="text1"/>
              <w:sz w:val="24"/>
              <w:szCs w:val="24"/>
              <w:lang w:eastAsia="lv-LV"/>
            </w:rPr>
            <w:t>Likumprojekta „</w:t>
          </w:r>
          <w:r w:rsidR="00BC04FC">
            <w:rPr>
              <w:rFonts w:ascii="Times New Roman" w:hAnsi="Times New Roman" w:cs="Times New Roman"/>
              <w:b/>
              <w:color w:val="000000" w:themeColor="text1"/>
              <w:sz w:val="24"/>
              <w:szCs w:val="24"/>
            </w:rPr>
            <w:t>Grozījums</w:t>
          </w:r>
          <w:r w:rsidR="001B2481" w:rsidRPr="008D25A9">
            <w:rPr>
              <w:rFonts w:ascii="Times New Roman" w:hAnsi="Times New Roman" w:cs="Times New Roman"/>
              <w:b/>
              <w:color w:val="000000" w:themeColor="text1"/>
              <w:sz w:val="24"/>
              <w:szCs w:val="24"/>
            </w:rPr>
            <w:t xml:space="preserve"> </w:t>
          </w:r>
          <w:r w:rsidR="00BC04FC">
            <w:rPr>
              <w:rFonts w:ascii="Times New Roman" w:hAnsi="Times New Roman" w:cs="Times New Roman"/>
              <w:b/>
              <w:color w:val="000000" w:themeColor="text1"/>
              <w:sz w:val="24"/>
              <w:szCs w:val="24"/>
            </w:rPr>
            <w:t>likumā „</w:t>
          </w:r>
          <w:r w:rsidR="000B5195">
            <w:rPr>
              <w:rFonts w:ascii="Times New Roman" w:hAnsi="Times New Roman" w:cs="Times New Roman"/>
              <w:b/>
              <w:color w:val="000000" w:themeColor="text1"/>
              <w:sz w:val="24"/>
              <w:szCs w:val="24"/>
            </w:rPr>
            <w:t>Par nodokļiem un nodevām</w:t>
          </w:r>
          <w:r w:rsidR="001B2481" w:rsidRPr="008D25A9">
            <w:rPr>
              <w:rFonts w:ascii="Times New Roman" w:hAnsi="Times New Roman" w:cs="Times New Roman"/>
              <w:b/>
              <w:color w:val="000000" w:themeColor="text1"/>
              <w:sz w:val="24"/>
              <w:szCs w:val="24"/>
            </w:rPr>
            <w:t>”</w:t>
          </w:r>
          <w:r w:rsidR="00BC04FC">
            <w:rPr>
              <w:rFonts w:ascii="Times New Roman" w:hAnsi="Times New Roman" w:cs="Times New Roman"/>
              <w:b/>
              <w:color w:val="000000" w:themeColor="text1"/>
              <w:sz w:val="24"/>
              <w:szCs w:val="24"/>
            </w:rPr>
            <w:t>”</w:t>
          </w:r>
        </w:sdtContent>
      </w:sdt>
      <w:r w:rsidR="001B2481" w:rsidRPr="008D25A9">
        <w:rPr>
          <w:rFonts w:ascii="Times New Roman" w:eastAsia="Times New Roman" w:hAnsi="Times New Roman" w:cs="Times New Roman"/>
          <w:b/>
          <w:bCs/>
          <w:color w:val="000000" w:themeColor="text1"/>
          <w:sz w:val="24"/>
          <w:szCs w:val="24"/>
          <w:lang w:eastAsia="lv-LV"/>
        </w:rPr>
        <w:t xml:space="preserve"> </w:t>
      </w:r>
      <w:r w:rsidR="001B2481" w:rsidRPr="008D25A9">
        <w:rPr>
          <w:rFonts w:ascii="Times New Roman" w:eastAsia="Times New Roman" w:hAnsi="Times New Roman" w:cs="Times New Roman"/>
          <w:b/>
          <w:bCs/>
          <w:color w:val="000000" w:themeColor="text1"/>
          <w:sz w:val="24"/>
          <w:szCs w:val="24"/>
          <w:lang w:eastAsia="lv-LV"/>
        </w:rPr>
        <w:br/>
      </w:r>
      <w:bookmarkStart w:id="2" w:name="OLE_LINK47"/>
      <w:bookmarkStart w:id="3" w:name="OLE_LINK48"/>
      <w:r w:rsidR="001B2481" w:rsidRPr="008D25A9">
        <w:rPr>
          <w:rFonts w:ascii="Times New Roman" w:eastAsia="Times New Roman" w:hAnsi="Times New Roman" w:cs="Times New Roman"/>
          <w:b/>
          <w:bCs/>
          <w:color w:val="000000" w:themeColor="text1"/>
          <w:sz w:val="24"/>
          <w:szCs w:val="24"/>
          <w:lang w:eastAsia="lv-LV"/>
        </w:rPr>
        <w:t>sākotnējās ietekmes novērtējuma ziņojums (anotācija)</w:t>
      </w:r>
      <w:bookmarkEnd w:id="2"/>
      <w:bookmarkEnd w:id="3"/>
    </w:p>
    <w:bookmarkEnd w:id="0"/>
    <w:bookmarkEnd w:id="1"/>
    <w:p w:rsidR="001B2481" w:rsidRPr="008D25A9" w:rsidRDefault="001B2481" w:rsidP="001B2481">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4954"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6"/>
        <w:gridCol w:w="5753"/>
      </w:tblGrid>
      <w:tr w:rsidR="001B2481" w:rsidRPr="008D25A9" w:rsidTr="00117D8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I. Tiesību akta projekta izstrādes nepieciešamība</w:t>
            </w:r>
          </w:p>
        </w:tc>
      </w:tr>
      <w:tr w:rsidR="001B2481" w:rsidRPr="008D25A9" w:rsidTr="00117D8E">
        <w:trPr>
          <w:trHeight w:val="324"/>
        </w:trPr>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Pamatojums</w:t>
            </w:r>
          </w:p>
        </w:tc>
        <w:sdt>
          <w:sdtPr>
            <w:rPr>
              <w:rFonts w:ascii="Times New Roman" w:eastAsia="Times New Roman" w:hAnsi="Times New Roman" w:cs="Times New Roman"/>
              <w:bCs/>
              <w:color w:val="000000" w:themeColor="text1"/>
              <w:sz w:val="24"/>
              <w:szCs w:val="24"/>
              <w:lang w:eastAsia="lv-LV"/>
            </w:rPr>
            <w:id w:val="-1453780694"/>
            <w:placeholder>
              <w:docPart w:val="1321B85A4E924DB99CC8F26AA10B520B"/>
            </w:placeholder>
            <w:text/>
          </w:sdtPr>
          <w:sdtContent>
            <w:tc>
              <w:tcPr>
                <w:tcW w:w="3184" w:type="pct"/>
                <w:tcBorders>
                  <w:top w:val="outset" w:sz="6" w:space="0" w:color="414142"/>
                  <w:left w:val="outset" w:sz="6" w:space="0" w:color="414142"/>
                  <w:bottom w:val="outset" w:sz="6" w:space="0" w:color="414142"/>
                  <w:right w:val="outset" w:sz="6" w:space="0" w:color="414142"/>
                </w:tcBorders>
                <w:hideMark/>
              </w:tcPr>
              <w:p w:rsidR="001B2481" w:rsidRPr="008D25A9" w:rsidRDefault="00BC04FC" w:rsidP="00BC04F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Likumprojekts „Grozījums likumā „Par nodokļiem un nodevām”</w:t>
                </w:r>
                <w:r w:rsidRPr="00BC04FC">
                  <w:rPr>
                    <w:rFonts w:ascii="Times New Roman" w:eastAsia="Times New Roman" w:hAnsi="Times New Roman" w:cs="Times New Roman"/>
                    <w:bCs/>
                    <w:color w:val="000000" w:themeColor="text1"/>
                    <w:sz w:val="24"/>
                    <w:szCs w:val="24"/>
                    <w:lang w:eastAsia="lv-LV"/>
                  </w:rPr>
                  <w:t xml:space="preserve">” (turpmāk – Likumprojekts) sagatavots, pamatojoties uz Ministru kabineta 2017.gada 28.augusta sēdes protokollēmuma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32. un 33.punktā doto uzdevumu Kultūras ministrijai sadarbībā ar Nacionālo elektronisko plašsaziņas līdzekļu padomi izstrādāt un kultūras ministram līdz 2017.gada 15.septembrim iesniegt Ministru kabinetā nepieciešamos normatīvo aktu projektus par ikgadējās valsts nodevas piemērošanu elektroniskajiem plašsaziņas līdzekļiem, kuriem ir izsniegta retranslācijas atļauja, un Kultūras ministrijai sadarbībā ar Nacionālo elektronisko plašsaziņas līdzekļu padomi izvērtēt iespēju noteikt maksu elektroniskajiem plašsaziņas līdzekļiem par retranslējamās programmas reģistrēšanu un nepieciešamības gadījumā iesniegt normatīvo aktu projektus izskatīšanai Ministru kabinetā. </w:t>
                </w:r>
              </w:p>
            </w:tc>
          </w:sdtContent>
        </w:sdt>
      </w:tr>
      <w:tr w:rsidR="001B2481" w:rsidRPr="008D25A9" w:rsidTr="00117D8E">
        <w:trPr>
          <w:trHeight w:val="372"/>
        </w:trPr>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184" w:type="pct"/>
            <w:tcBorders>
              <w:top w:val="outset" w:sz="6" w:space="0" w:color="414142"/>
              <w:left w:val="outset" w:sz="6" w:space="0" w:color="414142"/>
              <w:bottom w:val="outset" w:sz="6" w:space="0" w:color="414142"/>
              <w:right w:val="outset" w:sz="6" w:space="0" w:color="414142"/>
            </w:tcBorders>
            <w:hideMark/>
          </w:tcPr>
          <w:p w:rsidR="00142FE4" w:rsidRDefault="00BC04FC" w:rsidP="00117D8E">
            <w:pPr>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Likump</w:t>
            </w:r>
            <w:r w:rsidR="00142FE4" w:rsidRPr="008A3B58">
              <w:rPr>
                <w:rFonts w:ascii="Times New Roman" w:eastAsia="Times New Roman" w:hAnsi="Times New Roman" w:cs="Times New Roman"/>
                <w:color w:val="000000" w:themeColor="text1"/>
                <w:sz w:val="24"/>
                <w:szCs w:val="24"/>
                <w:lang w:eastAsia="lv-LV"/>
              </w:rPr>
              <w:t>rojekta izstrādes nepieciešamība izriet no grozījumiem Elektronisko plašsaziņas līdzekļu likumā (turpmāk – EPLL)</w:t>
            </w:r>
            <w:r w:rsidR="003B1C64">
              <w:rPr>
                <w:rFonts w:ascii="Times New Roman" w:eastAsia="Times New Roman" w:hAnsi="Times New Roman" w:cs="Times New Roman"/>
                <w:color w:val="000000" w:themeColor="text1"/>
                <w:sz w:val="24"/>
                <w:szCs w:val="24"/>
                <w:lang w:eastAsia="lv-LV"/>
              </w:rPr>
              <w:t xml:space="preserve">, kas </w:t>
            </w:r>
            <w:r w:rsidR="00CE2796">
              <w:rPr>
                <w:rFonts w:ascii="Times New Roman" w:eastAsia="Times New Roman" w:hAnsi="Times New Roman" w:cs="Times New Roman"/>
                <w:color w:val="000000" w:themeColor="text1"/>
                <w:sz w:val="24"/>
                <w:szCs w:val="24"/>
                <w:lang w:eastAsia="lv-LV"/>
              </w:rPr>
              <w:t xml:space="preserve">paredz </w:t>
            </w:r>
            <w:r w:rsidR="00CE2796">
              <w:rPr>
                <w:rFonts w:ascii="Times New Roman" w:hAnsi="Times New Roman" w:cs="Times New Roman"/>
                <w:color w:val="000000" w:themeColor="text1"/>
                <w:sz w:val="24"/>
                <w:szCs w:val="24"/>
              </w:rPr>
              <w:t>jaunus valsts nodevu objektus</w:t>
            </w:r>
            <w:r w:rsidR="00CE2796">
              <w:rPr>
                <w:rFonts w:ascii="Times New Roman" w:eastAsia="Times New Roman" w:hAnsi="Times New Roman" w:cs="Times New Roman"/>
                <w:color w:val="000000" w:themeColor="text1"/>
                <w:sz w:val="24"/>
                <w:szCs w:val="24"/>
                <w:lang w:eastAsia="lv-LV"/>
              </w:rPr>
              <w:t>.</w:t>
            </w:r>
          </w:p>
          <w:p w:rsidR="001B2481" w:rsidRPr="008D25A9" w:rsidRDefault="001B2481" w:rsidP="00117D8E">
            <w:pPr>
              <w:spacing w:line="240" w:lineRule="auto"/>
              <w:jc w:val="both"/>
              <w:rPr>
                <w:rFonts w:ascii="Times New Roman" w:hAnsi="Times New Roman" w:cs="Times New Roman"/>
                <w:b/>
                <w:color w:val="000000" w:themeColor="text1"/>
                <w:sz w:val="24"/>
                <w:szCs w:val="24"/>
              </w:rPr>
            </w:pPr>
            <w:r w:rsidRPr="008D25A9">
              <w:rPr>
                <w:rFonts w:ascii="Times New Roman" w:hAnsi="Times New Roman" w:cs="Times New Roman"/>
                <w:b/>
                <w:color w:val="000000" w:themeColor="text1"/>
                <w:sz w:val="24"/>
                <w:szCs w:val="24"/>
              </w:rPr>
              <w:t>Tiesiskais regulējums</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Elektronisko plašsaziņas līdzekļu likums (turpmāk – EPLL) reglamentē Latvijas jurisdikcijā esošo elektronisko plašsaziņas līdzekļu (turpmāk – EPL) darbības kārtību un noteikumus, kā arī citu tiesību subjektu darbību šajā likumā paredzētajos gadījumos. </w:t>
            </w:r>
            <w:r>
              <w:rPr>
                <w:rFonts w:ascii="Times New Roman" w:hAnsi="Times New Roman" w:cs="Times New Roman"/>
                <w:color w:val="000000" w:themeColor="text1"/>
                <w:sz w:val="24"/>
                <w:szCs w:val="24"/>
              </w:rPr>
              <w:t>EPLL</w:t>
            </w:r>
            <w:r w:rsidRPr="008D25A9">
              <w:rPr>
                <w:rFonts w:ascii="Times New Roman" w:hAnsi="Times New Roman" w:cs="Times New Roman"/>
                <w:color w:val="000000" w:themeColor="text1"/>
                <w:sz w:val="24"/>
                <w:szCs w:val="24"/>
              </w:rPr>
              <w:t xml:space="preserve"> noteic apraides vai retranslācijas tiesības arī pārrobežu EPL, kuri Latvijas teritorijā veic apraidi vai retranslāciju, ko tieši vai netieši var uztvert vienā vai vairākās valstīs ārpus Latvijas teritorijas (8. pants).</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Gan par apraides, gan par retranslācijas atļaujas saņemšanu ir maksājama valsts nodeva apmērā, ko noteic Ministru kabineta 2010. gada 2</w:t>
            </w:r>
            <w:r w:rsidR="00BC04FC">
              <w:rPr>
                <w:rFonts w:ascii="Times New Roman" w:hAnsi="Times New Roman" w:cs="Times New Roman"/>
                <w:color w:val="000000" w:themeColor="text1"/>
                <w:sz w:val="24"/>
                <w:szCs w:val="24"/>
              </w:rPr>
              <w:t>8. decembra noteikumi Nr. 1238 „</w:t>
            </w:r>
            <w:r w:rsidRPr="008D25A9">
              <w:rPr>
                <w:rFonts w:ascii="Times New Roman" w:hAnsi="Times New Roman" w:cs="Times New Roman"/>
                <w:color w:val="000000" w:themeColor="text1"/>
                <w:sz w:val="24"/>
                <w:szCs w:val="24"/>
              </w:rPr>
              <w:t>Noteikumi par valsts nodevu par apraides atļaujas izsniegšanu, retranslācijas atļaujas izsniegšanu un tāda pakalpojumu sniedzēja reģistrāciju, kas sniedz elektronisko plašsaziņas līdzekļu pakalpojumus pēc pieprasījuma” (turpmāk – MK noteikumi).</w:t>
            </w:r>
          </w:p>
          <w:p w:rsidR="001B2481" w:rsidRPr="005A793B" w:rsidRDefault="001B2481" w:rsidP="00117D8E">
            <w:pPr>
              <w:spacing w:line="240" w:lineRule="auto"/>
              <w:jc w:val="both"/>
              <w:rPr>
                <w:rFonts w:ascii="Times New Roman" w:hAnsi="Times New Roman" w:cs="Times New Roman"/>
                <w:b/>
                <w:color w:val="000000" w:themeColor="text1"/>
                <w:sz w:val="24"/>
                <w:szCs w:val="24"/>
              </w:rPr>
            </w:pPr>
            <w:r w:rsidRPr="005A793B">
              <w:rPr>
                <w:rFonts w:ascii="Times New Roman" w:hAnsi="Times New Roman" w:cs="Times New Roman"/>
                <w:b/>
                <w:color w:val="000000" w:themeColor="text1"/>
                <w:sz w:val="24"/>
                <w:szCs w:val="24"/>
              </w:rPr>
              <w:lastRenderedPageBreak/>
              <w:t>Valsts nodevas</w:t>
            </w:r>
          </w:p>
          <w:p w:rsidR="001B2481" w:rsidRPr="00DB1605" w:rsidRDefault="001B2481" w:rsidP="00117D8E">
            <w:pPr>
              <w:spacing w:line="240" w:lineRule="auto"/>
              <w:jc w:val="both"/>
            </w:pPr>
            <w:r w:rsidRPr="00DB1605">
              <w:rPr>
                <w:rFonts w:ascii="Times New Roman" w:hAnsi="Times New Roman" w:cs="Times New Roman"/>
                <w:color w:val="000000" w:themeColor="text1"/>
                <w:sz w:val="24"/>
                <w:szCs w:val="24"/>
              </w:rPr>
              <w:t>2012. gada 20. marta informatīvajā ziņojumā “Par valsts nodevu un maksas pakalpojumu nošķiršanu un valsts nodevu sistēmas pilnveidošanu” paredzēts: “(..) jaunas valsts nodevas nosakāmas tikai speciālam mērķim – sasniegt kādu konkrētu politikas rezultātu atsevišķā darbības jomā, t.sk. ar mērķi regulēt aizsargāt, attīstīt, kontrolēt un uzraudzīt.”</w:t>
            </w:r>
            <w:r w:rsidRPr="00DB1605">
              <w:rPr>
                <w:rStyle w:val="Vresatsauce"/>
                <w:rFonts w:ascii="Times New Roman" w:hAnsi="Times New Roman" w:cs="Times New Roman"/>
                <w:color w:val="000000" w:themeColor="text1"/>
                <w:sz w:val="24"/>
                <w:szCs w:val="24"/>
              </w:rPr>
              <w:t xml:space="preserve"> </w:t>
            </w:r>
            <w:r w:rsidRPr="00DB1605">
              <w:rPr>
                <w:rFonts w:ascii="Times New Roman" w:hAnsi="Times New Roman" w:cs="Times New Roman"/>
                <w:color w:val="000000" w:themeColor="text1"/>
                <w:sz w:val="24"/>
                <w:szCs w:val="24"/>
              </w:rPr>
              <w:t>Nodeva, atšķirībā no nodokļa, nav regulārs maksājums, izņemot tās valsts nodevas, kuras saistītas ar uzraudzības, kontroles veikšanu un kuru maksāšanas regularitāte ir atkarīga no minēto darbību veikšanas biežuma.”</w:t>
            </w:r>
            <w:r w:rsidRPr="00DB1605">
              <w:rPr>
                <w:rStyle w:val="Vresatsauce"/>
                <w:rFonts w:ascii="Times New Roman" w:hAnsi="Times New Roman" w:cs="Times New Roman"/>
                <w:color w:val="000000" w:themeColor="text1"/>
                <w:sz w:val="24"/>
                <w:szCs w:val="24"/>
              </w:rPr>
              <w:t xml:space="preserve"> </w:t>
            </w:r>
            <w:r w:rsidRPr="00DB1605">
              <w:rPr>
                <w:rStyle w:val="Vresatsauce"/>
                <w:rFonts w:ascii="Times New Roman" w:hAnsi="Times New Roman" w:cs="Times New Roman"/>
                <w:color w:val="000000" w:themeColor="text1"/>
                <w:sz w:val="24"/>
                <w:szCs w:val="24"/>
              </w:rPr>
              <w:footnoteReference w:id="1"/>
            </w:r>
          </w:p>
          <w:p w:rsidR="001B2481" w:rsidRDefault="001B2481" w:rsidP="00117D8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Paredzot papildu valsts nodevas un nosakot atvieglojumus no tām, būs iespējams sasniegt papildu politikas mērķus. </w:t>
            </w:r>
          </w:p>
          <w:p w:rsidR="001B2481" w:rsidRDefault="001B2481" w:rsidP="00117D8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Pirmkārt, ikgadējā apraides tiesību īstenošanas uzraudzības nodeva ne tikai ļaus segt papildu izdevumus, kas ir būtiski gadījumos, kad, piemēram, jāveic EPL nedēļas raidlaika pārbaude (īpaši pārrobežu televīzijai, kas nav pat Latvijā pieejama un nav latviešu valodā), bet paredzētais izņēmums no tās stimulēs veidot programmas ar lielāku latviešu valodas  un tieši raidījumu latviešu valodā īpatsvaru, tādējādi nemaksājot attiecīgo nodevu. EPL varēs izvēlēties arī to nedarīt, bet tad EPL nevarēs izmantot atvieglojumu no ikgadējās valsts nodevas. </w:t>
            </w:r>
          </w:p>
          <w:p w:rsidR="001B2481" w:rsidRDefault="001B2481" w:rsidP="00117D8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Otrkārt, valsts nodeva par retranslācijas atļaujas </w:t>
            </w:r>
            <w:r w:rsidR="002D53C9">
              <w:rPr>
                <w:rFonts w:ascii="Times New Roman" w:hAnsi="Times New Roman" w:cs="Times New Roman"/>
                <w:color w:val="000000" w:themeColor="text1"/>
                <w:sz w:val="24"/>
                <w:szCs w:val="24"/>
              </w:rPr>
              <w:t>pārreģistrāciju</w:t>
            </w:r>
            <w:r>
              <w:rPr>
                <w:rFonts w:ascii="Times New Roman" w:hAnsi="Times New Roman" w:cs="Times New Roman"/>
                <w:color w:val="000000" w:themeColor="text1"/>
                <w:sz w:val="24"/>
                <w:szCs w:val="24"/>
              </w:rPr>
              <w:t xml:space="preserve"> (bija paredzēta Radio un Televīzijas likumā) ne tikai segs izdevumus par padziļinātākām pārbaudēm, vai EPL ir programmas īpašnieka atļauja un vai retranslējamās programmas saturs nepārkāpj likumā noteikto, bet arī EPL liks apsvērt, vai nepieciešams retranslēt tik daudz un tieši šādas programmas. MK noteikumos paredzētie izņēmumi stimulēs retranslēt programmas latviešu valodā vai bez Latvijas auditorijai adresētām reklāmām, neizņemot apraides atļauju Latvijā. Tas veicinās arī godīgāku konkurenci EPL starpā, jo </w:t>
            </w:r>
            <w:r w:rsidRPr="008D25A9">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acionālā elektronisko plašsaziņas līdzekļu padome varēs efektīvāk nodrošināt, pārliecinoties par retranslācijas tiesīgumu. MK noteikumu tekstā iecerēts noteikt virkni atvieglojumu no </w:t>
            </w:r>
            <w:bookmarkStart w:id="4" w:name="_GoBack"/>
            <w:bookmarkEnd w:id="4"/>
            <w:r>
              <w:rPr>
                <w:rFonts w:ascii="Times New Roman" w:hAnsi="Times New Roman" w:cs="Times New Roman"/>
                <w:color w:val="000000" w:themeColor="text1"/>
                <w:sz w:val="24"/>
                <w:szCs w:val="24"/>
              </w:rPr>
              <w:t xml:space="preserve">valsts nodevas, piemēram, retranslācija notiek likumā noteiktajos gadījumos,  tiek retranslētas izglītības un kultūras programmas vai programmas ar noteiktu latviešu valodas īpatsvaru. MK noteikumos paredzēts noteikt, ka par citu valstu EPL programmu, kurās ietvertas Latvijas auditorijai paredzētas reklāmas, retranslēšanu nodeva būs maksājama divkāršā apmērā. Tas neattiektos uz EPL, kas saņēmuši apraides atļauju Latvijā. </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Treškārt, paredzēts ieviest nodevu par izmaiņu izdarīšanu apraides atļaujas pamatnosacījumos, lai EPL izvērtētu šādu grozījumu skaita un apjoma lietderību, pēc iespējas atturētu no pamatnosacījumu maiņas arī tajā apjomā, ko likums pieļauj. </w:t>
            </w:r>
            <w:r w:rsidRPr="008D25A9">
              <w:rPr>
                <w:rFonts w:ascii="Times New Roman" w:hAnsi="Times New Roman" w:cs="Times New Roman"/>
                <w:color w:val="000000" w:themeColor="text1"/>
                <w:sz w:val="24"/>
                <w:szCs w:val="24"/>
              </w:rPr>
              <w:t xml:space="preserve">Ņemot vērā to, ka daļu no apraides atļaujas pamatnosacījumiem drīkst grozīt, un tas tiek darīts, izstrādātie grozījumi paredz, ka valsts nodeva tiek maksāta ne tikai par apraides atļaujas izsniegšanu, bet arī </w:t>
            </w:r>
            <w:r w:rsidRPr="008D25A9">
              <w:rPr>
                <w:rFonts w:ascii="Times New Roman" w:hAnsi="Times New Roman" w:cs="Times New Roman"/>
                <w:b/>
                <w:color w:val="000000" w:themeColor="text1"/>
                <w:sz w:val="24"/>
                <w:szCs w:val="24"/>
              </w:rPr>
              <w:t>par apraides atļaujas pamatnosacījumu pārskatīšanu</w:t>
            </w:r>
            <w:r w:rsidRPr="008D25A9">
              <w:rPr>
                <w:rFonts w:ascii="Times New Roman" w:hAnsi="Times New Roman" w:cs="Times New Roman"/>
                <w:color w:val="000000" w:themeColor="text1"/>
                <w:sz w:val="24"/>
                <w:szCs w:val="24"/>
              </w:rPr>
              <w:t>. Proti, gadījumā, ja EPL lūdz veikt izmaiņas izsniegtajā atļaujā, tam ir pienākums maksāt valsts nodevu, kas ir tiešā veidā saistīta ar valsts nodevu par atļaujas izsniegšanu.</w:t>
            </w:r>
            <w:r>
              <w:rPr>
                <w:rFonts w:ascii="Times New Roman" w:hAnsi="Times New Roman" w:cs="Times New Roman"/>
                <w:color w:val="000000" w:themeColor="text1"/>
                <w:sz w:val="24"/>
                <w:szCs w:val="24"/>
              </w:rPr>
              <w:t xml:space="preserve"> Līdzīgs regulējums paredzēts arī citās nozarēs.</w:t>
            </w:r>
          </w:p>
          <w:p w:rsidR="001B2481" w:rsidRPr="00A255E8" w:rsidRDefault="001B2481" w:rsidP="00117D8E">
            <w:pPr>
              <w:spacing w:line="240" w:lineRule="auto"/>
              <w:jc w:val="both"/>
              <w:rPr>
                <w:rFonts w:ascii="Times New Roman" w:hAnsi="Times New Roman" w:cs="Times New Roman"/>
                <w:b/>
                <w:color w:val="000000" w:themeColor="text1"/>
                <w:sz w:val="24"/>
                <w:szCs w:val="24"/>
              </w:rPr>
            </w:pPr>
            <w:r w:rsidRPr="00A255E8">
              <w:rPr>
                <w:rFonts w:ascii="Times New Roman" w:hAnsi="Times New Roman" w:cs="Times New Roman"/>
                <w:b/>
                <w:color w:val="000000" w:themeColor="text1"/>
                <w:sz w:val="24"/>
                <w:szCs w:val="24"/>
              </w:rPr>
              <w:t>Grozījumu būtība</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Izstrādātie grozījumi paredz, ka </w:t>
            </w:r>
            <w:r w:rsidRPr="008D25A9">
              <w:rPr>
                <w:rFonts w:ascii="Times New Roman" w:hAnsi="Times New Roman" w:cs="Times New Roman"/>
                <w:b/>
                <w:color w:val="000000" w:themeColor="text1"/>
                <w:sz w:val="24"/>
                <w:szCs w:val="24"/>
              </w:rPr>
              <w:t>par apraides tiesību īstenošanas uzraudzību</w:t>
            </w:r>
            <w:r w:rsidRPr="008D25A9">
              <w:rPr>
                <w:rFonts w:ascii="Times New Roman" w:hAnsi="Times New Roman" w:cs="Times New Roman"/>
                <w:color w:val="000000" w:themeColor="text1"/>
                <w:sz w:val="24"/>
                <w:szCs w:val="24"/>
              </w:rPr>
              <w:t xml:space="preserve"> maksā ikgadējo valsts nodevu attiecībā uz komerciālo pārrobežu televīzijas programmu vai komerciālo nacionālo televīzijas programmu. Ikgadējā nodeva, kuras mērķis ir kompetentās institūcijas uzraudzības funkcijas nodrošināšana</w:t>
            </w:r>
            <w:r>
              <w:rPr>
                <w:rFonts w:ascii="Times New Roman" w:hAnsi="Times New Roman" w:cs="Times New Roman"/>
                <w:color w:val="000000" w:themeColor="text1"/>
                <w:sz w:val="24"/>
                <w:szCs w:val="24"/>
              </w:rPr>
              <w:t xml:space="preserve"> un latviešu valodas īpatsvara palielināšana šajās programmās</w:t>
            </w:r>
            <w:r w:rsidRPr="008D25A9">
              <w:rPr>
                <w:rFonts w:ascii="Times New Roman" w:hAnsi="Times New Roman" w:cs="Times New Roman"/>
                <w:color w:val="000000" w:themeColor="text1"/>
                <w:sz w:val="24"/>
                <w:szCs w:val="24"/>
              </w:rPr>
              <w:t xml:space="preserve">, paredzēta ne tikai </w:t>
            </w:r>
            <w:r>
              <w:rPr>
                <w:rFonts w:ascii="Times New Roman" w:hAnsi="Times New Roman" w:cs="Times New Roman"/>
                <w:color w:val="000000" w:themeColor="text1"/>
                <w:sz w:val="24"/>
                <w:szCs w:val="24"/>
              </w:rPr>
              <w:t>turpmāk</w:t>
            </w:r>
            <w:r w:rsidRPr="008D25A9">
              <w:rPr>
                <w:rFonts w:ascii="Times New Roman" w:hAnsi="Times New Roman" w:cs="Times New Roman"/>
                <w:color w:val="000000" w:themeColor="text1"/>
                <w:sz w:val="24"/>
                <w:szCs w:val="24"/>
              </w:rPr>
              <w:t xml:space="preserve"> apskatītajos ārvalstu normatīvajos aktos, bet arī vairākās citās nozarēs Latvijā. </w:t>
            </w:r>
          </w:p>
          <w:p w:rsidR="001B2481" w:rsidRPr="008D25A9" w:rsidRDefault="001B2481" w:rsidP="00117D8E">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Tā, piemēram, l</w:t>
            </w:r>
            <w:r w:rsidR="00BC04FC">
              <w:rPr>
                <w:rFonts w:ascii="Times New Roman" w:hAnsi="Times New Roman" w:cs="Times New Roman"/>
                <w:color w:val="000000" w:themeColor="text1"/>
                <w:sz w:val="24"/>
                <w:szCs w:val="24"/>
              </w:rPr>
              <w:t>ikuma „</w:t>
            </w:r>
            <w:r w:rsidRPr="008D25A9">
              <w:rPr>
                <w:rFonts w:ascii="Times New Roman" w:hAnsi="Times New Roman" w:cs="Times New Roman"/>
                <w:color w:val="000000" w:themeColor="text1"/>
                <w:sz w:val="24"/>
                <w:szCs w:val="24"/>
              </w:rPr>
              <w:t xml:space="preserve">Par nodokļiem un nodevām” 11. pants paredz ikgadēju valsts nodevu par valsts sniegto nodrošinājumu šādās jomās: </w:t>
            </w:r>
            <w:r w:rsidRPr="008D25A9">
              <w:rPr>
                <w:rFonts w:ascii="Times New Roman" w:hAnsi="Times New Roman" w:cs="Times New Roman"/>
                <w:color w:val="000000" w:themeColor="text1"/>
                <w:sz w:val="24"/>
                <w:szCs w:val="24"/>
                <w:shd w:val="clear" w:color="auto" w:fill="FFFFFF"/>
              </w:rPr>
              <w:t>par reģistrācijas darbībām būvkomersantu reģistrā; par Elektronisko sakaru likumā noteiktajām numerācijas resursu lietošanas tiesībām;</w:t>
            </w:r>
            <w:r w:rsidRPr="008D25A9">
              <w:rPr>
                <w:rFonts w:ascii="Times New Roman" w:hAnsi="Times New Roman" w:cs="Times New Roman"/>
                <w:color w:val="000000" w:themeColor="text1"/>
                <w:sz w:val="24"/>
                <w:szCs w:val="24"/>
              </w:rPr>
              <w:t xml:space="preserve"> </w:t>
            </w:r>
            <w:r w:rsidRPr="008D25A9">
              <w:rPr>
                <w:rFonts w:ascii="Times New Roman" w:hAnsi="Times New Roman" w:cs="Times New Roman"/>
                <w:color w:val="000000" w:themeColor="text1"/>
                <w:sz w:val="24"/>
                <w:szCs w:val="24"/>
                <w:shd w:val="clear" w:color="auto" w:fill="FFFFFF"/>
              </w:rPr>
              <w:t>par kredītinformācijas biroja darbības uzraudzību; par tādu licencēto kapitālsabiedrību darbības uzraudzību, kuras sniedz patērētāju kreditēšanas pakalpojumus;</w:t>
            </w:r>
            <w:r w:rsidRPr="008D25A9">
              <w:rPr>
                <w:rFonts w:ascii="Times New Roman" w:hAnsi="Times New Roman" w:cs="Times New Roman"/>
                <w:color w:val="000000" w:themeColor="text1"/>
                <w:sz w:val="24"/>
                <w:szCs w:val="24"/>
              </w:rPr>
              <w:t xml:space="preserve"> </w:t>
            </w:r>
            <w:r w:rsidRPr="008D25A9">
              <w:rPr>
                <w:rFonts w:ascii="Times New Roman" w:hAnsi="Times New Roman" w:cs="Times New Roman"/>
                <w:color w:val="000000" w:themeColor="text1"/>
                <w:sz w:val="24"/>
                <w:szCs w:val="24"/>
                <w:shd w:val="clear" w:color="auto" w:fill="FFFFFF"/>
              </w:rPr>
              <w:t>par kredīta starpnieku un kredīta starpnieku pārstāvju uzraudzību.</w:t>
            </w:r>
          </w:p>
          <w:p w:rsidR="001B2481" w:rsidRDefault="001B2481" w:rsidP="00680F3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EPLL valsts nodevu maksāšanas kārtību un atbrīvojumus deleģē noteikt Ministru kabinetam. </w:t>
            </w:r>
          </w:p>
          <w:p w:rsidR="00680F3C" w:rsidRDefault="00680F3C" w:rsidP="00680F3C">
            <w:pPr>
              <w:spacing w:after="0" w:line="240" w:lineRule="auto"/>
              <w:jc w:val="both"/>
              <w:rPr>
                <w:rFonts w:ascii="Times New Roman" w:hAnsi="Times New Roman" w:cs="Times New Roman"/>
                <w:color w:val="000000" w:themeColor="text1"/>
                <w:sz w:val="24"/>
                <w:szCs w:val="24"/>
              </w:rPr>
            </w:pPr>
          </w:p>
          <w:p w:rsidR="00EC2A9D" w:rsidRDefault="00EC2A9D" w:rsidP="00680F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Konstitucionalitātes izvērtējums </w:t>
            </w:r>
          </w:p>
          <w:p w:rsidR="00680F3C" w:rsidRDefault="00680F3C" w:rsidP="00680F3C">
            <w:pPr>
              <w:spacing w:after="0" w:line="240" w:lineRule="auto"/>
              <w:jc w:val="both"/>
              <w:rPr>
                <w:rFonts w:ascii="Times New Roman" w:hAnsi="Times New Roman" w:cs="Times New Roman"/>
                <w:b/>
                <w:sz w:val="24"/>
                <w:szCs w:val="24"/>
              </w:rPr>
            </w:pPr>
          </w:p>
          <w:p w:rsidR="00EC2A9D" w:rsidRDefault="00680F3C" w:rsidP="00680F3C">
            <w:pPr>
              <w:spacing w:line="240" w:lineRule="auto"/>
              <w:jc w:val="both"/>
              <w:rPr>
                <w:rFonts w:ascii="Times New Roman" w:hAnsi="Times New Roman" w:cs="Times New Roman"/>
                <w:sz w:val="24"/>
                <w:szCs w:val="24"/>
              </w:rPr>
            </w:pPr>
            <w:r>
              <w:rPr>
                <w:rFonts w:ascii="Times New Roman" w:hAnsi="Times New Roman" w:cs="Times New Roman"/>
                <w:sz w:val="24"/>
                <w:szCs w:val="24"/>
              </w:rPr>
              <w:t>Likum</w:t>
            </w:r>
            <w:r w:rsidR="00EC2A9D">
              <w:rPr>
                <w:rFonts w:ascii="Times New Roman" w:hAnsi="Times New Roman" w:cs="Times New Roman"/>
                <w:sz w:val="24"/>
                <w:szCs w:val="24"/>
              </w:rPr>
              <w:t xml:space="preserve">projekts paredz ieviest jaunus valsts nodevu objektus nolūkā nodrošināt efektīvāku uzraudzību un vienlaikus sasniegt noteiktus politikas mērķus, paredzot virkni izņēmumu, kas saistīti ar valsts valodas aizsardzību un stiprināšanu. </w:t>
            </w:r>
          </w:p>
          <w:p w:rsidR="00EC2A9D" w:rsidRDefault="00EC2A9D" w:rsidP="00680F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Jaunu valsts nodevu objektu paredzēšana ierobežo personas tiesības uz īpašumu, no kurām izriet tiesības uz komercdarbības veikšanu. Tomēr šādam ierobežojumam atbilstoši Satversmes 116.pantam ir </w:t>
            </w:r>
            <w:r>
              <w:rPr>
                <w:rFonts w:ascii="Times New Roman" w:hAnsi="Times New Roman" w:cs="Times New Roman"/>
                <w:b/>
                <w:sz w:val="24"/>
                <w:szCs w:val="24"/>
              </w:rPr>
              <w:t>leģitīms mērķis</w:t>
            </w:r>
            <w:r>
              <w:rPr>
                <w:rFonts w:ascii="Times New Roman" w:hAnsi="Times New Roman" w:cs="Times New Roman"/>
                <w:sz w:val="24"/>
                <w:szCs w:val="24"/>
              </w:rPr>
              <w:t xml:space="preserve"> – sabiedrības drošības un labklājības nodrošināšana un citu personu tiesību aizsardzība. Minēto valsts nodevu </w:t>
            </w:r>
            <w:r>
              <w:rPr>
                <w:rFonts w:ascii="Times New Roman" w:hAnsi="Times New Roman" w:cs="Times New Roman"/>
                <w:sz w:val="24"/>
                <w:szCs w:val="24"/>
              </w:rPr>
              <w:lastRenderedPageBreak/>
              <w:t xml:space="preserve">aprēķināšanas kārtība ļaus stiprināt valsts valodas lietošanu, kas ir valsts konstitucionāls pienākums. Valsts valodas aizsardzības un nodokļu un nodevu jomā likumdevēja rīcības brīvība ir pietiekami plaša. </w:t>
            </w:r>
          </w:p>
          <w:p w:rsidR="00EC2A9D" w:rsidRDefault="00EC2A9D" w:rsidP="00680F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Izraudzītais līdzeklis – valsts nodevas samaksa par retranslācijas atļaujas pārreģistrāciju, par pamatu ņemot iepriekšējā gadā retranslētās programmas, vai valsts nodeva apraides tiesību īstenošanas uzraudzībai – </w:t>
            </w:r>
            <w:r>
              <w:rPr>
                <w:rFonts w:ascii="Times New Roman" w:hAnsi="Times New Roman" w:cs="Times New Roman"/>
                <w:b/>
                <w:sz w:val="24"/>
                <w:szCs w:val="24"/>
              </w:rPr>
              <w:t>ir piemērots leģitīmā mērķa sasniegšanai</w:t>
            </w:r>
            <w:r>
              <w:rPr>
                <w:rFonts w:ascii="Times New Roman" w:hAnsi="Times New Roman" w:cs="Times New Roman"/>
                <w:sz w:val="24"/>
                <w:szCs w:val="24"/>
              </w:rPr>
              <w:t xml:space="preserve">, jo ļaus iegūt līdzekļus, lai attiecīgi veiktu programmu retranslācijas tiesīguma uzraudzību vai televīzijas programmu satura atbilstības uzraudzību, bet atbrīvojumi no valsts nodevas nomaksas paredzēs virkni izņēmumu, ar kuriem tiks stiprināts valsts valodas lietošana (piemēram, valsts nodeva nav jāmaksā par programmām, kurās ir noteikts valsts valodas īpatsvars). Prasība maksāt valsts nodevu par retranslācijas atļaujas pārreģistrāciju divkāršā apmērā, ko piemērotu konstatēta normatīvo aktu pārkāpuma gadījumā, stimulēs komersantus ievērot normatīvos aktus. Stingrāka retranslējamo programmu tiesīguma kontrole aizsargās programmu īpašnieku intereses, kā arī sabiedrības intereses, nodrošinot godīgāku konkurenci un pasargājot sabiedrību no Latvijā prettiesiski izplatītu programmu iespējamās kaitīgās ietekmes. </w:t>
            </w:r>
          </w:p>
          <w:p w:rsidR="00EC2A9D" w:rsidRDefault="00EC2A9D" w:rsidP="00680F3C">
            <w:pPr>
              <w:spacing w:line="240" w:lineRule="auto"/>
              <w:jc w:val="both"/>
              <w:rPr>
                <w:rFonts w:ascii="Times New Roman" w:hAnsi="Times New Roman" w:cs="Times New Roman"/>
                <w:sz w:val="24"/>
                <w:szCs w:val="24"/>
              </w:rPr>
            </w:pPr>
            <w:r>
              <w:rPr>
                <w:rFonts w:ascii="Times New Roman" w:hAnsi="Times New Roman" w:cs="Times New Roman"/>
                <w:b/>
                <w:sz w:val="24"/>
                <w:szCs w:val="24"/>
              </w:rPr>
              <w:t>Nepastāv arī saudzējošāki risinājumi</w:t>
            </w:r>
            <w:r>
              <w:rPr>
                <w:rFonts w:ascii="Times New Roman" w:hAnsi="Times New Roman" w:cs="Times New Roman"/>
                <w:sz w:val="24"/>
                <w:szCs w:val="24"/>
              </w:rPr>
              <w:t xml:space="preserve">, ar kuriem sasniegt leģitīmo mērķi tikpat efektīvi. Saudzējošāks risinājums nav jebkurš cits risinājums. Pirmkārt, ar sodu piemērošanu mērķi vien nevar sasniegt, turklāt kontroles pasākumi prasa ievērojamus resursus, lai nodrošinātu soda neizbēgamības principu. Otrkārt, nodokļu maksātājiem nebūtu samērīgi segt visus izdevumus, kas saistīti ar atsevišķu komersantu darbības uzraudzību televīzijas programmu izplatīšanā papildus likumā noteiktajiem obligātās televīzijas programmu izplatīšanas noteikumiem, it īpaši pārrobežu televīzijas satura uzraudzībā, kas netiek pat izplatīta Latvijā vai valsts valodā, bet Latvijas institūcijas ir atbildīgas par to saturu. Treškārt, </w:t>
            </w:r>
            <w:r w:rsidR="00680F3C">
              <w:rPr>
                <w:rFonts w:ascii="Times New Roman" w:hAnsi="Times New Roman" w:cs="Times New Roman"/>
                <w:sz w:val="24"/>
                <w:szCs w:val="24"/>
              </w:rPr>
              <w:t>Likum</w:t>
            </w:r>
            <w:r>
              <w:rPr>
                <w:rFonts w:ascii="Times New Roman" w:hAnsi="Times New Roman" w:cs="Times New Roman"/>
                <w:sz w:val="24"/>
                <w:szCs w:val="24"/>
              </w:rPr>
              <w:t xml:space="preserve">projektā paredzētie risinājumi sader arī virknē Eiropas valstu paredzēto kārtību.  </w:t>
            </w:r>
          </w:p>
          <w:p w:rsidR="00EC2A9D" w:rsidRDefault="00EC2A9D" w:rsidP="00680F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Izraudzītais līdzeklis </w:t>
            </w:r>
            <w:r>
              <w:rPr>
                <w:rFonts w:ascii="Times New Roman" w:hAnsi="Times New Roman" w:cs="Times New Roman"/>
                <w:b/>
                <w:sz w:val="24"/>
                <w:szCs w:val="24"/>
              </w:rPr>
              <w:t>nav neproporcionāls</w:t>
            </w:r>
            <w:r>
              <w:rPr>
                <w:rFonts w:ascii="Times New Roman" w:hAnsi="Times New Roman" w:cs="Times New Roman"/>
                <w:sz w:val="24"/>
                <w:szCs w:val="24"/>
              </w:rPr>
              <w:t xml:space="preserve"> komersantu tiesību ierobežojums, jo paredz samērīgu valsts nodevas apmēru, izņēmumus attiecībā uz obligāto programmu izplatīšanu un izglītības un kultūras programmām, kā arī programmām ar noteiktu valsts valodas īpatsvaru.  Tāpat attiecībā uz kabeļoperatoriem ar nelielu apgrozījumu noteikta valsts nodevas samazināšana par 50 procentiem. Valsts nodevas neattiecas uz sabiedriskajiem un nekomerciālajiem elektroniskajiem plašsaziņas līdzekļiem. </w:t>
            </w:r>
          </w:p>
          <w:p w:rsidR="00E473C0" w:rsidRDefault="00EC2A9D" w:rsidP="00680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Tādējādi </w:t>
            </w:r>
            <w:r w:rsidR="00680F3C">
              <w:rPr>
                <w:rFonts w:ascii="Times New Roman" w:hAnsi="Times New Roman" w:cs="Times New Roman"/>
                <w:sz w:val="24"/>
                <w:szCs w:val="24"/>
              </w:rPr>
              <w:t>Likum</w:t>
            </w:r>
            <w:r>
              <w:rPr>
                <w:rFonts w:ascii="Times New Roman" w:hAnsi="Times New Roman" w:cs="Times New Roman"/>
                <w:sz w:val="24"/>
                <w:szCs w:val="24"/>
              </w:rPr>
              <w:t xml:space="preserve">projektā paredzētie risinājumi ir samērīgs Satversmes 105.pantā minēto tiesību ierobežojums. </w:t>
            </w:r>
          </w:p>
        </w:tc>
      </w:tr>
      <w:tr w:rsidR="001B2481" w:rsidRPr="008D25A9" w:rsidTr="00117D8E">
        <w:trPr>
          <w:trHeight w:val="372"/>
        </w:trPr>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lastRenderedPageBreak/>
              <w:t>3.</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Projekta izstrādē iesaistītās institūcijas</w:t>
            </w:r>
          </w:p>
        </w:tc>
        <w:sdt>
          <w:sdtPr>
            <w:rPr>
              <w:rFonts w:ascii="Times New Roman" w:eastAsia="Times New Roman" w:hAnsi="Times New Roman" w:cs="Times New Roman"/>
              <w:color w:val="000000" w:themeColor="text1"/>
              <w:sz w:val="24"/>
              <w:szCs w:val="24"/>
              <w:lang w:eastAsia="lv-LV"/>
            </w:rPr>
            <w:id w:val="281316415"/>
            <w:placeholder>
              <w:docPart w:val="1192ED011A3E47CF9107AF04B1D159EE"/>
            </w:placeholder>
            <w:text/>
          </w:sdtPr>
          <w:sdtContent>
            <w:tc>
              <w:tcPr>
                <w:tcW w:w="318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Nacionālā elektronisko plašsaziņas līdzekļu padome</w:t>
                </w:r>
                <w:r w:rsidR="00BC04FC">
                  <w:rPr>
                    <w:rFonts w:ascii="Times New Roman" w:eastAsia="Times New Roman" w:hAnsi="Times New Roman" w:cs="Times New Roman"/>
                    <w:color w:val="000000" w:themeColor="text1"/>
                    <w:sz w:val="24"/>
                    <w:szCs w:val="24"/>
                    <w:lang w:eastAsia="lv-LV"/>
                  </w:rPr>
                  <w:t>.</w:t>
                </w:r>
                <w:r w:rsidRPr="008D25A9">
                  <w:rPr>
                    <w:rFonts w:ascii="Times New Roman" w:eastAsia="Times New Roman" w:hAnsi="Times New Roman" w:cs="Times New Roman"/>
                    <w:color w:val="000000" w:themeColor="text1"/>
                    <w:sz w:val="24"/>
                    <w:szCs w:val="24"/>
                    <w:lang w:eastAsia="lv-LV"/>
                  </w:rPr>
                  <w:t xml:space="preserve"> </w:t>
                </w:r>
              </w:p>
            </w:tc>
          </w:sdtContent>
        </w:sdt>
      </w:tr>
      <w:tr w:rsidR="001B2481" w:rsidRPr="008D25A9" w:rsidTr="00117D8E">
        <w:tc>
          <w:tcPr>
            <w:tcW w:w="252"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021208832"/>
            <w:placeholder>
              <w:docPart w:val="7401F8EB3F9542B99D127A1AC49F6543"/>
            </w:placeholder>
            <w:text/>
          </w:sdtPr>
          <w:sdtContent>
            <w:tc>
              <w:tcPr>
                <w:tcW w:w="3184"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Nav. </w:t>
                </w:r>
              </w:p>
            </w:tc>
          </w:sdtContent>
        </w:sdt>
      </w:tr>
    </w:tbl>
    <w:p w:rsidR="001B2481"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1B2481" w:rsidRPr="008D25A9" w:rsidTr="00117D8E">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1B2481" w:rsidRPr="008D25A9" w:rsidTr="00117D8E">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BC04FC" w:rsidP="00117D8E">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Likump</w:t>
            </w:r>
            <w:r w:rsidR="001B2481" w:rsidRPr="008D25A9">
              <w:rPr>
                <w:rFonts w:ascii="Times New Roman" w:eastAsia="Times New Roman" w:hAnsi="Times New Roman" w:cs="Times New Roman"/>
                <w:bCs/>
                <w:color w:val="000000" w:themeColor="text1"/>
                <w:sz w:val="24"/>
                <w:szCs w:val="24"/>
                <w:lang w:eastAsia="lv-LV"/>
              </w:rPr>
              <w:t>rojekts šo jomu neskar</w:t>
            </w:r>
            <w:r>
              <w:rPr>
                <w:rFonts w:ascii="Times New Roman" w:eastAsia="Times New Roman" w:hAnsi="Times New Roman" w:cs="Times New Roman"/>
                <w:bCs/>
                <w:color w:val="000000" w:themeColor="text1"/>
                <w:sz w:val="24"/>
                <w:szCs w:val="24"/>
                <w:lang w:eastAsia="lv-LV"/>
              </w:rPr>
              <w:t>.</w:t>
            </w:r>
          </w:p>
        </w:tc>
      </w:tr>
    </w:tbl>
    <w:p w:rsidR="001B2481"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763"/>
        <w:gridCol w:w="1273"/>
        <w:gridCol w:w="1439"/>
        <w:gridCol w:w="1168"/>
        <w:gridCol w:w="1438"/>
        <w:gridCol w:w="2130"/>
      </w:tblGrid>
      <w:tr w:rsidR="001B2481" w:rsidRPr="00122999" w:rsidTr="00117D8E">
        <w:trPr>
          <w:trHeight w:val="360"/>
          <w:tblCellSpacing w:w="15" w:type="dxa"/>
          <w:jc w:val="center"/>
        </w:trPr>
        <w:tc>
          <w:tcPr>
            <w:tcW w:w="4964" w:type="pct"/>
            <w:gridSpan w:val="6"/>
            <w:vAlign w:val="center"/>
            <w:hideMark/>
          </w:tcPr>
          <w:p w:rsidR="001B2481" w:rsidRPr="00122999" w:rsidRDefault="001B2481" w:rsidP="00117D8E">
            <w:pPr>
              <w:spacing w:before="100" w:beforeAutospacing="1" w:after="100" w:afterAutospacing="1"/>
              <w:jc w:val="center"/>
              <w:rPr>
                <w:rFonts w:ascii="Times New Roman" w:hAnsi="Times New Roman" w:cs="Times New Roman"/>
                <w:b/>
                <w:bCs/>
                <w:sz w:val="24"/>
                <w:szCs w:val="24"/>
              </w:rPr>
            </w:pPr>
            <w:r w:rsidRPr="00122999">
              <w:rPr>
                <w:rFonts w:ascii="Times New Roman" w:hAnsi="Times New Roman" w:cs="Times New Roman"/>
                <w:sz w:val="24"/>
                <w:szCs w:val="24"/>
              </w:rPr>
              <w:t> </w:t>
            </w:r>
            <w:r w:rsidRPr="00122999">
              <w:rPr>
                <w:rFonts w:ascii="Times New Roman" w:hAnsi="Times New Roman" w:cs="Times New Roman"/>
                <w:b/>
                <w:bCs/>
                <w:sz w:val="24"/>
                <w:szCs w:val="24"/>
              </w:rPr>
              <w:t>III. Tiesību akta projekta ietekme uz valsts budžetu un pašvaldību budžetiem</w:t>
            </w:r>
          </w:p>
        </w:tc>
      </w:tr>
      <w:tr w:rsidR="001B2481" w:rsidRPr="00122999" w:rsidTr="00117D8E">
        <w:trPr>
          <w:tblCellSpacing w:w="15" w:type="dxa"/>
          <w:jc w:val="center"/>
        </w:trPr>
        <w:tc>
          <w:tcPr>
            <w:tcW w:w="948" w:type="pct"/>
            <w:vMerge w:val="restart"/>
            <w:vAlign w:val="center"/>
            <w:hideMark/>
          </w:tcPr>
          <w:p w:rsidR="001B2481" w:rsidRPr="00122999" w:rsidRDefault="001B2481" w:rsidP="00117D8E">
            <w:pPr>
              <w:spacing w:before="100" w:beforeAutospacing="1" w:after="100" w:afterAutospacing="1"/>
              <w:jc w:val="center"/>
              <w:rPr>
                <w:rFonts w:ascii="Times New Roman" w:hAnsi="Times New Roman" w:cs="Times New Roman"/>
                <w:b/>
                <w:bCs/>
                <w:sz w:val="24"/>
                <w:szCs w:val="24"/>
              </w:rPr>
            </w:pPr>
            <w:r w:rsidRPr="00122999">
              <w:rPr>
                <w:rFonts w:ascii="Times New Roman" w:hAnsi="Times New Roman" w:cs="Times New Roman"/>
                <w:b/>
                <w:bCs/>
                <w:sz w:val="24"/>
                <w:szCs w:val="24"/>
              </w:rPr>
              <w:t>Rādītāji</w:t>
            </w:r>
          </w:p>
        </w:tc>
        <w:tc>
          <w:tcPr>
            <w:tcW w:w="1463" w:type="pct"/>
            <w:gridSpan w:val="2"/>
            <w:vMerge w:val="restart"/>
            <w:vAlign w:val="center"/>
            <w:hideMark/>
          </w:tcPr>
          <w:p w:rsidR="001B2481" w:rsidRPr="00122999" w:rsidRDefault="001B2481" w:rsidP="00117D8E">
            <w:pPr>
              <w:spacing w:before="100" w:beforeAutospacing="1" w:after="100" w:afterAutospacing="1"/>
              <w:jc w:val="center"/>
              <w:rPr>
                <w:rFonts w:ascii="Times New Roman" w:hAnsi="Times New Roman" w:cs="Times New Roman"/>
                <w:b/>
                <w:bCs/>
                <w:sz w:val="24"/>
                <w:szCs w:val="24"/>
              </w:rPr>
            </w:pPr>
            <w:r w:rsidRPr="00122999">
              <w:rPr>
                <w:rFonts w:ascii="Times New Roman" w:hAnsi="Times New Roman" w:cs="Times New Roman"/>
                <w:b/>
                <w:bCs/>
                <w:sz w:val="24"/>
                <w:szCs w:val="24"/>
              </w:rPr>
              <w:t>2017.gads</w:t>
            </w:r>
          </w:p>
        </w:tc>
        <w:tc>
          <w:tcPr>
            <w:tcW w:w="2516" w:type="pct"/>
            <w:gridSpan w:val="3"/>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Turpmākie trīs gadi (</w:t>
            </w:r>
            <w:r w:rsidRPr="00122999">
              <w:rPr>
                <w:rFonts w:ascii="Times New Roman" w:hAnsi="Times New Roman" w:cs="Times New Roman"/>
                <w:i/>
                <w:iCs/>
                <w:sz w:val="24"/>
                <w:szCs w:val="24"/>
              </w:rPr>
              <w:t>euro</w:t>
            </w:r>
            <w:r w:rsidRPr="00122999">
              <w:rPr>
                <w:rFonts w:ascii="Times New Roman" w:hAnsi="Times New Roman" w:cs="Times New Roman"/>
                <w:sz w:val="24"/>
                <w:szCs w:val="24"/>
              </w:rPr>
              <w:t>)</w:t>
            </w:r>
          </w:p>
        </w:tc>
      </w:tr>
      <w:tr w:rsidR="001B2481" w:rsidRPr="00122999" w:rsidTr="00117D8E">
        <w:trPr>
          <w:tblCellSpacing w:w="15" w:type="dxa"/>
          <w:jc w:val="center"/>
        </w:trPr>
        <w:tc>
          <w:tcPr>
            <w:tcW w:w="948" w:type="pct"/>
            <w:vMerge/>
            <w:vAlign w:val="center"/>
            <w:hideMark/>
          </w:tcPr>
          <w:p w:rsidR="001B2481" w:rsidRPr="00122999" w:rsidRDefault="001B2481" w:rsidP="00117D8E">
            <w:pPr>
              <w:rPr>
                <w:rFonts w:ascii="Times New Roman" w:hAnsi="Times New Roman" w:cs="Times New Roman"/>
                <w:b/>
                <w:bCs/>
                <w:sz w:val="24"/>
                <w:szCs w:val="24"/>
              </w:rPr>
            </w:pPr>
          </w:p>
        </w:tc>
        <w:tc>
          <w:tcPr>
            <w:tcW w:w="1463" w:type="pct"/>
            <w:gridSpan w:val="2"/>
            <w:vMerge/>
            <w:vAlign w:val="center"/>
            <w:hideMark/>
          </w:tcPr>
          <w:p w:rsidR="001B2481" w:rsidRPr="00122999" w:rsidRDefault="001B2481" w:rsidP="00117D8E">
            <w:pPr>
              <w:rPr>
                <w:rFonts w:ascii="Times New Roman" w:hAnsi="Times New Roman" w:cs="Times New Roman"/>
                <w:b/>
                <w:bCs/>
                <w:sz w:val="24"/>
                <w:szCs w:val="24"/>
              </w:rPr>
            </w:pPr>
          </w:p>
        </w:tc>
        <w:tc>
          <w:tcPr>
            <w:tcW w:w="627" w:type="pct"/>
            <w:vAlign w:val="center"/>
            <w:hideMark/>
          </w:tcPr>
          <w:p w:rsidR="001B2481" w:rsidRPr="00122999" w:rsidRDefault="001B2481" w:rsidP="00117D8E">
            <w:pPr>
              <w:jc w:val="center"/>
              <w:rPr>
                <w:rFonts w:ascii="Times New Roman" w:hAnsi="Times New Roman" w:cs="Times New Roman"/>
                <w:b/>
                <w:bCs/>
                <w:sz w:val="24"/>
                <w:szCs w:val="24"/>
              </w:rPr>
            </w:pPr>
            <w:r w:rsidRPr="00122999">
              <w:rPr>
                <w:rFonts w:ascii="Times New Roman" w:hAnsi="Times New Roman" w:cs="Times New Roman"/>
                <w:b/>
                <w:bCs/>
                <w:sz w:val="24"/>
                <w:szCs w:val="24"/>
              </w:rPr>
              <w:t>2018.</w:t>
            </w:r>
          </w:p>
        </w:tc>
        <w:tc>
          <w:tcPr>
            <w:tcW w:w="776" w:type="pct"/>
            <w:vAlign w:val="center"/>
            <w:hideMark/>
          </w:tcPr>
          <w:p w:rsidR="001B2481" w:rsidRPr="00122999" w:rsidRDefault="001B2481" w:rsidP="00117D8E">
            <w:pPr>
              <w:jc w:val="center"/>
              <w:rPr>
                <w:rFonts w:ascii="Times New Roman" w:hAnsi="Times New Roman" w:cs="Times New Roman"/>
                <w:b/>
                <w:bCs/>
                <w:sz w:val="24"/>
                <w:szCs w:val="24"/>
              </w:rPr>
            </w:pPr>
            <w:r w:rsidRPr="00122999">
              <w:rPr>
                <w:rFonts w:ascii="Times New Roman" w:hAnsi="Times New Roman" w:cs="Times New Roman"/>
                <w:b/>
                <w:bCs/>
                <w:sz w:val="24"/>
                <w:szCs w:val="24"/>
              </w:rPr>
              <w:t>2019.</w:t>
            </w:r>
          </w:p>
        </w:tc>
        <w:tc>
          <w:tcPr>
            <w:tcW w:w="1078" w:type="pct"/>
            <w:vAlign w:val="center"/>
            <w:hideMark/>
          </w:tcPr>
          <w:p w:rsidR="001B2481" w:rsidRPr="00122999" w:rsidRDefault="001B2481" w:rsidP="00117D8E">
            <w:pPr>
              <w:jc w:val="center"/>
              <w:rPr>
                <w:rFonts w:ascii="Times New Roman" w:hAnsi="Times New Roman" w:cs="Times New Roman"/>
                <w:b/>
                <w:bCs/>
                <w:sz w:val="24"/>
                <w:szCs w:val="24"/>
              </w:rPr>
            </w:pPr>
            <w:r w:rsidRPr="00122999">
              <w:rPr>
                <w:rFonts w:ascii="Times New Roman" w:hAnsi="Times New Roman" w:cs="Times New Roman"/>
                <w:b/>
                <w:bCs/>
                <w:sz w:val="24"/>
                <w:szCs w:val="24"/>
              </w:rPr>
              <w:t>2020.</w:t>
            </w:r>
          </w:p>
        </w:tc>
      </w:tr>
      <w:tr w:rsidR="001B2481" w:rsidRPr="00122999" w:rsidTr="00117D8E">
        <w:trPr>
          <w:tblCellSpacing w:w="15" w:type="dxa"/>
          <w:jc w:val="center"/>
        </w:trPr>
        <w:tc>
          <w:tcPr>
            <w:tcW w:w="948" w:type="pct"/>
            <w:vMerge/>
            <w:vAlign w:val="center"/>
            <w:hideMark/>
          </w:tcPr>
          <w:p w:rsidR="001B2481" w:rsidRPr="00122999" w:rsidRDefault="001B2481" w:rsidP="00117D8E">
            <w:pPr>
              <w:rPr>
                <w:rFonts w:ascii="Times New Roman" w:hAnsi="Times New Roman" w:cs="Times New Roman"/>
                <w:b/>
                <w:bCs/>
                <w:sz w:val="24"/>
                <w:szCs w:val="24"/>
              </w:rPr>
            </w:pPr>
          </w:p>
        </w:tc>
        <w:tc>
          <w:tcPr>
            <w:tcW w:w="686"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saskaņā ar valsts budžetu kārtējam gadam</w:t>
            </w:r>
          </w:p>
        </w:tc>
        <w:tc>
          <w:tcPr>
            <w:tcW w:w="759"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kārtējā gadā, salīdzinot ar valsts budžetu kārtējam gadam</w:t>
            </w:r>
          </w:p>
        </w:tc>
        <w:tc>
          <w:tcPr>
            <w:tcW w:w="627"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salīdzinot ar kārtējo (2017) gadu</w:t>
            </w:r>
          </w:p>
        </w:tc>
        <w:tc>
          <w:tcPr>
            <w:tcW w:w="776"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salīdzinot ar kārtējo (2017) gadu</w:t>
            </w:r>
          </w:p>
        </w:tc>
        <w:tc>
          <w:tcPr>
            <w:tcW w:w="1078"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izmaiņas, salīdzinot ar kārtējo (2017) gadu</w:t>
            </w:r>
          </w:p>
        </w:tc>
      </w:tr>
      <w:tr w:rsidR="001B2481" w:rsidRPr="00122999" w:rsidTr="00117D8E">
        <w:trPr>
          <w:tblCellSpacing w:w="15" w:type="dxa"/>
          <w:jc w:val="center"/>
        </w:trPr>
        <w:tc>
          <w:tcPr>
            <w:tcW w:w="948"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1</w:t>
            </w:r>
          </w:p>
        </w:tc>
        <w:tc>
          <w:tcPr>
            <w:tcW w:w="686"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2</w:t>
            </w:r>
          </w:p>
        </w:tc>
        <w:tc>
          <w:tcPr>
            <w:tcW w:w="759"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3</w:t>
            </w:r>
          </w:p>
        </w:tc>
        <w:tc>
          <w:tcPr>
            <w:tcW w:w="627"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4</w:t>
            </w:r>
          </w:p>
        </w:tc>
        <w:tc>
          <w:tcPr>
            <w:tcW w:w="776"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5</w:t>
            </w:r>
          </w:p>
        </w:tc>
        <w:tc>
          <w:tcPr>
            <w:tcW w:w="1078" w:type="pct"/>
            <w:vAlign w:val="center"/>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6</w:t>
            </w:r>
          </w:p>
        </w:tc>
      </w:tr>
      <w:tr w:rsidR="001B2481" w:rsidRPr="00122999" w:rsidTr="00D17433">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1. Budžeta ieņēmumi:</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13 000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78 585</w:t>
            </w:r>
          </w:p>
        </w:tc>
        <w:tc>
          <w:tcPr>
            <w:tcW w:w="776" w:type="pct"/>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c>
          <w:tcPr>
            <w:tcW w:w="1078" w:type="pct"/>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r>
      <w:tr w:rsidR="001B2481" w:rsidRPr="00122999" w:rsidTr="00D17433">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1.1. valsts pamatbudžets, tai skaitā ieņēmumi no maksas pakalpojumiem un citi pašu ieņēmumi</w:t>
            </w:r>
          </w:p>
        </w:tc>
        <w:tc>
          <w:tcPr>
            <w:tcW w:w="686" w:type="pct"/>
            <w:hideMark/>
          </w:tcPr>
          <w:p w:rsidR="001B2481" w:rsidRPr="00122999" w:rsidRDefault="001B2481" w:rsidP="00117D8E">
            <w:pPr>
              <w:jc w:val="center"/>
              <w:rPr>
                <w:rFonts w:ascii="Times New Roman" w:hAnsi="Times New Roman" w:cs="Times New Roman"/>
                <w:b/>
                <w:sz w:val="24"/>
                <w:szCs w:val="24"/>
              </w:rPr>
            </w:pPr>
            <w:r w:rsidRPr="00122999">
              <w:rPr>
                <w:rFonts w:ascii="Times New Roman" w:hAnsi="Times New Roman" w:cs="Times New Roman"/>
                <w:sz w:val="24"/>
                <w:szCs w:val="24"/>
              </w:rPr>
              <w:t>13 000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78 585</w:t>
            </w:r>
          </w:p>
        </w:tc>
        <w:tc>
          <w:tcPr>
            <w:tcW w:w="776" w:type="pct"/>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c>
          <w:tcPr>
            <w:tcW w:w="1078" w:type="pct"/>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1.2. valsts speciālais 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1.3. pašvaldību 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2. Budžeta izdevumi:</w:t>
            </w:r>
          </w:p>
        </w:tc>
        <w:tc>
          <w:tcPr>
            <w:tcW w:w="686"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13 00</w:t>
            </w:r>
            <w:r w:rsidR="001B2481" w:rsidRPr="00122999">
              <w:rPr>
                <w:rFonts w:ascii="Times New Roman" w:hAnsi="Times New Roman" w:cs="Times New Roman"/>
                <w:sz w:val="24"/>
                <w:szCs w:val="24"/>
              </w:rPr>
              <w:t>0</w:t>
            </w:r>
          </w:p>
        </w:tc>
        <w:tc>
          <w:tcPr>
            <w:tcW w:w="759" w:type="pct"/>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78 585</w:t>
            </w:r>
          </w:p>
        </w:tc>
        <w:tc>
          <w:tcPr>
            <w:tcW w:w="776"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c>
          <w:tcPr>
            <w:tcW w:w="1078"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lastRenderedPageBreak/>
              <w:t>2.1. valsts pamatbudžets</w:t>
            </w:r>
          </w:p>
        </w:tc>
        <w:tc>
          <w:tcPr>
            <w:tcW w:w="686"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13 00</w:t>
            </w:r>
            <w:r w:rsidR="001B2481" w:rsidRPr="00122999">
              <w:rPr>
                <w:rFonts w:ascii="Times New Roman" w:hAnsi="Times New Roman" w:cs="Times New Roman"/>
                <w:sz w:val="24"/>
                <w:szCs w:val="24"/>
              </w:rPr>
              <w:t>0</w:t>
            </w:r>
          </w:p>
        </w:tc>
        <w:tc>
          <w:tcPr>
            <w:tcW w:w="759" w:type="pct"/>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5026D4" w:rsidP="005026D4">
            <w:pPr>
              <w:jc w:val="center"/>
              <w:rPr>
                <w:rFonts w:ascii="Times New Roman" w:hAnsi="Times New Roman" w:cs="Times New Roman"/>
                <w:sz w:val="24"/>
                <w:szCs w:val="24"/>
              </w:rPr>
            </w:pPr>
            <w:r>
              <w:rPr>
                <w:rFonts w:ascii="Times New Roman" w:hAnsi="Times New Roman" w:cs="Times New Roman"/>
                <w:sz w:val="24"/>
                <w:szCs w:val="24"/>
              </w:rPr>
              <w:t>78</w:t>
            </w:r>
            <w:r w:rsidR="00672D0E">
              <w:rPr>
                <w:rFonts w:ascii="Times New Roman" w:hAnsi="Times New Roman" w:cs="Times New Roman"/>
                <w:sz w:val="24"/>
                <w:szCs w:val="24"/>
              </w:rPr>
              <w:t xml:space="preserve"> </w:t>
            </w:r>
            <w:r>
              <w:rPr>
                <w:rFonts w:ascii="Times New Roman" w:hAnsi="Times New Roman" w:cs="Times New Roman"/>
                <w:sz w:val="24"/>
                <w:szCs w:val="24"/>
              </w:rPr>
              <w:t>5</w:t>
            </w:r>
            <w:r w:rsidR="00672D0E">
              <w:rPr>
                <w:rFonts w:ascii="Times New Roman" w:hAnsi="Times New Roman" w:cs="Times New Roman"/>
                <w:sz w:val="24"/>
                <w:szCs w:val="24"/>
              </w:rPr>
              <w:t>85</w:t>
            </w:r>
          </w:p>
        </w:tc>
        <w:tc>
          <w:tcPr>
            <w:tcW w:w="776"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c>
          <w:tcPr>
            <w:tcW w:w="1078"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98 085</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2.2. valsts speciālais 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2.3. pašvaldību 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3. Finansiālā ietekme:</w:t>
            </w:r>
          </w:p>
        </w:tc>
        <w:tc>
          <w:tcPr>
            <w:tcW w:w="686" w:type="pct"/>
            <w:vAlign w:val="center"/>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0</w:t>
            </w:r>
          </w:p>
        </w:tc>
        <w:tc>
          <w:tcPr>
            <w:tcW w:w="776"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0</w:t>
            </w:r>
          </w:p>
        </w:tc>
        <w:tc>
          <w:tcPr>
            <w:tcW w:w="1078" w:type="pct"/>
            <w:hideMark/>
          </w:tcPr>
          <w:p w:rsidR="001B2481" w:rsidRPr="00122999" w:rsidRDefault="00672D0E" w:rsidP="00117D8E">
            <w:pPr>
              <w:jc w:val="center"/>
              <w:rPr>
                <w:rFonts w:ascii="Times New Roman" w:hAnsi="Times New Roman" w:cs="Times New Roman"/>
                <w:sz w:val="24"/>
                <w:szCs w:val="24"/>
              </w:rPr>
            </w:pPr>
            <w:r>
              <w:rPr>
                <w:rFonts w:ascii="Times New Roman" w:hAnsi="Times New Roman" w:cs="Times New Roman"/>
                <w:sz w:val="24"/>
                <w:szCs w:val="24"/>
              </w:rPr>
              <w:t>0</w:t>
            </w:r>
          </w:p>
        </w:tc>
      </w:tr>
      <w:tr w:rsidR="001B2481" w:rsidRPr="00122999" w:rsidTr="00D17433">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3.1. valsts pamatbudžets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tcPr>
          <w:p w:rsidR="001B2481" w:rsidRPr="00122999" w:rsidRDefault="00672D0E" w:rsidP="00D17433">
            <w:pPr>
              <w:jc w:val="center"/>
              <w:rPr>
                <w:rFonts w:ascii="Times New Roman" w:hAnsi="Times New Roman" w:cs="Times New Roman"/>
                <w:sz w:val="24"/>
                <w:szCs w:val="24"/>
              </w:rPr>
            </w:pPr>
            <w:r>
              <w:rPr>
                <w:rFonts w:ascii="Times New Roman" w:hAnsi="Times New Roman" w:cs="Times New Roman"/>
                <w:sz w:val="24"/>
                <w:szCs w:val="24"/>
              </w:rPr>
              <w:t>0</w:t>
            </w:r>
          </w:p>
        </w:tc>
        <w:tc>
          <w:tcPr>
            <w:tcW w:w="776" w:type="pct"/>
          </w:tcPr>
          <w:p w:rsidR="001B2481" w:rsidRPr="00122999" w:rsidRDefault="00672D0E">
            <w:pPr>
              <w:jc w:val="center"/>
              <w:rPr>
                <w:rFonts w:ascii="Times New Roman" w:hAnsi="Times New Roman" w:cs="Times New Roman"/>
                <w:sz w:val="24"/>
                <w:szCs w:val="24"/>
              </w:rPr>
            </w:pPr>
            <w:r>
              <w:rPr>
                <w:rFonts w:ascii="Times New Roman" w:hAnsi="Times New Roman" w:cs="Times New Roman"/>
                <w:sz w:val="24"/>
                <w:szCs w:val="24"/>
              </w:rPr>
              <w:t>0</w:t>
            </w:r>
          </w:p>
        </w:tc>
        <w:tc>
          <w:tcPr>
            <w:tcW w:w="1078" w:type="pct"/>
          </w:tcPr>
          <w:p w:rsidR="001B2481" w:rsidRPr="00122999" w:rsidRDefault="00672D0E">
            <w:pPr>
              <w:jc w:val="center"/>
              <w:rPr>
                <w:rFonts w:ascii="Times New Roman" w:hAnsi="Times New Roman" w:cs="Times New Roman"/>
                <w:sz w:val="24"/>
                <w:szCs w:val="24"/>
              </w:rPr>
            </w:pPr>
            <w:r>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3.2. speciālais 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3.3. pašvaldību budžets</w:t>
            </w:r>
          </w:p>
        </w:tc>
        <w:tc>
          <w:tcPr>
            <w:tcW w:w="68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vMerge w:val="restar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4. Finanšu līdzekļi papildu izdevumu finansēšanai (kompensējošu izdevumu samazinājumu norāda ar "+" zīmi)</w:t>
            </w:r>
          </w:p>
        </w:tc>
        <w:tc>
          <w:tcPr>
            <w:tcW w:w="686" w:type="pct"/>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X</w:t>
            </w: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vMerge/>
            <w:vAlign w:val="center"/>
            <w:hideMark/>
          </w:tcPr>
          <w:p w:rsidR="001B2481" w:rsidRPr="00122999" w:rsidRDefault="001B2481" w:rsidP="00117D8E">
            <w:pPr>
              <w:rPr>
                <w:rFonts w:ascii="Times New Roman" w:hAnsi="Times New Roman" w:cs="Times New Roman"/>
                <w:sz w:val="24"/>
                <w:szCs w:val="24"/>
              </w:rPr>
            </w:pPr>
          </w:p>
        </w:tc>
        <w:tc>
          <w:tcPr>
            <w:tcW w:w="686" w:type="pct"/>
            <w:vAlign w:val="center"/>
            <w:hideMark/>
          </w:tcPr>
          <w:p w:rsidR="001B2481" w:rsidRPr="00122999" w:rsidRDefault="001B2481" w:rsidP="00117D8E">
            <w:pPr>
              <w:jc w:val="center"/>
              <w:rPr>
                <w:rFonts w:ascii="Times New Roman" w:hAnsi="Times New Roman" w:cs="Times New Roman"/>
                <w:sz w:val="24"/>
                <w:szCs w:val="24"/>
              </w:rPr>
            </w:pPr>
          </w:p>
        </w:tc>
        <w:tc>
          <w:tcPr>
            <w:tcW w:w="759" w:type="pct"/>
            <w:hideMark/>
          </w:tcPr>
          <w:p w:rsidR="001B2481" w:rsidRPr="00122999" w:rsidRDefault="001B2481" w:rsidP="00117D8E">
            <w:pPr>
              <w:ind w:left="-50"/>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5. Precizēta finansiālā ietekme:</w:t>
            </w:r>
          </w:p>
        </w:tc>
        <w:tc>
          <w:tcPr>
            <w:tcW w:w="686" w:type="pct"/>
            <w:hideMark/>
          </w:tcPr>
          <w:p w:rsidR="001B2481" w:rsidRPr="00122999" w:rsidRDefault="001B2481" w:rsidP="00117D8E">
            <w:pPr>
              <w:spacing w:before="100" w:beforeAutospacing="1" w:after="100" w:afterAutospacing="1"/>
              <w:jc w:val="center"/>
              <w:rPr>
                <w:rFonts w:ascii="Times New Roman" w:hAnsi="Times New Roman" w:cs="Times New Roman"/>
                <w:sz w:val="24"/>
                <w:szCs w:val="24"/>
              </w:rPr>
            </w:pPr>
            <w:r w:rsidRPr="00122999">
              <w:rPr>
                <w:rFonts w:ascii="Times New Roman" w:hAnsi="Times New Roman" w:cs="Times New Roman"/>
                <w:sz w:val="24"/>
                <w:szCs w:val="24"/>
              </w:rPr>
              <w:t>X</w:t>
            </w:r>
          </w:p>
        </w:tc>
        <w:tc>
          <w:tcPr>
            <w:tcW w:w="759" w:type="pct"/>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5.1. valsts pamatbudžets</w:t>
            </w:r>
          </w:p>
        </w:tc>
        <w:tc>
          <w:tcPr>
            <w:tcW w:w="686" w:type="pct"/>
            <w:vMerge w:val="restart"/>
            <w:vAlign w:val="center"/>
            <w:hideMark/>
          </w:tcPr>
          <w:p w:rsidR="001B2481" w:rsidRPr="00122999" w:rsidRDefault="001B2481" w:rsidP="00117D8E">
            <w:pPr>
              <w:jc w:val="center"/>
              <w:rPr>
                <w:rFonts w:ascii="Times New Roman" w:hAnsi="Times New Roman" w:cs="Times New Roman"/>
                <w:sz w:val="24"/>
                <w:szCs w:val="24"/>
              </w:rPr>
            </w:pPr>
          </w:p>
        </w:tc>
        <w:tc>
          <w:tcPr>
            <w:tcW w:w="759" w:type="pct"/>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5.2. speciālais budžets</w:t>
            </w:r>
          </w:p>
        </w:tc>
        <w:tc>
          <w:tcPr>
            <w:tcW w:w="686" w:type="pct"/>
            <w:vMerge/>
            <w:vAlign w:val="center"/>
            <w:hideMark/>
          </w:tcPr>
          <w:p w:rsidR="001B2481" w:rsidRPr="00122999" w:rsidRDefault="001B2481" w:rsidP="00117D8E">
            <w:pPr>
              <w:jc w:val="center"/>
              <w:rPr>
                <w:rFonts w:ascii="Times New Roman" w:hAnsi="Times New Roman" w:cs="Times New Roman"/>
                <w:sz w:val="24"/>
                <w:szCs w:val="24"/>
              </w:rPr>
            </w:pP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5.3. pašvaldību budžets</w:t>
            </w:r>
          </w:p>
        </w:tc>
        <w:tc>
          <w:tcPr>
            <w:tcW w:w="686" w:type="pct"/>
            <w:vMerge/>
            <w:vAlign w:val="center"/>
            <w:hideMark/>
          </w:tcPr>
          <w:p w:rsidR="001B2481" w:rsidRPr="00122999" w:rsidRDefault="001B2481" w:rsidP="00117D8E">
            <w:pPr>
              <w:jc w:val="center"/>
              <w:rPr>
                <w:rFonts w:ascii="Times New Roman" w:hAnsi="Times New Roman" w:cs="Times New Roman"/>
                <w:sz w:val="24"/>
                <w:szCs w:val="24"/>
              </w:rPr>
            </w:pPr>
          </w:p>
        </w:tc>
        <w:tc>
          <w:tcPr>
            <w:tcW w:w="759"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627"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776"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c>
          <w:tcPr>
            <w:tcW w:w="1078" w:type="pct"/>
            <w:hideMark/>
          </w:tcPr>
          <w:p w:rsidR="001B2481" w:rsidRPr="00122999" w:rsidRDefault="001B2481" w:rsidP="00117D8E">
            <w:pPr>
              <w:jc w:val="center"/>
              <w:rPr>
                <w:rFonts w:ascii="Times New Roman" w:hAnsi="Times New Roman" w:cs="Times New Roman"/>
                <w:sz w:val="24"/>
                <w:szCs w:val="24"/>
              </w:rPr>
            </w:pPr>
            <w:r w:rsidRPr="00122999">
              <w:rPr>
                <w:rFonts w:ascii="Times New Roman" w:hAnsi="Times New Roman" w:cs="Times New Roman"/>
                <w:sz w:val="24"/>
                <w:szCs w:val="24"/>
              </w:rPr>
              <w:t>0</w:t>
            </w:r>
          </w:p>
        </w:tc>
      </w:tr>
      <w:tr w:rsidR="001B2481" w:rsidRPr="00122999" w:rsidTr="00BC04FC">
        <w:trPr>
          <w:trHeight w:val="507"/>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 xml:space="preserve">6. Detalizēts ieņēmumu un izdevumu </w:t>
            </w:r>
            <w:r w:rsidRPr="00122999">
              <w:rPr>
                <w:rFonts w:ascii="Times New Roman" w:hAnsi="Times New Roman" w:cs="Times New Roman"/>
                <w:sz w:val="24"/>
                <w:szCs w:val="24"/>
              </w:rPr>
              <w:lastRenderedPageBreak/>
              <w:t>aprēķins (ja nepieciešams, detalizētu ieņēmumu un izdevumu aprēķinu var pievienot anotācijas pielikumā):</w:t>
            </w:r>
          </w:p>
        </w:tc>
        <w:tc>
          <w:tcPr>
            <w:tcW w:w="3998" w:type="pct"/>
            <w:gridSpan w:val="5"/>
            <w:hideMark/>
          </w:tcPr>
          <w:p w:rsidR="001B2481" w:rsidRPr="00122999" w:rsidRDefault="001B2481" w:rsidP="00117D8E">
            <w:pPr>
              <w:ind w:firstLine="581"/>
              <w:jc w:val="both"/>
              <w:rPr>
                <w:rFonts w:ascii="Times New Roman" w:hAnsi="Times New Roman" w:cs="Times New Roman"/>
                <w:sz w:val="24"/>
                <w:szCs w:val="24"/>
              </w:rPr>
            </w:pPr>
          </w:p>
        </w:tc>
      </w:tr>
      <w:tr w:rsidR="001B2481" w:rsidRPr="008B0344" w:rsidTr="00117D8E">
        <w:trPr>
          <w:tblCellSpacing w:w="15" w:type="dxa"/>
          <w:jc w:val="center"/>
        </w:trPr>
        <w:tc>
          <w:tcPr>
            <w:tcW w:w="948" w:type="pct"/>
            <w:hideMark/>
          </w:tcPr>
          <w:p w:rsidR="001B2481" w:rsidRPr="00122999" w:rsidRDefault="001B2481" w:rsidP="00117D8E">
            <w:pPr>
              <w:spacing w:line="240" w:lineRule="auto"/>
              <w:rPr>
                <w:rFonts w:ascii="Times New Roman" w:hAnsi="Times New Roman" w:cs="Times New Roman"/>
                <w:sz w:val="24"/>
                <w:szCs w:val="24"/>
              </w:rPr>
            </w:pPr>
            <w:r w:rsidRPr="00122999">
              <w:rPr>
                <w:rFonts w:ascii="Times New Roman" w:hAnsi="Times New Roman" w:cs="Times New Roman"/>
                <w:sz w:val="24"/>
                <w:szCs w:val="24"/>
              </w:rPr>
              <w:lastRenderedPageBreak/>
              <w:t>6.1. detalizēts ieņēmumu aprēķins</w:t>
            </w:r>
          </w:p>
        </w:tc>
        <w:tc>
          <w:tcPr>
            <w:tcW w:w="3998" w:type="pct"/>
            <w:gridSpan w:val="5"/>
            <w:vAlign w:val="center"/>
            <w:hideMark/>
          </w:tcPr>
          <w:p w:rsidR="001B2481" w:rsidRPr="00122999" w:rsidRDefault="00680F3C" w:rsidP="00BC04FC">
            <w:pPr>
              <w:spacing w:line="240" w:lineRule="auto"/>
              <w:jc w:val="both"/>
              <w:rPr>
                <w:rFonts w:ascii="Times New Roman" w:hAnsi="Times New Roman" w:cs="Times New Roman"/>
                <w:sz w:val="24"/>
                <w:szCs w:val="24"/>
              </w:rPr>
            </w:pPr>
            <w:r>
              <w:rPr>
                <w:rFonts w:ascii="Times New Roman" w:hAnsi="Times New Roman" w:cs="Times New Roman"/>
                <w:sz w:val="24"/>
                <w:szCs w:val="24"/>
              </w:rPr>
              <w:t>Š</w:t>
            </w:r>
            <w:r w:rsidR="001B2481" w:rsidRPr="00122999">
              <w:rPr>
                <w:rFonts w:ascii="Times New Roman" w:hAnsi="Times New Roman" w:cs="Times New Roman"/>
                <w:sz w:val="24"/>
                <w:szCs w:val="24"/>
              </w:rPr>
              <w:t xml:space="preserve">obrīd Latvijas jurisdikcijā ir </w:t>
            </w:r>
            <w:r w:rsidR="001B2481">
              <w:rPr>
                <w:rFonts w:ascii="Times New Roman" w:hAnsi="Times New Roman" w:cs="Times New Roman"/>
                <w:sz w:val="24"/>
                <w:szCs w:val="24"/>
              </w:rPr>
              <w:t>21</w:t>
            </w:r>
            <w:r w:rsidR="001B2481" w:rsidRPr="00122999">
              <w:rPr>
                <w:rFonts w:ascii="Times New Roman" w:hAnsi="Times New Roman" w:cs="Times New Roman"/>
                <w:sz w:val="24"/>
                <w:szCs w:val="24"/>
              </w:rPr>
              <w:t xml:space="preserve"> pārrobežu programmas</w:t>
            </w:r>
            <w:r w:rsidR="00BC04FC">
              <w:rPr>
                <w:rFonts w:ascii="Times New Roman" w:hAnsi="Times New Roman" w:cs="Times New Roman"/>
                <w:sz w:val="24"/>
                <w:szCs w:val="24"/>
              </w:rPr>
              <w:t xml:space="preserve"> un 4 </w:t>
            </w:r>
            <w:r w:rsidR="001B2481">
              <w:rPr>
                <w:rFonts w:ascii="Times New Roman" w:hAnsi="Times New Roman" w:cs="Times New Roman"/>
                <w:sz w:val="24"/>
                <w:szCs w:val="24"/>
              </w:rPr>
              <w:t>nacionālo EPL programmas</w:t>
            </w:r>
            <w:r w:rsidR="001B2481" w:rsidRPr="00122999">
              <w:rPr>
                <w:rFonts w:ascii="Times New Roman" w:hAnsi="Times New Roman" w:cs="Times New Roman"/>
                <w:sz w:val="24"/>
                <w:szCs w:val="24"/>
              </w:rPr>
              <w:t>,</w:t>
            </w:r>
            <w:r>
              <w:rPr>
                <w:rFonts w:ascii="Times New Roman" w:hAnsi="Times New Roman" w:cs="Times New Roman"/>
                <w:sz w:val="24"/>
                <w:szCs w:val="24"/>
              </w:rPr>
              <w:t xml:space="preserve"> no kurām</w:t>
            </w:r>
            <w:r w:rsidR="001B2481">
              <w:rPr>
                <w:rFonts w:ascii="Times New Roman" w:hAnsi="Times New Roman" w:cs="Times New Roman"/>
                <w:sz w:val="24"/>
                <w:szCs w:val="24"/>
              </w:rPr>
              <w:t xml:space="preserve"> attiecīgi 13 EPL maksātu valsts nodevu pilnā apmērā un viens maksātu valsts nodevu 50 procentu apmērā.</w:t>
            </w:r>
            <w:r w:rsidR="001B2481" w:rsidRPr="00122999">
              <w:rPr>
                <w:rFonts w:ascii="Times New Roman" w:hAnsi="Times New Roman" w:cs="Times New Roman"/>
                <w:sz w:val="24"/>
                <w:szCs w:val="24"/>
              </w:rPr>
              <w:t xml:space="preserve"> </w:t>
            </w:r>
            <w:r w:rsidR="001B2481">
              <w:rPr>
                <w:rFonts w:ascii="Times New Roman" w:hAnsi="Times New Roman" w:cs="Times New Roman"/>
                <w:sz w:val="24"/>
                <w:szCs w:val="24"/>
              </w:rPr>
              <w:t>T</w:t>
            </w:r>
            <w:r w:rsidR="001B2481" w:rsidRPr="00122999">
              <w:rPr>
                <w:rFonts w:ascii="Times New Roman" w:hAnsi="Times New Roman" w:cs="Times New Roman"/>
                <w:sz w:val="24"/>
                <w:szCs w:val="24"/>
              </w:rPr>
              <w:t xml:space="preserve">ādējādi </w:t>
            </w:r>
            <w:r w:rsidR="001B2481">
              <w:rPr>
                <w:rFonts w:ascii="Times New Roman" w:hAnsi="Times New Roman" w:cs="Times New Roman"/>
                <w:sz w:val="24"/>
                <w:szCs w:val="24"/>
              </w:rPr>
              <w:t>ieņēmumi</w:t>
            </w:r>
            <w:r w:rsidR="001B2481" w:rsidRPr="00122999">
              <w:rPr>
                <w:rFonts w:ascii="Times New Roman" w:hAnsi="Times New Roman" w:cs="Times New Roman"/>
                <w:sz w:val="24"/>
                <w:szCs w:val="24"/>
              </w:rPr>
              <w:t xml:space="preserve"> valsts budžet</w:t>
            </w:r>
            <w:r w:rsidR="001B2481">
              <w:rPr>
                <w:rFonts w:ascii="Times New Roman" w:hAnsi="Times New Roman" w:cs="Times New Roman"/>
                <w:sz w:val="24"/>
                <w:szCs w:val="24"/>
              </w:rPr>
              <w:t xml:space="preserve">ā par uzraudzību </w:t>
            </w:r>
            <w:r w:rsidR="001B2481" w:rsidRPr="00DA4EE8">
              <w:rPr>
                <w:rFonts w:ascii="Times New Roman" w:hAnsi="Times New Roman" w:cs="Times New Roman"/>
                <w:sz w:val="24"/>
                <w:szCs w:val="24"/>
              </w:rPr>
              <w:t xml:space="preserve">veidotu </w:t>
            </w:r>
            <w:r w:rsidR="001B2481" w:rsidRPr="006E69FA">
              <w:rPr>
                <w:rFonts w:ascii="Times New Roman" w:hAnsi="Times New Roman" w:cs="Times New Roman"/>
                <w:b/>
                <w:sz w:val="24"/>
                <w:szCs w:val="24"/>
              </w:rPr>
              <w:t>76</w:t>
            </w:r>
            <w:r w:rsidR="001B2481" w:rsidRPr="0070354E">
              <w:rPr>
                <w:rFonts w:ascii="Times New Roman" w:hAnsi="Times New Roman" w:cs="Times New Roman"/>
                <w:b/>
                <w:sz w:val="24"/>
                <w:szCs w:val="24"/>
              </w:rPr>
              <w:t xml:space="preserve"> </w:t>
            </w:r>
            <w:r w:rsidR="001B2481" w:rsidRPr="006E69FA">
              <w:rPr>
                <w:rFonts w:ascii="Times New Roman" w:hAnsi="Times New Roman" w:cs="Times New Roman"/>
                <w:b/>
                <w:sz w:val="24"/>
                <w:szCs w:val="24"/>
              </w:rPr>
              <w:t>83</w:t>
            </w:r>
            <w:r w:rsidR="00672D0E">
              <w:rPr>
                <w:rFonts w:ascii="Times New Roman" w:hAnsi="Times New Roman" w:cs="Times New Roman"/>
                <w:b/>
                <w:sz w:val="24"/>
                <w:szCs w:val="24"/>
              </w:rPr>
              <w:t>5</w:t>
            </w:r>
            <w:r w:rsidR="001B2481" w:rsidRPr="00DA4EE8">
              <w:rPr>
                <w:rFonts w:ascii="Times New Roman" w:hAnsi="Times New Roman" w:cs="Times New Roman"/>
                <w:sz w:val="24"/>
                <w:szCs w:val="24"/>
              </w:rPr>
              <w:t xml:space="preserve"> </w:t>
            </w:r>
            <w:r w:rsidR="001B2481" w:rsidRPr="00DA4EE8">
              <w:rPr>
                <w:rFonts w:ascii="Times New Roman" w:hAnsi="Times New Roman" w:cs="Times New Roman"/>
                <w:i/>
                <w:sz w:val="24"/>
                <w:szCs w:val="24"/>
              </w:rPr>
              <w:t>euro</w:t>
            </w:r>
            <w:r w:rsidR="001B2481" w:rsidRPr="00DA4EE8">
              <w:rPr>
                <w:rFonts w:ascii="Times New Roman" w:hAnsi="Times New Roman" w:cs="Times New Roman"/>
                <w:sz w:val="24"/>
                <w:szCs w:val="24"/>
              </w:rPr>
              <w:t xml:space="preserve"> gadā</w:t>
            </w:r>
            <w:r w:rsidR="001B2481">
              <w:rPr>
                <w:rFonts w:ascii="Times New Roman" w:hAnsi="Times New Roman" w:cs="Times New Roman"/>
                <w:sz w:val="24"/>
                <w:szCs w:val="24"/>
              </w:rPr>
              <w:t>.</w:t>
            </w:r>
          </w:p>
          <w:p w:rsidR="00672D0E" w:rsidRDefault="00680F3C" w:rsidP="00672D0E">
            <w:p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1B2481" w:rsidRPr="00122999">
              <w:rPr>
                <w:rFonts w:ascii="Times New Roman" w:hAnsi="Times New Roman" w:cs="Times New Roman"/>
                <w:sz w:val="24"/>
                <w:szCs w:val="24"/>
              </w:rPr>
              <w:t xml:space="preserve">ada laikā tiek izskatīti aptuveni 50 iesniegumi par grozījumu izdarīšanu apraides atļaujās. </w:t>
            </w:r>
            <w:r w:rsidR="001B2481">
              <w:rPr>
                <w:rFonts w:ascii="Times New Roman" w:hAnsi="Times New Roman" w:cs="Times New Roman"/>
                <w:sz w:val="24"/>
                <w:szCs w:val="24"/>
              </w:rPr>
              <w:t xml:space="preserve">To reizinot ar 50 iesniegumiem gadā, tiek iegūti </w:t>
            </w:r>
            <w:r w:rsidR="001B2481" w:rsidRPr="0070354E">
              <w:rPr>
                <w:rFonts w:ascii="Times New Roman" w:hAnsi="Times New Roman" w:cs="Times New Roman"/>
                <w:b/>
                <w:sz w:val="24"/>
                <w:szCs w:val="24"/>
              </w:rPr>
              <w:t>1</w:t>
            </w:r>
            <w:r>
              <w:rPr>
                <w:rFonts w:ascii="Times New Roman" w:hAnsi="Times New Roman" w:cs="Times New Roman"/>
                <w:b/>
                <w:sz w:val="24"/>
                <w:szCs w:val="24"/>
              </w:rPr>
              <w:t> </w:t>
            </w:r>
            <w:r w:rsidR="001B2481">
              <w:rPr>
                <w:rFonts w:ascii="Times New Roman" w:hAnsi="Times New Roman" w:cs="Times New Roman"/>
                <w:b/>
                <w:sz w:val="24"/>
                <w:szCs w:val="24"/>
              </w:rPr>
              <w:t>7</w:t>
            </w:r>
            <w:r w:rsidR="001B2481" w:rsidRPr="0070354E">
              <w:rPr>
                <w:rFonts w:ascii="Times New Roman" w:hAnsi="Times New Roman" w:cs="Times New Roman"/>
                <w:b/>
                <w:sz w:val="24"/>
                <w:szCs w:val="24"/>
              </w:rPr>
              <w:t>50</w:t>
            </w:r>
            <w:r>
              <w:rPr>
                <w:rFonts w:ascii="Times New Roman" w:hAnsi="Times New Roman" w:cs="Times New Roman"/>
                <w:sz w:val="24"/>
                <w:szCs w:val="24"/>
              </w:rPr>
              <w:t> </w:t>
            </w:r>
            <w:r w:rsidR="001B2481" w:rsidRPr="00613572">
              <w:rPr>
                <w:rFonts w:ascii="Times New Roman" w:hAnsi="Times New Roman" w:cs="Times New Roman"/>
                <w:i/>
                <w:sz w:val="24"/>
                <w:szCs w:val="24"/>
              </w:rPr>
              <w:t>euro</w:t>
            </w:r>
            <w:r w:rsidR="001B2481">
              <w:rPr>
                <w:rFonts w:ascii="Times New Roman" w:hAnsi="Times New Roman" w:cs="Times New Roman"/>
                <w:sz w:val="24"/>
                <w:szCs w:val="24"/>
              </w:rPr>
              <w:t xml:space="preserve"> gadā.</w:t>
            </w:r>
            <w:r w:rsidR="00672D0E">
              <w:rPr>
                <w:rFonts w:ascii="Times New Roman" w:hAnsi="Times New Roman" w:cs="Times New Roman"/>
                <w:sz w:val="24"/>
                <w:szCs w:val="24"/>
              </w:rPr>
              <w:t xml:space="preserve"> </w:t>
            </w:r>
          </w:p>
          <w:p w:rsidR="001B2481" w:rsidRPr="00122999" w:rsidRDefault="00672D0E" w:rsidP="00331731">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122999">
              <w:rPr>
                <w:rFonts w:ascii="Times New Roman" w:hAnsi="Times New Roman" w:cs="Times New Roman"/>
                <w:sz w:val="24"/>
                <w:szCs w:val="24"/>
              </w:rPr>
              <w:t xml:space="preserve">idēji (programmu skaits katram kabeļoperatoram ir svārstīgs, tāpēc ņemam aptuveno skaitu) varētu būt 50 programmas no kabeļoperatora (Latvijā ir 39 kabeļoperatori), kas veidotu </w:t>
            </w:r>
            <w:r w:rsidRPr="0070354E">
              <w:rPr>
                <w:rFonts w:ascii="Times New Roman" w:hAnsi="Times New Roman" w:cs="Times New Roman"/>
                <w:b/>
                <w:sz w:val="24"/>
                <w:szCs w:val="24"/>
              </w:rPr>
              <w:t>19 500</w:t>
            </w:r>
            <w:r>
              <w:rPr>
                <w:rFonts w:ascii="Times New Roman" w:hAnsi="Times New Roman" w:cs="Times New Roman"/>
                <w:sz w:val="24"/>
                <w:szCs w:val="24"/>
              </w:rPr>
              <w:t xml:space="preserve"> </w:t>
            </w:r>
            <w:r w:rsidRPr="00613572">
              <w:rPr>
                <w:rFonts w:ascii="Times New Roman" w:hAnsi="Times New Roman" w:cs="Times New Roman"/>
                <w:i/>
                <w:sz w:val="24"/>
                <w:szCs w:val="24"/>
              </w:rPr>
              <w:t>euro</w:t>
            </w:r>
            <w:r>
              <w:rPr>
                <w:rFonts w:ascii="Times New Roman" w:hAnsi="Times New Roman" w:cs="Times New Roman"/>
                <w:sz w:val="24"/>
                <w:szCs w:val="24"/>
              </w:rPr>
              <w:t xml:space="preserve"> gadā no 2019.gada. Šis aprēķins ietver arī paredzētos izņēmumus, jo parasti kabeļoperatoriem ir vairāk nekā tikai 50 izplatāmo programmu.</w:t>
            </w:r>
          </w:p>
        </w:tc>
      </w:tr>
      <w:tr w:rsidR="001B2481" w:rsidRPr="008B0344" w:rsidTr="00117D8E">
        <w:trPr>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t xml:space="preserve">6.2. detalizēts </w:t>
            </w:r>
            <w:r>
              <w:rPr>
                <w:rFonts w:ascii="Times New Roman" w:hAnsi="Times New Roman" w:cs="Times New Roman"/>
                <w:sz w:val="24"/>
                <w:szCs w:val="24"/>
              </w:rPr>
              <w:t>i</w:t>
            </w:r>
            <w:r w:rsidRPr="00122999">
              <w:rPr>
                <w:rFonts w:ascii="Times New Roman" w:hAnsi="Times New Roman" w:cs="Times New Roman"/>
                <w:sz w:val="24"/>
                <w:szCs w:val="24"/>
              </w:rPr>
              <w:t>zdevumu aprēķins</w:t>
            </w:r>
          </w:p>
        </w:tc>
        <w:tc>
          <w:tcPr>
            <w:tcW w:w="3998" w:type="pct"/>
            <w:gridSpan w:val="5"/>
            <w:vAlign w:val="center"/>
            <w:hideMark/>
          </w:tcPr>
          <w:p w:rsidR="001B2481" w:rsidRDefault="001B2481" w:rsidP="00BC04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NEPLP 2013.gadā ir izsniegusi vienu pārrobežu apraides atļauju, 2014.gadā – piecas pārrobežu apraides atļaujas, 2015.gadā – sešas pārrobežu apraides atļaujas, 2016.gadā – trīs pārrobežu apraides atļaujas, savukārt 2017.gada pirmajā pusgadā NEPLP ir saņēmusi septiņus iesniegumus pārrobežu apraides atļauju saņemšanai, kam pastarpināti tiek apstrādāti arī tādi privātpersonu iesniegumi, kuros tiek vaicāta kārtība un iesniedzamie dokumenti, lai saņemtu pārrobežu apraides atļaujas. </w:t>
            </w:r>
          </w:p>
          <w:p w:rsidR="001B2481" w:rsidRDefault="001B2481" w:rsidP="00BC04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2016.gada nogalē NEPLP ir izveidojusi un uztur elektronisko plašsaziņas līdzekļu, kuri retranslē audio un audiovizuālās programmas, elektronisko reģistrācijas sistēmu, kas sastāv no divām daļām – no elektroniskajiem plašsaziņas līdzekļiem, kuri retranslē audio un audiovizuālās programmas, reģistra un no Latvijā retranslējamo audio un audiovizuālo programmu saraksta. Līdz 2017.gadam nebija izstrādāta vienota, pārskatāma sistēma, kurā būtu vienkopus redzami kabeļoperatori un to pārraidītās programmas. Šobrīd kabeļoperatori var uzticēties programmu sarakstā esošajām programmām un tās iekļaut savā piedāvājumā, tādējādi NEPLP ļaujot realizēt efektīvāku programmu uzraudzību. Līdz šim NEPLP ir ieguldījusi 3557,40 </w:t>
            </w:r>
            <w:r w:rsidR="00331731" w:rsidRPr="00331731">
              <w:rPr>
                <w:rFonts w:ascii="Times New Roman" w:hAnsi="Times New Roman" w:cs="Times New Roman"/>
                <w:i/>
                <w:sz w:val="24"/>
                <w:szCs w:val="24"/>
              </w:rPr>
              <w:t>euro</w:t>
            </w:r>
            <w:r>
              <w:rPr>
                <w:rFonts w:ascii="Times New Roman" w:hAnsi="Times New Roman" w:cs="Times New Roman"/>
                <w:sz w:val="24"/>
                <w:szCs w:val="24"/>
              </w:rPr>
              <w:t xml:space="preserve"> (ar PVN) minētā reģistra izveidei, kam papildus tiek plānota reģistrācijas sistēmas uzlabošana (izveidojot papildus funkcijas). Reģistrā esošās informācijas aktualizāciju un atbilstību izdotajām apraides atļaujām (ne tikai Latvijā izdotajām, bet arī citu valstu izdotajām apraides atļaujām) uzrauga juriskonsults, savukārt par tehnisko uzraudzību (piemēram, kabeļoperatora piekļuves tiesību nodrošināšana elektroniskajai reģistrācijas sistēmai) īsteno Informācijas centra vadītāja. </w:t>
            </w:r>
          </w:p>
          <w:p w:rsidR="001B2481" w:rsidRDefault="001B2481" w:rsidP="00BC04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2016.gada 10.decembra grozījumiem EPLL tika papildināta 60.panta </w:t>
            </w:r>
            <w:r>
              <w:rPr>
                <w:rFonts w:ascii="Times New Roman" w:hAnsi="Times New Roman" w:cs="Times New Roman"/>
                <w:sz w:val="24"/>
                <w:szCs w:val="24"/>
              </w:rPr>
              <w:lastRenderedPageBreak/>
              <w:t xml:space="preserve">pirmā daļa ar </w:t>
            </w:r>
            <w:r>
              <w:rPr>
                <w:rFonts w:ascii="Times New Roman" w:hAnsi="Times New Roman" w:cs="Times New Roman"/>
                <w:sz w:val="24"/>
                <w:szCs w:val="24"/>
                <w:lang w:eastAsia="lv-LV"/>
              </w:rPr>
              <w:t>8.</w:t>
            </w:r>
            <w:r w:rsidRPr="004F12B1">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 </w:t>
            </w:r>
            <w:r>
              <w:rPr>
                <w:rFonts w:ascii="Times New Roman" w:hAnsi="Times New Roman" w:cs="Times New Roman"/>
                <w:sz w:val="24"/>
                <w:szCs w:val="24"/>
              </w:rPr>
              <w:t>punktu, nosakot, ka NEPLP atbilstoši kompetencei īsteno uzraudzības iestādes funkcijas Informācijas sabiedrības pakalpojuma likuma izpratnē. Minētā funkcija nozīmētu internetā ievietotā nelegālā satura (attiecībā uz televīziju) uzraudzību – NEPLP monitoringa centra darbinieks, konstatējot kādā no mājas lapām ievietotu tādu saturu, kam nav izsniegta NEPLP apraides atļauja, paziņotu mājas lapas uzturētāja</w:t>
            </w:r>
            <w:r w:rsidR="00680F3C">
              <w:rPr>
                <w:rFonts w:ascii="Times New Roman" w:hAnsi="Times New Roman" w:cs="Times New Roman"/>
                <w:sz w:val="24"/>
                <w:szCs w:val="24"/>
              </w:rPr>
              <w:t xml:space="preserve">m par nelegāla satura esamību. </w:t>
            </w:r>
            <w:r>
              <w:rPr>
                <w:rFonts w:ascii="Times New Roman" w:hAnsi="Times New Roman" w:cs="Times New Roman"/>
                <w:sz w:val="24"/>
                <w:szCs w:val="24"/>
              </w:rPr>
              <w:t xml:space="preserve">Līdz ar paziņošanas brīdi, aicinot nelegālo saturu no mājas lapas izņemt, mājas lapas uzturētājs ir atbildīgs par nelegālā satura atrašanos mājas lapā. </w:t>
            </w:r>
          </w:p>
          <w:p w:rsidR="001B2481" w:rsidRDefault="001B2481" w:rsidP="00F90C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Lai pēc iespējas efektīvi realizētu NEPLP noteikto uzraudzības funkciju (gan EPLL, gan Informācijas sabiedrības pakalpojuma likuma izpratnē), nepieciešams veikt apjomīgus nozares pētījumus – tie parādītu problēmpunktus, kuru uzraudzība ir jāpilnveido vai jāievieš no jauna. Izvērtējot iegūtos pētījumu rezultātus un aptverot funkciju izpildes pilnveidi vai jaunradi, kā arī ņemot vērā jau NEPLP uzsāktās uzraudzības stiprināšanas darbības, kas prasa gan cilvēkresursu, gan tehnisko nodrošinājumu, NEPLP būs nepieciešama vai nu pastāvīga darbaspēka piesaiste, vai arī jāizmanto ārpakalpojuma funkcija. </w:t>
            </w:r>
            <w:r w:rsidR="00680F3C">
              <w:rPr>
                <w:rFonts w:ascii="Times New Roman" w:hAnsi="Times New Roman" w:cs="Times New Roman"/>
                <w:sz w:val="24"/>
                <w:szCs w:val="24"/>
              </w:rPr>
              <w:t xml:space="preserve">NEPLP ir paredzējusi plānotos līdzekļus izlietot nozares pētījumiem un uzraudzības funkciju stiprināšanai, palielinot darbavietu skaitu Monitoringa nodaļā un piesaistot ārpakalpojuma funkciju. </w:t>
            </w:r>
          </w:p>
          <w:p w:rsidR="00F90C77" w:rsidRDefault="00B8385A" w:rsidP="00F90C77">
            <w:pPr>
              <w:spacing w:line="240" w:lineRule="auto"/>
              <w:jc w:val="both"/>
              <w:rPr>
                <w:rFonts w:ascii="Times New Roman" w:hAnsi="Times New Roman" w:cs="Times New Roman"/>
                <w:sz w:val="24"/>
                <w:szCs w:val="24"/>
              </w:rPr>
            </w:pPr>
            <w:r>
              <w:rPr>
                <w:rFonts w:ascii="Times New Roman" w:hAnsi="Times New Roman" w:cs="Times New Roman"/>
                <w:sz w:val="24"/>
                <w:szCs w:val="24"/>
              </w:rPr>
              <w:t>Pētījumi tiks izmantoti e</w:t>
            </w:r>
            <w:r w:rsidR="00F90C77">
              <w:rPr>
                <w:rFonts w:ascii="Times New Roman" w:hAnsi="Times New Roman" w:cs="Times New Roman"/>
                <w:sz w:val="24"/>
                <w:szCs w:val="24"/>
              </w:rPr>
              <w:t>lektronisko plašsaziņas līdzekļu nozares uzraudzības veikšanai. Pētījumu izmaksas ir aprēķinātas provizoriski, saskaņā ar līdzīgu pētījumu izmaksām iepriekšējos periodos:</w:t>
            </w:r>
          </w:p>
          <w:p w:rsidR="00F90C77" w:rsidRDefault="00F90C77" w:rsidP="00F90C77">
            <w:pPr>
              <w:pStyle w:val="Sarakstarindkop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2018.gadā raidorganizāciju pētījums (radio, TV, PPP) – 30</w:t>
            </w:r>
            <w:r w:rsidR="00B8385A">
              <w:rPr>
                <w:rFonts w:ascii="Times New Roman" w:hAnsi="Times New Roman" w:cs="Times New Roman"/>
                <w:sz w:val="24"/>
                <w:szCs w:val="24"/>
              </w:rPr>
              <w:t> </w:t>
            </w:r>
            <w:r>
              <w:rPr>
                <w:rFonts w:ascii="Times New Roman" w:hAnsi="Times New Roman" w:cs="Times New Roman"/>
                <w:sz w:val="24"/>
                <w:szCs w:val="24"/>
              </w:rPr>
              <w:t>585</w:t>
            </w:r>
            <w:r w:rsidR="00B8385A">
              <w:rPr>
                <w:rFonts w:ascii="Times New Roman" w:hAnsi="Times New Roman" w:cs="Times New Roman"/>
                <w:sz w:val="24"/>
                <w:szCs w:val="24"/>
              </w:rPr>
              <w:t> </w:t>
            </w:r>
            <w:r>
              <w:rPr>
                <w:rFonts w:ascii="Times New Roman" w:hAnsi="Times New Roman" w:cs="Times New Roman"/>
                <w:i/>
                <w:sz w:val="24"/>
                <w:szCs w:val="24"/>
              </w:rPr>
              <w:t>euro</w:t>
            </w:r>
            <w:r>
              <w:rPr>
                <w:rFonts w:ascii="Times New Roman" w:hAnsi="Times New Roman" w:cs="Times New Roman"/>
                <w:sz w:val="24"/>
                <w:szCs w:val="24"/>
              </w:rPr>
              <w:t>;</w:t>
            </w:r>
          </w:p>
          <w:p w:rsidR="00F90C77" w:rsidRDefault="00F90C77" w:rsidP="00F90C77">
            <w:pPr>
              <w:pStyle w:val="Sarakstarindkop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2019.gadā auditorijas un sabiedriskā pasūtījuma izvērtējums – 50 085 </w:t>
            </w:r>
            <w:r>
              <w:rPr>
                <w:rFonts w:ascii="Times New Roman" w:hAnsi="Times New Roman" w:cs="Times New Roman"/>
                <w:i/>
                <w:sz w:val="24"/>
                <w:szCs w:val="24"/>
              </w:rPr>
              <w:t>euro</w:t>
            </w:r>
            <w:r>
              <w:rPr>
                <w:rFonts w:ascii="Times New Roman" w:hAnsi="Times New Roman" w:cs="Times New Roman"/>
                <w:sz w:val="24"/>
                <w:szCs w:val="24"/>
              </w:rPr>
              <w:t>;</w:t>
            </w:r>
          </w:p>
          <w:p w:rsidR="00F90C77" w:rsidRPr="00597726" w:rsidRDefault="00B8385A" w:rsidP="00F90C77">
            <w:pPr>
              <w:pStyle w:val="Sarakstarindkop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2020.gadā e</w:t>
            </w:r>
            <w:r w:rsidR="00F90C77">
              <w:rPr>
                <w:rFonts w:ascii="Times New Roman" w:hAnsi="Times New Roman" w:cs="Times New Roman"/>
                <w:sz w:val="24"/>
                <w:szCs w:val="24"/>
              </w:rPr>
              <w:t>lektronisko plašsaziņas līdzekļu tirgus analīze (ieskaitot nelegālo pakalpojumu tirgu) – 77 085</w:t>
            </w:r>
            <w:r w:rsidR="00F90C77" w:rsidRPr="00597726">
              <w:rPr>
                <w:rFonts w:ascii="Times New Roman" w:hAnsi="Times New Roman" w:cs="Times New Roman"/>
                <w:sz w:val="24"/>
                <w:szCs w:val="24"/>
              </w:rPr>
              <w:t xml:space="preserve"> </w:t>
            </w:r>
            <w:r w:rsidR="00F90C77" w:rsidRPr="00597726">
              <w:rPr>
                <w:rFonts w:ascii="Times New Roman" w:hAnsi="Times New Roman" w:cs="Times New Roman"/>
                <w:i/>
                <w:sz w:val="24"/>
                <w:szCs w:val="24"/>
              </w:rPr>
              <w:t>euro</w:t>
            </w:r>
            <w:r w:rsidR="00F90C77" w:rsidRPr="00597726">
              <w:rPr>
                <w:rFonts w:ascii="Times New Roman" w:hAnsi="Times New Roman" w:cs="Times New Roman"/>
                <w:sz w:val="24"/>
                <w:szCs w:val="24"/>
              </w:rPr>
              <w:t>.</w:t>
            </w:r>
          </w:p>
          <w:p w:rsidR="00F90C77" w:rsidRDefault="00F90C77" w:rsidP="00F90C77">
            <w:pPr>
              <w:spacing w:line="240" w:lineRule="auto"/>
              <w:jc w:val="both"/>
              <w:rPr>
                <w:rFonts w:ascii="Times New Roman" w:hAnsi="Times New Roman" w:cs="Times New Roman"/>
                <w:sz w:val="24"/>
                <w:szCs w:val="24"/>
              </w:rPr>
            </w:pPr>
            <w:r>
              <w:rPr>
                <w:rFonts w:ascii="Times New Roman" w:hAnsi="Times New Roman" w:cs="Times New Roman"/>
                <w:sz w:val="24"/>
                <w:szCs w:val="24"/>
              </w:rPr>
              <w:t>Uzraudzības funkcijas nodrošināšanai NEPLP plāno piesaistīt speciālistu/ekspertu ārpakalpojumus, kuru provizoriskās izmaksas varētu būt šādas:</w:t>
            </w:r>
          </w:p>
          <w:p w:rsidR="00F90C77" w:rsidRDefault="00F90C77" w:rsidP="00F90C77">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2018.gadā – 90 </w:t>
            </w:r>
            <w:r w:rsidR="00B8385A">
              <w:rPr>
                <w:rFonts w:ascii="Times New Roman" w:hAnsi="Times New Roman" w:cs="Times New Roman"/>
                <w:i/>
                <w:sz w:val="24"/>
                <w:szCs w:val="24"/>
              </w:rPr>
              <w:t>euro</w:t>
            </w:r>
            <w:r>
              <w:rPr>
                <w:rFonts w:ascii="Times New Roman" w:hAnsi="Times New Roman" w:cs="Times New Roman"/>
                <w:sz w:val="24"/>
                <w:szCs w:val="24"/>
              </w:rPr>
              <w:t xml:space="preserve"> dienā, 2 000 </w:t>
            </w:r>
            <w:r w:rsidR="00B8385A">
              <w:rPr>
                <w:rFonts w:ascii="Times New Roman" w:hAnsi="Times New Roman" w:cs="Times New Roman"/>
                <w:i/>
                <w:sz w:val="24"/>
                <w:szCs w:val="24"/>
              </w:rPr>
              <w:t>euro</w:t>
            </w:r>
            <w:r>
              <w:rPr>
                <w:rFonts w:ascii="Times New Roman" w:hAnsi="Times New Roman" w:cs="Times New Roman"/>
                <w:sz w:val="24"/>
                <w:szCs w:val="24"/>
              </w:rPr>
              <w:t xml:space="preserve"> mēnesī *12 mēn.= 24</w:t>
            </w:r>
            <w:r w:rsidR="00B8385A">
              <w:rPr>
                <w:rFonts w:ascii="Times New Roman" w:hAnsi="Times New Roman" w:cs="Times New Roman"/>
                <w:sz w:val="24"/>
                <w:szCs w:val="24"/>
              </w:rPr>
              <w:t> </w:t>
            </w:r>
            <w:r>
              <w:rPr>
                <w:rFonts w:ascii="Times New Roman" w:hAnsi="Times New Roman" w:cs="Times New Roman"/>
                <w:sz w:val="24"/>
                <w:szCs w:val="24"/>
              </w:rPr>
              <w:t>000</w:t>
            </w:r>
            <w:r w:rsidR="00B8385A">
              <w:rPr>
                <w:rFonts w:ascii="Times New Roman" w:hAnsi="Times New Roman" w:cs="Times New Roman"/>
                <w:sz w:val="24"/>
                <w:szCs w:val="24"/>
              </w:rPr>
              <w:t> </w:t>
            </w:r>
            <w:r w:rsidR="00B8385A">
              <w:rPr>
                <w:rFonts w:ascii="Times New Roman" w:hAnsi="Times New Roman" w:cs="Times New Roman"/>
                <w:i/>
                <w:sz w:val="24"/>
                <w:szCs w:val="24"/>
              </w:rPr>
              <w:t>euro</w:t>
            </w:r>
            <w:r>
              <w:rPr>
                <w:rFonts w:ascii="Times New Roman" w:hAnsi="Times New Roman" w:cs="Times New Roman"/>
                <w:sz w:val="24"/>
                <w:szCs w:val="24"/>
              </w:rPr>
              <w:t xml:space="preserve"> gadā par vienu speciālistu/ekspertu, kurš sniegs ārpakalpojumu. 2018.gadā plānots piesaistīt divus ārpakalpojumu sniedzējus, tādējādi veidojot 48 000 </w:t>
            </w:r>
            <w:r w:rsidR="00B8385A">
              <w:rPr>
                <w:rFonts w:ascii="Times New Roman" w:hAnsi="Times New Roman" w:cs="Times New Roman"/>
                <w:i/>
                <w:sz w:val="24"/>
                <w:szCs w:val="24"/>
              </w:rPr>
              <w:t>euro</w:t>
            </w:r>
            <w:r>
              <w:rPr>
                <w:rFonts w:ascii="Times New Roman" w:hAnsi="Times New Roman" w:cs="Times New Roman"/>
                <w:sz w:val="24"/>
                <w:szCs w:val="24"/>
              </w:rPr>
              <w:t xml:space="preserve"> gadā (24 000 </w:t>
            </w:r>
            <w:r w:rsidR="00B8385A">
              <w:rPr>
                <w:rFonts w:ascii="Times New Roman" w:hAnsi="Times New Roman" w:cs="Times New Roman"/>
                <w:i/>
                <w:sz w:val="24"/>
                <w:szCs w:val="24"/>
              </w:rPr>
              <w:t>euro</w:t>
            </w:r>
            <w:r>
              <w:rPr>
                <w:rFonts w:ascii="Times New Roman" w:hAnsi="Times New Roman" w:cs="Times New Roman"/>
                <w:sz w:val="24"/>
                <w:szCs w:val="24"/>
              </w:rPr>
              <w:t xml:space="preserve"> *2=48 000 </w:t>
            </w:r>
            <w:r w:rsidR="00B8385A">
              <w:rPr>
                <w:rFonts w:ascii="Times New Roman" w:hAnsi="Times New Roman" w:cs="Times New Roman"/>
                <w:i/>
                <w:sz w:val="24"/>
                <w:szCs w:val="24"/>
              </w:rPr>
              <w:t>euro</w:t>
            </w:r>
            <w:r>
              <w:rPr>
                <w:rFonts w:ascii="Times New Roman" w:hAnsi="Times New Roman" w:cs="Times New Roman"/>
                <w:sz w:val="24"/>
                <w:szCs w:val="24"/>
              </w:rPr>
              <w:t>);</w:t>
            </w:r>
          </w:p>
          <w:p w:rsidR="00F90C77" w:rsidRDefault="00F90C77" w:rsidP="00F90C77">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2019.gadā </w:t>
            </w:r>
            <w:r w:rsidR="00B8385A">
              <w:rPr>
                <w:rFonts w:ascii="Times New Roman" w:hAnsi="Times New Roman" w:cs="Times New Roman"/>
                <w:sz w:val="24"/>
                <w:szCs w:val="24"/>
              </w:rPr>
              <w:t>–</w:t>
            </w:r>
            <w:r>
              <w:rPr>
                <w:rFonts w:ascii="Times New Roman" w:hAnsi="Times New Roman" w:cs="Times New Roman"/>
                <w:sz w:val="24"/>
                <w:szCs w:val="24"/>
              </w:rPr>
              <w:t xml:space="preserve"> 90 </w:t>
            </w:r>
            <w:r w:rsidR="00B8385A">
              <w:rPr>
                <w:rFonts w:ascii="Times New Roman" w:hAnsi="Times New Roman" w:cs="Times New Roman"/>
                <w:i/>
                <w:sz w:val="24"/>
                <w:szCs w:val="24"/>
              </w:rPr>
              <w:t>euro</w:t>
            </w:r>
            <w:r>
              <w:rPr>
                <w:rFonts w:ascii="Times New Roman" w:hAnsi="Times New Roman" w:cs="Times New Roman"/>
                <w:sz w:val="24"/>
                <w:szCs w:val="24"/>
              </w:rPr>
              <w:t xml:space="preserve"> dienā, 2 000 </w:t>
            </w:r>
            <w:r w:rsidR="00B8385A">
              <w:rPr>
                <w:rFonts w:ascii="Times New Roman" w:hAnsi="Times New Roman" w:cs="Times New Roman"/>
                <w:i/>
                <w:sz w:val="24"/>
                <w:szCs w:val="24"/>
              </w:rPr>
              <w:t>euro</w:t>
            </w:r>
            <w:r>
              <w:rPr>
                <w:rFonts w:ascii="Times New Roman" w:hAnsi="Times New Roman" w:cs="Times New Roman"/>
                <w:sz w:val="24"/>
                <w:szCs w:val="24"/>
              </w:rPr>
              <w:t xml:space="preserve"> mēnesī *12 mēn.= 24</w:t>
            </w:r>
            <w:r w:rsidR="00B8385A">
              <w:rPr>
                <w:rFonts w:ascii="Times New Roman" w:hAnsi="Times New Roman" w:cs="Times New Roman"/>
                <w:sz w:val="24"/>
                <w:szCs w:val="24"/>
              </w:rPr>
              <w:t> </w:t>
            </w:r>
            <w:r>
              <w:rPr>
                <w:rFonts w:ascii="Times New Roman" w:hAnsi="Times New Roman" w:cs="Times New Roman"/>
                <w:sz w:val="24"/>
                <w:szCs w:val="24"/>
              </w:rPr>
              <w:t>000</w:t>
            </w:r>
            <w:r w:rsidR="00B8385A">
              <w:rPr>
                <w:rFonts w:ascii="Times New Roman" w:hAnsi="Times New Roman" w:cs="Times New Roman"/>
                <w:sz w:val="24"/>
                <w:szCs w:val="24"/>
              </w:rPr>
              <w:t> </w:t>
            </w:r>
            <w:r w:rsidR="00B8385A">
              <w:rPr>
                <w:rFonts w:ascii="Times New Roman" w:hAnsi="Times New Roman" w:cs="Times New Roman"/>
                <w:i/>
                <w:sz w:val="24"/>
                <w:szCs w:val="24"/>
              </w:rPr>
              <w:t>euro</w:t>
            </w:r>
            <w:r>
              <w:rPr>
                <w:rFonts w:ascii="Times New Roman" w:hAnsi="Times New Roman" w:cs="Times New Roman"/>
                <w:sz w:val="24"/>
                <w:szCs w:val="24"/>
              </w:rPr>
              <w:t xml:space="preserve"> gadā par vienu speciālistu/ekspertu, kurš sniegs ārpakalpojumu. 2019.gadā plānots piesaistīt divus ārpakalpojumu sniedzējus, tādējādi veidojot 48 000 </w:t>
            </w:r>
            <w:r w:rsidR="00B8385A">
              <w:rPr>
                <w:rFonts w:ascii="Times New Roman" w:hAnsi="Times New Roman" w:cs="Times New Roman"/>
                <w:i/>
                <w:sz w:val="24"/>
                <w:szCs w:val="24"/>
              </w:rPr>
              <w:t>euro</w:t>
            </w:r>
            <w:r>
              <w:rPr>
                <w:rFonts w:ascii="Times New Roman" w:hAnsi="Times New Roman" w:cs="Times New Roman"/>
                <w:sz w:val="24"/>
                <w:szCs w:val="24"/>
              </w:rPr>
              <w:t xml:space="preserve"> gadā (24 000 </w:t>
            </w:r>
            <w:r w:rsidR="00B8385A">
              <w:rPr>
                <w:rFonts w:ascii="Times New Roman" w:hAnsi="Times New Roman" w:cs="Times New Roman"/>
                <w:i/>
                <w:sz w:val="24"/>
                <w:szCs w:val="24"/>
              </w:rPr>
              <w:t>euro</w:t>
            </w:r>
            <w:r>
              <w:rPr>
                <w:rFonts w:ascii="Times New Roman" w:hAnsi="Times New Roman" w:cs="Times New Roman"/>
                <w:sz w:val="24"/>
                <w:szCs w:val="24"/>
              </w:rPr>
              <w:t xml:space="preserve"> *2=48 000 </w:t>
            </w:r>
            <w:r w:rsidR="00B8385A">
              <w:rPr>
                <w:rFonts w:ascii="Times New Roman" w:hAnsi="Times New Roman" w:cs="Times New Roman"/>
                <w:i/>
                <w:sz w:val="24"/>
                <w:szCs w:val="24"/>
              </w:rPr>
              <w:t>euro</w:t>
            </w:r>
            <w:r>
              <w:rPr>
                <w:rFonts w:ascii="Times New Roman" w:hAnsi="Times New Roman" w:cs="Times New Roman"/>
                <w:sz w:val="24"/>
                <w:szCs w:val="24"/>
              </w:rPr>
              <w:t>);</w:t>
            </w:r>
          </w:p>
          <w:p w:rsidR="00F90C77" w:rsidRDefault="00F90C77" w:rsidP="00F90C77">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2020.gadā – 80 </w:t>
            </w:r>
            <w:r w:rsidR="00B8385A">
              <w:rPr>
                <w:rFonts w:ascii="Times New Roman" w:hAnsi="Times New Roman" w:cs="Times New Roman"/>
                <w:i/>
                <w:sz w:val="24"/>
                <w:szCs w:val="24"/>
              </w:rPr>
              <w:t>euro</w:t>
            </w:r>
            <w:r w:rsidR="00B8385A">
              <w:rPr>
                <w:rFonts w:ascii="Times New Roman" w:hAnsi="Times New Roman" w:cs="Times New Roman"/>
                <w:sz w:val="24"/>
                <w:szCs w:val="24"/>
              </w:rPr>
              <w:t xml:space="preserve"> </w:t>
            </w:r>
            <w:r>
              <w:rPr>
                <w:rFonts w:ascii="Times New Roman" w:hAnsi="Times New Roman" w:cs="Times New Roman"/>
                <w:sz w:val="24"/>
                <w:szCs w:val="24"/>
              </w:rPr>
              <w:t xml:space="preserve">dienā, 1 700 </w:t>
            </w:r>
            <w:r w:rsidR="00B8385A">
              <w:rPr>
                <w:rFonts w:ascii="Times New Roman" w:hAnsi="Times New Roman" w:cs="Times New Roman"/>
                <w:i/>
                <w:sz w:val="24"/>
                <w:szCs w:val="24"/>
              </w:rPr>
              <w:t>euro</w:t>
            </w:r>
            <w:r>
              <w:rPr>
                <w:rFonts w:ascii="Times New Roman" w:hAnsi="Times New Roman" w:cs="Times New Roman"/>
                <w:sz w:val="24"/>
                <w:szCs w:val="24"/>
              </w:rPr>
              <w:t xml:space="preserve"> mēnesī *12 mēn.= 21</w:t>
            </w:r>
            <w:r w:rsidR="00B8385A">
              <w:rPr>
                <w:rFonts w:ascii="Times New Roman" w:hAnsi="Times New Roman" w:cs="Times New Roman"/>
                <w:sz w:val="24"/>
                <w:szCs w:val="24"/>
              </w:rPr>
              <w:t> </w:t>
            </w:r>
            <w:r>
              <w:rPr>
                <w:rFonts w:ascii="Times New Roman" w:hAnsi="Times New Roman" w:cs="Times New Roman"/>
                <w:sz w:val="24"/>
                <w:szCs w:val="24"/>
              </w:rPr>
              <w:t>000</w:t>
            </w:r>
            <w:r w:rsidR="00B8385A">
              <w:rPr>
                <w:rFonts w:ascii="Times New Roman" w:hAnsi="Times New Roman" w:cs="Times New Roman"/>
                <w:sz w:val="24"/>
                <w:szCs w:val="24"/>
              </w:rPr>
              <w:t> </w:t>
            </w:r>
            <w:r w:rsidR="00B8385A">
              <w:rPr>
                <w:rFonts w:ascii="Times New Roman" w:hAnsi="Times New Roman" w:cs="Times New Roman"/>
                <w:i/>
                <w:sz w:val="24"/>
                <w:szCs w:val="24"/>
              </w:rPr>
              <w:t>euro</w:t>
            </w:r>
            <w:r>
              <w:rPr>
                <w:rFonts w:ascii="Times New Roman" w:hAnsi="Times New Roman" w:cs="Times New Roman"/>
                <w:sz w:val="24"/>
                <w:szCs w:val="24"/>
              </w:rPr>
              <w:t xml:space="preserve"> gadā par vienu speciālistu/ekspertu, kurš sniegs ārpakalpojumu.</w:t>
            </w:r>
          </w:p>
          <w:p w:rsidR="00F90C77" w:rsidRPr="00657F5E" w:rsidRDefault="00F90C77" w:rsidP="00F90C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Ekspertu/speciālistu ārpakalpojuma piesaiste ir pamatojama ar jauno </w:t>
            </w:r>
            <w:r w:rsidR="00B8385A">
              <w:rPr>
                <w:rFonts w:ascii="Times New Roman" w:hAnsi="Times New Roman" w:cs="Times New Roman"/>
                <w:sz w:val="24"/>
                <w:szCs w:val="24"/>
              </w:rPr>
              <w:lastRenderedPageBreak/>
              <w:t>e</w:t>
            </w:r>
            <w:r>
              <w:rPr>
                <w:rFonts w:ascii="Times New Roman" w:hAnsi="Times New Roman" w:cs="Times New Roman"/>
                <w:sz w:val="24"/>
                <w:szCs w:val="24"/>
              </w:rPr>
              <w:t>lektronisko plašsaziņas līdzekļu normu ievietošanu, paredzot NEPLP papildus funkciju – īstenot uzraudzības iestādes funkcijas Informācijas sabiedrības pakalpojumu likuma izpratnē. Tāpat NEPLP ir nācis klāt jauns uzraudzības subjekts – elektroniskie plašsaziņas līdzekļi, kas sniedz pakalpojumus pēc pieprasījuma.</w:t>
            </w:r>
          </w:p>
        </w:tc>
      </w:tr>
      <w:tr w:rsidR="001B2481" w:rsidRPr="008B0344" w:rsidTr="00117D8E">
        <w:trPr>
          <w:trHeight w:val="15"/>
          <w:tblCellSpacing w:w="15" w:type="dxa"/>
          <w:jc w:val="center"/>
        </w:trPr>
        <w:tc>
          <w:tcPr>
            <w:tcW w:w="948" w:type="pct"/>
            <w:hideMark/>
          </w:tcPr>
          <w:p w:rsidR="001B2481" w:rsidRPr="00122999" w:rsidRDefault="001B2481" w:rsidP="00117D8E">
            <w:pPr>
              <w:rPr>
                <w:rFonts w:ascii="Times New Roman" w:hAnsi="Times New Roman" w:cs="Times New Roman"/>
                <w:sz w:val="24"/>
                <w:szCs w:val="24"/>
              </w:rPr>
            </w:pPr>
            <w:r w:rsidRPr="00122999">
              <w:rPr>
                <w:rFonts w:ascii="Times New Roman" w:hAnsi="Times New Roman" w:cs="Times New Roman"/>
                <w:sz w:val="24"/>
                <w:szCs w:val="24"/>
              </w:rPr>
              <w:lastRenderedPageBreak/>
              <w:t>7. Cita informācija</w:t>
            </w:r>
          </w:p>
        </w:tc>
        <w:tc>
          <w:tcPr>
            <w:tcW w:w="3998" w:type="pct"/>
            <w:gridSpan w:val="5"/>
            <w:hideMark/>
          </w:tcPr>
          <w:p w:rsidR="00E473C0" w:rsidRDefault="00B92C6F">
            <w:pPr>
              <w:tabs>
                <w:tab w:val="left" w:pos="993"/>
              </w:tabs>
              <w:spacing w:after="0" w:line="240" w:lineRule="auto"/>
              <w:jc w:val="both"/>
              <w:rPr>
                <w:color w:val="000000" w:themeColor="text1"/>
              </w:rPr>
            </w:pPr>
            <w:r w:rsidRPr="00B92C6F">
              <w:rPr>
                <w:rFonts w:ascii="Times New Roman" w:hAnsi="Times New Roman" w:cs="Times New Roman"/>
                <w:color w:val="000000" w:themeColor="text1"/>
                <w:sz w:val="24"/>
                <w:szCs w:val="24"/>
              </w:rPr>
              <w:t xml:space="preserve">Nav. </w:t>
            </w:r>
          </w:p>
        </w:tc>
      </w:tr>
    </w:tbl>
    <w:p w:rsidR="001B2481" w:rsidRPr="008D25A9" w:rsidRDefault="001B2481" w:rsidP="001B2481">
      <w:pPr>
        <w:spacing w:after="0" w:line="240" w:lineRule="auto"/>
        <w:rPr>
          <w:rFonts w:ascii="Times New Roman" w:hAnsi="Times New Roman" w:cs="Times New Roman"/>
          <w:color w:val="000000" w:themeColor="text1"/>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645"/>
        <w:gridCol w:w="6019"/>
      </w:tblGrid>
      <w:tr w:rsidR="001B2481" w:rsidRPr="008D25A9" w:rsidTr="00117D8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1B2481" w:rsidRPr="008D25A9" w:rsidTr="00117D8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B2481" w:rsidRDefault="00680F3C" w:rsidP="00117D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Veicami g</w:t>
            </w:r>
            <w:r w:rsidR="001B2481" w:rsidRPr="00697DB4">
              <w:rPr>
                <w:rFonts w:ascii="Times New Roman" w:hAnsi="Times New Roman" w:cs="Times New Roman"/>
                <w:color w:val="000000" w:themeColor="text1"/>
                <w:sz w:val="24"/>
                <w:szCs w:val="24"/>
              </w:rPr>
              <w:t xml:space="preserve">rozījumi </w:t>
            </w:r>
            <w:r w:rsidR="00CE2796">
              <w:rPr>
                <w:rFonts w:ascii="Times New Roman" w:hAnsi="Times New Roman" w:cs="Times New Roman"/>
                <w:color w:val="000000" w:themeColor="text1"/>
                <w:sz w:val="24"/>
                <w:szCs w:val="24"/>
              </w:rPr>
              <w:t>Elektroni</w:t>
            </w:r>
            <w:r w:rsidR="00BC04FC">
              <w:rPr>
                <w:rFonts w:ascii="Times New Roman" w:hAnsi="Times New Roman" w:cs="Times New Roman"/>
                <w:color w:val="000000" w:themeColor="text1"/>
                <w:sz w:val="24"/>
                <w:szCs w:val="24"/>
              </w:rPr>
              <w:t>sko plašsaziņas līdzekļu likumā</w:t>
            </w:r>
            <w:r w:rsidR="00BA6D36">
              <w:rPr>
                <w:rFonts w:ascii="Times New Roman" w:hAnsi="Times New Roman" w:cs="Times New Roman"/>
                <w:color w:val="000000" w:themeColor="text1"/>
                <w:sz w:val="24"/>
                <w:szCs w:val="24"/>
              </w:rPr>
              <w:t>.</w:t>
            </w:r>
            <w:r w:rsidR="00CE2796">
              <w:rPr>
                <w:rFonts w:ascii="Times New Roman" w:hAnsi="Times New Roman" w:cs="Times New Roman"/>
                <w:color w:val="000000" w:themeColor="text1"/>
                <w:sz w:val="24"/>
                <w:szCs w:val="24"/>
              </w:rPr>
              <w:t xml:space="preserve"> </w:t>
            </w:r>
          </w:p>
          <w:p w:rsidR="001B2481" w:rsidRDefault="001B2481" w:rsidP="00117D8E">
            <w:pPr>
              <w:spacing w:after="0" w:line="240" w:lineRule="auto"/>
              <w:jc w:val="both"/>
              <w:rPr>
                <w:rFonts w:ascii="Times New Roman" w:hAnsi="Times New Roman" w:cs="Times New Roman"/>
                <w:color w:val="000000" w:themeColor="text1"/>
                <w:sz w:val="24"/>
                <w:szCs w:val="24"/>
              </w:rPr>
            </w:pPr>
          </w:p>
          <w:p w:rsidR="001B2481" w:rsidRDefault="001B2481" w:rsidP="00117D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Izdodami jauni Ministru kabineta noteikumi, kas aizvietos </w:t>
            </w:r>
            <w:r w:rsidRPr="00651A71">
              <w:rPr>
                <w:rFonts w:ascii="Times New Roman" w:hAnsi="Times New Roman" w:cs="Times New Roman"/>
                <w:color w:val="000000" w:themeColor="text1"/>
                <w:sz w:val="24"/>
                <w:szCs w:val="24"/>
              </w:rPr>
              <w:t>Ministru kabineta 2010. gada 28. decembra noteikum</w:t>
            </w:r>
            <w:r w:rsidR="00BC04FC">
              <w:rPr>
                <w:rFonts w:ascii="Times New Roman" w:hAnsi="Times New Roman" w:cs="Times New Roman"/>
                <w:color w:val="000000" w:themeColor="text1"/>
                <w:sz w:val="24"/>
                <w:szCs w:val="24"/>
              </w:rPr>
              <w:t>us Nr. 1238 „</w:t>
            </w:r>
            <w:r w:rsidRPr="00651A71">
              <w:rPr>
                <w:rFonts w:ascii="Times New Roman" w:hAnsi="Times New Roman" w:cs="Times New Roman"/>
                <w:color w:val="000000" w:themeColor="text1"/>
                <w:sz w:val="24"/>
                <w:szCs w:val="24"/>
              </w:rPr>
              <w:t>Noteikumi par valsts nodevu par apraides atļaujas izsniegšanu, retranslācijas atļaujas izsniegšanu un tāda pakalpojumu sniedzēja reģistrāciju, kas sniedz elektronisko plašsaziņas līdzekļu pakalpojumus pēc pieprasījuma</w:t>
            </w:r>
            <w:r>
              <w:rPr>
                <w:rFonts w:ascii="Times New Roman" w:hAnsi="Times New Roman" w:cs="Times New Roman"/>
                <w:color w:val="000000" w:themeColor="text1"/>
                <w:sz w:val="24"/>
                <w:szCs w:val="24"/>
              </w:rPr>
              <w:t xml:space="preserve">”. </w:t>
            </w:r>
          </w:p>
          <w:p w:rsidR="001B2481" w:rsidRDefault="001B2481" w:rsidP="00117D8E">
            <w:pPr>
              <w:spacing w:after="0" w:line="240" w:lineRule="auto"/>
              <w:jc w:val="both"/>
              <w:rPr>
                <w:rFonts w:ascii="Times New Roman" w:hAnsi="Times New Roman" w:cs="Times New Roman"/>
                <w:color w:val="000000" w:themeColor="text1"/>
                <w:sz w:val="24"/>
                <w:szCs w:val="24"/>
              </w:rPr>
            </w:pPr>
          </w:p>
          <w:p w:rsidR="001B2481" w:rsidRPr="008D25A9" w:rsidRDefault="001B2481" w:rsidP="00BC04F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Veicami precizējumi </w:t>
            </w:r>
            <w:r w:rsidRPr="008D25A9">
              <w:rPr>
                <w:rFonts w:ascii="Times New Roman" w:hAnsi="Times New Roman" w:cs="Times New Roman"/>
                <w:color w:val="000000" w:themeColor="text1"/>
                <w:sz w:val="24"/>
                <w:szCs w:val="24"/>
              </w:rPr>
              <w:t>Elektronisko plašsaziņas līdzekļu nozares attīstības nacionālās stratēģij</w:t>
            </w:r>
            <w:r w:rsidR="00BC04FC">
              <w:rPr>
                <w:rFonts w:ascii="Times New Roman" w:hAnsi="Times New Roman" w:cs="Times New Roman"/>
                <w:color w:val="000000" w:themeColor="text1"/>
                <w:sz w:val="24"/>
                <w:szCs w:val="24"/>
              </w:rPr>
              <w:t>as 2012. – 2017. gadam pielikumā</w:t>
            </w:r>
            <w:r w:rsidR="00680F3C">
              <w:rPr>
                <w:rFonts w:ascii="Times New Roman" w:hAnsi="Times New Roman" w:cs="Times New Roman"/>
                <w:color w:val="000000" w:themeColor="text1"/>
                <w:sz w:val="24"/>
                <w:szCs w:val="24"/>
              </w:rPr>
              <w:t xml:space="preserve"> Nr. 5 „</w:t>
            </w:r>
            <w:r w:rsidRPr="008D25A9">
              <w:rPr>
                <w:rFonts w:ascii="Times New Roman" w:hAnsi="Times New Roman" w:cs="Times New Roman"/>
                <w:color w:val="000000" w:themeColor="text1"/>
                <w:sz w:val="24"/>
                <w:szCs w:val="24"/>
              </w:rPr>
              <w:t>Kārtība, kādā izsniedz retranslācijas atļaujas un elektroniskajiem plašsaziņas līdzekļiem piešķir tiesības retranslēt audio un audiovizuālās programmas”.</w:t>
            </w:r>
          </w:p>
        </w:tc>
      </w:tr>
      <w:tr w:rsidR="001B2481" w:rsidRPr="008D25A9" w:rsidTr="00117D8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Atbildīgā institūcija</w:t>
            </w:r>
          </w:p>
        </w:tc>
        <w:sdt>
          <w:sdtPr>
            <w:rPr>
              <w:rFonts w:ascii="Times New Roman" w:eastAsia="Times New Roman" w:hAnsi="Times New Roman" w:cs="Times New Roman"/>
              <w:color w:val="000000" w:themeColor="text1"/>
              <w:sz w:val="24"/>
              <w:szCs w:val="24"/>
              <w:lang w:eastAsia="lv-LV"/>
            </w:rPr>
            <w:id w:val="-1911233947"/>
            <w:placeholder>
              <w:docPart w:val="62D87D2F1BED481B9B644098A36959CC"/>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Nacionālā elektronisko plašsaziņas līdzekļu padome, Kultūras ministrija</w:t>
                </w:r>
                <w:r w:rsidR="00BC04F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tc>
          </w:sdtContent>
        </w:sdt>
      </w:tr>
      <w:tr w:rsidR="001B2481" w:rsidRPr="008D25A9" w:rsidTr="00680F3C">
        <w:trPr>
          <w:trHeight w:val="374"/>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016684222"/>
            <w:placeholder>
              <w:docPart w:val="BBA777A425B742689B1E294EA2FB314A"/>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sdtContent>
        </w:sdt>
      </w:tr>
    </w:tbl>
    <w:p w:rsidR="001B2481" w:rsidRPr="008D25A9"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1B2481" w:rsidRPr="008D25A9" w:rsidTr="00117D8E">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1B2481" w:rsidRPr="008D25A9" w:rsidTr="00117D8E">
        <w:tc>
          <w:tcPr>
            <w:tcW w:w="0" w:type="auto"/>
            <w:tcBorders>
              <w:top w:val="outset" w:sz="6" w:space="0" w:color="414142"/>
              <w:left w:val="outset" w:sz="6" w:space="0" w:color="414142"/>
              <w:bottom w:val="outset" w:sz="6" w:space="0" w:color="414142"/>
              <w:right w:val="outset" w:sz="6" w:space="0" w:color="414142"/>
            </w:tcBorders>
            <w:vAlign w:val="center"/>
            <w:hideMark/>
          </w:tcPr>
          <w:p w:rsidR="001B2481"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Starptautisko tiesību ietvarā nozīme ir Eiropas Padomes 1989. gada Eiropas konvencijai par pārrobežu televīziju</w:t>
            </w:r>
            <w:r>
              <w:rPr>
                <w:rFonts w:ascii="Times New Roman" w:hAnsi="Times New Roman" w:cs="Times New Roman"/>
                <w:color w:val="000000" w:themeColor="text1"/>
                <w:sz w:val="24"/>
                <w:szCs w:val="24"/>
              </w:rPr>
              <w:t xml:space="preserve"> (turpmāk – Konvencija)</w:t>
            </w:r>
            <w:r w:rsidRPr="008D25A9">
              <w:rPr>
                <w:rFonts w:ascii="Times New Roman" w:hAnsi="Times New Roman" w:cs="Times New Roman"/>
                <w:color w:val="000000" w:themeColor="text1"/>
                <w:sz w:val="24"/>
                <w:szCs w:val="24"/>
              </w:rPr>
              <w:t xml:space="preserve">. Konvencijas mērķis ir veicināt pārrobežu pārraides un televīzijas programmu pakalpojumu retranslēšanu starp konvencijas dalībvalstīm. </w:t>
            </w:r>
          </w:p>
          <w:p w:rsidR="001B2481" w:rsidRPr="00214EDD" w:rsidRDefault="001B2481" w:rsidP="00117D8E">
            <w:pPr>
              <w:spacing w:line="240" w:lineRule="auto"/>
              <w:jc w:val="both"/>
              <w:rPr>
                <w:rFonts w:ascii="Times New Roman" w:hAnsi="Times New Roman" w:cs="Times New Roman"/>
                <w:sz w:val="24"/>
                <w:szCs w:val="24"/>
              </w:rPr>
            </w:pPr>
            <w:r w:rsidRPr="005646A7">
              <w:rPr>
                <w:rFonts w:ascii="Times New Roman" w:hAnsi="Times New Roman" w:cs="Times New Roman"/>
                <w:sz w:val="24"/>
                <w:szCs w:val="24"/>
              </w:rPr>
              <w:t>Savukārt</w:t>
            </w:r>
            <w:r w:rsidRPr="005646A7">
              <w:rPr>
                <w:rFonts w:ascii="Times New Roman" w:hAnsi="Times New Roman" w:cs="Times New Roman"/>
                <w:b/>
                <w:sz w:val="24"/>
                <w:szCs w:val="24"/>
              </w:rPr>
              <w:t xml:space="preserve"> </w:t>
            </w:r>
            <w:r w:rsidR="00B92C6F" w:rsidRPr="00B92C6F">
              <w:rPr>
                <w:rStyle w:val="Izteiksmgs"/>
                <w:rFonts w:ascii="Times New Roman" w:hAnsi="Times New Roman" w:cs="Times New Roman"/>
                <w:b w:val="0"/>
                <w:sz w:val="24"/>
                <w:szCs w:val="24"/>
                <w:bdr w:val="none" w:sz="0" w:space="0" w:color="auto" w:frame="1"/>
                <w:shd w:val="clear" w:color="auto" w:fill="FFFFFF"/>
              </w:rPr>
              <w:t>Eiropas Parlamenta un Padomes Direktīva 2010/13/ES (2010. gada 10.marts), par to, lai koordinētu dažus dalībvalstu normatīvajos un administratīvajos aktos paredzētus noteikumus par audiovizuālo mediju pakalpojumu sniegšanu (Audiovizuālo mediju pakalpojumu direktīva) (turpmāk – Direktīva) preambulas 19. apsvērums norāda, ka</w:t>
            </w:r>
            <w:r w:rsidRPr="00214EDD">
              <w:rPr>
                <w:rFonts w:ascii="Times New Roman" w:hAnsi="Times New Roman" w:cs="Times New Roman"/>
                <w:b/>
                <w:sz w:val="24"/>
                <w:szCs w:val="24"/>
                <w:shd w:val="clear" w:color="auto" w:fill="FFFFFF"/>
              </w:rPr>
              <w:t xml:space="preserve"> </w:t>
            </w:r>
            <w:r w:rsidRPr="00214EDD">
              <w:rPr>
                <w:rFonts w:ascii="Times New Roman" w:hAnsi="Times New Roman" w:cs="Times New Roman"/>
                <w:sz w:val="24"/>
                <w:szCs w:val="24"/>
                <w:shd w:val="clear" w:color="auto" w:fill="FFFFFF"/>
              </w:rPr>
              <w:t>direktīva neietekmē dalībvalstu un to iestāžu atbildību par organizatoriskiem pasākumiem – tostarp licencēšanas, administratīvu atļauju vai nodokļu sistēmu</w:t>
            </w:r>
            <w:r>
              <w:rPr>
                <w:rFonts w:ascii="Times New Roman" w:hAnsi="Times New Roman" w:cs="Times New Roman"/>
                <w:sz w:val="24"/>
                <w:szCs w:val="24"/>
                <w:shd w:val="clear" w:color="auto" w:fill="FFFFFF"/>
              </w:rPr>
              <w:t>,</w:t>
            </w:r>
            <w:r w:rsidRPr="00214EDD">
              <w:rPr>
                <w:rFonts w:ascii="Times New Roman" w:hAnsi="Times New Roman" w:cs="Times New Roman"/>
                <w:sz w:val="24"/>
                <w:szCs w:val="24"/>
                <w:shd w:val="clear" w:color="auto" w:fill="FFFFFF"/>
              </w:rPr>
              <w:t xml:space="preserve">– finansēšanu un raidījumu saturu. </w:t>
            </w:r>
            <w:r w:rsidRPr="00214EDD">
              <w:rPr>
                <w:rFonts w:ascii="Times New Roman" w:hAnsi="Times New Roman" w:cs="Times New Roman"/>
                <w:sz w:val="24"/>
                <w:szCs w:val="24"/>
              </w:rPr>
              <w:t>Tādējādi paliek neskarta dalībvalstu neatkarība Savienības kultūras attīstībā un kultūras daudzveidības saglabāšanā.</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Direktīvas pamatā ir izcelsmes valsts princips – audiovizuālo mediju pakalpojumu sniedzējiem jāievēro tās dalībvalsts noteikumi, kurā tie ir reģistrēti un kurā tiek pieņemti svarīgākie redakcionālie lēmumi.</w:t>
            </w:r>
            <w:r>
              <w:rPr>
                <w:rFonts w:ascii="Times New Roman" w:hAnsi="Times New Roman" w:cs="Times New Roman"/>
                <w:color w:val="000000" w:themeColor="text1"/>
                <w:sz w:val="24"/>
                <w:szCs w:val="24"/>
              </w:rPr>
              <w:t xml:space="preserve"> </w:t>
            </w:r>
            <w:r w:rsidRPr="008D25A9">
              <w:rPr>
                <w:rFonts w:ascii="Times New Roman" w:hAnsi="Times New Roman" w:cs="Times New Roman"/>
                <w:color w:val="000000" w:themeColor="text1"/>
                <w:sz w:val="24"/>
                <w:szCs w:val="24"/>
              </w:rPr>
              <w:t>Saskaņā ar Direktīvas 3. pantu dalībvalstīm jānodrošina uztveršanas brīvība un tās savā teritorijā nedrīkst ierobežot retranslāciju no citām dalībvalstīm, izņemot, ja ar retranslāciju tiek pieļauti būtiski pārkāpumi.</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Taču Direktīvas preambulas 94. apsvērums paredz, ka dalībvalstis var brīvi izvēlēties </w:t>
            </w:r>
            <w:r w:rsidRPr="008D25A9">
              <w:rPr>
                <w:rFonts w:ascii="Times New Roman" w:hAnsi="Times New Roman" w:cs="Times New Roman"/>
                <w:color w:val="000000" w:themeColor="text1"/>
                <w:sz w:val="24"/>
                <w:szCs w:val="24"/>
              </w:rPr>
              <w:lastRenderedPageBreak/>
              <w:t>atbilstīgus instrumentus saskaņā ar savām tiesiskajām tradīcijām un izveidotajām struktūrām un jo īpaši izvēlēties kompetento neatkarīgo regulatīvo struktūru formu, lai tās varētu veikt savu darbu neatkarīgi un caurskatāmi. Īpaši svarīga ir dalībvalstu un to regulatīvo struktūru sadarbība saistībā ar ietekmi, ko raidorganizācijas, kas veic uzņēmējdarbību vienā dalībvalstī, varētu radīt citā dalībvalstī. Ja valsts tiesību aktos ir paredzētas licencēšanas procedūras un ja ir iesaistīta vairāk nekā viena dalībvalsts, ir vēlams, lai attiecīgās struktūras savā starpā sazinātos, pirms tās izsniedz šādu licenci.</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Direktīvā paredzēti atsevišķi nosacījumi attiecībā uz pārraižu saturu (piemēram, raidlaiku). Dalībvalstis var noteikt satura prasības kā nosacījumu atļaujas izsniegšanai, ņemot vērā Direktīvā noteiktos vispārīgos principus.</w:t>
            </w:r>
          </w:p>
          <w:p w:rsidR="001B2481" w:rsidRPr="008D25A9"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 xml:space="preserve">Direktīvas preambulas 78. punkts citastarp paredz iespēju dalībvalstīm brīvi noteikt sīkāk izstrādātus vai stingrākus noteikumus atkarībā no valodas kritērijiem, ja vien šie noteikumi ir saderīgi ar ES tiesību aktiem un jo īpaši nav piemērojami tādas apraides retranslācijai, kuras izcelsme ir citās dalībvalstīs. </w:t>
            </w:r>
          </w:p>
          <w:p w:rsidR="001B2481" w:rsidRPr="00651A71" w:rsidRDefault="001B2481" w:rsidP="00117D8E">
            <w:pPr>
              <w:spacing w:line="240" w:lineRule="auto"/>
              <w:jc w:val="both"/>
              <w:rPr>
                <w:rFonts w:ascii="Times New Roman" w:hAnsi="Times New Roman" w:cs="Times New Roman"/>
                <w:color w:val="000000" w:themeColor="text1"/>
                <w:sz w:val="24"/>
                <w:szCs w:val="24"/>
              </w:rPr>
            </w:pPr>
            <w:r w:rsidRPr="008D25A9">
              <w:rPr>
                <w:rFonts w:ascii="Times New Roman" w:hAnsi="Times New Roman" w:cs="Times New Roman"/>
                <w:color w:val="000000" w:themeColor="text1"/>
                <w:sz w:val="24"/>
                <w:szCs w:val="24"/>
              </w:rPr>
              <w:t>Tātad nedz Konvencija, nedz Direktīva nenosaka ierobežojumus dalībvalstīm attiecībā uz kompetento uzraudzības iestāžu tiesībām noteikt maksu par atļauju izsniegšanu, grozījumu veikšanu, atļaujas nosacījumu pārskatīšanu vai par uzraudzības veikšanu. Turklāt nepastāv nekādi nosacījumi nedz par retranslācijas testa vai pagaidu režīmu, nedz arī par retranslācijas atļauju termiņiem. Dalībvalstis var izvēlēties, ciktāl tās nosaka ierobežojumus attiecībā uz pārraižu saturu (piemēram, kā nosacījumu atļaujas izsniegšanai vai pārreģistrācijai), ņemot vērā Direktīvā noteiktos principus.</w:t>
            </w:r>
          </w:p>
        </w:tc>
      </w:tr>
    </w:tbl>
    <w:p w:rsidR="001B2481" w:rsidRPr="008D25A9" w:rsidRDefault="001B2481" w:rsidP="001B2481">
      <w:pPr>
        <w:spacing w:after="0" w:line="240" w:lineRule="auto"/>
        <w:rPr>
          <w:rFonts w:ascii="Times New Roman" w:hAnsi="Times New Roman" w:cs="Times New Roman"/>
          <w:color w:val="000000" w:themeColor="text1"/>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1B2481" w:rsidRPr="008D25A9" w:rsidTr="00117D8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1B2481" w:rsidRPr="008D25A9" w:rsidTr="00117D8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C2A0386D0E834A2890CA572DAED84FC8"/>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jc w:val="both"/>
                  <w:rPr>
                    <w:rFonts w:ascii="Times New Roman" w:eastAsia="Times New Roman" w:hAnsi="Times New Roman" w:cs="Times New Roman"/>
                    <w:color w:val="000000" w:themeColor="text1"/>
                    <w:sz w:val="24"/>
                    <w:szCs w:val="24"/>
                    <w:lang w:eastAsia="lv-LV"/>
                  </w:rPr>
                </w:pPr>
                <w:r w:rsidRPr="00542333">
                  <w:rPr>
                    <w:rFonts w:ascii="Times New Roman" w:hAnsi="Times New Roman" w:cs="Times New Roman"/>
                    <w:sz w:val="24"/>
                    <w:szCs w:val="24"/>
                  </w:rPr>
                  <w:t>Notikušas konsultācijas ar Latvijas Raidorganizāciju asociāciju un Latvijas Elektronisko komunikāciju Asoc</w:t>
                </w:r>
                <w:r>
                  <w:rPr>
                    <w:rFonts w:ascii="Times New Roman" w:hAnsi="Times New Roman" w:cs="Times New Roman"/>
                    <w:sz w:val="24"/>
                    <w:szCs w:val="24"/>
                  </w:rPr>
                  <w:t>iāciju (turpmāk – asociācijas).</w:t>
                </w:r>
              </w:p>
            </w:tc>
          </w:sdtContent>
        </w:sdt>
      </w:tr>
      <w:tr w:rsidR="001B2481" w:rsidRPr="008D25A9" w:rsidTr="00117D8E">
        <w:trPr>
          <w:trHeight w:val="432"/>
          <w:jc w:val="center"/>
        </w:trPr>
        <w:tc>
          <w:tcPr>
            <w:tcW w:w="250" w:type="pct"/>
            <w:tcBorders>
              <w:top w:val="outset" w:sz="6" w:space="0" w:color="414142"/>
              <w:left w:val="outset" w:sz="6" w:space="0" w:color="414142"/>
              <w:bottom w:val="outset" w:sz="6" w:space="0" w:color="414142"/>
              <w:right w:val="outset" w:sz="6" w:space="0" w:color="414142"/>
            </w:tcBorders>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rsidR="001B2481"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Sabiedrības līdzdalība projekta izstrādē</w:t>
            </w:r>
          </w:p>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p>
        </w:tc>
        <w:tc>
          <w:tcPr>
            <w:tcW w:w="3250" w:type="pct"/>
            <w:tcBorders>
              <w:top w:val="outset" w:sz="6" w:space="0" w:color="414142"/>
              <w:left w:val="outset" w:sz="6" w:space="0" w:color="414142"/>
              <w:bottom w:val="outset" w:sz="6" w:space="0" w:color="414142"/>
              <w:right w:val="outset" w:sz="6" w:space="0" w:color="414142"/>
            </w:tcBorders>
          </w:tcPr>
          <w:p w:rsidR="001B2481" w:rsidRDefault="001B2481" w:rsidP="00117D8E">
            <w:pPr>
              <w:spacing w:line="240" w:lineRule="auto"/>
              <w:jc w:val="both"/>
              <w:rPr>
                <w:rFonts w:ascii="Times New Roman" w:eastAsia="Times New Roman" w:hAnsi="Times New Roman" w:cs="Times New Roman"/>
                <w:color w:val="000000" w:themeColor="text1"/>
                <w:sz w:val="24"/>
                <w:szCs w:val="24"/>
                <w:lang w:eastAsia="lv-LV"/>
              </w:rPr>
            </w:pPr>
            <w:r w:rsidRPr="001362AE">
              <w:rPr>
                <w:rFonts w:ascii="Times New Roman" w:eastAsia="Times New Roman" w:hAnsi="Times New Roman" w:cs="Times New Roman"/>
                <w:color w:val="000000" w:themeColor="text1"/>
                <w:sz w:val="24"/>
                <w:szCs w:val="24"/>
                <w:lang w:eastAsia="lv-LV"/>
              </w:rPr>
              <w:t>Asociācijas atbalsta to, ka var tikt ieviesti uzraudzības maksājumi, tomēr izte</w:t>
            </w:r>
            <w:r>
              <w:rPr>
                <w:rFonts w:ascii="Times New Roman" w:eastAsia="Times New Roman" w:hAnsi="Times New Roman" w:cs="Times New Roman"/>
                <w:color w:val="000000" w:themeColor="text1"/>
                <w:sz w:val="24"/>
                <w:szCs w:val="24"/>
                <w:lang w:eastAsia="lv-LV"/>
              </w:rPr>
              <w:t>ica vairākas piebildes, proti:</w:t>
            </w:r>
          </w:p>
          <w:p w:rsidR="001B2481" w:rsidRDefault="001B2481" w:rsidP="00BC04FC">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Retranslācijas definīcija un regulējums spēkā esošajā likumā neesot konsekvents, kam var piekrist, un tādēļ anotācija papildināta ar papildu skaidrojumu;</w:t>
            </w:r>
          </w:p>
          <w:p w:rsidR="001B2481" w:rsidRPr="00D00808" w:rsidRDefault="001B2481" w:rsidP="00BC04FC">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sidRPr="00D00808">
              <w:rPr>
                <w:rFonts w:ascii="Times New Roman" w:eastAsia="Times New Roman" w:hAnsi="Times New Roman" w:cs="Times New Roman"/>
                <w:color w:val="000000" w:themeColor="text1"/>
                <w:sz w:val="24"/>
                <w:szCs w:val="24"/>
                <w:lang w:eastAsia="lv-LV"/>
              </w:rPr>
              <w:t>Uzraudzības maksājumu par kabeļoperatoru izplatī</w:t>
            </w:r>
            <w:r>
              <w:rPr>
                <w:rFonts w:ascii="Times New Roman" w:eastAsia="Times New Roman" w:hAnsi="Times New Roman" w:cs="Times New Roman"/>
                <w:color w:val="000000" w:themeColor="text1"/>
                <w:sz w:val="24"/>
                <w:szCs w:val="24"/>
                <w:lang w:eastAsia="lv-LV"/>
              </w:rPr>
              <w:t>tajām programmām</w:t>
            </w:r>
            <w:r w:rsidRPr="00D00808">
              <w:rPr>
                <w:rFonts w:ascii="Times New Roman" w:eastAsia="Times New Roman" w:hAnsi="Times New Roman" w:cs="Times New Roman"/>
                <w:color w:val="000000" w:themeColor="text1"/>
                <w:sz w:val="24"/>
                <w:szCs w:val="24"/>
                <w:lang w:eastAsia="lv-LV"/>
              </w:rPr>
              <w:t xml:space="preserve"> varētu veidot kā procentu no apgrozījuma. </w:t>
            </w:r>
            <w:r>
              <w:rPr>
                <w:rFonts w:ascii="Times New Roman" w:eastAsia="Times New Roman" w:hAnsi="Times New Roman" w:cs="Times New Roman"/>
                <w:color w:val="000000" w:themeColor="text1"/>
                <w:sz w:val="24"/>
                <w:szCs w:val="24"/>
                <w:lang w:eastAsia="lv-LV"/>
              </w:rPr>
              <w:t xml:space="preserve">Pēc NEPLP ieskatiem, </w:t>
            </w:r>
            <w:r w:rsidRPr="00D00808">
              <w:rPr>
                <w:rFonts w:ascii="Times New Roman" w:hAnsi="Times New Roman" w:cs="Times New Roman"/>
                <w:sz w:val="24"/>
                <w:szCs w:val="24"/>
                <w:lang w:eastAsia="lv-LV"/>
              </w:rPr>
              <w:t xml:space="preserve">noteikt nodevu procentuāli no apgrozījuma ir iespējams, tomēr tas būs neizdevīgāk lielajiem komersantiem, ņemot vērā to, ka uzraudzības darbības neatšķiras liela vai maza komersanta gadījumā. Turklāt daudziem komersantiem šis apgrozījums ir grūti pārbaudāms, jo viņi veic arī citu saimniecisko darbību. </w:t>
            </w:r>
            <w:r>
              <w:rPr>
                <w:rFonts w:ascii="Times New Roman" w:hAnsi="Times New Roman" w:cs="Times New Roman"/>
                <w:sz w:val="24"/>
                <w:szCs w:val="24"/>
                <w:lang w:eastAsia="lv-LV"/>
              </w:rPr>
              <w:t xml:space="preserve">NEPLP piekrīt izmantot apgrozījuma rādītāju tikai, lai nošķirtu komersantus ar mazu apgrozījumu. </w:t>
            </w:r>
            <w:r w:rsidRPr="00D00808">
              <w:rPr>
                <w:rFonts w:ascii="Times New Roman" w:hAnsi="Times New Roman" w:cs="Times New Roman"/>
                <w:sz w:val="24"/>
                <w:szCs w:val="24"/>
                <w:lang w:eastAsia="lv-LV"/>
              </w:rPr>
              <w:t xml:space="preserve">Paredzētais nodevas maksājums gadā ir salīdzinoši neliels, turklāt komersantiem ar neto apgrozījumu līdz 500 000 </w:t>
            </w:r>
            <w:r w:rsidRPr="00D00808">
              <w:rPr>
                <w:rFonts w:ascii="Times New Roman" w:hAnsi="Times New Roman" w:cs="Times New Roman"/>
                <w:i/>
                <w:sz w:val="24"/>
                <w:szCs w:val="24"/>
                <w:lang w:eastAsia="lv-LV"/>
              </w:rPr>
              <w:t>euro</w:t>
            </w:r>
            <w:r w:rsidRPr="00D00808">
              <w:rPr>
                <w:rFonts w:ascii="Times New Roman" w:hAnsi="Times New Roman" w:cs="Times New Roman"/>
                <w:sz w:val="24"/>
                <w:szCs w:val="24"/>
                <w:lang w:eastAsia="lv-LV"/>
              </w:rPr>
              <w:t xml:space="preserve"> gadā, paredzēts maksas samazinājums par 50 procentiem</w:t>
            </w:r>
            <w:r>
              <w:rPr>
                <w:rFonts w:ascii="Times New Roman" w:hAnsi="Times New Roman" w:cs="Times New Roman"/>
                <w:sz w:val="24"/>
                <w:szCs w:val="24"/>
                <w:lang w:eastAsia="lv-LV"/>
              </w:rPr>
              <w:t>;</w:t>
            </w:r>
          </w:p>
          <w:p w:rsidR="001B2481" w:rsidRDefault="001B2481" w:rsidP="00BC04FC">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Paredzēt papildu atvieglojumus no uzraudzības </w:t>
            </w:r>
            <w:r>
              <w:rPr>
                <w:rFonts w:ascii="Times New Roman" w:eastAsia="Times New Roman" w:hAnsi="Times New Roman" w:cs="Times New Roman"/>
                <w:color w:val="000000" w:themeColor="text1"/>
                <w:sz w:val="24"/>
                <w:szCs w:val="24"/>
                <w:lang w:eastAsia="lv-LV"/>
              </w:rPr>
              <w:lastRenderedPageBreak/>
              <w:t>maksājuma tiem televīzijas kanāliem, kuri nodrošina vairāk vietējo saturu. Pēc NEPLP ieskatiem, to nevar tieši nodrošināt ar valsts nodevu palīdzību, jo tas varētu pārkāpt ES brīvā tirgus principus;</w:t>
            </w:r>
          </w:p>
          <w:p w:rsidR="001B2481" w:rsidRDefault="001B2481" w:rsidP="00BC04FC">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Valsts nodevu par apraides atļaujas grozījumiem noteikt fiksētā apmērā, kas tika ņemts vērā, atsakoties no procentuāla aprēķin</w:t>
            </w:r>
            <w:r w:rsidR="00BC04FC">
              <w:rPr>
                <w:rFonts w:ascii="Times New Roman" w:eastAsia="Times New Roman" w:hAnsi="Times New Roman" w:cs="Times New Roman"/>
                <w:color w:val="000000" w:themeColor="text1"/>
                <w:sz w:val="24"/>
                <w:szCs w:val="24"/>
                <w:lang w:eastAsia="lv-LV"/>
              </w:rPr>
              <w:t>a kārtības. Fiksētais apmērs 35 </w:t>
            </w:r>
            <w:r w:rsidRPr="00BC04FC">
              <w:rPr>
                <w:rFonts w:ascii="Times New Roman" w:eastAsia="Times New Roman" w:hAnsi="Times New Roman" w:cs="Times New Roman"/>
                <w:i/>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izraudzīts tādējādi, ka tā ir puse no valsts nodevas par apraides atļauju, kurai noteikumos paredzēta vismazākā valsts nodeva;</w:t>
            </w:r>
          </w:p>
          <w:p w:rsidR="00BC04FC" w:rsidRDefault="001B2481" w:rsidP="00BC04FC">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Gada uzraudzības maksu celt vēl vairāk, bet paredzēt plašāku izņēmumu sarakstu, ņemot vērā arī iespējamo pārrobežu TV skaita pieaugumu  sakarā ar Lielbritānijas paredzamo izstāšanos no Eiropas Savienības. Pēc NEPLP ieskatiem, šobrīd</w:t>
            </w:r>
            <w:r w:rsidR="00BC04FC">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šāds risinājums vēl ir pāragrs un vēl iegūstama pieredze administrēt vienkārši konstatējamus kritērijus, ņemot vērā arī apraides atļauju formulējumus, kas būtu jāpieskaņo izvērstam izņēmuma kritēriju kopumam.</w:t>
            </w:r>
          </w:p>
          <w:p w:rsidR="001B2481" w:rsidRDefault="001B2481" w:rsidP="00BC04FC">
            <w:pPr>
              <w:pStyle w:val="Sarakstarindkopa"/>
              <w:numPr>
                <w:ilvl w:val="0"/>
                <w:numId w:val="1"/>
              </w:numPr>
              <w:spacing w:line="240" w:lineRule="auto"/>
              <w:ind w:left="494"/>
              <w:jc w:val="both"/>
              <w:rPr>
                <w:rFonts w:ascii="Times New Roman" w:eastAsia="Times New Roman" w:hAnsi="Times New Roman" w:cs="Times New Roman"/>
                <w:color w:val="000000" w:themeColor="text1"/>
                <w:sz w:val="24"/>
                <w:szCs w:val="24"/>
                <w:lang w:eastAsia="lv-LV"/>
              </w:rPr>
            </w:pPr>
            <w:r w:rsidRPr="00BC04FC">
              <w:rPr>
                <w:rFonts w:ascii="Times New Roman" w:eastAsia="Times New Roman" w:hAnsi="Times New Roman" w:cs="Times New Roman"/>
                <w:color w:val="000000" w:themeColor="text1"/>
                <w:sz w:val="24"/>
                <w:szCs w:val="24"/>
                <w:lang w:eastAsia="lv-LV"/>
              </w:rPr>
              <w:t>Asociācijas norādīja, ka ir būtiski, ka līdzekļi, kas iegūti jauno nodevu piemērošanas rezultātā, tiek piešķirti NEPLP uzraudzības funkciju veikšanai.</w:t>
            </w:r>
          </w:p>
        </w:tc>
      </w:tr>
      <w:tr w:rsidR="001B2481" w:rsidRPr="008D25A9" w:rsidTr="00117D8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Sabiedrības līdzdalības rezultāti</w:t>
            </w:r>
          </w:p>
        </w:tc>
        <w:sdt>
          <w:sdtPr>
            <w:rPr>
              <w:rFonts w:ascii="Times New Roman" w:eastAsia="Times New Roman" w:hAnsi="Times New Roman" w:cs="Times New Roman"/>
              <w:color w:val="000000" w:themeColor="text1"/>
              <w:sz w:val="24"/>
              <w:szCs w:val="24"/>
              <w:lang w:eastAsia="lv-LV"/>
            </w:rPr>
            <w:id w:val="-658998965"/>
            <w:placeholder>
              <w:docPart w:val="1F6219E103244EAAAD0D3C92842BA586"/>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1B2481" w:rsidRPr="008D25A9" w:rsidRDefault="00BC04FC" w:rsidP="00BC04FC">
                <w:pPr>
                  <w:spacing w:after="0" w:line="240" w:lineRule="auto"/>
                  <w:jc w:val="both"/>
                  <w:rPr>
                    <w:rFonts w:ascii="Times New Roman" w:eastAsia="Times New Roman" w:hAnsi="Times New Roman" w:cs="Times New Roman"/>
                    <w:color w:val="000000" w:themeColor="text1"/>
                    <w:sz w:val="24"/>
                    <w:szCs w:val="24"/>
                    <w:lang w:eastAsia="lv-LV"/>
                  </w:rPr>
                </w:pPr>
                <w:r w:rsidRPr="001C348A">
                  <w:rPr>
                    <w:rFonts w:ascii="Times New Roman" w:eastAsia="Times New Roman" w:hAnsi="Times New Roman" w:cs="Times New Roman"/>
                    <w:color w:val="000000" w:themeColor="text1"/>
                    <w:sz w:val="24"/>
                    <w:szCs w:val="24"/>
                    <w:lang w:eastAsia="lv-LV"/>
                  </w:rPr>
                  <w:t xml:space="preserve">Asociācijas </w:t>
                </w:r>
                <w:r>
                  <w:rPr>
                    <w:rFonts w:ascii="Times New Roman" w:eastAsia="Times New Roman" w:hAnsi="Times New Roman" w:cs="Times New Roman"/>
                    <w:color w:val="000000" w:themeColor="text1"/>
                    <w:sz w:val="24"/>
                    <w:szCs w:val="24"/>
                    <w:lang w:eastAsia="lv-LV"/>
                  </w:rPr>
                  <w:t xml:space="preserve">konceptuāli </w:t>
                </w:r>
                <w:r w:rsidRPr="001C348A">
                  <w:rPr>
                    <w:rFonts w:ascii="Times New Roman" w:eastAsia="Times New Roman" w:hAnsi="Times New Roman" w:cs="Times New Roman"/>
                    <w:color w:val="000000" w:themeColor="text1"/>
                    <w:sz w:val="24"/>
                    <w:szCs w:val="24"/>
                    <w:lang w:eastAsia="lv-LV"/>
                  </w:rPr>
                  <w:t xml:space="preserve">atbalsta </w:t>
                </w:r>
                <w:r>
                  <w:rPr>
                    <w:rFonts w:ascii="Times New Roman" w:eastAsia="Times New Roman" w:hAnsi="Times New Roman" w:cs="Times New Roman"/>
                    <w:color w:val="000000" w:themeColor="text1"/>
                    <w:sz w:val="24"/>
                    <w:szCs w:val="24"/>
                    <w:lang w:eastAsia="lv-LV"/>
                  </w:rPr>
                  <w:t>Likumprojekta turpmāku virzību.</w:t>
                </w:r>
              </w:p>
            </w:tc>
          </w:sdtContent>
        </w:sdt>
      </w:tr>
      <w:tr w:rsidR="001B2481" w:rsidRPr="008D25A9" w:rsidTr="00117D8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429309444"/>
            <w:placeholder>
              <w:docPart w:val="B418502BCE004512B0AF999B5D173449"/>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sdtContent>
        </w:sdt>
      </w:tr>
    </w:tbl>
    <w:p w:rsidR="001B2481" w:rsidRPr="008D25A9" w:rsidRDefault="001B2481" w:rsidP="001B2481">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1B2481" w:rsidRPr="008D25A9" w:rsidTr="00117D8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2481" w:rsidRPr="008D25A9" w:rsidRDefault="001B2481" w:rsidP="00117D8E">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D25A9">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1B2481" w:rsidRPr="008D25A9" w:rsidTr="00117D8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Projekta izpildē iesaistītās institūcijas</w:t>
            </w:r>
          </w:p>
        </w:tc>
        <w:sdt>
          <w:sdtPr>
            <w:rPr>
              <w:rFonts w:ascii="Times New Roman" w:eastAsia="Times New Roman" w:hAnsi="Times New Roman" w:cs="Times New Roman"/>
              <w:color w:val="000000" w:themeColor="text1"/>
              <w:sz w:val="24"/>
              <w:szCs w:val="24"/>
              <w:lang w:eastAsia="lv-LV"/>
            </w:rPr>
            <w:id w:val="236444182"/>
            <w:placeholder>
              <w:docPart w:val="0A7875A5BA61416CBE4092DD0EFB68BA"/>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Nacionālā elektronisko plašsaziņas līdzekļu padome</w:t>
                </w:r>
                <w:r w:rsidR="00BC04F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tc>
          </w:sdtContent>
        </w:sdt>
      </w:tr>
      <w:tr w:rsidR="001B2481" w:rsidRPr="008D25A9" w:rsidTr="00117D8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B2481" w:rsidRDefault="001B2481" w:rsidP="00AF36BB">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AF36BB" w:rsidRPr="008D25A9" w:rsidRDefault="00AF36BB" w:rsidP="00AF36BB">
            <w:pPr>
              <w:spacing w:after="0" w:line="240" w:lineRule="auto"/>
              <w:rPr>
                <w:rFonts w:ascii="Times New Roman" w:eastAsia="Times New Roman" w:hAnsi="Times New Roman" w:cs="Times New Roman"/>
                <w:color w:val="000000" w:themeColor="text1"/>
                <w:sz w:val="24"/>
                <w:szCs w:val="24"/>
                <w:lang w:eastAsia="lv-LV"/>
              </w:rPr>
            </w:pPr>
          </w:p>
          <w:p w:rsidR="001B2481" w:rsidRPr="008D25A9" w:rsidRDefault="001B2481" w:rsidP="00AF36BB">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B2481" w:rsidRPr="008D25A9" w:rsidRDefault="00EF16F2" w:rsidP="00117D8E">
            <w:pPr>
              <w:spacing w:after="0" w:line="240" w:lineRule="auto"/>
              <w:jc w:val="both"/>
              <w:rPr>
                <w:rFonts w:ascii="Times New Roman" w:eastAsia="Times New Roman" w:hAnsi="Times New Roman" w:cs="Times New Roman"/>
                <w:color w:val="000000" w:themeColor="text1"/>
                <w:sz w:val="24"/>
                <w:szCs w:val="24"/>
                <w:lang w:eastAsia="lv-LV"/>
              </w:rPr>
            </w:pPr>
            <w:sdt>
              <w:sdtPr>
                <w:rPr>
                  <w:rFonts w:ascii="Times New Roman" w:eastAsia="Times New Roman" w:hAnsi="Times New Roman" w:cs="Times New Roman"/>
                  <w:color w:val="000000" w:themeColor="text1"/>
                  <w:sz w:val="24"/>
                  <w:szCs w:val="24"/>
                  <w:lang w:eastAsia="lv-LV"/>
                </w:rPr>
                <w:id w:val="2104843284"/>
                <w:placeholder>
                  <w:docPart w:val="ECD01D8819C44DE1BEBFB7A875ACC2BD"/>
                </w:placeholder>
                <w:text/>
              </w:sdtPr>
              <w:sdtContent>
                <w:r w:rsidR="001B2481" w:rsidRPr="00CD37F0">
                  <w:rPr>
                    <w:rFonts w:ascii="Times New Roman" w:eastAsia="Times New Roman" w:hAnsi="Times New Roman" w:cs="Times New Roman"/>
                    <w:color w:val="000000" w:themeColor="text1"/>
                    <w:sz w:val="24"/>
                    <w:szCs w:val="24"/>
                    <w:lang w:eastAsia="lv-LV"/>
                  </w:rPr>
                  <w:t>Jaunas institūcijas netiek veidotas. Viens no grozījumu mērķiem ir nodrošināt, ka uzraudzības funkcijas tiek izmantotas sistemātiski un visaptveroši.</w:t>
                </w:r>
              </w:sdtContent>
            </w:sdt>
          </w:p>
        </w:tc>
      </w:tr>
      <w:tr w:rsidR="001B2481" w:rsidRPr="008D25A9" w:rsidTr="00117D8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680F3C">
            <w:pPr>
              <w:spacing w:after="0" w:line="240" w:lineRule="auto"/>
              <w:jc w:val="center"/>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AF36BB">
            <w:pPr>
              <w:spacing w:after="0" w:line="240" w:lineRule="auto"/>
              <w:rPr>
                <w:rFonts w:ascii="Times New Roman" w:eastAsia="Times New Roman" w:hAnsi="Times New Roman" w:cs="Times New Roman"/>
                <w:color w:val="000000" w:themeColor="text1"/>
                <w:sz w:val="24"/>
                <w:szCs w:val="24"/>
                <w:lang w:eastAsia="lv-LV"/>
              </w:rPr>
            </w:pPr>
            <w:r w:rsidRPr="008D25A9">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94525907"/>
            <w:placeholder>
              <w:docPart w:val="3786C32CB21F40E4ABE8AD3BC8E865A8"/>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1B2481" w:rsidRPr="008D25A9" w:rsidRDefault="001B2481" w:rsidP="00117D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Nav. </w:t>
                </w:r>
              </w:p>
            </w:tc>
          </w:sdtContent>
        </w:sdt>
      </w:tr>
    </w:tbl>
    <w:p w:rsidR="0014102C" w:rsidRDefault="0014102C"/>
    <w:p w:rsidR="00FE3D9B" w:rsidRPr="00FE3D9B" w:rsidRDefault="00FE3D9B" w:rsidP="00FE3D9B">
      <w:pPr>
        <w:spacing w:after="0" w:line="240" w:lineRule="auto"/>
        <w:ind w:left="142"/>
        <w:jc w:val="both"/>
        <w:rPr>
          <w:rFonts w:ascii="Times New Roman" w:eastAsia="Calibri" w:hAnsi="Times New Roman" w:cs="Times New Roman"/>
          <w:sz w:val="24"/>
          <w:szCs w:val="24"/>
        </w:rPr>
      </w:pPr>
      <w:r w:rsidRPr="00FE3D9B">
        <w:rPr>
          <w:rFonts w:ascii="Times New Roman" w:eastAsia="Calibri" w:hAnsi="Times New Roman" w:cs="Times New Roman"/>
          <w:sz w:val="24"/>
          <w:szCs w:val="24"/>
        </w:rPr>
        <w:t>Kultūras ministre</w:t>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r>
      <w:r w:rsidRPr="00FE3D9B">
        <w:rPr>
          <w:rFonts w:ascii="Times New Roman" w:eastAsia="Calibri" w:hAnsi="Times New Roman" w:cs="Times New Roman"/>
          <w:sz w:val="24"/>
          <w:szCs w:val="24"/>
        </w:rPr>
        <w:tab/>
        <w:t>D.Melbārde</w:t>
      </w:r>
    </w:p>
    <w:p w:rsidR="00BC04FC" w:rsidRPr="008F2DC7" w:rsidRDefault="00BC04FC" w:rsidP="00BC04FC">
      <w:pPr>
        <w:spacing w:after="0" w:line="240" w:lineRule="auto"/>
        <w:ind w:left="142"/>
        <w:jc w:val="both"/>
        <w:rPr>
          <w:rFonts w:ascii="Times New Roman" w:eastAsia="Calibri" w:hAnsi="Times New Roman" w:cs="Times New Roman"/>
          <w:sz w:val="24"/>
          <w:szCs w:val="24"/>
        </w:rPr>
      </w:pPr>
    </w:p>
    <w:p w:rsidR="00BC04FC" w:rsidRPr="008F2DC7" w:rsidRDefault="00BC04FC" w:rsidP="00BC04FC">
      <w:pPr>
        <w:spacing w:after="0" w:line="240" w:lineRule="auto"/>
        <w:ind w:left="142"/>
        <w:jc w:val="both"/>
        <w:rPr>
          <w:rFonts w:ascii="Times New Roman" w:eastAsia="Times New Roman" w:hAnsi="Times New Roman" w:cs="Times New Roman"/>
          <w:sz w:val="24"/>
          <w:szCs w:val="24"/>
          <w:lang w:eastAsia="lv-LV"/>
        </w:rPr>
      </w:pPr>
      <w:r w:rsidRPr="008F2DC7">
        <w:rPr>
          <w:rFonts w:ascii="Times New Roman" w:eastAsia="Times New Roman" w:hAnsi="Times New Roman" w:cs="Times New Roman"/>
          <w:sz w:val="24"/>
          <w:szCs w:val="24"/>
          <w:lang w:eastAsia="lv-LV"/>
        </w:rPr>
        <w:t xml:space="preserve">Vīza: </w:t>
      </w:r>
      <w:r>
        <w:rPr>
          <w:rFonts w:ascii="Times New Roman" w:eastAsia="Times New Roman" w:hAnsi="Times New Roman" w:cs="Times New Roman"/>
          <w:sz w:val="24"/>
          <w:szCs w:val="24"/>
          <w:lang w:eastAsia="lv-LV"/>
        </w:rPr>
        <w:t>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31731">
        <w:rPr>
          <w:rFonts w:ascii="Times New Roman" w:eastAsia="Times New Roman" w:hAnsi="Times New Roman" w:cs="Times New Roman"/>
          <w:sz w:val="24"/>
          <w:szCs w:val="24"/>
          <w:lang w:eastAsia="lv-LV"/>
        </w:rPr>
        <w:tab/>
      </w:r>
      <w:r w:rsidRPr="008F2DC7">
        <w:rPr>
          <w:rFonts w:ascii="Times New Roman" w:eastAsia="Times New Roman" w:hAnsi="Times New Roman" w:cs="Times New Roman"/>
          <w:sz w:val="24"/>
          <w:szCs w:val="24"/>
          <w:lang w:eastAsia="lv-LV"/>
        </w:rPr>
        <w:t>S.Voldiņš</w:t>
      </w:r>
    </w:p>
    <w:p w:rsidR="00BC04FC" w:rsidRDefault="00BC04FC"/>
    <w:p w:rsidR="00FE3D9B" w:rsidRDefault="00FE3D9B"/>
    <w:p w:rsidR="00BC04FC" w:rsidRPr="008F2DC7" w:rsidRDefault="00BC04FC" w:rsidP="00BC04FC">
      <w:pPr>
        <w:widowControl w:val="0"/>
        <w:spacing w:after="0" w:line="240" w:lineRule="auto"/>
        <w:jc w:val="both"/>
        <w:rPr>
          <w:rFonts w:ascii="Times New Roman" w:eastAsia="Calibri" w:hAnsi="Times New Roman" w:cs="Times New Roman"/>
          <w:sz w:val="20"/>
          <w:szCs w:val="20"/>
        </w:rPr>
      </w:pPr>
      <w:r w:rsidRPr="008F2DC7">
        <w:rPr>
          <w:rFonts w:ascii="Times New Roman" w:eastAsia="Calibri" w:hAnsi="Times New Roman" w:cs="Times New Roman"/>
          <w:sz w:val="20"/>
          <w:szCs w:val="20"/>
        </w:rPr>
        <w:t xml:space="preserve">Irbe </w:t>
      </w:r>
      <w:bookmarkStart w:id="5" w:name="OLE_LINK49"/>
      <w:bookmarkStart w:id="6" w:name="OLE_LINK50"/>
      <w:r w:rsidRPr="008F2DC7">
        <w:rPr>
          <w:rFonts w:ascii="Times New Roman" w:eastAsia="Calibri" w:hAnsi="Times New Roman" w:cs="Times New Roman"/>
          <w:sz w:val="20"/>
          <w:szCs w:val="20"/>
          <w:lang w:val="en-US"/>
        </w:rPr>
        <w:t>67221848</w:t>
      </w:r>
    </w:p>
    <w:p w:rsidR="00BC04FC" w:rsidRDefault="00EF16F2" w:rsidP="00B8385A">
      <w:pPr>
        <w:spacing w:after="0" w:line="240" w:lineRule="auto"/>
      </w:pPr>
      <w:hyperlink r:id="rId7" w:history="1">
        <w:r w:rsidR="00BC04FC" w:rsidRPr="008F2DC7">
          <w:rPr>
            <w:rFonts w:ascii="Times New Roman" w:eastAsia="Calibri" w:hAnsi="Times New Roman" w:cs="Times New Roman"/>
            <w:color w:val="0000FF"/>
            <w:sz w:val="20"/>
            <w:u w:val="single"/>
            <w:lang w:val="en-US"/>
          </w:rPr>
          <w:t>sanda.irbe@neplpadome.lv</w:t>
        </w:r>
      </w:hyperlink>
      <w:bookmarkEnd w:id="5"/>
      <w:bookmarkEnd w:id="6"/>
    </w:p>
    <w:sectPr w:rsidR="00BC04FC" w:rsidSect="00BC04FC">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DE" w:rsidRDefault="005B2FDE" w:rsidP="001B2481">
      <w:pPr>
        <w:spacing w:after="0" w:line="240" w:lineRule="auto"/>
      </w:pPr>
      <w:r>
        <w:separator/>
      </w:r>
    </w:p>
  </w:endnote>
  <w:endnote w:type="continuationSeparator" w:id="0">
    <w:p w:rsidR="005B2FDE" w:rsidRDefault="005B2FDE" w:rsidP="001B2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3D" w:rsidRPr="00BC1E3D" w:rsidRDefault="006D17FD">
    <w:pPr>
      <w:pStyle w:val="Kjene"/>
      <w:jc w:val="center"/>
      <w:rPr>
        <w:rFonts w:ascii="Times New Roman" w:hAnsi="Times New Roman" w:cs="Times New Roman"/>
      </w:rPr>
    </w:pPr>
  </w:p>
  <w:p w:rsidR="00CC0AE1" w:rsidRPr="00BC04FC" w:rsidRDefault="00B8385A">
    <w:pPr>
      <w:pStyle w:val="Kjene"/>
      <w:rPr>
        <w:sz w:val="20"/>
        <w:szCs w:val="20"/>
      </w:rPr>
    </w:pPr>
    <w:r>
      <w:rPr>
        <w:rFonts w:ascii="Times New Roman" w:eastAsia="Calibri" w:hAnsi="Times New Roman" w:cs="Times New Roman"/>
        <w:sz w:val="20"/>
        <w:szCs w:val="20"/>
      </w:rPr>
      <w:t>KMAnot_21</w:t>
    </w:r>
    <w:r w:rsidR="00BC04FC" w:rsidRPr="00BC04FC">
      <w:rPr>
        <w:rFonts w:ascii="Times New Roman" w:eastAsia="Calibri" w:hAnsi="Times New Roman" w:cs="Times New Roman"/>
        <w:sz w:val="20"/>
        <w:szCs w:val="20"/>
      </w:rPr>
      <w:t>0917_nodeva_NN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FC" w:rsidRPr="00BC04FC" w:rsidRDefault="00DB19FC">
    <w:pPr>
      <w:pStyle w:val="Kjene"/>
      <w:rPr>
        <w:sz w:val="20"/>
        <w:szCs w:val="20"/>
      </w:rPr>
    </w:pPr>
    <w:r>
      <w:rPr>
        <w:rFonts w:ascii="Times New Roman" w:eastAsia="Calibri" w:hAnsi="Times New Roman" w:cs="Times New Roman"/>
        <w:sz w:val="20"/>
        <w:szCs w:val="20"/>
      </w:rPr>
      <w:t>KMAnot_20</w:t>
    </w:r>
    <w:r w:rsidR="00BC04FC" w:rsidRPr="00BC04FC">
      <w:rPr>
        <w:rFonts w:ascii="Times New Roman" w:eastAsia="Calibri" w:hAnsi="Times New Roman" w:cs="Times New Roman"/>
        <w:sz w:val="20"/>
        <w:szCs w:val="20"/>
      </w:rPr>
      <w:t>0917_nodeva_NN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DE" w:rsidRDefault="005B2FDE" w:rsidP="001B2481">
      <w:pPr>
        <w:spacing w:after="0" w:line="240" w:lineRule="auto"/>
      </w:pPr>
      <w:r>
        <w:separator/>
      </w:r>
    </w:p>
  </w:footnote>
  <w:footnote w:type="continuationSeparator" w:id="0">
    <w:p w:rsidR="005B2FDE" w:rsidRDefault="005B2FDE" w:rsidP="001B2481">
      <w:pPr>
        <w:spacing w:after="0" w:line="240" w:lineRule="auto"/>
      </w:pPr>
      <w:r>
        <w:continuationSeparator/>
      </w:r>
    </w:p>
  </w:footnote>
  <w:footnote w:id="1">
    <w:p w:rsidR="001B2481" w:rsidRPr="0051663D" w:rsidRDefault="001B2481" w:rsidP="001B2481">
      <w:pPr>
        <w:pStyle w:val="Vresteksts"/>
        <w:rPr>
          <w:rFonts w:ascii="Times New Roman" w:hAnsi="Times New Roman" w:cs="Times New Roman"/>
          <w:sz w:val="16"/>
          <w:szCs w:val="16"/>
        </w:rPr>
      </w:pPr>
      <w:r w:rsidRPr="0051663D">
        <w:rPr>
          <w:rStyle w:val="Vresatsauce"/>
          <w:rFonts w:ascii="Times New Roman" w:hAnsi="Times New Roman" w:cs="Times New Roman"/>
          <w:sz w:val="16"/>
          <w:szCs w:val="16"/>
        </w:rPr>
        <w:footnoteRef/>
      </w:r>
      <w:r w:rsidRPr="0051663D">
        <w:rPr>
          <w:rFonts w:ascii="Times New Roman" w:hAnsi="Times New Roman" w:cs="Times New Roman"/>
          <w:sz w:val="16"/>
          <w:szCs w:val="16"/>
        </w:rPr>
        <w:t xml:space="preserve"> Informatīvais ziņojums "Par valsts nodevu un maksas pakalpojumu nošķiršanu un nodevu sistēmas pilnveidošanu". Pieejams: </w:t>
      </w:r>
      <w:hyperlink r:id="rId1" w:history="1">
        <w:r w:rsidRPr="0051663D">
          <w:rPr>
            <w:rStyle w:val="Hipersaite"/>
            <w:rFonts w:ascii="Times New Roman" w:hAnsi="Times New Roman" w:cs="Times New Roman"/>
            <w:sz w:val="16"/>
            <w:szCs w:val="16"/>
          </w:rPr>
          <w:t>http://tap.mk.gov.lv/mk/tap/?pid=40231355</w:t>
        </w:r>
      </w:hyperlink>
      <w:r w:rsidRPr="0051663D">
        <w:rPr>
          <w:rFonts w:ascii="Times New Roman" w:hAnsi="Times New Roman" w:cs="Times New Roman"/>
          <w:sz w:val="16"/>
          <w:szCs w:val="16"/>
        </w:rPr>
        <w:t xml:space="preserve"> [aplūkots 2017. gada 5. jūlijā]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700"/>
      <w:docPartObj>
        <w:docPartGallery w:val="Page Numbers (Top of Page)"/>
        <w:docPartUnique/>
      </w:docPartObj>
    </w:sdtPr>
    <w:sdtEndPr>
      <w:rPr>
        <w:rFonts w:ascii="Times New Roman" w:hAnsi="Times New Roman" w:cs="Times New Roman"/>
      </w:rPr>
    </w:sdtEndPr>
    <w:sdtContent>
      <w:p w:rsidR="00BC04FC" w:rsidRPr="00BC04FC" w:rsidRDefault="00EF16F2">
        <w:pPr>
          <w:pStyle w:val="Galvene"/>
          <w:jc w:val="center"/>
          <w:rPr>
            <w:rFonts w:ascii="Times New Roman" w:hAnsi="Times New Roman" w:cs="Times New Roman"/>
          </w:rPr>
        </w:pPr>
        <w:r w:rsidRPr="00BC04FC">
          <w:rPr>
            <w:rFonts w:ascii="Times New Roman" w:hAnsi="Times New Roman" w:cs="Times New Roman"/>
          </w:rPr>
          <w:fldChar w:fldCharType="begin"/>
        </w:r>
        <w:r w:rsidR="00BC04FC" w:rsidRPr="00BC04FC">
          <w:rPr>
            <w:rFonts w:ascii="Times New Roman" w:hAnsi="Times New Roman" w:cs="Times New Roman"/>
          </w:rPr>
          <w:instrText xml:space="preserve"> PAGE   \* MERGEFORMAT </w:instrText>
        </w:r>
        <w:r w:rsidRPr="00BC04FC">
          <w:rPr>
            <w:rFonts w:ascii="Times New Roman" w:hAnsi="Times New Roman" w:cs="Times New Roman"/>
          </w:rPr>
          <w:fldChar w:fldCharType="separate"/>
        </w:r>
        <w:r w:rsidR="006D17FD">
          <w:rPr>
            <w:rFonts w:ascii="Times New Roman" w:hAnsi="Times New Roman" w:cs="Times New Roman"/>
            <w:noProof/>
          </w:rPr>
          <w:t>11</w:t>
        </w:r>
        <w:r w:rsidRPr="00BC04FC">
          <w:rPr>
            <w:rFonts w:ascii="Times New Roman" w:hAnsi="Times New Roman" w:cs="Times New Roman"/>
          </w:rPr>
          <w:fldChar w:fldCharType="end"/>
        </w:r>
      </w:p>
    </w:sdtContent>
  </w:sdt>
  <w:p w:rsidR="00BC04FC" w:rsidRDefault="00BC04F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696"/>
      <w:docPartObj>
        <w:docPartGallery w:val="Page Numbers (Top of Page)"/>
        <w:docPartUnique/>
      </w:docPartObj>
    </w:sdtPr>
    <w:sdtContent>
      <w:p w:rsidR="00BC04FC" w:rsidRDefault="00EF16F2">
        <w:pPr>
          <w:pStyle w:val="Galvene"/>
          <w:jc w:val="center"/>
        </w:pPr>
      </w:p>
    </w:sdtContent>
  </w:sdt>
  <w:p w:rsidR="00BC04FC" w:rsidRDefault="00BC04F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61F59"/>
    <w:multiLevelType w:val="hybridMultilevel"/>
    <w:tmpl w:val="B016E0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1007AB"/>
    <w:multiLevelType w:val="hybridMultilevel"/>
    <w:tmpl w:val="BE4AC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794D61"/>
    <w:multiLevelType w:val="hybridMultilevel"/>
    <w:tmpl w:val="93BAC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4D1C26"/>
    <w:multiLevelType w:val="hybridMultilevel"/>
    <w:tmpl w:val="77F695B6"/>
    <w:lvl w:ilvl="0" w:tplc="FACAC704">
      <w:start w:val="1"/>
      <w:numFmt w:val="decimal"/>
      <w:lvlText w:val="%1."/>
      <w:lvlJc w:val="left"/>
      <w:pPr>
        <w:ind w:left="1635" w:hanging="360"/>
      </w:pPr>
      <w:rPr>
        <w:rFonts w:hint="default"/>
      </w:rPr>
    </w:lvl>
    <w:lvl w:ilvl="1" w:tplc="04260019">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2481"/>
    <w:rsid w:val="00076CC8"/>
    <w:rsid w:val="000B5195"/>
    <w:rsid w:val="000C7F49"/>
    <w:rsid w:val="000F3FC7"/>
    <w:rsid w:val="0014102C"/>
    <w:rsid w:val="001411DF"/>
    <w:rsid w:val="00142FE4"/>
    <w:rsid w:val="001B2481"/>
    <w:rsid w:val="001E2D0C"/>
    <w:rsid w:val="002D53C9"/>
    <w:rsid w:val="00331731"/>
    <w:rsid w:val="003B1C64"/>
    <w:rsid w:val="00423FA2"/>
    <w:rsid w:val="00450F4B"/>
    <w:rsid w:val="005026D4"/>
    <w:rsid w:val="005539E1"/>
    <w:rsid w:val="005646A7"/>
    <w:rsid w:val="005B2FDE"/>
    <w:rsid w:val="006374C6"/>
    <w:rsid w:val="006475BA"/>
    <w:rsid w:val="00672D0E"/>
    <w:rsid w:val="00680F3C"/>
    <w:rsid w:val="006D17FD"/>
    <w:rsid w:val="0070392E"/>
    <w:rsid w:val="007311ED"/>
    <w:rsid w:val="007E3D81"/>
    <w:rsid w:val="00864464"/>
    <w:rsid w:val="008974AE"/>
    <w:rsid w:val="009053B2"/>
    <w:rsid w:val="00A24328"/>
    <w:rsid w:val="00AF36BB"/>
    <w:rsid w:val="00AF45E1"/>
    <w:rsid w:val="00B8385A"/>
    <w:rsid w:val="00B92C6F"/>
    <w:rsid w:val="00BA6D36"/>
    <w:rsid w:val="00BC04FC"/>
    <w:rsid w:val="00CE2796"/>
    <w:rsid w:val="00D17433"/>
    <w:rsid w:val="00DB19FC"/>
    <w:rsid w:val="00E473C0"/>
    <w:rsid w:val="00EC2A9D"/>
    <w:rsid w:val="00EF16F2"/>
    <w:rsid w:val="00F27B9F"/>
    <w:rsid w:val="00F90C77"/>
    <w:rsid w:val="00FE3D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B24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1B2481"/>
    <w:pPr>
      <w:ind w:left="720"/>
      <w:contextualSpacing/>
    </w:pPr>
  </w:style>
  <w:style w:type="character" w:styleId="Hipersaite">
    <w:name w:val="Hyperlink"/>
    <w:basedOn w:val="Noklusjumarindkopasfonts"/>
    <w:uiPriority w:val="99"/>
    <w:semiHidden/>
    <w:unhideWhenUsed/>
    <w:rsid w:val="001B2481"/>
    <w:rPr>
      <w:color w:val="0000FF"/>
      <w:u w:val="single"/>
    </w:rPr>
  </w:style>
  <w:style w:type="paragraph" w:styleId="Kjene">
    <w:name w:val="footer"/>
    <w:basedOn w:val="Parastais"/>
    <w:link w:val="KjeneRakstz"/>
    <w:uiPriority w:val="99"/>
    <w:unhideWhenUsed/>
    <w:rsid w:val="001B24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2481"/>
  </w:style>
  <w:style w:type="paragraph" w:styleId="Vresteksts">
    <w:name w:val="footnote text"/>
    <w:basedOn w:val="Parastais"/>
    <w:link w:val="VrestekstsRakstz"/>
    <w:uiPriority w:val="99"/>
    <w:semiHidden/>
    <w:unhideWhenUsed/>
    <w:rsid w:val="001B248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B2481"/>
    <w:rPr>
      <w:sz w:val="20"/>
      <w:szCs w:val="20"/>
    </w:rPr>
  </w:style>
  <w:style w:type="character" w:styleId="Vresatsauce">
    <w:name w:val="footnote reference"/>
    <w:basedOn w:val="Noklusjumarindkopasfonts"/>
    <w:uiPriority w:val="99"/>
    <w:semiHidden/>
    <w:unhideWhenUsed/>
    <w:rsid w:val="001B2481"/>
    <w:rPr>
      <w:vertAlign w:val="superscript"/>
    </w:rPr>
  </w:style>
  <w:style w:type="character" w:styleId="Izteiksmgs">
    <w:name w:val="Strong"/>
    <w:basedOn w:val="Noklusjumarindkopasfonts"/>
    <w:uiPriority w:val="22"/>
    <w:qFormat/>
    <w:rsid w:val="001B2481"/>
    <w:rPr>
      <w:b/>
      <w:bCs/>
    </w:rPr>
  </w:style>
  <w:style w:type="paragraph" w:styleId="Balonteksts">
    <w:name w:val="Balloon Text"/>
    <w:basedOn w:val="Parastais"/>
    <w:link w:val="BalontekstsRakstz"/>
    <w:uiPriority w:val="99"/>
    <w:semiHidden/>
    <w:unhideWhenUsed/>
    <w:rsid w:val="00BC04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04FC"/>
    <w:rPr>
      <w:rFonts w:ascii="Tahoma" w:hAnsi="Tahoma" w:cs="Tahoma"/>
      <w:sz w:val="16"/>
      <w:szCs w:val="16"/>
    </w:rPr>
  </w:style>
  <w:style w:type="paragraph" w:styleId="Galvene">
    <w:name w:val="header"/>
    <w:basedOn w:val="Parastais"/>
    <w:link w:val="GalveneRakstz"/>
    <w:uiPriority w:val="99"/>
    <w:unhideWhenUsed/>
    <w:rsid w:val="00BC04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04FC"/>
  </w:style>
</w:styles>
</file>

<file path=word/webSettings.xml><?xml version="1.0" encoding="utf-8"?>
<w:webSettings xmlns:r="http://schemas.openxmlformats.org/officeDocument/2006/relationships" xmlns:w="http://schemas.openxmlformats.org/wordprocessingml/2006/main">
  <w:divs>
    <w:div w:id="464927100">
      <w:bodyDiv w:val="1"/>
      <w:marLeft w:val="0"/>
      <w:marRight w:val="0"/>
      <w:marTop w:val="0"/>
      <w:marBottom w:val="0"/>
      <w:divBdr>
        <w:top w:val="none" w:sz="0" w:space="0" w:color="auto"/>
        <w:left w:val="none" w:sz="0" w:space="0" w:color="auto"/>
        <w:bottom w:val="none" w:sz="0" w:space="0" w:color="auto"/>
        <w:right w:val="none" w:sz="0" w:space="0" w:color="auto"/>
      </w:divBdr>
    </w:div>
    <w:div w:id="785345045">
      <w:bodyDiv w:val="1"/>
      <w:marLeft w:val="0"/>
      <w:marRight w:val="0"/>
      <w:marTop w:val="0"/>
      <w:marBottom w:val="0"/>
      <w:divBdr>
        <w:top w:val="none" w:sz="0" w:space="0" w:color="auto"/>
        <w:left w:val="none" w:sz="0" w:space="0" w:color="auto"/>
        <w:bottom w:val="none" w:sz="0" w:space="0" w:color="auto"/>
        <w:right w:val="none" w:sz="0" w:space="0" w:color="auto"/>
      </w:divBdr>
    </w:div>
    <w:div w:id="1341161303">
      <w:bodyDiv w:val="1"/>
      <w:marLeft w:val="0"/>
      <w:marRight w:val="0"/>
      <w:marTop w:val="0"/>
      <w:marBottom w:val="0"/>
      <w:divBdr>
        <w:top w:val="none" w:sz="0" w:space="0" w:color="auto"/>
        <w:left w:val="none" w:sz="0" w:space="0" w:color="auto"/>
        <w:bottom w:val="none" w:sz="0" w:space="0" w:color="auto"/>
        <w:right w:val="none" w:sz="0" w:space="0" w:color="auto"/>
      </w:divBdr>
    </w:div>
    <w:div w:id="1623536114">
      <w:bodyDiv w:val="1"/>
      <w:marLeft w:val="0"/>
      <w:marRight w:val="0"/>
      <w:marTop w:val="0"/>
      <w:marBottom w:val="0"/>
      <w:divBdr>
        <w:top w:val="none" w:sz="0" w:space="0" w:color="auto"/>
        <w:left w:val="none" w:sz="0" w:space="0" w:color="auto"/>
        <w:bottom w:val="none" w:sz="0" w:space="0" w:color="auto"/>
        <w:right w:val="none" w:sz="0" w:space="0" w:color="auto"/>
      </w:divBdr>
    </w:div>
    <w:div w:id="1747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nda.irbe@neplpado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2313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8B83F5F32E42FA9F50CA4542C74A7D"/>
        <w:category>
          <w:name w:val="General"/>
          <w:gallery w:val="placeholder"/>
        </w:category>
        <w:types>
          <w:type w:val="bbPlcHdr"/>
        </w:types>
        <w:behaviors>
          <w:behavior w:val="content"/>
        </w:behaviors>
        <w:guid w:val="{F01566E2-33F1-4419-BE95-88F06AC3EE26}"/>
      </w:docPartPr>
      <w:docPartBody>
        <w:p w:rsidR="00764018" w:rsidRDefault="006A406A" w:rsidP="006A406A">
          <w:pPr>
            <w:pStyle w:val="E98B83F5F32E42FA9F50CA4542C74A7D"/>
          </w:pPr>
          <w:r>
            <w:rPr>
              <w:rStyle w:val="Vietturateksts"/>
              <w:sz w:val="28"/>
              <w:szCs w:val="28"/>
            </w:rPr>
            <w:t>Tiesību akta</w:t>
          </w:r>
        </w:p>
      </w:docPartBody>
    </w:docPart>
    <w:docPart>
      <w:docPartPr>
        <w:name w:val="1321B85A4E924DB99CC8F26AA10B520B"/>
        <w:category>
          <w:name w:val="General"/>
          <w:gallery w:val="placeholder"/>
        </w:category>
        <w:types>
          <w:type w:val="bbPlcHdr"/>
        </w:types>
        <w:behaviors>
          <w:behavior w:val="content"/>
        </w:behaviors>
        <w:guid w:val="{9A63F313-8089-4527-975E-E006BAE2F5E7}"/>
      </w:docPartPr>
      <w:docPartBody>
        <w:p w:rsidR="00764018" w:rsidRDefault="006A406A" w:rsidP="006A406A">
          <w:pPr>
            <w:pStyle w:val="1321B85A4E924DB99CC8F26AA10B520B"/>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
      <w:docPartPr>
        <w:name w:val="1192ED011A3E47CF9107AF04B1D159EE"/>
        <w:category>
          <w:name w:val="General"/>
          <w:gallery w:val="placeholder"/>
        </w:category>
        <w:types>
          <w:type w:val="bbPlcHdr"/>
        </w:types>
        <w:behaviors>
          <w:behavior w:val="content"/>
        </w:behaviors>
        <w:guid w:val="{0C2EF559-9AC0-4C41-AA73-0D6660A01B92}"/>
      </w:docPartPr>
      <w:docPartBody>
        <w:p w:rsidR="00764018" w:rsidRDefault="006A406A" w:rsidP="006A406A">
          <w:pPr>
            <w:pStyle w:val="1192ED011A3E47CF9107AF04B1D159EE"/>
          </w:pPr>
          <w:r>
            <w:rPr>
              <w:color w:val="A6A6A6" w:themeColor="background1" w:themeShade="A6"/>
            </w:rPr>
            <w:t>Iekļauj informāciju atbilstoši instrukcijas 17. punktā noteiktajam</w:t>
          </w:r>
        </w:p>
      </w:docPartBody>
    </w:docPart>
    <w:docPart>
      <w:docPartPr>
        <w:name w:val="7401F8EB3F9542B99D127A1AC49F6543"/>
        <w:category>
          <w:name w:val="General"/>
          <w:gallery w:val="placeholder"/>
        </w:category>
        <w:types>
          <w:type w:val="bbPlcHdr"/>
        </w:types>
        <w:behaviors>
          <w:behavior w:val="content"/>
        </w:behaviors>
        <w:guid w:val="{BB71BE15-2935-4A06-8143-F7F6E7C69FCB}"/>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4018" w:rsidRDefault="006A406A" w:rsidP="006A406A">
          <w:pPr>
            <w:pStyle w:val="7401F8EB3F9542B99D127A1AC49F6543"/>
          </w:pPr>
          <w:r>
            <w:rPr>
              <w:color w:val="A6A6A6" w:themeColor="background1" w:themeShade="A6"/>
            </w:rPr>
            <w:t>Ja šādas informācijas nav, ieraksta – "Nav"</w:t>
          </w:r>
        </w:p>
      </w:docPartBody>
    </w:docPart>
    <w:docPart>
      <w:docPartPr>
        <w:name w:val="62D87D2F1BED481B9B644098A36959CC"/>
        <w:category>
          <w:name w:val="General"/>
          <w:gallery w:val="placeholder"/>
        </w:category>
        <w:types>
          <w:type w:val="bbPlcHdr"/>
        </w:types>
        <w:behaviors>
          <w:behavior w:val="content"/>
        </w:behaviors>
        <w:guid w:val="{8CC1D040-869B-4BCA-A32B-F5358650BAD2}"/>
      </w:docPartPr>
      <w:docPartBody>
        <w:p w:rsidR="00764018" w:rsidRDefault="006A406A" w:rsidP="006A406A">
          <w:pPr>
            <w:pStyle w:val="62D87D2F1BED481B9B644098A36959CC"/>
          </w:pPr>
          <w:r>
            <w:rPr>
              <w:color w:val="A6A6A6" w:themeColor="background1" w:themeShade="A6"/>
            </w:rPr>
            <w:t>Iekļauj informāciju atbilstoši instrukcijas 54.</w:t>
          </w:r>
          <w:r>
            <w:rPr>
              <w:color w:val="A6A6A6" w:themeColor="background1" w:themeShade="A6"/>
              <w:vertAlign w:val="superscript"/>
            </w:rPr>
            <w:t>1 </w:t>
          </w:r>
          <w:r>
            <w:rPr>
              <w:color w:val="A6A6A6" w:themeColor="background1" w:themeShade="A6"/>
            </w:rPr>
            <w:t>punktā noteiktajam</w:t>
          </w:r>
        </w:p>
      </w:docPartBody>
    </w:docPart>
    <w:docPart>
      <w:docPartPr>
        <w:name w:val="BBA777A425B742689B1E294EA2FB314A"/>
        <w:category>
          <w:name w:val="General"/>
          <w:gallery w:val="placeholder"/>
        </w:category>
        <w:types>
          <w:type w:val="bbPlcHdr"/>
        </w:types>
        <w:behaviors>
          <w:behavior w:val="content"/>
        </w:behaviors>
        <w:guid w:val="{74A6A0A3-554A-4131-B9B1-9E743B3A268A}"/>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4018" w:rsidRDefault="006A406A" w:rsidP="006A406A">
          <w:pPr>
            <w:pStyle w:val="BBA777A425B742689B1E294EA2FB314A"/>
          </w:pPr>
          <w:r>
            <w:rPr>
              <w:color w:val="A6A6A6" w:themeColor="background1" w:themeShade="A6"/>
            </w:rPr>
            <w:t>Ja šādas informācijas nav, ieraksta – "Nav"</w:t>
          </w:r>
        </w:p>
      </w:docPartBody>
    </w:docPart>
    <w:docPart>
      <w:docPartPr>
        <w:name w:val="C2A0386D0E834A2890CA572DAED84FC8"/>
        <w:category>
          <w:name w:val="General"/>
          <w:gallery w:val="placeholder"/>
        </w:category>
        <w:types>
          <w:type w:val="bbPlcHdr"/>
        </w:types>
        <w:behaviors>
          <w:behavior w:val="content"/>
        </w:behaviors>
        <w:guid w:val="{45CA11DE-F5BC-4BD4-A068-76BDEE12900E}"/>
      </w:docPartPr>
      <w:docPartBody>
        <w:p w:rsidR="00764018" w:rsidRDefault="006A406A" w:rsidP="006A406A">
          <w:pPr>
            <w:pStyle w:val="C2A0386D0E834A2890CA572DAED84FC8"/>
          </w:pPr>
          <w:r>
            <w:rPr>
              <w:color w:val="A6A6A6" w:themeColor="background1" w:themeShade="A6"/>
            </w:rPr>
            <w:t>Iekļauj informāciju atbilstoši instrukcijas 60. punktā noteiktajam</w:t>
          </w:r>
        </w:p>
      </w:docPartBody>
    </w:docPart>
    <w:docPart>
      <w:docPartPr>
        <w:name w:val="B418502BCE004512B0AF999B5D173449"/>
        <w:category>
          <w:name w:val="General"/>
          <w:gallery w:val="placeholder"/>
        </w:category>
        <w:types>
          <w:type w:val="bbPlcHdr"/>
        </w:types>
        <w:behaviors>
          <w:behavior w:val="content"/>
        </w:behaviors>
        <w:guid w:val="{D26BAE27-4B2B-4EAD-86B1-DD07651E69D3}"/>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4018" w:rsidRDefault="006A406A" w:rsidP="006A406A">
          <w:pPr>
            <w:pStyle w:val="B418502BCE004512B0AF999B5D173449"/>
          </w:pPr>
          <w:r>
            <w:rPr>
              <w:color w:val="A6A6A6" w:themeColor="background1" w:themeShade="A6"/>
            </w:rPr>
            <w:t>Ja šādas informācijas nav, ieraksta – "Nav"</w:t>
          </w:r>
        </w:p>
      </w:docPartBody>
    </w:docPart>
    <w:docPart>
      <w:docPartPr>
        <w:name w:val="0A7875A5BA61416CBE4092DD0EFB68BA"/>
        <w:category>
          <w:name w:val="General"/>
          <w:gallery w:val="placeholder"/>
        </w:category>
        <w:types>
          <w:type w:val="bbPlcHdr"/>
        </w:types>
        <w:behaviors>
          <w:behavior w:val="content"/>
        </w:behaviors>
        <w:guid w:val="{3DA2449C-6329-452A-9329-10D36E783C1A}"/>
      </w:docPartPr>
      <w:docPartBody>
        <w:p w:rsidR="00764018" w:rsidRDefault="006A406A" w:rsidP="006A406A">
          <w:pPr>
            <w:pStyle w:val="0A7875A5BA61416CBE4092DD0EFB68BA"/>
          </w:pPr>
          <w:r>
            <w:rPr>
              <w:color w:val="A6A6A6" w:themeColor="background1" w:themeShade="A6"/>
            </w:rPr>
            <w:t>Iekļauj informāciju atbilstoši instrukcijas 65. punktā noteiktajam</w:t>
          </w:r>
        </w:p>
      </w:docPartBody>
    </w:docPart>
    <w:docPart>
      <w:docPartPr>
        <w:name w:val="ECD01D8819C44DE1BEBFB7A875ACC2BD"/>
        <w:category>
          <w:name w:val="General"/>
          <w:gallery w:val="placeholder"/>
        </w:category>
        <w:types>
          <w:type w:val="bbPlcHdr"/>
        </w:types>
        <w:behaviors>
          <w:behavior w:val="content"/>
        </w:behaviors>
        <w:guid w:val="{A2B1C6D9-CBE1-4061-9DF1-CE97875BF13A}"/>
      </w:docPartPr>
      <w:docPartBody>
        <w:p w:rsidR="00764018" w:rsidRDefault="006A406A" w:rsidP="006A406A">
          <w:pPr>
            <w:pStyle w:val="ECD01D8819C44DE1BEBFB7A875ACC2BD"/>
          </w:pPr>
          <w:r>
            <w:rPr>
              <w:color w:val="A6A6A6" w:themeColor="background1" w:themeShade="A6"/>
            </w:rPr>
            <w:t>Iekļauj informāciju atbilstoši instrukcijas 66., 67., 68, 69. punktā noteiktajam</w:t>
          </w:r>
        </w:p>
      </w:docPartBody>
    </w:docPart>
    <w:docPart>
      <w:docPartPr>
        <w:name w:val="3786C32CB21F40E4ABE8AD3BC8E865A8"/>
        <w:category>
          <w:name w:val="General"/>
          <w:gallery w:val="placeholder"/>
        </w:category>
        <w:types>
          <w:type w:val="bbPlcHdr"/>
        </w:types>
        <w:behaviors>
          <w:behavior w:val="content"/>
        </w:behaviors>
        <w:guid w:val="{DCC8B16A-1F95-47B3-8917-F9AF42E83386}"/>
      </w:docPartPr>
      <w:docPartBody>
        <w:p w:rsidR="006A406A" w:rsidRDefault="006A406A">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4018" w:rsidRDefault="006A406A" w:rsidP="006A406A">
          <w:pPr>
            <w:pStyle w:val="3786C32CB21F40E4ABE8AD3BC8E865A8"/>
          </w:pPr>
          <w:r>
            <w:rPr>
              <w:color w:val="A6A6A6" w:themeColor="background1" w:themeShade="A6"/>
            </w:rPr>
            <w:t>Ja šādas informācijas nav, ieraksta – "Nav"</w:t>
          </w:r>
        </w:p>
      </w:docPartBody>
    </w:docPart>
    <w:docPart>
      <w:docPartPr>
        <w:name w:val="1F6219E103244EAAAD0D3C92842BA586"/>
        <w:category>
          <w:name w:val="Vispārīgi"/>
          <w:gallery w:val="placeholder"/>
        </w:category>
        <w:types>
          <w:type w:val="bbPlcHdr"/>
        </w:types>
        <w:behaviors>
          <w:behavior w:val="content"/>
        </w:behaviors>
        <w:guid w:val="{FA526318-47C6-484E-AE2A-6185C2048BA0}"/>
      </w:docPartPr>
      <w:docPartBody>
        <w:p w:rsidR="00864BF3" w:rsidRDefault="009C56A9" w:rsidP="009C56A9">
          <w:pPr>
            <w:pStyle w:val="1F6219E103244EAAAD0D3C92842BA586"/>
          </w:pPr>
          <w:r>
            <w:rPr>
              <w:color w:val="A6A6A6" w:themeColor="background1" w:themeShade="A6"/>
            </w:rPr>
            <w:t>Iekļauj informāciju atbilstoši instrukcijas 62. punktā noteiktajam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A406A"/>
    <w:rsid w:val="00066EC0"/>
    <w:rsid w:val="001E0696"/>
    <w:rsid w:val="00322D4A"/>
    <w:rsid w:val="00373C0A"/>
    <w:rsid w:val="0046067C"/>
    <w:rsid w:val="006A406A"/>
    <w:rsid w:val="006A51CC"/>
    <w:rsid w:val="00764018"/>
    <w:rsid w:val="007D3587"/>
    <w:rsid w:val="00864BF3"/>
    <w:rsid w:val="009C56A9"/>
    <w:rsid w:val="00A2229E"/>
    <w:rsid w:val="00B007F8"/>
    <w:rsid w:val="00B810F2"/>
    <w:rsid w:val="00DB59FC"/>
    <w:rsid w:val="00E62298"/>
    <w:rsid w:val="00FB27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C56A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406A"/>
  </w:style>
  <w:style w:type="paragraph" w:customStyle="1" w:styleId="E98B83F5F32E42FA9F50CA4542C74A7D">
    <w:name w:val="E98B83F5F32E42FA9F50CA4542C74A7D"/>
    <w:rsid w:val="006A406A"/>
  </w:style>
  <w:style w:type="paragraph" w:customStyle="1" w:styleId="1321B85A4E924DB99CC8F26AA10B520B">
    <w:name w:val="1321B85A4E924DB99CC8F26AA10B520B"/>
    <w:rsid w:val="006A406A"/>
  </w:style>
  <w:style w:type="paragraph" w:customStyle="1" w:styleId="1192ED011A3E47CF9107AF04B1D159EE">
    <w:name w:val="1192ED011A3E47CF9107AF04B1D159EE"/>
    <w:rsid w:val="006A406A"/>
  </w:style>
  <w:style w:type="paragraph" w:customStyle="1" w:styleId="7401F8EB3F9542B99D127A1AC49F6543">
    <w:name w:val="7401F8EB3F9542B99D127A1AC49F6543"/>
    <w:rsid w:val="006A406A"/>
  </w:style>
  <w:style w:type="paragraph" w:customStyle="1" w:styleId="62D87D2F1BED481B9B644098A36959CC">
    <w:name w:val="62D87D2F1BED481B9B644098A36959CC"/>
    <w:rsid w:val="006A406A"/>
  </w:style>
  <w:style w:type="paragraph" w:customStyle="1" w:styleId="BBA777A425B742689B1E294EA2FB314A">
    <w:name w:val="BBA777A425B742689B1E294EA2FB314A"/>
    <w:rsid w:val="006A406A"/>
  </w:style>
  <w:style w:type="paragraph" w:customStyle="1" w:styleId="C2A0386D0E834A2890CA572DAED84FC8">
    <w:name w:val="C2A0386D0E834A2890CA572DAED84FC8"/>
    <w:rsid w:val="006A406A"/>
  </w:style>
  <w:style w:type="paragraph" w:customStyle="1" w:styleId="676C73FE85F04FAE8AFB3F1C7A313C0E">
    <w:name w:val="676C73FE85F04FAE8AFB3F1C7A313C0E"/>
    <w:rsid w:val="006A406A"/>
  </w:style>
  <w:style w:type="paragraph" w:customStyle="1" w:styleId="B418502BCE004512B0AF999B5D173449">
    <w:name w:val="B418502BCE004512B0AF999B5D173449"/>
    <w:rsid w:val="006A406A"/>
  </w:style>
  <w:style w:type="paragraph" w:customStyle="1" w:styleId="0A7875A5BA61416CBE4092DD0EFB68BA">
    <w:name w:val="0A7875A5BA61416CBE4092DD0EFB68BA"/>
    <w:rsid w:val="006A406A"/>
  </w:style>
  <w:style w:type="paragraph" w:customStyle="1" w:styleId="ECD01D8819C44DE1BEBFB7A875ACC2BD">
    <w:name w:val="ECD01D8819C44DE1BEBFB7A875ACC2BD"/>
    <w:rsid w:val="006A406A"/>
  </w:style>
  <w:style w:type="paragraph" w:customStyle="1" w:styleId="3786C32CB21F40E4ABE8AD3BC8E865A8">
    <w:name w:val="3786C32CB21F40E4ABE8AD3BC8E865A8"/>
    <w:rsid w:val="006A406A"/>
  </w:style>
  <w:style w:type="paragraph" w:customStyle="1" w:styleId="4D1EC8FA1D254E29904D6C7105BBAE6B">
    <w:name w:val="4D1EC8FA1D254E29904D6C7105BBAE6B"/>
    <w:rsid w:val="009C56A9"/>
    <w:pPr>
      <w:spacing w:after="200" w:line="276" w:lineRule="auto"/>
    </w:pPr>
  </w:style>
  <w:style w:type="paragraph" w:customStyle="1" w:styleId="2F3BE1A8F26045F6A94A2C3797E5E408">
    <w:name w:val="2F3BE1A8F26045F6A94A2C3797E5E408"/>
    <w:rsid w:val="009C56A9"/>
    <w:pPr>
      <w:spacing w:after="200" w:line="276" w:lineRule="auto"/>
    </w:pPr>
  </w:style>
  <w:style w:type="paragraph" w:customStyle="1" w:styleId="3D2AC7E6702F4AF9B738FB40C22B8161">
    <w:name w:val="3D2AC7E6702F4AF9B738FB40C22B8161"/>
    <w:rsid w:val="009C56A9"/>
    <w:pPr>
      <w:spacing w:after="200" w:line="276" w:lineRule="auto"/>
    </w:pPr>
  </w:style>
  <w:style w:type="paragraph" w:customStyle="1" w:styleId="1F6219E103244EAAAD0D3C92842BA586">
    <w:name w:val="1F6219E103244EAAAD0D3C92842BA586"/>
    <w:rsid w:val="009C56A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15812</Words>
  <Characters>9013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sākotnējās ietekmes novērtējuma ziņojums (anotācija)</dc:title>
  <dc:subject>Sākotnējās ietekmes novērtējuma ziņojums (anotācija)</dc:subject>
  <dc:creator>Sanda Irbe</dc:creator>
  <cp:keywords>KMAnot_210917_nodeva_NN</cp:keywords>
  <dc:description>67221848
sanda.irbe@neplpadome.lv</dc:description>
  <cp:lastModifiedBy>Dzintra Rozīte</cp:lastModifiedBy>
  <cp:revision>23</cp:revision>
  <dcterms:created xsi:type="dcterms:W3CDTF">2017-09-15T13:48:00Z</dcterms:created>
  <dcterms:modified xsi:type="dcterms:W3CDTF">2017-09-26T13:13:00Z</dcterms:modified>
</cp:coreProperties>
</file>