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B4" w:rsidRPr="00A72572" w:rsidRDefault="005B2BB4" w:rsidP="00A734B8">
      <w:pPr>
        <w:pStyle w:val="Pamatteksts2"/>
        <w:spacing w:after="0" w:line="240" w:lineRule="auto"/>
        <w:jc w:val="center"/>
        <w:rPr>
          <w:b/>
          <w:sz w:val="28"/>
          <w:szCs w:val="28"/>
        </w:rPr>
      </w:pPr>
      <w:bookmarkStart w:id="0" w:name="OLE_LINK36"/>
      <w:bookmarkStart w:id="1" w:name="OLE_LINK37"/>
      <w:r w:rsidRPr="00A72572">
        <w:rPr>
          <w:b/>
          <w:sz w:val="28"/>
          <w:szCs w:val="28"/>
        </w:rPr>
        <w:t>Ministru kabineta rīkojuma projekta</w:t>
      </w:r>
    </w:p>
    <w:p w:rsidR="00FE262A" w:rsidRDefault="00FE262A" w:rsidP="00FE262A">
      <w:pPr>
        <w:pStyle w:val="ParastaisWeb"/>
        <w:spacing w:before="0" w:beforeAutospacing="0" w:after="0" w:afterAutospacing="0"/>
        <w:jc w:val="center"/>
        <w:rPr>
          <w:b/>
          <w:sz w:val="28"/>
          <w:szCs w:val="28"/>
        </w:rPr>
      </w:pPr>
      <w:r>
        <w:rPr>
          <w:b/>
          <w:bCs/>
          <w:sz w:val="28"/>
          <w:szCs w:val="28"/>
        </w:rPr>
        <w:t>„</w:t>
      </w:r>
      <w:r w:rsidR="00A734B8" w:rsidRPr="00A72572">
        <w:rPr>
          <w:b/>
          <w:bCs/>
          <w:sz w:val="28"/>
          <w:szCs w:val="28"/>
        </w:rPr>
        <w:t xml:space="preserve">Par apropriācijas pārdali” </w:t>
      </w:r>
      <w:r w:rsidR="005B2BB4" w:rsidRPr="00A72572">
        <w:rPr>
          <w:b/>
          <w:sz w:val="28"/>
          <w:szCs w:val="28"/>
        </w:rPr>
        <w:t xml:space="preserve">sākotnējās ietekmes novērtējuma </w:t>
      </w:r>
    </w:p>
    <w:p w:rsidR="005B2BB4" w:rsidRPr="00FE262A" w:rsidRDefault="005B2BB4" w:rsidP="00FE262A">
      <w:pPr>
        <w:pStyle w:val="ParastaisWeb"/>
        <w:spacing w:before="0" w:beforeAutospacing="0" w:after="0" w:afterAutospacing="0"/>
        <w:jc w:val="center"/>
        <w:rPr>
          <w:b/>
          <w:bCs/>
          <w:sz w:val="28"/>
          <w:szCs w:val="28"/>
        </w:rPr>
      </w:pPr>
      <w:smartTag w:uri="schemas-tilde-lv/tildestengine" w:element="veidnes">
        <w:smartTagPr>
          <w:attr w:name="id" w:val="-1"/>
          <w:attr w:name="baseform" w:val="ziņojums"/>
          <w:attr w:name="text" w:val="ziņojums"/>
        </w:smartTagPr>
        <w:r w:rsidRPr="00A72572">
          <w:rPr>
            <w:b/>
            <w:sz w:val="28"/>
            <w:szCs w:val="28"/>
          </w:rPr>
          <w:t>ziņojums</w:t>
        </w:r>
      </w:smartTag>
      <w:r w:rsidRPr="00A72572">
        <w:rPr>
          <w:b/>
          <w:sz w:val="28"/>
          <w:szCs w:val="28"/>
        </w:rPr>
        <w:t xml:space="preserve"> (anotācija)</w:t>
      </w:r>
    </w:p>
    <w:bookmarkEnd w:id="0"/>
    <w:bookmarkEnd w:id="1"/>
    <w:p w:rsidR="00E96AEC" w:rsidRPr="00A72572" w:rsidRDefault="00E96AEC" w:rsidP="00954BF6">
      <w:pPr>
        <w:jc w:val="center"/>
        <w:rPr>
          <w:b/>
          <w:sz w:val="28"/>
          <w:szCs w:val="28"/>
        </w:rPr>
      </w:pPr>
    </w:p>
    <w:tbl>
      <w:tblPr>
        <w:tblpPr w:leftFromText="180" w:rightFromText="180" w:vertAnchor="text" w:horzAnchor="margin" w:tblpXSpec="center" w:tblpY="149"/>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4"/>
        <w:gridCol w:w="2985"/>
        <w:gridCol w:w="5385"/>
      </w:tblGrid>
      <w:tr w:rsidR="00E96AEC" w:rsidRPr="00A72572" w:rsidTr="00FE262A">
        <w:trPr>
          <w:trHeight w:val="419"/>
        </w:trPr>
        <w:tc>
          <w:tcPr>
            <w:tcW w:w="5000" w:type="pct"/>
            <w:gridSpan w:val="3"/>
            <w:vAlign w:val="center"/>
          </w:tcPr>
          <w:p w:rsidR="00E96AEC" w:rsidRPr="00A72572" w:rsidRDefault="00E96AEC" w:rsidP="002B44A6">
            <w:pPr>
              <w:pStyle w:val="naisnod"/>
              <w:spacing w:before="0" w:beforeAutospacing="0" w:after="0" w:afterAutospacing="0"/>
              <w:ind w:left="57" w:right="57"/>
              <w:jc w:val="center"/>
              <w:rPr>
                <w:b/>
                <w:sz w:val="28"/>
                <w:szCs w:val="28"/>
              </w:rPr>
            </w:pPr>
            <w:r w:rsidRPr="00A72572">
              <w:rPr>
                <w:b/>
                <w:sz w:val="28"/>
                <w:szCs w:val="28"/>
              </w:rPr>
              <w:t>I. Tiesību akta projekta izstrādes nepieciešamība</w:t>
            </w:r>
          </w:p>
        </w:tc>
      </w:tr>
      <w:tr w:rsidR="00E96AEC" w:rsidRPr="00A72572" w:rsidTr="00FE262A">
        <w:trPr>
          <w:trHeight w:val="415"/>
        </w:trPr>
        <w:tc>
          <w:tcPr>
            <w:tcW w:w="241" w:type="pct"/>
          </w:tcPr>
          <w:p w:rsidR="00E96AEC" w:rsidRPr="00A72572" w:rsidRDefault="00E96AEC" w:rsidP="002B44A6">
            <w:pPr>
              <w:pStyle w:val="naiskr"/>
              <w:spacing w:before="0" w:beforeAutospacing="0" w:after="0" w:afterAutospacing="0"/>
              <w:ind w:left="57" w:right="57"/>
              <w:jc w:val="center"/>
              <w:rPr>
                <w:sz w:val="28"/>
                <w:szCs w:val="28"/>
              </w:rPr>
            </w:pPr>
            <w:r w:rsidRPr="00A72572">
              <w:rPr>
                <w:sz w:val="28"/>
                <w:szCs w:val="28"/>
              </w:rPr>
              <w:t>1.</w:t>
            </w:r>
          </w:p>
        </w:tc>
        <w:tc>
          <w:tcPr>
            <w:tcW w:w="1697"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Pamatojums</w:t>
            </w:r>
          </w:p>
        </w:tc>
        <w:tc>
          <w:tcPr>
            <w:tcW w:w="3062" w:type="pct"/>
          </w:tcPr>
          <w:p w:rsidR="002279A7" w:rsidRPr="00A72572" w:rsidRDefault="00845095" w:rsidP="00FE262A">
            <w:pPr>
              <w:ind w:left="142" w:right="145"/>
              <w:jc w:val="both"/>
              <w:rPr>
                <w:sz w:val="28"/>
                <w:szCs w:val="28"/>
              </w:rPr>
            </w:pPr>
            <w:r w:rsidRPr="00782FCE">
              <w:rPr>
                <w:sz w:val="28"/>
                <w:szCs w:val="28"/>
              </w:rPr>
              <w:t xml:space="preserve">Ministru kabineta rīkojuma projekts </w:t>
            </w:r>
            <w:r w:rsidR="00FE262A">
              <w:rPr>
                <w:bCs/>
                <w:sz w:val="28"/>
                <w:szCs w:val="28"/>
              </w:rPr>
              <w:t>„</w:t>
            </w:r>
            <w:r w:rsidRPr="00845095">
              <w:rPr>
                <w:bCs/>
                <w:sz w:val="28"/>
                <w:szCs w:val="28"/>
              </w:rPr>
              <w:t>Par apropriācijas pārdali”</w:t>
            </w:r>
            <w:r>
              <w:rPr>
                <w:bCs/>
                <w:sz w:val="28"/>
                <w:szCs w:val="28"/>
              </w:rPr>
              <w:t xml:space="preserve"> sagatavots s</w:t>
            </w:r>
            <w:r w:rsidR="00E96AEC" w:rsidRPr="00A72572">
              <w:rPr>
                <w:sz w:val="28"/>
                <w:szCs w:val="28"/>
              </w:rPr>
              <w:t>askaņā ar</w:t>
            </w:r>
            <w:r w:rsidR="00FE262A" w:rsidRPr="00E05013">
              <w:rPr>
                <w:sz w:val="28"/>
                <w:szCs w:val="28"/>
              </w:rPr>
              <w:t xml:space="preserve"> </w:t>
            </w:r>
            <w:r w:rsidR="00FE262A">
              <w:rPr>
                <w:bCs/>
                <w:sz w:val="28"/>
                <w:szCs w:val="28"/>
              </w:rPr>
              <w:t>Likuma</w:t>
            </w:r>
            <w:r w:rsidR="00FE262A" w:rsidRPr="00E05013">
              <w:rPr>
                <w:bCs/>
                <w:sz w:val="28"/>
                <w:szCs w:val="28"/>
              </w:rPr>
              <w:t xml:space="preserve"> par budžetu un finanšu vadību</w:t>
            </w:r>
            <w:r w:rsidR="00FE262A">
              <w:rPr>
                <w:b/>
                <w:bCs/>
                <w:sz w:val="28"/>
                <w:szCs w:val="28"/>
              </w:rPr>
              <w:t xml:space="preserve"> </w:t>
            </w:r>
            <w:r w:rsidR="00FE262A">
              <w:rPr>
                <w:sz w:val="28"/>
                <w:szCs w:val="28"/>
              </w:rPr>
              <w:t>9.panta piecpadsmito daļu, saskaņā ar kuru f</w:t>
            </w:r>
            <w:r w:rsidR="00FE262A" w:rsidRPr="00E05013">
              <w:rPr>
                <w:sz w:val="28"/>
                <w:szCs w:val="28"/>
              </w:rPr>
              <w:t>inanšu ministram ir tiesības veikt apropriācijas pārdali starp ministrijām un citām centrālajām valsts iestādēm, tai skaitā funkciju pārdales vai strukturālo reformu gadījumos, ja ir pieņemts Ministru kabineta lēmums un Saeima ar atsevišķu l</w:t>
            </w:r>
            <w:r w:rsidR="00FE262A">
              <w:rPr>
                <w:sz w:val="28"/>
                <w:szCs w:val="28"/>
              </w:rPr>
              <w:t>ēmumu piekritusi šādai pārdalei</w:t>
            </w:r>
            <w:r w:rsidR="00A72572" w:rsidRPr="00A72572">
              <w:rPr>
                <w:sz w:val="28"/>
                <w:szCs w:val="28"/>
              </w:rPr>
              <w:t xml:space="preserve">. </w:t>
            </w:r>
          </w:p>
        </w:tc>
      </w:tr>
      <w:tr w:rsidR="00E96AEC" w:rsidRPr="00A72572" w:rsidTr="00FE262A">
        <w:trPr>
          <w:trHeight w:val="472"/>
        </w:trPr>
        <w:tc>
          <w:tcPr>
            <w:tcW w:w="241" w:type="pct"/>
          </w:tcPr>
          <w:p w:rsidR="00E96AEC" w:rsidRPr="00A72572" w:rsidRDefault="00E96AEC" w:rsidP="002B44A6">
            <w:pPr>
              <w:pStyle w:val="naiskr"/>
              <w:spacing w:before="0" w:beforeAutospacing="0" w:after="0" w:afterAutospacing="0"/>
              <w:ind w:left="57" w:right="57"/>
              <w:jc w:val="center"/>
              <w:rPr>
                <w:sz w:val="28"/>
                <w:szCs w:val="28"/>
              </w:rPr>
            </w:pPr>
            <w:r w:rsidRPr="00A72572">
              <w:rPr>
                <w:sz w:val="28"/>
                <w:szCs w:val="28"/>
              </w:rPr>
              <w:t>2.</w:t>
            </w:r>
          </w:p>
        </w:tc>
        <w:tc>
          <w:tcPr>
            <w:tcW w:w="1697" w:type="pct"/>
          </w:tcPr>
          <w:p w:rsidR="00F70059" w:rsidRPr="00A72572" w:rsidRDefault="00E96AEC" w:rsidP="002B44A6">
            <w:pPr>
              <w:pStyle w:val="naiskr"/>
              <w:tabs>
                <w:tab w:val="left" w:pos="170"/>
              </w:tabs>
              <w:spacing w:before="0" w:beforeAutospacing="0" w:after="0" w:afterAutospacing="0"/>
              <w:ind w:left="57" w:right="57"/>
              <w:rPr>
                <w:sz w:val="28"/>
                <w:szCs w:val="28"/>
              </w:rPr>
            </w:pPr>
            <w:r w:rsidRPr="00A72572">
              <w:rPr>
                <w:sz w:val="28"/>
                <w:szCs w:val="28"/>
              </w:rPr>
              <w:t>Pašreizējā situācija un problēmas, kuru risināšanai tiesību akta projekts izstrādāts, tiesiskā regulējuma mērķis un būtība</w:t>
            </w: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F70059" w:rsidRPr="00A72572" w:rsidRDefault="00F70059" w:rsidP="00F70059">
            <w:pPr>
              <w:rPr>
                <w:sz w:val="28"/>
                <w:szCs w:val="28"/>
              </w:rPr>
            </w:pPr>
          </w:p>
          <w:p w:rsidR="00E96AEC" w:rsidRPr="00A72572" w:rsidRDefault="00F70059" w:rsidP="00F70059">
            <w:pPr>
              <w:tabs>
                <w:tab w:val="left" w:pos="1302"/>
              </w:tabs>
              <w:rPr>
                <w:sz w:val="28"/>
                <w:szCs w:val="28"/>
              </w:rPr>
            </w:pPr>
            <w:r w:rsidRPr="00A72572">
              <w:rPr>
                <w:sz w:val="28"/>
                <w:szCs w:val="28"/>
              </w:rPr>
              <w:tab/>
            </w:r>
          </w:p>
        </w:tc>
        <w:tc>
          <w:tcPr>
            <w:tcW w:w="3062" w:type="pct"/>
          </w:tcPr>
          <w:p w:rsidR="00A72572" w:rsidRPr="00FE262A" w:rsidRDefault="00FE262A" w:rsidP="00FE262A">
            <w:pPr>
              <w:ind w:left="142" w:right="145"/>
              <w:jc w:val="both"/>
              <w:rPr>
                <w:color w:val="000000"/>
                <w:sz w:val="28"/>
                <w:szCs w:val="28"/>
              </w:rPr>
            </w:pPr>
            <w:r w:rsidRPr="00A72572">
              <w:rPr>
                <w:rFonts w:eastAsia="Calibri"/>
                <w:sz w:val="28"/>
                <w:szCs w:val="28"/>
              </w:rPr>
              <w:t>Ministru kab</w:t>
            </w:r>
            <w:r>
              <w:rPr>
                <w:rFonts w:eastAsia="Calibri"/>
                <w:sz w:val="28"/>
                <w:szCs w:val="28"/>
              </w:rPr>
              <w:t>ineta 2016.gada 3.maija rīkojuma</w:t>
            </w:r>
            <w:r w:rsidRPr="00A72572">
              <w:rPr>
                <w:rFonts w:eastAsia="Calibri"/>
                <w:sz w:val="28"/>
                <w:szCs w:val="28"/>
              </w:rPr>
              <w:t xml:space="preserve"> Nr.275 „</w:t>
            </w:r>
            <w:r w:rsidRPr="00A72572">
              <w:rPr>
                <w:rFonts w:eastAsia="Calibri"/>
                <w:bCs/>
                <w:sz w:val="28"/>
                <w:szCs w:val="28"/>
              </w:rPr>
              <w:t>Par Valdības rīcības plānu Deklarācijas par Māra Kučinska vadītā Ministru kabineta iece</w:t>
            </w:r>
            <w:r>
              <w:rPr>
                <w:rFonts w:eastAsia="Calibri"/>
                <w:bCs/>
                <w:sz w:val="28"/>
                <w:szCs w:val="28"/>
              </w:rPr>
              <w:t>rēto darbību īstenošanai” 73.1.</w:t>
            </w:r>
            <w:r w:rsidRPr="00A72572">
              <w:rPr>
                <w:rFonts w:eastAsia="Calibri"/>
                <w:bCs/>
                <w:sz w:val="28"/>
                <w:szCs w:val="28"/>
              </w:rPr>
              <w:t xml:space="preserve">punkts </w:t>
            </w:r>
            <w:r>
              <w:rPr>
                <w:rFonts w:eastAsia="Calibri"/>
                <w:bCs/>
                <w:sz w:val="28"/>
                <w:szCs w:val="28"/>
              </w:rPr>
              <w:t xml:space="preserve">paredz </w:t>
            </w:r>
            <w:r w:rsidRPr="00A72572">
              <w:rPr>
                <w:rFonts w:eastAsia="Calibri"/>
                <w:bCs/>
                <w:sz w:val="28"/>
                <w:szCs w:val="28"/>
              </w:rPr>
              <w:t>profesionālajā kultūrizglītībā izveidot vismaz piecus profesionālās izglītības kompetenču centrus (turpmāk</w:t>
            </w:r>
            <w:r>
              <w:rPr>
                <w:rFonts w:eastAsia="Calibri"/>
                <w:bCs/>
                <w:sz w:val="28"/>
                <w:szCs w:val="28"/>
              </w:rPr>
              <w:t xml:space="preserve"> –</w:t>
            </w:r>
            <w:r w:rsidRPr="00A72572">
              <w:rPr>
                <w:rFonts w:eastAsia="Calibri"/>
                <w:bCs/>
                <w:sz w:val="28"/>
                <w:szCs w:val="28"/>
              </w:rPr>
              <w:t xml:space="preserve"> PIKC) un nodrošināt to materiālās bāzes uzlabošanu, piesaistot ES struktūrfondu līdzekļus.</w:t>
            </w:r>
            <w:r>
              <w:rPr>
                <w:color w:val="000000"/>
                <w:sz w:val="28"/>
                <w:szCs w:val="28"/>
              </w:rPr>
              <w:t xml:space="preserve"> </w:t>
            </w:r>
            <w:r w:rsidR="00A72572">
              <w:rPr>
                <w:color w:val="000000"/>
                <w:sz w:val="28"/>
                <w:szCs w:val="28"/>
              </w:rPr>
              <w:t xml:space="preserve">Kultūras </w:t>
            </w:r>
            <w:r w:rsidR="00E96AEC" w:rsidRPr="00A72572">
              <w:rPr>
                <w:color w:val="000000"/>
                <w:sz w:val="28"/>
                <w:szCs w:val="28"/>
              </w:rPr>
              <w:t xml:space="preserve">ministrijas </w:t>
            </w:r>
            <w:r>
              <w:rPr>
                <w:color w:val="000000"/>
                <w:sz w:val="28"/>
                <w:szCs w:val="28"/>
              </w:rPr>
              <w:t xml:space="preserve">sagatavotajā </w:t>
            </w:r>
            <w:r w:rsidR="00E96AEC" w:rsidRPr="00A72572">
              <w:rPr>
                <w:color w:val="000000"/>
                <w:sz w:val="28"/>
                <w:szCs w:val="28"/>
              </w:rPr>
              <w:t>informatīva</w:t>
            </w:r>
            <w:r w:rsidR="00704E13" w:rsidRPr="00A72572">
              <w:rPr>
                <w:color w:val="000000"/>
                <w:sz w:val="28"/>
                <w:szCs w:val="28"/>
              </w:rPr>
              <w:t xml:space="preserve">jā </w:t>
            </w:r>
            <w:r w:rsidR="00E96AEC" w:rsidRPr="00A72572">
              <w:rPr>
                <w:color w:val="000000"/>
                <w:sz w:val="28"/>
                <w:szCs w:val="28"/>
              </w:rPr>
              <w:t>ziņojum</w:t>
            </w:r>
            <w:r w:rsidR="00704E13" w:rsidRPr="00A72572">
              <w:rPr>
                <w:color w:val="000000"/>
                <w:sz w:val="28"/>
                <w:szCs w:val="28"/>
              </w:rPr>
              <w:t xml:space="preserve">ā </w:t>
            </w:r>
            <w:r>
              <w:rPr>
                <w:color w:val="000000"/>
                <w:sz w:val="28"/>
                <w:szCs w:val="28"/>
              </w:rPr>
              <w:t>„</w:t>
            </w:r>
            <w:r w:rsidR="00A72572" w:rsidRPr="00A72572">
              <w:rPr>
                <w:bCs/>
                <w:sz w:val="28"/>
                <w:szCs w:val="28"/>
              </w:rPr>
              <w:t xml:space="preserve">Par pasākumiem </w:t>
            </w:r>
            <w:r w:rsidR="00A72572" w:rsidRPr="00A72572">
              <w:rPr>
                <w:sz w:val="28"/>
                <w:szCs w:val="28"/>
              </w:rPr>
              <w:t>kultūrizglītības profesionālās izglītības kompetences centros</w:t>
            </w:r>
            <w:r w:rsidR="00A72572" w:rsidRPr="00A72572">
              <w:rPr>
                <w:bCs/>
                <w:sz w:val="28"/>
                <w:szCs w:val="28"/>
              </w:rPr>
              <w:t>, pilnveidojot to nodrošinājumu un materiāltehnisko bāzi”</w:t>
            </w:r>
            <w:r w:rsidR="00A72572">
              <w:rPr>
                <w:bCs/>
                <w:sz w:val="28"/>
                <w:szCs w:val="28"/>
              </w:rPr>
              <w:t xml:space="preserve"> </w:t>
            </w:r>
            <w:r w:rsidR="009605E6" w:rsidRPr="00A72572">
              <w:rPr>
                <w:color w:val="000000"/>
                <w:sz w:val="28"/>
                <w:szCs w:val="28"/>
              </w:rPr>
              <w:t xml:space="preserve">norādīts, </w:t>
            </w:r>
            <w:r w:rsidR="00474CC6" w:rsidRPr="00A72572">
              <w:rPr>
                <w:color w:val="000000"/>
                <w:sz w:val="28"/>
                <w:szCs w:val="28"/>
              </w:rPr>
              <w:t xml:space="preserve">ka </w:t>
            </w:r>
            <w:r w:rsidR="00A72572" w:rsidRPr="005A0FB3">
              <w:rPr>
                <w:sz w:val="28"/>
                <w:szCs w:val="28"/>
              </w:rPr>
              <w:t xml:space="preserve">Kultūras ministrija ir apzinājusi situāciju izveidotajos četros </w:t>
            </w:r>
            <w:r>
              <w:rPr>
                <w:sz w:val="28"/>
                <w:szCs w:val="28"/>
              </w:rPr>
              <w:t>PIKC</w:t>
            </w:r>
            <w:r w:rsidR="00A72572" w:rsidRPr="005A0FB3">
              <w:rPr>
                <w:sz w:val="28"/>
                <w:szCs w:val="28"/>
              </w:rPr>
              <w:t xml:space="preserve">, īpaši ņemot vērā, ka no 2017.gada 1.septembra PIKC „Nacionālā mākslu skola” ir pievienojušās vēl divas skolas – Emīla Dārziņa Mūzikas vidusskola un Rīgas horeogrāfijas vidusskola, lai pilnveidotu izveidoto PIKC materiāltehnisko bāzi nākotnē. </w:t>
            </w:r>
          </w:p>
          <w:p w:rsidR="00FE262A" w:rsidRDefault="00FE262A" w:rsidP="00FE262A">
            <w:pPr>
              <w:ind w:left="142" w:right="145"/>
              <w:jc w:val="both"/>
              <w:rPr>
                <w:sz w:val="28"/>
                <w:szCs w:val="28"/>
              </w:rPr>
            </w:pPr>
          </w:p>
          <w:p w:rsidR="00A72572" w:rsidRPr="005A0FB3" w:rsidRDefault="00A72572" w:rsidP="00FE262A">
            <w:pPr>
              <w:ind w:left="142" w:right="145"/>
              <w:jc w:val="both"/>
              <w:rPr>
                <w:sz w:val="28"/>
                <w:szCs w:val="28"/>
              </w:rPr>
            </w:pPr>
            <w:r w:rsidRPr="005A0FB3">
              <w:rPr>
                <w:sz w:val="28"/>
                <w:szCs w:val="28"/>
              </w:rPr>
              <w:t xml:space="preserve">Ieguldījumi izveidoto PIKC materiāltehniskajos līdzekļos, kā arī veiktie kapitālieguldījumi nodrošinās profesionālās vidējās kultūrizglītības iestāžu tīkla </w:t>
            </w:r>
            <w:r w:rsidRPr="005A0FB3">
              <w:rPr>
                <w:sz w:val="28"/>
                <w:szCs w:val="28"/>
              </w:rPr>
              <w:lastRenderedPageBreak/>
              <w:t xml:space="preserve">optimizāciju un profesionālās izglītības kvalitātes uzlabošanu Rīgā un arī reģionos, starpnozaru izglītības programmu attīstību atbilstoši darba tirgus prasībām, personāla un finanšu resursu koncentrāciju, efektīvāku resursu (cilvēkresursi, tehniskie resursi un aprīkojums) izmantošanu izglītības programmu mākslā, mūzikā un dejā, efektīvāku izglītības programmu plānošanu un stabilāku izglītības pakalpojumu bāzes nostiprināšanu. </w:t>
            </w:r>
          </w:p>
          <w:p w:rsidR="009E6B2A" w:rsidRDefault="009E6B2A" w:rsidP="00FE262A">
            <w:pPr>
              <w:tabs>
                <w:tab w:val="left" w:pos="6636"/>
                <w:tab w:val="left" w:pos="6729"/>
              </w:tabs>
              <w:ind w:left="142" w:right="145"/>
              <w:jc w:val="both"/>
              <w:rPr>
                <w:sz w:val="28"/>
                <w:szCs w:val="28"/>
              </w:rPr>
            </w:pPr>
          </w:p>
          <w:p w:rsidR="00FE262A" w:rsidRDefault="00373B6A" w:rsidP="00FE262A">
            <w:pPr>
              <w:tabs>
                <w:tab w:val="left" w:pos="6636"/>
                <w:tab w:val="left" w:pos="6729"/>
              </w:tabs>
              <w:ind w:left="142" w:right="145"/>
              <w:jc w:val="both"/>
              <w:rPr>
                <w:sz w:val="28"/>
                <w:szCs w:val="28"/>
              </w:rPr>
            </w:pPr>
            <w:r>
              <w:rPr>
                <w:sz w:val="28"/>
                <w:szCs w:val="28"/>
              </w:rPr>
              <w:t xml:space="preserve">Papildus izdevumiem materiāli tehniskai bāzei PIKC nepieciešams finansējums </w:t>
            </w:r>
            <w:r w:rsidR="00894236">
              <w:rPr>
                <w:sz w:val="28"/>
                <w:szCs w:val="28"/>
              </w:rPr>
              <w:t>Rīgas Doma ērģeļu prospekta restaurācija</w:t>
            </w:r>
            <w:r>
              <w:rPr>
                <w:sz w:val="28"/>
                <w:szCs w:val="28"/>
              </w:rPr>
              <w:t>i</w:t>
            </w:r>
            <w:r w:rsidR="0037236D">
              <w:rPr>
                <w:sz w:val="28"/>
                <w:szCs w:val="28"/>
              </w:rPr>
              <w:t xml:space="preserve"> un </w:t>
            </w:r>
            <w:r w:rsidR="0037236D" w:rsidRPr="005520E8">
              <w:rPr>
                <w:sz w:val="28"/>
                <w:szCs w:val="28"/>
              </w:rPr>
              <w:t>Rīgas Svētā Jēkaba Romas katoļu katedrālei</w:t>
            </w:r>
            <w:r>
              <w:rPr>
                <w:sz w:val="28"/>
                <w:szCs w:val="28"/>
              </w:rPr>
              <w:t xml:space="preserve">. </w:t>
            </w:r>
          </w:p>
          <w:p w:rsidR="00FE262A" w:rsidRDefault="00FE262A" w:rsidP="00FE262A">
            <w:pPr>
              <w:tabs>
                <w:tab w:val="left" w:pos="6636"/>
                <w:tab w:val="left" w:pos="6729"/>
              </w:tabs>
              <w:ind w:left="142" w:right="145"/>
              <w:jc w:val="both"/>
              <w:rPr>
                <w:sz w:val="28"/>
                <w:szCs w:val="28"/>
              </w:rPr>
            </w:pPr>
          </w:p>
          <w:p w:rsidR="00FE262A" w:rsidRDefault="00373B6A" w:rsidP="00FE262A">
            <w:pPr>
              <w:tabs>
                <w:tab w:val="left" w:pos="6636"/>
                <w:tab w:val="left" w:pos="6729"/>
              </w:tabs>
              <w:ind w:left="142" w:right="145"/>
              <w:jc w:val="both"/>
              <w:rPr>
                <w:sz w:val="28"/>
                <w:szCs w:val="28"/>
              </w:rPr>
            </w:pPr>
            <w:r>
              <w:rPr>
                <w:sz w:val="28"/>
                <w:szCs w:val="28"/>
              </w:rPr>
              <w:t xml:space="preserve">Sākotnēji Rīgas Doma ērģeļu prospekta restaurācija </w:t>
            </w:r>
            <w:r w:rsidR="00894236">
              <w:rPr>
                <w:sz w:val="28"/>
                <w:szCs w:val="28"/>
              </w:rPr>
              <w:t>tika uzsākta 1999.gadā, veicot kompleksu Rīgas Doma ērģeļu inventarizāciju, ērģeļu prospekta apsekošanu un laboratorisko izpēti. Tika konstatēts, ka ērģeļu prospekts ir ļoti sliktā tehniskā stāvoklī. Pēc tā pārbīdīšanas uz priekšu 1906./1907.gadā, tas nestabili nostiprināts ar sliktas kvalitātes kokmateriāliem. Tika konstatēts, ka visu virsmu klāj netīrumu slānis un pastāv liels mikrobioloģiskais piesārņojums, kā arī kokgriezumi ir saplaisājuši un vairākas detaļas ir neatgriezeniski zudušas, bez tam interjera remontu laikā prospekts vairākas reizes pārkrāsots ar eļļas un emulsijas krāsām, izmainot krāsojuma sistēmu un tonalitāti (konstatēti septiņi pārkrāsojumu slāņi).</w:t>
            </w:r>
          </w:p>
          <w:p w:rsidR="00FE262A" w:rsidRDefault="00FE262A" w:rsidP="00FE262A">
            <w:pPr>
              <w:tabs>
                <w:tab w:val="left" w:pos="6636"/>
                <w:tab w:val="left" w:pos="6729"/>
              </w:tabs>
              <w:ind w:left="142" w:right="145"/>
              <w:jc w:val="both"/>
              <w:rPr>
                <w:sz w:val="28"/>
                <w:szCs w:val="28"/>
              </w:rPr>
            </w:pPr>
          </w:p>
          <w:p w:rsidR="00FE262A" w:rsidRDefault="00894236" w:rsidP="00FE262A">
            <w:pPr>
              <w:tabs>
                <w:tab w:val="left" w:pos="6636"/>
                <w:tab w:val="left" w:pos="6729"/>
              </w:tabs>
              <w:ind w:left="142" w:right="145"/>
              <w:jc w:val="both"/>
              <w:rPr>
                <w:rFonts w:ascii="TimesNewRomanPSMT" w:hAnsi="TimesNewRomanPSMT" w:cs="TimesNewRomanPSMT"/>
                <w:sz w:val="64"/>
                <w:szCs w:val="64"/>
              </w:rPr>
            </w:pPr>
            <w:r>
              <w:rPr>
                <w:sz w:val="28"/>
                <w:szCs w:val="28"/>
              </w:rPr>
              <w:t xml:space="preserve">Rīgas </w:t>
            </w:r>
            <w:r w:rsidRPr="003629E0">
              <w:rPr>
                <w:sz w:val="28"/>
                <w:szCs w:val="28"/>
              </w:rPr>
              <w:t xml:space="preserve">Doma baznīca un klostera ansamblis ar tajā esošajām mākslas vērtībām ir </w:t>
            </w:r>
            <w:r w:rsidRPr="005520E8">
              <w:rPr>
                <w:sz w:val="28"/>
                <w:szCs w:val="28"/>
              </w:rPr>
              <w:t>UNESCO</w:t>
            </w:r>
            <w:r w:rsidRPr="003629E0">
              <w:rPr>
                <w:sz w:val="28"/>
                <w:szCs w:val="28"/>
              </w:rPr>
              <w:t xml:space="preserve"> Pasaules kultūras mantojuma daļa, Latvijas valsts nozīmes kultūras piemineklis. Rīgas Doma ērģeļu prospekts (datēts1601) un ērģeles (datēts1883/1884) ir pieskaitāmas pie pasaules vērtīgākajām vēsturiskajām ērģelēm. Ērģeļu prospekts ir viens no vecākajiem saglabātajiem ērģeļu </w:t>
            </w:r>
            <w:r w:rsidRPr="003629E0">
              <w:rPr>
                <w:sz w:val="28"/>
                <w:szCs w:val="28"/>
              </w:rPr>
              <w:lastRenderedPageBreak/>
              <w:t>prospektiem Eiropā un pats vecākais un lielākais Latvijā</w:t>
            </w:r>
            <w:r>
              <w:rPr>
                <w:sz w:val="28"/>
                <w:szCs w:val="28"/>
              </w:rPr>
              <w:t>. Sākotnēji, ērģeļu būves laikā (1882/1883), tika piedāvāts nojaukt veco ērģeļu prospektu, kā pirmsākumi rodami 1594.gadā, tomēr draudze nolemj to paturēt.</w:t>
            </w:r>
          </w:p>
          <w:p w:rsidR="00FE262A" w:rsidRPr="00FE262A" w:rsidRDefault="00FE262A" w:rsidP="00FE262A">
            <w:pPr>
              <w:tabs>
                <w:tab w:val="left" w:pos="6636"/>
                <w:tab w:val="left" w:pos="6729"/>
              </w:tabs>
              <w:ind w:left="142" w:right="145"/>
              <w:jc w:val="both"/>
              <w:rPr>
                <w:rFonts w:ascii="TimesNewRomanPSMT" w:hAnsi="TimesNewRomanPSMT" w:cs="TimesNewRomanPSMT"/>
                <w:sz w:val="28"/>
                <w:szCs w:val="28"/>
              </w:rPr>
            </w:pPr>
          </w:p>
          <w:p w:rsidR="00FE262A" w:rsidRDefault="00894236" w:rsidP="00FE262A">
            <w:pPr>
              <w:tabs>
                <w:tab w:val="left" w:pos="6636"/>
                <w:tab w:val="left" w:pos="6729"/>
              </w:tabs>
              <w:ind w:left="142" w:right="145"/>
              <w:jc w:val="both"/>
              <w:rPr>
                <w:sz w:val="28"/>
                <w:szCs w:val="28"/>
              </w:rPr>
            </w:pPr>
            <w:r w:rsidRPr="00ED6C23">
              <w:rPr>
                <w:sz w:val="28"/>
                <w:szCs w:val="28"/>
              </w:rPr>
              <w:t>Rīgas Doma un Vī</w:t>
            </w:r>
            <w:r>
              <w:rPr>
                <w:sz w:val="28"/>
                <w:szCs w:val="28"/>
              </w:rPr>
              <w:t xml:space="preserve">nes </w:t>
            </w:r>
            <w:r w:rsidRPr="00ED6C23">
              <w:rPr>
                <w:sz w:val="28"/>
                <w:szCs w:val="28"/>
              </w:rPr>
              <w:t>Votiva (uz pusi mazā</w:t>
            </w:r>
            <w:r>
              <w:rPr>
                <w:sz w:val="28"/>
                <w:szCs w:val="28"/>
              </w:rPr>
              <w:t xml:space="preserve">ks instruments) </w:t>
            </w:r>
            <w:r w:rsidRPr="00ED6C23">
              <w:rPr>
                <w:sz w:val="28"/>
                <w:szCs w:val="28"/>
              </w:rPr>
              <w:t>baznīcas ērģeles ir vienīgie no 19.gs.</w:t>
            </w:r>
            <w:r>
              <w:rPr>
                <w:sz w:val="28"/>
                <w:szCs w:val="28"/>
              </w:rPr>
              <w:t xml:space="preserve"> </w:t>
            </w:r>
            <w:r w:rsidRPr="00ED6C23">
              <w:rPr>
                <w:sz w:val="28"/>
                <w:szCs w:val="28"/>
              </w:rPr>
              <w:t>Valkera lielajiem instrumentiem, kas</w:t>
            </w:r>
            <w:r>
              <w:rPr>
                <w:sz w:val="28"/>
                <w:szCs w:val="28"/>
              </w:rPr>
              <w:t xml:space="preserve"> saglabājušies nepārbūvēti; i</w:t>
            </w:r>
            <w:r w:rsidRPr="003629E0">
              <w:rPr>
                <w:sz w:val="28"/>
                <w:szCs w:val="28"/>
              </w:rPr>
              <w:t>ekļauts Valsts aizsargājamo kultūras pieminekļu sarakstā, aizsardzības Nr.7080. Prospektam ir divas daļas: lielais prospekts un mazais prospekts.</w:t>
            </w:r>
            <w:r>
              <w:rPr>
                <w:sz w:val="28"/>
                <w:szCs w:val="28"/>
              </w:rPr>
              <w:t xml:space="preserve"> Prospekts </w:t>
            </w:r>
            <w:r w:rsidRPr="003629E0">
              <w:rPr>
                <w:sz w:val="28"/>
                <w:szCs w:val="28"/>
              </w:rPr>
              <w:t xml:space="preserve">pēc </w:t>
            </w:r>
            <w:r>
              <w:rPr>
                <w:sz w:val="28"/>
                <w:szCs w:val="28"/>
              </w:rPr>
              <w:t xml:space="preserve">veidola ir </w:t>
            </w:r>
            <w:r w:rsidRPr="003629E0">
              <w:rPr>
                <w:sz w:val="28"/>
                <w:szCs w:val="28"/>
              </w:rPr>
              <w:t xml:space="preserve">unikāls </w:t>
            </w:r>
            <w:r>
              <w:rPr>
                <w:sz w:val="28"/>
                <w:szCs w:val="28"/>
              </w:rPr>
              <w:t>manierisma un rokoko</w:t>
            </w:r>
            <w:r w:rsidRPr="003629E0">
              <w:rPr>
                <w:sz w:val="28"/>
                <w:szCs w:val="28"/>
              </w:rPr>
              <w:t xml:space="preserve"> perioda</w:t>
            </w:r>
            <w:r>
              <w:rPr>
                <w:sz w:val="28"/>
                <w:szCs w:val="28"/>
              </w:rPr>
              <w:t xml:space="preserve"> </w:t>
            </w:r>
            <w:r w:rsidRPr="003629E0">
              <w:rPr>
                <w:sz w:val="28"/>
                <w:szCs w:val="28"/>
              </w:rPr>
              <w:t>piemineklis.</w:t>
            </w:r>
            <w:r>
              <w:rPr>
                <w:sz w:val="28"/>
                <w:szCs w:val="28"/>
              </w:rPr>
              <w:t xml:space="preserve"> </w:t>
            </w:r>
          </w:p>
          <w:p w:rsidR="00FE262A" w:rsidRDefault="00FE262A" w:rsidP="00FE262A">
            <w:pPr>
              <w:tabs>
                <w:tab w:val="left" w:pos="6636"/>
                <w:tab w:val="left" w:pos="6729"/>
              </w:tabs>
              <w:ind w:left="142" w:right="145"/>
              <w:jc w:val="both"/>
              <w:rPr>
                <w:sz w:val="28"/>
                <w:szCs w:val="28"/>
              </w:rPr>
            </w:pPr>
          </w:p>
          <w:p w:rsidR="00FE262A" w:rsidRDefault="00894236" w:rsidP="00FE262A">
            <w:pPr>
              <w:tabs>
                <w:tab w:val="left" w:pos="6636"/>
                <w:tab w:val="left" w:pos="6729"/>
              </w:tabs>
              <w:ind w:left="142" w:right="145"/>
              <w:jc w:val="both"/>
              <w:rPr>
                <w:sz w:val="28"/>
                <w:szCs w:val="28"/>
              </w:rPr>
            </w:pPr>
            <w:r>
              <w:rPr>
                <w:sz w:val="28"/>
                <w:szCs w:val="28"/>
              </w:rPr>
              <w:t xml:space="preserve">Ērģeļu prospekta restaurācija tika uzsākta 2000.gadā. Līdz 2011.gada sakumam prospekta restaurācija norisinājās ar vairākiem gadu ilgiem pārtraukumiem. Kopš 2011.gada, uzsākoties jumta un torņa koka konstrukciju restaurācijai, faktiski ērģeļu prospekta restaurācija ir pārtraukta. </w:t>
            </w:r>
          </w:p>
          <w:p w:rsidR="00FE262A" w:rsidRDefault="00FE262A" w:rsidP="00FE262A">
            <w:pPr>
              <w:tabs>
                <w:tab w:val="left" w:pos="6636"/>
                <w:tab w:val="left" w:pos="6729"/>
              </w:tabs>
              <w:ind w:left="142" w:right="145"/>
              <w:jc w:val="both"/>
              <w:rPr>
                <w:sz w:val="28"/>
                <w:szCs w:val="28"/>
              </w:rPr>
            </w:pPr>
          </w:p>
          <w:p w:rsidR="00FE262A" w:rsidRDefault="00894236" w:rsidP="00FE262A">
            <w:pPr>
              <w:tabs>
                <w:tab w:val="left" w:pos="6636"/>
                <w:tab w:val="left" w:pos="6729"/>
              </w:tabs>
              <w:ind w:left="142" w:right="145"/>
              <w:jc w:val="both"/>
              <w:rPr>
                <w:sz w:val="28"/>
                <w:szCs w:val="28"/>
              </w:rPr>
            </w:pPr>
            <w:r>
              <w:rPr>
                <w:sz w:val="28"/>
                <w:szCs w:val="28"/>
              </w:rPr>
              <w:t>Rīgas Doma ērģeļu prospekta restaurācij</w:t>
            </w:r>
            <w:r w:rsidR="00373B6A">
              <w:rPr>
                <w:sz w:val="28"/>
                <w:szCs w:val="28"/>
              </w:rPr>
              <w:t>u</w:t>
            </w:r>
            <w:r>
              <w:rPr>
                <w:sz w:val="28"/>
                <w:szCs w:val="28"/>
              </w:rPr>
              <w:t xml:space="preserve"> paredzēts īstenot divās kārtās:</w:t>
            </w:r>
          </w:p>
          <w:p w:rsidR="00FE262A" w:rsidRDefault="00FE262A" w:rsidP="00FE262A">
            <w:pPr>
              <w:tabs>
                <w:tab w:val="left" w:pos="6636"/>
                <w:tab w:val="left" w:pos="6729"/>
              </w:tabs>
              <w:ind w:left="142" w:right="145"/>
              <w:jc w:val="both"/>
              <w:rPr>
                <w:sz w:val="28"/>
                <w:szCs w:val="28"/>
              </w:rPr>
            </w:pPr>
          </w:p>
          <w:p w:rsidR="00894236" w:rsidRDefault="00894236" w:rsidP="00FE262A">
            <w:pPr>
              <w:tabs>
                <w:tab w:val="left" w:pos="6636"/>
                <w:tab w:val="left" w:pos="6729"/>
              </w:tabs>
              <w:ind w:left="142" w:right="145"/>
              <w:jc w:val="both"/>
              <w:rPr>
                <w:sz w:val="28"/>
                <w:szCs w:val="28"/>
              </w:rPr>
            </w:pPr>
            <w:r w:rsidRPr="00C81270">
              <w:rPr>
                <w:sz w:val="28"/>
                <w:szCs w:val="28"/>
                <w:u w:val="single"/>
              </w:rPr>
              <w:t>Pirmā kārta (neatliekamie darbi) no 01.10.2016</w:t>
            </w:r>
            <w:r>
              <w:rPr>
                <w:sz w:val="28"/>
                <w:szCs w:val="28"/>
                <w:u w:val="single"/>
              </w:rPr>
              <w:t>.</w:t>
            </w:r>
            <w:r w:rsidRPr="00C81270">
              <w:rPr>
                <w:sz w:val="28"/>
                <w:szCs w:val="28"/>
                <w:u w:val="single"/>
              </w:rPr>
              <w:t xml:space="preserve"> līdz 31.12.2016</w:t>
            </w:r>
            <w:r>
              <w:rPr>
                <w:sz w:val="28"/>
                <w:szCs w:val="28"/>
                <w:u w:val="single"/>
              </w:rPr>
              <w:t>.</w:t>
            </w:r>
            <w:r w:rsidRPr="00C81270">
              <w:rPr>
                <w:sz w:val="28"/>
                <w:szCs w:val="28"/>
              </w:rPr>
              <w:t>:</w:t>
            </w:r>
          </w:p>
          <w:p w:rsidR="00894236" w:rsidRPr="00C81270" w:rsidRDefault="00894236" w:rsidP="00FF2901">
            <w:pPr>
              <w:tabs>
                <w:tab w:val="left" w:pos="714"/>
              </w:tabs>
              <w:jc w:val="both"/>
              <w:rPr>
                <w:sz w:val="28"/>
                <w:szCs w:val="28"/>
              </w:rPr>
            </w:pPr>
          </w:p>
          <w:p w:rsidR="00894236" w:rsidRPr="00C81270" w:rsidRDefault="00894236" w:rsidP="00FE262A">
            <w:pPr>
              <w:pStyle w:val="Sarakstarindkopa"/>
              <w:numPr>
                <w:ilvl w:val="0"/>
                <w:numId w:val="13"/>
              </w:numPr>
              <w:tabs>
                <w:tab w:val="left" w:pos="714"/>
              </w:tabs>
              <w:ind w:right="145"/>
              <w:jc w:val="both"/>
              <w:rPr>
                <w:szCs w:val="28"/>
              </w:rPr>
            </w:pPr>
            <w:r w:rsidRPr="00C81270">
              <w:rPr>
                <w:szCs w:val="28"/>
              </w:rPr>
              <w:t>Lielā ērģeļu prospekta nostiprināšanas projekta izstrāde – konstrukciju projektēšana, darba rasējuma sagatavošana, konstrukcijas detalizācija, mezglu datorgrafiska izstrāde, prospekta foto fiksācija un marķēšana;</w:t>
            </w:r>
          </w:p>
          <w:p w:rsidR="00894236" w:rsidRPr="00C81270" w:rsidRDefault="00894236" w:rsidP="00FE262A">
            <w:pPr>
              <w:pStyle w:val="Sarakstarindkopa"/>
              <w:numPr>
                <w:ilvl w:val="0"/>
                <w:numId w:val="13"/>
              </w:numPr>
              <w:tabs>
                <w:tab w:val="left" w:pos="714"/>
              </w:tabs>
              <w:ind w:right="145"/>
              <w:jc w:val="both"/>
              <w:rPr>
                <w:szCs w:val="28"/>
              </w:rPr>
            </w:pPr>
            <w:r w:rsidRPr="00C81270">
              <w:rPr>
                <w:szCs w:val="28"/>
              </w:rPr>
              <w:t>Lielā un mazā prospekta metāla stabuļu restaurācija – stabuļu sastāva analīzes un remonta sastāva izgatavošana, stabuļu restaurācija, stabuļu montāža un restaurācijas doku</w:t>
            </w:r>
            <w:bookmarkStart w:id="2" w:name="_GoBack"/>
            <w:bookmarkEnd w:id="2"/>
            <w:r w:rsidRPr="00C81270">
              <w:rPr>
                <w:szCs w:val="28"/>
              </w:rPr>
              <w:t>mentācija;</w:t>
            </w:r>
          </w:p>
          <w:p w:rsidR="00894236" w:rsidRDefault="00894236" w:rsidP="00FE262A">
            <w:pPr>
              <w:pStyle w:val="Sarakstarindkopa"/>
              <w:numPr>
                <w:ilvl w:val="0"/>
                <w:numId w:val="13"/>
              </w:numPr>
              <w:tabs>
                <w:tab w:val="left" w:pos="714"/>
              </w:tabs>
              <w:ind w:right="145"/>
              <w:jc w:val="both"/>
              <w:rPr>
                <w:szCs w:val="28"/>
              </w:rPr>
            </w:pPr>
            <w:r w:rsidRPr="00C81270">
              <w:rPr>
                <w:szCs w:val="28"/>
              </w:rPr>
              <w:t xml:space="preserve">Mazā prospekta restaurācija – uzslāņojumu noņemšana no </w:t>
            </w:r>
            <w:r w:rsidRPr="00C81270">
              <w:rPr>
                <w:szCs w:val="28"/>
              </w:rPr>
              <w:lastRenderedPageBreak/>
              <w:t>kokgriezumiem, koksnes restaurācija/zudumu protezēšana kokgriezumos, oriģinālā krāsojuma retuša, kokgriezumu montāža, torņu restaurācija, pildiņu konstrukciju restaurācija, mazā prospekta karkasa restaurācija, „bumbu” konstrukciju restaurācija, proepekta sānu restaurācija, durvju D1restaurācija, zeltīšanas darbi un restaurācijas dokumentācija.</w:t>
            </w:r>
          </w:p>
          <w:p w:rsidR="00FE262A" w:rsidRPr="00C81270" w:rsidRDefault="00FE262A" w:rsidP="00FE262A">
            <w:pPr>
              <w:pStyle w:val="Sarakstarindkopa"/>
              <w:tabs>
                <w:tab w:val="left" w:pos="714"/>
              </w:tabs>
              <w:ind w:left="676"/>
              <w:jc w:val="both"/>
              <w:rPr>
                <w:szCs w:val="28"/>
              </w:rPr>
            </w:pPr>
          </w:p>
          <w:p w:rsidR="00894236" w:rsidRDefault="00894236" w:rsidP="00FE262A">
            <w:pPr>
              <w:tabs>
                <w:tab w:val="left" w:pos="6636"/>
                <w:tab w:val="left" w:pos="6729"/>
              </w:tabs>
              <w:ind w:left="142"/>
              <w:jc w:val="both"/>
              <w:rPr>
                <w:sz w:val="28"/>
                <w:szCs w:val="28"/>
                <w:u w:val="single"/>
              </w:rPr>
            </w:pPr>
            <w:r w:rsidRPr="00A90549">
              <w:rPr>
                <w:sz w:val="28"/>
                <w:szCs w:val="28"/>
                <w:u w:val="single"/>
              </w:rPr>
              <w:t>Otrā kārta no 01.01.2017. līdz 31.12.2017</w:t>
            </w:r>
            <w:r>
              <w:rPr>
                <w:sz w:val="28"/>
                <w:szCs w:val="28"/>
                <w:u w:val="single"/>
              </w:rPr>
              <w:t>.:</w:t>
            </w:r>
          </w:p>
          <w:p w:rsidR="00894236" w:rsidRDefault="00894236" w:rsidP="00894236">
            <w:pPr>
              <w:tabs>
                <w:tab w:val="left" w:pos="6636"/>
                <w:tab w:val="left" w:pos="6729"/>
              </w:tabs>
              <w:ind w:left="33"/>
              <w:jc w:val="both"/>
              <w:rPr>
                <w:sz w:val="28"/>
                <w:szCs w:val="28"/>
              </w:rPr>
            </w:pPr>
          </w:p>
          <w:p w:rsidR="00894236" w:rsidRPr="00C81270" w:rsidRDefault="00894236" w:rsidP="00FE262A">
            <w:pPr>
              <w:pStyle w:val="Sarakstarindkopa"/>
              <w:numPr>
                <w:ilvl w:val="0"/>
                <w:numId w:val="14"/>
              </w:numPr>
              <w:tabs>
                <w:tab w:val="left" w:pos="714"/>
                <w:tab w:val="left" w:pos="6729"/>
              </w:tabs>
              <w:ind w:right="145"/>
              <w:jc w:val="both"/>
              <w:rPr>
                <w:rFonts w:eastAsia="Times New Roman"/>
                <w:szCs w:val="28"/>
              </w:rPr>
            </w:pPr>
            <w:r w:rsidRPr="00C81270">
              <w:rPr>
                <w:rFonts w:eastAsia="Times New Roman"/>
                <w:szCs w:val="28"/>
              </w:rPr>
              <w:t>Lielā un mazā ērģeļu prospekta stabuļu restaurācija</w:t>
            </w:r>
            <w:r>
              <w:rPr>
                <w:rFonts w:eastAsia="Times New Roman"/>
                <w:szCs w:val="28"/>
              </w:rPr>
              <w:t xml:space="preserve"> ;</w:t>
            </w:r>
          </w:p>
          <w:p w:rsidR="00894236" w:rsidRPr="00C81270" w:rsidRDefault="00894236" w:rsidP="00FE262A">
            <w:pPr>
              <w:pStyle w:val="Sarakstarindkopa"/>
              <w:numPr>
                <w:ilvl w:val="0"/>
                <w:numId w:val="14"/>
              </w:numPr>
              <w:tabs>
                <w:tab w:val="left" w:pos="714"/>
                <w:tab w:val="left" w:pos="6729"/>
              </w:tabs>
              <w:ind w:right="145"/>
              <w:jc w:val="both"/>
              <w:rPr>
                <w:rFonts w:eastAsia="Times New Roman"/>
                <w:szCs w:val="28"/>
              </w:rPr>
            </w:pPr>
            <w:r w:rsidRPr="00C81270">
              <w:rPr>
                <w:rFonts w:eastAsia="Times New Roman"/>
                <w:szCs w:val="28"/>
              </w:rPr>
              <w:t>Demontāžas darbi;</w:t>
            </w:r>
          </w:p>
          <w:p w:rsidR="00894236" w:rsidRPr="00C81270" w:rsidRDefault="00894236" w:rsidP="00FE262A">
            <w:pPr>
              <w:pStyle w:val="Sarakstarindkopa"/>
              <w:numPr>
                <w:ilvl w:val="0"/>
                <w:numId w:val="14"/>
              </w:numPr>
              <w:tabs>
                <w:tab w:val="left" w:pos="714"/>
                <w:tab w:val="left" w:pos="6729"/>
              </w:tabs>
              <w:ind w:right="145"/>
              <w:jc w:val="both"/>
              <w:rPr>
                <w:rFonts w:eastAsia="Times New Roman"/>
                <w:szCs w:val="28"/>
              </w:rPr>
            </w:pPr>
            <w:r w:rsidRPr="00C81270">
              <w:rPr>
                <w:rFonts w:eastAsia="Times New Roman"/>
                <w:szCs w:val="28"/>
              </w:rPr>
              <w:t>Lielā ērģeļu prospekta cokola nobalstīšanas konstrukcijas izbūve un prospekta konstrukcijas montāža pēc restaurācijas;</w:t>
            </w:r>
          </w:p>
          <w:p w:rsidR="00894236" w:rsidRPr="00C81270" w:rsidRDefault="00894236" w:rsidP="00FE262A">
            <w:pPr>
              <w:pStyle w:val="Sarakstarindkopa"/>
              <w:numPr>
                <w:ilvl w:val="0"/>
                <w:numId w:val="14"/>
              </w:numPr>
              <w:tabs>
                <w:tab w:val="left" w:pos="714"/>
                <w:tab w:val="left" w:pos="6729"/>
              </w:tabs>
              <w:ind w:right="145"/>
              <w:jc w:val="both"/>
              <w:rPr>
                <w:rFonts w:eastAsia="Times New Roman"/>
                <w:szCs w:val="28"/>
              </w:rPr>
            </w:pPr>
            <w:r w:rsidRPr="00C81270">
              <w:rPr>
                <w:rFonts w:eastAsia="Times New Roman"/>
                <w:szCs w:val="28"/>
              </w:rPr>
              <w:t>Lielā ērģeļu prospekta cokola daļas un kark</w:t>
            </w:r>
            <w:r>
              <w:rPr>
                <w:rFonts w:eastAsia="Times New Roman"/>
                <w:szCs w:val="28"/>
              </w:rPr>
              <w:t>a</w:t>
            </w:r>
            <w:r w:rsidRPr="00C81270">
              <w:rPr>
                <w:rFonts w:eastAsia="Times New Roman"/>
                <w:szCs w:val="28"/>
              </w:rPr>
              <w:t>sa restaurācija;</w:t>
            </w:r>
          </w:p>
          <w:p w:rsidR="00894236" w:rsidRPr="00066FC7" w:rsidRDefault="00894236" w:rsidP="00FE262A">
            <w:pPr>
              <w:pStyle w:val="Sarakstarindkopa"/>
              <w:numPr>
                <w:ilvl w:val="0"/>
                <w:numId w:val="14"/>
              </w:numPr>
              <w:tabs>
                <w:tab w:val="left" w:pos="714"/>
                <w:tab w:val="left" w:pos="6729"/>
              </w:tabs>
              <w:ind w:right="145"/>
              <w:jc w:val="both"/>
              <w:rPr>
                <w:rFonts w:eastAsia="Times New Roman"/>
                <w:szCs w:val="28"/>
              </w:rPr>
            </w:pPr>
            <w:r w:rsidRPr="00C81270">
              <w:rPr>
                <w:rFonts w:eastAsia="Times New Roman"/>
                <w:szCs w:val="28"/>
              </w:rPr>
              <w:t>Lielā ērģeļu prospekta kokgriezumu un skulptūru restaurācija</w:t>
            </w:r>
            <w:r w:rsidRPr="00066FC7">
              <w:rPr>
                <w:rFonts w:eastAsia="Times New Roman"/>
                <w:szCs w:val="28"/>
              </w:rPr>
              <w:t>.</w:t>
            </w:r>
          </w:p>
          <w:p w:rsidR="00894236" w:rsidRDefault="00894236" w:rsidP="00FF2901">
            <w:pPr>
              <w:tabs>
                <w:tab w:val="left" w:pos="600"/>
                <w:tab w:val="left" w:pos="714"/>
              </w:tabs>
              <w:spacing w:line="317" w:lineRule="exact"/>
              <w:ind w:left="33" w:right="20"/>
              <w:jc w:val="both"/>
              <w:rPr>
                <w:sz w:val="28"/>
                <w:szCs w:val="28"/>
              </w:rPr>
            </w:pPr>
          </w:p>
          <w:p w:rsidR="00894236" w:rsidRPr="00095F83" w:rsidRDefault="00894236" w:rsidP="00FE262A">
            <w:pPr>
              <w:tabs>
                <w:tab w:val="left" w:pos="600"/>
              </w:tabs>
              <w:spacing w:line="317" w:lineRule="exact"/>
              <w:ind w:left="142" w:right="145"/>
              <w:jc w:val="both"/>
              <w:rPr>
                <w:sz w:val="28"/>
                <w:szCs w:val="28"/>
              </w:rPr>
            </w:pPr>
            <w:r w:rsidRPr="00095F83">
              <w:rPr>
                <w:sz w:val="28"/>
                <w:szCs w:val="28"/>
              </w:rPr>
              <w:t>Veicot iepriekš plānotos Rīgas Doma ērģeļu restaurācijas darbus, konstatēts, ka ērģeļu zonā ir vairākas neatliekami novēršamas problēmas:</w:t>
            </w:r>
          </w:p>
          <w:p w:rsidR="00894236" w:rsidRPr="00095F83" w:rsidRDefault="00894236" w:rsidP="00FE262A">
            <w:pPr>
              <w:pStyle w:val="Bodytext60"/>
              <w:numPr>
                <w:ilvl w:val="0"/>
                <w:numId w:val="15"/>
              </w:numPr>
              <w:shd w:val="clear" w:color="auto" w:fill="auto"/>
              <w:tabs>
                <w:tab w:val="left" w:pos="874"/>
              </w:tabs>
              <w:spacing w:line="240" w:lineRule="auto"/>
              <w:ind w:left="142" w:right="145" w:firstLine="425"/>
              <w:jc w:val="both"/>
              <w:rPr>
                <w:rFonts w:ascii="Times New Roman" w:hAnsi="Times New Roman" w:cs="Times New Roman"/>
                <w:sz w:val="28"/>
                <w:szCs w:val="28"/>
              </w:rPr>
            </w:pPr>
            <w:r w:rsidRPr="00095F83">
              <w:rPr>
                <w:rFonts w:ascii="Times New Roman" w:hAnsi="Times New Roman" w:cs="Times New Roman"/>
                <w:color w:val="000000"/>
                <w:sz w:val="28"/>
                <w:szCs w:val="28"/>
              </w:rPr>
              <w:t xml:space="preserve"> </w:t>
            </w:r>
            <w:r w:rsidRPr="00095F83">
              <w:rPr>
                <w:rFonts w:ascii="Times New Roman" w:hAnsi="Times New Roman" w:cs="Times New Roman"/>
                <w:sz w:val="28"/>
                <w:szCs w:val="28"/>
              </w:rPr>
              <w:t xml:space="preserve"> ērģeļu prospekta zonā esošā elektroinstalācija ir fiziski novecojusi un neatbilst ugunsdrošības prasībām. Ir neatliekami jāveic elektrokabeļu nomaiņa. Esošā elektrosistēma rada ugunsdrošības riskus un apdraud ērģeļu turpmāku izmantošanu. Baznīcā ērģeļu zonā esošā automātiskā uguns atklāšanas sistēma neatbilst pašreizējām ugunsdrošības prasībām.</w:t>
            </w:r>
          </w:p>
          <w:p w:rsidR="00894236" w:rsidRPr="00095F83" w:rsidRDefault="00894236" w:rsidP="00FE262A">
            <w:pPr>
              <w:pStyle w:val="Bodytext60"/>
              <w:numPr>
                <w:ilvl w:val="0"/>
                <w:numId w:val="15"/>
              </w:numPr>
              <w:shd w:val="clear" w:color="auto" w:fill="auto"/>
              <w:tabs>
                <w:tab w:val="left" w:pos="874"/>
              </w:tabs>
              <w:spacing w:line="240" w:lineRule="auto"/>
              <w:ind w:left="142" w:right="145"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95F83">
              <w:rPr>
                <w:rFonts w:ascii="Times New Roman" w:hAnsi="Times New Roman" w:cs="Times New Roman"/>
                <w:sz w:val="28"/>
                <w:szCs w:val="28"/>
              </w:rPr>
              <w:t>18.</w:t>
            </w:r>
            <w:r>
              <w:rPr>
                <w:rFonts w:ascii="Times New Roman" w:hAnsi="Times New Roman" w:cs="Times New Roman"/>
                <w:sz w:val="28"/>
                <w:szCs w:val="28"/>
              </w:rPr>
              <w:t>gs.</w:t>
            </w:r>
            <w:r w:rsidRPr="00095F83">
              <w:rPr>
                <w:rFonts w:ascii="Times New Roman" w:hAnsi="Times New Roman" w:cs="Times New Roman"/>
                <w:sz w:val="28"/>
                <w:szCs w:val="28"/>
              </w:rPr>
              <w:t xml:space="preserve"> mazā ērģeļu prospekta atbalsta margas gleznojumu un dekoratīvā marmorējuma (valsts nozīmes mākslas piemineklis Nr. 7105) saglabātības stāvoklis. Kopumā 18 gleznas un 18 dekoratīvie pildiņi ar kolonetēm. Gleznojumiem jau ir krāsas </w:t>
            </w:r>
            <w:r w:rsidRPr="00095F83">
              <w:rPr>
                <w:rFonts w:ascii="Times New Roman" w:hAnsi="Times New Roman" w:cs="Times New Roman"/>
                <w:sz w:val="28"/>
                <w:szCs w:val="28"/>
              </w:rPr>
              <w:lastRenderedPageBreak/>
              <w:t>slāņa zudumi un koksnes atsegšanās, uz to virsmas novērojama krāsojuma slāņa atdalīšanas, sairšana, krakelūras veidošanās un nokrišana. Dekoratīvās koka kolonetes ir saplaisājušas un no tām ir atdalījušās dekoratīvās daļas. Lai būtu</w:t>
            </w:r>
            <w:r>
              <w:rPr>
                <w:rFonts w:ascii="Times New Roman" w:hAnsi="Times New Roman" w:cs="Times New Roman"/>
                <w:sz w:val="28"/>
                <w:szCs w:val="28"/>
              </w:rPr>
              <w:t xml:space="preserve"> iespējams veikt šo unikālo 18.</w:t>
            </w:r>
            <w:r w:rsidRPr="00095F83">
              <w:rPr>
                <w:rFonts w:ascii="Times New Roman" w:hAnsi="Times New Roman" w:cs="Times New Roman"/>
                <w:sz w:val="28"/>
                <w:szCs w:val="28"/>
              </w:rPr>
              <w:t>g</w:t>
            </w:r>
            <w:r>
              <w:rPr>
                <w:rFonts w:ascii="Times New Roman" w:hAnsi="Times New Roman" w:cs="Times New Roman"/>
                <w:sz w:val="28"/>
                <w:szCs w:val="28"/>
              </w:rPr>
              <w:t>s.</w:t>
            </w:r>
            <w:r w:rsidRPr="00095F83">
              <w:rPr>
                <w:rFonts w:ascii="Times New Roman" w:hAnsi="Times New Roman" w:cs="Times New Roman"/>
                <w:sz w:val="28"/>
                <w:szCs w:val="28"/>
              </w:rPr>
              <w:t xml:space="preserve"> gleznojumu restaurāciju, nepieciešams uzbūvēt sastatnes no zāles grīdas līdz mazā ērģeļu prospekta balkonam.</w:t>
            </w:r>
          </w:p>
          <w:p w:rsidR="00894236" w:rsidRDefault="00894236" w:rsidP="00FE262A">
            <w:pPr>
              <w:pStyle w:val="Bodytext60"/>
              <w:numPr>
                <w:ilvl w:val="0"/>
                <w:numId w:val="15"/>
              </w:numPr>
              <w:shd w:val="clear" w:color="auto" w:fill="auto"/>
              <w:tabs>
                <w:tab w:val="left" w:pos="898"/>
              </w:tabs>
              <w:spacing w:line="240" w:lineRule="auto"/>
              <w:ind w:left="142" w:right="145" w:firstLine="425"/>
              <w:jc w:val="both"/>
              <w:rPr>
                <w:rFonts w:ascii="Times New Roman" w:hAnsi="Times New Roman" w:cs="Times New Roman"/>
                <w:sz w:val="28"/>
                <w:szCs w:val="28"/>
              </w:rPr>
            </w:pPr>
            <w:r>
              <w:rPr>
                <w:rFonts w:ascii="Times New Roman" w:hAnsi="Times New Roman" w:cs="Times New Roman"/>
                <w:sz w:val="28"/>
                <w:szCs w:val="28"/>
              </w:rPr>
              <w:t xml:space="preserve"> veicot l</w:t>
            </w:r>
            <w:r w:rsidRPr="00095F83">
              <w:rPr>
                <w:rFonts w:ascii="Times New Roman" w:hAnsi="Times New Roman" w:cs="Times New Roman"/>
                <w:sz w:val="28"/>
                <w:szCs w:val="28"/>
              </w:rPr>
              <w:t>ielā ērģeļu prospekta cokola daļas restaurāciju, tika konstatēts, kas ir nepieciešams vienlaicīgi ar cokola daļas restaurāciju veikt spēles galda restaurāciju, jo spēles galda dekoratīvā apdare ir daļēji zudusi un tā lietošanā pastāv vairāki riski, piemēram, spēles taustiņu iesprūšana.</w:t>
            </w:r>
          </w:p>
          <w:p w:rsidR="00894236" w:rsidRDefault="00894236" w:rsidP="00894236">
            <w:pPr>
              <w:pStyle w:val="Bodytext60"/>
              <w:shd w:val="clear" w:color="auto" w:fill="auto"/>
              <w:tabs>
                <w:tab w:val="left" w:pos="898"/>
              </w:tabs>
              <w:spacing w:line="240" w:lineRule="auto"/>
              <w:ind w:right="40"/>
              <w:jc w:val="both"/>
              <w:rPr>
                <w:rFonts w:ascii="Times New Roman" w:hAnsi="Times New Roman" w:cs="Times New Roman"/>
                <w:sz w:val="28"/>
                <w:szCs w:val="28"/>
              </w:rPr>
            </w:pPr>
          </w:p>
          <w:p w:rsidR="00894236" w:rsidRDefault="00894236" w:rsidP="00FE262A">
            <w:pPr>
              <w:pStyle w:val="Bodytext60"/>
              <w:shd w:val="clear" w:color="auto" w:fill="auto"/>
              <w:tabs>
                <w:tab w:val="left" w:pos="898"/>
              </w:tabs>
              <w:spacing w:line="240" w:lineRule="auto"/>
              <w:ind w:left="142" w:right="145"/>
              <w:jc w:val="both"/>
              <w:rPr>
                <w:rFonts w:ascii="Times New Roman" w:hAnsi="Times New Roman" w:cs="Times New Roman"/>
                <w:sz w:val="28"/>
                <w:szCs w:val="28"/>
              </w:rPr>
            </w:pPr>
            <w:r>
              <w:rPr>
                <w:rFonts w:ascii="Times New Roman" w:hAnsi="Times New Roman" w:cs="Times New Roman"/>
                <w:sz w:val="28"/>
                <w:szCs w:val="28"/>
              </w:rPr>
              <w:t>Iepriekš norādīto darbu veikšanai 2017.gadā ir nepieciešams papildu finansējums 298 732 </w:t>
            </w:r>
            <w:r w:rsidRPr="009634BA">
              <w:rPr>
                <w:rFonts w:ascii="Times New Roman" w:hAnsi="Times New Roman" w:cs="Times New Roman"/>
                <w:i/>
                <w:sz w:val="28"/>
                <w:szCs w:val="28"/>
              </w:rPr>
              <w:t>euro</w:t>
            </w:r>
            <w:r>
              <w:rPr>
                <w:rFonts w:ascii="Times New Roman" w:hAnsi="Times New Roman" w:cs="Times New Roman"/>
                <w:sz w:val="28"/>
                <w:szCs w:val="28"/>
              </w:rPr>
              <w:t>:</w:t>
            </w:r>
          </w:p>
          <w:p w:rsidR="00894236" w:rsidRDefault="00894236" w:rsidP="00FE262A">
            <w:pPr>
              <w:pStyle w:val="Bodytext60"/>
              <w:numPr>
                <w:ilvl w:val="0"/>
                <w:numId w:val="16"/>
              </w:numPr>
              <w:shd w:val="clear" w:color="auto" w:fill="auto"/>
              <w:tabs>
                <w:tab w:val="left" w:pos="898"/>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Elektroinstalācijai un uguns atklāšanas sistēmai ( 35 613 </w:t>
            </w:r>
            <w:r w:rsidRPr="002575BB">
              <w:rPr>
                <w:rFonts w:ascii="Times New Roman" w:hAnsi="Times New Roman" w:cs="Times New Roman"/>
                <w:i/>
                <w:sz w:val="28"/>
                <w:szCs w:val="28"/>
              </w:rPr>
              <w:t>euro</w:t>
            </w:r>
            <w:r>
              <w:rPr>
                <w:rFonts w:ascii="Times New Roman" w:hAnsi="Times New Roman" w:cs="Times New Roman"/>
                <w:sz w:val="28"/>
                <w:szCs w:val="28"/>
              </w:rPr>
              <w:t>);</w:t>
            </w:r>
          </w:p>
          <w:p w:rsidR="00894236" w:rsidRDefault="00894236" w:rsidP="00FE262A">
            <w:pPr>
              <w:pStyle w:val="Bodytext60"/>
              <w:numPr>
                <w:ilvl w:val="0"/>
                <w:numId w:val="16"/>
              </w:numPr>
              <w:shd w:val="clear" w:color="auto" w:fill="auto"/>
              <w:tabs>
                <w:tab w:val="left" w:pos="898"/>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Lielā ērģeļu prospekta cokola un balkona daļas restaurācija – gleznojumu un marmorējumā restaurācija (170</w:t>
            </w:r>
            <w:r w:rsidR="009037F3">
              <w:rPr>
                <w:rFonts w:ascii="Times New Roman" w:hAnsi="Times New Roman" w:cs="Times New Roman"/>
                <w:sz w:val="28"/>
                <w:szCs w:val="28"/>
              </w:rPr>
              <w:t> </w:t>
            </w:r>
            <w:r>
              <w:rPr>
                <w:rFonts w:ascii="Times New Roman" w:hAnsi="Times New Roman" w:cs="Times New Roman"/>
                <w:sz w:val="28"/>
                <w:szCs w:val="28"/>
              </w:rPr>
              <w:t>007</w:t>
            </w:r>
            <w:r w:rsidR="009037F3">
              <w:rPr>
                <w:rFonts w:ascii="Times New Roman" w:hAnsi="Times New Roman" w:cs="Times New Roman"/>
                <w:sz w:val="28"/>
                <w:szCs w:val="28"/>
              </w:rPr>
              <w:t> </w:t>
            </w:r>
            <w:r w:rsidRPr="002575BB">
              <w:rPr>
                <w:rFonts w:ascii="Times New Roman" w:hAnsi="Times New Roman" w:cs="Times New Roman"/>
                <w:i/>
                <w:sz w:val="28"/>
                <w:szCs w:val="28"/>
              </w:rPr>
              <w:t>euro</w:t>
            </w:r>
            <w:r>
              <w:rPr>
                <w:rFonts w:ascii="Times New Roman" w:hAnsi="Times New Roman" w:cs="Times New Roman"/>
                <w:sz w:val="28"/>
                <w:szCs w:val="28"/>
              </w:rPr>
              <w:t>);</w:t>
            </w:r>
          </w:p>
          <w:p w:rsidR="00894236" w:rsidRDefault="00894236" w:rsidP="00FE262A">
            <w:pPr>
              <w:pStyle w:val="Bodytext60"/>
              <w:numPr>
                <w:ilvl w:val="0"/>
                <w:numId w:val="16"/>
              </w:numPr>
              <w:shd w:val="clear" w:color="auto" w:fill="auto"/>
              <w:tabs>
                <w:tab w:val="left" w:pos="898"/>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Sastatnes gleznojumu restaurācijai (34 045 </w:t>
            </w:r>
            <w:r w:rsidRPr="002575BB">
              <w:rPr>
                <w:rFonts w:ascii="Times New Roman" w:hAnsi="Times New Roman" w:cs="Times New Roman"/>
                <w:i/>
                <w:sz w:val="28"/>
                <w:szCs w:val="28"/>
              </w:rPr>
              <w:t>euro</w:t>
            </w:r>
            <w:r>
              <w:rPr>
                <w:rFonts w:ascii="Times New Roman" w:hAnsi="Times New Roman" w:cs="Times New Roman"/>
                <w:sz w:val="28"/>
                <w:szCs w:val="28"/>
              </w:rPr>
              <w:t>);</w:t>
            </w:r>
          </w:p>
          <w:p w:rsidR="00894236" w:rsidRPr="00095F83" w:rsidRDefault="00894236" w:rsidP="00FE262A">
            <w:pPr>
              <w:pStyle w:val="Bodytext60"/>
              <w:numPr>
                <w:ilvl w:val="0"/>
                <w:numId w:val="16"/>
              </w:numPr>
              <w:shd w:val="clear" w:color="auto" w:fill="auto"/>
              <w:tabs>
                <w:tab w:val="left" w:pos="898"/>
              </w:tabs>
              <w:spacing w:line="240" w:lineRule="auto"/>
              <w:ind w:left="714" w:right="142" w:hanging="357"/>
              <w:jc w:val="both"/>
              <w:rPr>
                <w:rFonts w:ascii="Times New Roman" w:hAnsi="Times New Roman" w:cs="Times New Roman"/>
                <w:sz w:val="28"/>
                <w:szCs w:val="28"/>
              </w:rPr>
            </w:pPr>
            <w:r>
              <w:rPr>
                <w:rFonts w:ascii="Times New Roman" w:hAnsi="Times New Roman" w:cs="Times New Roman"/>
                <w:sz w:val="28"/>
                <w:szCs w:val="28"/>
              </w:rPr>
              <w:t>Spēles galda restaurācija (59 067 </w:t>
            </w:r>
            <w:r w:rsidRPr="002575BB">
              <w:rPr>
                <w:rFonts w:ascii="Times New Roman" w:hAnsi="Times New Roman" w:cs="Times New Roman"/>
                <w:i/>
                <w:sz w:val="28"/>
                <w:szCs w:val="28"/>
              </w:rPr>
              <w:t>euro</w:t>
            </w:r>
            <w:r>
              <w:rPr>
                <w:rFonts w:ascii="Times New Roman" w:hAnsi="Times New Roman" w:cs="Times New Roman"/>
                <w:sz w:val="28"/>
                <w:szCs w:val="28"/>
              </w:rPr>
              <w:t>).</w:t>
            </w:r>
          </w:p>
          <w:p w:rsidR="00894236" w:rsidRDefault="00894236" w:rsidP="00894236">
            <w:pPr>
              <w:tabs>
                <w:tab w:val="left" w:pos="600"/>
              </w:tabs>
              <w:spacing w:line="317" w:lineRule="exact"/>
              <w:ind w:left="33" w:right="20"/>
              <w:jc w:val="both"/>
              <w:rPr>
                <w:color w:val="000000"/>
                <w:sz w:val="28"/>
                <w:szCs w:val="28"/>
              </w:rPr>
            </w:pPr>
          </w:p>
          <w:p w:rsidR="00FE262A" w:rsidRDefault="00894236" w:rsidP="00FE262A">
            <w:pPr>
              <w:tabs>
                <w:tab w:val="left" w:pos="600"/>
              </w:tabs>
              <w:spacing w:line="317" w:lineRule="exact"/>
              <w:ind w:left="142" w:right="142"/>
              <w:jc w:val="both"/>
              <w:rPr>
                <w:color w:val="000000"/>
                <w:sz w:val="28"/>
                <w:szCs w:val="28"/>
              </w:rPr>
            </w:pPr>
            <w:r>
              <w:rPr>
                <w:color w:val="000000"/>
                <w:sz w:val="28"/>
                <w:szCs w:val="28"/>
              </w:rPr>
              <w:t xml:space="preserve">Latvijā </w:t>
            </w:r>
            <w:r w:rsidRPr="001F70CD">
              <w:rPr>
                <w:color w:val="000000"/>
                <w:sz w:val="28"/>
                <w:szCs w:val="28"/>
              </w:rPr>
              <w:t>2017.</w:t>
            </w:r>
            <w:r>
              <w:rPr>
                <w:color w:val="000000"/>
                <w:sz w:val="28"/>
                <w:szCs w:val="28"/>
              </w:rPr>
              <w:t xml:space="preserve"> un </w:t>
            </w:r>
            <w:r w:rsidRPr="001F70CD">
              <w:rPr>
                <w:color w:val="000000"/>
                <w:sz w:val="28"/>
                <w:szCs w:val="28"/>
              </w:rPr>
              <w:t>2018.gadā norisināsies daudz ievērojami pasākumi, kas notiks arī Rīgas Domā. 2018.gadā R</w:t>
            </w:r>
            <w:r>
              <w:rPr>
                <w:color w:val="000000"/>
                <w:sz w:val="28"/>
                <w:szCs w:val="28"/>
              </w:rPr>
              <w:t>īgas Domā norisināsies garīgās m</w:t>
            </w:r>
            <w:r w:rsidRPr="001F70CD">
              <w:rPr>
                <w:color w:val="000000"/>
                <w:sz w:val="28"/>
                <w:szCs w:val="28"/>
              </w:rPr>
              <w:t>ūzikas koncerts Vispārējo latviešu Dziesmu un Deju svētku programmas ietvaros</w:t>
            </w:r>
            <w:r w:rsidRPr="00340CDC">
              <w:rPr>
                <w:color w:val="000000"/>
                <w:sz w:val="28"/>
                <w:szCs w:val="28"/>
              </w:rPr>
              <w:t>.</w:t>
            </w:r>
            <w:r>
              <w:rPr>
                <w:color w:val="000000"/>
                <w:sz w:val="28"/>
                <w:szCs w:val="28"/>
              </w:rPr>
              <w:t xml:space="preserve"> </w:t>
            </w:r>
            <w:r w:rsidRPr="00340CDC">
              <w:rPr>
                <w:sz w:val="28"/>
                <w:szCs w:val="28"/>
              </w:rPr>
              <w:t>Lai Rīgas Doms droši un cienīgi varētu uzņemt viesus un sagatavoties Latvijas valsts simtgades svētkiem, ir jāpabeidz Rīgas Doma ērģeļu prospekta restaurācija, kas būtu neatsverams ieguldījums Latvijas un visas Baltijas kultūras dzīvē, saglabājot unikālu Pasaules un Eiropas kultūras vērtību.</w:t>
            </w:r>
          </w:p>
          <w:p w:rsidR="00FE262A" w:rsidRDefault="00FE262A" w:rsidP="00FE262A">
            <w:pPr>
              <w:tabs>
                <w:tab w:val="left" w:pos="600"/>
              </w:tabs>
              <w:spacing w:line="317" w:lineRule="exact"/>
              <w:ind w:left="142" w:right="20"/>
              <w:jc w:val="both"/>
              <w:rPr>
                <w:color w:val="000000"/>
                <w:sz w:val="28"/>
                <w:szCs w:val="28"/>
              </w:rPr>
            </w:pPr>
          </w:p>
          <w:p w:rsidR="00FE262A" w:rsidRDefault="00894236" w:rsidP="00FE262A">
            <w:pPr>
              <w:tabs>
                <w:tab w:val="left" w:pos="600"/>
              </w:tabs>
              <w:spacing w:line="317" w:lineRule="exact"/>
              <w:ind w:left="142" w:right="142"/>
              <w:jc w:val="both"/>
              <w:rPr>
                <w:color w:val="000000"/>
                <w:sz w:val="28"/>
                <w:szCs w:val="28"/>
              </w:rPr>
            </w:pPr>
            <w:r w:rsidRPr="005520E8">
              <w:rPr>
                <w:sz w:val="28"/>
                <w:szCs w:val="28"/>
              </w:rPr>
              <w:t xml:space="preserve">Rīgas Svētā Jēkaba Romas katoļu katedrālei </w:t>
            </w:r>
            <w:r w:rsidRPr="005520E8">
              <w:rPr>
                <w:sz w:val="28"/>
                <w:szCs w:val="28"/>
              </w:rPr>
              <w:lastRenderedPageBreak/>
              <w:t xml:space="preserve">(turpmāk – Katedrāle) pēc vairākkārtējas tehniskās apsekošanas Valsts kultūras pieminekļu aizsardzības inspekcija </w:t>
            </w:r>
            <w:r>
              <w:rPr>
                <w:sz w:val="28"/>
                <w:szCs w:val="28"/>
              </w:rPr>
              <w:t>(turpmāk – Inspekcija) sadarbībā ar SIA </w:t>
            </w:r>
            <w:r w:rsidRPr="005520E8">
              <w:rPr>
                <w:sz w:val="28"/>
                <w:szCs w:val="28"/>
              </w:rPr>
              <w:t xml:space="preserve">„Arhitektoniskās izpētes grupa” ir konstatējusi nopietnus ārsienu, jumta un torņa konstrukciju bojājumus, kas apdraud ēkas stabilitāti un drošību, un rada risku kultūrvēsturisko vērtību turpmākai pastāvēšanai. Šobrīd Katedrāle ir kritiskā tehniskā stāvoklī, kas var apdraudēt apmeklētāju drošību, tādēļ steidzami nepieciešams veikt ēkas glābšanas darbus, veicot tās atjaunošanu un restaurāciju. </w:t>
            </w:r>
          </w:p>
          <w:p w:rsidR="00FE262A" w:rsidRDefault="00FE262A" w:rsidP="00FE262A">
            <w:pPr>
              <w:tabs>
                <w:tab w:val="left" w:pos="600"/>
              </w:tabs>
              <w:spacing w:line="317" w:lineRule="exact"/>
              <w:ind w:left="142" w:right="142"/>
              <w:jc w:val="both"/>
              <w:rPr>
                <w:color w:val="000000"/>
                <w:sz w:val="28"/>
                <w:szCs w:val="28"/>
              </w:rPr>
            </w:pPr>
          </w:p>
          <w:p w:rsidR="00FE262A" w:rsidRDefault="00894236" w:rsidP="00FE262A">
            <w:pPr>
              <w:tabs>
                <w:tab w:val="left" w:pos="600"/>
              </w:tabs>
              <w:spacing w:line="317" w:lineRule="exact"/>
              <w:ind w:left="142" w:right="142"/>
              <w:jc w:val="both"/>
              <w:rPr>
                <w:color w:val="000000"/>
                <w:sz w:val="28"/>
                <w:szCs w:val="28"/>
              </w:rPr>
            </w:pPr>
            <w:r w:rsidRPr="005520E8">
              <w:rPr>
                <w:sz w:val="28"/>
                <w:szCs w:val="28"/>
              </w:rPr>
              <w:t>Katedrāle ar ēku kompleksu ir nozīmīgs valsts nozīmes arhitektūras pi</w:t>
            </w:r>
            <w:r>
              <w:rPr>
                <w:sz w:val="28"/>
                <w:szCs w:val="28"/>
              </w:rPr>
              <w:t>emineklis (valsts aizsardzības Nr.</w:t>
            </w:r>
            <w:r w:rsidRPr="005520E8">
              <w:rPr>
                <w:sz w:val="28"/>
                <w:szCs w:val="28"/>
              </w:rPr>
              <w:t>6547) kā romānikas laika celtne</w:t>
            </w:r>
            <w:r>
              <w:rPr>
                <w:sz w:val="28"/>
                <w:szCs w:val="28"/>
              </w:rPr>
              <w:t xml:space="preserve"> ar gotikas stila iezīmēm (ieviestas katedrāles pārbūves posmos)</w:t>
            </w:r>
            <w:r w:rsidRPr="005520E8">
              <w:rPr>
                <w:sz w:val="28"/>
                <w:szCs w:val="28"/>
              </w:rPr>
              <w:t xml:space="preserve"> un</w:t>
            </w:r>
            <w:r>
              <w:rPr>
                <w:sz w:val="28"/>
                <w:szCs w:val="28"/>
              </w:rPr>
              <w:t xml:space="preserve"> ir</w:t>
            </w:r>
            <w:r w:rsidRPr="005520E8">
              <w:rPr>
                <w:sz w:val="28"/>
                <w:szCs w:val="28"/>
              </w:rPr>
              <w:t xml:space="preserve"> būtiska UNESCO Pasaules kultūras mantojuma sarakstā iekļautā Rīgas vēsturiskā centra arhitektoniska dominante un nozīmīgs tūrisma objekts. </w:t>
            </w:r>
          </w:p>
          <w:p w:rsidR="00FE262A" w:rsidRDefault="00FE262A" w:rsidP="00FE262A">
            <w:pPr>
              <w:tabs>
                <w:tab w:val="left" w:pos="600"/>
              </w:tabs>
              <w:spacing w:line="317" w:lineRule="exact"/>
              <w:ind w:left="142" w:right="142"/>
              <w:jc w:val="both"/>
              <w:rPr>
                <w:color w:val="000000"/>
                <w:sz w:val="28"/>
                <w:szCs w:val="28"/>
              </w:rPr>
            </w:pPr>
          </w:p>
          <w:p w:rsidR="00FE262A" w:rsidRDefault="00894236" w:rsidP="00FE262A">
            <w:pPr>
              <w:tabs>
                <w:tab w:val="left" w:pos="600"/>
              </w:tabs>
              <w:spacing w:line="317" w:lineRule="exact"/>
              <w:ind w:left="142" w:right="142"/>
              <w:jc w:val="both"/>
              <w:rPr>
                <w:color w:val="000000"/>
                <w:sz w:val="28"/>
                <w:szCs w:val="28"/>
              </w:rPr>
            </w:pPr>
            <w:r w:rsidRPr="005520E8">
              <w:rPr>
                <w:sz w:val="28"/>
                <w:szCs w:val="28"/>
              </w:rPr>
              <w:t>Katedrāles glābšanai jau līdz šim regulāri ticis piešķirts va</w:t>
            </w:r>
            <w:r>
              <w:rPr>
                <w:sz w:val="28"/>
                <w:szCs w:val="28"/>
              </w:rPr>
              <w:t>lsts budžeta finansējums (2014.</w:t>
            </w:r>
            <w:r w:rsidRPr="005520E8">
              <w:rPr>
                <w:sz w:val="28"/>
                <w:szCs w:val="28"/>
              </w:rPr>
              <w:t>gadā 15 000</w:t>
            </w:r>
            <w:r w:rsidRPr="005520E8">
              <w:rPr>
                <w:rStyle w:val="Bodytext115ptItalic"/>
                <w:rFonts w:eastAsia="Calibri"/>
                <w:sz w:val="28"/>
                <w:szCs w:val="28"/>
              </w:rPr>
              <w:t xml:space="preserve"> euro</w:t>
            </w:r>
            <w:r w:rsidRPr="00052238">
              <w:rPr>
                <w:rStyle w:val="Bodytext115ptItalic"/>
                <w:rFonts w:eastAsia="Calibri"/>
                <w:sz w:val="28"/>
                <w:szCs w:val="28"/>
              </w:rPr>
              <w:t>,</w:t>
            </w:r>
            <w:r>
              <w:rPr>
                <w:sz w:val="28"/>
                <w:szCs w:val="28"/>
              </w:rPr>
              <w:t xml:space="preserve"> 2015.</w:t>
            </w:r>
            <w:r w:rsidRPr="005520E8">
              <w:rPr>
                <w:sz w:val="28"/>
                <w:szCs w:val="28"/>
              </w:rPr>
              <w:t>gadā 15</w:t>
            </w:r>
            <w:r>
              <w:rPr>
                <w:sz w:val="28"/>
                <w:szCs w:val="28"/>
              </w:rPr>
              <w:t> </w:t>
            </w:r>
            <w:r w:rsidRPr="005520E8">
              <w:rPr>
                <w:sz w:val="28"/>
                <w:szCs w:val="28"/>
              </w:rPr>
              <w:t>000</w:t>
            </w:r>
            <w:r>
              <w:rPr>
                <w:rStyle w:val="Bodytext115ptItalic"/>
                <w:rFonts w:eastAsia="Calibri"/>
                <w:sz w:val="28"/>
                <w:szCs w:val="28"/>
              </w:rPr>
              <w:t> </w:t>
            </w:r>
            <w:r w:rsidRPr="005520E8">
              <w:rPr>
                <w:rStyle w:val="Bodytext115ptItalic"/>
                <w:rFonts w:eastAsia="Calibri"/>
                <w:sz w:val="28"/>
                <w:szCs w:val="28"/>
              </w:rPr>
              <w:t>euro</w:t>
            </w:r>
            <w:r>
              <w:rPr>
                <w:sz w:val="28"/>
                <w:szCs w:val="28"/>
              </w:rPr>
              <w:t xml:space="preserve"> torņa jumta remontam, 2016.</w:t>
            </w:r>
            <w:r w:rsidRPr="005520E8">
              <w:rPr>
                <w:sz w:val="28"/>
                <w:szCs w:val="28"/>
              </w:rPr>
              <w:t>gadā 7</w:t>
            </w:r>
            <w:r>
              <w:rPr>
                <w:sz w:val="28"/>
                <w:szCs w:val="28"/>
              </w:rPr>
              <w:t xml:space="preserve"> </w:t>
            </w:r>
            <w:r w:rsidRPr="005520E8">
              <w:rPr>
                <w:sz w:val="28"/>
                <w:szCs w:val="28"/>
              </w:rPr>
              <w:t>000</w:t>
            </w:r>
            <w:r>
              <w:rPr>
                <w:sz w:val="28"/>
                <w:szCs w:val="28"/>
              </w:rPr>
              <w:t xml:space="preserve"> </w:t>
            </w:r>
            <w:r w:rsidRPr="005520E8">
              <w:rPr>
                <w:rStyle w:val="Bodytext115ptItalic"/>
                <w:rFonts w:eastAsia="Calibri"/>
                <w:sz w:val="28"/>
                <w:szCs w:val="28"/>
              </w:rPr>
              <w:t>euro</w:t>
            </w:r>
            <w:r w:rsidRPr="005520E8">
              <w:rPr>
                <w:sz w:val="28"/>
                <w:szCs w:val="28"/>
              </w:rPr>
              <w:t xml:space="preserve"> jumta avārijas stāvokļa novēršanai). Tomēr Katedrāles kritiskā stāvokļa novēršana vairs nav iespējama tikai ar ikgadējo </w:t>
            </w:r>
            <w:r>
              <w:rPr>
                <w:sz w:val="28"/>
                <w:szCs w:val="28"/>
              </w:rPr>
              <w:t>Inspekcijas</w:t>
            </w:r>
            <w:r w:rsidRPr="005520E8">
              <w:rPr>
                <w:sz w:val="28"/>
                <w:szCs w:val="28"/>
              </w:rPr>
              <w:t xml:space="preserve"> piešķirto </w:t>
            </w:r>
            <w:r>
              <w:rPr>
                <w:sz w:val="28"/>
                <w:szCs w:val="28"/>
              </w:rPr>
              <w:t xml:space="preserve">valsts budžeta </w:t>
            </w:r>
            <w:r w:rsidRPr="005520E8">
              <w:rPr>
                <w:sz w:val="28"/>
                <w:szCs w:val="28"/>
              </w:rPr>
              <w:t>finansējumu avārijas darbiem Kultūras pieminekļu izpētes, glābšanas un restaurācijas programmas ietvaros.</w:t>
            </w:r>
          </w:p>
          <w:p w:rsidR="00FE262A" w:rsidRDefault="00FE262A" w:rsidP="00FE262A">
            <w:pPr>
              <w:tabs>
                <w:tab w:val="left" w:pos="600"/>
              </w:tabs>
              <w:spacing w:line="317" w:lineRule="exact"/>
              <w:ind w:left="142" w:right="142"/>
              <w:jc w:val="both"/>
              <w:rPr>
                <w:color w:val="000000"/>
                <w:sz w:val="28"/>
                <w:szCs w:val="28"/>
              </w:rPr>
            </w:pPr>
          </w:p>
          <w:p w:rsidR="00894236" w:rsidRPr="00FE262A" w:rsidRDefault="00894236" w:rsidP="00FE262A">
            <w:pPr>
              <w:tabs>
                <w:tab w:val="left" w:pos="600"/>
              </w:tabs>
              <w:spacing w:line="317" w:lineRule="exact"/>
              <w:ind w:left="142" w:right="142"/>
              <w:jc w:val="both"/>
              <w:rPr>
                <w:color w:val="000000"/>
                <w:sz w:val="28"/>
                <w:szCs w:val="28"/>
              </w:rPr>
            </w:pPr>
            <w:r>
              <w:rPr>
                <w:sz w:val="28"/>
                <w:szCs w:val="28"/>
              </w:rPr>
              <w:t>Inspekcijas</w:t>
            </w:r>
            <w:r w:rsidRPr="005520E8">
              <w:rPr>
                <w:sz w:val="28"/>
                <w:szCs w:val="28"/>
              </w:rPr>
              <w:t xml:space="preserve"> </w:t>
            </w:r>
            <w:r>
              <w:rPr>
                <w:sz w:val="28"/>
                <w:szCs w:val="28"/>
              </w:rPr>
              <w:t xml:space="preserve">apsekojumos </w:t>
            </w:r>
            <w:r w:rsidRPr="005520E8">
              <w:rPr>
                <w:sz w:val="28"/>
                <w:szCs w:val="28"/>
              </w:rPr>
              <w:t>2014</w:t>
            </w:r>
            <w:r>
              <w:rPr>
                <w:sz w:val="28"/>
                <w:szCs w:val="28"/>
              </w:rPr>
              <w:t xml:space="preserve">.gada 23.jūlijā </w:t>
            </w:r>
            <w:r w:rsidRPr="005520E8">
              <w:rPr>
                <w:sz w:val="28"/>
                <w:szCs w:val="28"/>
              </w:rPr>
              <w:t xml:space="preserve">un </w:t>
            </w:r>
            <w:r>
              <w:rPr>
                <w:sz w:val="28"/>
                <w:szCs w:val="28"/>
              </w:rPr>
              <w:t>2015.gada 20.janvārī, kā arī SIA „Arhitektoniskās izpētes grupa”</w:t>
            </w:r>
            <w:r w:rsidRPr="005520E8">
              <w:rPr>
                <w:sz w:val="28"/>
                <w:szCs w:val="28"/>
              </w:rPr>
              <w:t xml:space="preserve"> pirmsprojekta izpētes ietvaros konstatētie bojājumi: </w:t>
            </w:r>
          </w:p>
          <w:p w:rsidR="00894236" w:rsidRDefault="00894236" w:rsidP="00894236">
            <w:pPr>
              <w:tabs>
                <w:tab w:val="left" w:pos="6636"/>
                <w:tab w:val="left" w:pos="6729"/>
              </w:tabs>
              <w:jc w:val="both"/>
              <w:rPr>
                <w:sz w:val="28"/>
                <w:szCs w:val="28"/>
              </w:rPr>
            </w:pPr>
          </w:p>
          <w:p w:rsidR="009037F3" w:rsidRPr="005520E8" w:rsidRDefault="009037F3" w:rsidP="00894236">
            <w:pPr>
              <w:tabs>
                <w:tab w:val="left" w:pos="6636"/>
                <w:tab w:val="left" w:pos="6729"/>
              </w:tabs>
              <w:jc w:val="both"/>
              <w:rPr>
                <w:sz w:val="28"/>
                <w:szCs w:val="28"/>
              </w:rPr>
            </w:pPr>
          </w:p>
          <w:p w:rsidR="00894236" w:rsidRPr="002A5CA9" w:rsidRDefault="00894236" w:rsidP="00894236">
            <w:pPr>
              <w:pStyle w:val="Vienkrsteksts"/>
              <w:numPr>
                <w:ilvl w:val="0"/>
                <w:numId w:val="12"/>
              </w:numPr>
              <w:tabs>
                <w:tab w:val="left" w:pos="430"/>
                <w:tab w:val="left" w:pos="6729"/>
              </w:tabs>
              <w:ind w:left="458"/>
              <w:jc w:val="both"/>
              <w:rPr>
                <w:rFonts w:ascii="Times New Roman" w:hAnsi="Times New Roman"/>
                <w:sz w:val="28"/>
                <w:szCs w:val="28"/>
                <w:u w:val="single"/>
              </w:rPr>
            </w:pPr>
            <w:r w:rsidRPr="002A5CA9">
              <w:rPr>
                <w:rFonts w:ascii="Times New Roman" w:hAnsi="Times New Roman"/>
                <w:sz w:val="28"/>
                <w:szCs w:val="28"/>
                <w:u w:val="single"/>
              </w:rPr>
              <w:lastRenderedPageBreak/>
              <w:t>Torņa seguma bojājumi</w:t>
            </w:r>
          </w:p>
          <w:p w:rsidR="00894236" w:rsidRPr="002A5CA9" w:rsidRDefault="00894236" w:rsidP="00894236">
            <w:pPr>
              <w:pStyle w:val="Vienkrsteksts"/>
              <w:tabs>
                <w:tab w:val="left" w:pos="430"/>
              </w:tabs>
              <w:ind w:left="33"/>
              <w:jc w:val="both"/>
              <w:rPr>
                <w:rFonts w:ascii="Times New Roman" w:hAnsi="Times New Roman"/>
                <w:sz w:val="28"/>
                <w:szCs w:val="28"/>
              </w:rPr>
            </w:pPr>
          </w:p>
          <w:p w:rsidR="00894236" w:rsidRPr="0037236D" w:rsidRDefault="00894236" w:rsidP="00FE262A">
            <w:pPr>
              <w:pStyle w:val="Vienkrsteksts"/>
              <w:tabs>
                <w:tab w:val="left" w:pos="6636"/>
                <w:tab w:val="left" w:pos="6729"/>
              </w:tabs>
              <w:ind w:left="141" w:right="142"/>
              <w:jc w:val="both"/>
              <w:rPr>
                <w:rFonts w:ascii="Times New Roman" w:hAnsi="Times New Roman"/>
                <w:b/>
                <w:sz w:val="28"/>
                <w:szCs w:val="28"/>
              </w:rPr>
            </w:pPr>
            <w:r w:rsidRPr="002A5CA9">
              <w:rPr>
                <w:rFonts w:ascii="Times New Roman" w:hAnsi="Times New Roman"/>
                <w:sz w:val="28"/>
                <w:szCs w:val="28"/>
              </w:rPr>
              <w:t xml:space="preserve">2014.gadā visās torņa seguma plaknēs tika konstatēti apjomīgi bojājumi. Šī izpēte notika pēc negadījuma, kad viena loksne gandrīz pilnībā bija atdalījusies no torņa skārda seguma plaknes. </w:t>
            </w:r>
          </w:p>
          <w:p w:rsidR="00FE262A" w:rsidRDefault="00FE262A" w:rsidP="00FE262A">
            <w:pPr>
              <w:tabs>
                <w:tab w:val="left" w:pos="6636"/>
                <w:tab w:val="left" w:pos="6729"/>
              </w:tabs>
              <w:ind w:left="141" w:right="142"/>
              <w:jc w:val="both"/>
              <w:rPr>
                <w:sz w:val="28"/>
                <w:szCs w:val="28"/>
              </w:rPr>
            </w:pPr>
          </w:p>
          <w:p w:rsidR="00894236" w:rsidRPr="002A5CA9" w:rsidRDefault="00894236" w:rsidP="00FE262A">
            <w:pPr>
              <w:tabs>
                <w:tab w:val="left" w:pos="6636"/>
                <w:tab w:val="left" w:pos="6729"/>
              </w:tabs>
              <w:ind w:left="141" w:right="142"/>
              <w:jc w:val="both"/>
              <w:rPr>
                <w:sz w:val="28"/>
                <w:szCs w:val="28"/>
              </w:rPr>
            </w:pPr>
            <w:r w:rsidRPr="005520E8">
              <w:rPr>
                <w:sz w:val="28"/>
                <w:szCs w:val="28"/>
              </w:rPr>
              <w:t>Veicot torņa seguma labošanu, daudzviet oriģinālo plākšņu vietās ir ieklātas augstumos atšķirīgas plātnes, kas izjauc skārda horizontālo šuvju rakstu. Šobrīd daudzu oriģinālo horizontālo šuvju vietas vairs nav nosakāmas. Atsevišķās vietās, līdz pat 5 m</w:t>
            </w:r>
            <w:r w:rsidRPr="005520E8">
              <w:rPr>
                <w:sz w:val="28"/>
                <w:szCs w:val="28"/>
                <w:vertAlign w:val="superscript"/>
              </w:rPr>
              <w:t>2</w:t>
            </w:r>
            <w:r w:rsidRPr="005520E8">
              <w:rPr>
                <w:sz w:val="28"/>
                <w:szCs w:val="28"/>
              </w:rPr>
              <w:t xml:space="preserve"> lielā platībā, skārda plākšņu latojuma stiprinājumi deformēti pilnībā. Lielā vējā šīs zonas rada paaugstinātu bīstamību, kas var novest pie jumta seguma atdalīšanās. Katedrāles 300 gadus vecais skārds laika gaitā ir zaudējis savas fizikālās īpašības, kļuvis trausls un pat vizuāli apmierinošajās loksnēs ir izveidojušās plaisas. Bojājumu apmērs un to raksturs ir tāds, ka pie stiprāka vēja avārijas vieta nav nosakāma un var notikt jebkurā torņa plaknē, jo skārda seguma un seguma stiprinājuma defekti bieži ir slēpti un vizuāli nenosakāmi, kā arī latojumam, pie kura stiprinās skārds, satrupējušās zonas nav labotas vismaz simts gadus.</w:t>
            </w:r>
          </w:p>
          <w:p w:rsidR="00FE262A" w:rsidRDefault="00FE262A" w:rsidP="00FE262A">
            <w:pPr>
              <w:pStyle w:val="Vienkrsteksts"/>
              <w:tabs>
                <w:tab w:val="left" w:pos="6636"/>
                <w:tab w:val="left" w:pos="6729"/>
              </w:tabs>
              <w:ind w:left="141" w:right="142"/>
              <w:jc w:val="both"/>
              <w:rPr>
                <w:rFonts w:ascii="Times New Roman" w:hAnsi="Times New Roman"/>
                <w:sz w:val="28"/>
                <w:szCs w:val="28"/>
              </w:rPr>
            </w:pPr>
          </w:p>
          <w:p w:rsidR="00894236" w:rsidRPr="002A5CA9" w:rsidRDefault="00894236" w:rsidP="00FE262A">
            <w:pPr>
              <w:pStyle w:val="Vienkrsteksts"/>
              <w:tabs>
                <w:tab w:val="left" w:pos="6636"/>
                <w:tab w:val="left" w:pos="6729"/>
              </w:tabs>
              <w:ind w:left="141" w:right="142"/>
              <w:jc w:val="both"/>
              <w:rPr>
                <w:rFonts w:ascii="Times New Roman" w:hAnsi="Times New Roman"/>
                <w:sz w:val="28"/>
                <w:szCs w:val="28"/>
              </w:rPr>
            </w:pPr>
            <w:r w:rsidRPr="002A5CA9">
              <w:rPr>
                <w:rFonts w:ascii="Times New Roman" w:hAnsi="Times New Roman"/>
                <w:sz w:val="28"/>
                <w:szCs w:val="28"/>
              </w:rPr>
              <w:t>Jumtu skārda seguma bojājumu dēļ atmosfēras nokrišņi nokļūst uz torņa, kā arī baznīcas vidusjoma, sānjoma koka konstrukciju elementiem, un nesošajām konstrukcijām.</w:t>
            </w:r>
          </w:p>
          <w:p w:rsidR="00894236" w:rsidRPr="002A5CA9" w:rsidRDefault="00894236" w:rsidP="00894236">
            <w:pPr>
              <w:pStyle w:val="Vienkrsteksts"/>
              <w:tabs>
                <w:tab w:val="left" w:pos="6636"/>
                <w:tab w:val="left" w:pos="6729"/>
              </w:tabs>
              <w:ind w:left="33" w:firstLine="238"/>
              <w:jc w:val="both"/>
              <w:rPr>
                <w:rFonts w:ascii="Times New Roman" w:hAnsi="Times New Roman"/>
                <w:sz w:val="28"/>
                <w:szCs w:val="28"/>
              </w:rPr>
            </w:pPr>
          </w:p>
          <w:p w:rsidR="00894236" w:rsidRPr="002A5CA9" w:rsidRDefault="00894236" w:rsidP="00894236">
            <w:pPr>
              <w:pStyle w:val="Vienkrsteksts"/>
              <w:numPr>
                <w:ilvl w:val="0"/>
                <w:numId w:val="12"/>
              </w:numPr>
              <w:tabs>
                <w:tab w:val="left" w:pos="430"/>
              </w:tabs>
              <w:ind w:left="458"/>
              <w:jc w:val="both"/>
              <w:rPr>
                <w:rFonts w:ascii="Times New Roman" w:hAnsi="Times New Roman"/>
                <w:sz w:val="28"/>
                <w:szCs w:val="28"/>
                <w:u w:val="single"/>
              </w:rPr>
            </w:pPr>
            <w:r w:rsidRPr="002A5CA9">
              <w:rPr>
                <w:rFonts w:ascii="Times New Roman" w:hAnsi="Times New Roman"/>
                <w:sz w:val="28"/>
                <w:szCs w:val="28"/>
                <w:u w:val="single"/>
              </w:rPr>
              <w:t>Nopietni jumta un torņa konstrukciju bojājumi</w:t>
            </w:r>
          </w:p>
          <w:p w:rsidR="00894236" w:rsidRPr="002A5CA9" w:rsidRDefault="00894236" w:rsidP="00894236">
            <w:pPr>
              <w:pStyle w:val="Vienkrsteksts"/>
              <w:tabs>
                <w:tab w:val="left" w:pos="6636"/>
                <w:tab w:val="left" w:pos="6729"/>
              </w:tabs>
              <w:ind w:left="458"/>
              <w:jc w:val="both"/>
              <w:rPr>
                <w:rFonts w:ascii="Times New Roman" w:hAnsi="Times New Roman"/>
                <w:sz w:val="28"/>
                <w:szCs w:val="28"/>
                <w:u w:val="single"/>
              </w:rPr>
            </w:pPr>
          </w:p>
          <w:p w:rsidR="00FE262A" w:rsidRDefault="00894236" w:rsidP="00FE262A">
            <w:pPr>
              <w:pStyle w:val="Vienkrsteksts"/>
              <w:tabs>
                <w:tab w:val="left" w:pos="6636"/>
                <w:tab w:val="left" w:pos="6729"/>
              </w:tabs>
              <w:ind w:left="141" w:right="142"/>
              <w:jc w:val="both"/>
              <w:rPr>
                <w:rFonts w:ascii="Times New Roman" w:hAnsi="Times New Roman"/>
                <w:sz w:val="28"/>
                <w:szCs w:val="28"/>
              </w:rPr>
            </w:pPr>
            <w:r w:rsidRPr="002A5CA9">
              <w:rPr>
                <w:rFonts w:ascii="Times New Roman" w:hAnsi="Times New Roman"/>
                <w:sz w:val="28"/>
                <w:szCs w:val="28"/>
              </w:rPr>
              <w:t xml:space="preserve">Torņa labošanas un apkalpošanas efektivitāti ietekmē torņa iekšpusē nolietojušās konstrukcijas. Klāji starp torņa līmeņiem ir nestabili un vietām satrupējuši, ir bijuši cilvēku ielūšanas gadījumi. Vienkāršas </w:t>
            </w:r>
            <w:r w:rsidRPr="002A5CA9">
              <w:rPr>
                <w:rFonts w:ascii="Times New Roman" w:hAnsi="Times New Roman"/>
                <w:sz w:val="28"/>
                <w:szCs w:val="28"/>
              </w:rPr>
              <w:lastRenderedPageBreak/>
              <w:t>konstrukcijas koka kāpnēm vietumis iztrūkst izlūzušo pakāpienu, augšējie līmeņi nav elektrificēti, kā arī torņa koka nesošās konstrukcijas nav aprīkotas ar ugunsdrošo signalizāciju.</w:t>
            </w:r>
          </w:p>
          <w:p w:rsidR="00FE262A" w:rsidRDefault="00FE262A" w:rsidP="00FE262A">
            <w:pPr>
              <w:pStyle w:val="Vienkrsteksts"/>
              <w:tabs>
                <w:tab w:val="left" w:pos="6636"/>
                <w:tab w:val="left" w:pos="6729"/>
              </w:tabs>
              <w:ind w:left="141" w:right="142"/>
              <w:jc w:val="both"/>
              <w:rPr>
                <w:rFonts w:ascii="Times New Roman" w:hAnsi="Times New Roman"/>
                <w:sz w:val="28"/>
                <w:szCs w:val="28"/>
              </w:rPr>
            </w:pPr>
          </w:p>
          <w:p w:rsidR="00FE262A" w:rsidRDefault="00894236" w:rsidP="00FE262A">
            <w:pPr>
              <w:pStyle w:val="Vienkrsteksts"/>
              <w:tabs>
                <w:tab w:val="left" w:pos="6636"/>
                <w:tab w:val="left" w:pos="6729"/>
              </w:tabs>
              <w:ind w:left="141" w:right="142"/>
              <w:jc w:val="both"/>
              <w:rPr>
                <w:rFonts w:ascii="Times New Roman" w:hAnsi="Times New Roman"/>
                <w:sz w:val="28"/>
                <w:szCs w:val="28"/>
              </w:rPr>
            </w:pPr>
            <w:r w:rsidRPr="002A5CA9">
              <w:rPr>
                <w:rFonts w:ascii="Times New Roman" w:hAnsi="Times New Roman"/>
                <w:sz w:val="28"/>
                <w:szCs w:val="28"/>
              </w:rPr>
              <w:t>Atsevišķās vietās torņa smailes koka konstrukcijās redzami koksnes kaitēkļu radīti bojājumi, kā arī atsevišķos elementos novērojamas koksnes trupes pēdas, kas radušās mitruma iedarbības rezultātā, jumta seguma bojājumu un nepietiekamas gaisa apmaiņas torņa spices daļā dēļ.</w:t>
            </w:r>
          </w:p>
          <w:p w:rsidR="00FE262A" w:rsidRDefault="00FE262A" w:rsidP="00FE262A">
            <w:pPr>
              <w:pStyle w:val="Vienkrsteksts"/>
              <w:tabs>
                <w:tab w:val="left" w:pos="6636"/>
                <w:tab w:val="left" w:pos="6729"/>
              </w:tabs>
              <w:ind w:left="141" w:right="142"/>
              <w:jc w:val="both"/>
              <w:rPr>
                <w:rFonts w:ascii="Times New Roman" w:hAnsi="Times New Roman"/>
                <w:sz w:val="28"/>
                <w:szCs w:val="28"/>
              </w:rPr>
            </w:pPr>
          </w:p>
          <w:p w:rsidR="00894236" w:rsidRPr="002A5CA9" w:rsidRDefault="00894236" w:rsidP="00FE262A">
            <w:pPr>
              <w:pStyle w:val="Vienkrsteksts"/>
              <w:tabs>
                <w:tab w:val="left" w:pos="6636"/>
                <w:tab w:val="left" w:pos="6729"/>
              </w:tabs>
              <w:ind w:left="141" w:right="142"/>
              <w:jc w:val="both"/>
              <w:rPr>
                <w:rFonts w:ascii="Times New Roman" w:hAnsi="Times New Roman"/>
                <w:sz w:val="28"/>
                <w:szCs w:val="28"/>
              </w:rPr>
            </w:pPr>
            <w:r w:rsidRPr="002A5CA9">
              <w:rPr>
                <w:rFonts w:ascii="Times New Roman" w:hAnsi="Times New Roman"/>
                <w:sz w:val="28"/>
                <w:szCs w:val="28"/>
              </w:rPr>
              <w:t>Koksnes trupes bojājumi konstatēti arī vairākos baznīcas vidusjoma un sānjomu jumta konstrukciju elementos – piemēram, mūrlatās, spāru galos, u.c. konstrukcijās.</w:t>
            </w:r>
          </w:p>
          <w:p w:rsidR="00894236" w:rsidRPr="002A5CA9" w:rsidRDefault="00894236" w:rsidP="00894236">
            <w:pPr>
              <w:pStyle w:val="Vienkrsteksts"/>
              <w:tabs>
                <w:tab w:val="left" w:pos="6636"/>
                <w:tab w:val="left" w:pos="6729"/>
              </w:tabs>
              <w:ind w:left="33" w:firstLine="238"/>
              <w:jc w:val="both"/>
              <w:rPr>
                <w:rFonts w:ascii="Times New Roman" w:hAnsi="Times New Roman"/>
                <w:sz w:val="28"/>
                <w:szCs w:val="28"/>
              </w:rPr>
            </w:pPr>
          </w:p>
          <w:p w:rsidR="00894236" w:rsidRPr="002A5CA9" w:rsidRDefault="00894236" w:rsidP="00894236">
            <w:pPr>
              <w:pStyle w:val="Vienkrsteksts"/>
              <w:numPr>
                <w:ilvl w:val="0"/>
                <w:numId w:val="12"/>
              </w:numPr>
              <w:tabs>
                <w:tab w:val="left" w:pos="714"/>
              </w:tabs>
              <w:jc w:val="both"/>
              <w:rPr>
                <w:rFonts w:ascii="Times New Roman" w:hAnsi="Times New Roman"/>
                <w:sz w:val="28"/>
                <w:szCs w:val="28"/>
                <w:u w:val="single"/>
              </w:rPr>
            </w:pPr>
            <w:r w:rsidRPr="002A5CA9">
              <w:rPr>
                <w:rFonts w:ascii="Times New Roman" w:hAnsi="Times New Roman"/>
                <w:sz w:val="28"/>
                <w:szCs w:val="28"/>
                <w:u w:val="single"/>
              </w:rPr>
              <w:t>Ārsienu ķieģeļu mūra erozija</w:t>
            </w:r>
          </w:p>
          <w:p w:rsidR="00894236" w:rsidRPr="002A5CA9" w:rsidRDefault="00894236" w:rsidP="00894236">
            <w:pPr>
              <w:pStyle w:val="Vienkrsteksts"/>
              <w:tabs>
                <w:tab w:val="left" w:pos="6636"/>
                <w:tab w:val="left" w:pos="6729"/>
              </w:tabs>
              <w:ind w:left="631"/>
              <w:jc w:val="both"/>
              <w:rPr>
                <w:rFonts w:ascii="Times New Roman" w:hAnsi="Times New Roman"/>
                <w:sz w:val="28"/>
                <w:szCs w:val="28"/>
                <w:u w:val="single"/>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2A5CA9">
              <w:rPr>
                <w:rFonts w:ascii="Times New Roman" w:hAnsi="Times New Roman"/>
                <w:sz w:val="28"/>
                <w:szCs w:val="28"/>
              </w:rPr>
              <w:t>Vēl viena ēkas kritiskā vieta ir ķieģeļu mūra sienu deformācija. Baznīcas visās ķieģeļu mūra fasādēs vērojamas deformācijas plaisas. Galvenajā, rietumu fasādē vītņu kāpņu piebūves saslēguma ar pamatapjomu vietā šī deformācija ir sevišķi izteikta. Caurejošās plaisas platums vietām sasniedz 5 cm un, turpinoties deformācijai, iespējama visas piebūves atdalīšanos.</w:t>
            </w:r>
          </w:p>
          <w:p w:rsidR="00FE262A" w:rsidRDefault="00FE262A" w:rsidP="00FE262A">
            <w:pPr>
              <w:pStyle w:val="Vienkrsteksts"/>
              <w:tabs>
                <w:tab w:val="left" w:pos="6636"/>
                <w:tab w:val="left" w:pos="6729"/>
              </w:tabs>
              <w:ind w:left="140"/>
              <w:jc w:val="both"/>
              <w:rPr>
                <w:rFonts w:ascii="Times New Roman" w:hAnsi="Times New Roman"/>
                <w:sz w:val="28"/>
                <w:szCs w:val="28"/>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2A5CA9">
              <w:rPr>
                <w:rFonts w:ascii="Times New Roman" w:hAnsi="Times New Roman"/>
                <w:sz w:val="28"/>
                <w:szCs w:val="28"/>
              </w:rPr>
              <w:t>Nav noskaidrota baznīcas nevienmērīgās sēšanās ietekme uz kopējo būves telpisko noturību, ņemot vērā baznīcas ievērojamo augstumu – 86 metri, pat neliela nobīde no vertikalitātes var radīt draudus torņa stabilitātei. Katedrāles mūru erozija, kas radusies laika gaitā un kuru pastiprina neatbilstoša lietusūdens novadīšanas no jumtiem, lietusūdeņiem tekot pa fasādi, var pastiprināt radušos deformāciju ietekmi uz ēkas noturību. Šo faktoru kopums var radīt neatgriezeniskas sekas Katedrāles vēsturiskajiem mūriem, kā arī rada apdraudējumu apkārtējai videi un cilvēkiem.</w:t>
            </w:r>
          </w:p>
          <w:p w:rsidR="00FE262A" w:rsidRPr="00FE262A" w:rsidRDefault="00894236" w:rsidP="00FE262A">
            <w:pPr>
              <w:pStyle w:val="Vienkrsteksts"/>
              <w:tabs>
                <w:tab w:val="left" w:pos="6636"/>
                <w:tab w:val="left" w:pos="6729"/>
              </w:tabs>
              <w:ind w:left="140" w:right="142"/>
              <w:jc w:val="both"/>
              <w:rPr>
                <w:rFonts w:ascii="Times New Roman" w:hAnsi="Times New Roman"/>
                <w:sz w:val="28"/>
                <w:szCs w:val="28"/>
              </w:rPr>
            </w:pPr>
            <w:r w:rsidRPr="002A5CA9">
              <w:rPr>
                <w:rFonts w:ascii="Times New Roman" w:hAnsi="Times New Roman"/>
                <w:sz w:val="28"/>
                <w:szCs w:val="28"/>
              </w:rPr>
              <w:lastRenderedPageBreak/>
              <w:t xml:space="preserve">SIA „Arhitektoniskās izpētes grupa” pirmsprojekta izpētes ietvaros 2014.gadā ir veikusi torņa jumta tehnisko un arhitektonisko apsekošanu un kora sakristejas un jomu jumta tehnisko un arhitektonisko apsekošanu. 2016.gadā ir uzsāktas altāra arhitektoniski mākslinieciskās izpētes un fasāžu restaurācijas projekta izstrādes. Balstoties uz šīs izpētes rezultātiem ir jāizstrādā Katedrāles </w:t>
            </w:r>
            <w:r w:rsidRPr="00FE262A">
              <w:rPr>
                <w:rFonts w:ascii="Times New Roman" w:hAnsi="Times New Roman"/>
                <w:sz w:val="28"/>
                <w:szCs w:val="28"/>
              </w:rPr>
              <w:t xml:space="preserve">restaurācijas tehniskais projekts. </w:t>
            </w:r>
          </w:p>
          <w:p w:rsidR="00FE262A" w:rsidRPr="00FE262A" w:rsidRDefault="00FE262A" w:rsidP="00FE262A">
            <w:pPr>
              <w:pStyle w:val="Vienkrsteksts"/>
              <w:tabs>
                <w:tab w:val="left" w:pos="6636"/>
                <w:tab w:val="left" w:pos="6729"/>
              </w:tabs>
              <w:ind w:left="140" w:right="142"/>
              <w:jc w:val="both"/>
              <w:rPr>
                <w:rFonts w:ascii="Times New Roman" w:hAnsi="Times New Roman"/>
                <w:sz w:val="28"/>
                <w:szCs w:val="28"/>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FE262A">
              <w:rPr>
                <w:rFonts w:ascii="Times New Roman" w:hAnsi="Times New Roman"/>
                <w:sz w:val="28"/>
                <w:szCs w:val="28"/>
              </w:rPr>
              <w:t>Atbilstoši Saeimas piešķirtajam mērķfinansējumam Rīgas Katedrāles ēkas restaurācijai 2017.gadā ir uzsākti Katedrāles fasāžu restaurācijas un konservācijas darbi.</w:t>
            </w:r>
          </w:p>
          <w:p w:rsidR="00FE262A" w:rsidRDefault="00FE262A" w:rsidP="00FE262A">
            <w:pPr>
              <w:pStyle w:val="Vienkrsteksts"/>
              <w:tabs>
                <w:tab w:val="left" w:pos="6636"/>
                <w:tab w:val="left" w:pos="6729"/>
              </w:tabs>
              <w:ind w:left="140" w:right="142"/>
              <w:jc w:val="both"/>
              <w:rPr>
                <w:rFonts w:ascii="Times New Roman" w:hAnsi="Times New Roman"/>
                <w:sz w:val="28"/>
                <w:szCs w:val="28"/>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FE262A">
              <w:rPr>
                <w:rFonts w:ascii="Times New Roman" w:hAnsi="Times New Roman"/>
                <w:sz w:val="28"/>
                <w:szCs w:val="28"/>
              </w:rPr>
              <w:t>2018.gadā Katedrāles restaurācijas darbu plāns paredz veikt jomu un torņa jumtu atjaunošanu. Lai nodrošinātu minēto restaurācijas darbu izpildi 2018.gadā pilnā apjomā atbilstoši restaurācijas metodikai, savlaicīgi nepieciešams veikt jumtu koka nesošo konstrukciju sagatavošanas darbus un jumtu seguma materiāla iegādi.</w:t>
            </w:r>
          </w:p>
          <w:p w:rsidR="00FE262A" w:rsidRPr="00FE262A" w:rsidRDefault="00FE262A" w:rsidP="00FE262A">
            <w:pPr>
              <w:pStyle w:val="Vienkrsteksts"/>
              <w:tabs>
                <w:tab w:val="left" w:pos="6636"/>
                <w:tab w:val="left" w:pos="6729"/>
              </w:tabs>
              <w:ind w:left="140" w:right="142"/>
              <w:jc w:val="both"/>
              <w:rPr>
                <w:rFonts w:ascii="Times New Roman" w:hAnsi="Times New Roman"/>
                <w:sz w:val="28"/>
                <w:szCs w:val="28"/>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FE262A">
              <w:rPr>
                <w:rFonts w:ascii="Times New Roman" w:hAnsi="Times New Roman"/>
                <w:sz w:val="28"/>
                <w:szCs w:val="28"/>
              </w:rPr>
              <w:t xml:space="preserve">Līdz ar iepriekš norādīto ir nepieciešams papildu finansējums 200 000 </w:t>
            </w:r>
            <w:r w:rsidRPr="00FE262A">
              <w:rPr>
                <w:rFonts w:ascii="Times New Roman" w:hAnsi="Times New Roman"/>
                <w:i/>
                <w:sz w:val="28"/>
                <w:szCs w:val="28"/>
              </w:rPr>
              <w:t>euro</w:t>
            </w:r>
            <w:r w:rsidRPr="00FE262A">
              <w:rPr>
                <w:rFonts w:ascii="Times New Roman" w:hAnsi="Times New Roman"/>
                <w:sz w:val="28"/>
                <w:szCs w:val="28"/>
              </w:rPr>
              <w:t xml:space="preserve"> apmērā nepieciešamajiem Katedrāles jumtu seguma atjaunošanas sagatavošanas darbiem.</w:t>
            </w:r>
          </w:p>
          <w:p w:rsidR="00FE262A" w:rsidRDefault="00FE262A" w:rsidP="00FE262A">
            <w:pPr>
              <w:pStyle w:val="Vienkrsteksts"/>
              <w:tabs>
                <w:tab w:val="left" w:pos="6636"/>
                <w:tab w:val="left" w:pos="6729"/>
              </w:tabs>
              <w:ind w:left="140" w:right="142"/>
              <w:jc w:val="both"/>
              <w:rPr>
                <w:rFonts w:ascii="Times New Roman" w:hAnsi="Times New Roman"/>
                <w:sz w:val="28"/>
                <w:szCs w:val="28"/>
              </w:rPr>
            </w:pPr>
          </w:p>
          <w:p w:rsidR="00FE262A" w:rsidRDefault="00894236" w:rsidP="00FE262A">
            <w:pPr>
              <w:pStyle w:val="Vienkrsteksts"/>
              <w:tabs>
                <w:tab w:val="left" w:pos="6636"/>
                <w:tab w:val="left" w:pos="6729"/>
              </w:tabs>
              <w:ind w:left="140" w:right="142"/>
              <w:jc w:val="both"/>
              <w:rPr>
                <w:rFonts w:ascii="Times New Roman" w:hAnsi="Times New Roman"/>
                <w:sz w:val="28"/>
                <w:szCs w:val="28"/>
              </w:rPr>
            </w:pPr>
            <w:r w:rsidRPr="00FE262A">
              <w:rPr>
                <w:rFonts w:ascii="Times New Roman" w:hAnsi="Times New Roman"/>
                <w:sz w:val="28"/>
                <w:szCs w:val="28"/>
              </w:rPr>
              <w:t>Ņemot vērā, ka Valsts prezidents R.Vējonis Vatikāna Valsts sekretāra P.Parolīna vizītes laikā Latvijā 2017.gada maijā ir atkārtoti uzaicinājis Svēto tēvu pāvestu Francisku apmeklēt Latviju, iespējamā apmeklējuma kontekstā ir ļoti svarīga ēkas bojājumu novēršana un tās atjaunošana atbilstoši tās statusam. Katedrāles restaurācijas īstenošanas uzsākšana ir būtiska, lai nodrošinātu pāvesta Franciska uzņemšanu viņa iespējamā apmeklējuma laikā Rīgā 2018.gadā.</w:t>
            </w:r>
          </w:p>
          <w:p w:rsidR="00FE262A" w:rsidRDefault="00FE262A" w:rsidP="00FE262A">
            <w:pPr>
              <w:pStyle w:val="Vienkrsteksts"/>
              <w:tabs>
                <w:tab w:val="left" w:pos="6636"/>
                <w:tab w:val="left" w:pos="6729"/>
              </w:tabs>
              <w:ind w:left="140" w:right="142"/>
              <w:jc w:val="both"/>
              <w:rPr>
                <w:rFonts w:ascii="Times New Roman" w:hAnsi="Times New Roman"/>
                <w:sz w:val="28"/>
                <w:szCs w:val="28"/>
              </w:rPr>
            </w:pPr>
          </w:p>
          <w:p w:rsidR="008A68ED" w:rsidRPr="00FE262A" w:rsidRDefault="00FE262A" w:rsidP="007C5225">
            <w:pPr>
              <w:pStyle w:val="Vienkrsteksts"/>
              <w:tabs>
                <w:tab w:val="left" w:pos="6636"/>
                <w:tab w:val="left" w:pos="6729"/>
              </w:tabs>
              <w:ind w:left="140" w:right="142"/>
              <w:jc w:val="both"/>
              <w:rPr>
                <w:rFonts w:ascii="Times New Roman" w:hAnsi="Times New Roman"/>
                <w:sz w:val="28"/>
                <w:szCs w:val="28"/>
              </w:rPr>
            </w:pPr>
            <w:r>
              <w:rPr>
                <w:rFonts w:ascii="Times New Roman" w:hAnsi="Times New Roman"/>
                <w:sz w:val="28"/>
                <w:szCs w:val="28"/>
              </w:rPr>
              <w:t>Projekts</w:t>
            </w:r>
            <w:r w:rsidR="00A72572" w:rsidRPr="00FE262A">
              <w:rPr>
                <w:rFonts w:ascii="Times New Roman" w:hAnsi="Times New Roman"/>
                <w:sz w:val="28"/>
                <w:szCs w:val="28"/>
              </w:rPr>
              <w:t xml:space="preserve"> paredz piešķirt Kultūras ministrijai </w:t>
            </w:r>
            <w:r w:rsidR="00A72572" w:rsidRPr="00FE262A">
              <w:rPr>
                <w:rFonts w:ascii="Times New Roman" w:hAnsi="Times New Roman"/>
                <w:b/>
                <w:sz w:val="28"/>
                <w:szCs w:val="28"/>
              </w:rPr>
              <w:lastRenderedPageBreak/>
              <w:t>3 </w:t>
            </w:r>
            <w:r w:rsidR="00894236" w:rsidRPr="00FE262A">
              <w:rPr>
                <w:rFonts w:ascii="Times New Roman" w:hAnsi="Times New Roman"/>
                <w:b/>
                <w:sz w:val="28"/>
                <w:szCs w:val="28"/>
              </w:rPr>
              <w:t>4</w:t>
            </w:r>
            <w:r w:rsidR="0019565C">
              <w:rPr>
                <w:rFonts w:ascii="Times New Roman" w:hAnsi="Times New Roman"/>
                <w:b/>
                <w:sz w:val="28"/>
                <w:szCs w:val="28"/>
              </w:rPr>
              <w:t>19</w:t>
            </w:r>
            <w:r w:rsidR="00894236" w:rsidRPr="00FE262A">
              <w:rPr>
                <w:rFonts w:ascii="Times New Roman" w:hAnsi="Times New Roman"/>
                <w:b/>
                <w:sz w:val="28"/>
                <w:szCs w:val="28"/>
              </w:rPr>
              <w:t xml:space="preserve"> </w:t>
            </w:r>
            <w:r w:rsidR="00F83F85">
              <w:rPr>
                <w:rFonts w:ascii="Times New Roman" w:hAnsi="Times New Roman"/>
                <w:b/>
                <w:sz w:val="28"/>
                <w:szCs w:val="28"/>
              </w:rPr>
              <w:t>478</w:t>
            </w:r>
            <w:r w:rsidR="00894236" w:rsidRPr="00FE262A">
              <w:rPr>
                <w:rFonts w:ascii="Times New Roman" w:hAnsi="Times New Roman"/>
                <w:b/>
                <w:sz w:val="28"/>
                <w:szCs w:val="28"/>
              </w:rPr>
              <w:t>   </w:t>
            </w:r>
            <w:r w:rsidR="00A72572" w:rsidRPr="00FE262A">
              <w:rPr>
                <w:rFonts w:ascii="Times New Roman" w:hAnsi="Times New Roman"/>
                <w:b/>
                <w:i/>
                <w:sz w:val="28"/>
                <w:szCs w:val="28"/>
              </w:rPr>
              <w:t>euro</w:t>
            </w:r>
            <w:r w:rsidR="00A72572" w:rsidRPr="00FE262A">
              <w:rPr>
                <w:rFonts w:ascii="Times New Roman" w:hAnsi="Times New Roman"/>
                <w:sz w:val="28"/>
                <w:szCs w:val="28"/>
              </w:rPr>
              <w:t>,</w:t>
            </w:r>
            <w:r w:rsidR="00A72572" w:rsidRPr="00FE262A">
              <w:rPr>
                <w:rFonts w:ascii="Times New Roman" w:hAnsi="Times New Roman"/>
                <w:b/>
                <w:i/>
                <w:sz w:val="28"/>
                <w:szCs w:val="28"/>
              </w:rPr>
              <w:t xml:space="preserve"> </w:t>
            </w:r>
            <w:r w:rsidR="00A72572" w:rsidRPr="00FE262A">
              <w:rPr>
                <w:rFonts w:ascii="Times New Roman" w:hAnsi="Times New Roman"/>
                <w:sz w:val="28"/>
                <w:szCs w:val="28"/>
              </w:rPr>
              <w:t>pārdalot finansējumu no Finanšu minist</w:t>
            </w:r>
            <w:r>
              <w:rPr>
                <w:rFonts w:ascii="Times New Roman" w:hAnsi="Times New Roman"/>
                <w:sz w:val="28"/>
                <w:szCs w:val="28"/>
              </w:rPr>
              <w:t>rijas 41.01.00 apakšprogrammas „</w:t>
            </w:r>
            <w:r w:rsidR="00A72572" w:rsidRPr="00FE262A">
              <w:rPr>
                <w:rFonts w:ascii="Times New Roman" w:hAnsi="Times New Roman"/>
                <w:sz w:val="28"/>
                <w:szCs w:val="28"/>
              </w:rPr>
              <w:t>Iemaksas Eiropas Kopienas budžetā”, lai risinātu konstatētās problēmas</w:t>
            </w:r>
            <w:r w:rsidRPr="00FE262A">
              <w:rPr>
                <w:rFonts w:ascii="Times New Roman" w:hAnsi="Times New Roman"/>
                <w:sz w:val="28"/>
                <w:szCs w:val="28"/>
              </w:rPr>
              <w:t xml:space="preserve"> </w:t>
            </w:r>
            <w:r w:rsidR="005F112C" w:rsidRPr="00FE262A">
              <w:rPr>
                <w:rFonts w:ascii="Times New Roman" w:hAnsi="Times New Roman"/>
                <w:sz w:val="28"/>
                <w:szCs w:val="28"/>
              </w:rPr>
              <w:t>un nodrošinātu PIKC materiāltehnisko līdzekļu iegādi</w:t>
            </w:r>
            <w:r w:rsidR="00A72572" w:rsidRPr="00FE262A">
              <w:rPr>
                <w:rFonts w:ascii="Times New Roman" w:hAnsi="Times New Roman"/>
                <w:sz w:val="28"/>
                <w:szCs w:val="28"/>
              </w:rPr>
              <w:t xml:space="preserve">. Kultūras ministrija norāda, ka </w:t>
            </w:r>
            <w:r>
              <w:rPr>
                <w:rFonts w:ascii="Times New Roman" w:hAnsi="Times New Roman"/>
                <w:sz w:val="28"/>
                <w:szCs w:val="28"/>
              </w:rPr>
              <w:t>ieguldījumi tiks veikti 2017.</w:t>
            </w:r>
            <w:r w:rsidR="00A72572" w:rsidRPr="00FE262A">
              <w:rPr>
                <w:rFonts w:ascii="Times New Roman" w:hAnsi="Times New Roman"/>
                <w:sz w:val="28"/>
                <w:szCs w:val="28"/>
              </w:rPr>
              <w:t>gada ietvaros, pamatojoties uz atsevišķu katra PIKC pieteikumu</w:t>
            </w:r>
            <w:r w:rsidR="00E4698F">
              <w:rPr>
                <w:rFonts w:ascii="Times New Roman" w:hAnsi="Times New Roman"/>
                <w:sz w:val="28"/>
                <w:szCs w:val="28"/>
              </w:rPr>
              <w:t>.</w:t>
            </w:r>
            <w:r w:rsidR="000258BB" w:rsidRPr="00FE262A">
              <w:rPr>
                <w:rFonts w:ascii="Times New Roman" w:hAnsi="Times New Roman"/>
                <w:sz w:val="28"/>
                <w:szCs w:val="28"/>
              </w:rPr>
              <w:t xml:space="preserve"> </w:t>
            </w:r>
            <w:r w:rsidR="007C5225" w:rsidRPr="00ED3441">
              <w:rPr>
                <w:rFonts w:ascii="Times New Roman" w:hAnsi="Times New Roman"/>
                <w:sz w:val="28"/>
                <w:szCs w:val="28"/>
                <w:lang w:eastAsia="lv-LV"/>
              </w:rPr>
              <w:t xml:space="preserve">Atbalsta pasākumu ietvaros veikto kapitālieguldījumu uzturēšana, kārtējā un turpmākajos gados, tiks nodrošināta </w:t>
            </w:r>
            <w:r w:rsidR="007C5225">
              <w:rPr>
                <w:rFonts w:ascii="Times New Roman" w:hAnsi="Times New Roman"/>
                <w:sz w:val="28"/>
                <w:szCs w:val="28"/>
                <w:lang w:eastAsia="lv-LV"/>
              </w:rPr>
              <w:t>PIKC</w:t>
            </w:r>
            <w:r w:rsidR="007C5225" w:rsidRPr="00ED3441">
              <w:rPr>
                <w:rFonts w:ascii="Times New Roman" w:hAnsi="Times New Roman"/>
                <w:sz w:val="28"/>
                <w:szCs w:val="28"/>
                <w:lang w:eastAsia="lv-LV"/>
              </w:rPr>
              <w:t xml:space="preserve"> esošo līdzekļu ietvaros.</w:t>
            </w:r>
          </w:p>
        </w:tc>
      </w:tr>
      <w:tr w:rsidR="00E96AEC" w:rsidRPr="00A72572" w:rsidTr="00FE262A">
        <w:trPr>
          <w:trHeight w:val="476"/>
        </w:trPr>
        <w:tc>
          <w:tcPr>
            <w:tcW w:w="241" w:type="pct"/>
          </w:tcPr>
          <w:p w:rsidR="00E96AEC" w:rsidRPr="00A72572" w:rsidRDefault="00E96AEC" w:rsidP="002B44A6">
            <w:pPr>
              <w:pStyle w:val="naiskr"/>
              <w:spacing w:before="0" w:beforeAutospacing="0" w:after="0" w:afterAutospacing="0"/>
              <w:ind w:left="57" w:right="57"/>
              <w:jc w:val="center"/>
              <w:rPr>
                <w:sz w:val="28"/>
                <w:szCs w:val="28"/>
              </w:rPr>
            </w:pPr>
            <w:r w:rsidRPr="00A72572">
              <w:rPr>
                <w:sz w:val="28"/>
                <w:szCs w:val="28"/>
              </w:rPr>
              <w:lastRenderedPageBreak/>
              <w:t>3.</w:t>
            </w:r>
          </w:p>
        </w:tc>
        <w:tc>
          <w:tcPr>
            <w:tcW w:w="1697"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Projekta izstrādē iesaistītās institūcijas</w:t>
            </w:r>
          </w:p>
        </w:tc>
        <w:tc>
          <w:tcPr>
            <w:tcW w:w="3062" w:type="pct"/>
          </w:tcPr>
          <w:p w:rsidR="00E96AEC" w:rsidRPr="00A72572" w:rsidRDefault="00A72572" w:rsidP="00E4698F">
            <w:pPr>
              <w:ind w:left="140" w:right="57"/>
              <w:jc w:val="both"/>
              <w:rPr>
                <w:sz w:val="28"/>
                <w:szCs w:val="28"/>
              </w:rPr>
            </w:pPr>
            <w:r>
              <w:rPr>
                <w:sz w:val="28"/>
                <w:szCs w:val="28"/>
              </w:rPr>
              <w:t xml:space="preserve">Kultūras </w:t>
            </w:r>
            <w:r w:rsidR="00E96AEC" w:rsidRPr="00A72572">
              <w:rPr>
                <w:sz w:val="28"/>
                <w:szCs w:val="28"/>
              </w:rPr>
              <w:t xml:space="preserve">ministrija, </w:t>
            </w:r>
            <w:r>
              <w:rPr>
                <w:sz w:val="28"/>
                <w:szCs w:val="28"/>
              </w:rPr>
              <w:t xml:space="preserve">kā arī četri šobrīd izveidotie </w:t>
            </w:r>
            <w:r w:rsidR="00E4698F">
              <w:rPr>
                <w:sz w:val="28"/>
                <w:szCs w:val="28"/>
              </w:rPr>
              <w:t>PIKC</w:t>
            </w:r>
            <w:r>
              <w:rPr>
                <w:sz w:val="28"/>
                <w:szCs w:val="28"/>
              </w:rPr>
              <w:t xml:space="preserve"> </w:t>
            </w:r>
            <w:r w:rsidR="00E4698F">
              <w:rPr>
                <w:sz w:val="28"/>
                <w:szCs w:val="28"/>
              </w:rPr>
              <w:t>–</w:t>
            </w:r>
            <w:r>
              <w:rPr>
                <w:sz w:val="28"/>
                <w:szCs w:val="28"/>
              </w:rPr>
              <w:t xml:space="preserve"> Nacionā</w:t>
            </w:r>
            <w:r w:rsidR="00E4698F">
              <w:rPr>
                <w:sz w:val="28"/>
                <w:szCs w:val="28"/>
              </w:rPr>
              <w:t>lā mākslu vidusskola, Liepājas M</w:t>
            </w:r>
            <w:r>
              <w:rPr>
                <w:sz w:val="28"/>
                <w:szCs w:val="28"/>
              </w:rPr>
              <w:t>ūzikas, mākslas un</w:t>
            </w:r>
            <w:r w:rsidR="00E4698F">
              <w:rPr>
                <w:sz w:val="28"/>
                <w:szCs w:val="28"/>
              </w:rPr>
              <w:t xml:space="preserve"> dizaina vidusskola, Ventspils M</w:t>
            </w:r>
            <w:r>
              <w:rPr>
                <w:sz w:val="28"/>
                <w:szCs w:val="28"/>
              </w:rPr>
              <w:t xml:space="preserve">ūzikas skola, Rīgas Dizaina un mākslas vidusskola. </w:t>
            </w:r>
          </w:p>
        </w:tc>
      </w:tr>
      <w:tr w:rsidR="00E96AEC" w:rsidRPr="00A72572" w:rsidTr="00E4698F">
        <w:trPr>
          <w:trHeight w:val="346"/>
        </w:trPr>
        <w:tc>
          <w:tcPr>
            <w:tcW w:w="241" w:type="pct"/>
          </w:tcPr>
          <w:p w:rsidR="00E96AEC" w:rsidRPr="00A72572" w:rsidRDefault="00E96AEC" w:rsidP="002B44A6">
            <w:pPr>
              <w:pStyle w:val="naiskr"/>
              <w:spacing w:before="0" w:beforeAutospacing="0" w:after="0" w:afterAutospacing="0"/>
              <w:ind w:left="57" w:right="57"/>
              <w:jc w:val="center"/>
              <w:rPr>
                <w:sz w:val="28"/>
                <w:szCs w:val="28"/>
              </w:rPr>
            </w:pPr>
            <w:r w:rsidRPr="00A72572">
              <w:rPr>
                <w:sz w:val="28"/>
                <w:szCs w:val="28"/>
              </w:rPr>
              <w:t>4.</w:t>
            </w:r>
          </w:p>
        </w:tc>
        <w:tc>
          <w:tcPr>
            <w:tcW w:w="1697"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Cita informācija</w:t>
            </w:r>
          </w:p>
        </w:tc>
        <w:tc>
          <w:tcPr>
            <w:tcW w:w="3062" w:type="pct"/>
          </w:tcPr>
          <w:p w:rsidR="00E96AEC" w:rsidRPr="00A72572" w:rsidRDefault="00E96AEC" w:rsidP="00E4698F">
            <w:pPr>
              <w:pStyle w:val="naiskr"/>
              <w:spacing w:before="0" w:beforeAutospacing="0" w:after="0" w:afterAutospacing="0"/>
              <w:ind w:left="140" w:right="57"/>
              <w:rPr>
                <w:sz w:val="28"/>
                <w:szCs w:val="28"/>
              </w:rPr>
            </w:pPr>
            <w:r w:rsidRPr="00A72572">
              <w:rPr>
                <w:sz w:val="28"/>
                <w:szCs w:val="28"/>
              </w:rPr>
              <w:t>Nav</w:t>
            </w:r>
          </w:p>
        </w:tc>
      </w:tr>
    </w:tbl>
    <w:p w:rsidR="00057CEF" w:rsidRPr="00A72572" w:rsidRDefault="002312E7" w:rsidP="002312E7">
      <w:pPr>
        <w:tabs>
          <w:tab w:val="left" w:pos="3683"/>
        </w:tabs>
        <w:rPr>
          <w:sz w:val="28"/>
          <w:szCs w:val="28"/>
        </w:rPr>
      </w:pPr>
      <w:r w:rsidRPr="00A72572">
        <w:rPr>
          <w:sz w:val="28"/>
          <w:szCs w:val="28"/>
        </w:rPr>
        <w:tab/>
      </w:r>
    </w:p>
    <w:tbl>
      <w:tblPr>
        <w:tblpPr w:leftFromText="180" w:rightFromText="180" w:vertAnchor="text" w:horzAnchor="margin" w:tblpXSpec="center" w:tblpY="11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2977"/>
        <w:gridCol w:w="5532"/>
      </w:tblGrid>
      <w:tr w:rsidR="00E96AEC" w:rsidRPr="00A72572" w:rsidTr="00E4698F">
        <w:trPr>
          <w:trHeight w:val="556"/>
        </w:trPr>
        <w:tc>
          <w:tcPr>
            <w:tcW w:w="5000" w:type="pct"/>
            <w:gridSpan w:val="3"/>
            <w:vAlign w:val="center"/>
          </w:tcPr>
          <w:p w:rsidR="00E96AEC" w:rsidRPr="00A72572" w:rsidRDefault="00E96AEC" w:rsidP="00E4698F">
            <w:pPr>
              <w:pStyle w:val="naisnod"/>
              <w:spacing w:before="0" w:beforeAutospacing="0" w:after="0" w:afterAutospacing="0"/>
              <w:ind w:left="57" w:right="57"/>
              <w:jc w:val="center"/>
              <w:rPr>
                <w:b/>
                <w:sz w:val="28"/>
                <w:szCs w:val="28"/>
              </w:rPr>
            </w:pPr>
            <w:r w:rsidRPr="00A72572">
              <w:rPr>
                <w:b/>
                <w:sz w:val="28"/>
                <w:szCs w:val="28"/>
              </w:rPr>
              <w:t>II. Tiesību akta projekta ietekme uz sabiedrību, tautsaimniecības attīstību</w:t>
            </w:r>
            <w:r w:rsidR="00E4698F">
              <w:rPr>
                <w:b/>
                <w:sz w:val="28"/>
                <w:szCs w:val="28"/>
              </w:rPr>
              <w:t xml:space="preserve"> </w:t>
            </w:r>
            <w:r w:rsidRPr="00A72572">
              <w:rPr>
                <w:b/>
                <w:sz w:val="28"/>
                <w:szCs w:val="28"/>
              </w:rPr>
              <w:t>un administratīvo slogu</w:t>
            </w:r>
          </w:p>
        </w:tc>
      </w:tr>
      <w:tr w:rsidR="00E96AEC" w:rsidRPr="00A72572" w:rsidTr="00E4698F">
        <w:trPr>
          <w:trHeight w:val="467"/>
        </w:trPr>
        <w:tc>
          <w:tcPr>
            <w:tcW w:w="238" w:type="pct"/>
          </w:tcPr>
          <w:p w:rsidR="00E96AEC" w:rsidRPr="00A72572" w:rsidRDefault="00E96AEC" w:rsidP="00E4698F">
            <w:pPr>
              <w:pStyle w:val="naiskr"/>
              <w:spacing w:before="0" w:beforeAutospacing="0" w:after="0" w:afterAutospacing="0"/>
              <w:ind w:left="57" w:right="57"/>
              <w:jc w:val="center"/>
              <w:rPr>
                <w:sz w:val="28"/>
                <w:szCs w:val="28"/>
              </w:rPr>
            </w:pPr>
            <w:r w:rsidRPr="00A72572">
              <w:rPr>
                <w:sz w:val="28"/>
                <w:szCs w:val="28"/>
              </w:rPr>
              <w:t>1.</w:t>
            </w:r>
          </w:p>
        </w:tc>
        <w:tc>
          <w:tcPr>
            <w:tcW w:w="1666" w:type="pct"/>
            <w:tcBorders>
              <w:top w:val="single" w:sz="4" w:space="0" w:color="auto"/>
            </w:tcBorders>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Sabiedrības mērķgrupas, kuras tiesiskais regulējums ietekmē vai varētu ietekmēt</w:t>
            </w:r>
          </w:p>
        </w:tc>
        <w:tc>
          <w:tcPr>
            <w:tcW w:w="3096" w:type="pct"/>
          </w:tcPr>
          <w:p w:rsidR="00E96AEC" w:rsidRPr="00A72572" w:rsidRDefault="00E4698F" w:rsidP="00E4698F">
            <w:pPr>
              <w:shd w:val="clear" w:color="auto" w:fill="FFFFFF"/>
              <w:ind w:left="57" w:right="57"/>
              <w:jc w:val="both"/>
              <w:rPr>
                <w:sz w:val="28"/>
                <w:szCs w:val="28"/>
              </w:rPr>
            </w:pPr>
            <w:bookmarkStart w:id="3" w:name="p21"/>
            <w:bookmarkEnd w:id="3"/>
            <w:r>
              <w:rPr>
                <w:sz w:val="28"/>
                <w:szCs w:val="28"/>
              </w:rPr>
              <w:t xml:space="preserve">Projekts </w:t>
            </w:r>
            <w:r w:rsidR="00C359CB" w:rsidRPr="00A72572">
              <w:rPr>
                <w:sz w:val="28"/>
                <w:szCs w:val="28"/>
              </w:rPr>
              <w:t xml:space="preserve">skar </w:t>
            </w:r>
            <w:r w:rsidR="00A72572">
              <w:rPr>
                <w:sz w:val="28"/>
                <w:szCs w:val="28"/>
              </w:rPr>
              <w:t xml:space="preserve">Kultūras ministriju, kā arī </w:t>
            </w:r>
            <w:r>
              <w:rPr>
                <w:sz w:val="28"/>
                <w:szCs w:val="28"/>
              </w:rPr>
              <w:t>PIKC – Nacionālā mākslu vidusskola, Liepājas Mūzikas, mākslas un dizaina vidusskola, Ventspils Mūzikas skola, Rīgas Dizaina un mākslas vidusskola</w:t>
            </w:r>
            <w:r w:rsidR="00A72572">
              <w:rPr>
                <w:sz w:val="28"/>
                <w:szCs w:val="28"/>
              </w:rPr>
              <w:t xml:space="preserve">. </w:t>
            </w:r>
            <w:r>
              <w:rPr>
                <w:sz w:val="28"/>
                <w:szCs w:val="28"/>
              </w:rPr>
              <w:t>Projekta</w:t>
            </w:r>
            <w:r w:rsidR="00C359CB" w:rsidRPr="00A72572">
              <w:rPr>
                <w:sz w:val="28"/>
                <w:szCs w:val="28"/>
              </w:rPr>
              <w:t xml:space="preserve"> ietekme vērtējama plašāk un tas pastarpināti ietekmēs </w:t>
            </w:r>
            <w:r w:rsidR="00A72572">
              <w:rPr>
                <w:sz w:val="28"/>
                <w:szCs w:val="28"/>
              </w:rPr>
              <w:t>attiecīgajās skolās esoš</w:t>
            </w:r>
            <w:r>
              <w:rPr>
                <w:sz w:val="28"/>
                <w:szCs w:val="28"/>
              </w:rPr>
              <w:t>o izglītojamo (kopskaitā – 2075 </w:t>
            </w:r>
            <w:r w:rsidR="00A72572">
              <w:rPr>
                <w:sz w:val="28"/>
                <w:szCs w:val="28"/>
              </w:rPr>
              <w:t>izglītojamie) izglītības kvalitāti</w:t>
            </w:r>
            <w:r w:rsidR="000258BB">
              <w:rPr>
                <w:sz w:val="28"/>
                <w:szCs w:val="28"/>
              </w:rPr>
              <w:t xml:space="preserve"> un divu nozīmīgu kultūras pieminekļu uzlabošanu</w:t>
            </w:r>
            <w:r w:rsidR="00C359CB" w:rsidRPr="00A72572">
              <w:rPr>
                <w:sz w:val="28"/>
                <w:szCs w:val="28"/>
              </w:rPr>
              <w:t xml:space="preserve">. </w:t>
            </w:r>
          </w:p>
        </w:tc>
      </w:tr>
      <w:tr w:rsidR="00E96AEC" w:rsidRPr="00A72572" w:rsidTr="00E4698F">
        <w:trPr>
          <w:trHeight w:val="523"/>
        </w:trPr>
        <w:tc>
          <w:tcPr>
            <w:tcW w:w="238" w:type="pct"/>
          </w:tcPr>
          <w:p w:rsidR="00E96AEC" w:rsidRPr="00A72572" w:rsidRDefault="00E96AEC" w:rsidP="00E4698F">
            <w:pPr>
              <w:pStyle w:val="naiskr"/>
              <w:spacing w:before="0" w:beforeAutospacing="0" w:after="0" w:afterAutospacing="0"/>
              <w:ind w:left="57" w:right="57"/>
              <w:jc w:val="center"/>
              <w:rPr>
                <w:sz w:val="28"/>
                <w:szCs w:val="28"/>
              </w:rPr>
            </w:pPr>
            <w:r w:rsidRPr="00A72572">
              <w:rPr>
                <w:sz w:val="28"/>
                <w:szCs w:val="28"/>
              </w:rPr>
              <w:t>2.</w:t>
            </w:r>
          </w:p>
        </w:tc>
        <w:tc>
          <w:tcPr>
            <w:tcW w:w="1666"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Tiesiskā regulējuma ietekme uz tautsaimniecību un administratīvo slogu</w:t>
            </w:r>
          </w:p>
        </w:tc>
        <w:tc>
          <w:tcPr>
            <w:tcW w:w="3096" w:type="pct"/>
          </w:tcPr>
          <w:p w:rsidR="00E96AEC" w:rsidRPr="00A72572" w:rsidRDefault="00E96AEC" w:rsidP="002B44A6">
            <w:pPr>
              <w:shd w:val="clear" w:color="auto" w:fill="FFFFFF"/>
              <w:ind w:left="57" w:right="57"/>
              <w:rPr>
                <w:sz w:val="28"/>
                <w:szCs w:val="28"/>
              </w:rPr>
            </w:pPr>
            <w:r w:rsidRPr="00A72572">
              <w:rPr>
                <w:sz w:val="28"/>
                <w:szCs w:val="28"/>
              </w:rPr>
              <w:t>Projekts šo jomu neskar.</w:t>
            </w:r>
          </w:p>
        </w:tc>
      </w:tr>
      <w:tr w:rsidR="00E96AEC" w:rsidRPr="00A72572" w:rsidTr="00E4698F">
        <w:trPr>
          <w:trHeight w:val="523"/>
        </w:trPr>
        <w:tc>
          <w:tcPr>
            <w:tcW w:w="238" w:type="pct"/>
          </w:tcPr>
          <w:p w:rsidR="00E96AEC" w:rsidRPr="00A72572" w:rsidRDefault="00E96AEC" w:rsidP="00E4698F">
            <w:pPr>
              <w:pStyle w:val="naiskr"/>
              <w:spacing w:before="0" w:beforeAutospacing="0" w:after="0" w:afterAutospacing="0"/>
              <w:ind w:left="57" w:right="57"/>
              <w:jc w:val="center"/>
              <w:rPr>
                <w:sz w:val="28"/>
                <w:szCs w:val="28"/>
              </w:rPr>
            </w:pPr>
            <w:r w:rsidRPr="00A72572">
              <w:rPr>
                <w:sz w:val="28"/>
                <w:szCs w:val="28"/>
              </w:rPr>
              <w:t>3.</w:t>
            </w:r>
          </w:p>
        </w:tc>
        <w:tc>
          <w:tcPr>
            <w:tcW w:w="1666"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Administratīvo izmaksu monetārs novērtējums</w:t>
            </w:r>
          </w:p>
        </w:tc>
        <w:tc>
          <w:tcPr>
            <w:tcW w:w="3096" w:type="pct"/>
          </w:tcPr>
          <w:p w:rsidR="00E96AEC" w:rsidRPr="00A72572" w:rsidRDefault="00E96AEC" w:rsidP="002B44A6">
            <w:pPr>
              <w:shd w:val="clear" w:color="auto" w:fill="FFFFFF"/>
              <w:ind w:left="57" w:right="57"/>
              <w:rPr>
                <w:sz w:val="28"/>
                <w:szCs w:val="28"/>
              </w:rPr>
            </w:pPr>
            <w:r w:rsidRPr="00A72572">
              <w:rPr>
                <w:sz w:val="28"/>
                <w:szCs w:val="28"/>
              </w:rPr>
              <w:t>Projekts šo jomu neskar.</w:t>
            </w:r>
          </w:p>
        </w:tc>
      </w:tr>
      <w:tr w:rsidR="00E96AEC" w:rsidRPr="00A72572" w:rsidTr="00E4698F">
        <w:trPr>
          <w:trHeight w:val="357"/>
        </w:trPr>
        <w:tc>
          <w:tcPr>
            <w:tcW w:w="238" w:type="pct"/>
          </w:tcPr>
          <w:p w:rsidR="00E96AEC" w:rsidRPr="00A72572" w:rsidRDefault="00E96AEC" w:rsidP="00E4698F">
            <w:pPr>
              <w:pStyle w:val="naiskr"/>
              <w:spacing w:before="0" w:beforeAutospacing="0" w:after="0" w:afterAutospacing="0"/>
              <w:ind w:left="57" w:right="57"/>
              <w:jc w:val="center"/>
              <w:rPr>
                <w:sz w:val="28"/>
                <w:szCs w:val="28"/>
              </w:rPr>
            </w:pPr>
            <w:r w:rsidRPr="00A72572">
              <w:rPr>
                <w:sz w:val="28"/>
                <w:szCs w:val="28"/>
              </w:rPr>
              <w:t>4.</w:t>
            </w:r>
          </w:p>
        </w:tc>
        <w:tc>
          <w:tcPr>
            <w:tcW w:w="1666" w:type="pct"/>
          </w:tcPr>
          <w:p w:rsidR="00E96AEC" w:rsidRPr="00A72572" w:rsidRDefault="00E96AEC" w:rsidP="002B44A6">
            <w:pPr>
              <w:pStyle w:val="naiskr"/>
              <w:spacing w:before="0" w:beforeAutospacing="0" w:after="0" w:afterAutospacing="0"/>
              <w:ind w:left="57" w:right="57"/>
              <w:rPr>
                <w:sz w:val="28"/>
                <w:szCs w:val="28"/>
              </w:rPr>
            </w:pPr>
            <w:r w:rsidRPr="00A72572">
              <w:rPr>
                <w:sz w:val="28"/>
                <w:szCs w:val="28"/>
              </w:rPr>
              <w:t>Cita informācija</w:t>
            </w:r>
          </w:p>
        </w:tc>
        <w:tc>
          <w:tcPr>
            <w:tcW w:w="3096" w:type="pct"/>
          </w:tcPr>
          <w:p w:rsidR="00E96AEC" w:rsidRPr="00A72572" w:rsidRDefault="00E4698F" w:rsidP="002B44A6">
            <w:pPr>
              <w:shd w:val="clear" w:color="auto" w:fill="FFFFFF"/>
              <w:ind w:left="57" w:right="57"/>
              <w:rPr>
                <w:sz w:val="28"/>
                <w:szCs w:val="28"/>
              </w:rPr>
            </w:pPr>
            <w:r>
              <w:rPr>
                <w:sz w:val="28"/>
                <w:szCs w:val="28"/>
              </w:rPr>
              <w:t>Nav</w:t>
            </w:r>
          </w:p>
        </w:tc>
      </w:tr>
    </w:tbl>
    <w:p w:rsidR="00CF2E65" w:rsidRDefault="00CF2E65" w:rsidP="00CF2E65">
      <w:pPr>
        <w:rPr>
          <w:sz w:val="28"/>
          <w:szCs w:val="28"/>
        </w:rPr>
      </w:pPr>
    </w:p>
    <w:tbl>
      <w:tblPr>
        <w:tblW w:w="49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14"/>
        <w:gridCol w:w="1280"/>
        <w:gridCol w:w="1179"/>
        <w:gridCol w:w="1150"/>
        <w:gridCol w:w="1150"/>
        <w:gridCol w:w="1152"/>
      </w:tblGrid>
      <w:tr w:rsidR="00E4698F" w:rsidRPr="00A72572" w:rsidTr="00E4698F">
        <w:tc>
          <w:tcPr>
            <w:tcW w:w="5000" w:type="pct"/>
            <w:gridSpan w:val="6"/>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jc w:val="center"/>
              <w:rPr>
                <w:b/>
                <w:bCs/>
                <w:sz w:val="28"/>
                <w:szCs w:val="28"/>
              </w:rPr>
            </w:pPr>
            <w:r w:rsidRPr="00A72572">
              <w:rPr>
                <w:b/>
                <w:bCs/>
                <w:sz w:val="28"/>
                <w:szCs w:val="28"/>
              </w:rPr>
              <w:t>III. Tiesību akta projekta ietekme uz valsts budžetu un pašvaldību budžetiem</w:t>
            </w:r>
          </w:p>
        </w:tc>
      </w:tr>
      <w:tr w:rsidR="00E4698F" w:rsidRPr="00A72572" w:rsidTr="00807762">
        <w:tc>
          <w:tcPr>
            <w:tcW w:w="1725" w:type="pct"/>
            <w:vMerge w:val="restar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b/>
                <w:bCs/>
                <w:sz w:val="28"/>
                <w:szCs w:val="28"/>
              </w:rPr>
            </w:pPr>
            <w:r w:rsidRPr="00A72572">
              <w:rPr>
                <w:b/>
                <w:bCs/>
                <w:sz w:val="28"/>
                <w:szCs w:val="28"/>
              </w:rPr>
              <w:t>Rādītāji</w:t>
            </w:r>
          </w:p>
        </w:tc>
        <w:tc>
          <w:tcPr>
            <w:tcW w:w="1362" w:type="pct"/>
            <w:gridSpan w:val="2"/>
            <w:vMerge w:val="restar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b/>
                <w:bCs/>
                <w:sz w:val="28"/>
                <w:szCs w:val="28"/>
              </w:rPr>
            </w:pPr>
            <w:r w:rsidRPr="00A72572">
              <w:rPr>
                <w:b/>
                <w:bCs/>
                <w:sz w:val="28"/>
                <w:szCs w:val="28"/>
              </w:rPr>
              <w:t>2017.gads</w:t>
            </w:r>
          </w:p>
        </w:tc>
        <w:tc>
          <w:tcPr>
            <w:tcW w:w="1912" w:type="pct"/>
            <w:gridSpan w:val="3"/>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Turpmākie trīs gadi (</w:t>
            </w:r>
            <w:r w:rsidRPr="00E4698F">
              <w:rPr>
                <w:i/>
                <w:sz w:val="28"/>
                <w:szCs w:val="28"/>
              </w:rPr>
              <w:t>euro</w:t>
            </w:r>
            <w:r w:rsidRPr="00A72572">
              <w:rPr>
                <w:sz w:val="28"/>
                <w:szCs w:val="28"/>
              </w:rPr>
              <w:t>)</w:t>
            </w:r>
          </w:p>
        </w:tc>
      </w:tr>
      <w:tr w:rsidR="00E4698F" w:rsidRPr="00A72572" w:rsidTr="00E4698F">
        <w:tc>
          <w:tcPr>
            <w:tcW w:w="1726"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rPr>
                <w:b/>
                <w:bCs/>
                <w:sz w:val="28"/>
                <w:szCs w:val="28"/>
              </w:rPr>
            </w:pPr>
          </w:p>
        </w:tc>
        <w:tc>
          <w:tcPr>
            <w:tcW w:w="1361" w:type="pct"/>
            <w:gridSpan w:val="2"/>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rPr>
                <w:b/>
                <w:bCs/>
                <w:sz w:val="28"/>
                <w:szCs w:val="28"/>
              </w:rPr>
            </w:pP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b/>
                <w:bCs/>
                <w:sz w:val="28"/>
                <w:szCs w:val="28"/>
              </w:rPr>
            </w:pPr>
            <w:r w:rsidRPr="00A72572">
              <w:rPr>
                <w:b/>
                <w:bCs/>
                <w:sz w:val="28"/>
                <w:szCs w:val="28"/>
              </w:rPr>
              <w:t>2018</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b/>
                <w:bCs/>
                <w:sz w:val="28"/>
                <w:szCs w:val="28"/>
              </w:rPr>
            </w:pPr>
            <w:r w:rsidRPr="00A72572">
              <w:rPr>
                <w:b/>
                <w:bCs/>
                <w:sz w:val="28"/>
                <w:szCs w:val="28"/>
              </w:rPr>
              <w:t>2019</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b/>
                <w:bCs/>
                <w:sz w:val="28"/>
                <w:szCs w:val="28"/>
              </w:rPr>
            </w:pPr>
            <w:r w:rsidRPr="00A72572">
              <w:rPr>
                <w:b/>
                <w:bCs/>
                <w:sz w:val="28"/>
                <w:szCs w:val="28"/>
              </w:rPr>
              <w:t>2020</w:t>
            </w:r>
          </w:p>
        </w:tc>
      </w:tr>
      <w:tr w:rsidR="00E4698F" w:rsidRPr="00A72572" w:rsidTr="00E4698F">
        <w:tc>
          <w:tcPr>
            <w:tcW w:w="1726"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rPr>
                <w:b/>
                <w:bCs/>
                <w:sz w:val="28"/>
                <w:szCs w:val="28"/>
              </w:rPr>
            </w:pP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Saskaņā ar valsts budžetu kārtējam gadam</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Izmaiņas kārtējā gadā, salīdzinot ar budžetu kārtējam gadam</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Izmaiņas, salīdzinot ar kārtējo (2017) gadu</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Izmaiņas, salīdzinot ar kārtējo (2017)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Izmaiņas, salīdzinot ar kārtējo (2017) gadu</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1</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2</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3</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4</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5</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6</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1. Budžeta ieņēmumi:</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1.1. valsts pamatbudžets, tai skaitā ieņēmumi no maksas pakalpojumiem un citi pašu ieņēmumi</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807762" w:rsidRPr="00A72572" w:rsidTr="00E4698F">
        <w:tc>
          <w:tcPr>
            <w:tcW w:w="1726" w:type="pct"/>
            <w:tcBorders>
              <w:top w:val="outset" w:sz="6" w:space="0" w:color="000000"/>
              <w:left w:val="outset" w:sz="6" w:space="0" w:color="000000"/>
              <w:bottom w:val="outset" w:sz="6" w:space="0" w:color="000000"/>
              <w:right w:val="outset" w:sz="6" w:space="0" w:color="000000"/>
            </w:tcBorders>
          </w:tcPr>
          <w:p w:rsidR="00807762" w:rsidRPr="00807762" w:rsidRDefault="00807762" w:rsidP="00760AA9">
            <w:pPr>
              <w:spacing w:before="100" w:beforeAutospacing="1" w:after="100" w:afterAutospacing="1"/>
            </w:pPr>
            <w:r w:rsidRPr="00807762">
              <w:t>Finanšu ministrija</w:t>
            </w:r>
          </w:p>
        </w:tc>
        <w:tc>
          <w:tcPr>
            <w:tcW w:w="70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-3 419 47</w:t>
            </w:r>
            <w:r w:rsidR="00F83F85">
              <w:t>8</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r>
      <w:tr w:rsidR="00807762" w:rsidRPr="00A72572" w:rsidTr="00E4698F">
        <w:tc>
          <w:tcPr>
            <w:tcW w:w="1726" w:type="pct"/>
            <w:tcBorders>
              <w:top w:val="outset" w:sz="6" w:space="0" w:color="000000"/>
              <w:left w:val="outset" w:sz="6" w:space="0" w:color="000000"/>
              <w:bottom w:val="outset" w:sz="6" w:space="0" w:color="000000"/>
              <w:right w:val="outset" w:sz="6" w:space="0" w:color="000000"/>
            </w:tcBorders>
          </w:tcPr>
          <w:p w:rsidR="00807762" w:rsidRPr="00807762" w:rsidRDefault="00807762" w:rsidP="00760AA9">
            <w:pPr>
              <w:spacing w:before="100" w:beforeAutospacing="1" w:after="100" w:afterAutospacing="1"/>
            </w:pPr>
            <w:r w:rsidRPr="00807762">
              <w:t>Kultūras ministrija</w:t>
            </w:r>
          </w:p>
        </w:tc>
        <w:tc>
          <w:tcPr>
            <w:tcW w:w="70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F83F85" w:rsidP="00760AA9">
            <w:pPr>
              <w:jc w:val="center"/>
            </w:pPr>
            <w:r>
              <w:t>+3 419 4</w:t>
            </w:r>
            <w:r w:rsidR="00807762">
              <w:t>7</w:t>
            </w:r>
            <w:r>
              <w:t>8</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760AA9">
            <w:pPr>
              <w:jc w:val="center"/>
            </w:pPr>
            <w:r>
              <w:t>0</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1.2. valsts speciālais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1.3. pašvaldību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E4698F">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2. Budžeta izdevumi:</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E4698F">
        <w:trPr>
          <w:trHeight w:val="524"/>
        </w:trPr>
        <w:tc>
          <w:tcPr>
            <w:tcW w:w="1726"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2.1. valsts pamatbudžets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807762" w:rsidRPr="00807762" w:rsidTr="009267CB">
        <w:tc>
          <w:tcPr>
            <w:tcW w:w="1726" w:type="pct"/>
            <w:tcBorders>
              <w:top w:val="outset" w:sz="6" w:space="0" w:color="000000"/>
              <w:left w:val="outset" w:sz="6" w:space="0" w:color="000000"/>
              <w:bottom w:val="outset" w:sz="6" w:space="0" w:color="000000"/>
              <w:right w:val="outset" w:sz="6" w:space="0" w:color="000000"/>
            </w:tcBorders>
          </w:tcPr>
          <w:p w:rsidR="00807762" w:rsidRPr="00807762" w:rsidRDefault="00807762" w:rsidP="009267CB">
            <w:pPr>
              <w:spacing w:before="100" w:beforeAutospacing="1" w:after="100" w:afterAutospacing="1"/>
            </w:pPr>
            <w:r w:rsidRPr="00807762">
              <w:t>Finanšu ministrija</w:t>
            </w:r>
          </w:p>
        </w:tc>
        <w:tc>
          <w:tcPr>
            <w:tcW w:w="70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-3 419 47</w:t>
            </w:r>
            <w:r w:rsidR="00147C70">
              <w:t>8</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r>
      <w:tr w:rsidR="00807762" w:rsidRPr="00807762" w:rsidTr="009267CB">
        <w:tc>
          <w:tcPr>
            <w:tcW w:w="1726" w:type="pct"/>
            <w:tcBorders>
              <w:top w:val="outset" w:sz="6" w:space="0" w:color="000000"/>
              <w:left w:val="outset" w:sz="6" w:space="0" w:color="000000"/>
              <w:bottom w:val="outset" w:sz="6" w:space="0" w:color="000000"/>
              <w:right w:val="outset" w:sz="6" w:space="0" w:color="000000"/>
            </w:tcBorders>
          </w:tcPr>
          <w:p w:rsidR="00807762" w:rsidRPr="00807762" w:rsidRDefault="00807762" w:rsidP="009267CB">
            <w:pPr>
              <w:spacing w:before="100" w:beforeAutospacing="1" w:after="100" w:afterAutospacing="1"/>
            </w:pPr>
            <w:r w:rsidRPr="00807762">
              <w:t>Kultūras ministrija</w:t>
            </w:r>
          </w:p>
        </w:tc>
        <w:tc>
          <w:tcPr>
            <w:tcW w:w="70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147C70">
            <w:pPr>
              <w:jc w:val="center"/>
            </w:pPr>
            <w:r>
              <w:t>+3 419 47</w:t>
            </w:r>
            <w:r w:rsidR="00147C70">
              <w:t>8</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c>
          <w:tcPr>
            <w:tcW w:w="639" w:type="pct"/>
            <w:tcBorders>
              <w:top w:val="outset" w:sz="6" w:space="0" w:color="000000"/>
              <w:left w:val="outset" w:sz="6" w:space="0" w:color="000000"/>
              <w:bottom w:val="outset" w:sz="6" w:space="0" w:color="000000"/>
              <w:right w:val="outset" w:sz="6" w:space="0" w:color="000000"/>
            </w:tcBorders>
            <w:vAlign w:val="center"/>
          </w:tcPr>
          <w:p w:rsidR="00807762" w:rsidRPr="00807762" w:rsidRDefault="00807762" w:rsidP="009267CB">
            <w:pPr>
              <w:jc w:val="center"/>
            </w:pPr>
            <w: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2.2. valsts speciālais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2.3. pašvaldību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3. Finansiālā ietekme:</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jc w:val="center"/>
              <w:rPr>
                <w:sz w:val="28"/>
                <w:szCs w:val="28"/>
              </w:rPr>
            </w:pPr>
            <w:r w:rsidRPr="00A72572">
              <w:rPr>
                <w:rFonts w:eastAsia="Calibri"/>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3.1. valsts pamatbudžets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line="360" w:lineRule="auto"/>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3.2. speciālais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3.3. pašvaldību budžets</w:t>
            </w:r>
          </w:p>
        </w:tc>
        <w:tc>
          <w:tcPr>
            <w:tcW w:w="709"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vMerge w:val="restar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4. Finanšu līdzekļi papildu izde</w:t>
            </w:r>
            <w:r w:rsidRPr="00A72572">
              <w:rPr>
                <w:sz w:val="28"/>
                <w:szCs w:val="28"/>
              </w:rPr>
              <w:softHyphen/>
              <w:t>vumu finansēšanai (kompensējošu izdevumu samazinājumu norāda ar "+" zīmi)</w:t>
            </w:r>
          </w:p>
        </w:tc>
        <w:tc>
          <w:tcPr>
            <w:tcW w:w="709" w:type="pct"/>
            <w:vMerge w:val="restar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X</w:t>
            </w:r>
          </w:p>
        </w:tc>
        <w:tc>
          <w:tcPr>
            <w:tcW w:w="653"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jc w:val="center"/>
              <w:rPr>
                <w:sz w:val="28"/>
                <w:szCs w:val="28"/>
              </w:rPr>
            </w:pPr>
            <w:r w:rsidRPr="00A72572">
              <w:rPr>
                <w:rFonts w:eastAsia="Calibri"/>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rPr>
                <w:sz w:val="28"/>
                <w:szCs w:val="28"/>
              </w:rPr>
            </w:pPr>
          </w:p>
        </w:tc>
        <w:tc>
          <w:tcPr>
            <w:tcW w:w="709"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rPr>
                <w:sz w:val="28"/>
                <w:szCs w:val="28"/>
              </w:rPr>
            </w:pPr>
          </w:p>
        </w:tc>
        <w:tc>
          <w:tcPr>
            <w:tcW w:w="709"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spacing w:before="100" w:beforeAutospacing="1" w:after="100" w:afterAutospacing="1"/>
              <w:jc w:val="center"/>
              <w:rPr>
                <w:sz w:val="28"/>
                <w:szCs w:val="28"/>
              </w:rPr>
            </w:pPr>
            <w:r w:rsidRPr="00A72572">
              <w:rPr>
                <w:sz w:val="28"/>
                <w:szCs w:val="28"/>
              </w:rPr>
              <w:t>X</w:t>
            </w: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5.1. valsts pamatbudžets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lastRenderedPageBreak/>
              <w:t>5.2. speciālais 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5.3. pašvaldību 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p>
        </w:tc>
        <w:tc>
          <w:tcPr>
            <w:tcW w:w="653"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7"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c>
          <w:tcPr>
            <w:tcW w:w="638" w:type="pct"/>
            <w:tcBorders>
              <w:top w:val="outset" w:sz="6" w:space="0" w:color="000000"/>
              <w:left w:val="outset" w:sz="6" w:space="0" w:color="000000"/>
              <w:bottom w:val="outset" w:sz="6" w:space="0" w:color="000000"/>
              <w:right w:val="outset" w:sz="6" w:space="0" w:color="000000"/>
            </w:tcBorders>
            <w:vAlign w:val="center"/>
          </w:tcPr>
          <w:p w:rsidR="00E4698F" w:rsidRPr="00A72572" w:rsidRDefault="00E4698F" w:rsidP="00760AA9">
            <w:pPr>
              <w:jc w:val="center"/>
              <w:rPr>
                <w:sz w:val="28"/>
                <w:szCs w:val="28"/>
              </w:rPr>
            </w:pPr>
            <w:r w:rsidRPr="00A72572">
              <w:rPr>
                <w:sz w:val="28"/>
                <w:szCs w:val="28"/>
              </w:rPr>
              <w:t>0</w:t>
            </w:r>
          </w:p>
        </w:tc>
      </w:tr>
      <w:tr w:rsidR="00E4698F" w:rsidRPr="00A72572" w:rsidTr="00807762">
        <w:trPr>
          <w:trHeight w:val="1993"/>
        </w:trPr>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6. Detalizēts ieņēmumu un izdevu</w:t>
            </w:r>
            <w:r w:rsidRPr="00A72572">
              <w:rPr>
                <w:sz w:val="28"/>
                <w:szCs w:val="28"/>
              </w:rPr>
              <w:softHyphen/>
              <w:t>mu aprēķins (ja nepieciešams, detalizētu ieņēmumu un izdevumu aprēķinu var pievienot anotācijas pielikumā):</w:t>
            </w:r>
          </w:p>
        </w:tc>
        <w:tc>
          <w:tcPr>
            <w:tcW w:w="3275" w:type="pct"/>
            <w:gridSpan w:val="5"/>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4698F" w:rsidRPr="00807762" w:rsidRDefault="00E4698F" w:rsidP="00807762">
            <w:pPr>
              <w:jc w:val="both"/>
              <w:rPr>
                <w:szCs w:val="28"/>
              </w:rPr>
            </w:pPr>
          </w:p>
        </w:tc>
      </w:tr>
      <w:tr w:rsidR="00E4698F" w:rsidRPr="00A72572" w:rsidTr="00807762">
        <w:trPr>
          <w:trHeight w:val="646"/>
        </w:trPr>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807762">
            <w:pPr>
              <w:spacing w:before="100" w:beforeAutospacing="1" w:after="100" w:afterAutospacing="1"/>
              <w:rPr>
                <w:sz w:val="28"/>
                <w:szCs w:val="28"/>
              </w:rPr>
            </w:pPr>
            <w:r w:rsidRPr="00A72572">
              <w:rPr>
                <w:sz w:val="28"/>
                <w:szCs w:val="28"/>
              </w:rPr>
              <w:t>6.1. detalizēts ieņēmumu aprēķins</w:t>
            </w:r>
          </w:p>
        </w:tc>
        <w:tc>
          <w:tcPr>
            <w:tcW w:w="3275"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E4698F" w:rsidRPr="00A72572" w:rsidRDefault="00E4698F" w:rsidP="00760AA9">
            <w:pPr>
              <w:rPr>
                <w:sz w:val="28"/>
                <w:szCs w:val="28"/>
              </w:rPr>
            </w:pP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807762">
            <w:pPr>
              <w:spacing w:before="100" w:beforeAutospacing="1" w:after="100" w:afterAutospacing="1"/>
              <w:rPr>
                <w:sz w:val="28"/>
                <w:szCs w:val="28"/>
              </w:rPr>
            </w:pPr>
            <w:r w:rsidRPr="00A72572">
              <w:rPr>
                <w:sz w:val="28"/>
                <w:szCs w:val="28"/>
              </w:rPr>
              <w:t>6.2. detalizēts izdevumu aprēķins</w:t>
            </w:r>
          </w:p>
        </w:tc>
        <w:tc>
          <w:tcPr>
            <w:tcW w:w="3275"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E4698F" w:rsidRPr="00A72572" w:rsidRDefault="00E4698F" w:rsidP="00760AA9">
            <w:pPr>
              <w:rPr>
                <w:sz w:val="28"/>
                <w:szCs w:val="28"/>
              </w:rPr>
            </w:pPr>
          </w:p>
        </w:tc>
      </w:tr>
      <w:tr w:rsidR="00E4698F" w:rsidRPr="00A72572" w:rsidTr="00807762">
        <w:tc>
          <w:tcPr>
            <w:tcW w:w="1725" w:type="pct"/>
            <w:tcBorders>
              <w:top w:val="outset" w:sz="6" w:space="0" w:color="000000"/>
              <w:left w:val="outset" w:sz="6" w:space="0" w:color="000000"/>
              <w:bottom w:val="outset" w:sz="6" w:space="0" w:color="000000"/>
              <w:right w:val="outset" w:sz="6" w:space="0" w:color="000000"/>
            </w:tcBorders>
          </w:tcPr>
          <w:p w:rsidR="00E4698F" w:rsidRPr="00A72572" w:rsidRDefault="00E4698F" w:rsidP="00760AA9">
            <w:pPr>
              <w:spacing w:before="100" w:beforeAutospacing="1" w:after="100" w:afterAutospacing="1"/>
              <w:rPr>
                <w:sz w:val="28"/>
                <w:szCs w:val="28"/>
              </w:rPr>
            </w:pPr>
            <w:r w:rsidRPr="00A72572">
              <w:rPr>
                <w:sz w:val="28"/>
                <w:szCs w:val="28"/>
              </w:rPr>
              <w:t>7. Cita informācija</w:t>
            </w:r>
          </w:p>
        </w:tc>
        <w:tc>
          <w:tcPr>
            <w:tcW w:w="3275" w:type="pct"/>
            <w:gridSpan w:val="5"/>
            <w:tcBorders>
              <w:top w:val="outset" w:sz="6" w:space="0" w:color="000000"/>
              <w:left w:val="outset" w:sz="6" w:space="0" w:color="000000"/>
              <w:bottom w:val="outset" w:sz="6" w:space="0" w:color="000000"/>
              <w:right w:val="outset" w:sz="6" w:space="0" w:color="000000"/>
            </w:tcBorders>
            <w:shd w:val="clear" w:color="auto" w:fill="auto"/>
          </w:tcPr>
          <w:p w:rsidR="00807762" w:rsidRDefault="00E4698F" w:rsidP="00807762">
            <w:pPr>
              <w:jc w:val="both"/>
              <w:rPr>
                <w:iCs/>
                <w:sz w:val="28"/>
                <w:szCs w:val="28"/>
                <w:lang w:eastAsia="en-US"/>
              </w:rPr>
            </w:pPr>
            <w:r>
              <w:rPr>
                <w:sz w:val="28"/>
                <w:szCs w:val="28"/>
              </w:rPr>
              <w:t>Nav</w:t>
            </w:r>
            <w:r w:rsidR="00807762" w:rsidRPr="00A72572">
              <w:rPr>
                <w:iCs/>
                <w:sz w:val="28"/>
                <w:szCs w:val="28"/>
                <w:lang w:eastAsia="en-US"/>
              </w:rPr>
              <w:t xml:space="preserve"> Finanšu minis</w:t>
            </w:r>
            <w:r w:rsidR="00807762">
              <w:rPr>
                <w:iCs/>
                <w:sz w:val="28"/>
                <w:szCs w:val="28"/>
                <w:lang w:eastAsia="en-US"/>
              </w:rPr>
              <w:t>trijas apakšprogrammā 41.01.00 „</w:t>
            </w:r>
            <w:r w:rsidR="00807762" w:rsidRPr="00A72572">
              <w:rPr>
                <w:iCs/>
                <w:sz w:val="28"/>
                <w:szCs w:val="28"/>
                <w:lang w:eastAsia="en-US"/>
              </w:rPr>
              <w:t>Iemaksas Eiropas Kopienas budžetā” ir izveidojusies valsts budžeta līdzekļu ekonomija, ņemot vērā Eiropas Savienības budžeta grozījumu samazinošo ietekmi uz dalībvalstu iemaksām, Padomdevējas komitejas pašu resursu jautājumos (ACOR) sanāksmē apstiprinātās pašu resursu prognozes, kā arī Eiropas Komisijas atjaunoto informāciju par 2017.gada Eiropas Savienības budžeta grozījumu sagaidāmo ietekmi uz dalībvalstu iemaksām.</w:t>
            </w:r>
            <w:r w:rsidR="00807762" w:rsidRPr="00A72572">
              <w:rPr>
                <w:sz w:val="28"/>
                <w:szCs w:val="28"/>
                <w:lang w:eastAsia="en-US"/>
              </w:rPr>
              <w:t xml:space="preserve"> </w:t>
            </w:r>
          </w:p>
          <w:p w:rsidR="00807762" w:rsidRDefault="00807762" w:rsidP="00807762">
            <w:pPr>
              <w:jc w:val="both"/>
              <w:rPr>
                <w:iCs/>
                <w:sz w:val="28"/>
                <w:szCs w:val="28"/>
                <w:lang w:eastAsia="en-US"/>
              </w:rPr>
            </w:pPr>
          </w:p>
          <w:p w:rsidR="00807762" w:rsidRPr="00E4698F" w:rsidRDefault="00807762" w:rsidP="00807762">
            <w:pPr>
              <w:jc w:val="both"/>
              <w:rPr>
                <w:iCs/>
                <w:sz w:val="28"/>
                <w:szCs w:val="28"/>
                <w:lang w:eastAsia="en-US"/>
              </w:rPr>
            </w:pPr>
            <w:r>
              <w:rPr>
                <w:sz w:val="28"/>
                <w:szCs w:val="28"/>
              </w:rPr>
              <w:t>Finanšu ministrijas apakšprogrammas 41.01.00 „</w:t>
            </w:r>
            <w:r w:rsidRPr="00A72572">
              <w:rPr>
                <w:sz w:val="28"/>
                <w:szCs w:val="28"/>
              </w:rPr>
              <w:t>Iemaksas Eiropas Kopienas budžetā</w:t>
            </w:r>
            <w:r>
              <w:rPr>
                <w:sz w:val="28"/>
                <w:szCs w:val="28"/>
              </w:rPr>
              <w:t>”</w:t>
            </w:r>
            <w:r w:rsidRPr="00A72572">
              <w:rPr>
                <w:sz w:val="28"/>
                <w:szCs w:val="28"/>
              </w:rPr>
              <w:t xml:space="preserve"> </w:t>
            </w:r>
            <w:r>
              <w:rPr>
                <w:sz w:val="28"/>
                <w:szCs w:val="28"/>
              </w:rPr>
              <w:t xml:space="preserve">finanšu līdzekļu ekonomija </w:t>
            </w:r>
            <w:r w:rsidRPr="00E4698F">
              <w:rPr>
                <w:b/>
                <w:sz w:val="28"/>
                <w:szCs w:val="28"/>
              </w:rPr>
              <w:t>3</w:t>
            </w:r>
            <w:r w:rsidR="00F83F85">
              <w:rPr>
                <w:b/>
                <w:sz w:val="28"/>
                <w:szCs w:val="28"/>
              </w:rPr>
              <w:t> 419 478</w:t>
            </w:r>
            <w:r w:rsidRPr="00E4698F">
              <w:rPr>
                <w:b/>
                <w:sz w:val="28"/>
                <w:szCs w:val="28"/>
              </w:rPr>
              <w:t xml:space="preserve"> </w:t>
            </w:r>
            <w:r w:rsidRPr="00E4698F">
              <w:rPr>
                <w:b/>
                <w:i/>
                <w:sz w:val="28"/>
                <w:szCs w:val="28"/>
              </w:rPr>
              <w:t>euro</w:t>
            </w:r>
            <w:r w:rsidRPr="00E4698F">
              <w:rPr>
                <w:sz w:val="28"/>
                <w:szCs w:val="28"/>
              </w:rPr>
              <w:t xml:space="preserve"> </w:t>
            </w:r>
            <w:r w:rsidRPr="00A72572">
              <w:rPr>
                <w:sz w:val="28"/>
                <w:szCs w:val="28"/>
              </w:rPr>
              <w:t>apmērā</w:t>
            </w:r>
            <w:r>
              <w:rPr>
                <w:sz w:val="28"/>
                <w:szCs w:val="28"/>
              </w:rPr>
              <w:t xml:space="preserve"> plānots pārdalīt uz Kultūras</w:t>
            </w:r>
            <w:r w:rsidRPr="00A72572">
              <w:rPr>
                <w:sz w:val="28"/>
                <w:szCs w:val="28"/>
              </w:rPr>
              <w:t xml:space="preserve"> ministrija</w:t>
            </w:r>
            <w:r>
              <w:rPr>
                <w:sz w:val="28"/>
                <w:szCs w:val="28"/>
              </w:rPr>
              <w:t>s sekojošām budžeta programmām, nodrošinot nepieciešamo izdevumu apmaksu:</w:t>
            </w:r>
          </w:p>
          <w:p w:rsidR="00807762" w:rsidRDefault="00807762" w:rsidP="00807762">
            <w:pPr>
              <w:pStyle w:val="Sarakstarindkopa"/>
              <w:numPr>
                <w:ilvl w:val="0"/>
                <w:numId w:val="15"/>
              </w:numPr>
              <w:ind w:left="392"/>
              <w:jc w:val="both"/>
              <w:rPr>
                <w:szCs w:val="28"/>
              </w:rPr>
            </w:pPr>
            <w:r w:rsidRPr="000258BB">
              <w:rPr>
                <w:szCs w:val="28"/>
              </w:rPr>
              <w:t xml:space="preserve">20.00.00 „Kultūrizglītība” </w:t>
            </w:r>
            <w:r>
              <w:rPr>
                <w:szCs w:val="28"/>
              </w:rPr>
              <w:t>2 920 746</w:t>
            </w:r>
            <w:r w:rsidRPr="000258BB">
              <w:rPr>
                <w:szCs w:val="28"/>
              </w:rPr>
              <w:t xml:space="preserve"> </w:t>
            </w:r>
            <w:r w:rsidRPr="00E4698F">
              <w:rPr>
                <w:i/>
                <w:szCs w:val="28"/>
              </w:rPr>
              <w:t>euro</w:t>
            </w:r>
            <w:r w:rsidRPr="000258BB">
              <w:rPr>
                <w:szCs w:val="28"/>
              </w:rPr>
              <w:t xml:space="preserve"> apmērā sekojošiem mērķiem: materiāltehniskajam nodrošinājumam nepieciešami </w:t>
            </w:r>
            <w:r>
              <w:rPr>
                <w:szCs w:val="28"/>
              </w:rPr>
              <w:t>2 920 746</w:t>
            </w:r>
            <w:r w:rsidRPr="000258BB">
              <w:rPr>
                <w:szCs w:val="28"/>
              </w:rPr>
              <w:t xml:space="preserve"> </w:t>
            </w:r>
            <w:r w:rsidRPr="00E4698F">
              <w:rPr>
                <w:i/>
                <w:szCs w:val="28"/>
              </w:rPr>
              <w:t>euro</w:t>
            </w:r>
            <w:r w:rsidRPr="000258BB">
              <w:rPr>
                <w:szCs w:val="28"/>
              </w:rPr>
              <w:t xml:space="preserve">, kas sastāda sekojošus provizoriskos izdevumus (summa var mainīties, ņemot vērā publisko iepirkumu rezultātus): </w:t>
            </w:r>
          </w:p>
          <w:p w:rsidR="00807762" w:rsidRDefault="00807762" w:rsidP="00807762">
            <w:pPr>
              <w:pStyle w:val="Sarakstarindkopa"/>
              <w:ind w:left="392"/>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2156"/>
            </w:tblGrid>
            <w:tr w:rsidR="00807762" w:rsidRPr="005A0FB3" w:rsidTr="00CF5CA2">
              <w:tc>
                <w:tcPr>
                  <w:tcW w:w="3683" w:type="dxa"/>
                </w:tcPr>
                <w:p w:rsidR="00807762" w:rsidRPr="004404F0" w:rsidRDefault="00807762" w:rsidP="00CF5CA2">
                  <w:pPr>
                    <w:tabs>
                      <w:tab w:val="center" w:pos="4153"/>
                      <w:tab w:val="right" w:pos="8306"/>
                    </w:tabs>
                    <w:rPr>
                      <w:sz w:val="28"/>
                      <w:szCs w:val="28"/>
                    </w:rPr>
                  </w:pPr>
                  <w:r>
                    <w:rPr>
                      <w:sz w:val="28"/>
                      <w:szCs w:val="28"/>
                    </w:rPr>
                    <w:t>Datortehnikai un mācību līdzekļu aprīkojumam</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t>631 099</w:t>
                  </w:r>
                  <w:r w:rsidRPr="004404F0">
                    <w:rPr>
                      <w:sz w:val="28"/>
                      <w:szCs w:val="28"/>
                    </w:rPr>
                    <w:t xml:space="preserve"> </w:t>
                  </w:r>
                  <w:r w:rsidRPr="00E4698F">
                    <w:rPr>
                      <w:i/>
                      <w:sz w:val="28"/>
                      <w:szCs w:val="28"/>
                    </w:rPr>
                    <w:t>euro</w:t>
                  </w:r>
                </w:p>
              </w:tc>
            </w:tr>
            <w:tr w:rsidR="00807762" w:rsidRPr="005A0FB3" w:rsidTr="00CF5CA2">
              <w:tc>
                <w:tcPr>
                  <w:tcW w:w="3683" w:type="dxa"/>
                </w:tcPr>
                <w:p w:rsidR="00807762" w:rsidRPr="004404F0" w:rsidRDefault="00807762" w:rsidP="00CF5CA2">
                  <w:pPr>
                    <w:tabs>
                      <w:tab w:val="center" w:pos="4153"/>
                      <w:tab w:val="right" w:pos="8306"/>
                    </w:tabs>
                    <w:rPr>
                      <w:sz w:val="28"/>
                      <w:szCs w:val="28"/>
                    </w:rPr>
                  </w:pPr>
                  <w:r>
                    <w:rPr>
                      <w:sz w:val="28"/>
                      <w:szCs w:val="28"/>
                    </w:rPr>
                    <w:t>Iekārtas profesionālo priekšmetu apguvei</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t>279 268</w:t>
                  </w:r>
                  <w:r w:rsidRPr="004404F0">
                    <w:rPr>
                      <w:sz w:val="28"/>
                      <w:szCs w:val="28"/>
                    </w:rPr>
                    <w:t xml:space="preserve"> </w:t>
                  </w:r>
                  <w:r w:rsidRPr="00E4698F">
                    <w:rPr>
                      <w:i/>
                      <w:sz w:val="28"/>
                      <w:szCs w:val="28"/>
                    </w:rPr>
                    <w:t>euro</w:t>
                  </w:r>
                </w:p>
              </w:tc>
            </w:tr>
            <w:tr w:rsidR="00807762" w:rsidRPr="005A0FB3" w:rsidTr="00CF5CA2">
              <w:tc>
                <w:tcPr>
                  <w:tcW w:w="3683" w:type="dxa"/>
                </w:tcPr>
                <w:p w:rsidR="00807762" w:rsidRPr="004404F0" w:rsidRDefault="00807762" w:rsidP="00CF5CA2">
                  <w:pPr>
                    <w:tabs>
                      <w:tab w:val="center" w:pos="4153"/>
                      <w:tab w:val="right" w:pos="8306"/>
                    </w:tabs>
                    <w:rPr>
                      <w:sz w:val="28"/>
                      <w:szCs w:val="28"/>
                    </w:rPr>
                  </w:pPr>
                  <w:r>
                    <w:rPr>
                      <w:sz w:val="28"/>
                      <w:szCs w:val="28"/>
                    </w:rPr>
                    <w:t xml:space="preserve">Skatuves iekārtas un </w:t>
                  </w:r>
                  <w:r>
                    <w:rPr>
                      <w:sz w:val="28"/>
                      <w:szCs w:val="28"/>
                    </w:rPr>
                    <w:lastRenderedPageBreak/>
                    <w:t>tehnoloģijas</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lastRenderedPageBreak/>
                    <w:t>1 521 650</w:t>
                  </w:r>
                  <w:r w:rsidRPr="004404F0">
                    <w:rPr>
                      <w:sz w:val="28"/>
                      <w:szCs w:val="28"/>
                    </w:rPr>
                    <w:t xml:space="preserve"> </w:t>
                  </w:r>
                  <w:r w:rsidRPr="00E4698F">
                    <w:rPr>
                      <w:i/>
                      <w:sz w:val="28"/>
                      <w:szCs w:val="28"/>
                    </w:rPr>
                    <w:t>euro</w:t>
                  </w:r>
                </w:p>
              </w:tc>
            </w:tr>
            <w:tr w:rsidR="00807762" w:rsidRPr="005A0FB3" w:rsidTr="00CF5CA2">
              <w:tc>
                <w:tcPr>
                  <w:tcW w:w="3683" w:type="dxa"/>
                </w:tcPr>
                <w:p w:rsidR="00807762" w:rsidRPr="004404F0" w:rsidRDefault="00807762" w:rsidP="00CF5CA2">
                  <w:pPr>
                    <w:tabs>
                      <w:tab w:val="center" w:pos="4153"/>
                      <w:tab w:val="right" w:pos="8306"/>
                    </w:tabs>
                    <w:rPr>
                      <w:sz w:val="28"/>
                      <w:szCs w:val="28"/>
                    </w:rPr>
                  </w:pPr>
                  <w:r>
                    <w:rPr>
                      <w:sz w:val="28"/>
                      <w:szCs w:val="28"/>
                    </w:rPr>
                    <w:lastRenderedPageBreak/>
                    <w:t>Mācību telpu un dienesta viesnīcas infrastruktūras uzlabošana</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t>195 676</w:t>
                  </w:r>
                  <w:r w:rsidRPr="004404F0">
                    <w:rPr>
                      <w:sz w:val="28"/>
                      <w:szCs w:val="28"/>
                    </w:rPr>
                    <w:t xml:space="preserve"> </w:t>
                  </w:r>
                  <w:r w:rsidRPr="00E4698F">
                    <w:rPr>
                      <w:i/>
                      <w:sz w:val="28"/>
                      <w:szCs w:val="28"/>
                    </w:rPr>
                    <w:t>euro</w:t>
                  </w:r>
                </w:p>
              </w:tc>
            </w:tr>
            <w:tr w:rsidR="00807762" w:rsidRPr="005A0FB3" w:rsidTr="00CF5CA2">
              <w:tc>
                <w:tcPr>
                  <w:tcW w:w="3683" w:type="dxa"/>
                </w:tcPr>
                <w:p w:rsidR="00807762" w:rsidRPr="004404F0" w:rsidRDefault="00807762" w:rsidP="00CF5CA2">
                  <w:pPr>
                    <w:tabs>
                      <w:tab w:val="center" w:pos="4153"/>
                      <w:tab w:val="right" w:pos="8306"/>
                    </w:tabs>
                    <w:rPr>
                      <w:sz w:val="28"/>
                      <w:szCs w:val="28"/>
                    </w:rPr>
                  </w:pPr>
                  <w:r>
                    <w:rPr>
                      <w:sz w:val="28"/>
                      <w:szCs w:val="28"/>
                    </w:rPr>
                    <w:t>Mūzikas instrumenti</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t>293 053</w:t>
                  </w:r>
                  <w:r w:rsidRPr="004404F0">
                    <w:rPr>
                      <w:sz w:val="28"/>
                      <w:szCs w:val="28"/>
                    </w:rPr>
                    <w:t xml:space="preserve"> </w:t>
                  </w:r>
                  <w:r w:rsidRPr="00E4698F">
                    <w:rPr>
                      <w:i/>
                      <w:sz w:val="28"/>
                      <w:szCs w:val="28"/>
                    </w:rPr>
                    <w:t>euro</w:t>
                  </w:r>
                </w:p>
              </w:tc>
            </w:tr>
            <w:tr w:rsidR="00807762" w:rsidRPr="005A0FB3" w:rsidTr="00CF5CA2">
              <w:tc>
                <w:tcPr>
                  <w:tcW w:w="3683" w:type="dxa"/>
                </w:tcPr>
                <w:p w:rsidR="00807762" w:rsidRPr="004404F0" w:rsidRDefault="00807762" w:rsidP="00CF5CA2">
                  <w:pPr>
                    <w:tabs>
                      <w:tab w:val="center" w:pos="4153"/>
                      <w:tab w:val="right" w:pos="8306"/>
                    </w:tabs>
                    <w:rPr>
                      <w:sz w:val="28"/>
                      <w:szCs w:val="28"/>
                    </w:rPr>
                  </w:pPr>
                  <w:r w:rsidRPr="004404F0">
                    <w:rPr>
                      <w:sz w:val="28"/>
                      <w:szCs w:val="28"/>
                    </w:rPr>
                    <w:t xml:space="preserve">KOPĀ, </w:t>
                  </w:r>
                  <w:r w:rsidRPr="00E4698F">
                    <w:rPr>
                      <w:i/>
                      <w:sz w:val="28"/>
                      <w:szCs w:val="28"/>
                    </w:rPr>
                    <w:t>euro</w:t>
                  </w:r>
                  <w:r w:rsidRPr="004404F0">
                    <w:rPr>
                      <w:sz w:val="28"/>
                      <w:szCs w:val="28"/>
                    </w:rPr>
                    <w:t>:</w:t>
                  </w:r>
                </w:p>
              </w:tc>
              <w:tc>
                <w:tcPr>
                  <w:tcW w:w="2156" w:type="dxa"/>
                </w:tcPr>
                <w:p w:rsidR="00807762" w:rsidRPr="004404F0" w:rsidRDefault="00807762" w:rsidP="00CF5CA2">
                  <w:pPr>
                    <w:tabs>
                      <w:tab w:val="center" w:pos="4153"/>
                      <w:tab w:val="right" w:pos="8306"/>
                    </w:tabs>
                    <w:jc w:val="center"/>
                    <w:rPr>
                      <w:sz w:val="28"/>
                      <w:szCs w:val="28"/>
                    </w:rPr>
                  </w:pPr>
                  <w:r>
                    <w:rPr>
                      <w:sz w:val="28"/>
                      <w:szCs w:val="28"/>
                    </w:rPr>
                    <w:t>2 920 746</w:t>
                  </w:r>
                  <w:r w:rsidRPr="004404F0">
                    <w:rPr>
                      <w:sz w:val="28"/>
                      <w:szCs w:val="28"/>
                    </w:rPr>
                    <w:t xml:space="preserve"> </w:t>
                  </w:r>
                  <w:r w:rsidRPr="00E4698F">
                    <w:rPr>
                      <w:i/>
                      <w:sz w:val="28"/>
                      <w:szCs w:val="28"/>
                    </w:rPr>
                    <w:t>euro</w:t>
                  </w:r>
                </w:p>
              </w:tc>
            </w:tr>
          </w:tbl>
          <w:p w:rsidR="00807762" w:rsidRDefault="00807762" w:rsidP="00807762">
            <w:pPr>
              <w:pStyle w:val="Sarakstarindkopa"/>
              <w:ind w:left="250"/>
              <w:jc w:val="both"/>
              <w:rPr>
                <w:szCs w:val="28"/>
              </w:rPr>
            </w:pPr>
          </w:p>
          <w:p w:rsidR="00E4698F" w:rsidRPr="00807762" w:rsidRDefault="00807762" w:rsidP="00807762">
            <w:pPr>
              <w:jc w:val="both"/>
              <w:rPr>
                <w:sz w:val="28"/>
                <w:szCs w:val="28"/>
              </w:rPr>
            </w:pPr>
            <w:r w:rsidRPr="00807762">
              <w:rPr>
                <w:sz w:val="28"/>
                <w:szCs w:val="28"/>
              </w:rPr>
              <w:t>21.00.00 „Kultūras mantojums” 498 732 </w:t>
            </w:r>
            <w:r w:rsidRPr="00807762">
              <w:rPr>
                <w:i/>
                <w:sz w:val="28"/>
                <w:szCs w:val="28"/>
              </w:rPr>
              <w:t>euro</w:t>
            </w:r>
            <w:r w:rsidRPr="00807762">
              <w:rPr>
                <w:sz w:val="28"/>
                <w:szCs w:val="28"/>
              </w:rPr>
              <w:t xml:space="preserve"> apmērā Kultūras pieminekļu izpētes, konservācijas un restaurācijas programmas ietvaros pārskaitītu 298 732 </w:t>
            </w:r>
            <w:r w:rsidRPr="00807762">
              <w:rPr>
                <w:i/>
                <w:sz w:val="28"/>
                <w:szCs w:val="28"/>
              </w:rPr>
              <w:t>euro</w:t>
            </w:r>
            <w:r w:rsidRPr="00807762">
              <w:rPr>
                <w:sz w:val="28"/>
                <w:szCs w:val="28"/>
              </w:rPr>
              <w:t xml:space="preserve"> sabiedrībai ar ierobežotu atbildību „Rīgas Doma pārvaldes Rīgas Doma ērģeļu prospekta restaurācijas neatliekamo darbu veikšanai un 200 000 </w:t>
            </w:r>
            <w:r w:rsidRPr="00807762">
              <w:rPr>
                <w:i/>
                <w:sz w:val="28"/>
                <w:szCs w:val="28"/>
              </w:rPr>
              <w:t>euro</w:t>
            </w:r>
            <w:r w:rsidRPr="00807762">
              <w:rPr>
                <w:sz w:val="28"/>
                <w:szCs w:val="28"/>
              </w:rPr>
              <w:t xml:space="preserve"> Rīgas Metropolijas Romas katoļu kūrijai Rīgas Svētā Jēkaba katedrāles jumta seguma atjaunošanas darbu veikšanai.</w:t>
            </w:r>
          </w:p>
        </w:tc>
      </w:tr>
    </w:tbl>
    <w:p w:rsidR="00E4698F" w:rsidRDefault="00E4698F" w:rsidP="004F5331">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27"/>
      </w:tblGrid>
      <w:tr w:rsidR="00E4698F" w:rsidRPr="00A72572" w:rsidTr="00E4698F">
        <w:trPr>
          <w:trHeight w:val="381"/>
          <w:jc w:val="center"/>
        </w:trPr>
        <w:tc>
          <w:tcPr>
            <w:tcW w:w="5000" w:type="pct"/>
            <w:vAlign w:val="center"/>
          </w:tcPr>
          <w:p w:rsidR="00E4698F" w:rsidRPr="00A72572" w:rsidRDefault="00E4698F" w:rsidP="00760AA9">
            <w:pPr>
              <w:spacing w:before="100" w:beforeAutospacing="1" w:after="100" w:afterAutospacing="1" w:line="293" w:lineRule="atLeast"/>
              <w:jc w:val="center"/>
              <w:rPr>
                <w:b/>
                <w:bCs/>
                <w:sz w:val="28"/>
                <w:szCs w:val="28"/>
              </w:rPr>
            </w:pPr>
            <w:r w:rsidRPr="00A72572">
              <w:rPr>
                <w:b/>
                <w:bCs/>
                <w:sz w:val="28"/>
                <w:szCs w:val="28"/>
              </w:rPr>
              <w:t>IV. Tiesību akta projekta ietekme uz spēkā esošo tiesību normu sistēmu</w:t>
            </w:r>
          </w:p>
        </w:tc>
      </w:tr>
      <w:tr w:rsidR="00E4698F" w:rsidRPr="00A72572" w:rsidTr="00E4698F">
        <w:trPr>
          <w:trHeight w:val="381"/>
          <w:jc w:val="center"/>
        </w:trPr>
        <w:tc>
          <w:tcPr>
            <w:tcW w:w="5000" w:type="pct"/>
            <w:vAlign w:val="center"/>
          </w:tcPr>
          <w:p w:rsidR="00E4698F" w:rsidRPr="00A72572" w:rsidRDefault="00E4698F" w:rsidP="00760AA9">
            <w:pPr>
              <w:spacing w:before="100" w:beforeAutospacing="1" w:after="100" w:afterAutospacing="1" w:line="293" w:lineRule="atLeast"/>
              <w:jc w:val="center"/>
              <w:rPr>
                <w:sz w:val="28"/>
                <w:szCs w:val="28"/>
              </w:rPr>
            </w:pPr>
            <w:r>
              <w:rPr>
                <w:sz w:val="28"/>
                <w:szCs w:val="28"/>
              </w:rPr>
              <w:t>P</w:t>
            </w:r>
            <w:r w:rsidRPr="00A72572">
              <w:rPr>
                <w:sz w:val="28"/>
                <w:szCs w:val="28"/>
              </w:rPr>
              <w:t>rojekts šo jomu neskar.</w:t>
            </w:r>
          </w:p>
        </w:tc>
      </w:tr>
    </w:tbl>
    <w:p w:rsidR="00E4698F" w:rsidRDefault="00E4698F" w:rsidP="004F5331">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27"/>
      </w:tblGrid>
      <w:tr w:rsidR="00E4698F" w:rsidRPr="00A72572" w:rsidTr="00E4698F">
        <w:trPr>
          <w:trHeight w:val="381"/>
          <w:jc w:val="center"/>
        </w:trPr>
        <w:tc>
          <w:tcPr>
            <w:tcW w:w="5000" w:type="pct"/>
            <w:vAlign w:val="center"/>
          </w:tcPr>
          <w:p w:rsidR="00E4698F" w:rsidRPr="00A72572" w:rsidRDefault="00E4698F" w:rsidP="00760AA9">
            <w:pPr>
              <w:spacing w:before="100" w:beforeAutospacing="1" w:after="100" w:afterAutospacing="1" w:line="293" w:lineRule="atLeast"/>
              <w:jc w:val="center"/>
              <w:rPr>
                <w:b/>
                <w:bCs/>
                <w:sz w:val="28"/>
                <w:szCs w:val="28"/>
              </w:rPr>
            </w:pPr>
            <w:r w:rsidRPr="00A72572">
              <w:rPr>
                <w:b/>
                <w:bCs/>
                <w:sz w:val="28"/>
                <w:szCs w:val="28"/>
              </w:rPr>
              <w:t>V. Tiesību akta projekta atbilstība Latvijas Republikas starptautiskajām saistībām</w:t>
            </w:r>
          </w:p>
        </w:tc>
      </w:tr>
      <w:tr w:rsidR="00E4698F" w:rsidRPr="00A72572" w:rsidTr="00E4698F">
        <w:trPr>
          <w:trHeight w:val="381"/>
          <w:jc w:val="center"/>
        </w:trPr>
        <w:tc>
          <w:tcPr>
            <w:tcW w:w="5000" w:type="pct"/>
            <w:vAlign w:val="center"/>
          </w:tcPr>
          <w:p w:rsidR="00E4698F" w:rsidRPr="00A72572" w:rsidRDefault="00E4698F" w:rsidP="00760AA9">
            <w:pPr>
              <w:spacing w:before="100" w:beforeAutospacing="1" w:after="100" w:afterAutospacing="1" w:line="293" w:lineRule="atLeast"/>
              <w:jc w:val="center"/>
              <w:rPr>
                <w:sz w:val="28"/>
                <w:szCs w:val="28"/>
              </w:rPr>
            </w:pPr>
            <w:r>
              <w:rPr>
                <w:sz w:val="28"/>
                <w:szCs w:val="28"/>
              </w:rPr>
              <w:t>P</w:t>
            </w:r>
            <w:r w:rsidRPr="00A72572">
              <w:rPr>
                <w:sz w:val="28"/>
                <w:szCs w:val="28"/>
              </w:rPr>
              <w:t>rojekts šo jomu neskar.</w:t>
            </w:r>
          </w:p>
        </w:tc>
      </w:tr>
    </w:tbl>
    <w:p w:rsidR="00E4698F" w:rsidRDefault="00E4698F" w:rsidP="004F5331">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27"/>
      </w:tblGrid>
      <w:tr w:rsidR="00E4698F" w:rsidRPr="00A72572" w:rsidTr="00E4698F">
        <w:trPr>
          <w:trHeight w:val="381"/>
          <w:jc w:val="center"/>
        </w:trPr>
        <w:tc>
          <w:tcPr>
            <w:tcW w:w="5000" w:type="pct"/>
            <w:vAlign w:val="center"/>
          </w:tcPr>
          <w:p w:rsidR="00E4698F" w:rsidRPr="00A72572" w:rsidRDefault="00E4698F" w:rsidP="00760AA9">
            <w:pPr>
              <w:ind w:firstLine="300"/>
              <w:jc w:val="center"/>
              <w:rPr>
                <w:b/>
                <w:bCs/>
                <w:sz w:val="28"/>
                <w:szCs w:val="28"/>
              </w:rPr>
            </w:pPr>
            <w:r w:rsidRPr="00A72572">
              <w:rPr>
                <w:b/>
                <w:bCs/>
                <w:sz w:val="28"/>
                <w:szCs w:val="28"/>
              </w:rPr>
              <w:t>VI. Sabiedrības līdzdalība un komunikācijas aktivitātes</w:t>
            </w:r>
          </w:p>
        </w:tc>
      </w:tr>
      <w:tr w:rsidR="00E4698F" w:rsidRPr="00A72572" w:rsidTr="00E4698F">
        <w:trPr>
          <w:trHeight w:val="381"/>
          <w:jc w:val="center"/>
        </w:trPr>
        <w:tc>
          <w:tcPr>
            <w:tcW w:w="5000" w:type="pct"/>
          </w:tcPr>
          <w:p w:rsidR="00E4698F" w:rsidRPr="00A72572" w:rsidRDefault="00E4698F" w:rsidP="00760AA9">
            <w:pPr>
              <w:jc w:val="center"/>
              <w:rPr>
                <w:sz w:val="28"/>
                <w:szCs w:val="28"/>
              </w:rPr>
            </w:pPr>
            <w:r>
              <w:rPr>
                <w:sz w:val="28"/>
                <w:szCs w:val="28"/>
              </w:rPr>
              <w:t>P</w:t>
            </w:r>
            <w:r w:rsidRPr="00A72572">
              <w:rPr>
                <w:sz w:val="28"/>
                <w:szCs w:val="28"/>
              </w:rPr>
              <w:t>rojekts šo jomu neskar.</w:t>
            </w:r>
          </w:p>
        </w:tc>
      </w:tr>
    </w:tbl>
    <w:p w:rsidR="00E4698F" w:rsidRDefault="00E4698F" w:rsidP="004F5331">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685"/>
        <w:gridCol w:w="4987"/>
      </w:tblGrid>
      <w:tr w:rsidR="00E4698F" w:rsidRPr="00A72572" w:rsidTr="00E4698F">
        <w:trPr>
          <w:trHeight w:val="381"/>
          <w:jc w:val="center"/>
        </w:trPr>
        <w:tc>
          <w:tcPr>
            <w:tcW w:w="5000" w:type="pct"/>
            <w:gridSpan w:val="3"/>
            <w:vAlign w:val="center"/>
          </w:tcPr>
          <w:p w:rsidR="00E4698F" w:rsidRPr="00A72572" w:rsidRDefault="00E4698F" w:rsidP="00760AA9">
            <w:pPr>
              <w:pStyle w:val="naisnod"/>
              <w:spacing w:before="0" w:beforeAutospacing="0" w:after="0" w:afterAutospacing="0"/>
              <w:ind w:left="57" w:right="57"/>
              <w:jc w:val="center"/>
              <w:rPr>
                <w:sz w:val="28"/>
                <w:szCs w:val="28"/>
              </w:rPr>
            </w:pPr>
            <w:r w:rsidRPr="00A72572">
              <w:rPr>
                <w:b/>
                <w:sz w:val="28"/>
                <w:szCs w:val="28"/>
              </w:rPr>
              <w:t>VII. Tiesību akta projekta izpildes nodrošināšana un tās ietekme uz institūcijām</w:t>
            </w:r>
          </w:p>
        </w:tc>
      </w:tr>
      <w:tr w:rsidR="00E4698F" w:rsidRPr="00A72572" w:rsidTr="00E4698F">
        <w:trPr>
          <w:trHeight w:val="427"/>
          <w:jc w:val="center"/>
        </w:trPr>
        <w:tc>
          <w:tcPr>
            <w:tcW w:w="249" w:type="pct"/>
          </w:tcPr>
          <w:p w:rsidR="00E4698F" w:rsidRPr="00A72572" w:rsidRDefault="00E4698F" w:rsidP="00760AA9">
            <w:pPr>
              <w:pStyle w:val="naisnod"/>
              <w:spacing w:before="0" w:beforeAutospacing="0" w:after="0" w:afterAutospacing="0"/>
              <w:ind w:left="57" w:right="57"/>
              <w:rPr>
                <w:sz w:val="28"/>
                <w:szCs w:val="28"/>
              </w:rPr>
            </w:pPr>
            <w:r w:rsidRPr="00A72572">
              <w:rPr>
                <w:sz w:val="28"/>
                <w:szCs w:val="28"/>
              </w:rPr>
              <w:t>1.</w:t>
            </w:r>
          </w:p>
        </w:tc>
        <w:tc>
          <w:tcPr>
            <w:tcW w:w="2019" w:type="pct"/>
          </w:tcPr>
          <w:p w:rsidR="00E4698F" w:rsidRPr="00A72572" w:rsidRDefault="00E4698F" w:rsidP="00760AA9">
            <w:pPr>
              <w:pStyle w:val="naisf"/>
              <w:spacing w:before="0" w:after="0"/>
              <w:ind w:left="57" w:right="57" w:firstLine="0"/>
              <w:rPr>
                <w:sz w:val="28"/>
                <w:szCs w:val="28"/>
              </w:rPr>
            </w:pPr>
            <w:r w:rsidRPr="00A72572">
              <w:rPr>
                <w:sz w:val="28"/>
                <w:szCs w:val="28"/>
              </w:rPr>
              <w:t>Projekta izpildē iesaistītās institūcijas</w:t>
            </w:r>
          </w:p>
        </w:tc>
        <w:tc>
          <w:tcPr>
            <w:tcW w:w="2733" w:type="pct"/>
          </w:tcPr>
          <w:p w:rsidR="00E4698F" w:rsidRPr="00A72572" w:rsidRDefault="00E4698F" w:rsidP="00760AA9">
            <w:pPr>
              <w:shd w:val="clear" w:color="auto" w:fill="FFFFFF"/>
              <w:jc w:val="both"/>
              <w:rPr>
                <w:sz w:val="28"/>
                <w:szCs w:val="28"/>
              </w:rPr>
            </w:pPr>
            <w:r>
              <w:rPr>
                <w:sz w:val="28"/>
                <w:szCs w:val="28"/>
              </w:rPr>
              <w:t>Projekta</w:t>
            </w:r>
            <w:r w:rsidRPr="00A72572">
              <w:rPr>
                <w:sz w:val="28"/>
                <w:szCs w:val="28"/>
              </w:rPr>
              <w:t xml:space="preserve"> izpildi nodrošinās </w:t>
            </w:r>
            <w:r>
              <w:rPr>
                <w:sz w:val="28"/>
                <w:szCs w:val="28"/>
              </w:rPr>
              <w:t>Kultūras</w:t>
            </w:r>
            <w:r w:rsidRPr="00A72572">
              <w:rPr>
                <w:sz w:val="28"/>
                <w:szCs w:val="28"/>
              </w:rPr>
              <w:t xml:space="preserve"> ministrija,</w:t>
            </w:r>
            <w:r w:rsidR="00760AA9">
              <w:rPr>
                <w:sz w:val="28"/>
                <w:szCs w:val="28"/>
              </w:rPr>
              <w:t xml:space="preserve"> Valsts k</w:t>
            </w:r>
            <w:r>
              <w:rPr>
                <w:sz w:val="28"/>
                <w:szCs w:val="28"/>
              </w:rPr>
              <w:t>ultūras pieminekļu aizsardzības inspekcija</w:t>
            </w:r>
            <w:r w:rsidR="00760AA9">
              <w:rPr>
                <w:sz w:val="28"/>
                <w:szCs w:val="28"/>
              </w:rPr>
              <w:t xml:space="preserve">, PIKC – </w:t>
            </w:r>
            <w:r w:rsidRPr="00CD0472">
              <w:rPr>
                <w:sz w:val="28"/>
                <w:szCs w:val="28"/>
              </w:rPr>
              <w:t>Nacionā</w:t>
            </w:r>
            <w:r w:rsidR="00760AA9">
              <w:rPr>
                <w:sz w:val="28"/>
                <w:szCs w:val="28"/>
              </w:rPr>
              <w:t>lā mākslu vidusskola, Liepājas M</w:t>
            </w:r>
            <w:r w:rsidRPr="00CD0472">
              <w:rPr>
                <w:sz w:val="28"/>
                <w:szCs w:val="28"/>
              </w:rPr>
              <w:t>ūzikas, mākslas un</w:t>
            </w:r>
            <w:r w:rsidR="00760AA9">
              <w:rPr>
                <w:sz w:val="28"/>
                <w:szCs w:val="28"/>
              </w:rPr>
              <w:t xml:space="preserve"> dizaina vidusskola, Ventspils M</w:t>
            </w:r>
            <w:r w:rsidRPr="00CD0472">
              <w:rPr>
                <w:sz w:val="28"/>
                <w:szCs w:val="28"/>
              </w:rPr>
              <w:t>ūzikas skola, Rīgas Dizaina un mākslas vidusskola.</w:t>
            </w:r>
          </w:p>
        </w:tc>
      </w:tr>
      <w:tr w:rsidR="00E4698F" w:rsidRPr="00A72572" w:rsidTr="00E4698F">
        <w:trPr>
          <w:trHeight w:val="463"/>
          <w:jc w:val="center"/>
        </w:trPr>
        <w:tc>
          <w:tcPr>
            <w:tcW w:w="249" w:type="pct"/>
          </w:tcPr>
          <w:p w:rsidR="00E4698F" w:rsidRPr="00A72572" w:rsidRDefault="00E4698F" w:rsidP="00760AA9">
            <w:pPr>
              <w:pStyle w:val="naisnod"/>
              <w:spacing w:before="0" w:beforeAutospacing="0" w:after="0" w:afterAutospacing="0"/>
              <w:ind w:left="57" w:right="57"/>
              <w:rPr>
                <w:sz w:val="28"/>
                <w:szCs w:val="28"/>
              </w:rPr>
            </w:pPr>
            <w:r w:rsidRPr="00A72572">
              <w:rPr>
                <w:sz w:val="28"/>
                <w:szCs w:val="28"/>
              </w:rPr>
              <w:t>2.</w:t>
            </w:r>
          </w:p>
        </w:tc>
        <w:tc>
          <w:tcPr>
            <w:tcW w:w="2019" w:type="pct"/>
          </w:tcPr>
          <w:p w:rsidR="00E4698F" w:rsidRPr="00A72572" w:rsidRDefault="00E4698F" w:rsidP="00760AA9">
            <w:pPr>
              <w:pStyle w:val="naisf"/>
              <w:spacing w:before="0" w:after="0"/>
              <w:ind w:left="57" w:right="57" w:firstLine="0"/>
              <w:rPr>
                <w:sz w:val="28"/>
                <w:szCs w:val="28"/>
              </w:rPr>
            </w:pPr>
            <w:r w:rsidRPr="00A72572">
              <w:rPr>
                <w:sz w:val="28"/>
                <w:szCs w:val="28"/>
              </w:rPr>
              <w:t>Projekta izpildes ietekme uz pār</w:t>
            </w:r>
            <w:r w:rsidRPr="00A72572">
              <w:rPr>
                <w:sz w:val="28"/>
                <w:szCs w:val="28"/>
              </w:rPr>
              <w:softHyphen/>
              <w:t>valdes funkcijām un institucionālo struktūru.</w:t>
            </w:r>
          </w:p>
          <w:p w:rsidR="00E4698F" w:rsidRPr="00A72572" w:rsidRDefault="00E4698F" w:rsidP="00760AA9">
            <w:pPr>
              <w:pStyle w:val="naisf"/>
              <w:spacing w:before="0" w:after="0"/>
              <w:ind w:left="57" w:right="57" w:firstLine="0"/>
              <w:rPr>
                <w:sz w:val="28"/>
                <w:szCs w:val="28"/>
              </w:rPr>
            </w:pPr>
            <w:r w:rsidRPr="00A72572">
              <w:rPr>
                <w:sz w:val="28"/>
                <w:szCs w:val="28"/>
              </w:rPr>
              <w:t xml:space="preserve">Jaunu institūciju izveide, esošu institūciju likvidācija vai </w:t>
            </w:r>
            <w:r w:rsidRPr="00A72572">
              <w:rPr>
                <w:sz w:val="28"/>
                <w:szCs w:val="28"/>
              </w:rPr>
              <w:lastRenderedPageBreak/>
              <w:t>reorga</w:t>
            </w:r>
            <w:r w:rsidRPr="00A72572">
              <w:rPr>
                <w:sz w:val="28"/>
                <w:szCs w:val="28"/>
              </w:rPr>
              <w:softHyphen/>
              <w:t>nizācija, to ietekme uz institūcijas cilvēkresursiem</w:t>
            </w:r>
          </w:p>
        </w:tc>
        <w:tc>
          <w:tcPr>
            <w:tcW w:w="2733" w:type="pct"/>
          </w:tcPr>
          <w:p w:rsidR="00E4698F" w:rsidRPr="00A72572" w:rsidRDefault="00E4698F" w:rsidP="00760AA9">
            <w:pPr>
              <w:shd w:val="clear" w:color="auto" w:fill="FFFFFF"/>
              <w:rPr>
                <w:sz w:val="28"/>
                <w:szCs w:val="28"/>
              </w:rPr>
            </w:pPr>
            <w:r w:rsidRPr="00A72572">
              <w:rPr>
                <w:sz w:val="28"/>
                <w:szCs w:val="28"/>
              </w:rPr>
              <w:lastRenderedPageBreak/>
              <w:t>Projekts šo jomu neskar.</w:t>
            </w:r>
          </w:p>
        </w:tc>
      </w:tr>
      <w:tr w:rsidR="00E4698F" w:rsidRPr="00A72572" w:rsidTr="00E4698F">
        <w:trPr>
          <w:trHeight w:val="402"/>
          <w:jc w:val="center"/>
        </w:trPr>
        <w:tc>
          <w:tcPr>
            <w:tcW w:w="249" w:type="pct"/>
            <w:tcBorders>
              <w:top w:val="single" w:sz="4" w:space="0" w:color="auto"/>
              <w:left w:val="single" w:sz="4" w:space="0" w:color="auto"/>
              <w:bottom w:val="single" w:sz="4" w:space="0" w:color="auto"/>
              <w:right w:val="single" w:sz="4" w:space="0" w:color="auto"/>
            </w:tcBorders>
          </w:tcPr>
          <w:p w:rsidR="00E4698F" w:rsidRPr="00A72572" w:rsidRDefault="00E4698F" w:rsidP="00760AA9">
            <w:pPr>
              <w:pStyle w:val="naisnod"/>
              <w:spacing w:before="0" w:beforeAutospacing="0" w:after="0" w:afterAutospacing="0"/>
              <w:ind w:left="57" w:right="57"/>
              <w:rPr>
                <w:sz w:val="28"/>
                <w:szCs w:val="28"/>
              </w:rPr>
            </w:pPr>
            <w:r w:rsidRPr="00A72572">
              <w:rPr>
                <w:sz w:val="28"/>
                <w:szCs w:val="28"/>
              </w:rPr>
              <w:lastRenderedPageBreak/>
              <w:t>3.</w:t>
            </w:r>
          </w:p>
        </w:tc>
        <w:tc>
          <w:tcPr>
            <w:tcW w:w="2019" w:type="pct"/>
            <w:tcBorders>
              <w:top w:val="single" w:sz="4" w:space="0" w:color="auto"/>
              <w:left w:val="single" w:sz="4" w:space="0" w:color="auto"/>
              <w:bottom w:val="single" w:sz="4" w:space="0" w:color="auto"/>
              <w:right w:val="single" w:sz="4" w:space="0" w:color="auto"/>
            </w:tcBorders>
          </w:tcPr>
          <w:p w:rsidR="00E4698F" w:rsidRPr="00A72572" w:rsidRDefault="00E4698F" w:rsidP="00E4698F">
            <w:pPr>
              <w:pStyle w:val="naisf"/>
              <w:spacing w:before="0" w:after="0"/>
              <w:ind w:right="57" w:firstLine="0"/>
              <w:rPr>
                <w:sz w:val="28"/>
                <w:szCs w:val="28"/>
              </w:rPr>
            </w:pPr>
            <w:r w:rsidRPr="00A72572">
              <w:rPr>
                <w:sz w:val="28"/>
                <w:szCs w:val="28"/>
              </w:rPr>
              <w:t>Cita informācija</w:t>
            </w:r>
          </w:p>
        </w:tc>
        <w:tc>
          <w:tcPr>
            <w:tcW w:w="2733" w:type="pct"/>
            <w:tcBorders>
              <w:top w:val="single" w:sz="4" w:space="0" w:color="auto"/>
              <w:left w:val="single" w:sz="4" w:space="0" w:color="auto"/>
              <w:bottom w:val="single" w:sz="4" w:space="0" w:color="auto"/>
              <w:right w:val="single" w:sz="4" w:space="0" w:color="auto"/>
            </w:tcBorders>
          </w:tcPr>
          <w:p w:rsidR="00E4698F" w:rsidRPr="00A72572" w:rsidRDefault="00E4698F" w:rsidP="00760AA9">
            <w:pPr>
              <w:ind w:left="57" w:right="57"/>
              <w:rPr>
                <w:sz w:val="28"/>
                <w:szCs w:val="28"/>
              </w:rPr>
            </w:pPr>
            <w:r w:rsidRPr="00A72572">
              <w:rPr>
                <w:sz w:val="28"/>
                <w:szCs w:val="28"/>
              </w:rPr>
              <w:t>Nav</w:t>
            </w:r>
          </w:p>
        </w:tc>
      </w:tr>
    </w:tbl>
    <w:p w:rsidR="00E4698F" w:rsidRDefault="00E4698F" w:rsidP="004F5331">
      <w:pPr>
        <w:rPr>
          <w:sz w:val="28"/>
          <w:szCs w:val="28"/>
        </w:rPr>
      </w:pPr>
    </w:p>
    <w:p w:rsidR="00385BC0" w:rsidRPr="00A72572" w:rsidRDefault="00385BC0" w:rsidP="004F5331">
      <w:pPr>
        <w:rPr>
          <w:vanish/>
          <w:sz w:val="28"/>
          <w:szCs w:val="28"/>
        </w:rPr>
      </w:pPr>
    </w:p>
    <w:p w:rsidR="00134076" w:rsidRPr="00A72572" w:rsidRDefault="00134076" w:rsidP="0021468A">
      <w:pPr>
        <w:pStyle w:val="naisf"/>
        <w:spacing w:before="0" w:after="0"/>
        <w:ind w:firstLine="0"/>
        <w:rPr>
          <w:sz w:val="28"/>
          <w:szCs w:val="28"/>
        </w:rPr>
      </w:pPr>
    </w:p>
    <w:p w:rsidR="00FE262A" w:rsidRDefault="00FE262A" w:rsidP="00FE262A">
      <w:pPr>
        <w:ind w:left="284"/>
        <w:jc w:val="both"/>
        <w:rPr>
          <w:sz w:val="28"/>
          <w:szCs w:val="28"/>
        </w:rPr>
      </w:pPr>
      <w:r>
        <w:rPr>
          <w:sz w:val="28"/>
          <w:szCs w:val="28"/>
        </w:rPr>
        <w:t>Kultūras ministre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Pr>
          <w:sz w:val="28"/>
          <w:szCs w:val="28"/>
        </w:rPr>
        <w:tab/>
        <w:t>D.Melbārde</w:t>
      </w:r>
    </w:p>
    <w:p w:rsidR="00E4698F" w:rsidRDefault="00E4698F" w:rsidP="00FE262A">
      <w:pPr>
        <w:tabs>
          <w:tab w:val="left" w:pos="6804"/>
        </w:tabs>
        <w:ind w:left="284"/>
        <w:jc w:val="both"/>
        <w:rPr>
          <w:sz w:val="28"/>
          <w:szCs w:val="28"/>
        </w:rPr>
      </w:pPr>
    </w:p>
    <w:p w:rsidR="00FE262A" w:rsidRPr="006126B1" w:rsidRDefault="00FE262A" w:rsidP="00FE262A">
      <w:pPr>
        <w:ind w:left="284"/>
        <w:rPr>
          <w:sz w:val="28"/>
          <w:szCs w:val="28"/>
        </w:rPr>
      </w:pPr>
      <w:r w:rsidRPr="006126B1">
        <w:rPr>
          <w:sz w:val="28"/>
          <w:szCs w:val="28"/>
        </w:rPr>
        <w:t>Vīza: Valsts sekretār</w:t>
      </w:r>
      <w:r>
        <w:rPr>
          <w:sz w:val="28"/>
          <w:szCs w:val="28"/>
        </w:rPr>
        <w:t>s</w:t>
      </w:r>
      <w:r>
        <w:rPr>
          <w:sz w:val="28"/>
          <w:szCs w:val="28"/>
        </w:rPr>
        <w:tab/>
      </w:r>
      <w:r>
        <w:rPr>
          <w:sz w:val="28"/>
          <w:szCs w:val="28"/>
        </w:rPr>
        <w:tab/>
      </w:r>
      <w:r w:rsidRPr="006126B1">
        <w:rPr>
          <w:sz w:val="28"/>
          <w:szCs w:val="28"/>
        </w:rPr>
        <w:tab/>
      </w:r>
      <w:r w:rsidRPr="006126B1">
        <w:rPr>
          <w:sz w:val="28"/>
          <w:szCs w:val="28"/>
        </w:rPr>
        <w:tab/>
      </w:r>
      <w:r w:rsidRPr="006126B1">
        <w:rPr>
          <w:sz w:val="28"/>
          <w:szCs w:val="28"/>
        </w:rPr>
        <w:tab/>
      </w:r>
      <w:r w:rsidRPr="006126B1">
        <w:rPr>
          <w:sz w:val="28"/>
          <w:szCs w:val="28"/>
        </w:rPr>
        <w:tab/>
      </w:r>
      <w:r>
        <w:rPr>
          <w:sz w:val="28"/>
          <w:szCs w:val="28"/>
        </w:rPr>
        <w:tab/>
        <w:t>S.Voldiņš</w:t>
      </w:r>
    </w:p>
    <w:p w:rsidR="00E4698F" w:rsidRDefault="00E4698F" w:rsidP="00FE262A">
      <w:pPr>
        <w:pStyle w:val="Galvene"/>
        <w:rPr>
          <w:sz w:val="20"/>
          <w:szCs w:val="20"/>
        </w:rPr>
      </w:pPr>
    </w:p>
    <w:p w:rsidR="00E4698F" w:rsidRDefault="00E4698F" w:rsidP="00FE262A">
      <w:pPr>
        <w:pStyle w:val="Galvene"/>
        <w:rPr>
          <w:sz w:val="20"/>
          <w:szCs w:val="20"/>
        </w:rPr>
      </w:pPr>
    </w:p>
    <w:p w:rsidR="00385BC0" w:rsidRDefault="00385BC0" w:rsidP="00FE262A">
      <w:pPr>
        <w:pStyle w:val="Galvene"/>
        <w:rPr>
          <w:sz w:val="20"/>
          <w:szCs w:val="20"/>
        </w:rPr>
      </w:pPr>
    </w:p>
    <w:p w:rsidR="00385BC0" w:rsidRDefault="00385BC0" w:rsidP="00FE262A">
      <w:pPr>
        <w:pStyle w:val="Galvene"/>
        <w:rPr>
          <w:sz w:val="20"/>
          <w:szCs w:val="20"/>
        </w:rPr>
      </w:pPr>
    </w:p>
    <w:p w:rsidR="00385BC0" w:rsidRDefault="00385BC0" w:rsidP="00FE262A">
      <w:pPr>
        <w:pStyle w:val="Galvene"/>
        <w:rPr>
          <w:sz w:val="20"/>
          <w:szCs w:val="20"/>
        </w:rPr>
      </w:pPr>
    </w:p>
    <w:p w:rsidR="00385BC0" w:rsidRDefault="00385BC0" w:rsidP="00FE262A">
      <w:pPr>
        <w:pStyle w:val="Galvene"/>
        <w:rPr>
          <w:sz w:val="20"/>
          <w:szCs w:val="20"/>
        </w:rPr>
      </w:pPr>
    </w:p>
    <w:p w:rsidR="00385BC0" w:rsidRDefault="00385BC0" w:rsidP="00FE262A">
      <w:pPr>
        <w:pStyle w:val="Galvene"/>
        <w:rPr>
          <w:sz w:val="20"/>
          <w:szCs w:val="20"/>
        </w:rPr>
      </w:pPr>
    </w:p>
    <w:p w:rsidR="00A60424" w:rsidRDefault="00A60424" w:rsidP="00FE262A">
      <w:pPr>
        <w:pStyle w:val="Galvene"/>
        <w:rPr>
          <w:sz w:val="20"/>
          <w:szCs w:val="20"/>
        </w:rPr>
      </w:pPr>
    </w:p>
    <w:p w:rsidR="00A60424" w:rsidRDefault="00A60424" w:rsidP="00FE262A">
      <w:pPr>
        <w:pStyle w:val="Galvene"/>
        <w:rPr>
          <w:sz w:val="20"/>
          <w:szCs w:val="20"/>
        </w:rPr>
      </w:pPr>
    </w:p>
    <w:p w:rsidR="00385BC0" w:rsidRDefault="00385BC0" w:rsidP="00FE262A">
      <w:pPr>
        <w:pStyle w:val="Galvene"/>
        <w:rPr>
          <w:sz w:val="20"/>
          <w:szCs w:val="20"/>
        </w:rPr>
      </w:pPr>
    </w:p>
    <w:p w:rsidR="00A60424" w:rsidRDefault="00A60424" w:rsidP="00FE262A">
      <w:pPr>
        <w:pStyle w:val="Galvene"/>
        <w:rPr>
          <w:sz w:val="20"/>
          <w:szCs w:val="20"/>
        </w:rPr>
      </w:pPr>
    </w:p>
    <w:p w:rsidR="00385BC0" w:rsidRDefault="00385BC0" w:rsidP="00FE262A">
      <w:pPr>
        <w:pStyle w:val="Galvene"/>
        <w:rPr>
          <w:sz w:val="20"/>
          <w:szCs w:val="20"/>
        </w:rPr>
      </w:pPr>
    </w:p>
    <w:p w:rsidR="00E4698F" w:rsidRDefault="00E4698F" w:rsidP="00FE262A">
      <w:pPr>
        <w:pStyle w:val="Galvene"/>
        <w:rPr>
          <w:sz w:val="20"/>
          <w:szCs w:val="20"/>
        </w:rPr>
      </w:pPr>
    </w:p>
    <w:p w:rsidR="00FE262A" w:rsidRPr="001767B5" w:rsidRDefault="00E4698F" w:rsidP="00FE262A">
      <w:pPr>
        <w:pStyle w:val="Galvene"/>
        <w:rPr>
          <w:sz w:val="20"/>
          <w:szCs w:val="20"/>
        </w:rPr>
      </w:pPr>
      <w:r>
        <w:rPr>
          <w:sz w:val="20"/>
          <w:szCs w:val="20"/>
        </w:rPr>
        <w:t>Z</w:t>
      </w:r>
      <w:r w:rsidR="00FE262A" w:rsidRPr="001767B5">
        <w:rPr>
          <w:sz w:val="20"/>
          <w:szCs w:val="20"/>
        </w:rPr>
        <w:t xml:space="preserve">akevica </w:t>
      </w:r>
      <w:bookmarkStart w:id="4" w:name="OLE_LINK38"/>
      <w:bookmarkStart w:id="5" w:name="OLE_LINK39"/>
      <w:r w:rsidR="00BF52FC">
        <w:fldChar w:fldCharType="begin"/>
      </w:r>
      <w:r w:rsidR="00037058">
        <w:instrText xml:space="preserve"> COMMENTS   \* MERGEFORMAT </w:instrText>
      </w:r>
      <w:r w:rsidR="00BF52FC">
        <w:fldChar w:fldCharType="separate"/>
      </w:r>
      <w:r w:rsidR="00FE262A" w:rsidRPr="001767B5">
        <w:rPr>
          <w:sz w:val="20"/>
          <w:szCs w:val="20"/>
        </w:rPr>
        <w:t>67330</w:t>
      </w:r>
      <w:r w:rsidR="00BF52FC">
        <w:fldChar w:fldCharType="end"/>
      </w:r>
      <w:r w:rsidR="00FE262A" w:rsidRPr="001767B5">
        <w:rPr>
          <w:sz w:val="20"/>
          <w:szCs w:val="20"/>
        </w:rPr>
        <w:t>260</w:t>
      </w:r>
    </w:p>
    <w:p w:rsidR="007C71B5" w:rsidRPr="00A72572" w:rsidRDefault="00BF52FC" w:rsidP="008C3BDA">
      <w:pPr>
        <w:pStyle w:val="Galvene"/>
        <w:rPr>
          <w:sz w:val="28"/>
          <w:szCs w:val="28"/>
          <w:lang w:val="de-DE"/>
        </w:rPr>
      </w:pPr>
      <w:hyperlink r:id="rId8" w:history="1">
        <w:r w:rsidR="00FE262A" w:rsidRPr="006C337D">
          <w:rPr>
            <w:rStyle w:val="Hipersaite"/>
            <w:sz w:val="20"/>
            <w:szCs w:val="20"/>
          </w:rPr>
          <w:t>Baiba.Zakevica@km.gov.lv</w:t>
        </w:r>
      </w:hyperlink>
      <w:bookmarkEnd w:id="4"/>
      <w:bookmarkEnd w:id="5"/>
    </w:p>
    <w:sectPr w:rsidR="007C71B5" w:rsidRPr="00A72572" w:rsidSect="00E4698F">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A9" w:rsidRDefault="00760AA9">
      <w:r>
        <w:separator/>
      </w:r>
    </w:p>
  </w:endnote>
  <w:endnote w:type="continuationSeparator" w:id="0">
    <w:p w:rsidR="00760AA9" w:rsidRDefault="00760AA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A9" w:rsidRPr="00FE262A" w:rsidRDefault="00385BC0" w:rsidP="00FE262A">
    <w:pPr>
      <w:pStyle w:val="Kjene"/>
    </w:pPr>
    <w:r>
      <w:rPr>
        <w:sz w:val="20"/>
        <w:szCs w:val="18"/>
      </w:rPr>
      <w:t>KMAnot_28</w:t>
    </w:r>
    <w:r w:rsidR="00760AA9" w:rsidRPr="00FE262A">
      <w:rPr>
        <w:sz w:val="20"/>
        <w:szCs w:val="18"/>
      </w:rPr>
      <w:t>0917_PIKC_baznicas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A9" w:rsidRPr="00CD0472" w:rsidRDefault="00385BC0" w:rsidP="00CD0472">
    <w:pPr>
      <w:pStyle w:val="Kjene"/>
      <w:rPr>
        <w:szCs w:val="18"/>
      </w:rPr>
    </w:pPr>
    <w:r>
      <w:rPr>
        <w:sz w:val="20"/>
        <w:szCs w:val="18"/>
      </w:rPr>
      <w:t>KMAnot_28</w:t>
    </w:r>
    <w:r w:rsidR="00760AA9" w:rsidRPr="00FE262A">
      <w:rPr>
        <w:sz w:val="20"/>
        <w:szCs w:val="18"/>
      </w:rPr>
      <w:t>0917_PIKC_baznicas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A9" w:rsidRDefault="00760AA9">
      <w:r>
        <w:separator/>
      </w:r>
    </w:p>
  </w:footnote>
  <w:footnote w:type="continuationSeparator" w:id="0">
    <w:p w:rsidR="00760AA9" w:rsidRDefault="0076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A9" w:rsidRDefault="00BF52FC" w:rsidP="00B54BB1">
    <w:pPr>
      <w:pStyle w:val="Galvene"/>
      <w:framePr w:wrap="around" w:vAnchor="text" w:hAnchor="margin" w:xAlign="center" w:y="1"/>
      <w:rPr>
        <w:rStyle w:val="Lappusesnumurs"/>
      </w:rPr>
    </w:pPr>
    <w:r>
      <w:rPr>
        <w:rStyle w:val="Lappusesnumurs"/>
      </w:rPr>
      <w:fldChar w:fldCharType="begin"/>
    </w:r>
    <w:r w:rsidR="00760AA9">
      <w:rPr>
        <w:rStyle w:val="Lappusesnumurs"/>
      </w:rPr>
      <w:instrText xml:space="preserve">PAGE  </w:instrText>
    </w:r>
    <w:r>
      <w:rPr>
        <w:rStyle w:val="Lappusesnumurs"/>
      </w:rPr>
      <w:fldChar w:fldCharType="end"/>
    </w:r>
  </w:p>
  <w:p w:rsidR="00760AA9" w:rsidRDefault="00760AA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A9" w:rsidRPr="00FE262A" w:rsidRDefault="00BF52FC" w:rsidP="00B54BB1">
    <w:pPr>
      <w:pStyle w:val="Galvene"/>
      <w:framePr w:wrap="around" w:vAnchor="text" w:hAnchor="margin" w:xAlign="center" w:y="1"/>
      <w:rPr>
        <w:rStyle w:val="Lappusesnumurs"/>
        <w:sz w:val="22"/>
        <w:szCs w:val="22"/>
      </w:rPr>
    </w:pPr>
    <w:r w:rsidRPr="00FE262A">
      <w:rPr>
        <w:rStyle w:val="Lappusesnumurs"/>
        <w:sz w:val="22"/>
        <w:szCs w:val="22"/>
      </w:rPr>
      <w:fldChar w:fldCharType="begin"/>
    </w:r>
    <w:r w:rsidR="00760AA9" w:rsidRPr="00FE262A">
      <w:rPr>
        <w:rStyle w:val="Lappusesnumurs"/>
        <w:sz w:val="22"/>
        <w:szCs w:val="22"/>
      </w:rPr>
      <w:instrText xml:space="preserve">PAGE  </w:instrText>
    </w:r>
    <w:r w:rsidRPr="00FE262A">
      <w:rPr>
        <w:rStyle w:val="Lappusesnumurs"/>
        <w:sz w:val="22"/>
        <w:szCs w:val="22"/>
      </w:rPr>
      <w:fldChar w:fldCharType="separate"/>
    </w:r>
    <w:r w:rsidR="009E209E">
      <w:rPr>
        <w:rStyle w:val="Lappusesnumurs"/>
        <w:noProof/>
        <w:sz w:val="22"/>
        <w:szCs w:val="22"/>
      </w:rPr>
      <w:t>14</w:t>
    </w:r>
    <w:r w:rsidRPr="00FE262A">
      <w:rPr>
        <w:rStyle w:val="Lappusesnumurs"/>
        <w:sz w:val="22"/>
        <w:szCs w:val="22"/>
      </w:rPr>
      <w:fldChar w:fldCharType="end"/>
    </w:r>
  </w:p>
  <w:p w:rsidR="00760AA9" w:rsidRDefault="00760AA9" w:rsidP="003C2D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393"/>
    <w:multiLevelType w:val="multilevel"/>
    <w:tmpl w:val="33D4D2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8078E"/>
    <w:multiLevelType w:val="multilevel"/>
    <w:tmpl w:val="1E586D5C"/>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F543A90"/>
    <w:multiLevelType w:val="hybridMultilevel"/>
    <w:tmpl w:val="90F82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955496"/>
    <w:multiLevelType w:val="hybridMultilevel"/>
    <w:tmpl w:val="2AA09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026F2C"/>
    <w:multiLevelType w:val="hybridMultilevel"/>
    <w:tmpl w:val="9C9C8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304D2BC3"/>
    <w:multiLevelType w:val="hybridMultilevel"/>
    <w:tmpl w:val="68F62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9">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59F26F9E"/>
    <w:multiLevelType w:val="multilevel"/>
    <w:tmpl w:val="CCFA430A"/>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800" w:hanging="72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600" w:hanging="108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400" w:hanging="1440"/>
      </w:pPr>
      <w:rPr>
        <w:rFonts w:eastAsia="Calibri" w:hint="default"/>
      </w:rPr>
    </w:lvl>
    <w:lvl w:ilvl="6">
      <w:start w:val="1"/>
      <w:numFmt w:val="decimal"/>
      <w:isLgl/>
      <w:lvlText w:val="%1.%2.%3.%4.%5.%6.%7."/>
      <w:lvlJc w:val="left"/>
      <w:pPr>
        <w:ind w:left="6480" w:hanging="1800"/>
      </w:pPr>
      <w:rPr>
        <w:rFonts w:eastAsia="Calibri" w:hint="default"/>
      </w:rPr>
    </w:lvl>
    <w:lvl w:ilvl="7">
      <w:start w:val="1"/>
      <w:numFmt w:val="decimal"/>
      <w:isLgl/>
      <w:lvlText w:val="%1.%2.%3.%4.%5.%6.%7.%8."/>
      <w:lvlJc w:val="left"/>
      <w:pPr>
        <w:ind w:left="7200" w:hanging="1800"/>
      </w:pPr>
      <w:rPr>
        <w:rFonts w:eastAsia="Calibri" w:hint="default"/>
      </w:rPr>
    </w:lvl>
    <w:lvl w:ilvl="8">
      <w:start w:val="1"/>
      <w:numFmt w:val="decimal"/>
      <w:isLgl/>
      <w:lvlText w:val="%1.%2.%3.%4.%5.%6.%7.%8.%9."/>
      <w:lvlJc w:val="left"/>
      <w:pPr>
        <w:ind w:left="8280" w:hanging="2160"/>
      </w:pPr>
      <w:rPr>
        <w:rFonts w:eastAsia="Calibri" w:hint="default"/>
      </w:rPr>
    </w:lvl>
  </w:abstractNum>
  <w:abstractNum w:abstractNumId="12">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3">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5">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num>
  <w:num w:numId="3">
    <w:abstractNumId w:val="15"/>
  </w:num>
  <w:num w:numId="4">
    <w:abstractNumId w:val="6"/>
  </w:num>
  <w:num w:numId="5">
    <w:abstractNumId w:val="13"/>
  </w:num>
  <w:num w:numId="6">
    <w:abstractNumId w:val="1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11"/>
  </w:num>
  <w:num w:numId="12">
    <w:abstractNumId w:val="8"/>
  </w:num>
  <w:num w:numId="13">
    <w:abstractNumId w:val="9"/>
  </w:num>
  <w:num w:numId="14">
    <w:abstractNumId w:val="14"/>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
  <w:drawingGridVerticalSpacing w:val="181"/>
  <w:characterSpacingControl w:val="doNotCompress"/>
  <w:hdrShapeDefaults>
    <o:shapedefaults v:ext="edit" spidmax="24577"/>
  </w:hdrShapeDefaults>
  <w:footnotePr>
    <w:footnote w:id="-1"/>
    <w:footnote w:id="0"/>
  </w:footnotePr>
  <w:endnotePr>
    <w:endnote w:id="-1"/>
    <w:endnote w:id="0"/>
  </w:endnotePr>
  <w:compat/>
  <w:rsids>
    <w:rsidRoot w:val="00A911EB"/>
    <w:rsid w:val="00000785"/>
    <w:rsid w:val="00000BE4"/>
    <w:rsid w:val="0000346C"/>
    <w:rsid w:val="00012047"/>
    <w:rsid w:val="00013219"/>
    <w:rsid w:val="00020D89"/>
    <w:rsid w:val="0002135F"/>
    <w:rsid w:val="000258BB"/>
    <w:rsid w:val="00026A17"/>
    <w:rsid w:val="0003036F"/>
    <w:rsid w:val="00030FE2"/>
    <w:rsid w:val="00034431"/>
    <w:rsid w:val="00034952"/>
    <w:rsid w:val="000361C9"/>
    <w:rsid w:val="00036F80"/>
    <w:rsid w:val="00037058"/>
    <w:rsid w:val="00041BCA"/>
    <w:rsid w:val="00047C4B"/>
    <w:rsid w:val="00053774"/>
    <w:rsid w:val="00057365"/>
    <w:rsid w:val="00057CEF"/>
    <w:rsid w:val="000618F5"/>
    <w:rsid w:val="00063FB2"/>
    <w:rsid w:val="0006409D"/>
    <w:rsid w:val="00065C9B"/>
    <w:rsid w:val="000726B6"/>
    <w:rsid w:val="0007626E"/>
    <w:rsid w:val="00080CF7"/>
    <w:rsid w:val="00081EE5"/>
    <w:rsid w:val="00082055"/>
    <w:rsid w:val="00082221"/>
    <w:rsid w:val="00082791"/>
    <w:rsid w:val="00083936"/>
    <w:rsid w:val="00086EBD"/>
    <w:rsid w:val="000904C6"/>
    <w:rsid w:val="000924B3"/>
    <w:rsid w:val="00093D5B"/>
    <w:rsid w:val="00095557"/>
    <w:rsid w:val="000A0C76"/>
    <w:rsid w:val="000A1139"/>
    <w:rsid w:val="000A2F97"/>
    <w:rsid w:val="000A407D"/>
    <w:rsid w:val="000A56A2"/>
    <w:rsid w:val="000B09C4"/>
    <w:rsid w:val="000B0EE7"/>
    <w:rsid w:val="000B662A"/>
    <w:rsid w:val="000C0098"/>
    <w:rsid w:val="000C7567"/>
    <w:rsid w:val="000C78DA"/>
    <w:rsid w:val="000D1704"/>
    <w:rsid w:val="000D186A"/>
    <w:rsid w:val="000D5A4F"/>
    <w:rsid w:val="000D6077"/>
    <w:rsid w:val="000E1619"/>
    <w:rsid w:val="000E24E6"/>
    <w:rsid w:val="000E4EB2"/>
    <w:rsid w:val="000E59CB"/>
    <w:rsid w:val="000F14AE"/>
    <w:rsid w:val="000F33CB"/>
    <w:rsid w:val="000F3BF6"/>
    <w:rsid w:val="001023F7"/>
    <w:rsid w:val="001042BD"/>
    <w:rsid w:val="00106EE0"/>
    <w:rsid w:val="001118CA"/>
    <w:rsid w:val="00111C7A"/>
    <w:rsid w:val="00112E73"/>
    <w:rsid w:val="0011445C"/>
    <w:rsid w:val="001153E4"/>
    <w:rsid w:val="00116F4A"/>
    <w:rsid w:val="001230EB"/>
    <w:rsid w:val="00124661"/>
    <w:rsid w:val="00125CA4"/>
    <w:rsid w:val="001334DA"/>
    <w:rsid w:val="00134076"/>
    <w:rsid w:val="0013657D"/>
    <w:rsid w:val="00137C15"/>
    <w:rsid w:val="00143CAC"/>
    <w:rsid w:val="0014695E"/>
    <w:rsid w:val="00147C70"/>
    <w:rsid w:val="001537D9"/>
    <w:rsid w:val="001555DC"/>
    <w:rsid w:val="00156DAB"/>
    <w:rsid w:val="00156E1E"/>
    <w:rsid w:val="00161239"/>
    <w:rsid w:val="00163C96"/>
    <w:rsid w:val="0016426F"/>
    <w:rsid w:val="0017519A"/>
    <w:rsid w:val="0017604A"/>
    <w:rsid w:val="001811F2"/>
    <w:rsid w:val="0019342E"/>
    <w:rsid w:val="001953AB"/>
    <w:rsid w:val="0019565C"/>
    <w:rsid w:val="00195C56"/>
    <w:rsid w:val="0019703A"/>
    <w:rsid w:val="001A0473"/>
    <w:rsid w:val="001A04A1"/>
    <w:rsid w:val="001A0EA8"/>
    <w:rsid w:val="001A21B1"/>
    <w:rsid w:val="001A26F7"/>
    <w:rsid w:val="001A4A5F"/>
    <w:rsid w:val="001A4E5B"/>
    <w:rsid w:val="001A599F"/>
    <w:rsid w:val="001B1CB3"/>
    <w:rsid w:val="001B2C12"/>
    <w:rsid w:val="001B372B"/>
    <w:rsid w:val="001C218C"/>
    <w:rsid w:val="001C386E"/>
    <w:rsid w:val="001D375D"/>
    <w:rsid w:val="001D5508"/>
    <w:rsid w:val="001D65E2"/>
    <w:rsid w:val="001D7BA8"/>
    <w:rsid w:val="001E1233"/>
    <w:rsid w:val="001E1A21"/>
    <w:rsid w:val="001E26B6"/>
    <w:rsid w:val="001E32EA"/>
    <w:rsid w:val="001E3FDC"/>
    <w:rsid w:val="001E5188"/>
    <w:rsid w:val="001E6D80"/>
    <w:rsid w:val="001F0A40"/>
    <w:rsid w:val="001F48D2"/>
    <w:rsid w:val="00204590"/>
    <w:rsid w:val="00205BE1"/>
    <w:rsid w:val="00206249"/>
    <w:rsid w:val="00212325"/>
    <w:rsid w:val="00212621"/>
    <w:rsid w:val="002144C6"/>
    <w:rsid w:val="0021468A"/>
    <w:rsid w:val="00217482"/>
    <w:rsid w:val="00220DE4"/>
    <w:rsid w:val="002234A5"/>
    <w:rsid w:val="00224874"/>
    <w:rsid w:val="002279A7"/>
    <w:rsid w:val="00227A8E"/>
    <w:rsid w:val="002312E7"/>
    <w:rsid w:val="00233908"/>
    <w:rsid w:val="00234018"/>
    <w:rsid w:val="00236978"/>
    <w:rsid w:val="002428EE"/>
    <w:rsid w:val="002431F0"/>
    <w:rsid w:val="00243960"/>
    <w:rsid w:val="00253C29"/>
    <w:rsid w:val="0025543A"/>
    <w:rsid w:val="00255B65"/>
    <w:rsid w:val="00264AB9"/>
    <w:rsid w:val="002653B1"/>
    <w:rsid w:val="0027149D"/>
    <w:rsid w:val="00272AD9"/>
    <w:rsid w:val="0027535F"/>
    <w:rsid w:val="0027701D"/>
    <w:rsid w:val="00280483"/>
    <w:rsid w:val="0028122F"/>
    <w:rsid w:val="00282264"/>
    <w:rsid w:val="00290BF9"/>
    <w:rsid w:val="00293F7E"/>
    <w:rsid w:val="0029431D"/>
    <w:rsid w:val="002A13BA"/>
    <w:rsid w:val="002A3B66"/>
    <w:rsid w:val="002A55BB"/>
    <w:rsid w:val="002A5CA9"/>
    <w:rsid w:val="002A6B67"/>
    <w:rsid w:val="002B2484"/>
    <w:rsid w:val="002B2F06"/>
    <w:rsid w:val="002B44A6"/>
    <w:rsid w:val="002B492E"/>
    <w:rsid w:val="002C2D2C"/>
    <w:rsid w:val="002C39A9"/>
    <w:rsid w:val="002C3E45"/>
    <w:rsid w:val="002C425E"/>
    <w:rsid w:val="002D086A"/>
    <w:rsid w:val="002D0DE1"/>
    <w:rsid w:val="002D2A67"/>
    <w:rsid w:val="002D2D64"/>
    <w:rsid w:val="002D5E3B"/>
    <w:rsid w:val="002E0ED0"/>
    <w:rsid w:val="002E25D5"/>
    <w:rsid w:val="002E6902"/>
    <w:rsid w:val="002F5055"/>
    <w:rsid w:val="002F5109"/>
    <w:rsid w:val="002F72B3"/>
    <w:rsid w:val="002F790E"/>
    <w:rsid w:val="003000A9"/>
    <w:rsid w:val="00300547"/>
    <w:rsid w:val="0030112E"/>
    <w:rsid w:val="00302FCB"/>
    <w:rsid w:val="003034F2"/>
    <w:rsid w:val="00303A73"/>
    <w:rsid w:val="00303D2D"/>
    <w:rsid w:val="00305C78"/>
    <w:rsid w:val="00307AAA"/>
    <w:rsid w:val="00311ACC"/>
    <w:rsid w:val="00315C70"/>
    <w:rsid w:val="00316B53"/>
    <w:rsid w:val="00320B0F"/>
    <w:rsid w:val="003210DA"/>
    <w:rsid w:val="00324D7A"/>
    <w:rsid w:val="00326A53"/>
    <w:rsid w:val="003314C0"/>
    <w:rsid w:val="00331FD8"/>
    <w:rsid w:val="00332401"/>
    <w:rsid w:val="00332E2C"/>
    <w:rsid w:val="0033626D"/>
    <w:rsid w:val="003405D6"/>
    <w:rsid w:val="00344403"/>
    <w:rsid w:val="00345E32"/>
    <w:rsid w:val="003502B0"/>
    <w:rsid w:val="003526AD"/>
    <w:rsid w:val="00353D40"/>
    <w:rsid w:val="003574F1"/>
    <w:rsid w:val="0036087A"/>
    <w:rsid w:val="00361849"/>
    <w:rsid w:val="003618CD"/>
    <w:rsid w:val="00362AB5"/>
    <w:rsid w:val="00370F1A"/>
    <w:rsid w:val="0037236D"/>
    <w:rsid w:val="00373B6A"/>
    <w:rsid w:val="003741AA"/>
    <w:rsid w:val="003800E6"/>
    <w:rsid w:val="00385BC0"/>
    <w:rsid w:val="00386BAC"/>
    <w:rsid w:val="00386F4F"/>
    <w:rsid w:val="003871DD"/>
    <w:rsid w:val="00391275"/>
    <w:rsid w:val="00394CD5"/>
    <w:rsid w:val="00394D82"/>
    <w:rsid w:val="003A3123"/>
    <w:rsid w:val="003A3785"/>
    <w:rsid w:val="003A5048"/>
    <w:rsid w:val="003B3A76"/>
    <w:rsid w:val="003B4147"/>
    <w:rsid w:val="003C2DF4"/>
    <w:rsid w:val="003C2F8E"/>
    <w:rsid w:val="003C764B"/>
    <w:rsid w:val="003D190F"/>
    <w:rsid w:val="003D291C"/>
    <w:rsid w:val="003D2E12"/>
    <w:rsid w:val="003D496C"/>
    <w:rsid w:val="003D5486"/>
    <w:rsid w:val="003D608E"/>
    <w:rsid w:val="003D7B53"/>
    <w:rsid w:val="003E18A7"/>
    <w:rsid w:val="003E3EC9"/>
    <w:rsid w:val="003E5169"/>
    <w:rsid w:val="003E6318"/>
    <w:rsid w:val="003F2594"/>
    <w:rsid w:val="003F4EEF"/>
    <w:rsid w:val="003F658E"/>
    <w:rsid w:val="0040418C"/>
    <w:rsid w:val="0040605C"/>
    <w:rsid w:val="004146D3"/>
    <w:rsid w:val="00416B3A"/>
    <w:rsid w:val="00417178"/>
    <w:rsid w:val="00420331"/>
    <w:rsid w:val="0042161A"/>
    <w:rsid w:val="0042310A"/>
    <w:rsid w:val="00423855"/>
    <w:rsid w:val="00423F61"/>
    <w:rsid w:val="00425A1B"/>
    <w:rsid w:val="004300C9"/>
    <w:rsid w:val="00435782"/>
    <w:rsid w:val="00436F0A"/>
    <w:rsid w:val="004404F0"/>
    <w:rsid w:val="00440BD1"/>
    <w:rsid w:val="00444D08"/>
    <w:rsid w:val="00446E9E"/>
    <w:rsid w:val="00454723"/>
    <w:rsid w:val="00461074"/>
    <w:rsid w:val="0046347D"/>
    <w:rsid w:val="004636B1"/>
    <w:rsid w:val="004641C8"/>
    <w:rsid w:val="00466357"/>
    <w:rsid w:val="004701C3"/>
    <w:rsid w:val="004713B5"/>
    <w:rsid w:val="00471490"/>
    <w:rsid w:val="00474CC6"/>
    <w:rsid w:val="0048521C"/>
    <w:rsid w:val="00487633"/>
    <w:rsid w:val="00490691"/>
    <w:rsid w:val="004923F9"/>
    <w:rsid w:val="00494BFC"/>
    <w:rsid w:val="00497A0C"/>
    <w:rsid w:val="004A233C"/>
    <w:rsid w:val="004A6B7E"/>
    <w:rsid w:val="004B374D"/>
    <w:rsid w:val="004B6ACA"/>
    <w:rsid w:val="004C003E"/>
    <w:rsid w:val="004C57E9"/>
    <w:rsid w:val="004C7287"/>
    <w:rsid w:val="004D09B4"/>
    <w:rsid w:val="004D301E"/>
    <w:rsid w:val="004D4560"/>
    <w:rsid w:val="004E170A"/>
    <w:rsid w:val="004E2D47"/>
    <w:rsid w:val="004E584A"/>
    <w:rsid w:val="004E5BE1"/>
    <w:rsid w:val="004F1F5F"/>
    <w:rsid w:val="004F476B"/>
    <w:rsid w:val="004F5331"/>
    <w:rsid w:val="004F6450"/>
    <w:rsid w:val="00500681"/>
    <w:rsid w:val="00505D61"/>
    <w:rsid w:val="00507537"/>
    <w:rsid w:val="00510993"/>
    <w:rsid w:val="005111AE"/>
    <w:rsid w:val="0051743B"/>
    <w:rsid w:val="00517614"/>
    <w:rsid w:val="005232C1"/>
    <w:rsid w:val="0052620D"/>
    <w:rsid w:val="00526873"/>
    <w:rsid w:val="00534CDD"/>
    <w:rsid w:val="005455BD"/>
    <w:rsid w:val="005525AA"/>
    <w:rsid w:val="00553DC2"/>
    <w:rsid w:val="00553DC9"/>
    <w:rsid w:val="005576B6"/>
    <w:rsid w:val="005612C0"/>
    <w:rsid w:val="005645DA"/>
    <w:rsid w:val="0056468C"/>
    <w:rsid w:val="00564A9A"/>
    <w:rsid w:val="00570A6A"/>
    <w:rsid w:val="0057107E"/>
    <w:rsid w:val="005800F3"/>
    <w:rsid w:val="00580E44"/>
    <w:rsid w:val="00581028"/>
    <w:rsid w:val="00581C4A"/>
    <w:rsid w:val="00582978"/>
    <w:rsid w:val="00583AF9"/>
    <w:rsid w:val="00585D3C"/>
    <w:rsid w:val="00586276"/>
    <w:rsid w:val="00586BF9"/>
    <w:rsid w:val="005906C1"/>
    <w:rsid w:val="005946A6"/>
    <w:rsid w:val="00595BE5"/>
    <w:rsid w:val="00596EF0"/>
    <w:rsid w:val="005A31AB"/>
    <w:rsid w:val="005A69D4"/>
    <w:rsid w:val="005B179C"/>
    <w:rsid w:val="005B2BB4"/>
    <w:rsid w:val="005B3EFD"/>
    <w:rsid w:val="005C0059"/>
    <w:rsid w:val="005C226D"/>
    <w:rsid w:val="005C5FB9"/>
    <w:rsid w:val="005D3361"/>
    <w:rsid w:val="005D6206"/>
    <w:rsid w:val="005D6B7B"/>
    <w:rsid w:val="005D6C80"/>
    <w:rsid w:val="005E1F84"/>
    <w:rsid w:val="005E2AA8"/>
    <w:rsid w:val="005E5535"/>
    <w:rsid w:val="005E5CDF"/>
    <w:rsid w:val="005E7326"/>
    <w:rsid w:val="005F112C"/>
    <w:rsid w:val="005F28C8"/>
    <w:rsid w:val="005F3880"/>
    <w:rsid w:val="006033D2"/>
    <w:rsid w:val="00606B8A"/>
    <w:rsid w:val="006105F4"/>
    <w:rsid w:val="006118B9"/>
    <w:rsid w:val="006125B4"/>
    <w:rsid w:val="0061362D"/>
    <w:rsid w:val="006156A1"/>
    <w:rsid w:val="00616EC6"/>
    <w:rsid w:val="00620119"/>
    <w:rsid w:val="006217B0"/>
    <w:rsid w:val="00625456"/>
    <w:rsid w:val="0062709A"/>
    <w:rsid w:val="006321CA"/>
    <w:rsid w:val="006323F8"/>
    <w:rsid w:val="00635FF9"/>
    <w:rsid w:val="006444EB"/>
    <w:rsid w:val="00644B63"/>
    <w:rsid w:val="006466C8"/>
    <w:rsid w:val="0065537F"/>
    <w:rsid w:val="00655AAC"/>
    <w:rsid w:val="00655B1B"/>
    <w:rsid w:val="00656BF7"/>
    <w:rsid w:val="00657CCA"/>
    <w:rsid w:val="00661AB7"/>
    <w:rsid w:val="00663E89"/>
    <w:rsid w:val="00665D2E"/>
    <w:rsid w:val="00665E0B"/>
    <w:rsid w:val="006664DE"/>
    <w:rsid w:val="00670EE1"/>
    <w:rsid w:val="006746CD"/>
    <w:rsid w:val="006766A1"/>
    <w:rsid w:val="006771AC"/>
    <w:rsid w:val="00680200"/>
    <w:rsid w:val="006827F2"/>
    <w:rsid w:val="0068303F"/>
    <w:rsid w:val="00685C10"/>
    <w:rsid w:val="00690E10"/>
    <w:rsid w:val="00692780"/>
    <w:rsid w:val="00692A23"/>
    <w:rsid w:val="00694D3B"/>
    <w:rsid w:val="006A08F5"/>
    <w:rsid w:val="006A554A"/>
    <w:rsid w:val="006A6A4D"/>
    <w:rsid w:val="006B14AF"/>
    <w:rsid w:val="006B2725"/>
    <w:rsid w:val="006B6C5F"/>
    <w:rsid w:val="006B6CBD"/>
    <w:rsid w:val="006C2318"/>
    <w:rsid w:val="006C4886"/>
    <w:rsid w:val="006C4E20"/>
    <w:rsid w:val="006C61CB"/>
    <w:rsid w:val="006D0F93"/>
    <w:rsid w:val="006D2BFE"/>
    <w:rsid w:val="006D4D07"/>
    <w:rsid w:val="006D58BC"/>
    <w:rsid w:val="006E1CDD"/>
    <w:rsid w:val="006E4492"/>
    <w:rsid w:val="006E5402"/>
    <w:rsid w:val="006F0DAA"/>
    <w:rsid w:val="006F284A"/>
    <w:rsid w:val="006F38A1"/>
    <w:rsid w:val="006F78E0"/>
    <w:rsid w:val="006F7C61"/>
    <w:rsid w:val="0070411E"/>
    <w:rsid w:val="007047BE"/>
    <w:rsid w:val="00704E13"/>
    <w:rsid w:val="00712168"/>
    <w:rsid w:val="0071251B"/>
    <w:rsid w:val="00714A3F"/>
    <w:rsid w:val="00714B2B"/>
    <w:rsid w:val="0072453D"/>
    <w:rsid w:val="00724863"/>
    <w:rsid w:val="00726858"/>
    <w:rsid w:val="00731038"/>
    <w:rsid w:val="007315D5"/>
    <w:rsid w:val="007322F5"/>
    <w:rsid w:val="00734D9E"/>
    <w:rsid w:val="0073635D"/>
    <w:rsid w:val="00737BD5"/>
    <w:rsid w:val="007402EE"/>
    <w:rsid w:val="00742DB9"/>
    <w:rsid w:val="0074300E"/>
    <w:rsid w:val="00744B44"/>
    <w:rsid w:val="00750A9E"/>
    <w:rsid w:val="00752660"/>
    <w:rsid w:val="00753266"/>
    <w:rsid w:val="00753471"/>
    <w:rsid w:val="00754486"/>
    <w:rsid w:val="00756454"/>
    <w:rsid w:val="00757D0A"/>
    <w:rsid w:val="00760AA9"/>
    <w:rsid w:val="007628B3"/>
    <w:rsid w:val="00764684"/>
    <w:rsid w:val="007649A8"/>
    <w:rsid w:val="007656A3"/>
    <w:rsid w:val="00767D37"/>
    <w:rsid w:val="007708BE"/>
    <w:rsid w:val="00770EA8"/>
    <w:rsid w:val="00775219"/>
    <w:rsid w:val="007771F2"/>
    <w:rsid w:val="007773E2"/>
    <w:rsid w:val="0078193D"/>
    <w:rsid w:val="00786695"/>
    <w:rsid w:val="00787B01"/>
    <w:rsid w:val="00787DF2"/>
    <w:rsid w:val="00790696"/>
    <w:rsid w:val="007945BB"/>
    <w:rsid w:val="007964F9"/>
    <w:rsid w:val="007A165C"/>
    <w:rsid w:val="007A193D"/>
    <w:rsid w:val="007A1B4A"/>
    <w:rsid w:val="007A36BD"/>
    <w:rsid w:val="007A43EB"/>
    <w:rsid w:val="007A590F"/>
    <w:rsid w:val="007B094D"/>
    <w:rsid w:val="007B5BE4"/>
    <w:rsid w:val="007C1B98"/>
    <w:rsid w:val="007C288D"/>
    <w:rsid w:val="007C4DA1"/>
    <w:rsid w:val="007C5225"/>
    <w:rsid w:val="007C71B5"/>
    <w:rsid w:val="007D07BF"/>
    <w:rsid w:val="007D356A"/>
    <w:rsid w:val="007D5C17"/>
    <w:rsid w:val="007E0F5C"/>
    <w:rsid w:val="007E2DF6"/>
    <w:rsid w:val="007F0F87"/>
    <w:rsid w:val="007F1822"/>
    <w:rsid w:val="007F366E"/>
    <w:rsid w:val="00800FE2"/>
    <w:rsid w:val="008012E3"/>
    <w:rsid w:val="00803A25"/>
    <w:rsid w:val="008047C6"/>
    <w:rsid w:val="00805687"/>
    <w:rsid w:val="00807762"/>
    <w:rsid w:val="00814B1D"/>
    <w:rsid w:val="00817C8E"/>
    <w:rsid w:val="00821038"/>
    <w:rsid w:val="00823D30"/>
    <w:rsid w:val="008241AA"/>
    <w:rsid w:val="00826B5B"/>
    <w:rsid w:val="0082702F"/>
    <w:rsid w:val="00830C13"/>
    <w:rsid w:val="00831AFE"/>
    <w:rsid w:val="00832779"/>
    <w:rsid w:val="00834396"/>
    <w:rsid w:val="00837DB7"/>
    <w:rsid w:val="008437DC"/>
    <w:rsid w:val="00845095"/>
    <w:rsid w:val="00846B0B"/>
    <w:rsid w:val="00850CD4"/>
    <w:rsid w:val="00853765"/>
    <w:rsid w:val="00857624"/>
    <w:rsid w:val="00864302"/>
    <w:rsid w:val="0087217B"/>
    <w:rsid w:val="00873B5F"/>
    <w:rsid w:val="00874B94"/>
    <w:rsid w:val="0087711D"/>
    <w:rsid w:val="00877CFD"/>
    <w:rsid w:val="00882F3D"/>
    <w:rsid w:val="008915A6"/>
    <w:rsid w:val="00894236"/>
    <w:rsid w:val="00894D7F"/>
    <w:rsid w:val="00894ED3"/>
    <w:rsid w:val="00895657"/>
    <w:rsid w:val="00897454"/>
    <w:rsid w:val="008A17D3"/>
    <w:rsid w:val="008A5555"/>
    <w:rsid w:val="008A6789"/>
    <w:rsid w:val="008A68ED"/>
    <w:rsid w:val="008B2B2E"/>
    <w:rsid w:val="008B4C6C"/>
    <w:rsid w:val="008C3525"/>
    <w:rsid w:val="008C3BDA"/>
    <w:rsid w:val="008C5DF1"/>
    <w:rsid w:val="008D29C0"/>
    <w:rsid w:val="008D60EA"/>
    <w:rsid w:val="008D78A4"/>
    <w:rsid w:val="008E043D"/>
    <w:rsid w:val="008E149A"/>
    <w:rsid w:val="008E42FB"/>
    <w:rsid w:val="008E5615"/>
    <w:rsid w:val="008F28B7"/>
    <w:rsid w:val="008F2B13"/>
    <w:rsid w:val="008F5302"/>
    <w:rsid w:val="008F681F"/>
    <w:rsid w:val="008F69AB"/>
    <w:rsid w:val="008F71B4"/>
    <w:rsid w:val="009006CA"/>
    <w:rsid w:val="009037F3"/>
    <w:rsid w:val="00904486"/>
    <w:rsid w:val="009061CB"/>
    <w:rsid w:val="00907CC6"/>
    <w:rsid w:val="00907D2E"/>
    <w:rsid w:val="00907FE3"/>
    <w:rsid w:val="0091074C"/>
    <w:rsid w:val="00911F50"/>
    <w:rsid w:val="009121A7"/>
    <w:rsid w:val="0091358F"/>
    <w:rsid w:val="00915D97"/>
    <w:rsid w:val="0092042B"/>
    <w:rsid w:val="00920E39"/>
    <w:rsid w:val="00922130"/>
    <w:rsid w:val="009245CD"/>
    <w:rsid w:val="00936E09"/>
    <w:rsid w:val="009376F5"/>
    <w:rsid w:val="009513D8"/>
    <w:rsid w:val="00954BF6"/>
    <w:rsid w:val="00955251"/>
    <w:rsid w:val="0095561D"/>
    <w:rsid w:val="009605E6"/>
    <w:rsid w:val="00960638"/>
    <w:rsid w:val="00960DCC"/>
    <w:rsid w:val="00961443"/>
    <w:rsid w:val="00961496"/>
    <w:rsid w:val="00962212"/>
    <w:rsid w:val="00964EB6"/>
    <w:rsid w:val="00965147"/>
    <w:rsid w:val="00965E34"/>
    <w:rsid w:val="009663BE"/>
    <w:rsid w:val="00974363"/>
    <w:rsid w:val="00977684"/>
    <w:rsid w:val="00981F6A"/>
    <w:rsid w:val="0098674F"/>
    <w:rsid w:val="00993314"/>
    <w:rsid w:val="009A13FA"/>
    <w:rsid w:val="009A1C96"/>
    <w:rsid w:val="009A1CE5"/>
    <w:rsid w:val="009A379C"/>
    <w:rsid w:val="009A3AB0"/>
    <w:rsid w:val="009A41FB"/>
    <w:rsid w:val="009A7D80"/>
    <w:rsid w:val="009A7F38"/>
    <w:rsid w:val="009B420B"/>
    <w:rsid w:val="009B4484"/>
    <w:rsid w:val="009B55AA"/>
    <w:rsid w:val="009B67F2"/>
    <w:rsid w:val="009C219F"/>
    <w:rsid w:val="009C2A57"/>
    <w:rsid w:val="009C35A8"/>
    <w:rsid w:val="009C5108"/>
    <w:rsid w:val="009D1502"/>
    <w:rsid w:val="009D2376"/>
    <w:rsid w:val="009D287F"/>
    <w:rsid w:val="009D3852"/>
    <w:rsid w:val="009D79F9"/>
    <w:rsid w:val="009E06BF"/>
    <w:rsid w:val="009E209E"/>
    <w:rsid w:val="009E49E0"/>
    <w:rsid w:val="009E4A3F"/>
    <w:rsid w:val="009E6B2A"/>
    <w:rsid w:val="009E787E"/>
    <w:rsid w:val="009F109F"/>
    <w:rsid w:val="009F357C"/>
    <w:rsid w:val="009F4E03"/>
    <w:rsid w:val="009F7751"/>
    <w:rsid w:val="00A01CAE"/>
    <w:rsid w:val="00A07D00"/>
    <w:rsid w:val="00A106EB"/>
    <w:rsid w:val="00A13693"/>
    <w:rsid w:val="00A1671A"/>
    <w:rsid w:val="00A213CF"/>
    <w:rsid w:val="00A232B8"/>
    <w:rsid w:val="00A27EAF"/>
    <w:rsid w:val="00A34270"/>
    <w:rsid w:val="00A34B9B"/>
    <w:rsid w:val="00A3603A"/>
    <w:rsid w:val="00A4024A"/>
    <w:rsid w:val="00A40E4D"/>
    <w:rsid w:val="00A40FFB"/>
    <w:rsid w:val="00A472AE"/>
    <w:rsid w:val="00A51C8E"/>
    <w:rsid w:val="00A55129"/>
    <w:rsid w:val="00A55468"/>
    <w:rsid w:val="00A60424"/>
    <w:rsid w:val="00A62EAA"/>
    <w:rsid w:val="00A64ED5"/>
    <w:rsid w:val="00A657C4"/>
    <w:rsid w:val="00A676CF"/>
    <w:rsid w:val="00A70166"/>
    <w:rsid w:val="00A7064A"/>
    <w:rsid w:val="00A72572"/>
    <w:rsid w:val="00A726DD"/>
    <w:rsid w:val="00A734B8"/>
    <w:rsid w:val="00A735A6"/>
    <w:rsid w:val="00A750D6"/>
    <w:rsid w:val="00A80BE6"/>
    <w:rsid w:val="00A80D92"/>
    <w:rsid w:val="00A81833"/>
    <w:rsid w:val="00A837A1"/>
    <w:rsid w:val="00A911EB"/>
    <w:rsid w:val="00A92D54"/>
    <w:rsid w:val="00A9366A"/>
    <w:rsid w:val="00A937A4"/>
    <w:rsid w:val="00A967D8"/>
    <w:rsid w:val="00A96A68"/>
    <w:rsid w:val="00AA2550"/>
    <w:rsid w:val="00AA3656"/>
    <w:rsid w:val="00AA6096"/>
    <w:rsid w:val="00AB1176"/>
    <w:rsid w:val="00AC026B"/>
    <w:rsid w:val="00AC15AF"/>
    <w:rsid w:val="00AC209F"/>
    <w:rsid w:val="00AC2177"/>
    <w:rsid w:val="00AC33D8"/>
    <w:rsid w:val="00AC4882"/>
    <w:rsid w:val="00AC5619"/>
    <w:rsid w:val="00AC5C11"/>
    <w:rsid w:val="00AD7B24"/>
    <w:rsid w:val="00AE3C1C"/>
    <w:rsid w:val="00AE3FAE"/>
    <w:rsid w:val="00AE4A5A"/>
    <w:rsid w:val="00AE73CF"/>
    <w:rsid w:val="00AF42FB"/>
    <w:rsid w:val="00AF5C8F"/>
    <w:rsid w:val="00AF703A"/>
    <w:rsid w:val="00AF7EB0"/>
    <w:rsid w:val="00B0067F"/>
    <w:rsid w:val="00B020F5"/>
    <w:rsid w:val="00B02C22"/>
    <w:rsid w:val="00B146A3"/>
    <w:rsid w:val="00B160EA"/>
    <w:rsid w:val="00B165D7"/>
    <w:rsid w:val="00B165F0"/>
    <w:rsid w:val="00B21225"/>
    <w:rsid w:val="00B23BB9"/>
    <w:rsid w:val="00B3217A"/>
    <w:rsid w:val="00B324C9"/>
    <w:rsid w:val="00B34753"/>
    <w:rsid w:val="00B3625F"/>
    <w:rsid w:val="00B424FF"/>
    <w:rsid w:val="00B4421C"/>
    <w:rsid w:val="00B4656B"/>
    <w:rsid w:val="00B5030C"/>
    <w:rsid w:val="00B54BB1"/>
    <w:rsid w:val="00B615B6"/>
    <w:rsid w:val="00B66752"/>
    <w:rsid w:val="00B742EC"/>
    <w:rsid w:val="00B75759"/>
    <w:rsid w:val="00B77D3D"/>
    <w:rsid w:val="00B80B4B"/>
    <w:rsid w:val="00B80D78"/>
    <w:rsid w:val="00B8464E"/>
    <w:rsid w:val="00B85690"/>
    <w:rsid w:val="00B87ABD"/>
    <w:rsid w:val="00B90E6D"/>
    <w:rsid w:val="00B92E96"/>
    <w:rsid w:val="00BA2B74"/>
    <w:rsid w:val="00BA6113"/>
    <w:rsid w:val="00BA66D8"/>
    <w:rsid w:val="00BA67E4"/>
    <w:rsid w:val="00BB0163"/>
    <w:rsid w:val="00BB2042"/>
    <w:rsid w:val="00BB4432"/>
    <w:rsid w:val="00BC32BC"/>
    <w:rsid w:val="00BC3551"/>
    <w:rsid w:val="00BC4EAE"/>
    <w:rsid w:val="00BC50D8"/>
    <w:rsid w:val="00BC5CBE"/>
    <w:rsid w:val="00BC63F5"/>
    <w:rsid w:val="00BC79BD"/>
    <w:rsid w:val="00BD06E6"/>
    <w:rsid w:val="00BD0FB4"/>
    <w:rsid w:val="00BD3050"/>
    <w:rsid w:val="00BD452E"/>
    <w:rsid w:val="00BD46C4"/>
    <w:rsid w:val="00BD4D2C"/>
    <w:rsid w:val="00BD5A0E"/>
    <w:rsid w:val="00BD5CD1"/>
    <w:rsid w:val="00BE3117"/>
    <w:rsid w:val="00BE63F2"/>
    <w:rsid w:val="00BE7314"/>
    <w:rsid w:val="00BF52FC"/>
    <w:rsid w:val="00BF641F"/>
    <w:rsid w:val="00BF7606"/>
    <w:rsid w:val="00C0549C"/>
    <w:rsid w:val="00C06DEE"/>
    <w:rsid w:val="00C07800"/>
    <w:rsid w:val="00C110F4"/>
    <w:rsid w:val="00C12405"/>
    <w:rsid w:val="00C13462"/>
    <w:rsid w:val="00C14176"/>
    <w:rsid w:val="00C14CBE"/>
    <w:rsid w:val="00C1636A"/>
    <w:rsid w:val="00C23DA0"/>
    <w:rsid w:val="00C2657F"/>
    <w:rsid w:val="00C30F56"/>
    <w:rsid w:val="00C316C5"/>
    <w:rsid w:val="00C32E54"/>
    <w:rsid w:val="00C359CB"/>
    <w:rsid w:val="00C35B49"/>
    <w:rsid w:val="00C36D50"/>
    <w:rsid w:val="00C4065B"/>
    <w:rsid w:val="00C45A05"/>
    <w:rsid w:val="00C45AB2"/>
    <w:rsid w:val="00C4648B"/>
    <w:rsid w:val="00C529D3"/>
    <w:rsid w:val="00C55ACD"/>
    <w:rsid w:val="00C55E9B"/>
    <w:rsid w:val="00C560BD"/>
    <w:rsid w:val="00C618C3"/>
    <w:rsid w:val="00C61C40"/>
    <w:rsid w:val="00C61C9F"/>
    <w:rsid w:val="00C678C5"/>
    <w:rsid w:val="00C67D49"/>
    <w:rsid w:val="00C74D40"/>
    <w:rsid w:val="00C76278"/>
    <w:rsid w:val="00C7689E"/>
    <w:rsid w:val="00C775BC"/>
    <w:rsid w:val="00C82E6F"/>
    <w:rsid w:val="00C918F4"/>
    <w:rsid w:val="00C92669"/>
    <w:rsid w:val="00C93F99"/>
    <w:rsid w:val="00C9536B"/>
    <w:rsid w:val="00CA141D"/>
    <w:rsid w:val="00CA143A"/>
    <w:rsid w:val="00CA3D80"/>
    <w:rsid w:val="00CA4A46"/>
    <w:rsid w:val="00CA4D2C"/>
    <w:rsid w:val="00CA4D97"/>
    <w:rsid w:val="00CA7FC3"/>
    <w:rsid w:val="00CB2366"/>
    <w:rsid w:val="00CB75DE"/>
    <w:rsid w:val="00CC0B16"/>
    <w:rsid w:val="00CC3D65"/>
    <w:rsid w:val="00CD0472"/>
    <w:rsid w:val="00CD2F35"/>
    <w:rsid w:val="00CD43A9"/>
    <w:rsid w:val="00CE0D3F"/>
    <w:rsid w:val="00CE0D73"/>
    <w:rsid w:val="00CE4F76"/>
    <w:rsid w:val="00CE7286"/>
    <w:rsid w:val="00CF0CF5"/>
    <w:rsid w:val="00CF1E9E"/>
    <w:rsid w:val="00CF2E65"/>
    <w:rsid w:val="00CF61EA"/>
    <w:rsid w:val="00CF6640"/>
    <w:rsid w:val="00D06C5E"/>
    <w:rsid w:val="00D177C8"/>
    <w:rsid w:val="00D20016"/>
    <w:rsid w:val="00D2196A"/>
    <w:rsid w:val="00D22995"/>
    <w:rsid w:val="00D23190"/>
    <w:rsid w:val="00D24017"/>
    <w:rsid w:val="00D31F6D"/>
    <w:rsid w:val="00D331D5"/>
    <w:rsid w:val="00D37174"/>
    <w:rsid w:val="00D4216A"/>
    <w:rsid w:val="00D42F7F"/>
    <w:rsid w:val="00D44A72"/>
    <w:rsid w:val="00D5181D"/>
    <w:rsid w:val="00D52999"/>
    <w:rsid w:val="00D54BF5"/>
    <w:rsid w:val="00D56667"/>
    <w:rsid w:val="00D57356"/>
    <w:rsid w:val="00D70B9F"/>
    <w:rsid w:val="00D7172C"/>
    <w:rsid w:val="00D72FC2"/>
    <w:rsid w:val="00D74171"/>
    <w:rsid w:val="00D80062"/>
    <w:rsid w:val="00D82466"/>
    <w:rsid w:val="00D84429"/>
    <w:rsid w:val="00D86BE0"/>
    <w:rsid w:val="00D87FA1"/>
    <w:rsid w:val="00D90273"/>
    <w:rsid w:val="00D91A79"/>
    <w:rsid w:val="00D93F9A"/>
    <w:rsid w:val="00D955D1"/>
    <w:rsid w:val="00DA14A1"/>
    <w:rsid w:val="00DA1C69"/>
    <w:rsid w:val="00DA3804"/>
    <w:rsid w:val="00DA44E1"/>
    <w:rsid w:val="00DA52F0"/>
    <w:rsid w:val="00DA5CE6"/>
    <w:rsid w:val="00DA7CB2"/>
    <w:rsid w:val="00DB0EEE"/>
    <w:rsid w:val="00DB362A"/>
    <w:rsid w:val="00DB61D3"/>
    <w:rsid w:val="00DC1956"/>
    <w:rsid w:val="00DD17FF"/>
    <w:rsid w:val="00DD4D63"/>
    <w:rsid w:val="00DD7D28"/>
    <w:rsid w:val="00DE2005"/>
    <w:rsid w:val="00DE3093"/>
    <w:rsid w:val="00DE739D"/>
    <w:rsid w:val="00DF2791"/>
    <w:rsid w:val="00DF4424"/>
    <w:rsid w:val="00DF4528"/>
    <w:rsid w:val="00DF5B86"/>
    <w:rsid w:val="00DF609C"/>
    <w:rsid w:val="00E003FE"/>
    <w:rsid w:val="00E00B5C"/>
    <w:rsid w:val="00E0504C"/>
    <w:rsid w:val="00E11A18"/>
    <w:rsid w:val="00E15A3C"/>
    <w:rsid w:val="00E160CC"/>
    <w:rsid w:val="00E16BBE"/>
    <w:rsid w:val="00E20F9B"/>
    <w:rsid w:val="00E246B3"/>
    <w:rsid w:val="00E27721"/>
    <w:rsid w:val="00E300F2"/>
    <w:rsid w:val="00E30639"/>
    <w:rsid w:val="00E30867"/>
    <w:rsid w:val="00E31ABA"/>
    <w:rsid w:val="00E3537F"/>
    <w:rsid w:val="00E4676F"/>
    <w:rsid w:val="00E4698F"/>
    <w:rsid w:val="00E51553"/>
    <w:rsid w:val="00E528A7"/>
    <w:rsid w:val="00E57D07"/>
    <w:rsid w:val="00E611EE"/>
    <w:rsid w:val="00E659FF"/>
    <w:rsid w:val="00E66545"/>
    <w:rsid w:val="00E6691D"/>
    <w:rsid w:val="00E71A74"/>
    <w:rsid w:val="00E74ED5"/>
    <w:rsid w:val="00E811EF"/>
    <w:rsid w:val="00E829F1"/>
    <w:rsid w:val="00E85102"/>
    <w:rsid w:val="00E87E8F"/>
    <w:rsid w:val="00E931A3"/>
    <w:rsid w:val="00E93AF4"/>
    <w:rsid w:val="00E96AEC"/>
    <w:rsid w:val="00E97077"/>
    <w:rsid w:val="00EA5120"/>
    <w:rsid w:val="00EA6EBE"/>
    <w:rsid w:val="00EA7237"/>
    <w:rsid w:val="00EB0BFB"/>
    <w:rsid w:val="00EB0C44"/>
    <w:rsid w:val="00EB0C77"/>
    <w:rsid w:val="00EB304A"/>
    <w:rsid w:val="00EB41E2"/>
    <w:rsid w:val="00EB46D1"/>
    <w:rsid w:val="00EC79A6"/>
    <w:rsid w:val="00ED0580"/>
    <w:rsid w:val="00ED1F78"/>
    <w:rsid w:val="00ED3A2E"/>
    <w:rsid w:val="00ED499F"/>
    <w:rsid w:val="00EE3F1B"/>
    <w:rsid w:val="00EE4EDB"/>
    <w:rsid w:val="00EF754A"/>
    <w:rsid w:val="00F003CE"/>
    <w:rsid w:val="00F02259"/>
    <w:rsid w:val="00F04ECE"/>
    <w:rsid w:val="00F06D6D"/>
    <w:rsid w:val="00F1037B"/>
    <w:rsid w:val="00F10C2D"/>
    <w:rsid w:val="00F12402"/>
    <w:rsid w:val="00F1592A"/>
    <w:rsid w:val="00F202E9"/>
    <w:rsid w:val="00F20635"/>
    <w:rsid w:val="00F213E4"/>
    <w:rsid w:val="00F24D61"/>
    <w:rsid w:val="00F253FC"/>
    <w:rsid w:val="00F256EB"/>
    <w:rsid w:val="00F31C0E"/>
    <w:rsid w:val="00F351BA"/>
    <w:rsid w:val="00F45EB4"/>
    <w:rsid w:val="00F52B59"/>
    <w:rsid w:val="00F52FDC"/>
    <w:rsid w:val="00F54A8E"/>
    <w:rsid w:val="00F6314A"/>
    <w:rsid w:val="00F631B6"/>
    <w:rsid w:val="00F63D17"/>
    <w:rsid w:val="00F70059"/>
    <w:rsid w:val="00F74451"/>
    <w:rsid w:val="00F76035"/>
    <w:rsid w:val="00F83F85"/>
    <w:rsid w:val="00F8464C"/>
    <w:rsid w:val="00F916F2"/>
    <w:rsid w:val="00F92184"/>
    <w:rsid w:val="00FA3FDB"/>
    <w:rsid w:val="00FA4083"/>
    <w:rsid w:val="00FA4D1F"/>
    <w:rsid w:val="00FA5CF5"/>
    <w:rsid w:val="00FA7393"/>
    <w:rsid w:val="00FB06F3"/>
    <w:rsid w:val="00FC5333"/>
    <w:rsid w:val="00FC596B"/>
    <w:rsid w:val="00FC7C16"/>
    <w:rsid w:val="00FD42A8"/>
    <w:rsid w:val="00FD7BBD"/>
    <w:rsid w:val="00FE1454"/>
    <w:rsid w:val="00FE262A"/>
    <w:rsid w:val="00FE7406"/>
    <w:rsid w:val="00FE7B66"/>
    <w:rsid w:val="00FF1B44"/>
    <w:rsid w:val="00FF2495"/>
    <w:rsid w:val="00FF264C"/>
    <w:rsid w:val="00FF2901"/>
    <w:rsid w:val="00FF45DD"/>
    <w:rsid w:val="00FF5F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4D4560"/>
    <w:rPr>
      <w:sz w:val="24"/>
      <w:szCs w:val="24"/>
    </w:rPr>
  </w:style>
  <w:style w:type="paragraph" w:styleId="Virsraksts2">
    <w:name w:val="heading 2"/>
    <w:basedOn w:val="Parastais"/>
    <w:next w:val="Parastais"/>
    <w:qFormat/>
    <w:rsid w:val="009C2A57"/>
    <w:pPr>
      <w:keepNext/>
      <w:jc w:val="center"/>
      <w:outlineLvl w:val="1"/>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rsid w:val="00A911EB"/>
    <w:pPr>
      <w:spacing w:before="100" w:beforeAutospacing="1" w:after="100" w:afterAutospacing="1"/>
    </w:pPr>
  </w:style>
  <w:style w:type="table" w:styleId="Reatabula">
    <w:name w:val="Table Grid"/>
    <w:basedOn w:val="Parastatabula"/>
    <w:uiPriority w:val="39"/>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semiHidden/>
    <w:rsid w:val="000D186A"/>
    <w:rPr>
      <w:rFonts w:ascii="Tahoma" w:hAnsi="Tahoma" w:cs="Tahoma"/>
      <w:sz w:val="16"/>
      <w:szCs w:val="16"/>
    </w:rPr>
  </w:style>
  <w:style w:type="paragraph" w:styleId="Vresteksts">
    <w:name w:val="footnote text"/>
    <w:basedOn w:val="Parastais"/>
    <w:semiHidden/>
    <w:rsid w:val="001D7BA8"/>
    <w:rPr>
      <w:sz w:val="20"/>
      <w:szCs w:val="20"/>
    </w:rPr>
  </w:style>
  <w:style w:type="character" w:styleId="Vresatsauce">
    <w:name w:val="footnote reference"/>
    <w:semiHidden/>
    <w:rsid w:val="001D7BA8"/>
    <w:rPr>
      <w:vertAlign w:val="superscript"/>
    </w:rPr>
  </w:style>
  <w:style w:type="paragraph" w:styleId="Galvene">
    <w:name w:val="header"/>
    <w:aliases w:val="18pt Bold"/>
    <w:basedOn w:val="Parastais"/>
    <w:link w:val="GalveneRakstz"/>
    <w:uiPriority w:val="99"/>
    <w:rsid w:val="001D7BA8"/>
    <w:pPr>
      <w:tabs>
        <w:tab w:val="center" w:pos="4153"/>
        <w:tab w:val="right" w:pos="8306"/>
      </w:tabs>
    </w:pPr>
  </w:style>
  <w:style w:type="paragraph" w:styleId="Kjene">
    <w:name w:val="footer"/>
    <w:basedOn w:val="Parastais"/>
    <w:link w:val="KjeneRakstz"/>
    <w:rsid w:val="001D7BA8"/>
    <w:pPr>
      <w:tabs>
        <w:tab w:val="center" w:pos="4153"/>
        <w:tab w:val="right" w:pos="8306"/>
      </w:tabs>
    </w:pPr>
  </w:style>
  <w:style w:type="character" w:styleId="Hipersaite">
    <w:name w:val="Hyperlink"/>
    <w:rsid w:val="00013219"/>
    <w:rPr>
      <w:color w:val="0000FF"/>
      <w:u w:val="single"/>
    </w:rPr>
  </w:style>
  <w:style w:type="character" w:styleId="Lappusesnumurs">
    <w:name w:val="page number"/>
    <w:basedOn w:val="Noklusjumarindkopasfonts"/>
    <w:rsid w:val="00D90273"/>
  </w:style>
  <w:style w:type="paragraph" w:customStyle="1" w:styleId="naisf">
    <w:name w:val="naisf"/>
    <w:basedOn w:val="Parastais"/>
    <w:rsid w:val="009C2A57"/>
    <w:pPr>
      <w:spacing w:before="75" w:after="75"/>
      <w:ind w:firstLine="375"/>
      <w:jc w:val="both"/>
    </w:pPr>
  </w:style>
  <w:style w:type="paragraph" w:styleId="ParastaisWeb">
    <w:name w:val="Normal (Web)"/>
    <w:basedOn w:val="Parastais"/>
    <w:rsid w:val="009C2A57"/>
    <w:pPr>
      <w:spacing w:before="100" w:beforeAutospacing="1" w:after="100" w:afterAutospacing="1"/>
    </w:pPr>
  </w:style>
  <w:style w:type="paragraph" w:customStyle="1" w:styleId="naisc">
    <w:name w:val="naisc"/>
    <w:basedOn w:val="Parastais"/>
    <w:rsid w:val="009C2A57"/>
    <w:pPr>
      <w:spacing w:before="450" w:after="300"/>
      <w:jc w:val="center"/>
    </w:pPr>
    <w:rPr>
      <w:sz w:val="26"/>
      <w:szCs w:val="26"/>
    </w:rPr>
  </w:style>
  <w:style w:type="paragraph" w:customStyle="1" w:styleId="NormalWeb8">
    <w:name w:val="Normal (Web)8"/>
    <w:basedOn w:val="Parastais"/>
    <w:rsid w:val="00CA4D2C"/>
    <w:pPr>
      <w:spacing w:before="75" w:after="75"/>
      <w:ind w:left="225" w:right="225"/>
    </w:pPr>
    <w:rPr>
      <w:sz w:val="22"/>
      <w:szCs w:val="22"/>
    </w:rPr>
  </w:style>
  <w:style w:type="paragraph" w:customStyle="1" w:styleId="naislab">
    <w:name w:val="naislab"/>
    <w:basedOn w:val="Parastais"/>
    <w:rsid w:val="00CA4D2C"/>
    <w:pPr>
      <w:spacing w:before="75" w:after="75"/>
      <w:jc w:val="right"/>
    </w:pPr>
  </w:style>
  <w:style w:type="character" w:styleId="Komentraatsauce">
    <w:name w:val="annotation reference"/>
    <w:uiPriority w:val="99"/>
    <w:semiHidden/>
    <w:rsid w:val="001230EB"/>
    <w:rPr>
      <w:sz w:val="16"/>
      <w:szCs w:val="16"/>
    </w:rPr>
  </w:style>
  <w:style w:type="paragraph" w:styleId="Komentrateksts">
    <w:name w:val="annotation text"/>
    <w:basedOn w:val="Parastais"/>
    <w:link w:val="KomentratekstsRakstz"/>
    <w:uiPriority w:val="99"/>
    <w:semiHidden/>
    <w:rsid w:val="001230EB"/>
    <w:rPr>
      <w:sz w:val="20"/>
      <w:szCs w:val="20"/>
    </w:rPr>
  </w:style>
  <w:style w:type="paragraph" w:styleId="Komentratma">
    <w:name w:val="annotation subject"/>
    <w:basedOn w:val="Komentrateksts"/>
    <w:next w:val="Komentrateksts"/>
    <w:semiHidden/>
    <w:rsid w:val="001230EB"/>
    <w:rPr>
      <w:b/>
      <w:bCs/>
    </w:rPr>
  </w:style>
  <w:style w:type="paragraph" w:styleId="Sarakstarindkopa">
    <w:name w:val="List Paragraph"/>
    <w:aliases w:val="2,List Paragraph"/>
    <w:basedOn w:val="Parastais"/>
    <w:link w:val="SarakstarindkopaRakstz"/>
    <w:uiPriority w:val="34"/>
    <w:qFormat/>
    <w:rsid w:val="00CA4D97"/>
    <w:pPr>
      <w:ind w:left="720"/>
      <w:contextualSpacing/>
    </w:pPr>
    <w:rPr>
      <w:rFonts w:eastAsia="Calibri"/>
      <w:sz w:val="28"/>
      <w:szCs w:val="20"/>
    </w:rPr>
  </w:style>
  <w:style w:type="paragraph" w:styleId="Pamatteksts">
    <w:name w:val="Body Text"/>
    <w:basedOn w:val="Parastais"/>
    <w:link w:val="PamattekstsRakstz"/>
    <w:rsid w:val="005B2BB4"/>
    <w:pPr>
      <w:jc w:val="center"/>
    </w:pPr>
    <w:rPr>
      <w:sz w:val="28"/>
      <w:lang w:val="en-US" w:eastAsia="en-US"/>
    </w:rPr>
  </w:style>
  <w:style w:type="character" w:customStyle="1" w:styleId="PamattekstsRakstz">
    <w:name w:val="Pamatteksts Rakstz."/>
    <w:link w:val="Pamatteksts"/>
    <w:locked/>
    <w:rsid w:val="005B2BB4"/>
    <w:rPr>
      <w:sz w:val="28"/>
      <w:szCs w:val="24"/>
      <w:lang w:val="en-US" w:eastAsia="en-US" w:bidi="ar-SA"/>
    </w:rPr>
  </w:style>
  <w:style w:type="paragraph" w:styleId="Pamatteksts2">
    <w:name w:val="Body Text 2"/>
    <w:basedOn w:val="Parastais"/>
    <w:link w:val="Pamatteksts2Rakstz"/>
    <w:rsid w:val="005B2BB4"/>
    <w:pPr>
      <w:spacing w:after="120" w:line="480" w:lineRule="auto"/>
    </w:pPr>
  </w:style>
  <w:style w:type="character" w:customStyle="1" w:styleId="Pamatteksts2Rakstz">
    <w:name w:val="Pamatteksts 2 Rakstz."/>
    <w:link w:val="Pamatteksts2"/>
    <w:locked/>
    <w:rsid w:val="005B2BB4"/>
    <w:rPr>
      <w:sz w:val="24"/>
      <w:szCs w:val="24"/>
      <w:lang w:val="lv-LV" w:eastAsia="lv-LV" w:bidi="ar-SA"/>
    </w:rPr>
  </w:style>
  <w:style w:type="character" w:customStyle="1" w:styleId="KjeneRakstz">
    <w:name w:val="Kājene Rakstz."/>
    <w:link w:val="Kjene"/>
    <w:locked/>
    <w:rsid w:val="005B2BB4"/>
    <w:rPr>
      <w:sz w:val="24"/>
      <w:szCs w:val="24"/>
      <w:lang w:val="lv-LV" w:eastAsia="lv-LV" w:bidi="ar-SA"/>
    </w:rPr>
  </w:style>
  <w:style w:type="paragraph" w:customStyle="1" w:styleId="naisnod">
    <w:name w:val="naisnod"/>
    <w:basedOn w:val="Parastais"/>
    <w:rsid w:val="00E96AEC"/>
    <w:pPr>
      <w:spacing w:before="100" w:beforeAutospacing="1" w:after="100" w:afterAutospacing="1"/>
    </w:pPr>
  </w:style>
  <w:style w:type="paragraph" w:styleId="Bezatstarpm">
    <w:name w:val="No Spacing"/>
    <w:uiPriority w:val="1"/>
    <w:qFormat/>
    <w:rsid w:val="00E96AEC"/>
    <w:rPr>
      <w:rFonts w:ascii="Calibri" w:eastAsia="Calibri" w:hAnsi="Calibri"/>
      <w:sz w:val="22"/>
      <w:szCs w:val="22"/>
      <w:lang w:eastAsia="en-US"/>
    </w:rPr>
  </w:style>
  <w:style w:type="character" w:styleId="Izclums">
    <w:name w:val="Emphasis"/>
    <w:uiPriority w:val="20"/>
    <w:qFormat/>
    <w:rsid w:val="00E96AEC"/>
    <w:rPr>
      <w:i/>
      <w:iCs/>
    </w:rPr>
  </w:style>
  <w:style w:type="character" w:customStyle="1" w:styleId="spelle">
    <w:name w:val="spelle"/>
    <w:rsid w:val="00D44A72"/>
  </w:style>
  <w:style w:type="character" w:customStyle="1" w:styleId="KomentratekstsRakstz">
    <w:name w:val="Komentāra teksts Rakstz."/>
    <w:link w:val="Komentrateksts"/>
    <w:uiPriority w:val="99"/>
    <w:semiHidden/>
    <w:rsid w:val="00BC32BC"/>
  </w:style>
  <w:style w:type="character" w:customStyle="1" w:styleId="Bodytext">
    <w:name w:val="Body text_"/>
    <w:basedOn w:val="Noklusjumarindkopasfonts"/>
    <w:link w:val="Bodytext0"/>
    <w:rsid w:val="00894236"/>
    <w:rPr>
      <w:sz w:val="23"/>
      <w:szCs w:val="23"/>
      <w:shd w:val="clear" w:color="auto" w:fill="FFFFFF"/>
    </w:rPr>
  </w:style>
  <w:style w:type="character" w:customStyle="1" w:styleId="SarakstarindkopaRakstz">
    <w:name w:val="Saraksta rindkopa Rakstz."/>
    <w:aliases w:val="2 Rakstz.,List Paragraph Rakstz."/>
    <w:link w:val="Sarakstarindkopa"/>
    <w:uiPriority w:val="34"/>
    <w:locked/>
    <w:rsid w:val="00894236"/>
    <w:rPr>
      <w:rFonts w:eastAsia="Calibri"/>
      <w:sz w:val="28"/>
    </w:rPr>
  </w:style>
  <w:style w:type="character" w:customStyle="1" w:styleId="Bodytext115ptItalic">
    <w:name w:val="Body text + 11.5 pt;Italic"/>
    <w:basedOn w:val="Bodytext"/>
    <w:rsid w:val="00894236"/>
    <w:rPr>
      <w:i/>
      <w:iCs/>
    </w:rPr>
  </w:style>
  <w:style w:type="paragraph" w:styleId="Vienkrsteksts">
    <w:name w:val="Plain Text"/>
    <w:basedOn w:val="Parastais"/>
    <w:link w:val="VienkrstekstsRakstz"/>
    <w:uiPriority w:val="99"/>
    <w:unhideWhenUsed/>
    <w:rsid w:val="00894236"/>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894236"/>
    <w:rPr>
      <w:rFonts w:ascii="Calibri" w:eastAsia="Calibri" w:hAnsi="Calibri" w:cs="Times New Roman"/>
      <w:sz w:val="22"/>
      <w:szCs w:val="21"/>
      <w:lang w:eastAsia="en-US"/>
    </w:rPr>
  </w:style>
  <w:style w:type="character" w:customStyle="1" w:styleId="Bodytext6">
    <w:name w:val="Body text (6)_"/>
    <w:basedOn w:val="Noklusjumarindkopasfonts"/>
    <w:link w:val="Bodytext60"/>
    <w:rsid w:val="00894236"/>
    <w:rPr>
      <w:rFonts w:ascii="Arial Narrow" w:eastAsia="Arial Narrow" w:hAnsi="Arial Narrow" w:cs="Arial Narrow"/>
      <w:sz w:val="23"/>
      <w:szCs w:val="23"/>
      <w:shd w:val="clear" w:color="auto" w:fill="FFFFFF"/>
    </w:rPr>
  </w:style>
  <w:style w:type="paragraph" w:customStyle="1" w:styleId="Bodytext60">
    <w:name w:val="Body text (6)"/>
    <w:basedOn w:val="Parastais"/>
    <w:link w:val="Bodytext6"/>
    <w:rsid w:val="00894236"/>
    <w:pPr>
      <w:shd w:val="clear" w:color="auto" w:fill="FFFFFF"/>
      <w:spacing w:line="0" w:lineRule="atLeast"/>
    </w:pPr>
    <w:rPr>
      <w:rFonts w:ascii="Arial Narrow" w:eastAsia="Arial Narrow" w:hAnsi="Arial Narrow" w:cs="Arial Narrow"/>
      <w:sz w:val="23"/>
      <w:szCs w:val="23"/>
    </w:rPr>
  </w:style>
  <w:style w:type="paragraph" w:customStyle="1" w:styleId="Bodytext0">
    <w:name w:val="Body text"/>
    <w:basedOn w:val="Parastais"/>
    <w:link w:val="Bodytext"/>
    <w:rsid w:val="00894236"/>
    <w:pPr>
      <w:shd w:val="clear" w:color="auto" w:fill="FFFFFF"/>
      <w:spacing w:after="60" w:line="0" w:lineRule="atLeast"/>
    </w:pPr>
    <w:rPr>
      <w:sz w:val="23"/>
      <w:szCs w:val="23"/>
    </w:rPr>
  </w:style>
  <w:style w:type="character" w:customStyle="1" w:styleId="GalveneRakstz">
    <w:name w:val="Galvene Rakstz."/>
    <w:aliases w:val="18pt Bold Rakstz."/>
    <w:link w:val="Galvene"/>
    <w:uiPriority w:val="99"/>
    <w:rsid w:val="00FE262A"/>
    <w:rPr>
      <w:sz w:val="24"/>
      <w:szCs w:val="24"/>
    </w:rPr>
  </w:style>
</w:styles>
</file>

<file path=word/webSettings.xml><?xml version="1.0" encoding="utf-8"?>
<w:webSettings xmlns:r="http://schemas.openxmlformats.org/officeDocument/2006/relationships" xmlns:w="http://schemas.openxmlformats.org/wordprocessingml/2006/main">
  <w:divs>
    <w:div w:id="323048547">
      <w:bodyDiv w:val="1"/>
      <w:marLeft w:val="0"/>
      <w:marRight w:val="0"/>
      <w:marTop w:val="0"/>
      <w:marBottom w:val="0"/>
      <w:divBdr>
        <w:top w:val="none" w:sz="0" w:space="0" w:color="auto"/>
        <w:left w:val="none" w:sz="0" w:space="0" w:color="auto"/>
        <w:bottom w:val="none" w:sz="0" w:space="0" w:color="auto"/>
        <w:right w:val="none" w:sz="0" w:space="0" w:color="auto"/>
      </w:divBdr>
    </w:div>
    <w:div w:id="422457611">
      <w:bodyDiv w:val="1"/>
      <w:marLeft w:val="0"/>
      <w:marRight w:val="0"/>
      <w:marTop w:val="0"/>
      <w:marBottom w:val="0"/>
      <w:divBdr>
        <w:top w:val="none" w:sz="0" w:space="0" w:color="auto"/>
        <w:left w:val="none" w:sz="0" w:space="0" w:color="auto"/>
        <w:bottom w:val="none" w:sz="0" w:space="0" w:color="auto"/>
        <w:right w:val="none" w:sz="0" w:space="0" w:color="auto"/>
      </w:divBdr>
    </w:div>
    <w:div w:id="537550695">
      <w:bodyDiv w:val="1"/>
      <w:marLeft w:val="0"/>
      <w:marRight w:val="0"/>
      <w:marTop w:val="0"/>
      <w:marBottom w:val="0"/>
      <w:divBdr>
        <w:top w:val="none" w:sz="0" w:space="0" w:color="auto"/>
        <w:left w:val="none" w:sz="0" w:space="0" w:color="auto"/>
        <w:bottom w:val="none" w:sz="0" w:space="0" w:color="auto"/>
        <w:right w:val="none" w:sz="0" w:space="0" w:color="auto"/>
      </w:divBdr>
    </w:div>
    <w:div w:id="680820462">
      <w:bodyDiv w:val="1"/>
      <w:marLeft w:val="0"/>
      <w:marRight w:val="0"/>
      <w:marTop w:val="0"/>
      <w:marBottom w:val="0"/>
      <w:divBdr>
        <w:top w:val="none" w:sz="0" w:space="0" w:color="auto"/>
        <w:left w:val="none" w:sz="0" w:space="0" w:color="auto"/>
        <w:bottom w:val="none" w:sz="0" w:space="0" w:color="auto"/>
        <w:right w:val="none" w:sz="0" w:space="0" w:color="auto"/>
      </w:divBdr>
    </w:div>
    <w:div w:id="774443941">
      <w:bodyDiv w:val="1"/>
      <w:marLeft w:val="0"/>
      <w:marRight w:val="0"/>
      <w:marTop w:val="0"/>
      <w:marBottom w:val="0"/>
      <w:divBdr>
        <w:top w:val="none" w:sz="0" w:space="0" w:color="auto"/>
        <w:left w:val="none" w:sz="0" w:space="0" w:color="auto"/>
        <w:bottom w:val="none" w:sz="0" w:space="0" w:color="auto"/>
        <w:right w:val="none" w:sz="0" w:space="0" w:color="auto"/>
      </w:divBdr>
    </w:div>
    <w:div w:id="880940153">
      <w:bodyDiv w:val="1"/>
      <w:marLeft w:val="0"/>
      <w:marRight w:val="0"/>
      <w:marTop w:val="0"/>
      <w:marBottom w:val="0"/>
      <w:divBdr>
        <w:top w:val="none" w:sz="0" w:space="0" w:color="auto"/>
        <w:left w:val="none" w:sz="0" w:space="0" w:color="auto"/>
        <w:bottom w:val="none" w:sz="0" w:space="0" w:color="auto"/>
        <w:right w:val="none" w:sz="0" w:space="0" w:color="auto"/>
      </w:divBdr>
    </w:div>
    <w:div w:id="1474372445">
      <w:bodyDiv w:val="1"/>
      <w:marLeft w:val="0"/>
      <w:marRight w:val="0"/>
      <w:marTop w:val="0"/>
      <w:marBottom w:val="0"/>
      <w:divBdr>
        <w:top w:val="none" w:sz="0" w:space="0" w:color="auto"/>
        <w:left w:val="none" w:sz="0" w:space="0" w:color="auto"/>
        <w:bottom w:val="none" w:sz="0" w:space="0" w:color="auto"/>
        <w:right w:val="none" w:sz="0" w:space="0" w:color="auto"/>
      </w:divBdr>
    </w:div>
    <w:div w:id="1541549666">
      <w:bodyDiv w:val="1"/>
      <w:marLeft w:val="0"/>
      <w:marRight w:val="0"/>
      <w:marTop w:val="0"/>
      <w:marBottom w:val="0"/>
      <w:divBdr>
        <w:top w:val="none" w:sz="0" w:space="0" w:color="auto"/>
        <w:left w:val="none" w:sz="0" w:space="0" w:color="auto"/>
        <w:bottom w:val="none" w:sz="0" w:space="0" w:color="auto"/>
        <w:right w:val="none" w:sz="0" w:space="0" w:color="auto"/>
      </w:divBdr>
    </w:div>
    <w:div w:id="1782996765">
      <w:bodyDiv w:val="1"/>
      <w:marLeft w:val="0"/>
      <w:marRight w:val="0"/>
      <w:marTop w:val="0"/>
      <w:marBottom w:val="0"/>
      <w:divBdr>
        <w:top w:val="none" w:sz="0" w:space="0" w:color="auto"/>
        <w:left w:val="none" w:sz="0" w:space="0" w:color="auto"/>
        <w:bottom w:val="none" w:sz="0" w:space="0" w:color="auto"/>
        <w:right w:val="none" w:sz="0" w:space="0" w:color="auto"/>
      </w:divBdr>
    </w:div>
    <w:div w:id="1880509380">
      <w:bodyDiv w:val="1"/>
      <w:marLeft w:val="0"/>
      <w:marRight w:val="0"/>
      <w:marTop w:val="0"/>
      <w:marBottom w:val="0"/>
      <w:divBdr>
        <w:top w:val="none" w:sz="0" w:space="0" w:color="auto"/>
        <w:left w:val="none" w:sz="0" w:space="0" w:color="auto"/>
        <w:bottom w:val="none" w:sz="0" w:space="0" w:color="auto"/>
        <w:right w:val="none" w:sz="0" w:space="0" w:color="auto"/>
      </w:divBdr>
    </w:div>
    <w:div w:id="1994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561C-A02D-4913-8A47-276CA30B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2551</Words>
  <Characters>17555</Characters>
  <Application>Microsoft Office Word</Application>
  <DocSecurity>0</DocSecurity>
  <Lines>146</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kabioneta rīkojuma projekta "Par apropriācijas pārdali" sākotnējās ietekmes novērtējuma ziņojums (anotācija)</vt:lpstr>
      <vt:lpstr>Ministru kabioneta rīkojuma projekta "Par apropriācijas pārdali" sākotnējās ietekmes novērtējuma ziņojums (anotācija)</vt:lpstr>
    </vt:vector>
  </TitlesOfParts>
  <Company>Zemkopības ministrija</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Baiba Zakevica</dc:creator>
  <cp:keywords>KMAnot_280917_PIKC_baznicas</cp:keywords>
  <dc:description>67330260
Baiba.Zakevica@km.gov.lv</dc:description>
  <cp:lastModifiedBy>Dzintra Rozīte</cp:lastModifiedBy>
  <cp:revision>8</cp:revision>
  <cp:lastPrinted>2017-08-28T08:10:00Z</cp:lastPrinted>
  <dcterms:created xsi:type="dcterms:W3CDTF">2017-09-28T06:54:00Z</dcterms:created>
  <dcterms:modified xsi:type="dcterms:W3CDTF">2017-09-28T08:32:00Z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