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88" w:rsidRDefault="000A2D88" w:rsidP="000A2D88">
      <w:pPr>
        <w:spacing w:after="0" w:line="240" w:lineRule="auto"/>
        <w:jc w:val="center"/>
        <w:rPr>
          <w:rFonts w:eastAsia="Times New Roman"/>
          <w:b/>
          <w:sz w:val="28"/>
          <w:szCs w:val="28"/>
          <w:lang w:eastAsia="lv-LV"/>
        </w:rPr>
      </w:pPr>
      <w:bookmarkStart w:id="0" w:name="OLE_LINK7"/>
      <w:bookmarkStart w:id="1" w:name="OLE_LINK8"/>
      <w:r>
        <w:rPr>
          <w:rFonts w:eastAsia="Times New Roman"/>
          <w:b/>
          <w:bCs/>
          <w:sz w:val="28"/>
          <w:szCs w:val="28"/>
          <w:lang w:eastAsia="lv-LV"/>
        </w:rPr>
        <w:t>Ministru kabineta rīkojuma projekta</w:t>
      </w:r>
    </w:p>
    <w:p w:rsidR="000A2D88" w:rsidRDefault="000A2D88" w:rsidP="000A2D88">
      <w:pPr>
        <w:spacing w:after="0" w:line="240" w:lineRule="auto"/>
        <w:jc w:val="center"/>
        <w:rPr>
          <w:b/>
          <w:sz w:val="28"/>
          <w:szCs w:val="28"/>
        </w:rPr>
      </w:pPr>
      <w:r>
        <w:rPr>
          <w:b/>
          <w:sz w:val="28"/>
          <w:szCs w:val="28"/>
        </w:rPr>
        <w:t>„Par valstij dividendēs izmaksājamo valsts sabiedrības ar ierobežotu atbildību „Daugavpils teātris” peļņas daļu” sākotnējās ietekmes novērtējuma ziņojums (anotācija</w:t>
      </w:r>
      <w:bookmarkEnd w:id="0"/>
      <w:bookmarkEnd w:id="1"/>
      <w:r>
        <w:rPr>
          <w:b/>
          <w:sz w:val="28"/>
          <w:szCs w:val="28"/>
        </w:rPr>
        <w:t>)</w:t>
      </w:r>
    </w:p>
    <w:p w:rsidR="000A2D88" w:rsidRDefault="000A2D88" w:rsidP="000A2D88">
      <w:pPr>
        <w:spacing w:after="0" w:line="240" w:lineRule="auto"/>
        <w:rPr>
          <w:b/>
          <w:sz w:val="28"/>
          <w:szCs w:val="28"/>
        </w:rPr>
      </w:pPr>
    </w:p>
    <w:tbl>
      <w:tblPr>
        <w:tblW w:w="499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
        <w:gridCol w:w="2977"/>
        <w:gridCol w:w="5524"/>
      </w:tblGrid>
      <w:tr w:rsidR="000A2D88" w:rsidTr="007D511F">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 I. Tiesību akta projekta izstrādes nepieciešamība</w:t>
            </w:r>
          </w:p>
        </w:tc>
      </w:tr>
      <w:tr w:rsidR="000A2D88" w:rsidTr="00C31143">
        <w:trPr>
          <w:trHeight w:val="7635"/>
        </w:trPr>
        <w:tc>
          <w:tcPr>
            <w:tcW w:w="31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27"/>
              <w:rPr>
                <w:rFonts w:eastAsia="Times New Roman"/>
                <w:sz w:val="28"/>
                <w:szCs w:val="28"/>
                <w:lang w:eastAsia="lv-LV"/>
              </w:rPr>
            </w:pPr>
            <w:r>
              <w:rPr>
                <w:rFonts w:eastAsia="Times New Roman"/>
                <w:sz w:val="28"/>
                <w:szCs w:val="28"/>
                <w:lang w:eastAsia="lv-LV"/>
              </w:rPr>
              <w:t>Pamatojums</w:t>
            </w:r>
          </w:p>
        </w:tc>
        <w:tc>
          <w:tcPr>
            <w:tcW w:w="3043" w:type="pct"/>
            <w:tcBorders>
              <w:top w:val="outset" w:sz="6" w:space="0" w:color="auto"/>
              <w:left w:val="outset" w:sz="6" w:space="0" w:color="auto"/>
              <w:bottom w:val="outset" w:sz="6" w:space="0" w:color="auto"/>
              <w:right w:val="outset" w:sz="6" w:space="0" w:color="auto"/>
            </w:tcBorders>
            <w:hideMark/>
          </w:tcPr>
          <w:p w:rsidR="000A2D88" w:rsidRDefault="000A2D88" w:rsidP="000A2D88">
            <w:pPr>
              <w:spacing w:after="0" w:line="240" w:lineRule="auto"/>
              <w:ind w:left="127" w:right="140"/>
              <w:jc w:val="both"/>
              <w:rPr>
                <w:rFonts w:eastAsia="Times New Roman"/>
                <w:bCs/>
                <w:sz w:val="28"/>
                <w:szCs w:val="28"/>
                <w:lang w:eastAsia="lv-LV"/>
              </w:rPr>
            </w:pPr>
            <w:r>
              <w:rPr>
                <w:sz w:val="28"/>
                <w:szCs w:val="28"/>
              </w:rPr>
              <w:t>Ministru kabineta rīkojuma projekts „Par valstij dividendēs izmaksājamo valsts sabiedrības ar ierobežotu atbildību „Daugavpils teātris”</w:t>
            </w:r>
            <w:r>
              <w:rPr>
                <w:b/>
                <w:sz w:val="28"/>
                <w:szCs w:val="28"/>
              </w:rPr>
              <w:t xml:space="preserve"> </w:t>
            </w:r>
            <w:r>
              <w:rPr>
                <w:sz w:val="28"/>
                <w:szCs w:val="28"/>
              </w:rPr>
              <w:t xml:space="preserve">peļņas daļu” (turpmāk – Projekts) sagatavots saskaņā ar Likuma par budžetu un finanšu vadību 5.panta otro daļu, </w:t>
            </w:r>
            <w:hyperlink r:id="rId6" w:tgtFrame="_blank" w:history="1">
              <w:r>
                <w:rPr>
                  <w:rStyle w:val="Hipersaite"/>
                  <w:rFonts w:eastAsia="Times New Roman"/>
                  <w:iCs/>
                  <w:color w:val="auto"/>
                  <w:sz w:val="28"/>
                  <w:szCs w:val="28"/>
                  <w:u w:val="none"/>
                  <w:lang w:eastAsia="lv-LV"/>
                </w:rPr>
                <w:t>Publiskas personas kapitāla daļu un kapitālsabiedrību pārvaldības likuma</w:t>
              </w:r>
            </w:hyperlink>
            <w:r>
              <w:rPr>
                <w:rFonts w:eastAsia="Times New Roman"/>
                <w:iCs/>
                <w:sz w:val="28"/>
                <w:szCs w:val="28"/>
                <w:lang w:eastAsia="lv-LV"/>
              </w:rPr>
              <w:t xml:space="preserve"> </w:t>
            </w:r>
            <w:hyperlink r:id="rId7" w:anchor="p28" w:tgtFrame="_blank" w:history="1">
              <w:r>
                <w:rPr>
                  <w:rStyle w:val="Hipersaite"/>
                  <w:rFonts w:eastAsia="Times New Roman"/>
                  <w:iCs/>
                  <w:color w:val="auto"/>
                  <w:sz w:val="28"/>
                  <w:szCs w:val="28"/>
                  <w:u w:val="none"/>
                  <w:lang w:eastAsia="lv-LV"/>
                </w:rPr>
                <w:t>28.panta</w:t>
              </w:r>
            </w:hyperlink>
            <w:r>
              <w:rPr>
                <w:rFonts w:eastAsia="Times New Roman"/>
                <w:iCs/>
                <w:sz w:val="28"/>
                <w:szCs w:val="28"/>
                <w:lang w:eastAsia="lv-LV"/>
              </w:rPr>
              <w:t xml:space="preserve"> pirmo daļu</w:t>
            </w:r>
            <w:r>
              <w:rPr>
                <w:sz w:val="28"/>
                <w:szCs w:val="28"/>
              </w:rPr>
              <w:t xml:space="preserve"> un Ministru kabineta 2015.gada 22.decembra noteikumu Nr.806 „</w:t>
            </w:r>
            <w:r>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8" w:anchor="p3" w:tgtFrame="_blank" w:history="1">
              <w:r>
                <w:rPr>
                  <w:rStyle w:val="Hipersaite"/>
                  <w:color w:val="auto"/>
                  <w:sz w:val="28"/>
                  <w:szCs w:val="28"/>
                  <w:u w:val="none"/>
                </w:rPr>
                <w:t>3.punktā</w:t>
              </w:r>
            </w:hyperlink>
            <w:r>
              <w:rPr>
                <w:sz w:val="28"/>
                <w:szCs w:val="28"/>
              </w:rPr>
              <w:t xml:space="preserve"> vai citos tiesību aktos.</w:t>
            </w:r>
          </w:p>
        </w:tc>
      </w:tr>
      <w:tr w:rsidR="000A2D88" w:rsidTr="00C31143">
        <w:trPr>
          <w:trHeight w:val="263"/>
        </w:trPr>
        <w:tc>
          <w:tcPr>
            <w:tcW w:w="31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27"/>
              <w:rPr>
                <w:rFonts w:eastAsia="Times New Roman"/>
                <w:sz w:val="28"/>
                <w:szCs w:val="28"/>
                <w:lang w:eastAsia="lv-LV"/>
              </w:rPr>
            </w:pPr>
            <w:r>
              <w:rPr>
                <w:sz w:val="28"/>
                <w:szCs w:val="28"/>
              </w:rPr>
              <w:t>Pašreizējā situācija un problēmas, kuru risināšanai tiesību akta projekts izstrādāts, tiesiskā regulējuma mērķis un būtība</w:t>
            </w:r>
          </w:p>
        </w:tc>
        <w:tc>
          <w:tcPr>
            <w:tcW w:w="3043" w:type="pct"/>
            <w:tcBorders>
              <w:top w:val="outset" w:sz="6" w:space="0" w:color="auto"/>
              <w:left w:val="outset" w:sz="6" w:space="0" w:color="auto"/>
              <w:bottom w:val="outset" w:sz="6" w:space="0" w:color="auto"/>
              <w:right w:val="outset" w:sz="6" w:space="0" w:color="auto"/>
            </w:tcBorders>
          </w:tcPr>
          <w:p w:rsidR="000A2D88" w:rsidRDefault="000A2D88" w:rsidP="007D511F">
            <w:pPr>
              <w:spacing w:after="0" w:line="240" w:lineRule="auto"/>
              <w:ind w:left="125" w:right="140"/>
              <w:jc w:val="both"/>
              <w:rPr>
                <w:sz w:val="28"/>
                <w:szCs w:val="28"/>
              </w:rPr>
            </w:pPr>
            <w:r>
              <w:rPr>
                <w:sz w:val="28"/>
                <w:szCs w:val="28"/>
              </w:rPr>
              <w:t>Valsts sabiedrība ar ierobežotu atbildību „Daugavpils teātris” (turpmāk – kapitālsabiedrība) ir valsts kapitālsabiedrība, kurā 100% kapitāla daļu turētāja ir Kultūras ministrija.</w:t>
            </w:r>
          </w:p>
          <w:p w:rsidR="000A2D88" w:rsidRDefault="000A2D88" w:rsidP="007D511F">
            <w:pPr>
              <w:spacing w:after="0" w:line="0" w:lineRule="atLeast"/>
              <w:ind w:left="125" w:right="140"/>
              <w:jc w:val="both"/>
              <w:rPr>
                <w:sz w:val="28"/>
                <w:szCs w:val="28"/>
              </w:rPr>
            </w:pPr>
          </w:p>
          <w:p w:rsidR="000A2D88" w:rsidRDefault="000A2D88" w:rsidP="007D511F">
            <w:pPr>
              <w:pStyle w:val="Default"/>
              <w:spacing w:line="0" w:lineRule="atLeast"/>
              <w:ind w:left="125" w:right="140"/>
              <w:jc w:val="both"/>
              <w:rPr>
                <w:rFonts w:eastAsia="Times New Roman"/>
                <w:color w:val="auto"/>
                <w:sz w:val="28"/>
                <w:szCs w:val="28"/>
                <w:lang w:eastAsia="lv-LV"/>
              </w:rPr>
            </w:pPr>
            <w:r>
              <w:rPr>
                <w:sz w:val="28"/>
                <w:szCs w:val="28"/>
              </w:rPr>
              <w:t xml:space="preserve">Viens no kapitālsabiedrības vidēja termiņa stratēģijas projektā „Valsts sabiedrības ar ierobežotu atbildību „Daugavpils teātris” vidēja termiņa darbības stratēģija 2017.–2021.gadam” </w:t>
            </w:r>
            <w:r w:rsidRPr="000964F6">
              <w:rPr>
                <w:color w:val="auto"/>
                <w:sz w:val="28"/>
                <w:szCs w:val="28"/>
              </w:rPr>
              <w:t xml:space="preserve">noteiktajiem finanšu virsmērķiem ir </w:t>
            </w:r>
            <w:r w:rsidRPr="000964F6">
              <w:rPr>
                <w:rFonts w:eastAsia="Times New Roman"/>
                <w:color w:val="auto"/>
                <w:sz w:val="28"/>
                <w:szCs w:val="28"/>
                <w:lang w:eastAsia="lv-LV"/>
              </w:rPr>
              <w:t xml:space="preserve">kultūras institūcijas finanšu </w:t>
            </w:r>
            <w:r w:rsidRPr="000964F6">
              <w:rPr>
                <w:rFonts w:eastAsia="Times New Roman"/>
                <w:color w:val="auto"/>
                <w:sz w:val="28"/>
                <w:szCs w:val="28"/>
                <w:lang w:eastAsia="lv-LV"/>
              </w:rPr>
              <w:lastRenderedPageBreak/>
              <w:t>stabilitāte</w:t>
            </w:r>
            <w:r w:rsidRPr="000964F6">
              <w:rPr>
                <w:color w:val="auto"/>
                <w:sz w:val="28"/>
                <w:szCs w:val="28"/>
              </w:rPr>
              <w:t>, kurš sastāv no tādiem finanšu mērķiem kā rentabilitāte, plānoto pašu ieņēmumu īpatsvars pret apgrozījumu, biļešu ieņēmumi, pārējie pašu ieņēmumi, peļņa, un kopējais likviditātes rādītājs.</w:t>
            </w:r>
            <w:r>
              <w:rPr>
                <w:sz w:val="28"/>
                <w:szCs w:val="28"/>
              </w:rPr>
              <w:t xml:space="preserve"> Tā kā kapitālsabiedrības darbības primārais mērķis nav peļņas gūšana, bet gan deleģēto valsts pārvaldes uzdevumu veikšana atbilstoši Kultūras institūciju likuma 23.panta otrajai daļai, kapitālsabiedrības </w:t>
            </w:r>
            <w:r w:rsidRPr="000D2E19">
              <w:rPr>
                <w:color w:val="auto"/>
                <w:sz w:val="28"/>
                <w:szCs w:val="28"/>
              </w:rPr>
              <w:t xml:space="preserve">ikgadējo prognozējamo dividendēs izmaksājamo peļņas daļu nepieciešams novirzīt </w:t>
            </w:r>
            <w:r w:rsidRPr="000D2E19">
              <w:rPr>
                <w:rFonts w:eastAsia="Times New Roman"/>
                <w:color w:val="auto"/>
                <w:sz w:val="28"/>
                <w:szCs w:val="28"/>
                <w:lang w:eastAsia="lv-LV"/>
              </w:rPr>
              <w:t xml:space="preserve">kapitālsabiedrības tehniskās un tehnoloģiskās darbības pilnveidošanai. </w:t>
            </w:r>
          </w:p>
          <w:p w:rsidR="000A2D88" w:rsidRPr="000D2E19" w:rsidRDefault="000A2D88" w:rsidP="007D511F">
            <w:pPr>
              <w:pStyle w:val="Default"/>
              <w:spacing w:line="0" w:lineRule="atLeast"/>
              <w:ind w:left="125" w:right="140"/>
              <w:jc w:val="both"/>
              <w:rPr>
                <w:rFonts w:asciiTheme="minorHAnsi" w:hAnsiTheme="minorHAnsi" w:cstheme="minorBidi"/>
                <w:color w:val="auto"/>
                <w:sz w:val="28"/>
                <w:szCs w:val="28"/>
              </w:rPr>
            </w:pPr>
          </w:p>
          <w:p w:rsidR="000A2D88" w:rsidRDefault="000A2D88" w:rsidP="007D511F">
            <w:pPr>
              <w:spacing w:after="0" w:line="240" w:lineRule="auto"/>
              <w:ind w:left="125" w:right="140"/>
              <w:jc w:val="both"/>
              <w:rPr>
                <w:sz w:val="28"/>
                <w:szCs w:val="28"/>
              </w:rPr>
            </w:pPr>
            <w:r>
              <w:rPr>
                <w:sz w:val="28"/>
                <w:szCs w:val="28"/>
              </w:rPr>
              <w:t xml:space="preserve">Saskaņā ar likuma „Par vidēja termiņa budžeta ietvaru 2017., 2018. un 2019.gadam” </w:t>
            </w:r>
            <w:r>
              <w:rPr>
                <w:bCs/>
                <w:sz w:val="28"/>
                <w:szCs w:val="28"/>
              </w:rPr>
              <w:t xml:space="preserve">19.panta pirmo daļu </w:t>
            </w:r>
            <w:r>
              <w:rPr>
                <w:sz w:val="28"/>
                <w:szCs w:val="28"/>
              </w:rPr>
              <w:t>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apmērā no attiecīgās kapitālsabiedrības tīrās peļņas, ja likumā „Par vidēja termiņa budžeta ietvaru 2017., 2018. un 2019.gadam” nav noteikts citādi.</w:t>
            </w:r>
          </w:p>
          <w:p w:rsidR="000A2D88" w:rsidRDefault="000A2D88" w:rsidP="007D511F">
            <w:pPr>
              <w:spacing w:after="0" w:line="240" w:lineRule="auto"/>
              <w:ind w:left="125"/>
              <w:jc w:val="both"/>
              <w:rPr>
                <w:sz w:val="28"/>
                <w:szCs w:val="28"/>
              </w:rPr>
            </w:pPr>
          </w:p>
          <w:p w:rsidR="000A2D88" w:rsidRDefault="000A2D88" w:rsidP="007D511F">
            <w:pPr>
              <w:pStyle w:val="tv2132"/>
              <w:spacing w:line="240" w:lineRule="auto"/>
              <w:ind w:left="127" w:right="140" w:firstLine="0"/>
              <w:jc w:val="both"/>
              <w:rPr>
                <w:color w:val="auto"/>
                <w:sz w:val="28"/>
                <w:szCs w:val="28"/>
              </w:rPr>
            </w:pPr>
            <w:r>
              <w:rPr>
                <w:color w:val="auto"/>
                <w:sz w:val="28"/>
                <w:szCs w:val="28"/>
              </w:rPr>
              <w:t xml:space="preserve">Likuma „Par vidēja termiņa budžeta ietvaru 2017., 2018. un 2019.gadam” </w:t>
            </w:r>
            <w:r>
              <w:rPr>
                <w:bCs/>
                <w:color w:val="auto"/>
                <w:sz w:val="28"/>
                <w:szCs w:val="28"/>
              </w:rPr>
              <w:t xml:space="preserve">19.panta otrā daļa nosaka, ka </w:t>
            </w:r>
            <w:r>
              <w:rPr>
                <w:color w:val="auto"/>
                <w:sz w:val="28"/>
                <w:szCs w:val="28"/>
              </w:rPr>
              <w:t>Ministru kabinets normatīvajos aktos noteiktajos gadījumos un kārtībā var pieņemt lēmumu par atšķirīgu dividendēs izmaksājamo minimālo peļņas daļu.</w:t>
            </w:r>
          </w:p>
          <w:p w:rsidR="000A2D88" w:rsidRDefault="000A2D88" w:rsidP="007D511F">
            <w:pPr>
              <w:pStyle w:val="tv2132"/>
              <w:spacing w:line="240" w:lineRule="auto"/>
              <w:ind w:left="127" w:firstLine="0"/>
              <w:jc w:val="both"/>
              <w:rPr>
                <w:color w:val="auto"/>
                <w:sz w:val="28"/>
                <w:szCs w:val="28"/>
              </w:rPr>
            </w:pPr>
          </w:p>
          <w:p w:rsidR="000A2D88" w:rsidRDefault="000A2D88" w:rsidP="007D511F">
            <w:pPr>
              <w:pStyle w:val="tv2132"/>
              <w:spacing w:line="240" w:lineRule="auto"/>
              <w:ind w:left="127" w:right="140" w:firstLine="0"/>
              <w:jc w:val="both"/>
              <w:rPr>
                <w:rFonts w:eastAsiaTheme="minorHAnsi"/>
                <w:color w:val="auto"/>
                <w:sz w:val="28"/>
                <w:szCs w:val="28"/>
                <w:lang w:eastAsia="en-US"/>
              </w:rPr>
            </w:pPr>
            <w:r>
              <w:rPr>
                <w:rFonts w:eastAsiaTheme="minorHAnsi"/>
                <w:color w:val="auto"/>
                <w:sz w:val="28"/>
                <w:szCs w:val="28"/>
                <w:lang w:eastAsia="en-US"/>
              </w:rPr>
              <w:t xml:space="preserve">Noteikumu Nr.806 </w:t>
            </w:r>
            <w:bookmarkStart w:id="2" w:name="p-575084"/>
            <w:bookmarkStart w:id="3" w:name="p5"/>
            <w:bookmarkEnd w:id="2"/>
            <w:bookmarkEnd w:id="3"/>
            <w:r>
              <w:rPr>
                <w:rFonts w:eastAsiaTheme="minorHAnsi"/>
                <w:color w:val="auto"/>
                <w:sz w:val="28"/>
                <w:szCs w:val="28"/>
                <w:lang w:eastAsia="en-US"/>
              </w:rPr>
              <w:t xml:space="preserve">5.punkts nosaka, ka </w:t>
            </w:r>
            <w:r>
              <w:rPr>
                <w:rFonts w:eastAsiaTheme="minorHAnsi"/>
                <w:color w:val="auto"/>
                <w:sz w:val="28"/>
                <w:szCs w:val="28"/>
                <w:lang w:eastAsia="en-US"/>
              </w:rPr>
              <w:lastRenderedPageBreak/>
              <w:t xml:space="preserve">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9" w:anchor="p3" w:tgtFrame="_blank" w:history="1">
              <w:r>
                <w:rPr>
                  <w:rStyle w:val="Hipersaite"/>
                  <w:rFonts w:eastAsiaTheme="minorHAnsi"/>
                  <w:color w:val="auto"/>
                  <w:sz w:val="28"/>
                  <w:szCs w:val="28"/>
                  <w:u w:val="none"/>
                  <w:lang w:eastAsia="en-US"/>
                </w:rPr>
                <w:t>3.punktā</w:t>
              </w:r>
            </w:hyperlink>
            <w:r>
              <w:rPr>
                <w:rFonts w:eastAsiaTheme="minorHAnsi"/>
                <w:color w:val="auto"/>
                <w:sz w:val="28"/>
                <w:szCs w:val="28"/>
                <w:lang w:eastAsia="en-US"/>
              </w:rPr>
              <w:t xml:space="preserve"> vai citos tiesību aktos.</w:t>
            </w:r>
            <w:bookmarkStart w:id="4" w:name="p-575086"/>
            <w:bookmarkStart w:id="5" w:name="p6"/>
            <w:bookmarkEnd w:id="4"/>
            <w:bookmarkEnd w:id="5"/>
            <w:r>
              <w:rPr>
                <w:rFonts w:eastAsiaTheme="minorHAnsi"/>
                <w:color w:val="auto"/>
                <w:sz w:val="28"/>
                <w:szCs w:val="28"/>
                <w:lang w:eastAsia="en-US"/>
              </w:rPr>
              <w:t xml:space="preserve"> </w:t>
            </w:r>
            <w:r>
              <w:rPr>
                <w:rFonts w:eastAsiaTheme="minorHAnsi"/>
                <w:color w:val="auto"/>
                <w:sz w:val="28"/>
                <w:szCs w:val="28"/>
              </w:rPr>
              <w:t xml:space="preserve">Noteikumu Nr.806 6.punkts nosaka, ka valsts kapitāla daļu turētājs iesniedz Ministru kabinetā Noteikumu Nr.806 </w:t>
            </w:r>
            <w:hyperlink r:id="rId10" w:anchor="p5" w:tgtFrame="_blank" w:history="1">
              <w:r>
                <w:rPr>
                  <w:rStyle w:val="Hipersaite"/>
                  <w:rFonts w:eastAsiaTheme="minorHAnsi"/>
                  <w:color w:val="auto"/>
                  <w:sz w:val="28"/>
                  <w:szCs w:val="28"/>
                  <w:u w:val="none"/>
                </w:rPr>
                <w:t>5.punktā</w:t>
              </w:r>
            </w:hyperlink>
            <w:r>
              <w:rPr>
                <w:rFonts w:eastAsiaTheme="minorHAnsi"/>
                <w:color w:val="auto"/>
                <w:sz w:val="28"/>
                <w:szCs w:val="28"/>
              </w:rPr>
              <w:t xml:space="preserve"> minēto priekšlikumu, attiecīgu Ministru kabineta rīkojuma projektu un sākotnējās ietekmes novērtējuma ziņojumu (anotāciju).</w:t>
            </w:r>
          </w:p>
          <w:p w:rsidR="000A2D88" w:rsidRDefault="000A2D88" w:rsidP="007D511F">
            <w:pPr>
              <w:spacing w:after="0" w:line="240" w:lineRule="auto"/>
              <w:ind w:left="127" w:right="140"/>
              <w:jc w:val="both"/>
              <w:rPr>
                <w:rFonts w:eastAsiaTheme="minorHAnsi"/>
                <w:sz w:val="28"/>
                <w:szCs w:val="28"/>
              </w:rPr>
            </w:pPr>
          </w:p>
          <w:p w:rsidR="000A2D88" w:rsidRDefault="000A2D88" w:rsidP="007D511F">
            <w:pPr>
              <w:autoSpaceDE w:val="0"/>
              <w:autoSpaceDN w:val="0"/>
              <w:adjustRightInd w:val="0"/>
              <w:spacing w:after="0" w:line="240" w:lineRule="auto"/>
              <w:ind w:left="142" w:right="140"/>
              <w:jc w:val="both"/>
              <w:rPr>
                <w:sz w:val="28"/>
                <w:szCs w:val="28"/>
              </w:rPr>
            </w:pPr>
            <w:r>
              <w:rPr>
                <w:sz w:val="28"/>
                <w:szCs w:val="28"/>
              </w:rPr>
              <w:t xml:space="preserve">Saskaņā ar Noteikumu Nr.806 6.3.1.1.apakšpunktu, </w:t>
            </w:r>
            <w:r>
              <w:rPr>
                <w:rFonts w:eastAsiaTheme="minorHAnsi"/>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nodrošinātu </w:t>
            </w:r>
            <w:r w:rsidR="00217688" w:rsidRPr="00217688">
              <w:rPr>
                <w:rFonts w:eastAsia="Times New Roman"/>
                <w:sz w:val="28"/>
                <w:szCs w:val="28"/>
                <w:lang w:eastAsia="lv-LV"/>
              </w:rPr>
              <w:t>dažādu žanru profesionālās teātra mākslas pieejamību latviešu, krievu un latgaliešu valodā, veicinot sabiedrības integrāciju reģionā un atbilstoši kultūrpolitiskajām prioritātēm nodrošina augstāku kvalitātes standartu teātra mākslas jomā</w:t>
            </w:r>
            <w:r w:rsidRPr="00217688">
              <w:rPr>
                <w:rFonts w:eastAsiaTheme="minorHAnsi"/>
                <w:sz w:val="28"/>
                <w:szCs w:val="28"/>
              </w:rPr>
              <w:t>,</w:t>
            </w:r>
            <w:r>
              <w:rPr>
                <w:rFonts w:eastAsiaTheme="minorHAnsi"/>
                <w:sz w:val="28"/>
                <w:szCs w:val="28"/>
              </w:rPr>
              <w:t xml:space="preserve"> kas tika noteikti, </w:t>
            </w:r>
            <w:r>
              <w:rPr>
                <w:sz w:val="28"/>
                <w:szCs w:val="28"/>
                <w:lang w:eastAsia="lv-LV"/>
              </w:rPr>
              <w:t>2015.gada 22.decembrī (sēdes protokols Nr.68) Ministru kabinetam pieņemot lēmumu par valsts līdzdalības saglabāšanu kapitālsabiedrībā</w:t>
            </w:r>
            <w:r>
              <w:rPr>
                <w:rFonts w:eastAsiaTheme="minorHAnsi"/>
                <w:sz w:val="28"/>
                <w:szCs w:val="28"/>
              </w:rPr>
              <w:t xml:space="preserve">. </w:t>
            </w:r>
            <w:r>
              <w:rPr>
                <w:sz w:val="28"/>
                <w:szCs w:val="28"/>
              </w:rPr>
              <w:t>Stratēģijā minētajā laika periodā kapitālsabiedrībai ir nepieciešami ieguldījumi</w:t>
            </w:r>
            <w:r>
              <w:rPr>
                <w:color w:val="1F497D"/>
                <w:sz w:val="28"/>
                <w:szCs w:val="28"/>
              </w:rPr>
              <w:t xml:space="preserve"> </w:t>
            </w:r>
            <w:r w:rsidR="00217688" w:rsidRPr="00217688">
              <w:rPr>
                <w:rFonts w:eastAsia="Times New Roman"/>
                <w:bCs/>
                <w:sz w:val="28"/>
                <w:szCs w:val="28"/>
                <w:lang w:eastAsia="lv-LV"/>
              </w:rPr>
              <w:t>prožektoru iegādei</w:t>
            </w:r>
            <w:r w:rsidR="00217688" w:rsidRPr="00217688">
              <w:rPr>
                <w:rFonts w:eastAsia="Times New Roman"/>
                <w:sz w:val="28"/>
                <w:szCs w:val="28"/>
                <w:lang w:eastAsia="lv-LV"/>
              </w:rPr>
              <w:t xml:space="preserve"> </w:t>
            </w:r>
            <w:r w:rsidRPr="00217688">
              <w:rPr>
                <w:rFonts w:eastAsia="Times New Roman"/>
                <w:sz w:val="28"/>
                <w:szCs w:val="28"/>
                <w:lang w:eastAsia="lv-LV"/>
              </w:rPr>
              <w:t>(</w:t>
            </w:r>
            <w:r w:rsidR="00217688" w:rsidRPr="00217688">
              <w:rPr>
                <w:rFonts w:eastAsia="Times New Roman"/>
                <w:sz w:val="28"/>
                <w:szCs w:val="28"/>
                <w:lang w:eastAsia="lv-LV"/>
              </w:rPr>
              <w:t>2</w:t>
            </w:r>
            <w:r w:rsidRPr="00217688">
              <w:rPr>
                <w:rFonts w:eastAsia="Times New Roman"/>
                <w:sz w:val="28"/>
                <w:szCs w:val="28"/>
                <w:lang w:eastAsia="lv-LV"/>
              </w:rPr>
              <w:t xml:space="preserve"> gab.) </w:t>
            </w:r>
            <w:r w:rsidR="00217688" w:rsidRPr="00217688">
              <w:rPr>
                <w:rFonts w:eastAsia="Times New Roman"/>
                <w:bCs/>
                <w:sz w:val="28"/>
                <w:szCs w:val="28"/>
                <w:lang w:eastAsia="lv-LV"/>
              </w:rPr>
              <w:t>578</w:t>
            </w:r>
            <w:r w:rsidRPr="00217688">
              <w:rPr>
                <w:rFonts w:eastAsia="Times New Roman"/>
                <w:sz w:val="28"/>
                <w:szCs w:val="28"/>
                <w:lang w:eastAsia="lv-LV"/>
              </w:rPr>
              <w:t xml:space="preserve"> </w:t>
            </w:r>
            <w:r w:rsidRPr="00217688">
              <w:rPr>
                <w:i/>
                <w:sz w:val="28"/>
                <w:szCs w:val="28"/>
              </w:rPr>
              <w:t>euro</w:t>
            </w:r>
            <w:r w:rsidRPr="00217688">
              <w:rPr>
                <w:sz w:val="28"/>
                <w:szCs w:val="28"/>
              </w:rPr>
              <w:t xml:space="preserve"> apmērā, </w:t>
            </w:r>
            <w:r w:rsidR="00217688" w:rsidRPr="00217688">
              <w:rPr>
                <w:rFonts w:eastAsia="Times New Roman"/>
                <w:bCs/>
                <w:sz w:val="28"/>
                <w:szCs w:val="28"/>
                <w:lang w:eastAsia="lv-LV"/>
              </w:rPr>
              <w:t>baleta stieņu montēšanai deju mēģinājumu zālē</w:t>
            </w:r>
            <w:r w:rsidRPr="00217688">
              <w:rPr>
                <w:rFonts w:eastAsia="Times New Roman"/>
                <w:sz w:val="28"/>
                <w:szCs w:val="28"/>
                <w:lang w:eastAsia="lv-LV"/>
              </w:rPr>
              <w:t xml:space="preserve"> </w:t>
            </w:r>
            <w:r w:rsidR="00217688" w:rsidRPr="00217688">
              <w:rPr>
                <w:rFonts w:eastAsia="Times New Roman"/>
                <w:bCs/>
                <w:sz w:val="28"/>
                <w:szCs w:val="28"/>
                <w:lang w:eastAsia="lv-LV"/>
              </w:rPr>
              <w:t xml:space="preserve">510 </w:t>
            </w:r>
            <w:r w:rsidRPr="00217688">
              <w:rPr>
                <w:i/>
                <w:sz w:val="28"/>
                <w:szCs w:val="28"/>
              </w:rPr>
              <w:t>euro</w:t>
            </w:r>
            <w:r w:rsidRPr="00217688">
              <w:rPr>
                <w:sz w:val="28"/>
                <w:szCs w:val="28"/>
              </w:rPr>
              <w:t xml:space="preserve"> apmērā, </w:t>
            </w:r>
            <w:r w:rsidR="00217688" w:rsidRPr="00217688">
              <w:rPr>
                <w:rFonts w:eastAsia="Times New Roman"/>
                <w:bCs/>
                <w:sz w:val="28"/>
                <w:szCs w:val="28"/>
                <w:lang w:eastAsia="lv-LV"/>
              </w:rPr>
              <w:t>portatīv</w:t>
            </w:r>
            <w:r w:rsidR="00217688">
              <w:rPr>
                <w:rFonts w:eastAsia="Times New Roman"/>
                <w:bCs/>
                <w:sz w:val="28"/>
                <w:szCs w:val="28"/>
                <w:lang w:eastAsia="lv-LV"/>
              </w:rPr>
              <w:t>o</w:t>
            </w:r>
            <w:r w:rsidR="00217688" w:rsidRPr="00217688">
              <w:rPr>
                <w:rFonts w:eastAsia="Times New Roman"/>
                <w:bCs/>
                <w:sz w:val="28"/>
                <w:szCs w:val="28"/>
                <w:lang w:eastAsia="lv-LV"/>
              </w:rPr>
              <w:t xml:space="preserve"> datoru i</w:t>
            </w:r>
            <w:r w:rsidRPr="00217688">
              <w:rPr>
                <w:rFonts w:eastAsia="Times New Roman"/>
                <w:sz w:val="28"/>
                <w:szCs w:val="28"/>
                <w:lang w:eastAsia="lv-LV"/>
              </w:rPr>
              <w:t xml:space="preserve">egādei </w:t>
            </w:r>
            <w:r w:rsidR="00217688" w:rsidRPr="00217688">
              <w:rPr>
                <w:rFonts w:eastAsia="Times New Roman"/>
                <w:sz w:val="28"/>
                <w:szCs w:val="28"/>
                <w:lang w:eastAsia="lv-LV"/>
              </w:rPr>
              <w:t>(2 gab.) 1 327</w:t>
            </w:r>
            <w:r w:rsidRPr="00217688">
              <w:rPr>
                <w:rFonts w:eastAsia="Times New Roman"/>
                <w:sz w:val="28"/>
                <w:szCs w:val="28"/>
                <w:lang w:eastAsia="lv-LV"/>
              </w:rPr>
              <w:t xml:space="preserve"> </w:t>
            </w:r>
            <w:r w:rsidRPr="00217688">
              <w:rPr>
                <w:i/>
                <w:sz w:val="28"/>
                <w:szCs w:val="28"/>
              </w:rPr>
              <w:t>euro</w:t>
            </w:r>
            <w:r w:rsidRPr="00217688">
              <w:rPr>
                <w:sz w:val="28"/>
                <w:szCs w:val="28"/>
              </w:rPr>
              <w:t xml:space="preserve"> apmērā un </w:t>
            </w:r>
            <w:r w:rsidR="00217688" w:rsidRPr="00217688">
              <w:rPr>
                <w:rFonts w:eastAsia="Times New Roman"/>
                <w:bCs/>
                <w:sz w:val="28"/>
                <w:szCs w:val="28"/>
                <w:lang w:eastAsia="lv-LV"/>
              </w:rPr>
              <w:t>veļas mašīnas kostīmu noliktavā iegādei</w:t>
            </w:r>
            <w:r w:rsidRPr="00217688">
              <w:rPr>
                <w:rFonts w:eastAsia="Times New Roman"/>
                <w:sz w:val="28"/>
                <w:szCs w:val="28"/>
                <w:lang w:eastAsia="lv-LV"/>
              </w:rPr>
              <w:t xml:space="preserve"> </w:t>
            </w:r>
            <w:r w:rsidR="00217688" w:rsidRPr="00217688">
              <w:rPr>
                <w:rFonts w:eastAsia="Times New Roman"/>
                <w:bCs/>
                <w:sz w:val="28"/>
                <w:szCs w:val="28"/>
                <w:lang w:eastAsia="lv-LV"/>
              </w:rPr>
              <w:t>723</w:t>
            </w:r>
            <w:r w:rsidRPr="00217688">
              <w:rPr>
                <w:rFonts w:eastAsia="Times New Roman"/>
                <w:i/>
                <w:sz w:val="28"/>
                <w:szCs w:val="28"/>
                <w:lang w:eastAsia="lv-LV"/>
              </w:rPr>
              <w:t xml:space="preserve"> </w:t>
            </w:r>
            <w:r w:rsidRPr="00217688">
              <w:rPr>
                <w:i/>
                <w:sz w:val="28"/>
                <w:szCs w:val="28"/>
              </w:rPr>
              <w:t>euro</w:t>
            </w:r>
            <w:r w:rsidRPr="00217688">
              <w:rPr>
                <w:sz w:val="28"/>
                <w:szCs w:val="28"/>
              </w:rPr>
              <w:t xml:space="preserve"> apmērā.</w:t>
            </w:r>
            <w:r>
              <w:rPr>
                <w:sz w:val="28"/>
                <w:szCs w:val="28"/>
              </w:rPr>
              <w:t xml:space="preserve"> </w:t>
            </w:r>
            <w:r>
              <w:rPr>
                <w:rFonts w:eastAsiaTheme="minorHAnsi"/>
                <w:color w:val="000000"/>
                <w:sz w:val="28"/>
                <w:szCs w:val="28"/>
              </w:rPr>
              <w:t xml:space="preserve">Kapitālsabiedrība investīcijas tehnoloģijās un iekārtās veic pēc pārpalikuma vai ārkārtas principa, jo līdzšinējais valsts finansējums nav pietiekams esošo </w:t>
            </w:r>
            <w:r>
              <w:rPr>
                <w:rFonts w:eastAsiaTheme="minorHAnsi"/>
                <w:color w:val="000000"/>
                <w:sz w:val="28"/>
                <w:szCs w:val="28"/>
              </w:rPr>
              <w:lastRenderedPageBreak/>
              <w:t xml:space="preserve">kapitālsabiedrības pamatfunkciju nodrošināšanai un tas neparedz nekādas regulāras investīcijas ilgtermiņa līdzekļu atjaunošanā, </w:t>
            </w:r>
            <w:r>
              <w:rPr>
                <w:rFonts w:eastAsiaTheme="minorHAnsi"/>
                <w:sz w:val="28"/>
                <w:szCs w:val="28"/>
              </w:rPr>
              <w:t>apdraudot uzņēmuma spēju darboties nākotnē.</w:t>
            </w:r>
          </w:p>
          <w:p w:rsidR="000A2D88" w:rsidRPr="009B1041" w:rsidRDefault="000A2D88" w:rsidP="007D511F">
            <w:pPr>
              <w:spacing w:after="0" w:line="240" w:lineRule="auto"/>
              <w:ind w:left="125"/>
              <w:jc w:val="both"/>
              <w:rPr>
                <w:sz w:val="28"/>
                <w:szCs w:val="28"/>
              </w:rPr>
            </w:pPr>
          </w:p>
          <w:p w:rsidR="000A2D88" w:rsidRPr="007368DB" w:rsidRDefault="000A2D88" w:rsidP="007D511F">
            <w:pPr>
              <w:spacing w:after="0" w:line="240" w:lineRule="auto"/>
              <w:ind w:left="127" w:right="140"/>
              <w:jc w:val="both"/>
              <w:rPr>
                <w:sz w:val="28"/>
                <w:szCs w:val="28"/>
              </w:rPr>
            </w:pPr>
            <w:r>
              <w:rPr>
                <w:sz w:val="28"/>
                <w:szCs w:val="28"/>
              </w:rPr>
              <w:t xml:space="preserve">Ar kapitālsabiedrību, pamatojoties uz Kultūras institūciju likuma 23.panta otro daļu, </w:t>
            </w:r>
            <w:r>
              <w:rPr>
                <w:rFonts w:eastAsia="Arial Unicode MS"/>
                <w:sz w:val="28"/>
                <w:szCs w:val="28"/>
              </w:rPr>
              <w:t xml:space="preserve">2015.gada </w:t>
            </w:r>
            <w:r w:rsidR="007368DB">
              <w:rPr>
                <w:rFonts w:eastAsia="Arial Unicode MS"/>
                <w:sz w:val="28"/>
                <w:szCs w:val="28"/>
              </w:rPr>
              <w:t>6</w:t>
            </w:r>
            <w:r w:rsidRPr="007368DB">
              <w:rPr>
                <w:rFonts w:eastAsia="Arial Unicode MS"/>
                <w:sz w:val="28"/>
                <w:szCs w:val="28"/>
              </w:rPr>
              <w:t>.janvārī noslēgts līdzdarbības līgums Nr.5.1.-8-</w:t>
            </w:r>
            <w:r w:rsidR="007368DB">
              <w:rPr>
                <w:rFonts w:eastAsia="Arial Unicode MS"/>
                <w:sz w:val="28"/>
                <w:szCs w:val="28"/>
              </w:rPr>
              <w:t>5</w:t>
            </w:r>
            <w:r w:rsidRPr="007368DB">
              <w:rPr>
                <w:sz w:val="28"/>
                <w:szCs w:val="28"/>
              </w:rPr>
              <w:t xml:space="preserve"> </w:t>
            </w:r>
            <w:r>
              <w:rPr>
                <w:sz w:val="28"/>
                <w:szCs w:val="28"/>
              </w:rPr>
              <w:t xml:space="preserve">„Par atsevišķu valsts pārvaldes uzdevumu deleģēšanu kultūras jomā”, saskaņā ar kuru kapitālsabiedrība veic valsts deleģētus pārvaldes uzdevumus kultūras jomā, kuru ietvaros kapitālsabiedrības tiešie uzdevumi </w:t>
            </w:r>
            <w:r w:rsidRPr="007368DB">
              <w:rPr>
                <w:sz w:val="28"/>
                <w:szCs w:val="28"/>
              </w:rPr>
              <w:t xml:space="preserve">ietver radīt un darīt pieejamas plašai Latvijas sabiedrībai daudzveidīgas un kvalitatīvas profesionālās teātra mākslas izrādes. </w:t>
            </w:r>
          </w:p>
          <w:p w:rsidR="000A2D88" w:rsidRDefault="000A2D88" w:rsidP="007D511F">
            <w:pPr>
              <w:pStyle w:val="Default"/>
              <w:spacing w:line="276" w:lineRule="auto"/>
              <w:ind w:left="127" w:right="140"/>
              <w:jc w:val="both"/>
              <w:rPr>
                <w:color w:val="auto"/>
                <w:sz w:val="28"/>
                <w:szCs w:val="28"/>
              </w:rPr>
            </w:pPr>
          </w:p>
          <w:p w:rsidR="000A2D88" w:rsidRDefault="000A2D88" w:rsidP="007D511F">
            <w:pPr>
              <w:pStyle w:val="Default"/>
              <w:ind w:left="127" w:right="140"/>
              <w:jc w:val="both"/>
              <w:rPr>
                <w:rFonts w:eastAsia="Calibri"/>
                <w:color w:val="auto"/>
                <w:sz w:val="28"/>
                <w:szCs w:val="28"/>
              </w:rPr>
            </w:pPr>
            <w:r>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Pr>
                <w:bCs/>
                <w:color w:val="auto"/>
                <w:sz w:val="28"/>
                <w:szCs w:val="28"/>
              </w:rPr>
              <w:t>izņēmums, kas paredzēts gan Līgumā par Eiropas Savienības darbību, gan tiek plaši piemērots Eiropas Savienības dalībvalstu praksē.</w:t>
            </w:r>
            <w:r>
              <w:rPr>
                <w:b/>
                <w:bCs/>
                <w:color w:val="auto"/>
                <w:sz w:val="28"/>
                <w:szCs w:val="28"/>
              </w:rPr>
              <w:t xml:space="preserve"> </w:t>
            </w:r>
            <w:r>
              <w:rPr>
                <w:color w:val="auto"/>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w:t>
            </w:r>
            <w:r>
              <w:rPr>
                <w:color w:val="auto"/>
                <w:sz w:val="28"/>
                <w:szCs w:val="28"/>
              </w:rPr>
              <w:lastRenderedPageBreak/>
              <w:t>tirgu.” Papildus 2016.gada 19.jūlijā tika pieņemts Eiropas Komisijas paziņojums par Līguma par Eiropas Savienības darbību 107.panta 1.punktā minēto valsts atbalsta jēdzienu</w:t>
            </w:r>
            <w:r>
              <w:rPr>
                <w:i/>
                <w:color w:val="auto"/>
                <w:sz w:val="28"/>
                <w:szCs w:val="28"/>
              </w:rPr>
              <w:t xml:space="preserve"> </w:t>
            </w:r>
            <w:r>
              <w:rPr>
                <w:color w:val="auto"/>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0A2D88" w:rsidRDefault="000A2D88" w:rsidP="007D511F">
            <w:pPr>
              <w:pStyle w:val="Default"/>
              <w:ind w:left="127"/>
              <w:jc w:val="both"/>
              <w:rPr>
                <w:rFonts w:eastAsia="Calibri"/>
                <w:color w:val="auto"/>
                <w:sz w:val="28"/>
                <w:szCs w:val="28"/>
              </w:rPr>
            </w:pPr>
          </w:p>
          <w:p w:rsidR="000A2D88" w:rsidRDefault="000A2D88" w:rsidP="007D511F">
            <w:pPr>
              <w:pStyle w:val="Default"/>
              <w:ind w:left="127" w:right="140"/>
              <w:jc w:val="both"/>
              <w:rPr>
                <w:rFonts w:eastAsia="Calibri"/>
                <w:sz w:val="28"/>
                <w:szCs w:val="28"/>
                <w:lang w:eastAsia="lv-LV"/>
              </w:rPr>
            </w:pPr>
            <w:r>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w:t>
            </w:r>
            <w:r>
              <w:rPr>
                <w:sz w:val="28"/>
                <w:szCs w:val="28"/>
              </w:rPr>
              <w:t>Komisijas skaidrojumā – „</w:t>
            </w:r>
            <w:r>
              <w:rPr>
                <w:i/>
                <w:sz w:val="28"/>
                <w:szCs w:val="28"/>
              </w:rPr>
              <w:t>daļa no faktiskajām izmaksām</w:t>
            </w:r>
            <w:r>
              <w:rPr>
                <w:sz w:val="28"/>
                <w:szCs w:val="28"/>
              </w:rPr>
              <w:t>” ir ne vairāk kā 50</w:t>
            </w:r>
            <w:r w:rsidR="00C31143">
              <w:rPr>
                <w:sz w:val="28"/>
                <w:szCs w:val="28"/>
              </w:rPr>
              <w:t> </w:t>
            </w:r>
            <w:r>
              <w:rPr>
                <w:sz w:val="28"/>
                <w:szCs w:val="28"/>
              </w:rPr>
              <w:t>procentus no kopējiem kultūras iestādes izdevumiem (biļešu ieņēmumi, maksas pakalpojumu u.c. pašu ieņēmumi).</w:t>
            </w:r>
          </w:p>
          <w:p w:rsidR="000A2D88" w:rsidRDefault="000A2D88" w:rsidP="007D511F">
            <w:pPr>
              <w:pStyle w:val="Default"/>
              <w:ind w:left="127" w:right="140"/>
              <w:jc w:val="both"/>
              <w:rPr>
                <w:rFonts w:eastAsia="Calibri"/>
                <w:color w:val="auto"/>
                <w:sz w:val="28"/>
                <w:szCs w:val="28"/>
              </w:rPr>
            </w:pPr>
          </w:p>
          <w:p w:rsidR="000A2D88" w:rsidRDefault="000A2D88" w:rsidP="007D511F">
            <w:pPr>
              <w:pStyle w:val="Default"/>
              <w:ind w:left="127" w:right="140"/>
              <w:jc w:val="both"/>
              <w:rPr>
                <w:rFonts w:eastAsia="Calibri"/>
                <w:color w:val="auto"/>
                <w:sz w:val="28"/>
                <w:szCs w:val="28"/>
              </w:rPr>
            </w:pPr>
            <w:r>
              <w:rPr>
                <w:color w:val="auto"/>
                <w:sz w:val="28"/>
                <w:szCs w:val="28"/>
              </w:rPr>
              <w:t xml:space="preserve">Papildus Eiropas Komisija ir secinājusi, ka </w:t>
            </w:r>
            <w:r>
              <w:rPr>
                <w:color w:val="auto"/>
                <w:sz w:val="28"/>
                <w:szCs w:val="28"/>
              </w:rPr>
              <w:lastRenderedPageBreak/>
              <w:t>kultūras vai kultūrvēsturiskā mantojuma saglabāšanas pasākumiem, kuriem nav saimnieciska rakstura, nav jāveic novērtējums par to, vai iespējamais publiskais finansējums varētu ietekmēt tirdzniecību, savukārt kultūras pasākumi un subjekti, kuri veic saimniecisku darbību, diez vai pārvilinātu lietotājus vai apmeklētājus, kuri izmanto līdzīgu piedāvājumu citās dalībvalstīs. Eiropas Komisija uzskata, ka potenciāls ietekmēt tirdzniecību starp dalībvalstīm piemīt tikai finansējumam, kuru piešķir lielām un plaši pazīstamām kādas dalībvalsts kultūras iestādēm un pasākumiem, ko plaši reklamē ārpus to vietējā reģiona.</w:t>
            </w:r>
          </w:p>
          <w:p w:rsidR="000A2D88" w:rsidRDefault="000A2D88" w:rsidP="007D511F">
            <w:pPr>
              <w:pStyle w:val="Default"/>
              <w:ind w:left="127" w:right="140"/>
              <w:jc w:val="both"/>
              <w:rPr>
                <w:rFonts w:eastAsia="Calibri"/>
                <w:color w:val="auto"/>
                <w:sz w:val="28"/>
                <w:szCs w:val="28"/>
              </w:rPr>
            </w:pPr>
          </w:p>
          <w:p w:rsidR="000A2D88" w:rsidRPr="00B02449" w:rsidRDefault="000A2D88" w:rsidP="007D511F">
            <w:pPr>
              <w:pStyle w:val="Default"/>
              <w:ind w:left="127" w:right="140"/>
              <w:jc w:val="both"/>
              <w:rPr>
                <w:rFonts w:eastAsia="Calibri"/>
                <w:color w:val="auto"/>
                <w:sz w:val="28"/>
                <w:szCs w:val="28"/>
              </w:rPr>
            </w:pPr>
            <w:r w:rsidRPr="00D83992">
              <w:rPr>
                <w:color w:val="auto"/>
                <w:sz w:val="28"/>
                <w:szCs w:val="28"/>
              </w:rPr>
              <w:t xml:space="preserve">Saskaņā ar 2016.gada darbības rādītājiem kapitālsabiedrības pašu ieņēmumi no saimnieciskās darbības, tai skaitā no biļešu tirdzniecības, </w:t>
            </w:r>
            <w:r w:rsidRPr="00B02449">
              <w:rPr>
                <w:color w:val="auto"/>
                <w:sz w:val="28"/>
                <w:szCs w:val="28"/>
              </w:rPr>
              <w:t xml:space="preserve">2016.gadā bija </w:t>
            </w:r>
            <w:r w:rsidR="00B02449" w:rsidRPr="00B02449">
              <w:rPr>
                <w:rStyle w:val="m4199067443240851931c2"/>
                <w:color w:val="auto"/>
                <w:sz w:val="28"/>
                <w:szCs w:val="28"/>
              </w:rPr>
              <w:t>301 274 </w:t>
            </w:r>
            <w:r w:rsidRPr="00B02449">
              <w:rPr>
                <w:i/>
                <w:iCs/>
                <w:color w:val="auto"/>
                <w:sz w:val="28"/>
                <w:szCs w:val="28"/>
              </w:rPr>
              <w:t>euro</w:t>
            </w:r>
            <w:r w:rsidRPr="00B02449">
              <w:rPr>
                <w:color w:val="auto"/>
                <w:sz w:val="28"/>
                <w:szCs w:val="28"/>
              </w:rPr>
              <w:t xml:space="preserve">, kas veidoja </w:t>
            </w:r>
            <w:r w:rsidR="00B02449" w:rsidRPr="00B02449">
              <w:rPr>
                <w:color w:val="auto"/>
                <w:sz w:val="28"/>
                <w:szCs w:val="28"/>
              </w:rPr>
              <w:t>27.5</w:t>
            </w:r>
            <w:r w:rsidRPr="00B02449">
              <w:rPr>
                <w:color w:val="auto"/>
                <w:sz w:val="28"/>
                <w:szCs w:val="28"/>
              </w:rPr>
              <w:t> procentus no kopējie</w:t>
            </w:r>
            <w:r w:rsidR="00D83992" w:rsidRPr="00B02449">
              <w:rPr>
                <w:color w:val="auto"/>
                <w:sz w:val="28"/>
                <w:szCs w:val="28"/>
              </w:rPr>
              <w:t>m kapitālsabiedrības izdevumiem</w:t>
            </w:r>
            <w:r w:rsidRPr="00B02449">
              <w:rPr>
                <w:color w:val="auto"/>
                <w:sz w:val="28"/>
                <w:szCs w:val="28"/>
              </w:rPr>
              <w:t xml:space="preserve"> kultūras pakalpojumu pieejamības nodrošināšanā. Savukārt dotācija no valsts pamatbudžeta bija </w:t>
            </w:r>
            <w:r w:rsidR="00B02449" w:rsidRPr="00B02449">
              <w:rPr>
                <w:color w:val="auto"/>
                <w:sz w:val="28"/>
                <w:szCs w:val="28"/>
              </w:rPr>
              <w:t>794 314</w:t>
            </w:r>
            <w:r w:rsidR="00D83992" w:rsidRPr="00B02449">
              <w:rPr>
                <w:rStyle w:val="m4199067443240851931c2"/>
                <w:color w:val="auto"/>
                <w:sz w:val="28"/>
                <w:szCs w:val="28"/>
              </w:rPr>
              <w:t> </w:t>
            </w:r>
            <w:r w:rsidRPr="00B02449">
              <w:rPr>
                <w:i/>
                <w:iCs/>
                <w:color w:val="auto"/>
                <w:sz w:val="28"/>
                <w:szCs w:val="28"/>
              </w:rPr>
              <w:t>euro</w:t>
            </w:r>
            <w:r w:rsidRPr="00B02449">
              <w:rPr>
                <w:color w:val="auto"/>
                <w:sz w:val="28"/>
                <w:szCs w:val="28"/>
              </w:rPr>
              <w:t xml:space="preserve"> jeb </w:t>
            </w:r>
            <w:r w:rsidR="00D83992" w:rsidRPr="00B02449">
              <w:rPr>
                <w:color w:val="auto"/>
                <w:sz w:val="28"/>
                <w:szCs w:val="28"/>
              </w:rPr>
              <w:t>73</w:t>
            </w:r>
            <w:r w:rsidRPr="00B02449">
              <w:rPr>
                <w:color w:val="auto"/>
                <w:sz w:val="28"/>
                <w:szCs w:val="28"/>
              </w:rPr>
              <w:t> procenti no kopējiem kapitālsabiedrības izdevumiem kultūras pakalpojumu pieejamības nodrošināšanā.</w:t>
            </w:r>
          </w:p>
          <w:p w:rsidR="000A2D88" w:rsidRDefault="000A2D88" w:rsidP="007D511F">
            <w:pPr>
              <w:pStyle w:val="Default"/>
              <w:ind w:left="127" w:right="140"/>
              <w:jc w:val="both"/>
              <w:rPr>
                <w:rFonts w:eastAsia="Calibri"/>
                <w:sz w:val="28"/>
                <w:szCs w:val="28"/>
              </w:rPr>
            </w:pPr>
          </w:p>
          <w:p w:rsidR="000A2D88" w:rsidRDefault="000A2D88" w:rsidP="007D511F">
            <w:pPr>
              <w:pStyle w:val="Default"/>
              <w:ind w:left="127" w:right="140"/>
              <w:jc w:val="both"/>
              <w:rPr>
                <w:rFonts w:eastAsia="Calibri"/>
                <w:sz w:val="28"/>
                <w:szCs w:val="28"/>
              </w:rPr>
            </w:pPr>
            <w:r>
              <w:rPr>
                <w:sz w:val="28"/>
                <w:szCs w:val="28"/>
              </w:rPr>
              <w:t>Ņemot vērā Eiropas Komisijas sniegto skaidrojumu, kapitālsabiedrības vidēja termiņa stratēģijas projektā „Valsts sabiedrības ar ierobežotu atbildību „</w:t>
            </w:r>
            <w:r w:rsidR="000964F6">
              <w:rPr>
                <w:sz w:val="28"/>
                <w:szCs w:val="28"/>
              </w:rPr>
              <w:t>Daugavpils</w:t>
            </w:r>
            <w:r>
              <w:rPr>
                <w:sz w:val="28"/>
                <w:szCs w:val="28"/>
              </w:rPr>
              <w:t xml:space="preserve"> teātris” vidēja termiņa darbības stratēģija 2017.–2021.gadam”</w:t>
            </w:r>
            <w:r>
              <w:rPr>
                <w:color w:val="auto"/>
                <w:sz w:val="28"/>
                <w:szCs w:val="28"/>
              </w:rPr>
              <w:t xml:space="preserve"> plānotie darbības rādītāji 2017.–2021.gadam nenorāda uz iespējamām valsts atbalsta pazīmēm minētajā periodā,</w:t>
            </w:r>
            <w:r>
              <w:rPr>
                <w:sz w:val="28"/>
                <w:szCs w:val="28"/>
              </w:rPr>
              <w:t xml:space="preserve"> taču, ja pēc kārtējās izvērtēšanas, kas tiks veikta pirms ikgadējās valsts budžeta dotācijas piešķiršanas, Kultūras ministrija konstatēs komercdarbības atbalsta esamību attiecībā uz kapitālsabiedrību (ja izpildīsies visas četras komercdarbības atbalsta pazīmes un tiks pārsniegta kapitālsabiedrības 50 procentu pašu ieņēmumu robežvērtība no kopējiem kultūras </w:t>
            </w:r>
            <w:r>
              <w:rPr>
                <w:sz w:val="28"/>
                <w:szCs w:val="28"/>
              </w:rPr>
              <w:lastRenderedPageBreak/>
              <w:t>iestādes izdevumiem), valsts budžeta finansējums tiks sniegts, piemērojot Eiropas Komisijas 2014.ga</w:t>
            </w:r>
            <w:bookmarkStart w:id="6" w:name="_GoBack"/>
            <w:bookmarkEnd w:id="6"/>
            <w:r>
              <w:rPr>
                <w:sz w:val="28"/>
                <w:szCs w:val="28"/>
              </w:rPr>
              <w:t xml:space="preserve">da 17.jūnija Regulas Nr.651/2014, ar ko noteiktas atbalsta kategorijas atzīst par saderīgām ar iekšējo tirgu, piemērojot Līguma 107. un 108. pantu, (turpmāk – Regula Nr.651/2014) vai Komisijas Regulas (ES) Nr.1407/2013 par Līguma par Eiropas Savienības darbību 107. un 108.panta piemērošanu </w:t>
            </w:r>
            <w:r>
              <w:rPr>
                <w:i/>
                <w:sz w:val="28"/>
                <w:szCs w:val="28"/>
              </w:rPr>
              <w:t xml:space="preserve">de minimis </w:t>
            </w:r>
            <w:r>
              <w:rPr>
                <w:sz w:val="28"/>
                <w:szCs w:val="28"/>
              </w:rPr>
              <w:t>atbalstam nosacījumus.</w:t>
            </w:r>
          </w:p>
          <w:p w:rsidR="000A2D88" w:rsidRDefault="000A2D88" w:rsidP="007D511F">
            <w:pPr>
              <w:spacing w:after="0" w:line="240" w:lineRule="auto"/>
              <w:ind w:left="125" w:right="142"/>
              <w:jc w:val="both"/>
              <w:rPr>
                <w:sz w:val="28"/>
                <w:szCs w:val="28"/>
              </w:rPr>
            </w:pPr>
          </w:p>
          <w:p w:rsidR="000A2D88" w:rsidRDefault="000A2D88" w:rsidP="007D511F">
            <w:pPr>
              <w:spacing w:after="0" w:line="240" w:lineRule="auto"/>
              <w:ind w:left="125" w:right="142"/>
              <w:jc w:val="both"/>
              <w:rPr>
                <w:bCs/>
                <w:sz w:val="28"/>
                <w:szCs w:val="28"/>
              </w:rPr>
            </w:pPr>
            <w:r>
              <w:rPr>
                <w:sz w:val="28"/>
                <w:szCs w:val="28"/>
              </w:rPr>
              <w:t xml:space="preserve">Lai kapitālsabiedrība spētu īstenot tās stratēģijā noteiktos mērķus, ir nepieciešams veikt regulārus ieguldījumus </w:t>
            </w:r>
            <w:r>
              <w:rPr>
                <w:rFonts w:eastAsiaTheme="minorHAnsi"/>
                <w:sz w:val="28"/>
                <w:szCs w:val="28"/>
              </w:rPr>
              <w:t>tehniskās un tehnoloģiskās darbības pilnveidošanā</w:t>
            </w:r>
            <w:r>
              <w:rPr>
                <w:sz w:val="28"/>
                <w:szCs w:val="28"/>
              </w:rPr>
              <w:t>, līdz ar to Kultūras ministrija ierosina Ministru kabinetam pieņemt lēmumu, ar kuru a</w:t>
            </w:r>
            <w:r>
              <w:rPr>
                <w:bCs/>
                <w:sz w:val="28"/>
                <w:szCs w:val="28"/>
              </w:rPr>
              <w:t>tļaut kapitālsabiedrības stratēģijā atšķirīgu prognozējamo dividendēs izmaksājamo peļņas daļu 0 procentu apmērā no prognozētās tīrās peļņas.</w:t>
            </w:r>
          </w:p>
        </w:tc>
      </w:tr>
      <w:tr w:rsidR="000A2D88" w:rsidTr="00C31143">
        <w:trPr>
          <w:trHeight w:val="735"/>
        </w:trPr>
        <w:tc>
          <w:tcPr>
            <w:tcW w:w="31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Projekta izstrādē iesaistītās institūcijas</w:t>
            </w:r>
          </w:p>
        </w:tc>
        <w:tc>
          <w:tcPr>
            <w:tcW w:w="3043" w:type="pct"/>
            <w:tcBorders>
              <w:top w:val="outset" w:sz="6" w:space="0" w:color="auto"/>
              <w:left w:val="outset" w:sz="6" w:space="0" w:color="auto"/>
              <w:bottom w:val="outset" w:sz="6" w:space="0" w:color="auto"/>
              <w:right w:val="outset" w:sz="6" w:space="0" w:color="auto"/>
            </w:tcBorders>
            <w:hideMark/>
          </w:tcPr>
          <w:p w:rsidR="000A2D88" w:rsidRDefault="000A2D88" w:rsidP="000964F6">
            <w:pPr>
              <w:spacing w:after="0" w:line="240" w:lineRule="auto"/>
              <w:ind w:left="127" w:right="140"/>
              <w:jc w:val="both"/>
              <w:rPr>
                <w:rFonts w:eastAsia="Times New Roman"/>
                <w:sz w:val="28"/>
                <w:szCs w:val="28"/>
                <w:lang w:eastAsia="lv-LV"/>
              </w:rPr>
            </w:pPr>
            <w:r>
              <w:rPr>
                <w:rFonts w:eastAsia="Times New Roman"/>
                <w:sz w:val="28"/>
                <w:szCs w:val="28"/>
                <w:lang w:eastAsia="lv-LV"/>
              </w:rPr>
              <w:t>Kultūras ministrija, valsts sabiedrība ar ierobežotu atbildību „</w:t>
            </w:r>
            <w:r w:rsidR="000964F6">
              <w:rPr>
                <w:sz w:val="28"/>
                <w:szCs w:val="28"/>
              </w:rPr>
              <w:t>Daugavpils</w:t>
            </w:r>
            <w:r>
              <w:rPr>
                <w:sz w:val="28"/>
                <w:szCs w:val="28"/>
              </w:rPr>
              <w:t xml:space="preserve"> teātris</w:t>
            </w:r>
            <w:r>
              <w:rPr>
                <w:rFonts w:eastAsia="Times New Roman"/>
                <w:sz w:val="28"/>
                <w:szCs w:val="28"/>
                <w:lang w:eastAsia="lv-LV"/>
              </w:rPr>
              <w:t>”.</w:t>
            </w:r>
          </w:p>
        </w:tc>
      </w:tr>
      <w:tr w:rsidR="000A2D88" w:rsidTr="00C31143">
        <w:trPr>
          <w:trHeight w:val="218"/>
        </w:trPr>
        <w:tc>
          <w:tcPr>
            <w:tcW w:w="31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 Cita informācija</w:t>
            </w:r>
          </w:p>
        </w:tc>
        <w:tc>
          <w:tcPr>
            <w:tcW w:w="3043"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27"/>
              <w:rPr>
                <w:rFonts w:eastAsia="Times New Roman"/>
                <w:sz w:val="28"/>
                <w:szCs w:val="28"/>
                <w:lang w:eastAsia="lv-LV"/>
              </w:rPr>
            </w:pPr>
            <w:r>
              <w:rPr>
                <w:rFonts w:eastAsia="Times New Roman"/>
                <w:sz w:val="28"/>
                <w:szCs w:val="28"/>
                <w:lang w:eastAsia="lv-LV"/>
              </w:rPr>
              <w:t>Nav</w:t>
            </w:r>
          </w:p>
        </w:tc>
      </w:tr>
    </w:tbl>
    <w:p w:rsidR="000A2D88" w:rsidRDefault="000A2D88" w:rsidP="000A2D88">
      <w:pPr>
        <w:spacing w:after="0" w:line="240" w:lineRule="auto"/>
        <w:ind w:firstLine="374"/>
        <w:jc w:val="both"/>
        <w:rPr>
          <w:rFonts w:eastAsia="Times New Roman"/>
          <w:sz w:val="28"/>
          <w:szCs w:val="28"/>
          <w:lang w:eastAsia="lv-LV"/>
        </w:rPr>
      </w:pPr>
    </w:p>
    <w:tbl>
      <w:tblPr>
        <w:tblStyle w:val="Reatabula"/>
        <w:tblW w:w="4884" w:type="pct"/>
        <w:tblInd w:w="108" w:type="dxa"/>
        <w:tblLook w:val="04A0"/>
      </w:tblPr>
      <w:tblGrid>
        <w:gridCol w:w="9072"/>
      </w:tblGrid>
      <w:tr w:rsidR="000A2D88" w:rsidRPr="00CA2046" w:rsidTr="007D511F">
        <w:trPr>
          <w:trHeight w:val="360"/>
        </w:trPr>
        <w:tc>
          <w:tcPr>
            <w:tcW w:w="5000" w:type="pct"/>
            <w:hideMark/>
          </w:tcPr>
          <w:p w:rsidR="000A2D88" w:rsidRPr="009778FA" w:rsidRDefault="000A2D88" w:rsidP="007D511F">
            <w:pPr>
              <w:ind w:firstLine="301"/>
              <w:jc w:val="center"/>
              <w:rPr>
                <w:b/>
                <w:bCs/>
                <w:sz w:val="28"/>
                <w:szCs w:val="28"/>
              </w:rPr>
            </w:pPr>
            <w:r w:rsidRPr="008C10AF">
              <w:rPr>
                <w:rFonts w:eastAsia="Times New Roman"/>
                <w:sz w:val="28"/>
                <w:szCs w:val="28"/>
                <w:lang w:eastAsia="lv-LV"/>
              </w:rPr>
              <w:t> </w:t>
            </w:r>
            <w:r w:rsidRPr="009778FA">
              <w:rPr>
                <w:b/>
                <w:bCs/>
                <w:sz w:val="28"/>
                <w:szCs w:val="28"/>
              </w:rPr>
              <w:t>II. Tiesību akta projekta ietekme uz sabiedrību, tautsaimniecības attīstību un administratīvo slogu</w:t>
            </w:r>
          </w:p>
        </w:tc>
      </w:tr>
      <w:tr w:rsidR="000A2D88" w:rsidRPr="00CA2046" w:rsidTr="007D511F">
        <w:trPr>
          <w:trHeight w:val="419"/>
        </w:trPr>
        <w:tc>
          <w:tcPr>
            <w:tcW w:w="5000" w:type="pct"/>
            <w:vAlign w:val="center"/>
          </w:tcPr>
          <w:p w:rsidR="000A2D88" w:rsidRPr="009778FA" w:rsidRDefault="000A2D88" w:rsidP="007D511F">
            <w:pPr>
              <w:ind w:firstLine="301"/>
              <w:jc w:val="center"/>
              <w:rPr>
                <w:sz w:val="28"/>
                <w:szCs w:val="28"/>
              </w:rPr>
            </w:pPr>
            <w:r w:rsidRPr="009778FA">
              <w:rPr>
                <w:sz w:val="28"/>
                <w:szCs w:val="28"/>
              </w:rPr>
              <w:t>Projekts šo jomu neskar.</w:t>
            </w:r>
          </w:p>
        </w:tc>
      </w:tr>
    </w:tbl>
    <w:p w:rsidR="000A2D88" w:rsidRDefault="000A2D88" w:rsidP="000A2D88">
      <w:pPr>
        <w:spacing w:after="0" w:line="240" w:lineRule="auto"/>
        <w:ind w:firstLine="374"/>
        <w:jc w:val="both"/>
        <w:rPr>
          <w:rFonts w:eastAsia="Times New Roman"/>
          <w:i/>
          <w:sz w:val="28"/>
          <w:szCs w:val="28"/>
          <w:lang w:eastAsia="lv-LV"/>
        </w:rPr>
      </w:pPr>
    </w:p>
    <w:tbl>
      <w:tblPr>
        <w:tblW w:w="9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76"/>
        <w:gridCol w:w="1551"/>
        <w:gridCol w:w="1690"/>
        <w:gridCol w:w="1190"/>
        <w:gridCol w:w="1190"/>
        <w:gridCol w:w="1190"/>
      </w:tblGrid>
      <w:tr w:rsidR="000A2D88" w:rsidTr="007D511F">
        <w:trPr>
          <w:cantSplit/>
        </w:trPr>
        <w:tc>
          <w:tcPr>
            <w:tcW w:w="9087" w:type="dxa"/>
            <w:gridSpan w:val="6"/>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150" w:after="150" w:line="240" w:lineRule="auto"/>
              <w:jc w:val="center"/>
              <w:rPr>
                <w:rFonts w:eastAsia="Times New Roman"/>
                <w:b/>
                <w:bCs/>
                <w:sz w:val="28"/>
                <w:szCs w:val="28"/>
                <w:lang w:eastAsia="lv-LV"/>
              </w:rPr>
            </w:pPr>
            <w:r>
              <w:rPr>
                <w:rFonts w:eastAsia="Times New Roman"/>
                <w:b/>
                <w:bCs/>
                <w:sz w:val="28"/>
                <w:szCs w:val="28"/>
                <w:lang w:eastAsia="lv-LV"/>
              </w:rPr>
              <w:t>III. Tiesību akta projekta ietekme uz valsts budžetu un pašvaldību budžetiem</w:t>
            </w:r>
          </w:p>
        </w:tc>
      </w:tr>
      <w:tr w:rsidR="000A2D88" w:rsidTr="007D511F">
        <w:trPr>
          <w:cantSplit/>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Rādītāji</w:t>
            </w:r>
          </w:p>
        </w:tc>
        <w:tc>
          <w:tcPr>
            <w:tcW w:w="32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b/>
                <w:sz w:val="28"/>
                <w:szCs w:val="28"/>
                <w:lang w:eastAsia="lv-LV"/>
              </w:rPr>
              <w:t>2017.</w:t>
            </w:r>
            <w:r>
              <w:rPr>
                <w:rFonts w:eastAsia="Times New Roman"/>
                <w:b/>
                <w:bCs/>
                <w:sz w:val="28"/>
                <w:szCs w:val="28"/>
                <w:lang w:eastAsia="lv-LV"/>
              </w:rPr>
              <w:t>gads</w:t>
            </w:r>
          </w:p>
        </w:tc>
        <w:tc>
          <w:tcPr>
            <w:tcW w:w="3570" w:type="dxa"/>
            <w:gridSpan w:val="3"/>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Turpmākie trīs gadi (</w:t>
            </w:r>
            <w:r>
              <w:rPr>
                <w:rFonts w:eastAsia="Times New Roman"/>
                <w:i/>
                <w:sz w:val="28"/>
                <w:szCs w:val="28"/>
                <w:lang w:eastAsia="lv-LV"/>
              </w:rPr>
              <w:t>euro</w:t>
            </w:r>
            <w:r>
              <w:rPr>
                <w:rFonts w:eastAsia="Times New Roman"/>
                <w:sz w:val="28"/>
                <w:szCs w:val="28"/>
                <w:lang w:eastAsia="lv-LV"/>
              </w:rPr>
              <w:t>)</w:t>
            </w:r>
          </w:p>
        </w:tc>
      </w:tr>
      <w:tr w:rsidR="000A2D88" w:rsidTr="007D511F">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3241" w:type="dxa"/>
            <w:gridSpan w:val="2"/>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50" w:after="150" w:line="240" w:lineRule="auto"/>
              <w:jc w:val="center"/>
              <w:rPr>
                <w:rFonts w:eastAsia="Times New Roman"/>
                <w:b/>
                <w:bCs/>
                <w:sz w:val="28"/>
                <w:szCs w:val="28"/>
                <w:lang w:eastAsia="lv-LV"/>
              </w:rPr>
            </w:pPr>
            <w:r>
              <w:rPr>
                <w:rFonts w:eastAsia="Times New Roman"/>
                <w:b/>
                <w:bCs/>
                <w:sz w:val="28"/>
                <w:szCs w:val="28"/>
                <w:lang w:eastAsia="lv-LV"/>
              </w:rPr>
              <w:t>2018.gads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50" w:after="150" w:line="240" w:lineRule="auto"/>
              <w:jc w:val="center"/>
              <w:rPr>
                <w:rFonts w:eastAsia="Times New Roman"/>
                <w:b/>
                <w:bCs/>
                <w:sz w:val="28"/>
                <w:szCs w:val="28"/>
                <w:lang w:eastAsia="lv-LV"/>
              </w:rPr>
            </w:pPr>
            <w:r>
              <w:rPr>
                <w:rFonts w:eastAsia="Times New Roman"/>
                <w:b/>
                <w:bCs/>
                <w:sz w:val="28"/>
                <w:szCs w:val="28"/>
                <w:lang w:eastAsia="lv-LV"/>
              </w:rPr>
              <w:t>2019.gads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50" w:after="150" w:line="240" w:lineRule="auto"/>
              <w:jc w:val="center"/>
              <w:rPr>
                <w:rFonts w:eastAsia="Times New Roman"/>
                <w:b/>
                <w:bCs/>
                <w:sz w:val="28"/>
                <w:szCs w:val="28"/>
                <w:lang w:eastAsia="lv-LV"/>
              </w:rPr>
            </w:pPr>
            <w:r>
              <w:rPr>
                <w:rFonts w:eastAsia="Times New Roman"/>
                <w:b/>
                <w:bCs/>
                <w:sz w:val="28"/>
                <w:szCs w:val="28"/>
                <w:lang w:eastAsia="lv-LV"/>
              </w:rPr>
              <w:t>2020.gads</w:t>
            </w:r>
          </w:p>
        </w:tc>
      </w:tr>
      <w:tr w:rsidR="000A2D88" w:rsidTr="007D511F">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Saskaņā ar valsts budžetu kārtējam gadam</w:t>
            </w:r>
          </w:p>
        </w:tc>
        <w:tc>
          <w:tcPr>
            <w:tcW w:w="16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Izmaiņas kārtējā gadā, salīdzinot ar budžetu kārtējam gadam</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lastRenderedPageBreak/>
              <w:t> 1</w:t>
            </w:r>
          </w:p>
        </w:tc>
        <w:tc>
          <w:tcPr>
            <w:tcW w:w="1551"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2</w:t>
            </w:r>
          </w:p>
        </w:tc>
        <w:tc>
          <w:tcPr>
            <w:tcW w:w="16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3</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4</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5</w:t>
            </w:r>
          </w:p>
        </w:tc>
        <w:tc>
          <w:tcPr>
            <w:tcW w:w="1190" w:type="dxa"/>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6</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1. Budžeta ieņēmumi:</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B02449" w:rsidP="00204F41">
            <w:pPr>
              <w:tabs>
                <w:tab w:val="center" w:pos="4153"/>
                <w:tab w:val="right" w:pos="8306"/>
              </w:tabs>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B02449" w:rsidP="007D511F">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sz w:val="28"/>
                <w:szCs w:val="28"/>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1.1. valsts pamatbudžets, tai skaitā ieņēmumi no maksas pakalpojumiem un citi pašu ieņēmumi</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B02449" w:rsidP="00204F41">
            <w:pPr>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sz w:val="28"/>
                <w:szCs w:val="28"/>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1.2.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12"/>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0A2D88" w:rsidP="007D511F">
            <w:pPr>
              <w:spacing w:before="75" w:after="75" w:line="240" w:lineRule="auto"/>
              <w:jc w:val="center"/>
              <w:rPr>
                <w:rFonts w:eastAsia="Times New Roman"/>
                <w:sz w:val="28"/>
                <w:szCs w:val="28"/>
                <w:lang w:eastAsia="lv-LV"/>
              </w:rPr>
            </w:pPr>
            <w:r w:rsidRPr="00204F41">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1.3.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0A2D88" w:rsidP="007D511F">
            <w:pPr>
              <w:spacing w:before="75" w:after="75" w:line="240" w:lineRule="auto"/>
              <w:jc w:val="center"/>
              <w:rPr>
                <w:rFonts w:eastAsia="Times New Roman"/>
                <w:sz w:val="28"/>
                <w:szCs w:val="28"/>
                <w:lang w:eastAsia="lv-LV"/>
              </w:rPr>
            </w:pPr>
            <w:r w:rsidRPr="00204F41">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2. Budžeta izdevumi:</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0A2D88" w:rsidP="007D511F">
            <w:pPr>
              <w:spacing w:before="75" w:after="75" w:line="240" w:lineRule="auto"/>
              <w:jc w:val="center"/>
              <w:rPr>
                <w:rFonts w:eastAsia="Times New Roman"/>
                <w:sz w:val="28"/>
                <w:szCs w:val="28"/>
                <w:lang w:eastAsia="lv-LV"/>
              </w:rPr>
            </w:pPr>
            <w:r w:rsidRPr="00204F41">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2.1. valsts pamatbudžets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0A2D88" w:rsidP="007D511F">
            <w:pPr>
              <w:tabs>
                <w:tab w:val="left" w:pos="510"/>
                <w:tab w:val="center" w:pos="624"/>
              </w:tabs>
              <w:spacing w:before="75" w:after="75" w:line="240" w:lineRule="auto"/>
              <w:jc w:val="center"/>
              <w:rPr>
                <w:rFonts w:eastAsia="Times New Roman"/>
                <w:sz w:val="28"/>
                <w:szCs w:val="28"/>
                <w:lang w:eastAsia="lv-LV"/>
              </w:rPr>
            </w:pPr>
            <w:r w:rsidRPr="00204F41">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2.2.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0A2D88" w:rsidP="007D511F">
            <w:pPr>
              <w:spacing w:before="75" w:after="75" w:line="240" w:lineRule="auto"/>
              <w:ind w:firstLine="50"/>
              <w:jc w:val="center"/>
              <w:rPr>
                <w:rFonts w:eastAsia="Times New Roman"/>
                <w:sz w:val="28"/>
                <w:szCs w:val="28"/>
                <w:lang w:eastAsia="lv-LV"/>
              </w:rPr>
            </w:pPr>
            <w:r w:rsidRPr="00204F41">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2.3.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12"/>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0A2D88" w:rsidP="007D511F">
            <w:pPr>
              <w:spacing w:before="75" w:after="75" w:line="240" w:lineRule="auto"/>
              <w:ind w:firstLine="50"/>
              <w:jc w:val="center"/>
              <w:rPr>
                <w:rFonts w:eastAsia="Times New Roman"/>
                <w:sz w:val="28"/>
                <w:szCs w:val="28"/>
                <w:lang w:eastAsia="lv-LV"/>
              </w:rPr>
            </w:pPr>
            <w:r w:rsidRPr="00204F41">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3. Finansiālā ietekme:</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204F41" w:rsidP="007D511F">
            <w:pPr>
              <w:spacing w:before="75" w:after="75" w:line="240" w:lineRule="auto"/>
              <w:jc w:val="center"/>
              <w:rPr>
                <w:rFonts w:eastAsia="Times New Roman"/>
                <w:sz w:val="28"/>
                <w:szCs w:val="28"/>
                <w:lang w:eastAsia="lv-LV"/>
              </w:rPr>
            </w:pPr>
            <w:r w:rsidRPr="00204F41">
              <w:rPr>
                <w:rFonts w:eastAsia="Times New Roman" w:cstheme="minorHAnsi"/>
                <w:bCs/>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sz w:val="28"/>
                <w:szCs w:val="28"/>
              </w:rPr>
            </w:pPr>
            <w:r>
              <w:rPr>
                <w:sz w:val="28"/>
                <w:szCs w:val="28"/>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3.1. valsts pamatbudžets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0A2D88" w:rsidRPr="00204F41" w:rsidRDefault="00204F41" w:rsidP="007D511F">
            <w:pPr>
              <w:spacing w:before="75" w:after="75" w:line="240" w:lineRule="auto"/>
              <w:jc w:val="center"/>
              <w:rPr>
                <w:rFonts w:eastAsia="Times New Roman"/>
                <w:sz w:val="28"/>
                <w:szCs w:val="28"/>
                <w:lang w:eastAsia="lv-LV"/>
              </w:rPr>
            </w:pPr>
            <w:r w:rsidRPr="00204F41">
              <w:rPr>
                <w:rFonts w:eastAsia="Times New Roman" w:cstheme="minorHAnsi"/>
                <w:bCs/>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sz w:val="28"/>
                <w:szCs w:val="28"/>
              </w:rPr>
            </w:pPr>
            <w:r>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sz w:val="28"/>
                <w:szCs w:val="28"/>
              </w:rPr>
            </w:pPr>
            <w:r>
              <w:rPr>
                <w:sz w:val="28"/>
                <w:szCs w:val="28"/>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3.2.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61"/>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3.3.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vMerge w:val="restart"/>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4. Finanšu līdzekļi papildu izde</w:t>
            </w:r>
            <w:r>
              <w:rPr>
                <w:rFonts w:eastAsia="Times New Roman"/>
                <w:sz w:val="28"/>
                <w:szCs w:val="28"/>
                <w:lang w:eastAsia="lv-LV"/>
              </w:rPr>
              <w:softHyphen/>
              <w:t>vumu finansēšanai (kompensējošu izdevumu samazinājumu norāda ar "+" zīmi)</w:t>
            </w:r>
          </w:p>
        </w:tc>
        <w:tc>
          <w:tcPr>
            <w:tcW w:w="1551" w:type="dxa"/>
            <w:vMerge w:val="restart"/>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X</w:t>
            </w: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lastRenderedPageBreak/>
              <w:t> 5. Precizēta finansiālā ietekme:</w:t>
            </w:r>
          </w:p>
        </w:tc>
        <w:tc>
          <w:tcPr>
            <w:tcW w:w="1551" w:type="dxa"/>
            <w:vMerge w:val="restart"/>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center"/>
              <w:rPr>
                <w:rFonts w:eastAsia="Times New Roman"/>
                <w:sz w:val="28"/>
                <w:szCs w:val="28"/>
                <w:lang w:eastAsia="lv-LV"/>
              </w:rPr>
            </w:pPr>
            <w:r>
              <w:rPr>
                <w:rFonts w:eastAsia="Times New Roman"/>
                <w:sz w:val="28"/>
                <w:szCs w:val="28"/>
                <w:lang w:eastAsia="lv-LV"/>
              </w:rPr>
              <w:t> X</w:t>
            </w: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5.1. valsts pamatbudžets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5.2. speciālais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5.3. pašvaldību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0A2D88" w:rsidRDefault="000A2D88" w:rsidP="007D511F">
            <w:pPr>
              <w:jc w:val="center"/>
            </w:pPr>
            <w:r>
              <w:rPr>
                <w:rFonts w:eastAsia="Times New Roman"/>
                <w:sz w:val="28"/>
                <w:szCs w:val="28"/>
                <w:lang w:eastAsia="lv-LV"/>
              </w:rPr>
              <w:t>0</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6. Detalizēts ieņēmumu un izdevumu aprēķins (ja nepieciešams, detalizētu ieņēmumu un izdevumu aprēķinu var pievienot anotācijas pielikumā):</w:t>
            </w:r>
          </w:p>
        </w:tc>
        <w:tc>
          <w:tcPr>
            <w:tcW w:w="6811" w:type="dxa"/>
            <w:gridSpan w:val="5"/>
            <w:vMerge w:val="restart"/>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jc w:val="both"/>
              <w:rPr>
                <w:rFonts w:eastAsia="Times New Roman"/>
                <w:sz w:val="28"/>
                <w:szCs w:val="28"/>
                <w:lang w:eastAsia="lv-LV"/>
              </w:rPr>
            </w:pPr>
            <w:r>
              <w:rPr>
                <w:sz w:val="28"/>
                <w:szCs w:val="28"/>
              </w:rPr>
              <w:t xml:space="preserve"> Projekts šo jomu neskar.</w:t>
            </w: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6.1. detalizēts ieņēmumu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6.2. detalizēts izdevumu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after="0" w:line="240" w:lineRule="auto"/>
              <w:rPr>
                <w:rFonts w:eastAsia="Times New Roman"/>
                <w:sz w:val="28"/>
                <w:szCs w:val="28"/>
                <w:lang w:eastAsia="lv-LV"/>
              </w:rPr>
            </w:pPr>
          </w:p>
        </w:tc>
      </w:tr>
      <w:tr w:rsidR="000A2D88"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75" w:after="75" w:line="240" w:lineRule="auto"/>
              <w:rPr>
                <w:rFonts w:eastAsia="Times New Roman"/>
                <w:sz w:val="28"/>
                <w:szCs w:val="28"/>
                <w:lang w:eastAsia="lv-LV"/>
              </w:rPr>
            </w:pPr>
            <w:r>
              <w:rPr>
                <w:rFonts w:eastAsia="Times New Roman"/>
                <w:sz w:val="28"/>
                <w:szCs w:val="28"/>
                <w:lang w:eastAsia="lv-LV"/>
              </w:rPr>
              <w:t> 7. Cita informācija</w:t>
            </w:r>
          </w:p>
        </w:tc>
        <w:tc>
          <w:tcPr>
            <w:tcW w:w="6811" w:type="dxa"/>
            <w:gridSpan w:val="5"/>
            <w:tcBorders>
              <w:top w:val="outset" w:sz="6" w:space="0" w:color="auto"/>
              <w:left w:val="outset" w:sz="6" w:space="0" w:color="auto"/>
              <w:bottom w:val="outset" w:sz="6" w:space="0" w:color="auto"/>
              <w:right w:val="outset" w:sz="6" w:space="0" w:color="auto"/>
            </w:tcBorders>
            <w:hideMark/>
          </w:tcPr>
          <w:p w:rsidR="000A2D88" w:rsidRDefault="000A2D88" w:rsidP="00B02449">
            <w:pPr>
              <w:spacing w:after="0" w:line="240" w:lineRule="auto"/>
              <w:ind w:left="50" w:right="140"/>
              <w:jc w:val="both"/>
              <w:rPr>
                <w:rFonts w:eastAsia="Times New Roman"/>
                <w:sz w:val="28"/>
                <w:szCs w:val="28"/>
                <w:lang w:eastAsia="lv-LV"/>
              </w:rPr>
            </w:pPr>
            <w:r>
              <w:rPr>
                <w:sz w:val="28"/>
                <w:szCs w:val="28"/>
              </w:rPr>
              <w:t>Saskaņā ar vidēja termiņa stratēģijas projektu „</w:t>
            </w:r>
            <w:r>
              <w:rPr>
                <w:rFonts w:eastAsiaTheme="minorHAnsi"/>
                <w:sz w:val="28"/>
                <w:szCs w:val="28"/>
              </w:rPr>
              <w:t>Valsts sabiedrības ar ierobežotu atbildību „</w:t>
            </w:r>
            <w:r w:rsidR="000964F6">
              <w:rPr>
                <w:sz w:val="28"/>
                <w:szCs w:val="28"/>
              </w:rPr>
              <w:t>Daugavpils</w:t>
            </w:r>
            <w:r>
              <w:rPr>
                <w:sz w:val="28"/>
                <w:szCs w:val="28"/>
              </w:rPr>
              <w:t xml:space="preserve"> teātris</w:t>
            </w:r>
            <w:r>
              <w:rPr>
                <w:rFonts w:eastAsiaTheme="minorHAnsi"/>
                <w:sz w:val="28"/>
                <w:szCs w:val="28"/>
              </w:rPr>
              <w:t xml:space="preserve">” vidēja termiņa darbības stratēģija 2017.–2021.gadam”, </w:t>
            </w:r>
            <w:r>
              <w:rPr>
                <w:rFonts w:eastAsia="Times New Roman"/>
                <w:sz w:val="28"/>
                <w:szCs w:val="28"/>
                <w:lang w:eastAsia="lv-LV"/>
              </w:rPr>
              <w:t xml:space="preserve">pieņemot lēmumu par atšķirīgu dividendēs izmaksājamo summu (nosakot 0 procentu likmi), valsts budžetā piecos gados kopā netiktu pārskaitīta summa </w:t>
            </w:r>
            <w:r w:rsidR="00B02449">
              <w:rPr>
                <w:sz w:val="28"/>
                <w:szCs w:val="28"/>
              </w:rPr>
              <w:t>2</w:t>
            </w:r>
            <w:r w:rsidR="00B02449">
              <w:rPr>
                <w:rFonts w:eastAsia="Times New Roman"/>
                <w:sz w:val="28"/>
                <w:szCs w:val="28"/>
                <w:lang w:eastAsia="lv-LV"/>
              </w:rPr>
              <w:t> </w:t>
            </w:r>
            <w:r w:rsidRPr="00204F41">
              <w:rPr>
                <w:sz w:val="28"/>
                <w:szCs w:val="28"/>
              </w:rPr>
              <w:t>6</w:t>
            </w:r>
            <w:r w:rsidR="00B02449">
              <w:rPr>
                <w:sz w:val="28"/>
                <w:szCs w:val="28"/>
              </w:rPr>
              <w:t>5</w:t>
            </w:r>
            <w:r w:rsidRPr="00204F41">
              <w:rPr>
                <w:sz w:val="28"/>
                <w:szCs w:val="28"/>
              </w:rPr>
              <w:t>1</w:t>
            </w:r>
            <w:r w:rsidR="00B02449">
              <w:rPr>
                <w:sz w:val="28"/>
                <w:szCs w:val="28"/>
              </w:rPr>
              <w:t>,70</w:t>
            </w:r>
            <w:r>
              <w:rPr>
                <w:color w:val="000000"/>
                <w:sz w:val="28"/>
                <w:szCs w:val="28"/>
              </w:rPr>
              <w:t xml:space="preserve"> </w:t>
            </w:r>
            <w:r>
              <w:rPr>
                <w:i/>
                <w:sz w:val="28"/>
                <w:szCs w:val="28"/>
              </w:rPr>
              <w:t>euro</w:t>
            </w:r>
            <w:r>
              <w:rPr>
                <w:rFonts w:eastAsia="Times New Roman"/>
                <w:sz w:val="28"/>
                <w:szCs w:val="28"/>
                <w:lang w:eastAsia="lv-LV"/>
              </w:rPr>
              <w:t xml:space="preserve"> apmērā. Minētā summa paliktu kapitālsabiedrības rīcībā un tiktu novirzīta kapitālsabiedrībai </w:t>
            </w:r>
            <w:r>
              <w:rPr>
                <w:sz w:val="28"/>
                <w:szCs w:val="28"/>
              </w:rPr>
              <w:t xml:space="preserve">deleģēto valsts pārvaldes uzdevumu </w:t>
            </w:r>
            <w:r>
              <w:rPr>
                <w:rFonts w:eastAsia="Times New Roman"/>
                <w:sz w:val="28"/>
                <w:szCs w:val="28"/>
                <w:lang w:eastAsia="lv-LV"/>
              </w:rPr>
              <w:t xml:space="preserve">kultūras jomā nodrošināšanas izdevumu segšanai, nepalielinot kapitālsabiedrībai nepieciešamo valsts budžeta dotāciju </w:t>
            </w:r>
            <w:r>
              <w:rPr>
                <w:sz w:val="28"/>
                <w:szCs w:val="28"/>
              </w:rPr>
              <w:t xml:space="preserve">deleģēto valsts pārvaldes uzdevumu </w:t>
            </w:r>
            <w:r>
              <w:rPr>
                <w:rFonts w:eastAsia="Times New Roman"/>
                <w:sz w:val="28"/>
                <w:szCs w:val="28"/>
                <w:lang w:eastAsia="lv-LV"/>
              </w:rPr>
              <w:t xml:space="preserve">kultūras jomā īstenošanai.  </w:t>
            </w:r>
          </w:p>
        </w:tc>
      </w:tr>
    </w:tbl>
    <w:p w:rsidR="000A2D88" w:rsidRDefault="000A2D88" w:rsidP="000A2D88">
      <w:pPr>
        <w:spacing w:after="0" w:line="240" w:lineRule="auto"/>
        <w:rPr>
          <w:i/>
          <w:sz w:val="28"/>
          <w:szCs w:val="28"/>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0A2D88" w:rsidRPr="003F2F99" w:rsidTr="007D511F">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A2D88" w:rsidRPr="003F2F99" w:rsidRDefault="000A2D88" w:rsidP="007D511F">
            <w:pPr>
              <w:spacing w:after="0" w:line="240" w:lineRule="auto"/>
              <w:jc w:val="center"/>
              <w:rPr>
                <w:rFonts w:eastAsia="Times New Roman"/>
                <w:b/>
                <w:bCs/>
                <w:color w:val="000000" w:themeColor="text1"/>
                <w:sz w:val="28"/>
                <w:szCs w:val="28"/>
                <w:lang w:eastAsia="lv-LV"/>
              </w:rPr>
            </w:pPr>
            <w:r w:rsidRPr="003F2F99">
              <w:rPr>
                <w:rFonts w:eastAsia="Times New Roman"/>
                <w:b/>
                <w:bCs/>
                <w:color w:val="000000" w:themeColor="text1"/>
                <w:sz w:val="28"/>
                <w:szCs w:val="28"/>
                <w:lang w:eastAsia="lv-LV"/>
              </w:rPr>
              <w:t>IV. Tiesību akta projekta ietekme uz spēkā esošo tiesību normu sistēmu</w:t>
            </w:r>
          </w:p>
        </w:tc>
      </w:tr>
      <w:tr w:rsidR="000A2D88" w:rsidRPr="003F2F99" w:rsidTr="007D511F">
        <w:trPr>
          <w:trHeight w:val="43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A2D88" w:rsidRPr="003F2F99" w:rsidRDefault="000A2D88" w:rsidP="007D511F">
            <w:pPr>
              <w:spacing w:after="0" w:line="240" w:lineRule="auto"/>
              <w:jc w:val="center"/>
              <w:rPr>
                <w:rFonts w:eastAsia="Times New Roman"/>
                <w:b/>
                <w:bCs/>
                <w:color w:val="000000" w:themeColor="text1"/>
                <w:sz w:val="28"/>
                <w:szCs w:val="28"/>
                <w:lang w:eastAsia="lv-LV"/>
              </w:rPr>
            </w:pPr>
            <w:r w:rsidRPr="003F2F99">
              <w:rPr>
                <w:rFonts w:eastAsia="Times New Roman"/>
                <w:sz w:val="28"/>
                <w:szCs w:val="28"/>
                <w:lang w:eastAsia="lv-LV"/>
              </w:rPr>
              <w:t>Projekts šo jomu neskar.</w:t>
            </w:r>
          </w:p>
        </w:tc>
      </w:tr>
    </w:tbl>
    <w:p w:rsidR="000A2D88" w:rsidRDefault="000A2D88" w:rsidP="000A2D88">
      <w:pPr>
        <w:spacing w:after="0" w:line="240" w:lineRule="auto"/>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3269"/>
        <w:gridCol w:w="5320"/>
      </w:tblGrid>
      <w:tr w:rsidR="000A2D88" w:rsidTr="007D511F">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tabs>
                <w:tab w:val="center" w:pos="4153"/>
                <w:tab w:val="right" w:pos="8306"/>
              </w:tabs>
              <w:spacing w:before="100" w:beforeAutospacing="1" w:after="100" w:afterAutospacing="1" w:line="240" w:lineRule="auto"/>
              <w:jc w:val="center"/>
              <w:rPr>
                <w:rFonts w:eastAsia="Times New Roman"/>
                <w:sz w:val="28"/>
                <w:szCs w:val="28"/>
                <w:lang w:eastAsia="lv-LV"/>
              </w:rPr>
            </w:pPr>
            <w:r>
              <w:rPr>
                <w:rFonts w:eastAsia="Times New Roman"/>
                <w:b/>
                <w:bCs/>
                <w:sz w:val="28"/>
                <w:szCs w:val="28"/>
                <w:lang w:eastAsia="lv-LV"/>
              </w:rPr>
              <w:t xml:space="preserve">V. Tiesību akta projekta atbilstība Latvijas Republikas starptautiskajām </w:t>
            </w:r>
            <w:r>
              <w:rPr>
                <w:rFonts w:eastAsia="Times New Roman"/>
                <w:b/>
                <w:bCs/>
                <w:sz w:val="28"/>
                <w:szCs w:val="28"/>
                <w:lang w:eastAsia="lv-LV"/>
              </w:rPr>
              <w:lastRenderedPageBreak/>
              <w:t>saistībām</w:t>
            </w:r>
          </w:p>
        </w:tc>
      </w:tr>
      <w:tr w:rsidR="000A2D88" w:rsidTr="007D511F">
        <w:tc>
          <w:tcPr>
            <w:tcW w:w="29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lastRenderedPageBreak/>
              <w:t>1.</w:t>
            </w:r>
          </w:p>
        </w:tc>
        <w:tc>
          <w:tcPr>
            <w:tcW w:w="1790"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Saistības pret Eiropas Savienību</w:t>
            </w:r>
          </w:p>
        </w:tc>
        <w:tc>
          <w:tcPr>
            <w:tcW w:w="2913"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sz w:val="28"/>
                <w:szCs w:val="28"/>
              </w:rPr>
              <w:t xml:space="preserve"> Projekts šo jomu neskar.</w:t>
            </w:r>
          </w:p>
        </w:tc>
      </w:tr>
      <w:tr w:rsidR="000A2D88" w:rsidTr="007D511F">
        <w:tc>
          <w:tcPr>
            <w:tcW w:w="29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2.</w:t>
            </w:r>
          </w:p>
        </w:tc>
        <w:tc>
          <w:tcPr>
            <w:tcW w:w="1790"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Citas starptautiskās saistības</w:t>
            </w:r>
          </w:p>
        </w:tc>
        <w:tc>
          <w:tcPr>
            <w:tcW w:w="2913"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sz w:val="28"/>
                <w:szCs w:val="28"/>
              </w:rPr>
              <w:t xml:space="preserve"> Projekts šo jomu neskar.</w:t>
            </w:r>
          </w:p>
        </w:tc>
      </w:tr>
      <w:tr w:rsidR="000A2D88" w:rsidTr="007D511F">
        <w:tc>
          <w:tcPr>
            <w:tcW w:w="297" w:type="pct"/>
            <w:tcBorders>
              <w:top w:val="outset" w:sz="6" w:space="0" w:color="auto"/>
              <w:left w:val="outset" w:sz="6" w:space="0" w:color="auto"/>
              <w:bottom w:val="nil"/>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3.</w:t>
            </w:r>
          </w:p>
        </w:tc>
        <w:tc>
          <w:tcPr>
            <w:tcW w:w="1790" w:type="pct"/>
            <w:tcBorders>
              <w:top w:val="outset" w:sz="6" w:space="0" w:color="auto"/>
              <w:left w:val="outset" w:sz="6" w:space="0" w:color="auto"/>
              <w:bottom w:val="nil"/>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Cita informācija</w:t>
            </w:r>
          </w:p>
        </w:tc>
        <w:tc>
          <w:tcPr>
            <w:tcW w:w="2913" w:type="pct"/>
            <w:tcBorders>
              <w:top w:val="outset" w:sz="6" w:space="0" w:color="auto"/>
              <w:left w:val="outset" w:sz="6" w:space="0" w:color="auto"/>
              <w:bottom w:val="nil"/>
              <w:right w:val="outset" w:sz="6" w:space="0" w:color="auto"/>
            </w:tcBorders>
            <w:hideMark/>
          </w:tcPr>
          <w:p w:rsidR="000A2D88" w:rsidRDefault="000A2D88" w:rsidP="007D511F">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 xml:space="preserve"> Nav</w:t>
            </w:r>
          </w:p>
        </w:tc>
      </w:tr>
    </w:tbl>
    <w:p w:rsidR="000A2D88" w:rsidRDefault="000A2D88" w:rsidP="000A2D88">
      <w:pPr>
        <w:spacing w:after="90" w:line="240" w:lineRule="auto"/>
        <w:rPr>
          <w:rFonts w:eastAsia="Times New Roman"/>
          <w:vanish/>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12"/>
        <w:gridCol w:w="1539"/>
        <w:gridCol w:w="1711"/>
        <w:gridCol w:w="2069"/>
      </w:tblGrid>
      <w:tr w:rsidR="000A2D88" w:rsidTr="007D511F">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00" w:beforeAutospacing="1" w:after="100" w:afterAutospacing="1" w:line="240" w:lineRule="auto"/>
              <w:jc w:val="center"/>
              <w:rPr>
                <w:rFonts w:eastAsia="Times New Roman"/>
                <w:sz w:val="28"/>
                <w:szCs w:val="28"/>
                <w:lang w:eastAsia="lv-LV"/>
              </w:rPr>
            </w:pPr>
            <w:r>
              <w:rPr>
                <w:rFonts w:eastAsia="Times New Roman"/>
                <w:b/>
                <w:bCs/>
                <w:sz w:val="28"/>
                <w:szCs w:val="28"/>
                <w:lang w:eastAsia="lv-LV"/>
              </w:rPr>
              <w:t>1.tabula</w:t>
            </w:r>
            <w:r>
              <w:rPr>
                <w:rFonts w:eastAsia="Times New Roman"/>
                <w:b/>
                <w:bCs/>
                <w:sz w:val="28"/>
                <w:szCs w:val="28"/>
                <w:lang w:eastAsia="lv-LV"/>
              </w:rPr>
              <w:br/>
              <w:t>Tiesību akta projekta atbilstība ES tiesību aktiem</w:t>
            </w:r>
          </w:p>
        </w:tc>
      </w:tr>
      <w:tr w:rsidR="000A2D88" w:rsidTr="007D511F">
        <w:tc>
          <w:tcPr>
            <w:tcW w:w="208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sz w:val="28"/>
                <w:szCs w:val="28"/>
              </w:rPr>
              <w:t xml:space="preserve"> Projekts šo jomu neskar.</w:t>
            </w:r>
          </w:p>
        </w:tc>
      </w:tr>
      <w:tr w:rsidR="000A2D88" w:rsidTr="007D511F">
        <w:tc>
          <w:tcPr>
            <w:tcW w:w="2087" w:type="pct"/>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0A2D88" w:rsidRDefault="000A2D88" w:rsidP="007D511F">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D</w:t>
            </w:r>
          </w:p>
        </w:tc>
      </w:tr>
      <w:tr w:rsidR="000A2D88" w:rsidTr="007D511F">
        <w:trPr>
          <w:trHeight w:val="517"/>
        </w:trPr>
        <w:tc>
          <w:tcPr>
            <w:tcW w:w="208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Kā ir izmantota ES tiesību aktā paredzētā rīcības brīvība dalībvalstij pārņemt vai ieviest noteiktas ES tiesību akta normas? 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11"/>
              <w:rPr>
                <w:rFonts w:eastAsia="Times New Roman"/>
                <w:sz w:val="28"/>
                <w:szCs w:val="28"/>
                <w:lang w:eastAsia="lv-LV"/>
              </w:rPr>
            </w:pPr>
            <w:r>
              <w:rPr>
                <w:sz w:val="28"/>
                <w:szCs w:val="28"/>
              </w:rPr>
              <w:t>Projekts šo jomu neskar.</w:t>
            </w:r>
          </w:p>
        </w:tc>
      </w:tr>
      <w:tr w:rsidR="000A2D88" w:rsidTr="007D511F">
        <w:tc>
          <w:tcPr>
            <w:tcW w:w="208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11"/>
              <w:jc w:val="both"/>
              <w:rPr>
                <w:rFonts w:eastAsia="Times New Roman"/>
                <w:sz w:val="28"/>
                <w:szCs w:val="28"/>
                <w:lang w:eastAsia="lv-LV"/>
              </w:rPr>
            </w:pPr>
            <w:r>
              <w:rPr>
                <w:sz w:val="28"/>
                <w:szCs w:val="28"/>
              </w:rPr>
              <w:t xml:space="preserve">Komercdarbības atbalsta iestāšanās gadījumā  attiecībā uz kapitālsabiedrību,  kopsavilkuma informācija par sniegto valsts atbalstu tiks iesniegta Eiropas Komisijā saskaņā ar  Regulas Nr.651/2014 nosacījumiem. </w:t>
            </w:r>
          </w:p>
        </w:tc>
      </w:tr>
      <w:tr w:rsidR="000A2D88" w:rsidTr="007D511F">
        <w:trPr>
          <w:trHeight w:val="138"/>
        </w:trPr>
        <w:tc>
          <w:tcPr>
            <w:tcW w:w="208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0A2D88" w:rsidRDefault="000A2D88" w:rsidP="007D511F">
            <w:pPr>
              <w:spacing w:before="100" w:beforeAutospacing="1" w:after="100" w:afterAutospacing="1" w:line="240" w:lineRule="auto"/>
              <w:ind w:left="111"/>
              <w:rPr>
                <w:rFonts w:eastAsia="Times New Roman"/>
                <w:sz w:val="28"/>
                <w:szCs w:val="28"/>
                <w:lang w:eastAsia="lv-LV"/>
              </w:rPr>
            </w:pPr>
            <w:r>
              <w:rPr>
                <w:rFonts w:eastAsia="Times New Roman"/>
                <w:sz w:val="28"/>
                <w:szCs w:val="28"/>
                <w:lang w:eastAsia="lv-LV"/>
              </w:rPr>
              <w:t>Nav</w:t>
            </w:r>
          </w:p>
        </w:tc>
      </w:tr>
    </w:tbl>
    <w:p w:rsidR="000A2D88" w:rsidRDefault="000A2D88" w:rsidP="000A2D88">
      <w:pPr>
        <w:spacing w:after="0" w:line="240" w:lineRule="auto"/>
        <w:rPr>
          <w:rFonts w:eastAsia="Times New Roman"/>
          <w:i/>
          <w:iCs/>
          <w:sz w:val="28"/>
          <w:szCs w:val="28"/>
          <w:lang w:eastAsia="lv-LV"/>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0A2D88" w:rsidRPr="00F06D1D" w:rsidTr="007D511F">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A2D88" w:rsidRPr="00F06D1D" w:rsidRDefault="000A2D88" w:rsidP="007D511F">
            <w:pPr>
              <w:spacing w:before="100" w:beforeAutospacing="1" w:after="100" w:afterAutospacing="1" w:line="293" w:lineRule="atLeast"/>
              <w:jc w:val="center"/>
              <w:rPr>
                <w:b/>
                <w:bCs/>
                <w:sz w:val="28"/>
                <w:szCs w:val="28"/>
              </w:rPr>
            </w:pPr>
            <w:r w:rsidRPr="00F06D1D">
              <w:rPr>
                <w:b/>
                <w:bCs/>
                <w:sz w:val="28"/>
                <w:szCs w:val="28"/>
              </w:rPr>
              <w:t>VI. Sabiedrības līdzdalība un komunikācijas aktivitātes</w:t>
            </w:r>
          </w:p>
        </w:tc>
      </w:tr>
      <w:tr w:rsidR="000A2D88" w:rsidRPr="00F06D1D" w:rsidTr="007D511F">
        <w:trPr>
          <w:trHeight w:val="49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A2D88" w:rsidRPr="00F06D1D" w:rsidRDefault="000A2D88" w:rsidP="007D511F">
            <w:pPr>
              <w:spacing w:before="100" w:beforeAutospacing="1" w:after="100" w:afterAutospacing="1" w:line="293" w:lineRule="atLeast"/>
              <w:jc w:val="center"/>
              <w:rPr>
                <w:b/>
                <w:bCs/>
                <w:sz w:val="28"/>
                <w:szCs w:val="28"/>
              </w:rPr>
            </w:pPr>
            <w:r w:rsidRPr="009778FA">
              <w:rPr>
                <w:sz w:val="28"/>
                <w:szCs w:val="28"/>
              </w:rPr>
              <w:t>Projekts šo jomu neskar.</w:t>
            </w:r>
          </w:p>
        </w:tc>
      </w:tr>
    </w:tbl>
    <w:p w:rsidR="000A2D88" w:rsidRDefault="000A2D88" w:rsidP="000A2D88">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
        <w:gridCol w:w="3211"/>
        <w:gridCol w:w="5303"/>
      </w:tblGrid>
      <w:tr w:rsidR="000A2D88" w:rsidTr="007D511F">
        <w:tc>
          <w:tcPr>
            <w:tcW w:w="5000" w:type="pct"/>
            <w:gridSpan w:val="3"/>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 VII. Tiesību akta projekta izpildes nodrošināšana un tās ietekme uz institūcijām</w:t>
            </w:r>
          </w:p>
        </w:tc>
      </w:tr>
      <w:tr w:rsidR="000A2D88" w:rsidTr="007D511F">
        <w:trPr>
          <w:trHeight w:val="427"/>
        </w:trPr>
        <w:tc>
          <w:tcPr>
            <w:tcW w:w="315"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59"/>
              <w:jc w:val="both"/>
              <w:rPr>
                <w:rFonts w:eastAsia="Times New Roman"/>
                <w:sz w:val="28"/>
                <w:szCs w:val="28"/>
                <w:lang w:eastAsia="lv-LV"/>
              </w:rPr>
            </w:pPr>
            <w:r>
              <w:rPr>
                <w:rFonts w:eastAsia="Times New Roman"/>
                <w:sz w:val="28"/>
                <w:szCs w:val="28"/>
                <w:lang w:eastAsia="lv-LV"/>
              </w:rPr>
              <w:t xml:space="preserve">Kultūras ministrija. </w:t>
            </w:r>
          </w:p>
        </w:tc>
      </w:tr>
      <w:tr w:rsidR="000A2D88" w:rsidTr="007D511F">
        <w:trPr>
          <w:trHeight w:val="463"/>
        </w:trPr>
        <w:tc>
          <w:tcPr>
            <w:tcW w:w="315"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 xml:space="preserve">Projekta izpildes ietekme uz pārvaldes funkcijām un institucionālo struktūru. </w:t>
            </w:r>
          </w:p>
          <w:p w:rsidR="000A2D88" w:rsidRDefault="000A2D88" w:rsidP="007D511F">
            <w:pPr>
              <w:spacing w:after="0" w:line="240" w:lineRule="auto"/>
              <w:rPr>
                <w:rFonts w:eastAsia="Times New Roman"/>
                <w:sz w:val="28"/>
                <w:szCs w:val="28"/>
                <w:lang w:eastAsia="lv-LV"/>
              </w:rPr>
            </w:pPr>
          </w:p>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 xml:space="preserve">Jaunu institūciju izveide, esošu institūciju likvidācija vai reorganizācija, to </w:t>
            </w:r>
            <w:r>
              <w:rPr>
                <w:rFonts w:eastAsia="Times New Roman"/>
                <w:sz w:val="28"/>
                <w:szCs w:val="28"/>
                <w:lang w:eastAsia="lv-LV"/>
              </w:rPr>
              <w:lastRenderedPageBreak/>
              <w:t>ietekme uz institūcijas cilvēkresursiem</w:t>
            </w:r>
          </w:p>
        </w:tc>
        <w:tc>
          <w:tcPr>
            <w:tcW w:w="2918"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59"/>
              <w:jc w:val="both"/>
              <w:rPr>
                <w:rFonts w:eastAsia="Times New Roman"/>
                <w:sz w:val="28"/>
                <w:szCs w:val="28"/>
                <w:lang w:eastAsia="lv-LV"/>
              </w:rPr>
            </w:pPr>
            <w:r>
              <w:rPr>
                <w:rFonts w:eastAsia="Times New Roman"/>
                <w:sz w:val="28"/>
                <w:szCs w:val="28"/>
                <w:lang w:eastAsia="lv-LV"/>
              </w:rPr>
              <w:lastRenderedPageBreak/>
              <w:t>Projekts šo jomu neskar.</w:t>
            </w:r>
          </w:p>
        </w:tc>
      </w:tr>
      <w:tr w:rsidR="000A2D88" w:rsidTr="007D511F">
        <w:trPr>
          <w:trHeight w:val="256"/>
        </w:trPr>
        <w:tc>
          <w:tcPr>
            <w:tcW w:w="315"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jc w:val="center"/>
              <w:rPr>
                <w:rFonts w:eastAsia="Times New Roman"/>
                <w:sz w:val="28"/>
                <w:szCs w:val="28"/>
                <w:lang w:eastAsia="lv-LV"/>
              </w:rPr>
            </w:pPr>
            <w:r>
              <w:rPr>
                <w:rFonts w:eastAsia="Times New Roman"/>
                <w:sz w:val="28"/>
                <w:szCs w:val="28"/>
                <w:lang w:eastAsia="lv-LV"/>
              </w:rPr>
              <w:lastRenderedPageBreak/>
              <w:t>3.</w:t>
            </w:r>
          </w:p>
        </w:tc>
        <w:tc>
          <w:tcPr>
            <w:tcW w:w="1767"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rPr>
                <w:rFonts w:eastAsia="Times New Roman"/>
                <w:sz w:val="28"/>
                <w:szCs w:val="28"/>
                <w:lang w:eastAsia="lv-LV"/>
              </w:rPr>
            </w:pPr>
            <w:r>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hideMark/>
          </w:tcPr>
          <w:p w:rsidR="000A2D88" w:rsidRDefault="000A2D88" w:rsidP="007D511F">
            <w:pPr>
              <w:spacing w:after="0" w:line="240" w:lineRule="auto"/>
              <w:ind w:left="159"/>
              <w:rPr>
                <w:rFonts w:eastAsia="Times New Roman"/>
                <w:sz w:val="28"/>
                <w:szCs w:val="28"/>
                <w:lang w:eastAsia="lv-LV"/>
              </w:rPr>
            </w:pPr>
            <w:r>
              <w:rPr>
                <w:rFonts w:eastAsia="Times New Roman"/>
                <w:sz w:val="28"/>
                <w:szCs w:val="28"/>
                <w:lang w:eastAsia="lv-LV"/>
              </w:rPr>
              <w:t>Nav</w:t>
            </w:r>
          </w:p>
        </w:tc>
      </w:tr>
    </w:tbl>
    <w:p w:rsidR="000A2D88" w:rsidRDefault="000A2D88" w:rsidP="000A2D88">
      <w:pPr>
        <w:spacing w:after="0" w:line="240" w:lineRule="auto"/>
        <w:ind w:firstLine="284"/>
        <w:rPr>
          <w:sz w:val="28"/>
          <w:szCs w:val="28"/>
        </w:rPr>
      </w:pPr>
    </w:p>
    <w:p w:rsidR="000A2D88" w:rsidRDefault="000A2D88" w:rsidP="000A2D88">
      <w:pPr>
        <w:spacing w:after="0" w:line="240" w:lineRule="auto"/>
        <w:ind w:firstLine="284"/>
        <w:rPr>
          <w:sz w:val="28"/>
          <w:szCs w:val="28"/>
        </w:rPr>
      </w:pPr>
    </w:p>
    <w:p w:rsidR="000A2D88" w:rsidRDefault="000A2D88" w:rsidP="000A2D88">
      <w:pPr>
        <w:spacing w:after="0" w:line="240" w:lineRule="auto"/>
        <w:ind w:firstLine="284"/>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0A2D88" w:rsidRDefault="000A2D88" w:rsidP="000A2D88">
      <w:pPr>
        <w:spacing w:after="0" w:line="240" w:lineRule="auto"/>
        <w:ind w:firstLine="284"/>
        <w:rPr>
          <w:sz w:val="28"/>
          <w:szCs w:val="28"/>
        </w:rPr>
      </w:pPr>
    </w:p>
    <w:p w:rsidR="000A2D88" w:rsidRDefault="000A2D88" w:rsidP="000A2D88">
      <w:pPr>
        <w:spacing w:after="0" w:line="240" w:lineRule="auto"/>
        <w:ind w:firstLine="2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0A2D88" w:rsidRDefault="000A2D88" w:rsidP="000A2D88">
      <w:pPr>
        <w:spacing w:after="0" w:line="240" w:lineRule="auto"/>
        <w:rPr>
          <w:sz w:val="20"/>
          <w:szCs w:val="20"/>
        </w:rPr>
      </w:pPr>
    </w:p>
    <w:p w:rsidR="000A2D88" w:rsidRDefault="000A2D88" w:rsidP="000A2D88">
      <w:pPr>
        <w:spacing w:after="0" w:line="240" w:lineRule="auto"/>
        <w:rPr>
          <w:sz w:val="20"/>
          <w:szCs w:val="20"/>
        </w:rPr>
      </w:pPr>
    </w:p>
    <w:p w:rsidR="000A2D88" w:rsidRDefault="000A2D88" w:rsidP="000A2D88">
      <w:pPr>
        <w:spacing w:after="0" w:line="240" w:lineRule="auto"/>
        <w:rPr>
          <w:sz w:val="20"/>
          <w:szCs w:val="20"/>
        </w:rPr>
      </w:pPr>
    </w:p>
    <w:p w:rsidR="000A2D88" w:rsidRDefault="000A2D88" w:rsidP="000A2D88">
      <w:pPr>
        <w:spacing w:after="0" w:line="240" w:lineRule="auto"/>
        <w:rPr>
          <w:sz w:val="20"/>
          <w:szCs w:val="20"/>
        </w:rPr>
      </w:pPr>
    </w:p>
    <w:p w:rsidR="000A2D88" w:rsidRDefault="000A2D88" w:rsidP="000A2D88">
      <w:pPr>
        <w:pStyle w:val="Pamatteksts"/>
        <w:jc w:val="both"/>
        <w:rPr>
          <w:sz w:val="20"/>
          <w:szCs w:val="20"/>
        </w:rPr>
      </w:pPr>
    </w:p>
    <w:p w:rsidR="000A2D88" w:rsidRDefault="000A2D88" w:rsidP="000A2D88">
      <w:pPr>
        <w:pStyle w:val="Pamatteksts"/>
        <w:jc w:val="both"/>
        <w:rPr>
          <w:sz w:val="20"/>
          <w:szCs w:val="20"/>
        </w:rPr>
      </w:pPr>
    </w:p>
    <w:p w:rsidR="000A2D88" w:rsidRDefault="000A2D88" w:rsidP="000A2D88">
      <w:pPr>
        <w:pStyle w:val="Pamatteksts"/>
        <w:jc w:val="both"/>
        <w:rPr>
          <w:sz w:val="20"/>
          <w:szCs w:val="20"/>
        </w:rPr>
      </w:pPr>
    </w:p>
    <w:p w:rsidR="000A2D88" w:rsidRDefault="000A2D88" w:rsidP="000A2D88">
      <w:pPr>
        <w:pStyle w:val="Pamatteksts"/>
        <w:jc w:val="both"/>
        <w:rPr>
          <w:sz w:val="20"/>
          <w:szCs w:val="20"/>
        </w:rPr>
      </w:pPr>
    </w:p>
    <w:p w:rsidR="000A2D88" w:rsidRDefault="000A2D88" w:rsidP="000A2D88">
      <w:pPr>
        <w:pStyle w:val="Pamatteksts"/>
        <w:jc w:val="both"/>
        <w:rPr>
          <w:sz w:val="20"/>
          <w:szCs w:val="20"/>
        </w:rPr>
      </w:pPr>
    </w:p>
    <w:p w:rsidR="000A2D88" w:rsidRDefault="000A2D88" w:rsidP="000A2D88">
      <w:pPr>
        <w:pStyle w:val="Pamatteksts"/>
        <w:jc w:val="both"/>
        <w:rPr>
          <w:sz w:val="20"/>
          <w:szCs w:val="20"/>
        </w:rPr>
      </w:pPr>
    </w:p>
    <w:p w:rsidR="000A2D88" w:rsidRDefault="000A2D88" w:rsidP="000A2D88">
      <w:pPr>
        <w:pStyle w:val="Pamatteksts"/>
        <w:jc w:val="both"/>
        <w:rPr>
          <w:sz w:val="20"/>
          <w:szCs w:val="20"/>
        </w:rPr>
      </w:pPr>
    </w:p>
    <w:p w:rsidR="000A2D88" w:rsidRDefault="000A2D88" w:rsidP="000A2D88">
      <w:pPr>
        <w:tabs>
          <w:tab w:val="left" w:pos="6804"/>
        </w:tabs>
        <w:spacing w:after="0" w:line="240" w:lineRule="auto"/>
        <w:rPr>
          <w:color w:val="000000"/>
          <w:sz w:val="20"/>
          <w:szCs w:val="20"/>
        </w:rPr>
      </w:pPr>
      <w:r>
        <w:rPr>
          <w:color w:val="000000"/>
          <w:sz w:val="20"/>
          <w:szCs w:val="20"/>
        </w:rPr>
        <w:t>Katajs</w:t>
      </w:r>
      <w:r>
        <w:rPr>
          <w:sz w:val="20"/>
          <w:szCs w:val="20"/>
        </w:rPr>
        <w:t xml:space="preserve"> </w:t>
      </w:r>
      <w:bookmarkStart w:id="7" w:name="OLE_LINK9"/>
      <w:bookmarkStart w:id="8" w:name="OLE_LINK10"/>
      <w:r>
        <w:rPr>
          <w:sz w:val="20"/>
          <w:szCs w:val="20"/>
        </w:rPr>
        <w:t>67330327</w:t>
      </w:r>
    </w:p>
    <w:p w:rsidR="000A2D88" w:rsidRDefault="00D87B15" w:rsidP="000A2D88">
      <w:pPr>
        <w:tabs>
          <w:tab w:val="left" w:pos="6804"/>
        </w:tabs>
        <w:spacing w:after="0" w:line="240" w:lineRule="auto"/>
      </w:pPr>
      <w:hyperlink r:id="rId11" w:history="1">
        <w:r w:rsidR="000A2D88">
          <w:rPr>
            <w:rStyle w:val="Hipersaite"/>
            <w:sz w:val="20"/>
            <w:szCs w:val="20"/>
          </w:rPr>
          <w:t>Marcis.Katajs@km.gov.lv</w:t>
        </w:r>
      </w:hyperlink>
    </w:p>
    <w:bookmarkEnd w:id="7"/>
    <w:bookmarkEnd w:id="8"/>
    <w:p w:rsidR="000A2D88" w:rsidRDefault="000A2D88" w:rsidP="000A2D88"/>
    <w:p w:rsidR="00A258F4" w:rsidRDefault="00A258F4"/>
    <w:sectPr w:rsidR="00A258F4" w:rsidSect="007D511F">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49" w:rsidRDefault="00B02449" w:rsidP="000964F6">
      <w:pPr>
        <w:spacing w:after="0" w:line="240" w:lineRule="auto"/>
      </w:pPr>
      <w:r>
        <w:separator/>
      </w:r>
    </w:p>
  </w:endnote>
  <w:endnote w:type="continuationSeparator" w:id="0">
    <w:p w:rsidR="00B02449" w:rsidRDefault="00B02449" w:rsidP="0009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49" w:rsidRDefault="00B02449">
    <w:pPr>
      <w:pStyle w:val="Kjene"/>
    </w:pPr>
    <w:r w:rsidRPr="007B30B4">
      <w:rPr>
        <w:sz w:val="20"/>
        <w:szCs w:val="20"/>
      </w:rPr>
      <w:t>KMAnot_</w:t>
    </w:r>
    <w:r>
      <w:rPr>
        <w:sz w:val="20"/>
        <w:szCs w:val="20"/>
      </w:rPr>
      <w:t>290917</w:t>
    </w:r>
    <w:r w:rsidRPr="007B30B4">
      <w:rPr>
        <w:sz w:val="20"/>
        <w:szCs w:val="20"/>
      </w:rPr>
      <w:t>_</w:t>
    </w:r>
    <w:r>
      <w:rPr>
        <w:sz w:val="20"/>
        <w:szCs w:val="20"/>
      </w:rPr>
      <w:t>DaugT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49" w:rsidRDefault="00B02449">
    <w:pPr>
      <w:pStyle w:val="Kjene"/>
    </w:pPr>
    <w:r w:rsidRPr="007B30B4">
      <w:rPr>
        <w:sz w:val="20"/>
        <w:szCs w:val="20"/>
      </w:rPr>
      <w:t>KMAnot_</w:t>
    </w:r>
    <w:r>
      <w:rPr>
        <w:sz w:val="20"/>
        <w:szCs w:val="20"/>
      </w:rPr>
      <w:t>290917</w:t>
    </w:r>
    <w:r w:rsidRPr="007B30B4">
      <w:rPr>
        <w:sz w:val="20"/>
        <w:szCs w:val="20"/>
      </w:rPr>
      <w:t>_</w:t>
    </w:r>
    <w:r>
      <w:rPr>
        <w:sz w:val="20"/>
        <w:szCs w:val="20"/>
      </w:rPr>
      <w:t>DaugT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49" w:rsidRDefault="00B02449" w:rsidP="000964F6">
      <w:pPr>
        <w:spacing w:after="0" w:line="240" w:lineRule="auto"/>
      </w:pPr>
      <w:r>
        <w:separator/>
      </w:r>
    </w:p>
  </w:footnote>
  <w:footnote w:type="continuationSeparator" w:id="0">
    <w:p w:rsidR="00B02449" w:rsidRDefault="00B02449" w:rsidP="00096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22670"/>
      <w:docPartObj>
        <w:docPartGallery w:val="Page Numbers (Top of Page)"/>
        <w:docPartUnique/>
      </w:docPartObj>
    </w:sdtPr>
    <w:sdtContent>
      <w:p w:rsidR="00B02449" w:rsidRDefault="00D87B15">
        <w:pPr>
          <w:pStyle w:val="Galvene"/>
          <w:jc w:val="center"/>
        </w:pPr>
        <w:fldSimple w:instr=" PAGE   \* MERGEFORMAT ">
          <w:r w:rsidR="00CC1C7C">
            <w:rPr>
              <w:noProof/>
            </w:rPr>
            <w:t>2</w:t>
          </w:r>
        </w:fldSimple>
      </w:p>
    </w:sdtContent>
  </w:sdt>
  <w:p w:rsidR="00B02449" w:rsidRDefault="00B0244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0A2D88"/>
    <w:rsid w:val="000517AD"/>
    <w:rsid w:val="000964F6"/>
    <w:rsid w:val="000A2D88"/>
    <w:rsid w:val="001D1D0C"/>
    <w:rsid w:val="00204F41"/>
    <w:rsid w:val="00217688"/>
    <w:rsid w:val="003D4357"/>
    <w:rsid w:val="00440DE8"/>
    <w:rsid w:val="00461B30"/>
    <w:rsid w:val="007368DB"/>
    <w:rsid w:val="007D511F"/>
    <w:rsid w:val="00A258F4"/>
    <w:rsid w:val="00B02449"/>
    <w:rsid w:val="00C31143"/>
    <w:rsid w:val="00CC1C7C"/>
    <w:rsid w:val="00D52E08"/>
    <w:rsid w:val="00D83992"/>
    <w:rsid w:val="00D87B15"/>
    <w:rsid w:val="00ED01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A2D88"/>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0A2D88"/>
    <w:rPr>
      <w:color w:val="0000FF"/>
      <w:u w:val="single"/>
    </w:rPr>
  </w:style>
  <w:style w:type="paragraph" w:styleId="Pamatteksts">
    <w:name w:val="Body Text"/>
    <w:basedOn w:val="Parastais"/>
    <w:link w:val="PamattekstsRakstz"/>
    <w:semiHidden/>
    <w:unhideWhenUsed/>
    <w:rsid w:val="000A2D88"/>
    <w:pPr>
      <w:spacing w:after="0" w:line="240" w:lineRule="auto"/>
    </w:pPr>
    <w:rPr>
      <w:rFonts w:eastAsia="Times New Roman"/>
      <w:sz w:val="28"/>
      <w:szCs w:val="24"/>
    </w:rPr>
  </w:style>
  <w:style w:type="character" w:customStyle="1" w:styleId="PamattekstsRakstz">
    <w:name w:val="Pamatteksts Rakstz."/>
    <w:basedOn w:val="Noklusjumarindkopasfonts"/>
    <w:link w:val="Pamatteksts"/>
    <w:semiHidden/>
    <w:rsid w:val="000A2D88"/>
    <w:rPr>
      <w:rFonts w:ascii="Times New Roman" w:eastAsia="Times New Roman" w:hAnsi="Times New Roman" w:cs="Times New Roman"/>
      <w:sz w:val="28"/>
      <w:szCs w:val="24"/>
    </w:rPr>
  </w:style>
  <w:style w:type="paragraph" w:customStyle="1" w:styleId="tv2132">
    <w:name w:val="tv2132"/>
    <w:basedOn w:val="Parastais"/>
    <w:rsid w:val="000A2D88"/>
    <w:pPr>
      <w:spacing w:after="0" w:line="360" w:lineRule="auto"/>
      <w:ind w:firstLine="300"/>
    </w:pPr>
    <w:rPr>
      <w:rFonts w:eastAsia="Times New Roman"/>
      <w:color w:val="414142"/>
      <w:sz w:val="20"/>
      <w:szCs w:val="20"/>
      <w:lang w:eastAsia="lv-LV"/>
    </w:rPr>
  </w:style>
  <w:style w:type="paragraph" w:customStyle="1" w:styleId="Default">
    <w:name w:val="Default"/>
    <w:rsid w:val="000A2D8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ais"/>
    <w:link w:val="GalveneRakstz"/>
    <w:uiPriority w:val="99"/>
    <w:unhideWhenUsed/>
    <w:rsid w:val="000A2D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2D88"/>
    <w:rPr>
      <w:rFonts w:ascii="Times New Roman" w:eastAsia="Calibri" w:hAnsi="Times New Roman" w:cs="Times New Roman"/>
      <w:sz w:val="24"/>
    </w:rPr>
  </w:style>
  <w:style w:type="paragraph" w:styleId="Kjene">
    <w:name w:val="footer"/>
    <w:basedOn w:val="Parastais"/>
    <w:link w:val="KjeneRakstz"/>
    <w:uiPriority w:val="99"/>
    <w:semiHidden/>
    <w:unhideWhenUsed/>
    <w:rsid w:val="000A2D8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A2D88"/>
    <w:rPr>
      <w:rFonts w:ascii="Times New Roman" w:eastAsia="Calibri" w:hAnsi="Times New Roman" w:cs="Times New Roman"/>
      <w:sz w:val="24"/>
    </w:rPr>
  </w:style>
  <w:style w:type="table" w:styleId="Reatabula">
    <w:name w:val="Table Grid"/>
    <w:basedOn w:val="Parastatabula"/>
    <w:uiPriority w:val="59"/>
    <w:rsid w:val="000A2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4199067443240851931c2">
    <w:name w:val="m_4199067443240851931c2"/>
    <w:basedOn w:val="Noklusjumarindkopasfonts"/>
    <w:rsid w:val="00D83992"/>
  </w:style>
  <w:style w:type="paragraph" w:styleId="Balonteksts">
    <w:name w:val="Balloon Text"/>
    <w:basedOn w:val="Parastais"/>
    <w:link w:val="BalontekstsRakstz"/>
    <w:uiPriority w:val="99"/>
    <w:semiHidden/>
    <w:unhideWhenUsed/>
    <w:rsid w:val="007D51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0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269907-publiskas-personas-kapitala-dalu-un-kapitalsabiedribu-parvaldibas-likums" TargetMode="External"/><Relationship Id="rId11" Type="http://schemas.openxmlformats.org/officeDocument/2006/relationships/hyperlink" Target="mailto:Marcis.Katajs@km.gov.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footnotes" Target="footnote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10398</Words>
  <Characters>5927</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„Daugavpils teātris” peļņas daļu” sākotnējās ietekmes novērtējuma ziņojums (anotācija</dc:title>
  <dc:subject>Anotācija</dc:subject>
  <dc:creator>Mārcis Katajs</dc:creator>
  <cp:keywords>KMAnot_290917_DaugT_strategija</cp:keywords>
  <dc:description>67330327
Marcis.Katajs@km.gov.lv</dc:description>
  <cp:lastModifiedBy>Dzintra Rozīte</cp:lastModifiedBy>
  <cp:revision>3</cp:revision>
  <cp:lastPrinted>2017-10-02T06:41:00Z</cp:lastPrinted>
  <dcterms:created xsi:type="dcterms:W3CDTF">2017-10-02T10:29:00Z</dcterms:created>
  <dcterms:modified xsi:type="dcterms:W3CDTF">2017-10-03T06:01:00Z</dcterms:modified>
</cp:coreProperties>
</file>