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E0AC5" w14:textId="4C1AEECA" w:rsidR="00922F36" w:rsidRPr="00F667E7" w:rsidRDefault="00CA14F4" w:rsidP="00922F36">
      <w:pPr>
        <w:pStyle w:val="naisf"/>
        <w:spacing w:before="0" w:beforeAutospacing="0" w:after="0" w:afterAutospacing="0"/>
        <w:jc w:val="center"/>
        <w:rPr>
          <w:bCs/>
        </w:rPr>
      </w:pPr>
      <w:r>
        <w:rPr>
          <w:bCs/>
        </w:rPr>
        <w:t xml:space="preserve"> </w:t>
      </w:r>
      <w:r w:rsidR="00922F36" w:rsidRPr="00F667E7">
        <w:rPr>
          <w:bCs/>
        </w:rPr>
        <w:t>Ministru kabineta noteikumu projekta</w:t>
      </w:r>
    </w:p>
    <w:p w14:paraId="7E780DF7" w14:textId="2A87108B" w:rsidR="00922F36" w:rsidRPr="00F667E7" w:rsidRDefault="00922F36" w:rsidP="00791F88">
      <w:pPr>
        <w:spacing w:after="0" w:line="240" w:lineRule="auto"/>
        <w:jc w:val="center"/>
        <w:rPr>
          <w:rFonts w:ascii="Times New Roman" w:hAnsi="Times New Roman" w:cs="Times New Roman"/>
          <w:b/>
          <w:bCs/>
          <w:sz w:val="24"/>
          <w:szCs w:val="24"/>
        </w:rPr>
      </w:pPr>
      <w:bookmarkStart w:id="0" w:name="OLE_LINK3"/>
      <w:r w:rsidRPr="00F667E7">
        <w:rPr>
          <w:rFonts w:ascii="Times New Roman" w:hAnsi="Times New Roman" w:cs="Times New Roman"/>
          <w:b/>
          <w:sz w:val="24"/>
          <w:szCs w:val="24"/>
        </w:rPr>
        <w:t>„</w:t>
      </w:r>
      <w:r w:rsidR="00AE0DD6" w:rsidRPr="00F667E7">
        <w:rPr>
          <w:rFonts w:ascii="Times New Roman" w:hAnsi="Times New Roman" w:cs="Times New Roman"/>
          <w:b/>
          <w:sz w:val="24"/>
          <w:szCs w:val="24"/>
        </w:rPr>
        <w:t>Noteikumi par iekšējās kontroles sistēmas pamatprasībām korupcijas un interešu konflikta riska novēršanai publiskas personas institūcijā</w:t>
      </w:r>
      <w:r w:rsidRPr="00F667E7">
        <w:rPr>
          <w:rFonts w:ascii="Times New Roman" w:hAnsi="Times New Roman" w:cs="Times New Roman"/>
          <w:b/>
          <w:sz w:val="24"/>
          <w:szCs w:val="24"/>
        </w:rPr>
        <w:t>”</w:t>
      </w:r>
    </w:p>
    <w:bookmarkEnd w:id="0"/>
    <w:p w14:paraId="35C2BA13" w14:textId="0A69304A" w:rsidR="00434982" w:rsidRPr="00F667E7" w:rsidRDefault="00922F36" w:rsidP="00434982">
      <w:pPr>
        <w:pStyle w:val="Heading2"/>
        <w:spacing w:before="0" w:line="240" w:lineRule="auto"/>
        <w:ind w:right="-108"/>
        <w:jc w:val="center"/>
        <w:rPr>
          <w:rFonts w:ascii="Times New Roman" w:hAnsi="Times New Roman" w:cs="Times New Roman"/>
          <w:color w:val="auto"/>
          <w:sz w:val="24"/>
          <w:szCs w:val="24"/>
        </w:rPr>
      </w:pPr>
      <w:r w:rsidRPr="00F667E7">
        <w:rPr>
          <w:rFonts w:ascii="Times New Roman" w:hAnsi="Times New Roman" w:cs="Times New Roman"/>
          <w:color w:val="auto"/>
          <w:sz w:val="24"/>
          <w:szCs w:val="24"/>
        </w:rPr>
        <w:t>sākotnējās ietekmes novērtējuma ziņojums (anotācija)</w:t>
      </w:r>
    </w:p>
    <w:p w14:paraId="13352C23" w14:textId="77777777" w:rsidR="00CB538A" w:rsidRPr="00F667E7" w:rsidRDefault="00CB538A" w:rsidP="00CB538A">
      <w:pPr>
        <w:rPr>
          <w:rFonts w:ascii="Times New Roman" w:hAnsi="Times New Roman" w:cs="Times New Roman"/>
          <w:sz w:val="24"/>
          <w:szCs w:val="24"/>
        </w:rPr>
      </w:pPr>
    </w:p>
    <w:tbl>
      <w:tblPr>
        <w:tblpPr w:leftFromText="180" w:rightFromText="180" w:vertAnchor="text" w:horzAnchor="margin" w:tblpXSpec="center" w:tblpY="149"/>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4"/>
        <w:gridCol w:w="2416"/>
        <w:gridCol w:w="6096"/>
      </w:tblGrid>
      <w:tr w:rsidR="00DA6C86" w:rsidRPr="00F667E7" w14:paraId="5C18CA06" w14:textId="77777777" w:rsidTr="000375D2">
        <w:trPr>
          <w:trHeight w:val="558"/>
        </w:trPr>
        <w:tc>
          <w:tcPr>
            <w:tcW w:w="5000" w:type="pct"/>
            <w:gridSpan w:val="3"/>
            <w:vAlign w:val="center"/>
          </w:tcPr>
          <w:p w14:paraId="0D93044E" w14:textId="77777777" w:rsidR="00DA6C86" w:rsidRPr="00F667E7" w:rsidRDefault="00DA6C86" w:rsidP="00176CB2">
            <w:pPr>
              <w:pStyle w:val="naisnod"/>
              <w:spacing w:before="0" w:beforeAutospacing="0" w:after="0" w:afterAutospacing="0"/>
              <w:ind w:right="57"/>
              <w:jc w:val="center"/>
              <w:rPr>
                <w:b/>
              </w:rPr>
            </w:pPr>
            <w:r w:rsidRPr="00F667E7">
              <w:rPr>
                <w:b/>
              </w:rPr>
              <w:t>I. Tiesību akta projekta izstrādes nepieciešamība</w:t>
            </w:r>
          </w:p>
        </w:tc>
      </w:tr>
      <w:tr w:rsidR="00DA6C86" w:rsidRPr="00F667E7" w14:paraId="09F973DD" w14:textId="77777777" w:rsidTr="00FD5A18">
        <w:trPr>
          <w:trHeight w:val="415"/>
        </w:trPr>
        <w:tc>
          <w:tcPr>
            <w:tcW w:w="237" w:type="pct"/>
          </w:tcPr>
          <w:p w14:paraId="3E0B3008" w14:textId="77777777" w:rsidR="00DA6C86" w:rsidRPr="00F667E7" w:rsidRDefault="00DA6C86" w:rsidP="00176CB2">
            <w:pPr>
              <w:pStyle w:val="naiskr"/>
              <w:spacing w:before="0" w:beforeAutospacing="0" w:after="0" w:afterAutospacing="0"/>
              <w:ind w:right="57"/>
              <w:jc w:val="center"/>
            </w:pPr>
            <w:r w:rsidRPr="00F667E7">
              <w:t>1.</w:t>
            </w:r>
          </w:p>
        </w:tc>
        <w:tc>
          <w:tcPr>
            <w:tcW w:w="1352" w:type="pct"/>
          </w:tcPr>
          <w:p w14:paraId="4E3E734E" w14:textId="77777777" w:rsidR="00DD7205" w:rsidRPr="00F667E7" w:rsidRDefault="00DA6C86" w:rsidP="00F57E68">
            <w:pPr>
              <w:pStyle w:val="naiskr"/>
              <w:spacing w:before="0" w:beforeAutospacing="0" w:after="0" w:afterAutospacing="0"/>
              <w:ind w:left="57" w:right="57"/>
            </w:pPr>
            <w:r w:rsidRPr="00F667E7">
              <w:t>Pamatojums</w:t>
            </w:r>
          </w:p>
          <w:p w14:paraId="5754875C" w14:textId="77777777" w:rsidR="00DA6C86" w:rsidRPr="00F667E7" w:rsidRDefault="00DA6C86" w:rsidP="00DD7205">
            <w:pPr>
              <w:ind w:firstLine="720"/>
              <w:rPr>
                <w:rFonts w:ascii="Times New Roman" w:hAnsi="Times New Roman" w:cs="Times New Roman"/>
                <w:sz w:val="24"/>
                <w:szCs w:val="24"/>
              </w:rPr>
            </w:pPr>
          </w:p>
        </w:tc>
        <w:tc>
          <w:tcPr>
            <w:tcW w:w="3411" w:type="pct"/>
          </w:tcPr>
          <w:p w14:paraId="19287EEB" w14:textId="71500594" w:rsidR="00852EB1" w:rsidRPr="00C043B7" w:rsidRDefault="00852EB1" w:rsidP="00FD5A18">
            <w:pPr>
              <w:spacing w:after="0" w:line="240" w:lineRule="auto"/>
              <w:ind w:left="113" w:right="113"/>
              <w:jc w:val="both"/>
              <w:rPr>
                <w:rFonts w:ascii="Times New Roman" w:hAnsi="Times New Roman" w:cs="Times New Roman"/>
                <w:sz w:val="24"/>
                <w:szCs w:val="24"/>
              </w:rPr>
            </w:pPr>
            <w:r w:rsidRPr="00C043B7">
              <w:rPr>
                <w:rFonts w:ascii="Times New Roman" w:hAnsi="Times New Roman" w:cs="Times New Roman"/>
                <w:sz w:val="24"/>
                <w:szCs w:val="24"/>
              </w:rPr>
              <w:t xml:space="preserve">       </w:t>
            </w:r>
            <w:r w:rsidR="007B1678" w:rsidRPr="00C043B7">
              <w:rPr>
                <w:rFonts w:ascii="Times New Roman" w:hAnsi="Times New Roman" w:cs="Times New Roman"/>
                <w:sz w:val="24"/>
                <w:szCs w:val="24"/>
              </w:rPr>
              <w:t>Likuma “Par interešu konflikta novērš</w:t>
            </w:r>
            <w:r w:rsidR="00526F76" w:rsidRPr="00C043B7">
              <w:rPr>
                <w:rFonts w:ascii="Times New Roman" w:hAnsi="Times New Roman" w:cs="Times New Roman"/>
                <w:sz w:val="24"/>
                <w:szCs w:val="24"/>
              </w:rPr>
              <w:t xml:space="preserve">anu valsts amatpersonu darbībā” (turpmāk ‒ Interešu konflikta likums) </w:t>
            </w:r>
            <w:r w:rsidR="007B1678" w:rsidRPr="00C043B7">
              <w:rPr>
                <w:rFonts w:ascii="Times New Roman" w:hAnsi="Times New Roman" w:cs="Times New Roman"/>
                <w:sz w:val="24"/>
                <w:szCs w:val="24"/>
                <w:u w:val="single"/>
              </w:rPr>
              <w:t>20.panta astotā daļa</w:t>
            </w:r>
            <w:r w:rsidR="007B1678" w:rsidRPr="00C043B7">
              <w:rPr>
                <w:rFonts w:ascii="Times New Roman" w:hAnsi="Times New Roman" w:cs="Times New Roman"/>
                <w:sz w:val="24"/>
                <w:szCs w:val="24"/>
              </w:rPr>
              <w:t xml:space="preserve">, kura paredz, ka </w:t>
            </w:r>
            <w:r w:rsidR="007B1678" w:rsidRPr="00C043B7">
              <w:rPr>
                <w:rFonts w:ascii="Times New Roman" w:hAnsi="Times New Roman" w:cs="Times New Roman"/>
                <w:i/>
                <w:sz w:val="24"/>
                <w:szCs w:val="24"/>
              </w:rPr>
              <w:t>Ministru kabinets izdod noteikumus par iekšējās kontroles sistēmas pamatprasībām korupcijas un interešu konflikta riska novēršanai publiskas personas institūcijās</w:t>
            </w:r>
            <w:r w:rsidR="003E692A" w:rsidRPr="00C043B7">
              <w:rPr>
                <w:rFonts w:ascii="Times New Roman" w:hAnsi="Times New Roman" w:cs="Times New Roman"/>
                <w:i/>
                <w:sz w:val="24"/>
                <w:szCs w:val="24"/>
              </w:rPr>
              <w:t xml:space="preserve"> (turpmāk ‒ Ministru kabineta noteikumu projekts)</w:t>
            </w:r>
            <w:r w:rsidR="007B1678" w:rsidRPr="00C043B7">
              <w:rPr>
                <w:rFonts w:ascii="Times New Roman" w:hAnsi="Times New Roman" w:cs="Times New Roman"/>
                <w:sz w:val="24"/>
                <w:szCs w:val="24"/>
              </w:rPr>
              <w:t>.</w:t>
            </w:r>
          </w:p>
          <w:p w14:paraId="45DF0A89" w14:textId="319BF2B9" w:rsidR="00852EB1" w:rsidRPr="00C043B7" w:rsidRDefault="00A742A9" w:rsidP="00FD5A18">
            <w:pPr>
              <w:spacing w:after="0" w:line="240" w:lineRule="auto"/>
              <w:ind w:left="113" w:right="113"/>
              <w:jc w:val="both"/>
              <w:rPr>
                <w:rFonts w:ascii="Times New Roman" w:hAnsi="Times New Roman" w:cs="Times New Roman"/>
                <w:sz w:val="24"/>
                <w:szCs w:val="24"/>
              </w:rPr>
            </w:pPr>
            <w:r w:rsidRPr="00C043B7">
              <w:rPr>
                <w:rFonts w:ascii="Times New Roman" w:hAnsi="Times New Roman" w:cs="Times New Roman"/>
                <w:sz w:val="24"/>
                <w:szCs w:val="24"/>
              </w:rPr>
              <w:t xml:space="preserve">       </w:t>
            </w:r>
            <w:r w:rsidR="00526F76" w:rsidRPr="00C043B7">
              <w:rPr>
                <w:rFonts w:ascii="Times New Roman" w:hAnsi="Times New Roman" w:cs="Times New Roman"/>
                <w:sz w:val="24"/>
                <w:szCs w:val="24"/>
              </w:rPr>
              <w:t xml:space="preserve">Interešu konflikta likuma Pārejas noteikumu 28.punkts nosaka, ka Ministru kabinets līdz 2017.gada 1.martam izdod šā likuma </w:t>
            </w:r>
            <w:hyperlink r:id="rId9" w:anchor="p20" w:tgtFrame="_blank" w:history="1">
              <w:r w:rsidR="00526F76" w:rsidRPr="00C043B7">
                <w:rPr>
                  <w:rStyle w:val="Hyperlink"/>
                  <w:rFonts w:ascii="Times New Roman" w:hAnsi="Times New Roman" w:cs="Times New Roman"/>
                  <w:color w:val="auto"/>
                  <w:sz w:val="24"/>
                  <w:szCs w:val="24"/>
                </w:rPr>
                <w:t>20.panta</w:t>
              </w:r>
            </w:hyperlink>
            <w:r w:rsidR="00526F76" w:rsidRPr="00C043B7">
              <w:rPr>
                <w:rFonts w:ascii="Times New Roman" w:hAnsi="Times New Roman" w:cs="Times New Roman"/>
                <w:sz w:val="24"/>
                <w:szCs w:val="24"/>
              </w:rPr>
              <w:t xml:space="preserve"> </w:t>
            </w:r>
            <w:r w:rsidR="00526F76" w:rsidRPr="00C043B7">
              <w:rPr>
                <w:rFonts w:ascii="Times New Roman" w:hAnsi="Times New Roman" w:cs="Times New Roman"/>
                <w:sz w:val="24"/>
                <w:szCs w:val="24"/>
                <w:u w:val="single"/>
              </w:rPr>
              <w:t>astotajā daļā</w:t>
            </w:r>
            <w:r w:rsidR="00526F76" w:rsidRPr="00C043B7">
              <w:rPr>
                <w:rFonts w:ascii="Times New Roman" w:hAnsi="Times New Roman" w:cs="Times New Roman"/>
                <w:sz w:val="24"/>
                <w:szCs w:val="24"/>
              </w:rPr>
              <w:t xml:space="preserve"> paredzētos noteikumus.</w:t>
            </w:r>
          </w:p>
          <w:p w14:paraId="657768E0" w14:textId="77777777" w:rsidR="001D59E5" w:rsidRPr="00C043B7" w:rsidRDefault="001D59E5" w:rsidP="00FD5A18">
            <w:pPr>
              <w:spacing w:after="0" w:line="240" w:lineRule="auto"/>
              <w:ind w:left="113" w:right="113"/>
              <w:jc w:val="both"/>
              <w:rPr>
                <w:rFonts w:ascii="Times New Roman" w:hAnsi="Times New Roman" w:cs="Times New Roman"/>
                <w:sz w:val="24"/>
                <w:szCs w:val="24"/>
              </w:rPr>
            </w:pPr>
          </w:p>
          <w:p w14:paraId="364CDB68" w14:textId="77777777" w:rsidR="00852EB1" w:rsidRDefault="00852EB1" w:rsidP="00FD5A18">
            <w:pPr>
              <w:spacing w:after="0" w:line="240" w:lineRule="auto"/>
              <w:ind w:left="113" w:right="113" w:firstLine="720"/>
              <w:jc w:val="both"/>
              <w:rPr>
                <w:rFonts w:ascii="Times New Roman" w:hAnsi="Times New Roman" w:cs="Times New Roman"/>
                <w:sz w:val="24"/>
                <w:szCs w:val="24"/>
              </w:rPr>
            </w:pPr>
            <w:r w:rsidRPr="00C043B7">
              <w:rPr>
                <w:rFonts w:ascii="Times New Roman" w:hAnsi="Times New Roman" w:cs="Times New Roman"/>
                <w:sz w:val="24"/>
                <w:szCs w:val="24"/>
              </w:rPr>
              <w:t xml:space="preserve">2016. gada 3. maija Ministru </w:t>
            </w:r>
            <w:r w:rsidR="003B6B89">
              <w:rPr>
                <w:rFonts w:ascii="Times New Roman" w:hAnsi="Times New Roman" w:cs="Times New Roman"/>
                <w:sz w:val="24"/>
                <w:szCs w:val="24"/>
              </w:rPr>
              <w:t>kabineta rīkojumā Nr.</w:t>
            </w:r>
            <w:r w:rsidRPr="00C043B7">
              <w:rPr>
                <w:rFonts w:ascii="Times New Roman" w:hAnsi="Times New Roman" w:cs="Times New Roman"/>
                <w:sz w:val="24"/>
                <w:szCs w:val="24"/>
              </w:rPr>
              <w:t>275 "</w:t>
            </w:r>
            <w:hyperlink r:id="rId10" w:tgtFrame="_blank" w:history="1">
              <w:r w:rsidRPr="00C043B7">
                <w:rPr>
                  <w:rStyle w:val="Hyperlink"/>
                  <w:rFonts w:ascii="Times New Roman" w:hAnsi="Times New Roman" w:cs="Times New Roman"/>
                  <w:color w:val="auto"/>
                  <w:sz w:val="24"/>
                  <w:szCs w:val="24"/>
                  <w:u w:val="none"/>
                </w:rPr>
                <w:t xml:space="preserve">Par Valdības rīcības plānu Deklarācijas par Māra </w:t>
              </w:r>
              <w:proofErr w:type="spellStart"/>
              <w:r w:rsidRPr="00C043B7">
                <w:rPr>
                  <w:rStyle w:val="Hyperlink"/>
                  <w:rFonts w:ascii="Times New Roman" w:hAnsi="Times New Roman" w:cs="Times New Roman"/>
                  <w:color w:val="auto"/>
                  <w:sz w:val="24"/>
                  <w:szCs w:val="24"/>
                  <w:u w:val="none"/>
                </w:rPr>
                <w:t>Kučinska</w:t>
              </w:r>
              <w:proofErr w:type="spellEnd"/>
              <w:r w:rsidRPr="00C043B7">
                <w:rPr>
                  <w:rStyle w:val="Hyperlink"/>
                  <w:rFonts w:ascii="Times New Roman" w:hAnsi="Times New Roman" w:cs="Times New Roman"/>
                  <w:color w:val="auto"/>
                  <w:sz w:val="24"/>
                  <w:szCs w:val="24"/>
                  <w:u w:val="none"/>
                </w:rPr>
                <w:t xml:space="preserve"> vadītā Ministru kabineta iecerēto darbību īstenošanai</w:t>
              </w:r>
            </w:hyperlink>
            <w:r w:rsidRPr="00C043B7">
              <w:rPr>
                <w:rFonts w:ascii="Times New Roman" w:hAnsi="Times New Roman" w:cs="Times New Roman"/>
                <w:sz w:val="24"/>
                <w:szCs w:val="24"/>
              </w:rPr>
              <w:t xml:space="preserve">" apstiprinātā Valdības rīcības plāna 26.2.pasākums, kurš paredz </w:t>
            </w:r>
            <w:r w:rsidRPr="00C043B7">
              <w:rPr>
                <w:rFonts w:ascii="Times New Roman" w:hAnsi="Times New Roman" w:cs="Times New Roman"/>
                <w:i/>
                <w:sz w:val="24"/>
                <w:szCs w:val="24"/>
              </w:rPr>
              <w:t>izstrādāt Ministru kabineta noteikumu projektu par iekšējās kontroles sistēmas pamatprasībām korupcijas un interešu konflikta riska novēršanai publiskas personas institūcijā</w:t>
            </w:r>
            <w:r w:rsidRPr="00C043B7">
              <w:rPr>
                <w:rFonts w:ascii="Times New Roman" w:hAnsi="Times New Roman" w:cs="Times New Roman"/>
                <w:sz w:val="24"/>
                <w:szCs w:val="24"/>
              </w:rPr>
              <w:t>.</w:t>
            </w:r>
          </w:p>
          <w:p w14:paraId="59C587D9" w14:textId="0869653F" w:rsidR="00C61A11" w:rsidRPr="00C043B7" w:rsidRDefault="00C61A11" w:rsidP="00FD5A18">
            <w:pPr>
              <w:spacing w:after="0" w:line="240" w:lineRule="auto"/>
              <w:ind w:left="113" w:right="113" w:firstLine="720"/>
              <w:jc w:val="both"/>
              <w:rPr>
                <w:rFonts w:ascii="Times New Roman" w:hAnsi="Times New Roman" w:cs="Times New Roman"/>
                <w:sz w:val="24"/>
                <w:szCs w:val="24"/>
              </w:rPr>
            </w:pPr>
          </w:p>
        </w:tc>
      </w:tr>
      <w:tr w:rsidR="00DA6C86" w:rsidRPr="00F667E7" w14:paraId="498FC18C" w14:textId="77777777" w:rsidTr="00FD5A18">
        <w:trPr>
          <w:trHeight w:val="472"/>
        </w:trPr>
        <w:tc>
          <w:tcPr>
            <w:tcW w:w="237" w:type="pct"/>
          </w:tcPr>
          <w:p w14:paraId="41DEAB91" w14:textId="28D0835F" w:rsidR="00DA6C86" w:rsidRPr="00F667E7" w:rsidRDefault="00DA6C86" w:rsidP="00176CB2">
            <w:pPr>
              <w:pStyle w:val="naiskr"/>
              <w:spacing w:before="0" w:beforeAutospacing="0" w:after="0" w:afterAutospacing="0"/>
              <w:ind w:right="57"/>
              <w:jc w:val="center"/>
            </w:pPr>
            <w:r w:rsidRPr="00F667E7">
              <w:t>2.</w:t>
            </w:r>
          </w:p>
        </w:tc>
        <w:tc>
          <w:tcPr>
            <w:tcW w:w="1352" w:type="pct"/>
          </w:tcPr>
          <w:p w14:paraId="1668C20E" w14:textId="77777777" w:rsidR="00DD7205" w:rsidRPr="00F667E7" w:rsidRDefault="00502937" w:rsidP="00F57E68">
            <w:pPr>
              <w:pStyle w:val="naiskr"/>
              <w:tabs>
                <w:tab w:val="left" w:pos="170"/>
              </w:tabs>
              <w:spacing w:before="0" w:beforeAutospacing="0" w:after="0" w:afterAutospacing="0"/>
              <w:ind w:left="57" w:right="57"/>
            </w:pPr>
            <w:r w:rsidRPr="00F667E7">
              <w:t>Pašreizējā situācija un problēmas, kuru risināšanai tiesību akta projekts izstrādāts, tiesiskā regulējuma mērķis un būtība</w:t>
            </w:r>
          </w:p>
          <w:p w14:paraId="6D736343" w14:textId="77777777" w:rsidR="00DA6C86" w:rsidRPr="00F667E7" w:rsidRDefault="00DA6C86" w:rsidP="0069768D">
            <w:pPr>
              <w:ind w:firstLine="720"/>
              <w:rPr>
                <w:rFonts w:ascii="Times New Roman" w:hAnsi="Times New Roman" w:cs="Times New Roman"/>
                <w:sz w:val="24"/>
                <w:szCs w:val="24"/>
              </w:rPr>
            </w:pPr>
          </w:p>
        </w:tc>
        <w:tc>
          <w:tcPr>
            <w:tcW w:w="3411" w:type="pct"/>
          </w:tcPr>
          <w:p w14:paraId="7E639763" w14:textId="5E9F7268" w:rsidR="00CB4DD7" w:rsidRDefault="000906F2" w:rsidP="00FD5A18">
            <w:pPr>
              <w:autoSpaceDE w:val="0"/>
              <w:autoSpaceDN w:val="0"/>
              <w:adjustRightInd w:val="0"/>
              <w:spacing w:after="0" w:line="240" w:lineRule="auto"/>
              <w:ind w:left="113" w:right="113" w:firstLine="340"/>
              <w:jc w:val="both"/>
              <w:rPr>
                <w:rFonts w:ascii="Times New Roman" w:eastAsia="Times New Roman" w:hAnsi="Times New Roman" w:cs="Times New Roman"/>
                <w:sz w:val="24"/>
                <w:szCs w:val="24"/>
              </w:rPr>
            </w:pPr>
            <w:r w:rsidRPr="00E92E92">
              <w:rPr>
                <w:rFonts w:ascii="Times New Roman" w:eastAsia="Times New Roman" w:hAnsi="Times New Roman" w:cs="Times New Roman"/>
                <w:sz w:val="24"/>
                <w:szCs w:val="24"/>
              </w:rPr>
              <w:t>Pašlaik attiecībā uz publiskas personas institūcijām lietderīgas un efektīvas rīcības ar mantu un finanšu līdzekļu nodrošināšana, labas pārvaldības principa ievērošana un likumīgas institūcijas darbības nodrošināšana izriet no vairākiem ārējiem normatīvajiem aktiem. Valsts pārvaldes iekārtas likuma 10</w:t>
            </w:r>
            <w:r w:rsidR="00A16AE5">
              <w:rPr>
                <w:rFonts w:ascii="Times New Roman" w:eastAsia="Times New Roman" w:hAnsi="Times New Roman" w:cs="Times New Roman"/>
                <w:sz w:val="24"/>
                <w:szCs w:val="24"/>
              </w:rPr>
              <w:t xml:space="preserve">. </w:t>
            </w:r>
            <w:r w:rsidRPr="00E92E92">
              <w:rPr>
                <w:rFonts w:ascii="Times New Roman" w:eastAsia="Times New Roman" w:hAnsi="Times New Roman" w:cs="Times New Roman"/>
                <w:sz w:val="24"/>
                <w:szCs w:val="24"/>
              </w:rPr>
              <w:t>pants nosaka, ka valsts pārvalde ir pakļauta likumam un tiesībām. Tā darbojas normatīvajos aktos noteiktās kompetences ietvaros un tā savā darbībā ievēro labas pārvaldības principu. Pienākums likumīgi, normatīvajos aktos paredzētajiem mērķiem, kā arī normatīvajos aktos noteiktajai kārtībai, un iedzīvotāju interesēs rīkoties ar publiskas personas finanšu līdzekļiem un mantu, novērst to izšķērdēšanu un nelietderīgu izmantošanu izriet no Publiskas personas finanšu līdzekļu un mantas izšķērdēšanas novēršanas likuma. Likums “Par interešu konflikta novēršanu valsts amatpersonu darbībā”</w:t>
            </w:r>
            <w:r w:rsidR="003B692B">
              <w:rPr>
                <w:rFonts w:ascii="Times New Roman" w:eastAsia="Times New Roman" w:hAnsi="Times New Roman" w:cs="Times New Roman"/>
                <w:sz w:val="24"/>
                <w:szCs w:val="24"/>
              </w:rPr>
              <w:t xml:space="preserve"> </w:t>
            </w:r>
            <w:r w:rsidR="003B692B">
              <w:rPr>
                <w:rFonts w:ascii="Times New Roman" w:hAnsi="Times New Roman" w:cs="Times New Roman"/>
                <w:sz w:val="24"/>
                <w:szCs w:val="24"/>
              </w:rPr>
              <w:t xml:space="preserve">(turpmāk ‒ Interešu konflikta likums) </w:t>
            </w:r>
            <w:r w:rsidRPr="00E92E92">
              <w:rPr>
                <w:rFonts w:ascii="Times New Roman" w:eastAsia="Times New Roman" w:hAnsi="Times New Roman" w:cs="Times New Roman"/>
                <w:sz w:val="24"/>
                <w:szCs w:val="24"/>
              </w:rPr>
              <w:t xml:space="preserve">nosaka valsts amatpersonu darbību sabiedrības interesēs, novēršot jebkuras valsts amatpersonas, tās radinieku vai darījumu partneru personiskās vai mantiskās ieinteresētības ietekmi uz valsts amatpersonas darbību, veicinot valsts amatpersonu darbības atklātumu un atbildību sabiedrības priekšā, kā arī </w:t>
            </w:r>
            <w:r w:rsidRPr="00E92E92">
              <w:rPr>
                <w:rFonts w:ascii="Times New Roman" w:eastAsia="Times New Roman" w:hAnsi="Times New Roman" w:cs="Times New Roman"/>
                <w:sz w:val="24"/>
                <w:szCs w:val="24"/>
              </w:rPr>
              <w:lastRenderedPageBreak/>
              <w:t xml:space="preserve">sabiedrības uzticēšanos valsts amatpersonu darbībai. </w:t>
            </w:r>
          </w:p>
          <w:p w14:paraId="7FFFC331" w14:textId="47B894C5" w:rsidR="00CB4DD7" w:rsidRDefault="00CB4DD7" w:rsidP="00FD5A18">
            <w:pPr>
              <w:autoSpaceDE w:val="0"/>
              <w:autoSpaceDN w:val="0"/>
              <w:adjustRightInd w:val="0"/>
              <w:spacing w:after="0" w:line="240" w:lineRule="auto"/>
              <w:ind w:left="113" w:right="113" w:firstLine="340"/>
              <w:jc w:val="both"/>
              <w:rPr>
                <w:rFonts w:ascii="Times New Roman" w:hAnsi="Times New Roman" w:cs="Times New Roman"/>
                <w:sz w:val="24"/>
                <w:szCs w:val="24"/>
              </w:rPr>
            </w:pPr>
            <w:r>
              <w:rPr>
                <w:rFonts w:ascii="Times New Roman" w:eastAsia="Times New Roman" w:hAnsi="Times New Roman" w:cs="Times New Roman"/>
                <w:sz w:val="24"/>
                <w:szCs w:val="24"/>
              </w:rPr>
              <w:t>2012.gada 8.maija Ministru kabineta notei</w:t>
            </w:r>
            <w:r w:rsidR="003B692B">
              <w:rPr>
                <w:rFonts w:ascii="Times New Roman" w:eastAsia="Times New Roman" w:hAnsi="Times New Roman" w:cs="Times New Roman"/>
                <w:sz w:val="24"/>
                <w:szCs w:val="24"/>
              </w:rPr>
              <w:t>kumi Nr.326 “Noteikumi par iekšē</w:t>
            </w:r>
            <w:r>
              <w:rPr>
                <w:rFonts w:ascii="Times New Roman" w:eastAsia="Times New Roman" w:hAnsi="Times New Roman" w:cs="Times New Roman"/>
                <w:sz w:val="24"/>
                <w:szCs w:val="24"/>
              </w:rPr>
              <w:t xml:space="preserve">jo kontroles sistēmu tiešās pārvaldes iestādēs” nosaka </w:t>
            </w:r>
            <w:r w:rsidRPr="00CB4DD7">
              <w:rPr>
                <w:rFonts w:ascii="Times New Roman" w:eastAsia="Times New Roman" w:hAnsi="Times New Roman" w:cs="Times New Roman"/>
                <w:sz w:val="24"/>
                <w:szCs w:val="24"/>
              </w:rPr>
              <w:t>i</w:t>
            </w:r>
            <w:r w:rsidRPr="00E92E92">
              <w:rPr>
                <w:rFonts w:ascii="Times New Roman" w:hAnsi="Times New Roman" w:cs="Times New Roman"/>
                <w:sz w:val="24"/>
                <w:szCs w:val="24"/>
              </w:rPr>
              <w:t xml:space="preserve">ekšējās kontroles sistēmas pamatprasības un tās izveidošanas, uzraudzības un uzlabošanas kārtību </w:t>
            </w:r>
            <w:r w:rsidRPr="00E92E92">
              <w:rPr>
                <w:rFonts w:ascii="Times New Roman" w:hAnsi="Times New Roman" w:cs="Times New Roman"/>
                <w:sz w:val="24"/>
                <w:szCs w:val="24"/>
                <w:u w:val="single"/>
              </w:rPr>
              <w:t>tiešās pārvaldes iestādēs</w:t>
            </w:r>
            <w:r w:rsidR="008C74B9">
              <w:rPr>
                <w:rFonts w:ascii="Times New Roman" w:hAnsi="Times New Roman" w:cs="Times New Roman"/>
                <w:sz w:val="24"/>
                <w:szCs w:val="24"/>
              </w:rPr>
              <w:t xml:space="preserve">. Viena no iekšējās kontroles sistēmas darbības pamatprasībām ir </w:t>
            </w:r>
            <w:r w:rsidR="008C74B9" w:rsidRPr="008C74B9">
              <w:rPr>
                <w:rFonts w:ascii="Times New Roman" w:hAnsi="Times New Roman" w:cs="Times New Roman"/>
                <w:sz w:val="24"/>
                <w:szCs w:val="24"/>
              </w:rPr>
              <w:t>iespējamo korupcijas un interešu konflikta risku novēršana</w:t>
            </w:r>
            <w:r w:rsidR="008C74B9">
              <w:rPr>
                <w:rFonts w:ascii="Times New Roman" w:hAnsi="Times New Roman" w:cs="Times New Roman"/>
                <w:sz w:val="24"/>
                <w:szCs w:val="24"/>
              </w:rPr>
              <w:t xml:space="preserve">. </w:t>
            </w:r>
          </w:p>
          <w:p w14:paraId="34759B29" w14:textId="0F8E53BB" w:rsidR="006055C0" w:rsidRDefault="000906F2" w:rsidP="004D10DF">
            <w:pPr>
              <w:autoSpaceDE w:val="0"/>
              <w:autoSpaceDN w:val="0"/>
              <w:adjustRightInd w:val="0"/>
              <w:spacing w:after="0" w:line="240" w:lineRule="auto"/>
              <w:ind w:left="113" w:right="113" w:firstLine="340"/>
              <w:jc w:val="both"/>
              <w:rPr>
                <w:rFonts w:ascii="Times New Roman" w:hAnsi="Times New Roman" w:cs="Times New Roman"/>
                <w:sz w:val="24"/>
                <w:szCs w:val="24"/>
              </w:rPr>
            </w:pPr>
            <w:r w:rsidRPr="00E92E92">
              <w:rPr>
                <w:rFonts w:ascii="Times New Roman" w:eastAsia="Times New Roman" w:hAnsi="Times New Roman" w:cs="Times New Roman"/>
                <w:sz w:val="24"/>
                <w:szCs w:val="24"/>
              </w:rPr>
              <w:t>Nolūkā panākt vienotu izpratni par pamatprasībām iekšējās kontroles sistēmas izveidošanai vai pilnveidošanai korupcijas un interešu konflikta riska (turpmāk – korupcijas risks) novēršanai, radīts vienots ārējais normatīvais akts publiskas personas institūcijām</w:t>
            </w:r>
            <w:r w:rsidR="00DB18C6">
              <w:rPr>
                <w:rFonts w:ascii="Times New Roman" w:eastAsia="Times New Roman" w:hAnsi="Times New Roman" w:cs="Times New Roman"/>
                <w:sz w:val="24"/>
                <w:szCs w:val="24"/>
              </w:rPr>
              <w:t xml:space="preserve"> (t.sk. pašvaldības, publiskas personas kapitālsabiedrības)</w:t>
            </w:r>
            <w:r w:rsidRPr="000906F2">
              <w:rPr>
                <w:rFonts w:ascii="Times New Roman" w:eastAsia="Times New Roman" w:hAnsi="Times New Roman" w:cs="Times New Roman"/>
                <w:sz w:val="24"/>
                <w:szCs w:val="24"/>
              </w:rPr>
              <w:t>.</w:t>
            </w:r>
            <w:r w:rsidR="00D46320">
              <w:rPr>
                <w:rFonts w:ascii="Times New Roman" w:eastAsia="Times New Roman" w:hAnsi="Times New Roman" w:cs="Times New Roman"/>
                <w:sz w:val="24"/>
                <w:szCs w:val="24"/>
              </w:rPr>
              <w:t xml:space="preserve"> </w:t>
            </w:r>
            <w:r w:rsidR="004D10DF">
              <w:t xml:space="preserve"> </w:t>
            </w:r>
            <w:r w:rsidR="004D10DF" w:rsidRPr="004D10DF">
              <w:rPr>
                <w:rFonts w:ascii="Times New Roman" w:hAnsi="Times New Roman" w:cs="Times New Roman"/>
                <w:sz w:val="24"/>
                <w:szCs w:val="24"/>
              </w:rPr>
              <w:t>Minis</w:t>
            </w:r>
            <w:r w:rsidR="004D10DF">
              <w:rPr>
                <w:rFonts w:ascii="Times New Roman" w:hAnsi="Times New Roman" w:cs="Times New Roman"/>
                <w:sz w:val="24"/>
                <w:szCs w:val="24"/>
              </w:rPr>
              <w:t xml:space="preserve">tru kabineta noteikumu projektā </w:t>
            </w:r>
            <w:r w:rsidR="004D10DF" w:rsidRPr="004D10DF">
              <w:rPr>
                <w:rFonts w:ascii="Times New Roman" w:hAnsi="Times New Roman" w:cs="Times New Roman"/>
                <w:sz w:val="24"/>
                <w:szCs w:val="24"/>
              </w:rPr>
              <w:t>„Noteikumi par iekšējās kontroles sistēmas pamatprasībām korupcijas un interešu konflikta riska novēršanai publiskas personas institūcijā”</w:t>
            </w:r>
            <w:r w:rsidR="004D10DF">
              <w:rPr>
                <w:rFonts w:ascii="Times New Roman" w:hAnsi="Times New Roman" w:cs="Times New Roman"/>
                <w:sz w:val="24"/>
                <w:szCs w:val="24"/>
              </w:rPr>
              <w:t xml:space="preserve"> (turpmāk ‒ Ministru kabineta noteikumu projekts) </w:t>
            </w:r>
            <w:r w:rsidR="00DB18C6" w:rsidRPr="00DB18C6">
              <w:rPr>
                <w:rFonts w:ascii="Times New Roman" w:hAnsi="Times New Roman" w:cs="Times New Roman"/>
                <w:sz w:val="24"/>
                <w:szCs w:val="24"/>
              </w:rPr>
              <w:t>iekļautās pamatprasības iekšējā</w:t>
            </w:r>
            <w:r w:rsidR="00DB18C6">
              <w:rPr>
                <w:rFonts w:ascii="Times New Roman" w:hAnsi="Times New Roman" w:cs="Times New Roman"/>
                <w:sz w:val="24"/>
                <w:szCs w:val="24"/>
              </w:rPr>
              <w:t>s kontroles sistēmas izveidei, pilnveidei un</w:t>
            </w:r>
            <w:r w:rsidR="00DB18C6" w:rsidRPr="00DB18C6">
              <w:rPr>
                <w:rFonts w:ascii="Times New Roman" w:hAnsi="Times New Roman" w:cs="Times New Roman"/>
                <w:sz w:val="24"/>
                <w:szCs w:val="24"/>
              </w:rPr>
              <w:t xml:space="preserve"> uzraudzībai </w:t>
            </w:r>
            <w:r w:rsidR="00DB18C6">
              <w:rPr>
                <w:rFonts w:ascii="Times New Roman" w:hAnsi="Times New Roman" w:cs="Times New Roman"/>
                <w:sz w:val="24"/>
                <w:szCs w:val="24"/>
              </w:rPr>
              <w:t xml:space="preserve">korupcijas un interešu konflikta riska novēršanai </w:t>
            </w:r>
            <w:r w:rsidR="00DB18C6" w:rsidRPr="00DB18C6">
              <w:rPr>
                <w:rFonts w:ascii="Times New Roman" w:hAnsi="Times New Roman" w:cs="Times New Roman"/>
                <w:sz w:val="24"/>
                <w:szCs w:val="24"/>
              </w:rPr>
              <w:t xml:space="preserve">ir </w:t>
            </w:r>
            <w:r w:rsidR="00DB18C6">
              <w:rPr>
                <w:rFonts w:ascii="Times New Roman" w:hAnsi="Times New Roman" w:cs="Times New Roman"/>
                <w:sz w:val="24"/>
                <w:szCs w:val="24"/>
              </w:rPr>
              <w:t xml:space="preserve">daļēji </w:t>
            </w:r>
            <w:r w:rsidR="00DB18C6" w:rsidRPr="00DB18C6">
              <w:rPr>
                <w:rFonts w:ascii="Times New Roman" w:hAnsi="Times New Roman" w:cs="Times New Roman"/>
                <w:sz w:val="24"/>
                <w:szCs w:val="24"/>
              </w:rPr>
              <w:t xml:space="preserve">balstītas uz </w:t>
            </w:r>
            <w:r w:rsidR="00DB18C6">
              <w:rPr>
                <w:rFonts w:ascii="Times New Roman" w:hAnsi="Times New Roman" w:cs="Times New Roman"/>
                <w:sz w:val="24"/>
                <w:szCs w:val="24"/>
              </w:rPr>
              <w:t>2012.gada 8.ma</w:t>
            </w:r>
            <w:r w:rsidR="00865816">
              <w:rPr>
                <w:rFonts w:ascii="Times New Roman" w:hAnsi="Times New Roman" w:cs="Times New Roman"/>
                <w:sz w:val="24"/>
                <w:szCs w:val="24"/>
              </w:rPr>
              <w:t>ija Ministru kabineta noteikumiem</w:t>
            </w:r>
            <w:r w:rsidR="00DB18C6">
              <w:rPr>
                <w:rFonts w:ascii="Times New Roman" w:hAnsi="Times New Roman" w:cs="Times New Roman"/>
                <w:sz w:val="24"/>
                <w:szCs w:val="24"/>
              </w:rPr>
              <w:t xml:space="preserve"> Nr.326 “Noteikumi par </w:t>
            </w:r>
            <w:r w:rsidR="00865816">
              <w:rPr>
                <w:rFonts w:ascii="Times New Roman" w:hAnsi="Times New Roman" w:cs="Times New Roman"/>
                <w:sz w:val="24"/>
                <w:szCs w:val="24"/>
              </w:rPr>
              <w:t>iekšējo kontroles sistēmu tiešās pārvaldes iestādēs</w:t>
            </w:r>
            <w:r w:rsidR="00DB18C6">
              <w:rPr>
                <w:rFonts w:ascii="Times New Roman" w:hAnsi="Times New Roman" w:cs="Times New Roman"/>
                <w:sz w:val="24"/>
                <w:szCs w:val="24"/>
              </w:rPr>
              <w:t>”</w:t>
            </w:r>
            <w:r w:rsidR="00865816">
              <w:rPr>
                <w:rFonts w:ascii="Times New Roman" w:hAnsi="Times New Roman" w:cs="Times New Roman"/>
                <w:sz w:val="24"/>
                <w:szCs w:val="24"/>
              </w:rPr>
              <w:t xml:space="preserve"> un </w:t>
            </w:r>
            <w:r w:rsidR="00DB18C6" w:rsidRPr="00DB18C6">
              <w:rPr>
                <w:rFonts w:ascii="Times New Roman" w:hAnsi="Times New Roman" w:cs="Times New Roman"/>
                <w:i/>
                <w:sz w:val="24"/>
                <w:szCs w:val="24"/>
              </w:rPr>
              <w:t>COSO</w:t>
            </w:r>
            <w:r w:rsidR="00DB18C6" w:rsidRPr="00DB18C6">
              <w:rPr>
                <w:rFonts w:ascii="Times New Roman" w:hAnsi="Times New Roman" w:cs="Times New Roman"/>
                <w:sz w:val="24"/>
                <w:szCs w:val="24"/>
              </w:rPr>
              <w:t xml:space="preserve"> (</w:t>
            </w:r>
            <w:proofErr w:type="spellStart"/>
            <w:r w:rsidR="00DB18C6" w:rsidRPr="00DB18C6">
              <w:rPr>
                <w:rFonts w:ascii="Times New Roman" w:hAnsi="Times New Roman" w:cs="Times New Roman"/>
                <w:i/>
                <w:sz w:val="24"/>
                <w:szCs w:val="24"/>
              </w:rPr>
              <w:t>The</w:t>
            </w:r>
            <w:proofErr w:type="spellEnd"/>
            <w:r w:rsidR="00DB18C6" w:rsidRPr="00DB18C6">
              <w:rPr>
                <w:rFonts w:ascii="Times New Roman" w:hAnsi="Times New Roman" w:cs="Times New Roman"/>
                <w:i/>
                <w:sz w:val="24"/>
                <w:szCs w:val="24"/>
              </w:rPr>
              <w:t xml:space="preserve"> </w:t>
            </w:r>
            <w:proofErr w:type="spellStart"/>
            <w:r w:rsidR="00DB18C6" w:rsidRPr="00DB18C6">
              <w:rPr>
                <w:rFonts w:ascii="Times New Roman" w:hAnsi="Times New Roman" w:cs="Times New Roman"/>
                <w:i/>
                <w:sz w:val="24"/>
                <w:szCs w:val="24"/>
              </w:rPr>
              <w:t>Commitee</w:t>
            </w:r>
            <w:proofErr w:type="spellEnd"/>
            <w:r w:rsidR="00DB18C6" w:rsidRPr="00DB18C6">
              <w:rPr>
                <w:rFonts w:ascii="Times New Roman" w:hAnsi="Times New Roman" w:cs="Times New Roman"/>
                <w:i/>
                <w:sz w:val="24"/>
                <w:szCs w:val="24"/>
              </w:rPr>
              <w:t xml:space="preserve"> </w:t>
            </w:r>
            <w:proofErr w:type="spellStart"/>
            <w:r w:rsidR="00DB18C6" w:rsidRPr="00DB18C6">
              <w:rPr>
                <w:rFonts w:ascii="Times New Roman" w:hAnsi="Times New Roman" w:cs="Times New Roman"/>
                <w:i/>
                <w:sz w:val="24"/>
                <w:szCs w:val="24"/>
              </w:rPr>
              <w:t>of</w:t>
            </w:r>
            <w:proofErr w:type="spellEnd"/>
            <w:r w:rsidR="00DB18C6" w:rsidRPr="00DB18C6">
              <w:rPr>
                <w:rFonts w:ascii="Times New Roman" w:hAnsi="Times New Roman" w:cs="Times New Roman"/>
                <w:i/>
                <w:sz w:val="24"/>
                <w:szCs w:val="24"/>
              </w:rPr>
              <w:t xml:space="preserve"> </w:t>
            </w:r>
            <w:proofErr w:type="spellStart"/>
            <w:r w:rsidR="00DB18C6" w:rsidRPr="00DB18C6">
              <w:rPr>
                <w:rFonts w:ascii="Times New Roman" w:hAnsi="Times New Roman" w:cs="Times New Roman"/>
                <w:i/>
                <w:sz w:val="24"/>
                <w:szCs w:val="24"/>
              </w:rPr>
              <w:t>Sponsoring</w:t>
            </w:r>
            <w:proofErr w:type="spellEnd"/>
            <w:r w:rsidR="00DB18C6" w:rsidRPr="00DB18C6">
              <w:rPr>
                <w:rFonts w:ascii="Times New Roman" w:hAnsi="Times New Roman" w:cs="Times New Roman"/>
                <w:i/>
                <w:sz w:val="24"/>
                <w:szCs w:val="24"/>
              </w:rPr>
              <w:t xml:space="preserve"> </w:t>
            </w:r>
            <w:proofErr w:type="spellStart"/>
            <w:r w:rsidR="00DB18C6" w:rsidRPr="00DB18C6">
              <w:rPr>
                <w:rFonts w:ascii="Times New Roman" w:hAnsi="Times New Roman" w:cs="Times New Roman"/>
                <w:i/>
                <w:sz w:val="24"/>
                <w:szCs w:val="24"/>
              </w:rPr>
              <w:t>Organizations</w:t>
            </w:r>
            <w:proofErr w:type="spellEnd"/>
            <w:r w:rsidR="00DB18C6" w:rsidRPr="00DB18C6">
              <w:rPr>
                <w:rFonts w:ascii="Times New Roman" w:hAnsi="Times New Roman" w:cs="Times New Roman"/>
                <w:sz w:val="24"/>
                <w:szCs w:val="24"/>
              </w:rPr>
              <w:t xml:space="preserve">) modeli, kas aptver kontroles vidi, risku novērtējumu, kontroles </w:t>
            </w:r>
            <w:r w:rsidR="00DB18C6">
              <w:rPr>
                <w:rFonts w:ascii="Times New Roman" w:hAnsi="Times New Roman" w:cs="Times New Roman"/>
                <w:sz w:val="24"/>
                <w:szCs w:val="24"/>
              </w:rPr>
              <w:t>pasākumu ieviešanu</w:t>
            </w:r>
            <w:r w:rsidR="00DB18C6" w:rsidRPr="00DB18C6">
              <w:rPr>
                <w:rFonts w:ascii="Times New Roman" w:hAnsi="Times New Roman" w:cs="Times New Roman"/>
                <w:sz w:val="24"/>
                <w:szCs w:val="24"/>
              </w:rPr>
              <w:t>, informāciju un komunikāciju, uzraudzību.</w:t>
            </w:r>
          </w:p>
          <w:p w14:paraId="3332E1B9" w14:textId="22421B28" w:rsidR="001E7A6E" w:rsidRPr="00C043B7" w:rsidRDefault="001E7A6E" w:rsidP="00865816">
            <w:pPr>
              <w:autoSpaceDE w:val="0"/>
              <w:autoSpaceDN w:val="0"/>
              <w:adjustRightInd w:val="0"/>
              <w:spacing w:after="0" w:line="240" w:lineRule="auto"/>
              <w:ind w:left="113" w:right="113" w:firstLine="340"/>
              <w:jc w:val="both"/>
              <w:rPr>
                <w:rFonts w:ascii="Times New Roman" w:hAnsi="Times New Roman" w:cs="Times New Roman"/>
                <w:sz w:val="24"/>
                <w:szCs w:val="24"/>
              </w:rPr>
            </w:pPr>
            <w:r w:rsidRPr="001E7A6E">
              <w:rPr>
                <w:rFonts w:ascii="Times New Roman" w:hAnsi="Times New Roman" w:cs="Times New Roman"/>
                <w:sz w:val="24"/>
                <w:szCs w:val="24"/>
              </w:rPr>
              <w:t>Iekšējās kontroles sistēmas pilnveidošana pretkorupcijas jomā ir viens no efektīgākajiem veidiem, kā mazināt korupcijas riskus valsts un pašvaldību institūcijās, tomēr nereti ir sastopami gadījumi, kad valsts institūciju pārstāvji norāda uz iekšējās kontroles sistēmas esamību institūcijā, bet nākas secināt, ka ieviesti ir tikai atsevišķi tās pamatelementi.</w:t>
            </w:r>
            <w:r>
              <w:rPr>
                <w:rStyle w:val="FootnoteReference"/>
                <w:rFonts w:ascii="Times New Roman" w:hAnsi="Times New Roman" w:cs="Times New Roman"/>
                <w:sz w:val="24"/>
                <w:szCs w:val="24"/>
              </w:rPr>
              <w:footnoteReference w:id="1"/>
            </w:r>
          </w:p>
          <w:p w14:paraId="3DEE3DB6" w14:textId="1F780B37" w:rsidR="004A6FE1" w:rsidRPr="00C043B7" w:rsidRDefault="004A6FE1" w:rsidP="00FD5A18">
            <w:pPr>
              <w:autoSpaceDE w:val="0"/>
              <w:autoSpaceDN w:val="0"/>
              <w:adjustRightInd w:val="0"/>
              <w:spacing w:after="0" w:line="240" w:lineRule="auto"/>
              <w:ind w:left="113" w:right="113" w:firstLine="340"/>
              <w:jc w:val="both"/>
              <w:rPr>
                <w:rFonts w:ascii="Times New Roman" w:eastAsia="Calibri" w:hAnsi="Times New Roman" w:cs="Times New Roman"/>
                <w:i/>
                <w:sz w:val="24"/>
                <w:szCs w:val="24"/>
                <w:lang w:eastAsia="en-US"/>
              </w:rPr>
            </w:pPr>
            <w:r w:rsidRPr="00C043B7">
              <w:rPr>
                <w:rFonts w:ascii="Times New Roman" w:eastAsia="Calibri" w:hAnsi="Times New Roman" w:cs="Times New Roman"/>
                <w:sz w:val="24"/>
                <w:szCs w:val="24"/>
                <w:lang w:eastAsia="en-US"/>
              </w:rPr>
              <w:t>Korupcijas novēršanas un apkarošanas pamatnostādnēs 2015.-2020.gadam, kuras tika apstiprinātas ar Ministru kabineta 2015.gada 16.jūlija rīkojumu Nr.393 “Par Korupcijas novēršanas un apkarošanas pamatnostādnēm 2015.-2020.gadam”, kā vie</w:t>
            </w:r>
            <w:r w:rsidRPr="007736C0">
              <w:rPr>
                <w:rFonts w:ascii="Times New Roman" w:eastAsia="Calibri" w:hAnsi="Times New Roman" w:cs="Times New Roman"/>
                <w:sz w:val="24"/>
                <w:szCs w:val="24"/>
                <w:lang w:eastAsia="en-US"/>
              </w:rPr>
              <w:t xml:space="preserve">na no </w:t>
            </w:r>
            <w:r w:rsidRPr="007736C0">
              <w:rPr>
                <w:rFonts w:ascii="Times New Roman" w:eastAsia="Calibri" w:hAnsi="Times New Roman" w:cs="Times New Roman"/>
                <w:b/>
                <w:sz w:val="24"/>
                <w:szCs w:val="24"/>
                <w:lang w:eastAsia="en-US"/>
              </w:rPr>
              <w:t>korupcijas un krāpšanas novēršanas un apkarošanas politikas prioritātēm</w:t>
            </w:r>
            <w:r w:rsidRPr="007736C0">
              <w:rPr>
                <w:rFonts w:ascii="Times New Roman" w:eastAsia="Calibri" w:hAnsi="Times New Roman" w:cs="Times New Roman"/>
                <w:sz w:val="24"/>
                <w:szCs w:val="24"/>
                <w:lang w:eastAsia="en-US"/>
              </w:rPr>
              <w:t xml:space="preserve"> ir </w:t>
            </w:r>
            <w:r w:rsidRPr="007736C0">
              <w:rPr>
                <w:rFonts w:ascii="Times New Roman" w:eastAsia="Calibri" w:hAnsi="Times New Roman" w:cs="Times New Roman"/>
                <w:b/>
                <w:sz w:val="24"/>
                <w:szCs w:val="24"/>
                <w:lang w:eastAsia="en-US"/>
              </w:rPr>
              <w:t>pārorientēt pretkorupcijas un</w:t>
            </w:r>
            <w:r w:rsidR="009157F9" w:rsidRPr="007736C0">
              <w:rPr>
                <w:rFonts w:ascii="Times New Roman" w:eastAsia="Calibri" w:hAnsi="Times New Roman" w:cs="Times New Roman"/>
                <w:b/>
                <w:sz w:val="24"/>
                <w:szCs w:val="24"/>
                <w:lang w:eastAsia="en-US"/>
              </w:rPr>
              <w:t xml:space="preserve"> krāpšanas apkarošanas politiku no ārējās kontroles, ko realizē kontroles institūcijas, uz resora un institūcijas</w:t>
            </w:r>
            <w:r w:rsidR="007736C0">
              <w:rPr>
                <w:rFonts w:ascii="Times New Roman" w:eastAsia="Calibri" w:hAnsi="Times New Roman" w:cs="Times New Roman"/>
                <w:b/>
                <w:sz w:val="24"/>
                <w:szCs w:val="24"/>
                <w:lang w:eastAsia="en-US"/>
              </w:rPr>
              <w:t xml:space="preserve"> iekšējo kontroli</w:t>
            </w:r>
            <w:r w:rsidR="00000E57" w:rsidRPr="007736C0">
              <w:rPr>
                <w:rFonts w:ascii="Times New Roman" w:eastAsia="Calibri" w:hAnsi="Times New Roman" w:cs="Times New Roman"/>
                <w:b/>
                <w:sz w:val="24"/>
                <w:szCs w:val="24"/>
                <w:lang w:eastAsia="en-US"/>
              </w:rPr>
              <w:t>.</w:t>
            </w:r>
          </w:p>
          <w:p w14:paraId="1665C851" w14:textId="77777777" w:rsidR="00D46320" w:rsidRDefault="00823EF4" w:rsidP="00FD5A18">
            <w:pPr>
              <w:spacing w:after="0" w:line="240" w:lineRule="auto"/>
              <w:ind w:left="113" w:right="113" w:firstLine="340"/>
              <w:jc w:val="both"/>
              <w:rPr>
                <w:rFonts w:ascii="Times New Roman" w:eastAsiaTheme="minorHAnsi" w:hAnsi="Times New Roman" w:cs="Times New Roman"/>
                <w:sz w:val="24"/>
                <w:szCs w:val="24"/>
              </w:rPr>
            </w:pPr>
            <w:r w:rsidRPr="00C043B7">
              <w:rPr>
                <w:rFonts w:ascii="Times New Roman" w:hAnsi="Times New Roman" w:cs="Times New Roman"/>
                <w:sz w:val="24"/>
                <w:szCs w:val="24"/>
              </w:rPr>
              <w:t>Vienlaikus vēršam uzmanību, ka</w:t>
            </w:r>
            <w:r w:rsidR="007736C0">
              <w:rPr>
                <w:rFonts w:ascii="Times New Roman" w:hAnsi="Times New Roman" w:cs="Times New Roman"/>
                <w:sz w:val="24"/>
                <w:szCs w:val="24"/>
              </w:rPr>
              <w:t xml:space="preserve">, piemēram, </w:t>
            </w:r>
            <w:r w:rsidRPr="00C043B7">
              <w:rPr>
                <w:rFonts w:ascii="Times New Roman" w:hAnsi="Times New Roman" w:cs="Times New Roman"/>
                <w:sz w:val="24"/>
                <w:szCs w:val="24"/>
              </w:rPr>
              <w:t xml:space="preserve"> jau šobrīd Krimināllikuma </w:t>
            </w:r>
            <w:r w:rsidRPr="00C043B7">
              <w:rPr>
                <w:rFonts w:ascii="Times New Roman" w:hAnsi="Times New Roman" w:cs="Times New Roman"/>
                <w:bCs/>
                <w:sz w:val="24"/>
                <w:szCs w:val="24"/>
              </w:rPr>
              <w:t>70.</w:t>
            </w:r>
            <w:r w:rsidRPr="00C043B7">
              <w:rPr>
                <w:rFonts w:ascii="Times New Roman" w:hAnsi="Times New Roman" w:cs="Times New Roman"/>
                <w:bCs/>
                <w:sz w:val="24"/>
                <w:szCs w:val="24"/>
                <w:vertAlign w:val="superscript"/>
              </w:rPr>
              <w:t>1</w:t>
            </w:r>
            <w:r w:rsidRPr="00C043B7">
              <w:rPr>
                <w:rFonts w:ascii="Times New Roman" w:hAnsi="Times New Roman" w:cs="Times New Roman"/>
                <w:bCs/>
                <w:sz w:val="24"/>
                <w:szCs w:val="24"/>
              </w:rPr>
              <w:t xml:space="preserve"> pants</w:t>
            </w:r>
            <w:r w:rsidR="009B448C">
              <w:rPr>
                <w:rFonts w:ascii="Times New Roman" w:hAnsi="Times New Roman" w:cs="Times New Roman"/>
                <w:bCs/>
                <w:sz w:val="24"/>
                <w:szCs w:val="24"/>
              </w:rPr>
              <w:t xml:space="preserve"> </w:t>
            </w:r>
            <w:r w:rsidR="00302959">
              <w:rPr>
                <w:rFonts w:ascii="Times New Roman" w:hAnsi="Times New Roman" w:cs="Times New Roman"/>
                <w:bCs/>
                <w:sz w:val="24"/>
                <w:szCs w:val="24"/>
              </w:rPr>
              <w:t xml:space="preserve">un </w:t>
            </w:r>
            <w:r w:rsidR="009B448C" w:rsidRPr="00C043B7">
              <w:rPr>
                <w:rFonts w:ascii="Times New Roman" w:hAnsi="Times New Roman" w:cs="Times New Roman"/>
                <w:bCs/>
                <w:sz w:val="24"/>
                <w:szCs w:val="24"/>
              </w:rPr>
              <w:t>70.</w:t>
            </w:r>
            <w:r w:rsidR="009B448C">
              <w:rPr>
                <w:rFonts w:ascii="Times New Roman" w:hAnsi="Times New Roman" w:cs="Times New Roman"/>
                <w:bCs/>
                <w:sz w:val="24"/>
                <w:szCs w:val="24"/>
                <w:vertAlign w:val="superscript"/>
              </w:rPr>
              <w:t>2</w:t>
            </w:r>
            <w:r w:rsidR="009B448C" w:rsidRPr="00C043B7">
              <w:rPr>
                <w:rFonts w:ascii="Times New Roman" w:hAnsi="Times New Roman" w:cs="Times New Roman"/>
                <w:bCs/>
                <w:sz w:val="24"/>
                <w:szCs w:val="24"/>
              </w:rPr>
              <w:t xml:space="preserve"> </w:t>
            </w:r>
            <w:r w:rsidR="009B448C">
              <w:rPr>
                <w:rFonts w:ascii="Times New Roman" w:hAnsi="Times New Roman" w:cs="Times New Roman"/>
                <w:bCs/>
                <w:sz w:val="24"/>
                <w:szCs w:val="24"/>
              </w:rPr>
              <w:t>pants</w:t>
            </w:r>
            <w:r w:rsidR="00D46320">
              <w:rPr>
                <w:rFonts w:ascii="Times New Roman" w:hAnsi="Times New Roman" w:cs="Times New Roman"/>
                <w:bCs/>
                <w:sz w:val="24"/>
                <w:szCs w:val="24"/>
              </w:rPr>
              <w:t xml:space="preserve"> </w:t>
            </w:r>
            <w:r w:rsidRPr="00C043B7">
              <w:rPr>
                <w:rFonts w:ascii="Times New Roman" w:hAnsi="Times New Roman" w:cs="Times New Roman"/>
                <w:bCs/>
                <w:sz w:val="24"/>
                <w:szCs w:val="24"/>
              </w:rPr>
              <w:t xml:space="preserve">paredz, ja fiziska persona vai attiecīgās juridiskās personas koleģiālās institūcijas loceklis ir veicis kukuļdošanu juridiskas personas (t.sk. </w:t>
            </w:r>
            <w:r w:rsidRPr="00C043B7">
              <w:rPr>
                <w:rFonts w:ascii="Times New Roman" w:hAnsi="Times New Roman" w:cs="Times New Roman"/>
                <w:bCs/>
                <w:sz w:val="24"/>
                <w:szCs w:val="24"/>
                <w:u w:val="single"/>
              </w:rPr>
              <w:t>valsts vai pašvaldīb</w:t>
            </w:r>
            <w:r w:rsidR="00B3016C">
              <w:rPr>
                <w:rFonts w:ascii="Times New Roman" w:hAnsi="Times New Roman" w:cs="Times New Roman"/>
                <w:bCs/>
                <w:sz w:val="24"/>
                <w:szCs w:val="24"/>
                <w:u w:val="single"/>
              </w:rPr>
              <w:t>as</w:t>
            </w:r>
            <w:r w:rsidRPr="00C043B7">
              <w:rPr>
                <w:rFonts w:ascii="Times New Roman" w:hAnsi="Times New Roman" w:cs="Times New Roman"/>
                <w:bCs/>
                <w:sz w:val="24"/>
                <w:szCs w:val="24"/>
                <w:u w:val="single"/>
              </w:rPr>
              <w:t xml:space="preserve"> kapitālsabiedrības</w:t>
            </w:r>
            <w:r w:rsidRPr="00C043B7">
              <w:rPr>
                <w:rFonts w:ascii="Times New Roman" w:hAnsi="Times New Roman" w:cs="Times New Roman"/>
                <w:bCs/>
                <w:sz w:val="24"/>
                <w:szCs w:val="24"/>
              </w:rPr>
              <w:t xml:space="preserve"> vai </w:t>
            </w:r>
            <w:r w:rsidRPr="00C043B7">
              <w:rPr>
                <w:rFonts w:ascii="Times New Roman" w:hAnsi="Times New Roman" w:cs="Times New Roman"/>
                <w:bCs/>
                <w:sz w:val="24"/>
                <w:szCs w:val="24"/>
              </w:rPr>
              <w:lastRenderedPageBreak/>
              <w:t xml:space="preserve">personālsabiedrības) interesēs, labā vai tās </w:t>
            </w:r>
            <w:r w:rsidRPr="00C043B7">
              <w:rPr>
                <w:rFonts w:ascii="Times New Roman" w:hAnsi="Times New Roman" w:cs="Times New Roman"/>
                <w:bCs/>
                <w:sz w:val="24"/>
                <w:szCs w:val="24"/>
                <w:u w:val="single"/>
              </w:rPr>
              <w:t>nepienācīgas pārraudzības vai kontroles rezultātā</w:t>
            </w:r>
            <w:r w:rsidRPr="00C043B7">
              <w:rPr>
                <w:rFonts w:ascii="Times New Roman" w:hAnsi="Times New Roman" w:cs="Times New Roman"/>
                <w:bCs/>
                <w:sz w:val="24"/>
                <w:szCs w:val="24"/>
              </w:rPr>
              <w:t>, juridiskajai personai var piemērot piespiedu ietekmēšanas līdzekli (likvidācija, tiesību ierobežošana, mantas konfiskācija vai naudas piedziņa līdz pat simts tūkstošiem minimālo mēnešalgu apmērā).</w:t>
            </w:r>
            <w:r w:rsidR="008F254F">
              <w:rPr>
                <w:rFonts w:ascii="Times New Roman" w:hAnsi="Times New Roman" w:cs="Times New Roman"/>
                <w:bCs/>
                <w:sz w:val="24"/>
                <w:szCs w:val="24"/>
              </w:rPr>
              <w:t xml:space="preserve"> </w:t>
            </w:r>
            <w:r w:rsidR="00CB0B20" w:rsidRPr="002F0AFE">
              <w:rPr>
                <w:rFonts w:ascii="Times New Roman" w:eastAsia="Times New Roman" w:hAnsi="Times New Roman" w:cs="Times New Roman"/>
                <w:sz w:val="24"/>
                <w:szCs w:val="24"/>
              </w:rPr>
              <w:t>Krimināllikuma 70.</w:t>
            </w:r>
            <w:r w:rsidR="00CB0B20" w:rsidRPr="002F0AFE">
              <w:rPr>
                <w:rFonts w:ascii="Times New Roman" w:eastAsia="Times New Roman" w:hAnsi="Times New Roman" w:cs="Times New Roman"/>
                <w:sz w:val="24"/>
                <w:szCs w:val="24"/>
                <w:vertAlign w:val="superscript"/>
              </w:rPr>
              <w:t>8</w:t>
            </w:r>
            <w:r w:rsidR="00CB0B20">
              <w:rPr>
                <w:rFonts w:ascii="Times New Roman" w:eastAsia="Times New Roman" w:hAnsi="Times New Roman" w:cs="Times New Roman"/>
                <w:sz w:val="24"/>
                <w:szCs w:val="24"/>
              </w:rPr>
              <w:t xml:space="preserve"> panta otrās daļas 3.punkts, </w:t>
            </w:r>
            <w:r w:rsidR="00CB0B20" w:rsidRPr="002F0AFE">
              <w:rPr>
                <w:rFonts w:ascii="Times New Roman" w:eastAsia="Times New Roman" w:hAnsi="Times New Roman" w:cs="Times New Roman"/>
                <w:sz w:val="24"/>
                <w:szCs w:val="24"/>
              </w:rPr>
              <w:t>nosaka, ka, nosakot piespiedu ietekmēšanas līdzekļa mēru, tiek vērtēti pasākumi, ko juridiskā persona veikusi, lai novērstu noziedzīgā nodarījuma izdarīšanu, piemēram, vai valsts vai pašvaldību kapitālsabiedrība ir nodrošinājusi iekšējās kontroles sistēm</w:t>
            </w:r>
            <w:r w:rsidR="00CB0B20">
              <w:rPr>
                <w:rFonts w:ascii="Times New Roman" w:eastAsia="Times New Roman" w:hAnsi="Times New Roman" w:cs="Times New Roman"/>
                <w:sz w:val="24"/>
                <w:szCs w:val="24"/>
              </w:rPr>
              <w:t xml:space="preserve">u korupcijas risku novēršanai. </w:t>
            </w:r>
            <w:r w:rsidR="005D5FE1" w:rsidRPr="00C043B7">
              <w:rPr>
                <w:rFonts w:ascii="Times New Roman" w:eastAsiaTheme="minorHAnsi" w:hAnsi="Times New Roman" w:cs="Times New Roman"/>
                <w:sz w:val="24"/>
                <w:szCs w:val="24"/>
              </w:rPr>
              <w:t xml:space="preserve"> </w:t>
            </w:r>
          </w:p>
          <w:p w14:paraId="03B24CAA" w14:textId="689F30AE" w:rsidR="00823EF4" w:rsidRPr="00C043B7" w:rsidRDefault="00823EF4" w:rsidP="00FD5A18">
            <w:pPr>
              <w:spacing w:after="0" w:line="240" w:lineRule="auto"/>
              <w:ind w:left="113" w:right="113" w:firstLine="340"/>
              <w:jc w:val="both"/>
              <w:rPr>
                <w:rFonts w:ascii="Times New Roman" w:eastAsia="Times New Roman" w:hAnsi="Times New Roman" w:cs="Times New Roman"/>
                <w:i/>
                <w:sz w:val="24"/>
                <w:szCs w:val="24"/>
              </w:rPr>
            </w:pPr>
            <w:r w:rsidRPr="00C043B7">
              <w:rPr>
                <w:rFonts w:ascii="Times New Roman" w:eastAsiaTheme="minorHAnsi" w:hAnsi="Times New Roman" w:cs="Times New Roman"/>
                <w:sz w:val="24"/>
                <w:szCs w:val="24"/>
              </w:rPr>
              <w:t xml:space="preserve">Informējam, ka </w:t>
            </w:r>
            <w:r w:rsidR="00D46320">
              <w:rPr>
                <w:rFonts w:ascii="Times New Roman" w:eastAsiaTheme="minorHAnsi" w:hAnsi="Times New Roman" w:cs="Times New Roman"/>
                <w:sz w:val="24"/>
                <w:szCs w:val="24"/>
              </w:rPr>
              <w:t xml:space="preserve">jau </w:t>
            </w:r>
            <w:r w:rsidRPr="00C043B7">
              <w:rPr>
                <w:rFonts w:ascii="Times New Roman" w:eastAsiaTheme="minorHAnsi" w:hAnsi="Times New Roman" w:cs="Times New Roman"/>
                <w:sz w:val="24"/>
                <w:szCs w:val="24"/>
              </w:rPr>
              <w:t xml:space="preserve">iepriekšējā perioda Biroja izstrādātā </w:t>
            </w:r>
            <w:r w:rsidRPr="00C043B7">
              <w:rPr>
                <w:rFonts w:ascii="Times New Roman" w:eastAsia="Times New Roman" w:hAnsi="Times New Roman" w:cs="Times New Roman"/>
                <w:sz w:val="24"/>
                <w:szCs w:val="24"/>
              </w:rPr>
              <w:t xml:space="preserve">Korupcijas novēršanas un apkarošanas programmas 2009.–2013.gadam (atbalstīta ar Ministru kabineta 2009.gada 24.septembra rīkojumu Nr.654) 4.nodaļas 7.apakšnodaļas 26.punkts noteica </w:t>
            </w:r>
            <w:r w:rsidRPr="00C043B7">
              <w:rPr>
                <w:rFonts w:ascii="Times New Roman" w:eastAsia="Times New Roman" w:hAnsi="Times New Roman" w:cs="Times New Roman"/>
                <w:i/>
                <w:sz w:val="24"/>
                <w:szCs w:val="24"/>
              </w:rPr>
              <w:t xml:space="preserve">visām valsts pārvaldes iestādēm un pašvaldībām reizi gadā aktualizēt iestāžu un pašvaldību pretkorupcijas plānus. </w:t>
            </w:r>
          </w:p>
          <w:p w14:paraId="6A33C3D6" w14:textId="59058D2F" w:rsidR="00823EF4" w:rsidRPr="00C043B7" w:rsidRDefault="00823EF4" w:rsidP="00FD5A18">
            <w:pPr>
              <w:spacing w:after="0" w:line="240" w:lineRule="auto"/>
              <w:ind w:left="113" w:right="113" w:firstLine="340"/>
              <w:jc w:val="both"/>
              <w:rPr>
                <w:rFonts w:ascii="Times New Roman" w:eastAsia="Calibri" w:hAnsi="Times New Roman" w:cs="Times New Roman"/>
                <w:sz w:val="24"/>
                <w:szCs w:val="24"/>
                <w:lang w:eastAsia="en-US"/>
              </w:rPr>
            </w:pPr>
            <w:r w:rsidRPr="00C043B7">
              <w:rPr>
                <w:rFonts w:ascii="Times New Roman" w:eastAsia="Times New Roman" w:hAnsi="Times New Roman" w:cs="Times New Roman"/>
                <w:sz w:val="24"/>
                <w:szCs w:val="24"/>
              </w:rPr>
              <w:t xml:space="preserve">Kā arī </w:t>
            </w:r>
            <w:r w:rsidRPr="00C043B7">
              <w:rPr>
                <w:rFonts w:ascii="Times New Roman" w:eastAsia="Calibri" w:hAnsi="Times New Roman" w:cs="Times New Roman"/>
                <w:sz w:val="24"/>
                <w:szCs w:val="24"/>
                <w:lang w:eastAsia="en-US"/>
              </w:rPr>
              <w:t xml:space="preserve"> Korupcijas novēršanas un apkarošanas </w:t>
            </w:r>
            <w:r w:rsidR="004A6FE1" w:rsidRPr="00C043B7">
              <w:rPr>
                <w:rFonts w:ascii="Times New Roman" w:eastAsia="Calibri" w:hAnsi="Times New Roman" w:cs="Times New Roman"/>
                <w:sz w:val="24"/>
                <w:szCs w:val="24"/>
                <w:lang w:eastAsia="en-US"/>
              </w:rPr>
              <w:t xml:space="preserve">pamatnostādnes 2015.-2020.gadam </w:t>
            </w:r>
            <w:r w:rsidRPr="00C043B7">
              <w:rPr>
                <w:rFonts w:ascii="Times New Roman" w:eastAsia="Calibri" w:hAnsi="Times New Roman" w:cs="Times New Roman"/>
                <w:sz w:val="24"/>
                <w:szCs w:val="24"/>
                <w:lang w:eastAsia="en-US"/>
              </w:rPr>
              <w:t>jau šobrīd paredz, ka:</w:t>
            </w:r>
          </w:p>
          <w:p w14:paraId="5EECDDC7" w14:textId="1C5184DB" w:rsidR="00823EF4" w:rsidRPr="00C043B7" w:rsidRDefault="00823EF4" w:rsidP="00FD5A18">
            <w:pPr>
              <w:pStyle w:val="ListParagraph"/>
              <w:numPr>
                <w:ilvl w:val="0"/>
                <w:numId w:val="33"/>
              </w:numPr>
              <w:spacing w:after="0" w:line="240" w:lineRule="auto"/>
              <w:ind w:left="113" w:right="113" w:firstLine="340"/>
              <w:jc w:val="both"/>
              <w:rPr>
                <w:rFonts w:ascii="Times New Roman" w:eastAsia="Calibri" w:hAnsi="Times New Roman" w:cs="Times New Roman"/>
                <w:sz w:val="24"/>
                <w:szCs w:val="24"/>
                <w:lang w:eastAsia="en-US"/>
              </w:rPr>
            </w:pPr>
            <w:r w:rsidRPr="00C043B7">
              <w:rPr>
                <w:rFonts w:ascii="Times New Roman" w:hAnsi="Times New Roman" w:cs="Times New Roman"/>
                <w:sz w:val="24"/>
                <w:szCs w:val="24"/>
              </w:rPr>
              <w:t>visām valsts pārvaldes iestādēm un pašvaldībām līdz 2015.gada 31.decembrim ir jāizstrādā vai katru gadu</w:t>
            </w:r>
            <w:r w:rsidR="008E550C">
              <w:rPr>
                <w:rFonts w:ascii="Times New Roman" w:hAnsi="Times New Roman" w:cs="Times New Roman"/>
                <w:sz w:val="24"/>
                <w:szCs w:val="24"/>
              </w:rPr>
              <w:t xml:space="preserve"> </w:t>
            </w:r>
            <w:r w:rsidRPr="00C043B7">
              <w:rPr>
                <w:rFonts w:ascii="Times New Roman" w:hAnsi="Times New Roman" w:cs="Times New Roman"/>
                <w:sz w:val="24"/>
                <w:szCs w:val="24"/>
              </w:rPr>
              <w:t>jāaktualizē iestāžu un pašvaldību pretkorupcijas plāni, ietverot arī pasākumus apzināto krāpšanas un korupcijas risku novēršanai ES fondos un citos ārvalstu finanšu palīdzības instrumentos, ja attiecināms;</w:t>
            </w:r>
          </w:p>
          <w:p w14:paraId="400510DB" w14:textId="0E9EA4BA" w:rsidR="00823EF4" w:rsidRPr="00C043B7" w:rsidRDefault="00823EF4" w:rsidP="00FD5A18">
            <w:pPr>
              <w:pStyle w:val="ListParagraph"/>
              <w:numPr>
                <w:ilvl w:val="0"/>
                <w:numId w:val="33"/>
              </w:numPr>
              <w:spacing w:after="0" w:line="240" w:lineRule="auto"/>
              <w:ind w:left="113" w:right="113" w:firstLine="340"/>
              <w:jc w:val="both"/>
              <w:rPr>
                <w:rFonts w:ascii="Times New Roman" w:eastAsia="Calibri" w:hAnsi="Times New Roman" w:cs="Times New Roman"/>
                <w:sz w:val="24"/>
                <w:szCs w:val="24"/>
                <w:lang w:eastAsia="en-US"/>
              </w:rPr>
            </w:pPr>
            <w:r w:rsidRPr="00C043B7">
              <w:rPr>
                <w:rFonts w:ascii="Times New Roman" w:hAnsi="Times New Roman" w:cs="Times New Roman"/>
                <w:sz w:val="24"/>
                <w:szCs w:val="24"/>
              </w:rPr>
              <w:t xml:space="preserve">no 2015.gada līdz 2020.gadam visām valsts un pašvaldību institūcijām, publisko personu kapitālsabiedrībām ir jāidentificē korupcijas riski un riskam pakļautie amati vai, ja riski ir identificēti, tad, mainoties risku ietekmējošajiem apstākļiem vai faktoriem, reizi gadā ir jāveic korupcijas risku pārskatīšana un aktualizācija un attiecīgi ir jāplāno un jāīsteno pasākumi korupcijas risku ierobežošanai, novērtējot to lietderību un efektivitāti, iekļaujot korupcijas riska novēršanas pasākumus institūcijas pārvaldes </w:t>
            </w:r>
            <w:r w:rsidR="005B71C3" w:rsidRPr="00C043B7">
              <w:rPr>
                <w:rFonts w:ascii="Times New Roman" w:hAnsi="Times New Roman" w:cs="Times New Roman"/>
                <w:sz w:val="24"/>
                <w:szCs w:val="24"/>
              </w:rPr>
              <w:t>procesu regulējošos dokumentos;</w:t>
            </w:r>
          </w:p>
          <w:p w14:paraId="1D647B2D" w14:textId="6F25FE23" w:rsidR="00823EF4" w:rsidRPr="00C043B7" w:rsidRDefault="00CC29C7" w:rsidP="00FD5A18">
            <w:pPr>
              <w:pStyle w:val="ListParagraph"/>
              <w:numPr>
                <w:ilvl w:val="0"/>
                <w:numId w:val="33"/>
              </w:numPr>
              <w:spacing w:after="0" w:line="240" w:lineRule="auto"/>
              <w:ind w:left="113" w:right="113" w:firstLine="340"/>
              <w:jc w:val="both"/>
              <w:rPr>
                <w:rFonts w:ascii="Times New Roman" w:eastAsia="Calibri" w:hAnsi="Times New Roman" w:cs="Times New Roman"/>
                <w:sz w:val="24"/>
                <w:szCs w:val="24"/>
                <w:lang w:eastAsia="en-US"/>
              </w:rPr>
            </w:pPr>
            <w:r w:rsidRPr="00C043B7">
              <w:rPr>
                <w:rFonts w:ascii="Times New Roman" w:hAnsi="Times New Roman" w:cs="Times New Roman"/>
                <w:sz w:val="24"/>
                <w:szCs w:val="24"/>
              </w:rPr>
              <w:t xml:space="preserve">visām valsts un pašvaldību institūcijām no 2015.gada līdz 2020.gadam </w:t>
            </w:r>
            <w:r w:rsidR="00823EF4" w:rsidRPr="00C043B7">
              <w:rPr>
                <w:rFonts w:ascii="Times New Roman" w:hAnsi="Times New Roman" w:cs="Times New Roman"/>
                <w:sz w:val="24"/>
                <w:szCs w:val="24"/>
              </w:rPr>
              <w:t>jānodrošina, ka visi institūcijas darbinieki ir informēti par korupcijas riska iespējamību, pārzina ētikas noteikumus, kā arī korupcijas un interešu konf</w:t>
            </w:r>
            <w:r w:rsidR="005B71C3" w:rsidRPr="00C043B7">
              <w:rPr>
                <w:rFonts w:ascii="Times New Roman" w:hAnsi="Times New Roman" w:cs="Times New Roman"/>
                <w:sz w:val="24"/>
                <w:szCs w:val="24"/>
              </w:rPr>
              <w:t>likta riska novēršanas prasības;</w:t>
            </w:r>
          </w:p>
          <w:p w14:paraId="5D1A8049" w14:textId="74AF819B" w:rsidR="00823EF4" w:rsidRPr="00C043B7" w:rsidRDefault="005B71C3" w:rsidP="00FD5A18">
            <w:pPr>
              <w:pStyle w:val="ListParagraph"/>
              <w:numPr>
                <w:ilvl w:val="0"/>
                <w:numId w:val="35"/>
              </w:numPr>
              <w:spacing w:after="0" w:line="240" w:lineRule="auto"/>
              <w:ind w:left="113" w:right="113" w:firstLine="340"/>
              <w:jc w:val="both"/>
              <w:rPr>
                <w:rFonts w:ascii="Times New Roman" w:hAnsi="Times New Roman" w:cs="Times New Roman"/>
                <w:sz w:val="24"/>
                <w:szCs w:val="24"/>
              </w:rPr>
            </w:pPr>
            <w:r w:rsidRPr="00C043B7">
              <w:rPr>
                <w:rFonts w:ascii="Times New Roman" w:hAnsi="Times New Roman" w:cs="Times New Roman"/>
                <w:sz w:val="24"/>
                <w:szCs w:val="24"/>
              </w:rPr>
              <w:t xml:space="preserve">pašvaldībām līdz 2015.gada 31.decembrim </w:t>
            </w:r>
            <w:r w:rsidR="00823EF4" w:rsidRPr="00C043B7">
              <w:rPr>
                <w:rFonts w:ascii="Times New Roman" w:hAnsi="Times New Roman" w:cs="Times New Roman"/>
                <w:sz w:val="24"/>
                <w:szCs w:val="24"/>
              </w:rPr>
              <w:t>jāizstrādā pašvaldību iekšējās kontroles sistēmas pamatprasības krāpšanas, korupcijas un interešu konflikta novēršanai atbilstoši funkcionālajai jomai un identificētajiem riskiem;</w:t>
            </w:r>
          </w:p>
          <w:p w14:paraId="5CB863FC" w14:textId="443CED60" w:rsidR="00823EF4" w:rsidRPr="00C043B7" w:rsidRDefault="005B71C3" w:rsidP="00FD5A18">
            <w:pPr>
              <w:pStyle w:val="ListParagraph"/>
              <w:numPr>
                <w:ilvl w:val="0"/>
                <w:numId w:val="35"/>
              </w:numPr>
              <w:spacing w:after="0" w:line="240" w:lineRule="auto"/>
              <w:ind w:left="113" w:right="113" w:firstLine="340"/>
              <w:jc w:val="both"/>
              <w:rPr>
                <w:rFonts w:ascii="Times New Roman" w:hAnsi="Times New Roman" w:cs="Times New Roman"/>
                <w:sz w:val="24"/>
                <w:szCs w:val="24"/>
              </w:rPr>
            </w:pPr>
            <w:r w:rsidRPr="00C043B7">
              <w:rPr>
                <w:rFonts w:ascii="Times New Roman" w:hAnsi="Times New Roman" w:cs="Times New Roman"/>
                <w:sz w:val="24"/>
                <w:szCs w:val="24"/>
              </w:rPr>
              <w:t xml:space="preserve">pašvaldībām līdz 2015.gada 31.decembrim </w:t>
            </w:r>
            <w:r w:rsidR="00823EF4" w:rsidRPr="00C043B7">
              <w:rPr>
                <w:rFonts w:ascii="Times New Roman" w:hAnsi="Times New Roman" w:cs="Times New Roman"/>
                <w:sz w:val="24"/>
                <w:szCs w:val="24"/>
              </w:rPr>
              <w:t>jānodrošina, ka pašvaldību amatpersonas ir kompetentas (apmācītas) jautājumā par nepieciešamajiem korupcijas kontroles pasākumiem;</w:t>
            </w:r>
          </w:p>
          <w:p w14:paraId="4A2251B7" w14:textId="246FF5E3" w:rsidR="00823EF4" w:rsidRPr="00C043B7" w:rsidRDefault="005B71C3" w:rsidP="00757308">
            <w:pPr>
              <w:pStyle w:val="ListParagraph"/>
              <w:numPr>
                <w:ilvl w:val="0"/>
                <w:numId w:val="35"/>
              </w:numPr>
              <w:spacing w:after="0" w:line="240" w:lineRule="auto"/>
              <w:ind w:left="113" w:right="113" w:firstLine="340"/>
              <w:jc w:val="both"/>
              <w:rPr>
                <w:rFonts w:ascii="Times New Roman" w:hAnsi="Times New Roman" w:cs="Times New Roman"/>
                <w:sz w:val="24"/>
                <w:szCs w:val="24"/>
              </w:rPr>
            </w:pPr>
            <w:r w:rsidRPr="00C043B7">
              <w:rPr>
                <w:rFonts w:ascii="Times New Roman" w:hAnsi="Times New Roman" w:cs="Times New Roman"/>
                <w:sz w:val="24"/>
                <w:szCs w:val="24"/>
              </w:rPr>
              <w:lastRenderedPageBreak/>
              <w:t xml:space="preserve">pašvaldībām </w:t>
            </w:r>
            <w:r w:rsidR="00B3016C">
              <w:rPr>
                <w:rFonts w:ascii="Times New Roman" w:hAnsi="Times New Roman" w:cs="Times New Roman"/>
                <w:sz w:val="24"/>
                <w:szCs w:val="24"/>
              </w:rPr>
              <w:t>no</w:t>
            </w:r>
            <w:r w:rsidRPr="00C043B7">
              <w:rPr>
                <w:rFonts w:ascii="Times New Roman" w:hAnsi="Times New Roman" w:cs="Times New Roman"/>
                <w:sz w:val="24"/>
                <w:szCs w:val="24"/>
              </w:rPr>
              <w:t xml:space="preserve"> 2015.gada 31.decembr</w:t>
            </w:r>
            <w:r w:rsidR="00B3016C">
              <w:rPr>
                <w:rFonts w:ascii="Times New Roman" w:hAnsi="Times New Roman" w:cs="Times New Roman"/>
                <w:sz w:val="24"/>
                <w:szCs w:val="24"/>
              </w:rPr>
              <w:t>a</w:t>
            </w:r>
            <w:r w:rsidRPr="00C043B7">
              <w:rPr>
                <w:rFonts w:ascii="Times New Roman" w:hAnsi="Times New Roman" w:cs="Times New Roman"/>
                <w:sz w:val="24"/>
                <w:szCs w:val="24"/>
              </w:rPr>
              <w:t xml:space="preserve"> </w:t>
            </w:r>
            <w:r w:rsidR="00823EF4" w:rsidRPr="00C043B7">
              <w:rPr>
                <w:rFonts w:ascii="Times New Roman" w:hAnsi="Times New Roman" w:cs="Times New Roman"/>
                <w:sz w:val="24"/>
                <w:szCs w:val="24"/>
              </w:rPr>
              <w:t>jāaktualizē iekšējās korupcijas kontroles sistēmas prasības reizi gadā</w:t>
            </w:r>
            <w:r w:rsidR="00B3016C">
              <w:rPr>
                <w:rFonts w:ascii="Times New Roman" w:hAnsi="Times New Roman" w:cs="Times New Roman"/>
                <w:sz w:val="24"/>
                <w:szCs w:val="24"/>
              </w:rPr>
              <w:t>,</w:t>
            </w:r>
            <w:r w:rsidR="00823EF4" w:rsidRPr="00C043B7">
              <w:rPr>
                <w:rFonts w:ascii="Times New Roman" w:hAnsi="Times New Roman" w:cs="Times New Roman"/>
                <w:sz w:val="24"/>
                <w:szCs w:val="24"/>
              </w:rPr>
              <w:t xml:space="preserve"> atbilstoši identificētajiem riskiem.</w:t>
            </w:r>
          </w:p>
          <w:p w14:paraId="6D13C000" w14:textId="20BE4588" w:rsidR="00823EF4" w:rsidRPr="00C043B7" w:rsidRDefault="00F73B50" w:rsidP="00FD5A18">
            <w:pPr>
              <w:spacing w:after="0" w:line="240" w:lineRule="auto"/>
              <w:ind w:left="113" w:right="113" w:firstLine="340"/>
              <w:jc w:val="both"/>
              <w:rPr>
                <w:rFonts w:ascii="Times New Roman" w:hAnsi="Times New Roman" w:cs="Times New Roman"/>
                <w:sz w:val="24"/>
                <w:szCs w:val="24"/>
              </w:rPr>
            </w:pPr>
            <w:r w:rsidRPr="00E92E92">
              <w:rPr>
                <w:rFonts w:ascii="Times New Roman" w:eastAsia="Times New Roman" w:hAnsi="Times New Roman" w:cs="Times New Roman"/>
                <w:b/>
                <w:sz w:val="24"/>
                <w:szCs w:val="24"/>
              </w:rPr>
              <w:t xml:space="preserve">Proti, </w:t>
            </w:r>
            <w:r w:rsidRPr="00720DDB">
              <w:rPr>
                <w:rFonts w:ascii="Times New Roman" w:eastAsia="Times New Roman" w:hAnsi="Times New Roman" w:cs="Times New Roman"/>
                <w:b/>
                <w:bCs/>
                <w:sz w:val="24"/>
                <w:szCs w:val="24"/>
              </w:rPr>
              <w:t xml:space="preserve">visās </w:t>
            </w:r>
            <w:r w:rsidR="00790A64" w:rsidRPr="00720DDB">
              <w:rPr>
                <w:rFonts w:ascii="Times New Roman" w:eastAsia="Times New Roman" w:hAnsi="Times New Roman" w:cs="Times New Roman"/>
                <w:b/>
                <w:bCs/>
                <w:sz w:val="24"/>
                <w:szCs w:val="24"/>
              </w:rPr>
              <w:t>valsts pārvaldes iestādēs un pašvaldībās</w:t>
            </w:r>
            <w:r w:rsidRPr="00720DDB">
              <w:rPr>
                <w:rFonts w:ascii="Times New Roman" w:eastAsia="Times New Roman" w:hAnsi="Times New Roman" w:cs="Times New Roman"/>
                <w:b/>
                <w:bCs/>
                <w:sz w:val="24"/>
                <w:szCs w:val="24"/>
              </w:rPr>
              <w:t xml:space="preserve">, kārtējam gadam paredzēto finanšu līdzekļu ietvaros, ir </w:t>
            </w:r>
            <w:r w:rsidRPr="00E92E92">
              <w:rPr>
                <w:rFonts w:ascii="Times New Roman" w:eastAsia="Times New Roman" w:hAnsi="Times New Roman" w:cs="Times New Roman"/>
                <w:b/>
                <w:bCs/>
                <w:sz w:val="24"/>
                <w:szCs w:val="24"/>
              </w:rPr>
              <w:t>jābūt izstrādātam pretkorupcijas pasākumu plānam un novirzītiem finanšu resursiem iekšējās kontroles (korupcijas riska novēršanai) izveidei, pilnveidošanai un stiprināšanai. Visās pašvaldībās budžetā pieejamo līdzekļu ietvaros, ir jābūt izstrādātām pašvaldību iekšējās kontroles sistēmas pamatprasībām krāpšanas, korupcijas un interešu konflikta novēršanai atbilstoši funkcionālajai jomai un identificētajiem riskiem</w:t>
            </w:r>
            <w:r>
              <w:rPr>
                <w:rFonts w:ascii="Times New Roman" w:eastAsia="Times New Roman" w:hAnsi="Times New Roman" w:cs="Times New Roman"/>
                <w:b/>
                <w:bCs/>
                <w:sz w:val="24"/>
                <w:szCs w:val="24"/>
              </w:rPr>
              <w:t>.</w:t>
            </w:r>
            <w:r w:rsidR="00E92E92">
              <w:rPr>
                <w:rFonts w:ascii="Times New Roman" w:eastAsia="Times New Roman" w:hAnsi="Times New Roman" w:cs="Times New Roman"/>
                <w:b/>
                <w:bCs/>
                <w:sz w:val="24"/>
                <w:szCs w:val="24"/>
              </w:rPr>
              <w:t xml:space="preserve"> </w:t>
            </w:r>
            <w:r w:rsidR="00823EF4" w:rsidRPr="00C043B7">
              <w:rPr>
                <w:rFonts w:ascii="Times New Roman" w:eastAsiaTheme="minorHAnsi" w:hAnsi="Times New Roman" w:cs="Times New Roman"/>
                <w:sz w:val="24"/>
                <w:szCs w:val="24"/>
                <w:lang w:eastAsia="en-US"/>
              </w:rPr>
              <w:t>Papildus norādām, ka Biroja izstrādāt</w:t>
            </w:r>
            <w:r w:rsidR="00B3016C">
              <w:rPr>
                <w:rFonts w:ascii="Times New Roman" w:eastAsiaTheme="minorHAnsi" w:hAnsi="Times New Roman" w:cs="Times New Roman"/>
                <w:sz w:val="24"/>
                <w:szCs w:val="24"/>
                <w:lang w:eastAsia="en-US"/>
              </w:rPr>
              <w:t>ajā</w:t>
            </w:r>
            <w:r w:rsidR="00823EF4" w:rsidRPr="00C043B7">
              <w:rPr>
                <w:rFonts w:ascii="Times New Roman" w:eastAsiaTheme="minorHAnsi" w:hAnsi="Times New Roman" w:cs="Times New Roman"/>
                <w:sz w:val="24"/>
                <w:szCs w:val="24"/>
                <w:lang w:eastAsia="en-US"/>
              </w:rPr>
              <w:t xml:space="preserve"> Informatīvajā ziņojumā </w:t>
            </w:r>
            <w:r w:rsidR="00823EF4" w:rsidRPr="00C043B7">
              <w:rPr>
                <w:rFonts w:ascii="Times New Roman" w:hAnsi="Times New Roman" w:cs="Times New Roman"/>
                <w:sz w:val="24"/>
                <w:szCs w:val="24"/>
              </w:rPr>
              <w:t xml:space="preserve">"Par iekšējās pretkorupcijas kontroles sistēmas novērtējumu publiskas personas institūcijās" (2016.gada 29.janvārī iesniegts Ministru kabinetā) (turpmāk ‒ Informatīvais ziņojums) apkopotā informācija liecina, ka ne tikai no aptaujātajām 1662 publiskas personas institūcijām </w:t>
            </w:r>
            <w:r w:rsidR="00A60744" w:rsidRPr="00C043B7">
              <w:rPr>
                <w:rFonts w:ascii="Times New Roman" w:hAnsi="Times New Roman" w:cs="Times New Roman"/>
                <w:sz w:val="24"/>
                <w:szCs w:val="24"/>
              </w:rPr>
              <w:t>vien</w:t>
            </w:r>
            <w:r w:rsidR="00823EF4" w:rsidRPr="00C043B7">
              <w:rPr>
                <w:rFonts w:ascii="Times New Roman" w:hAnsi="Times New Roman" w:cs="Times New Roman"/>
                <w:sz w:val="24"/>
                <w:szCs w:val="24"/>
              </w:rPr>
              <w:t xml:space="preserve"> 608 institūcijās ir izstrādāti pretkorupcijas pasākumu plāni, bet arī, ka pretkorupcijas pasākumu plāna izstrāde bieži vien institūcijās ir tikai formāls pasākums.  Informatīvā ziņojuma izstrādes procesā tika konstatēts, ka ņemot vērā to, ka nav noteiktas konkrētas prasības korupcijas riska novēršanai, nav skaidri saprotams</w:t>
            </w:r>
            <w:r w:rsidR="00CA45BE">
              <w:rPr>
                <w:rFonts w:ascii="Times New Roman" w:hAnsi="Times New Roman" w:cs="Times New Roman"/>
                <w:sz w:val="24"/>
                <w:szCs w:val="24"/>
              </w:rPr>
              <w:t>,</w:t>
            </w:r>
            <w:r w:rsidR="00823EF4" w:rsidRPr="00C043B7">
              <w:rPr>
                <w:rFonts w:ascii="Times New Roman" w:hAnsi="Times New Roman" w:cs="Times New Roman"/>
                <w:sz w:val="24"/>
                <w:szCs w:val="24"/>
              </w:rPr>
              <w:t xml:space="preserve"> kādam saturiski ir jābūt institūcijas pretkorupcijas pasākumu plānam un kādas tieši i</w:t>
            </w:r>
            <w:r w:rsidR="00A60744" w:rsidRPr="00C043B7">
              <w:rPr>
                <w:rFonts w:ascii="Times New Roman" w:hAnsi="Times New Roman" w:cs="Times New Roman"/>
                <w:sz w:val="24"/>
                <w:szCs w:val="24"/>
              </w:rPr>
              <w:t>r veicamās darbības korupcijas riska novēršanai</w:t>
            </w:r>
            <w:r w:rsidR="00823EF4" w:rsidRPr="00C043B7">
              <w:rPr>
                <w:rFonts w:ascii="Times New Roman" w:hAnsi="Times New Roman" w:cs="Times New Roman"/>
                <w:sz w:val="24"/>
                <w:szCs w:val="24"/>
              </w:rPr>
              <w:t xml:space="preserve">.  </w:t>
            </w:r>
          </w:p>
          <w:p w14:paraId="29B9BE2E" w14:textId="1AE2767D" w:rsidR="00823EF4" w:rsidRPr="00C043B7" w:rsidRDefault="00A60744" w:rsidP="00FD5A18">
            <w:pPr>
              <w:spacing w:after="0" w:line="240" w:lineRule="auto"/>
              <w:ind w:left="113" w:right="113" w:firstLine="340"/>
              <w:jc w:val="both"/>
              <w:rPr>
                <w:rFonts w:ascii="Times New Roman" w:hAnsi="Times New Roman" w:cs="Times New Roman"/>
                <w:sz w:val="24"/>
                <w:szCs w:val="24"/>
              </w:rPr>
            </w:pPr>
            <w:r w:rsidRPr="00C043B7">
              <w:rPr>
                <w:rFonts w:ascii="Times New Roman" w:hAnsi="Times New Roman" w:cs="Times New Roman"/>
                <w:sz w:val="24"/>
                <w:szCs w:val="24"/>
              </w:rPr>
              <w:t>Pamatojoties uz iepriekš minēto</w:t>
            </w:r>
            <w:r w:rsidR="00CA45BE">
              <w:rPr>
                <w:rFonts w:ascii="Times New Roman" w:hAnsi="Times New Roman" w:cs="Times New Roman"/>
                <w:sz w:val="24"/>
                <w:szCs w:val="24"/>
              </w:rPr>
              <w:t>,</w:t>
            </w:r>
            <w:r w:rsidR="00823EF4" w:rsidRPr="00C043B7">
              <w:rPr>
                <w:rFonts w:ascii="Times New Roman" w:hAnsi="Times New Roman" w:cs="Times New Roman"/>
                <w:sz w:val="24"/>
                <w:szCs w:val="24"/>
              </w:rPr>
              <w:t xml:space="preserve"> </w:t>
            </w:r>
            <w:r w:rsidR="002B5EF5" w:rsidRPr="00C043B7">
              <w:rPr>
                <w:rFonts w:ascii="Times New Roman" w:hAnsi="Times New Roman" w:cs="Times New Roman"/>
                <w:sz w:val="24"/>
                <w:szCs w:val="24"/>
              </w:rPr>
              <w:t xml:space="preserve">izstrādātais </w:t>
            </w:r>
            <w:r w:rsidR="00823EF4" w:rsidRPr="00C54B56">
              <w:rPr>
                <w:rFonts w:ascii="Times New Roman" w:hAnsi="Times New Roman" w:cs="Times New Roman"/>
                <w:b/>
                <w:sz w:val="24"/>
                <w:szCs w:val="24"/>
              </w:rPr>
              <w:t>Mini</w:t>
            </w:r>
            <w:r w:rsidR="002B5EF5" w:rsidRPr="00C54B56">
              <w:rPr>
                <w:rFonts w:ascii="Times New Roman" w:hAnsi="Times New Roman" w:cs="Times New Roman"/>
                <w:b/>
                <w:sz w:val="24"/>
                <w:szCs w:val="24"/>
              </w:rPr>
              <w:t>stru kabineta noteikumu projekts</w:t>
            </w:r>
            <w:r w:rsidR="00823EF4" w:rsidRPr="00C54B56">
              <w:rPr>
                <w:rFonts w:ascii="Times New Roman" w:hAnsi="Times New Roman" w:cs="Times New Roman"/>
                <w:b/>
                <w:sz w:val="24"/>
                <w:szCs w:val="24"/>
              </w:rPr>
              <w:t xml:space="preserve"> veicinās publiskas personas institūciju vadītāju mērķtiecīgu un efektīvu darbību iespējamā korupcijas riska novēršanai</w:t>
            </w:r>
            <w:r w:rsidR="00823EF4" w:rsidRPr="00C043B7">
              <w:rPr>
                <w:rFonts w:ascii="Times New Roman" w:hAnsi="Times New Roman" w:cs="Times New Roman"/>
                <w:sz w:val="24"/>
                <w:szCs w:val="24"/>
              </w:rPr>
              <w:t xml:space="preserve"> (ņemot vērā Ministru kabineta noteikumu projektā noteiktās pamatprasības), </w:t>
            </w:r>
            <w:r w:rsidR="00823EF4" w:rsidRPr="00C54B56">
              <w:rPr>
                <w:rFonts w:ascii="Times New Roman" w:hAnsi="Times New Roman" w:cs="Times New Roman"/>
                <w:b/>
                <w:sz w:val="24"/>
                <w:szCs w:val="24"/>
              </w:rPr>
              <w:t>vienlaikus izvairoties no nevajadzīg</w:t>
            </w:r>
            <w:r w:rsidR="00B3016C">
              <w:rPr>
                <w:rFonts w:ascii="Times New Roman" w:hAnsi="Times New Roman" w:cs="Times New Roman"/>
                <w:b/>
                <w:sz w:val="24"/>
                <w:szCs w:val="24"/>
              </w:rPr>
              <w:t>u</w:t>
            </w:r>
            <w:r w:rsidR="00823EF4" w:rsidRPr="00C54B56">
              <w:rPr>
                <w:rFonts w:ascii="Times New Roman" w:hAnsi="Times New Roman" w:cs="Times New Roman"/>
                <w:b/>
                <w:sz w:val="24"/>
                <w:szCs w:val="24"/>
              </w:rPr>
              <w:t xml:space="preserve"> darbību veikšanas</w:t>
            </w:r>
            <w:r w:rsidR="00823EF4" w:rsidRPr="00C043B7">
              <w:rPr>
                <w:rFonts w:ascii="Times New Roman" w:hAnsi="Times New Roman" w:cs="Times New Roman"/>
                <w:sz w:val="24"/>
                <w:szCs w:val="24"/>
              </w:rPr>
              <w:t xml:space="preserve"> (formālu pasākumu noteikšanas). Proti, ja nav noteiktas konkrētas pamatprasības korupcijas riska novēršanai, institūcijas vadītājs, piemēram, izstrādājot pretkorupcijas pasākumu p</w:t>
            </w:r>
            <w:r w:rsidR="0019146C" w:rsidRPr="00C043B7">
              <w:rPr>
                <w:rFonts w:ascii="Times New Roman" w:hAnsi="Times New Roman" w:cs="Times New Roman"/>
                <w:sz w:val="24"/>
                <w:szCs w:val="24"/>
              </w:rPr>
              <w:t>lānu</w:t>
            </w:r>
            <w:r w:rsidR="00E400FC">
              <w:rPr>
                <w:rFonts w:ascii="Times New Roman" w:hAnsi="Times New Roman" w:cs="Times New Roman"/>
                <w:sz w:val="24"/>
                <w:szCs w:val="24"/>
              </w:rPr>
              <w:t>,</w:t>
            </w:r>
            <w:r w:rsidR="0019146C" w:rsidRPr="00C043B7">
              <w:rPr>
                <w:rFonts w:ascii="Times New Roman" w:hAnsi="Times New Roman" w:cs="Times New Roman"/>
                <w:sz w:val="24"/>
                <w:szCs w:val="24"/>
              </w:rPr>
              <w:t xml:space="preserve"> var neietvert tajā konkrētu</w:t>
            </w:r>
            <w:r w:rsidR="00823EF4" w:rsidRPr="00C043B7">
              <w:rPr>
                <w:rFonts w:ascii="Times New Roman" w:hAnsi="Times New Roman" w:cs="Times New Roman"/>
                <w:sz w:val="24"/>
                <w:szCs w:val="24"/>
              </w:rPr>
              <w:t xml:space="preserve">s pasākumus korupcijas riska novēršanai vai </w:t>
            </w:r>
            <w:r w:rsidR="0019146C" w:rsidRPr="00C043B7">
              <w:rPr>
                <w:rFonts w:ascii="Times New Roman" w:hAnsi="Times New Roman" w:cs="Times New Roman"/>
                <w:sz w:val="24"/>
                <w:szCs w:val="24"/>
              </w:rPr>
              <w:t>noteikt</w:t>
            </w:r>
            <w:r w:rsidR="00823EF4" w:rsidRPr="00C043B7">
              <w:rPr>
                <w:rFonts w:ascii="Times New Roman" w:hAnsi="Times New Roman" w:cs="Times New Roman"/>
                <w:sz w:val="24"/>
                <w:szCs w:val="24"/>
              </w:rPr>
              <w:t xml:space="preserve"> pretk</w:t>
            </w:r>
            <w:r w:rsidR="0019146C" w:rsidRPr="00C043B7">
              <w:rPr>
                <w:rFonts w:ascii="Times New Roman" w:hAnsi="Times New Roman" w:cs="Times New Roman"/>
                <w:sz w:val="24"/>
                <w:szCs w:val="24"/>
              </w:rPr>
              <w:t>orupcijas pasākumus</w:t>
            </w:r>
            <w:r w:rsidR="00E400FC">
              <w:rPr>
                <w:rFonts w:ascii="Times New Roman" w:hAnsi="Times New Roman" w:cs="Times New Roman"/>
                <w:sz w:val="24"/>
                <w:szCs w:val="24"/>
              </w:rPr>
              <w:t>,</w:t>
            </w:r>
            <w:r w:rsidR="0019146C" w:rsidRPr="00C043B7">
              <w:rPr>
                <w:rFonts w:ascii="Times New Roman" w:hAnsi="Times New Roman" w:cs="Times New Roman"/>
                <w:sz w:val="24"/>
                <w:szCs w:val="24"/>
              </w:rPr>
              <w:t xml:space="preserve"> faktiski </w:t>
            </w:r>
            <w:r w:rsidR="00432F12" w:rsidRPr="00C043B7">
              <w:rPr>
                <w:rFonts w:ascii="Times New Roman" w:hAnsi="Times New Roman" w:cs="Times New Roman"/>
                <w:sz w:val="24"/>
                <w:szCs w:val="24"/>
              </w:rPr>
              <w:t>neapzinoties</w:t>
            </w:r>
            <w:r w:rsidR="0019146C" w:rsidRPr="00C043B7">
              <w:rPr>
                <w:rFonts w:ascii="Times New Roman" w:hAnsi="Times New Roman" w:cs="Times New Roman"/>
                <w:sz w:val="24"/>
                <w:szCs w:val="24"/>
              </w:rPr>
              <w:t xml:space="preserve"> korupcijas riskam pakļautās funkcijas vai darbības jomas</w:t>
            </w:r>
            <w:r w:rsidR="00823EF4" w:rsidRPr="00C043B7">
              <w:rPr>
                <w:rFonts w:ascii="Times New Roman" w:hAnsi="Times New Roman" w:cs="Times New Roman"/>
                <w:sz w:val="24"/>
                <w:szCs w:val="24"/>
              </w:rPr>
              <w:t xml:space="preserve"> (Informatīvais ziņojums).</w:t>
            </w:r>
            <w:r w:rsidR="0019146C" w:rsidRPr="00C043B7">
              <w:rPr>
                <w:rFonts w:ascii="Times New Roman" w:hAnsi="Times New Roman" w:cs="Times New Roman"/>
                <w:sz w:val="24"/>
                <w:szCs w:val="24"/>
              </w:rPr>
              <w:t xml:space="preserve"> </w:t>
            </w:r>
          </w:p>
          <w:p w14:paraId="36B114B2" w14:textId="77777777" w:rsidR="007F7DC1" w:rsidRDefault="00823EF4" w:rsidP="007F7DC1">
            <w:pPr>
              <w:spacing w:after="0" w:line="240" w:lineRule="auto"/>
              <w:ind w:left="113" w:right="113" w:firstLine="340"/>
              <w:jc w:val="both"/>
              <w:rPr>
                <w:rFonts w:ascii="Times New Roman" w:hAnsi="Times New Roman" w:cs="Times New Roman"/>
                <w:kern w:val="24"/>
                <w:sz w:val="24"/>
                <w:szCs w:val="24"/>
              </w:rPr>
            </w:pPr>
            <w:r w:rsidRPr="00C043B7">
              <w:rPr>
                <w:rFonts w:ascii="Times New Roman" w:hAnsi="Times New Roman" w:cs="Times New Roman"/>
                <w:sz w:val="24"/>
                <w:szCs w:val="24"/>
              </w:rPr>
              <w:t>Izstrādājot minēto Ministru kabineta noteikumu projektu</w:t>
            </w:r>
            <w:r w:rsidR="00E400FC">
              <w:rPr>
                <w:rFonts w:ascii="Times New Roman" w:hAnsi="Times New Roman" w:cs="Times New Roman"/>
                <w:sz w:val="24"/>
                <w:szCs w:val="24"/>
              </w:rPr>
              <w:t>,</w:t>
            </w:r>
            <w:r w:rsidRPr="00C043B7">
              <w:rPr>
                <w:rFonts w:ascii="Times New Roman" w:hAnsi="Times New Roman" w:cs="Times New Roman"/>
                <w:sz w:val="24"/>
                <w:szCs w:val="24"/>
              </w:rPr>
              <w:t xml:space="preserve"> tika ņemtas vērā </w:t>
            </w:r>
            <w:r w:rsidRPr="00C043B7">
              <w:rPr>
                <w:rFonts w:ascii="Times New Roman" w:hAnsi="Times New Roman" w:cs="Times New Roman"/>
                <w:sz w:val="24"/>
                <w:szCs w:val="24"/>
                <w:u w:val="single"/>
              </w:rPr>
              <w:t>Ekonomiskās sadarbības un attīstības organizācijas (</w:t>
            </w:r>
            <w:r w:rsidRPr="00C043B7">
              <w:rPr>
                <w:rFonts w:ascii="Times New Roman" w:hAnsi="Times New Roman" w:cs="Times New Roman"/>
                <w:kern w:val="24"/>
                <w:sz w:val="24"/>
                <w:szCs w:val="24"/>
                <w:u w:val="single"/>
              </w:rPr>
              <w:t>OECD)</w:t>
            </w:r>
            <w:r w:rsidR="007F7DC1">
              <w:rPr>
                <w:rFonts w:ascii="Times New Roman" w:hAnsi="Times New Roman" w:cs="Times New Roman"/>
                <w:kern w:val="24"/>
                <w:sz w:val="24"/>
                <w:szCs w:val="24"/>
              </w:rPr>
              <w:t xml:space="preserve"> rekomendācijas, piemēram, </w:t>
            </w:r>
            <w:r w:rsidR="005F14F2" w:rsidRPr="007F7DC1">
              <w:rPr>
                <w:rFonts w:ascii="Times New Roman" w:hAnsi="Times New Roman" w:cs="Times New Roman"/>
                <w:sz w:val="24"/>
                <w:szCs w:val="24"/>
              </w:rPr>
              <w:t xml:space="preserve">Kukuļošanas apkarošanas </w:t>
            </w:r>
            <w:r w:rsidR="005F14F2" w:rsidRPr="007F7DC1">
              <w:rPr>
                <w:rFonts w:ascii="Times New Roman" w:hAnsi="Times New Roman" w:cs="Times New Roman"/>
                <w:bCs/>
                <w:sz w:val="24"/>
                <w:szCs w:val="24"/>
              </w:rPr>
              <w:t xml:space="preserve">starptautiskajos biznesa darījumos darba grupas </w:t>
            </w:r>
            <w:r w:rsidR="005F14F2" w:rsidRPr="007F7DC1">
              <w:rPr>
                <w:rFonts w:ascii="Times New Roman" w:hAnsi="Times New Roman" w:cs="Times New Roman"/>
                <w:kern w:val="24"/>
                <w:sz w:val="24"/>
                <w:szCs w:val="24"/>
              </w:rPr>
              <w:t>(turpmāk ‒ kukuļošanas darba grupa)</w:t>
            </w:r>
            <w:r w:rsidRPr="007F7DC1">
              <w:rPr>
                <w:rFonts w:ascii="Times New Roman" w:hAnsi="Times New Roman" w:cs="Times New Roman"/>
                <w:kern w:val="24"/>
                <w:sz w:val="24"/>
                <w:szCs w:val="24"/>
              </w:rPr>
              <w:t xml:space="preserve"> rekomendācija </w:t>
            </w:r>
          </w:p>
          <w:p w14:paraId="04F1AEA8" w14:textId="5B9D5A92" w:rsidR="00823EF4" w:rsidRPr="007F7DC1" w:rsidRDefault="00823EF4" w:rsidP="007F7DC1">
            <w:pPr>
              <w:pStyle w:val="ListParagraph"/>
              <w:numPr>
                <w:ilvl w:val="0"/>
                <w:numId w:val="35"/>
              </w:numPr>
              <w:spacing w:after="0" w:line="240" w:lineRule="auto"/>
              <w:ind w:right="113"/>
              <w:jc w:val="both"/>
              <w:rPr>
                <w:rFonts w:ascii="Times New Roman" w:hAnsi="Times New Roman" w:cs="Times New Roman"/>
                <w:kern w:val="24"/>
                <w:sz w:val="24"/>
                <w:szCs w:val="24"/>
              </w:rPr>
            </w:pPr>
            <w:r w:rsidRPr="007F7DC1">
              <w:rPr>
                <w:rFonts w:ascii="Times New Roman" w:hAnsi="Times New Roman" w:cs="Times New Roman"/>
                <w:i/>
                <w:kern w:val="24"/>
                <w:sz w:val="24"/>
                <w:szCs w:val="24"/>
              </w:rPr>
              <w:t xml:space="preserve">nodrošināt, ka iekšējās kontroles prasības valsts kapitālsabiedrībās pretkorupcijas jomā ietver arī prasības saistībā ar ārvalstu amatpersonu kukuļošanu </w:t>
            </w:r>
            <w:r w:rsidRPr="007F7DC1">
              <w:rPr>
                <w:rFonts w:ascii="Times New Roman" w:hAnsi="Times New Roman" w:cs="Times New Roman"/>
                <w:i/>
                <w:kern w:val="24"/>
                <w:sz w:val="24"/>
                <w:szCs w:val="24"/>
              </w:rPr>
              <w:lastRenderedPageBreak/>
              <w:t xml:space="preserve">(2009.gada rekomendācija III un </w:t>
            </w:r>
            <w:proofErr w:type="spellStart"/>
            <w:r w:rsidRPr="007F7DC1">
              <w:rPr>
                <w:rFonts w:ascii="Times New Roman" w:hAnsi="Times New Roman" w:cs="Times New Roman"/>
                <w:i/>
                <w:kern w:val="24"/>
                <w:sz w:val="24"/>
                <w:szCs w:val="24"/>
              </w:rPr>
              <w:t>X.C.(i</w:t>
            </w:r>
            <w:proofErr w:type="spellEnd"/>
            <w:r w:rsidRPr="007F7DC1">
              <w:rPr>
                <w:rFonts w:ascii="Times New Roman" w:hAnsi="Times New Roman" w:cs="Times New Roman"/>
                <w:i/>
                <w:kern w:val="24"/>
                <w:sz w:val="24"/>
                <w:szCs w:val="24"/>
              </w:rPr>
              <w:t>.))</w:t>
            </w:r>
            <w:r w:rsidRPr="00C043B7">
              <w:rPr>
                <w:rStyle w:val="FootnoteReference"/>
                <w:rFonts w:ascii="Times New Roman" w:hAnsi="Times New Roman" w:cs="Times New Roman"/>
                <w:i/>
                <w:kern w:val="24"/>
                <w:sz w:val="24"/>
                <w:szCs w:val="24"/>
              </w:rPr>
              <w:footnoteReference w:id="2"/>
            </w:r>
            <w:r w:rsidR="003A3E40" w:rsidRPr="007F7DC1">
              <w:rPr>
                <w:rFonts w:ascii="Times New Roman" w:hAnsi="Times New Roman" w:cs="Times New Roman"/>
                <w:i/>
                <w:kern w:val="24"/>
                <w:sz w:val="24"/>
                <w:szCs w:val="24"/>
              </w:rPr>
              <w:t>;</w:t>
            </w:r>
          </w:p>
          <w:p w14:paraId="4551C94E" w14:textId="7E6278F5" w:rsidR="003A3E40" w:rsidRPr="003A3E40" w:rsidRDefault="003A3E40" w:rsidP="003A3E40">
            <w:pPr>
              <w:pStyle w:val="ListParagraph"/>
              <w:numPr>
                <w:ilvl w:val="0"/>
                <w:numId w:val="35"/>
              </w:numPr>
              <w:spacing w:after="0" w:line="240" w:lineRule="auto"/>
              <w:ind w:right="113"/>
              <w:jc w:val="both"/>
              <w:rPr>
                <w:rFonts w:ascii="Times New Roman" w:hAnsi="Times New Roman" w:cs="Times New Roman"/>
                <w:i/>
                <w:kern w:val="24"/>
                <w:sz w:val="24"/>
                <w:szCs w:val="24"/>
              </w:rPr>
            </w:pPr>
            <w:r w:rsidRPr="003A3E40">
              <w:rPr>
                <w:rFonts w:ascii="Times New Roman" w:hAnsi="Times New Roman" w:cs="Times New Roman"/>
                <w:i/>
                <w:kern w:val="24"/>
                <w:sz w:val="24"/>
                <w:szCs w:val="24"/>
              </w:rPr>
              <w:t xml:space="preserve">Latvija īsteno tās plānu veikt pasākumus, kas noteiktu valsts amatpersonām pienākumu ziņot tieši vai netieši, izmantojot iekšējo mehānismu, tiesībsargājošām iestādēm par aizdomām par ārvalstu amatpersonu kukuļošanu starptautiskos darījumos, kas radušās, veicot savus dienesta pienākumus (2009.gada Rekomendācija III un </w:t>
            </w:r>
            <w:proofErr w:type="spellStart"/>
            <w:r w:rsidRPr="003A3E40">
              <w:rPr>
                <w:rFonts w:ascii="Times New Roman" w:hAnsi="Times New Roman" w:cs="Times New Roman"/>
                <w:i/>
                <w:kern w:val="24"/>
                <w:sz w:val="24"/>
                <w:szCs w:val="24"/>
              </w:rPr>
              <w:t>IX(i</w:t>
            </w:r>
            <w:proofErr w:type="spellEnd"/>
            <w:r w:rsidRPr="003A3E40">
              <w:rPr>
                <w:rFonts w:ascii="Times New Roman" w:hAnsi="Times New Roman" w:cs="Times New Roman"/>
                <w:i/>
                <w:kern w:val="24"/>
                <w:sz w:val="24"/>
                <w:szCs w:val="24"/>
              </w:rPr>
              <w:t>)).</w:t>
            </w:r>
            <w:r w:rsidR="008E550C">
              <w:rPr>
                <w:rStyle w:val="FootnoteReference"/>
                <w:rFonts w:ascii="Times New Roman" w:hAnsi="Times New Roman" w:cs="Times New Roman"/>
                <w:i/>
                <w:kern w:val="24"/>
                <w:sz w:val="24"/>
                <w:szCs w:val="24"/>
              </w:rPr>
              <w:footnoteReference w:id="3"/>
            </w:r>
          </w:p>
          <w:p w14:paraId="46C62724" w14:textId="6F229070" w:rsidR="00823EF4" w:rsidRPr="00C043B7" w:rsidRDefault="00FC49CA" w:rsidP="00C105F1">
            <w:pPr>
              <w:spacing w:after="0" w:line="240" w:lineRule="auto"/>
              <w:ind w:left="113" w:right="113" w:firstLine="340"/>
              <w:jc w:val="both"/>
              <w:rPr>
                <w:rFonts w:ascii="Times New Roman" w:hAnsi="Times New Roman" w:cs="Times New Roman"/>
                <w:sz w:val="24"/>
                <w:szCs w:val="24"/>
              </w:rPr>
            </w:pPr>
            <w:r w:rsidRPr="007736C0">
              <w:rPr>
                <w:rFonts w:ascii="Times New Roman" w:hAnsi="Times New Roman" w:cs="Times New Roman"/>
                <w:sz w:val="24"/>
                <w:szCs w:val="24"/>
              </w:rPr>
              <w:t xml:space="preserve">Atbilstoši </w:t>
            </w:r>
            <w:r w:rsidR="007736C0" w:rsidRPr="007736C0">
              <w:rPr>
                <w:rFonts w:ascii="Times New Roman" w:hAnsi="Times New Roman" w:cs="Times New Roman"/>
                <w:sz w:val="24"/>
                <w:szCs w:val="24"/>
              </w:rPr>
              <w:t xml:space="preserve"> likumam </w:t>
            </w:r>
            <w:r w:rsidR="007736C0">
              <w:rPr>
                <w:rFonts w:ascii="Times New Roman" w:hAnsi="Times New Roman" w:cs="Times New Roman"/>
                <w:sz w:val="24"/>
                <w:szCs w:val="24"/>
              </w:rPr>
              <w:t>“</w:t>
            </w:r>
            <w:r w:rsidR="007736C0" w:rsidRPr="007736C0">
              <w:rPr>
                <w:rFonts w:ascii="Times New Roman" w:hAnsi="Times New Roman" w:cs="Times New Roman"/>
                <w:sz w:val="24"/>
                <w:szCs w:val="24"/>
              </w:rPr>
              <w:t>Par interešu konflikta novēršanu valsts amatpersonu darbībā</w:t>
            </w:r>
            <w:r w:rsidR="007736C0">
              <w:rPr>
                <w:rFonts w:ascii="Times New Roman" w:hAnsi="Times New Roman" w:cs="Times New Roman"/>
                <w:sz w:val="24"/>
                <w:szCs w:val="24"/>
              </w:rPr>
              <w:t>”</w:t>
            </w:r>
            <w:r w:rsidR="00526F76" w:rsidRPr="00C043B7">
              <w:rPr>
                <w:rFonts w:ascii="Times New Roman" w:hAnsi="Times New Roman" w:cs="Times New Roman"/>
                <w:sz w:val="24"/>
                <w:szCs w:val="24"/>
              </w:rPr>
              <w:t xml:space="preserve">, </w:t>
            </w:r>
            <w:r w:rsidRPr="00C043B7">
              <w:rPr>
                <w:rFonts w:ascii="Times New Roman" w:hAnsi="Times New Roman" w:cs="Times New Roman"/>
                <w:sz w:val="24"/>
                <w:szCs w:val="24"/>
              </w:rPr>
              <w:t xml:space="preserve"> </w:t>
            </w:r>
            <w:r w:rsidRPr="00C043B7">
              <w:rPr>
                <w:rFonts w:ascii="Times New Roman" w:hAnsi="Times New Roman" w:cs="Times New Roman"/>
                <w:b/>
                <w:sz w:val="24"/>
                <w:szCs w:val="24"/>
              </w:rPr>
              <w:t>kapitālsabiedrība</w:t>
            </w:r>
            <w:r w:rsidRPr="00C043B7">
              <w:rPr>
                <w:rFonts w:ascii="Times New Roman" w:hAnsi="Times New Roman" w:cs="Times New Roman"/>
                <w:sz w:val="24"/>
                <w:szCs w:val="24"/>
              </w:rPr>
              <w:t xml:space="preserve"> š</w:t>
            </w:r>
            <w:r w:rsidR="00823EF4" w:rsidRPr="00C043B7">
              <w:rPr>
                <w:rFonts w:ascii="Times New Roman" w:hAnsi="Times New Roman" w:cs="Times New Roman"/>
                <w:sz w:val="24"/>
                <w:szCs w:val="24"/>
              </w:rPr>
              <w:t>o Ministru kabineta noteikumu projekta izpratnē ir:</w:t>
            </w:r>
          </w:p>
          <w:p w14:paraId="3AD86E30" w14:textId="54254653" w:rsidR="00823EF4" w:rsidRPr="00C043B7" w:rsidRDefault="00823EF4" w:rsidP="00C105F1">
            <w:pPr>
              <w:pStyle w:val="tv213"/>
              <w:spacing w:before="0" w:beforeAutospacing="0" w:after="0" w:afterAutospacing="0"/>
              <w:ind w:left="113" w:right="113" w:firstLine="340"/>
              <w:jc w:val="both"/>
            </w:pPr>
            <w:r w:rsidRPr="00C043B7">
              <w:t xml:space="preserve">b) </w:t>
            </w:r>
            <w:r w:rsidR="00E400FC">
              <w:t xml:space="preserve">  </w:t>
            </w:r>
            <w:r w:rsidRPr="00C043B7">
              <w:t>publiskas personas kapitālsabiedrība;</w:t>
            </w:r>
          </w:p>
          <w:p w14:paraId="1C0806AD" w14:textId="77777777" w:rsidR="00823EF4" w:rsidRPr="00C043B7" w:rsidRDefault="00823EF4" w:rsidP="00C105F1">
            <w:pPr>
              <w:pStyle w:val="tv213"/>
              <w:spacing w:before="0" w:beforeAutospacing="0" w:after="0" w:afterAutospacing="0"/>
              <w:ind w:left="113" w:right="113" w:firstLine="340"/>
              <w:jc w:val="both"/>
            </w:pPr>
            <w:r w:rsidRPr="00C043B7">
              <w:t xml:space="preserve">c) kapitālsabiedrība, kurā publiskas personas daļa pamatkapitālā atsevišķi vai kopumā pārsniedz 50 procentus vai kurā publiskai personai ir cita veida izšķirošā ietekme atbilstoši </w:t>
            </w:r>
            <w:hyperlink r:id="rId11" w:tgtFrame="_blank" w:history="1">
              <w:r w:rsidRPr="00C043B7">
                <w:rPr>
                  <w:rStyle w:val="Hyperlink"/>
                  <w:color w:val="auto"/>
                </w:rPr>
                <w:t>Koncernu likumam</w:t>
              </w:r>
            </w:hyperlink>
            <w:r w:rsidRPr="00C043B7">
              <w:t>;</w:t>
            </w:r>
          </w:p>
          <w:p w14:paraId="7AF4C926" w14:textId="77777777" w:rsidR="00823EF4" w:rsidRPr="00C043B7" w:rsidRDefault="00823EF4" w:rsidP="00C105F1">
            <w:pPr>
              <w:pStyle w:val="tv213"/>
              <w:spacing w:before="0" w:beforeAutospacing="0" w:after="0" w:afterAutospacing="0"/>
              <w:ind w:left="113" w:right="113" w:firstLine="340"/>
              <w:jc w:val="both"/>
            </w:pPr>
            <w:r w:rsidRPr="00C043B7">
              <w:t xml:space="preserve">d) kapitālsabiedrība, kurā vienas publiskas personas vai vairāku publisku personu kapitālsabiedrību daļa pamatkapitālā atsevišķi vai kopumā pārsniedz 50 procentus vai kurā vienai publiskai personai vai vairākām publiskām personām ir cita veida izšķirošā ietekme atbilstoši </w:t>
            </w:r>
            <w:hyperlink r:id="rId12" w:tgtFrame="_blank" w:history="1">
              <w:r w:rsidRPr="00C043B7">
                <w:rPr>
                  <w:rStyle w:val="Hyperlink"/>
                  <w:color w:val="auto"/>
                </w:rPr>
                <w:t>Koncernu likumam</w:t>
              </w:r>
            </w:hyperlink>
            <w:r w:rsidRPr="00C043B7">
              <w:t>.</w:t>
            </w:r>
          </w:p>
          <w:p w14:paraId="2936C71E" w14:textId="65DA2A35" w:rsidR="00892F69" w:rsidRPr="00C043B7" w:rsidRDefault="00FC6CAC" w:rsidP="00FD5A18">
            <w:pPr>
              <w:spacing w:after="0" w:line="240" w:lineRule="auto"/>
              <w:ind w:left="113" w:right="113" w:firstLine="340"/>
              <w:jc w:val="both"/>
              <w:rPr>
                <w:rFonts w:ascii="Times New Roman" w:hAnsi="Times New Roman" w:cs="Times New Roman"/>
                <w:sz w:val="24"/>
                <w:szCs w:val="24"/>
              </w:rPr>
            </w:pPr>
            <w:r>
              <w:rPr>
                <w:rFonts w:ascii="Times New Roman" w:eastAsia="Times New Roman" w:hAnsi="Times New Roman" w:cs="Times New Roman"/>
                <w:sz w:val="24"/>
                <w:szCs w:val="24"/>
              </w:rPr>
              <w:t>Ministru kabineta n</w:t>
            </w:r>
            <w:r w:rsidR="004D2DBD" w:rsidRPr="00E16F98">
              <w:rPr>
                <w:rFonts w:ascii="Times New Roman" w:eastAsia="Times New Roman" w:hAnsi="Times New Roman" w:cs="Times New Roman"/>
                <w:sz w:val="24"/>
                <w:szCs w:val="24"/>
              </w:rPr>
              <w:t>oteikumu projekts paredz, ka publiskas personas institūcijā</w:t>
            </w:r>
            <w:r w:rsidR="00F41801">
              <w:rPr>
                <w:rFonts w:ascii="Times New Roman" w:eastAsia="Times New Roman" w:hAnsi="Times New Roman" w:cs="Times New Roman"/>
                <w:sz w:val="24"/>
                <w:szCs w:val="24"/>
              </w:rPr>
              <w:t>s</w:t>
            </w:r>
            <w:r w:rsidR="004D2DBD" w:rsidRPr="00E16F98">
              <w:rPr>
                <w:rFonts w:ascii="Times New Roman" w:eastAsia="Times New Roman" w:hAnsi="Times New Roman" w:cs="Times New Roman"/>
                <w:sz w:val="24"/>
                <w:szCs w:val="24"/>
              </w:rPr>
              <w:t xml:space="preserve"> ir jābūt </w:t>
            </w:r>
            <w:r w:rsidR="007F7DC1">
              <w:rPr>
                <w:rFonts w:ascii="Times New Roman" w:eastAsia="Times New Roman" w:hAnsi="Times New Roman" w:cs="Times New Roman"/>
                <w:sz w:val="24"/>
                <w:szCs w:val="24"/>
              </w:rPr>
              <w:t>identificētiem</w:t>
            </w:r>
            <w:r w:rsidR="004D2DBD" w:rsidRPr="00E16F98">
              <w:rPr>
                <w:rFonts w:ascii="Times New Roman" w:eastAsia="Times New Roman" w:hAnsi="Times New Roman" w:cs="Times New Roman"/>
                <w:sz w:val="24"/>
                <w:szCs w:val="24"/>
              </w:rPr>
              <w:t xml:space="preserve"> korupcijas risk</w:t>
            </w:r>
            <w:r w:rsidR="007F7DC1">
              <w:rPr>
                <w:rFonts w:ascii="Times New Roman" w:eastAsia="Times New Roman" w:hAnsi="Times New Roman" w:cs="Times New Roman"/>
                <w:sz w:val="24"/>
                <w:szCs w:val="24"/>
              </w:rPr>
              <w:t>iem</w:t>
            </w:r>
            <w:r w:rsidR="004D2DBD" w:rsidRPr="00E16F98">
              <w:rPr>
                <w:rFonts w:ascii="Times New Roman" w:eastAsia="Times New Roman" w:hAnsi="Times New Roman" w:cs="Times New Roman"/>
                <w:sz w:val="24"/>
                <w:szCs w:val="24"/>
              </w:rPr>
              <w:t xml:space="preserve"> un </w:t>
            </w:r>
            <w:r w:rsidR="00F41801">
              <w:rPr>
                <w:rFonts w:ascii="Times New Roman" w:eastAsia="Times New Roman" w:hAnsi="Times New Roman" w:cs="Times New Roman"/>
                <w:sz w:val="24"/>
                <w:szCs w:val="24"/>
              </w:rPr>
              <w:t xml:space="preserve">izvērtētām </w:t>
            </w:r>
            <w:r w:rsidR="004D2DBD" w:rsidRPr="00E16F98">
              <w:rPr>
                <w:rFonts w:ascii="Times New Roman" w:eastAsia="Times New Roman" w:hAnsi="Times New Roman" w:cs="Times New Roman"/>
                <w:sz w:val="24"/>
                <w:szCs w:val="24"/>
              </w:rPr>
              <w:t>korupcijas riskam pakļaut</w:t>
            </w:r>
            <w:r w:rsidR="00790A64">
              <w:rPr>
                <w:rFonts w:ascii="Times New Roman" w:eastAsia="Times New Roman" w:hAnsi="Times New Roman" w:cs="Times New Roman"/>
                <w:sz w:val="24"/>
                <w:szCs w:val="24"/>
              </w:rPr>
              <w:t>ām</w:t>
            </w:r>
            <w:r w:rsidR="004D2DBD" w:rsidRPr="00E16F98">
              <w:rPr>
                <w:rFonts w:ascii="Times New Roman" w:eastAsia="Times New Roman" w:hAnsi="Times New Roman" w:cs="Times New Roman"/>
                <w:sz w:val="24"/>
                <w:szCs w:val="24"/>
              </w:rPr>
              <w:t xml:space="preserve"> funkcij</w:t>
            </w:r>
            <w:r w:rsidR="00790A64">
              <w:rPr>
                <w:rFonts w:ascii="Times New Roman" w:eastAsia="Times New Roman" w:hAnsi="Times New Roman" w:cs="Times New Roman"/>
                <w:sz w:val="24"/>
                <w:szCs w:val="24"/>
              </w:rPr>
              <w:t>ām</w:t>
            </w:r>
            <w:r w:rsidR="007F7DC1">
              <w:rPr>
                <w:rFonts w:ascii="Times New Roman" w:eastAsia="Times New Roman" w:hAnsi="Times New Roman" w:cs="Times New Roman"/>
                <w:sz w:val="24"/>
                <w:szCs w:val="24"/>
              </w:rPr>
              <w:t xml:space="preserve"> vai</w:t>
            </w:r>
            <w:r w:rsidR="00790A64">
              <w:rPr>
                <w:rFonts w:ascii="Times New Roman" w:eastAsia="Times New Roman" w:hAnsi="Times New Roman" w:cs="Times New Roman"/>
                <w:sz w:val="24"/>
                <w:szCs w:val="24"/>
              </w:rPr>
              <w:t xml:space="preserve"> </w:t>
            </w:r>
            <w:r w:rsidR="004D2DBD" w:rsidRPr="00E16F98">
              <w:rPr>
                <w:rFonts w:ascii="Times New Roman" w:eastAsia="Times New Roman" w:hAnsi="Times New Roman" w:cs="Times New Roman"/>
                <w:sz w:val="24"/>
                <w:szCs w:val="24"/>
              </w:rPr>
              <w:t>darbības jom</w:t>
            </w:r>
            <w:r w:rsidR="00790A64">
              <w:rPr>
                <w:rFonts w:ascii="Times New Roman" w:eastAsia="Times New Roman" w:hAnsi="Times New Roman" w:cs="Times New Roman"/>
                <w:sz w:val="24"/>
                <w:szCs w:val="24"/>
              </w:rPr>
              <w:t>ām</w:t>
            </w:r>
            <w:r w:rsidR="00F41801">
              <w:rPr>
                <w:rFonts w:ascii="Times New Roman" w:eastAsia="Times New Roman" w:hAnsi="Times New Roman" w:cs="Times New Roman"/>
                <w:sz w:val="24"/>
                <w:szCs w:val="24"/>
              </w:rPr>
              <w:t xml:space="preserve"> vai procesi</w:t>
            </w:r>
            <w:r w:rsidR="00790A64">
              <w:rPr>
                <w:rFonts w:ascii="Times New Roman" w:eastAsia="Times New Roman" w:hAnsi="Times New Roman" w:cs="Times New Roman"/>
                <w:sz w:val="24"/>
                <w:szCs w:val="24"/>
              </w:rPr>
              <w:t>em</w:t>
            </w:r>
            <w:r w:rsidR="004D2DBD" w:rsidRPr="00E16F98">
              <w:rPr>
                <w:rFonts w:ascii="Times New Roman" w:eastAsia="Times New Roman" w:hAnsi="Times New Roman" w:cs="Times New Roman"/>
                <w:sz w:val="24"/>
                <w:szCs w:val="24"/>
              </w:rPr>
              <w:t xml:space="preserve">, </w:t>
            </w:r>
            <w:r w:rsidR="00F11113">
              <w:rPr>
                <w:rFonts w:ascii="Times New Roman" w:eastAsia="Times New Roman" w:hAnsi="Times New Roman" w:cs="Times New Roman"/>
                <w:sz w:val="24"/>
                <w:szCs w:val="24"/>
              </w:rPr>
              <w:t>nepieciešamības gadījumā</w:t>
            </w:r>
            <w:r w:rsidR="004D2DBD" w:rsidRPr="00E16F98">
              <w:rPr>
                <w:rFonts w:ascii="Times New Roman" w:eastAsia="Times New Roman" w:hAnsi="Times New Roman" w:cs="Times New Roman"/>
                <w:sz w:val="24"/>
                <w:szCs w:val="24"/>
              </w:rPr>
              <w:t xml:space="preserve"> </w:t>
            </w:r>
            <w:r w:rsidR="00F41801">
              <w:rPr>
                <w:rFonts w:ascii="Times New Roman" w:eastAsia="Times New Roman" w:hAnsi="Times New Roman" w:cs="Times New Roman"/>
                <w:sz w:val="24"/>
                <w:szCs w:val="24"/>
              </w:rPr>
              <w:t xml:space="preserve">veikts </w:t>
            </w:r>
            <w:r w:rsidR="004D2DBD" w:rsidRPr="00E16F98">
              <w:rPr>
                <w:rFonts w:ascii="Times New Roman" w:eastAsia="Times New Roman" w:hAnsi="Times New Roman" w:cs="Times New Roman"/>
                <w:sz w:val="24"/>
                <w:szCs w:val="24"/>
              </w:rPr>
              <w:t>citas informācijas izvērtējum</w:t>
            </w:r>
            <w:r w:rsidR="007F7DC1">
              <w:rPr>
                <w:rFonts w:ascii="Times New Roman" w:eastAsia="Times New Roman" w:hAnsi="Times New Roman" w:cs="Times New Roman"/>
                <w:sz w:val="24"/>
                <w:szCs w:val="24"/>
              </w:rPr>
              <w:t>s</w:t>
            </w:r>
            <w:r w:rsidR="004D2DBD" w:rsidRPr="00E16F98">
              <w:rPr>
                <w:rFonts w:ascii="Times New Roman" w:eastAsia="Times New Roman" w:hAnsi="Times New Roman" w:cs="Times New Roman"/>
                <w:sz w:val="24"/>
                <w:szCs w:val="24"/>
              </w:rPr>
              <w:t>. Svarīgi ir noteikt pasākumus identificēto korupcijas risku mazināšanai vai novēršanai.</w:t>
            </w:r>
            <w:r w:rsidR="00E92E92">
              <w:rPr>
                <w:rFonts w:ascii="Times New Roman" w:eastAsia="Times New Roman" w:hAnsi="Times New Roman" w:cs="Times New Roman"/>
                <w:sz w:val="24"/>
                <w:szCs w:val="24"/>
              </w:rPr>
              <w:t xml:space="preserve"> </w:t>
            </w:r>
            <w:r w:rsidR="00E00BB3" w:rsidRPr="00C043B7">
              <w:rPr>
                <w:rFonts w:ascii="Times New Roman" w:hAnsi="Times New Roman" w:cs="Times New Roman"/>
                <w:sz w:val="24"/>
                <w:szCs w:val="24"/>
              </w:rPr>
              <w:t>Lai noteiktu nepieciešamos korupcijas riska mazinošos pasākumus</w:t>
            </w:r>
            <w:r w:rsidR="00C604D9">
              <w:rPr>
                <w:rFonts w:ascii="Times New Roman" w:hAnsi="Times New Roman" w:cs="Times New Roman"/>
                <w:sz w:val="24"/>
                <w:szCs w:val="24"/>
              </w:rPr>
              <w:t>,</w:t>
            </w:r>
            <w:r w:rsidR="007F7DC1">
              <w:rPr>
                <w:rFonts w:ascii="Times New Roman" w:hAnsi="Times New Roman" w:cs="Times New Roman"/>
                <w:sz w:val="24"/>
                <w:szCs w:val="24"/>
              </w:rPr>
              <w:t xml:space="preserve"> sākotnēji</w:t>
            </w:r>
            <w:r w:rsidR="00E00BB3" w:rsidRPr="00C043B7">
              <w:rPr>
                <w:rFonts w:ascii="Times New Roman" w:hAnsi="Times New Roman" w:cs="Times New Roman"/>
                <w:sz w:val="24"/>
                <w:szCs w:val="24"/>
              </w:rPr>
              <w:t xml:space="preserve"> institūcij</w:t>
            </w:r>
            <w:r w:rsidR="007F7DC1">
              <w:rPr>
                <w:rFonts w:ascii="Times New Roman" w:hAnsi="Times New Roman" w:cs="Times New Roman"/>
                <w:sz w:val="24"/>
                <w:szCs w:val="24"/>
              </w:rPr>
              <w:t>ai</w:t>
            </w:r>
            <w:r w:rsidR="00E00BB3" w:rsidRPr="00C043B7">
              <w:rPr>
                <w:rFonts w:ascii="Times New Roman" w:hAnsi="Times New Roman" w:cs="Times New Roman"/>
                <w:sz w:val="24"/>
                <w:szCs w:val="24"/>
              </w:rPr>
              <w:t xml:space="preserve"> ir jānodrošina korupcijas risku identificēšana, analīze un novērtēšana. Savukārt, lai nodrošinātu korupcijas risku identificēšanu, analīzi un novērtēšanu</w:t>
            </w:r>
            <w:r w:rsidR="00E400FC">
              <w:rPr>
                <w:rFonts w:ascii="Times New Roman" w:hAnsi="Times New Roman" w:cs="Times New Roman"/>
                <w:sz w:val="24"/>
                <w:szCs w:val="24"/>
              </w:rPr>
              <w:t>,</w:t>
            </w:r>
            <w:r w:rsidR="00E00BB3" w:rsidRPr="00C043B7">
              <w:rPr>
                <w:rFonts w:ascii="Times New Roman" w:hAnsi="Times New Roman" w:cs="Times New Roman"/>
                <w:sz w:val="24"/>
                <w:szCs w:val="24"/>
              </w:rPr>
              <w:t xml:space="preserve"> institūcijā ir j</w:t>
            </w:r>
            <w:r w:rsidR="0091194F" w:rsidRPr="00C043B7">
              <w:rPr>
                <w:rFonts w:ascii="Times New Roman" w:hAnsi="Times New Roman" w:cs="Times New Roman"/>
                <w:sz w:val="24"/>
                <w:szCs w:val="24"/>
              </w:rPr>
              <w:t>ānosaka funkcijas vai</w:t>
            </w:r>
            <w:r w:rsidR="00E00BB3" w:rsidRPr="00C043B7">
              <w:rPr>
                <w:rFonts w:ascii="Times New Roman" w:hAnsi="Times New Roman" w:cs="Times New Roman"/>
                <w:sz w:val="24"/>
                <w:szCs w:val="24"/>
              </w:rPr>
              <w:t xml:space="preserve"> darbības jomas</w:t>
            </w:r>
            <w:r w:rsidR="00E400FC">
              <w:rPr>
                <w:rFonts w:ascii="Times New Roman" w:hAnsi="Times New Roman" w:cs="Times New Roman"/>
                <w:sz w:val="24"/>
                <w:szCs w:val="24"/>
              </w:rPr>
              <w:t>,</w:t>
            </w:r>
            <w:r w:rsidR="00E00BB3" w:rsidRPr="00C043B7">
              <w:rPr>
                <w:rFonts w:ascii="Times New Roman" w:hAnsi="Times New Roman" w:cs="Times New Roman"/>
                <w:sz w:val="24"/>
                <w:szCs w:val="24"/>
              </w:rPr>
              <w:t xml:space="preserve"> vai </w:t>
            </w:r>
            <w:r w:rsidR="001C3A85">
              <w:rPr>
                <w:rFonts w:ascii="Times New Roman" w:hAnsi="Times New Roman" w:cs="Times New Roman"/>
                <w:sz w:val="24"/>
                <w:szCs w:val="24"/>
              </w:rPr>
              <w:t>procesi</w:t>
            </w:r>
            <w:r w:rsidR="00E00BB3" w:rsidRPr="00C043B7">
              <w:rPr>
                <w:rFonts w:ascii="Times New Roman" w:hAnsi="Times New Roman" w:cs="Times New Roman"/>
                <w:sz w:val="24"/>
                <w:szCs w:val="24"/>
              </w:rPr>
              <w:t>, kas ir pakļauti korupcijas riskam.</w:t>
            </w:r>
            <w:r w:rsidR="0091194F" w:rsidRPr="00C043B7">
              <w:rPr>
                <w:rFonts w:ascii="Times New Roman" w:hAnsi="Times New Roman" w:cs="Times New Roman"/>
                <w:sz w:val="24"/>
                <w:szCs w:val="24"/>
              </w:rPr>
              <w:t xml:space="preserve"> Atbilstoši noteiktajā</w:t>
            </w:r>
            <w:r w:rsidR="00E400FC">
              <w:rPr>
                <w:rFonts w:ascii="Times New Roman" w:hAnsi="Times New Roman" w:cs="Times New Roman"/>
                <w:sz w:val="24"/>
                <w:szCs w:val="24"/>
              </w:rPr>
              <w:t>m</w:t>
            </w:r>
            <w:r w:rsidR="0091194F" w:rsidRPr="00C043B7">
              <w:rPr>
                <w:rFonts w:ascii="Times New Roman" w:hAnsi="Times New Roman" w:cs="Times New Roman"/>
                <w:sz w:val="24"/>
                <w:szCs w:val="24"/>
              </w:rPr>
              <w:t xml:space="preserve"> funkcijām vai darbības jomām</w:t>
            </w:r>
            <w:r w:rsidR="00E400FC">
              <w:rPr>
                <w:rFonts w:ascii="Times New Roman" w:hAnsi="Times New Roman" w:cs="Times New Roman"/>
                <w:sz w:val="24"/>
                <w:szCs w:val="24"/>
              </w:rPr>
              <w:t>,</w:t>
            </w:r>
            <w:r w:rsidR="0091194F" w:rsidRPr="00C043B7">
              <w:rPr>
                <w:rFonts w:ascii="Times New Roman" w:hAnsi="Times New Roman" w:cs="Times New Roman"/>
                <w:sz w:val="24"/>
                <w:szCs w:val="24"/>
              </w:rPr>
              <w:t xml:space="preserve"> vai </w:t>
            </w:r>
            <w:r w:rsidR="001C3A85">
              <w:rPr>
                <w:rFonts w:ascii="Times New Roman" w:hAnsi="Times New Roman" w:cs="Times New Roman"/>
                <w:sz w:val="24"/>
                <w:szCs w:val="24"/>
              </w:rPr>
              <w:t>procesiem</w:t>
            </w:r>
            <w:r w:rsidR="00E400FC">
              <w:rPr>
                <w:rFonts w:ascii="Times New Roman" w:hAnsi="Times New Roman" w:cs="Times New Roman"/>
                <w:sz w:val="24"/>
                <w:szCs w:val="24"/>
              </w:rPr>
              <w:t>,</w:t>
            </w:r>
            <w:r w:rsidR="0091194F" w:rsidRPr="00C043B7">
              <w:rPr>
                <w:rFonts w:ascii="Times New Roman" w:hAnsi="Times New Roman" w:cs="Times New Roman"/>
                <w:sz w:val="24"/>
                <w:szCs w:val="24"/>
              </w:rPr>
              <w:t xml:space="preserve"> ir jāidentificē korupcijas riski, izvērtējot riska iestāšanās iespējamību (varbūtību) un tā ietekmi iestāšanās gadījumā (radītās sekas). </w:t>
            </w:r>
          </w:p>
          <w:p w14:paraId="49B8D251" w14:textId="5B7EC9B6" w:rsidR="008419DC" w:rsidRPr="00C043B7" w:rsidRDefault="008419DC" w:rsidP="008419DC">
            <w:pPr>
              <w:spacing w:after="0" w:line="240" w:lineRule="auto"/>
              <w:ind w:left="113" w:right="113" w:firstLine="340"/>
              <w:jc w:val="both"/>
              <w:rPr>
                <w:rFonts w:ascii="Times New Roman" w:hAnsi="Times New Roman" w:cs="Times New Roman"/>
                <w:sz w:val="24"/>
                <w:szCs w:val="24"/>
              </w:rPr>
            </w:pPr>
            <w:r w:rsidRPr="00C043B7">
              <w:rPr>
                <w:rFonts w:ascii="Times New Roman" w:hAnsi="Times New Roman" w:cs="Times New Roman"/>
                <w:sz w:val="24"/>
                <w:szCs w:val="24"/>
              </w:rPr>
              <w:t>Kā arī</w:t>
            </w:r>
            <w:r w:rsidR="00E400FC">
              <w:rPr>
                <w:rFonts w:ascii="Times New Roman" w:hAnsi="Times New Roman" w:cs="Times New Roman"/>
                <w:sz w:val="24"/>
                <w:szCs w:val="24"/>
              </w:rPr>
              <w:t>,</w:t>
            </w:r>
            <w:r w:rsidRPr="00C043B7">
              <w:rPr>
                <w:rFonts w:ascii="Times New Roman" w:hAnsi="Times New Roman" w:cs="Times New Roman"/>
                <w:sz w:val="24"/>
                <w:szCs w:val="24"/>
              </w:rPr>
              <w:t xml:space="preserve"> izvērtējot riska iestāšanās iespējamību konkrētā amata pienākumu izpildē, ir jānosaka korupcijas riskam pakļautie amati (“</w:t>
            </w:r>
            <w:proofErr w:type="spellStart"/>
            <w:r w:rsidRPr="00C043B7">
              <w:rPr>
                <w:rFonts w:ascii="Times New Roman" w:hAnsi="Times New Roman" w:cs="Times New Roman"/>
                <w:sz w:val="24"/>
                <w:szCs w:val="24"/>
              </w:rPr>
              <w:t>sensitīvo</w:t>
            </w:r>
            <w:proofErr w:type="spellEnd"/>
            <w:r w:rsidRPr="00C043B7">
              <w:rPr>
                <w:rFonts w:ascii="Times New Roman" w:hAnsi="Times New Roman" w:cs="Times New Roman"/>
                <w:sz w:val="24"/>
                <w:szCs w:val="24"/>
              </w:rPr>
              <w:t xml:space="preserve">” amatu saraksts). Nosakot korupcijas riskam pakļautos amatus, jāņem vērā, ka korupcijas riskam pakļauti tie amati, kuru pilnvaras ir saistītas, </w:t>
            </w:r>
            <w:r w:rsidRPr="005524AF">
              <w:rPr>
                <w:rFonts w:ascii="Times New Roman" w:hAnsi="Times New Roman" w:cs="Times New Roman"/>
                <w:sz w:val="24"/>
                <w:szCs w:val="24"/>
                <w:u w:val="single"/>
              </w:rPr>
              <w:t xml:space="preserve">piemēram, </w:t>
            </w:r>
            <w:r w:rsidRPr="00C043B7">
              <w:rPr>
                <w:rFonts w:ascii="Times New Roman" w:hAnsi="Times New Roman" w:cs="Times New Roman"/>
                <w:sz w:val="24"/>
                <w:szCs w:val="24"/>
              </w:rPr>
              <w:t>ar:</w:t>
            </w:r>
          </w:p>
          <w:p w14:paraId="52694D55" w14:textId="77777777" w:rsidR="008419DC" w:rsidRPr="00C043B7" w:rsidRDefault="008419DC" w:rsidP="008419DC">
            <w:pPr>
              <w:numPr>
                <w:ilvl w:val="2"/>
                <w:numId w:val="38"/>
              </w:numPr>
              <w:spacing w:after="0" w:line="240" w:lineRule="auto"/>
              <w:ind w:right="113"/>
              <w:jc w:val="both"/>
              <w:rPr>
                <w:rFonts w:ascii="Times New Roman" w:hAnsi="Times New Roman" w:cs="Times New Roman"/>
                <w:sz w:val="24"/>
                <w:szCs w:val="24"/>
              </w:rPr>
            </w:pPr>
            <w:r w:rsidRPr="00C043B7">
              <w:rPr>
                <w:rFonts w:ascii="Times New Roman" w:hAnsi="Times New Roman" w:cs="Times New Roman"/>
                <w:sz w:val="24"/>
                <w:szCs w:val="24"/>
              </w:rPr>
              <w:t xml:space="preserve">privātpersonu darbības uzraudzību vai kontroli, it </w:t>
            </w:r>
            <w:r w:rsidRPr="00C043B7">
              <w:rPr>
                <w:rFonts w:ascii="Times New Roman" w:hAnsi="Times New Roman" w:cs="Times New Roman"/>
                <w:sz w:val="24"/>
                <w:szCs w:val="24"/>
              </w:rPr>
              <w:lastRenderedPageBreak/>
              <w:t>īpaši komercdarbības jomā, nonākot tiešā saskarsmē ar privātpersonu, kā arī veicot privātpersonu darbības uzraudzību un kontroli ārpus institūcijas;</w:t>
            </w:r>
          </w:p>
          <w:p w14:paraId="2CC8A2E7" w14:textId="778CAA1E" w:rsidR="008419DC" w:rsidRPr="00C043B7" w:rsidRDefault="008419DC" w:rsidP="008419DC">
            <w:pPr>
              <w:numPr>
                <w:ilvl w:val="2"/>
                <w:numId w:val="38"/>
              </w:numPr>
              <w:spacing w:after="0" w:line="240" w:lineRule="auto"/>
              <w:ind w:right="113"/>
              <w:jc w:val="both"/>
              <w:rPr>
                <w:rFonts w:ascii="Times New Roman" w:hAnsi="Times New Roman" w:cs="Times New Roman"/>
                <w:sz w:val="24"/>
                <w:szCs w:val="24"/>
              </w:rPr>
            </w:pPr>
            <w:r w:rsidRPr="00C043B7">
              <w:rPr>
                <w:rFonts w:ascii="Times New Roman" w:hAnsi="Times New Roman" w:cs="Times New Roman"/>
                <w:sz w:val="24"/>
                <w:szCs w:val="24"/>
              </w:rPr>
              <w:t>rīcību ar publiskas personas institūcijas finanšu līdzekļiem un mantu, tai skaitā amata pienākumu izpildi publisko iepirkumu, sabiedrisko pakalpojumu sniedzēja iepirkuma un publiskās</w:t>
            </w:r>
            <w:r w:rsidR="00E400FC">
              <w:rPr>
                <w:rFonts w:ascii="Times New Roman" w:hAnsi="Times New Roman" w:cs="Times New Roman"/>
                <w:sz w:val="24"/>
                <w:szCs w:val="24"/>
              </w:rPr>
              <w:t xml:space="preserve"> un</w:t>
            </w:r>
            <w:r w:rsidRPr="00C043B7">
              <w:rPr>
                <w:rFonts w:ascii="Times New Roman" w:hAnsi="Times New Roman" w:cs="Times New Roman"/>
                <w:sz w:val="24"/>
                <w:szCs w:val="24"/>
              </w:rPr>
              <w:t xml:space="preserve"> privātās partnerības jomā, lēmumu par materiāl</w:t>
            </w:r>
            <w:r w:rsidR="00E400FC">
              <w:rPr>
                <w:rFonts w:ascii="Times New Roman" w:hAnsi="Times New Roman" w:cs="Times New Roman"/>
                <w:sz w:val="24"/>
                <w:szCs w:val="24"/>
              </w:rPr>
              <w:t>o</w:t>
            </w:r>
            <w:r w:rsidRPr="00C043B7">
              <w:rPr>
                <w:rFonts w:ascii="Times New Roman" w:hAnsi="Times New Roman" w:cs="Times New Roman"/>
                <w:sz w:val="24"/>
                <w:szCs w:val="24"/>
              </w:rPr>
              <w:t xml:space="preserve"> vērtību sadali, pārdali, atsavināšanu vai izlietojumu, mantas atsavināšanu vai iznomāšanu, iegūšanu īpašumā;</w:t>
            </w:r>
          </w:p>
          <w:p w14:paraId="281E3669" w14:textId="6A672753" w:rsidR="008419DC" w:rsidRPr="00C043B7" w:rsidRDefault="008419DC" w:rsidP="008419DC">
            <w:pPr>
              <w:numPr>
                <w:ilvl w:val="2"/>
                <w:numId w:val="38"/>
              </w:numPr>
              <w:spacing w:after="0" w:line="240" w:lineRule="auto"/>
              <w:ind w:right="113"/>
              <w:jc w:val="both"/>
              <w:rPr>
                <w:rFonts w:ascii="Times New Roman" w:hAnsi="Times New Roman" w:cs="Times New Roman"/>
                <w:sz w:val="24"/>
                <w:szCs w:val="24"/>
              </w:rPr>
            </w:pPr>
            <w:r w:rsidRPr="00C043B7">
              <w:rPr>
                <w:rFonts w:ascii="Times New Roman" w:hAnsi="Times New Roman" w:cs="Times New Roman"/>
                <w:sz w:val="24"/>
                <w:szCs w:val="24"/>
              </w:rPr>
              <w:t>darbīb</w:t>
            </w:r>
            <w:r w:rsidR="00E400FC">
              <w:rPr>
                <w:rFonts w:ascii="Times New Roman" w:hAnsi="Times New Roman" w:cs="Times New Roman"/>
                <w:sz w:val="24"/>
                <w:szCs w:val="24"/>
              </w:rPr>
              <w:t>ām</w:t>
            </w:r>
            <w:r w:rsidRPr="00C043B7">
              <w:rPr>
                <w:rFonts w:ascii="Times New Roman" w:hAnsi="Times New Roman" w:cs="Times New Roman"/>
                <w:sz w:val="24"/>
                <w:szCs w:val="24"/>
              </w:rPr>
              <w:t xml:space="preserve"> ar skaidru naudu vai citiem vērtīgiem aktīviem (ja šādas darbības institūcijā tiek veiktas);</w:t>
            </w:r>
          </w:p>
          <w:p w14:paraId="2A1A205B" w14:textId="125C80AF" w:rsidR="008419DC" w:rsidRPr="00C043B7" w:rsidRDefault="008419DC" w:rsidP="008419DC">
            <w:pPr>
              <w:numPr>
                <w:ilvl w:val="2"/>
                <w:numId w:val="38"/>
              </w:numPr>
              <w:spacing w:after="0" w:line="240" w:lineRule="auto"/>
              <w:ind w:right="113"/>
              <w:jc w:val="both"/>
              <w:rPr>
                <w:rFonts w:ascii="Times New Roman" w:hAnsi="Times New Roman" w:cs="Times New Roman"/>
                <w:sz w:val="24"/>
                <w:szCs w:val="24"/>
              </w:rPr>
            </w:pPr>
            <w:r w:rsidRPr="00C043B7">
              <w:rPr>
                <w:rFonts w:ascii="Times New Roman" w:hAnsi="Times New Roman" w:cs="Times New Roman"/>
                <w:sz w:val="24"/>
                <w:szCs w:val="24"/>
              </w:rPr>
              <w:t xml:space="preserve">citām personām (ārpus institūcijas </w:t>
            </w:r>
            <w:r w:rsidR="00E400FC">
              <w:rPr>
                <w:rFonts w:ascii="Times New Roman" w:hAnsi="Times New Roman" w:cs="Times New Roman"/>
                <w:sz w:val="24"/>
                <w:szCs w:val="24"/>
              </w:rPr>
              <w:t>vai</w:t>
            </w:r>
            <w:r w:rsidRPr="00C043B7">
              <w:rPr>
                <w:rFonts w:ascii="Times New Roman" w:hAnsi="Times New Roman" w:cs="Times New Roman"/>
                <w:sz w:val="24"/>
                <w:szCs w:val="24"/>
              </w:rPr>
              <w:t xml:space="preserve"> koncerna) saistošu lēmumu un citu tiesību aktu sagatavošanu un pieņemšanu (piemēram, administratīvie akti, it īpaši atļauju, licenču, sociālās palīdzības un citu tiesību piešķiršana, nodokļu un nodevu administrēšana);</w:t>
            </w:r>
          </w:p>
          <w:p w14:paraId="4757FE1A" w14:textId="01C171C6" w:rsidR="008419DC" w:rsidRPr="00C043B7" w:rsidRDefault="008419DC" w:rsidP="008419DC">
            <w:pPr>
              <w:numPr>
                <w:ilvl w:val="2"/>
                <w:numId w:val="38"/>
              </w:numPr>
              <w:spacing w:after="0" w:line="240" w:lineRule="auto"/>
              <w:ind w:right="113"/>
              <w:jc w:val="both"/>
              <w:rPr>
                <w:rFonts w:ascii="Times New Roman" w:hAnsi="Times New Roman" w:cs="Times New Roman"/>
                <w:sz w:val="24"/>
                <w:szCs w:val="24"/>
              </w:rPr>
            </w:pPr>
            <w:r w:rsidRPr="00C043B7">
              <w:rPr>
                <w:rFonts w:ascii="Times New Roman" w:hAnsi="Times New Roman" w:cs="Times New Roman"/>
                <w:sz w:val="24"/>
                <w:szCs w:val="24"/>
              </w:rPr>
              <w:t>izmeklēšanas un sodīšanas pilnvaru realizāciju, operatīvās darbības veikšan</w:t>
            </w:r>
            <w:r w:rsidR="00E400FC">
              <w:rPr>
                <w:rFonts w:ascii="Times New Roman" w:hAnsi="Times New Roman" w:cs="Times New Roman"/>
                <w:sz w:val="24"/>
                <w:szCs w:val="24"/>
              </w:rPr>
              <w:t>u</w:t>
            </w:r>
            <w:r w:rsidRPr="00C043B7">
              <w:rPr>
                <w:rFonts w:ascii="Times New Roman" w:hAnsi="Times New Roman" w:cs="Times New Roman"/>
                <w:sz w:val="24"/>
                <w:szCs w:val="24"/>
              </w:rPr>
              <w:t>;</w:t>
            </w:r>
          </w:p>
          <w:p w14:paraId="15BC0A62" w14:textId="77777777" w:rsidR="008419DC" w:rsidRPr="00C043B7" w:rsidRDefault="008419DC" w:rsidP="008419DC">
            <w:pPr>
              <w:numPr>
                <w:ilvl w:val="2"/>
                <w:numId w:val="38"/>
              </w:numPr>
              <w:spacing w:after="0" w:line="240" w:lineRule="auto"/>
              <w:ind w:right="113"/>
              <w:jc w:val="both"/>
              <w:rPr>
                <w:rFonts w:ascii="Times New Roman" w:hAnsi="Times New Roman" w:cs="Times New Roman"/>
                <w:sz w:val="24"/>
                <w:szCs w:val="24"/>
              </w:rPr>
            </w:pPr>
            <w:r w:rsidRPr="00C043B7">
              <w:rPr>
                <w:rFonts w:ascii="Times New Roman" w:hAnsi="Times New Roman" w:cs="Times New Roman"/>
                <w:sz w:val="24"/>
                <w:szCs w:val="24"/>
              </w:rPr>
              <w:t>rīcību ar valsts noslēpumu saturošu informāciju un rīcību ar ierobežotas pieejamības informāciju;</w:t>
            </w:r>
          </w:p>
          <w:p w14:paraId="69E70A65" w14:textId="77777777" w:rsidR="008419DC" w:rsidRPr="00C043B7" w:rsidRDefault="008419DC" w:rsidP="008419DC">
            <w:pPr>
              <w:numPr>
                <w:ilvl w:val="2"/>
                <w:numId w:val="38"/>
              </w:numPr>
              <w:spacing w:after="0" w:line="240" w:lineRule="auto"/>
              <w:ind w:right="113"/>
              <w:jc w:val="both"/>
              <w:rPr>
                <w:rFonts w:ascii="Times New Roman" w:hAnsi="Times New Roman" w:cs="Times New Roman"/>
                <w:sz w:val="24"/>
                <w:szCs w:val="24"/>
              </w:rPr>
            </w:pPr>
            <w:r w:rsidRPr="00C043B7">
              <w:rPr>
                <w:rFonts w:ascii="Times New Roman" w:hAnsi="Times New Roman" w:cs="Times New Roman"/>
                <w:sz w:val="24"/>
                <w:szCs w:val="24"/>
              </w:rPr>
              <w:t>normatīvo aktu izstrādi un pieņemšanu.</w:t>
            </w:r>
          </w:p>
          <w:p w14:paraId="7B1F0363" w14:textId="77777777" w:rsidR="008419DC" w:rsidRPr="00C043B7" w:rsidRDefault="008419DC" w:rsidP="00FD5A18">
            <w:pPr>
              <w:spacing w:after="0" w:line="240" w:lineRule="auto"/>
              <w:ind w:left="113" w:right="113" w:firstLine="340"/>
              <w:jc w:val="both"/>
              <w:rPr>
                <w:rFonts w:ascii="Times New Roman" w:hAnsi="Times New Roman" w:cs="Times New Roman"/>
                <w:sz w:val="24"/>
                <w:szCs w:val="24"/>
              </w:rPr>
            </w:pPr>
          </w:p>
          <w:p w14:paraId="5F6BBDFC" w14:textId="71B6C876" w:rsidR="008419DC" w:rsidRPr="00C043B7" w:rsidRDefault="008419DC" w:rsidP="008419DC">
            <w:pPr>
              <w:spacing w:after="0" w:line="240" w:lineRule="auto"/>
              <w:ind w:right="113"/>
              <w:jc w:val="both"/>
              <w:rPr>
                <w:rFonts w:ascii="Times New Roman" w:hAnsi="Times New Roman" w:cs="Times New Roman"/>
                <w:sz w:val="24"/>
                <w:szCs w:val="24"/>
              </w:rPr>
            </w:pPr>
            <w:r w:rsidRPr="00C043B7">
              <w:rPr>
                <w:rFonts w:ascii="Times New Roman" w:hAnsi="Times New Roman" w:cs="Times New Roman"/>
                <w:sz w:val="24"/>
                <w:szCs w:val="24"/>
              </w:rPr>
              <w:t xml:space="preserve">       Nosakot korupcijas riskam pakļautos amatus, jāņem vērā, ka korupcijas riska iestāšanās varbūtība pastāv, ja, pildot amata pienākumus:</w:t>
            </w:r>
          </w:p>
          <w:p w14:paraId="43645B84" w14:textId="77777777" w:rsidR="008419DC" w:rsidRPr="00C043B7" w:rsidRDefault="008419DC" w:rsidP="008419DC">
            <w:pPr>
              <w:numPr>
                <w:ilvl w:val="2"/>
                <w:numId w:val="38"/>
              </w:numPr>
              <w:spacing w:after="0" w:line="240" w:lineRule="auto"/>
              <w:ind w:right="113"/>
              <w:jc w:val="both"/>
              <w:rPr>
                <w:rFonts w:ascii="Times New Roman" w:hAnsi="Times New Roman" w:cs="Times New Roman"/>
                <w:sz w:val="24"/>
                <w:szCs w:val="24"/>
              </w:rPr>
            </w:pPr>
            <w:r w:rsidRPr="00C043B7">
              <w:rPr>
                <w:rFonts w:ascii="Times New Roman" w:hAnsi="Times New Roman" w:cs="Times New Roman"/>
                <w:sz w:val="24"/>
                <w:szCs w:val="24"/>
              </w:rPr>
              <w:t>darbiniekam ir iespēja rīkoties vienpersoniski, tai skaitā pienākumu izpildē nav nodrošināta atbildības dalīšana, nošķirot lēmuma sagatavošanu no lēmuma pieņemšanas;</w:t>
            </w:r>
          </w:p>
          <w:p w14:paraId="7C17B12A" w14:textId="77777777" w:rsidR="008419DC" w:rsidRPr="00C043B7" w:rsidRDefault="008419DC" w:rsidP="008419DC">
            <w:pPr>
              <w:numPr>
                <w:ilvl w:val="2"/>
                <w:numId w:val="38"/>
              </w:numPr>
              <w:spacing w:after="0" w:line="240" w:lineRule="auto"/>
              <w:ind w:right="113"/>
              <w:jc w:val="both"/>
              <w:rPr>
                <w:rFonts w:ascii="Times New Roman" w:hAnsi="Times New Roman" w:cs="Times New Roman"/>
                <w:sz w:val="24"/>
                <w:szCs w:val="24"/>
              </w:rPr>
            </w:pPr>
            <w:r w:rsidRPr="00C043B7">
              <w:rPr>
                <w:rFonts w:ascii="Times New Roman" w:hAnsi="Times New Roman" w:cs="Times New Roman"/>
                <w:sz w:val="24"/>
                <w:szCs w:val="24"/>
              </w:rPr>
              <w:t>darbiniekam ir piešķirta rīcības brīvība;</w:t>
            </w:r>
          </w:p>
          <w:p w14:paraId="33F48CC6" w14:textId="77777777" w:rsidR="008419DC" w:rsidRPr="00C043B7" w:rsidRDefault="008419DC" w:rsidP="008419DC">
            <w:pPr>
              <w:numPr>
                <w:ilvl w:val="2"/>
                <w:numId w:val="38"/>
              </w:numPr>
              <w:spacing w:after="0" w:line="240" w:lineRule="auto"/>
              <w:ind w:right="113"/>
              <w:jc w:val="both"/>
              <w:rPr>
                <w:rFonts w:ascii="Times New Roman" w:hAnsi="Times New Roman" w:cs="Times New Roman"/>
                <w:sz w:val="24"/>
                <w:szCs w:val="24"/>
              </w:rPr>
            </w:pPr>
            <w:r w:rsidRPr="00C043B7">
              <w:rPr>
                <w:rFonts w:ascii="Times New Roman" w:hAnsi="Times New Roman" w:cs="Times New Roman"/>
                <w:sz w:val="24"/>
                <w:szCs w:val="24"/>
              </w:rPr>
              <w:t xml:space="preserve">veiktās darbības netiek dokumentētas t.i., noformētas rakstiski un to veikšanas pamatojumu nav iespējams pārbaudīt; </w:t>
            </w:r>
          </w:p>
          <w:p w14:paraId="47C94CCA" w14:textId="77777777" w:rsidR="008419DC" w:rsidRPr="00C043B7" w:rsidRDefault="008419DC" w:rsidP="008419DC">
            <w:pPr>
              <w:numPr>
                <w:ilvl w:val="2"/>
                <w:numId w:val="38"/>
              </w:numPr>
              <w:spacing w:after="0" w:line="240" w:lineRule="auto"/>
              <w:ind w:right="113"/>
              <w:jc w:val="both"/>
              <w:rPr>
                <w:rFonts w:ascii="Times New Roman" w:hAnsi="Times New Roman" w:cs="Times New Roman"/>
                <w:sz w:val="24"/>
                <w:szCs w:val="24"/>
              </w:rPr>
            </w:pPr>
            <w:r w:rsidRPr="00C043B7">
              <w:rPr>
                <w:rFonts w:ascii="Times New Roman" w:hAnsi="Times New Roman" w:cs="Times New Roman"/>
                <w:sz w:val="24"/>
                <w:szCs w:val="24"/>
              </w:rPr>
              <w:t>nepastāv vai netiek veikta regulāra lēmumu (rīcības) pēckontrole;</w:t>
            </w:r>
          </w:p>
          <w:p w14:paraId="1093B874" w14:textId="77777777" w:rsidR="008419DC" w:rsidRPr="00C043B7" w:rsidRDefault="008419DC" w:rsidP="008419DC">
            <w:pPr>
              <w:numPr>
                <w:ilvl w:val="2"/>
                <w:numId w:val="38"/>
              </w:numPr>
              <w:spacing w:after="0" w:line="240" w:lineRule="auto"/>
              <w:ind w:right="113"/>
              <w:jc w:val="both"/>
              <w:rPr>
                <w:rFonts w:ascii="Times New Roman" w:hAnsi="Times New Roman" w:cs="Times New Roman"/>
                <w:sz w:val="24"/>
                <w:szCs w:val="24"/>
              </w:rPr>
            </w:pPr>
            <w:r w:rsidRPr="00C043B7">
              <w:rPr>
                <w:rFonts w:ascii="Times New Roman" w:hAnsi="Times New Roman" w:cs="Times New Roman"/>
                <w:sz w:val="24"/>
                <w:szCs w:val="24"/>
              </w:rPr>
              <w:t>nav paredzēta atbildība par pieļautajiem pārkāpumiem;</w:t>
            </w:r>
          </w:p>
          <w:p w14:paraId="47409C0B" w14:textId="77777777" w:rsidR="008419DC" w:rsidRPr="00C043B7" w:rsidRDefault="008419DC" w:rsidP="008419DC">
            <w:pPr>
              <w:numPr>
                <w:ilvl w:val="2"/>
                <w:numId w:val="38"/>
              </w:numPr>
              <w:spacing w:after="0" w:line="240" w:lineRule="auto"/>
              <w:ind w:right="113"/>
              <w:jc w:val="both"/>
              <w:rPr>
                <w:rFonts w:ascii="Times New Roman" w:hAnsi="Times New Roman" w:cs="Times New Roman"/>
                <w:sz w:val="24"/>
                <w:szCs w:val="24"/>
              </w:rPr>
            </w:pPr>
            <w:r w:rsidRPr="00C043B7">
              <w:rPr>
                <w:rFonts w:ascii="Times New Roman" w:hAnsi="Times New Roman" w:cs="Times New Roman"/>
                <w:sz w:val="24"/>
                <w:szCs w:val="24"/>
              </w:rPr>
              <w:t>netiek veikta vai nav iespējama video novērošana vai audio ieraksta veikšana;</w:t>
            </w:r>
          </w:p>
          <w:p w14:paraId="2F9D462B" w14:textId="7D922CA2" w:rsidR="00E00BB3" w:rsidRPr="00C043B7" w:rsidRDefault="008419DC" w:rsidP="008419DC">
            <w:pPr>
              <w:numPr>
                <w:ilvl w:val="2"/>
                <w:numId w:val="38"/>
              </w:numPr>
              <w:spacing w:after="0" w:line="240" w:lineRule="auto"/>
              <w:ind w:right="113"/>
              <w:jc w:val="both"/>
              <w:rPr>
                <w:rFonts w:ascii="Times New Roman" w:hAnsi="Times New Roman" w:cs="Times New Roman"/>
                <w:sz w:val="24"/>
                <w:szCs w:val="24"/>
              </w:rPr>
            </w:pPr>
            <w:r w:rsidRPr="00C043B7">
              <w:rPr>
                <w:rFonts w:ascii="Times New Roman" w:hAnsi="Times New Roman" w:cs="Times New Roman"/>
                <w:sz w:val="24"/>
                <w:szCs w:val="24"/>
              </w:rPr>
              <w:t>uzraudzības un kontroles funkciju īstenošana attiecībā uz privātpersonām notiek ārpus institūcijas</w:t>
            </w:r>
            <w:r w:rsidR="001C3A85">
              <w:rPr>
                <w:rFonts w:ascii="Times New Roman" w:hAnsi="Times New Roman" w:cs="Times New Roman"/>
                <w:sz w:val="24"/>
                <w:szCs w:val="24"/>
              </w:rPr>
              <w:t xml:space="preserve"> u.c.</w:t>
            </w:r>
          </w:p>
          <w:p w14:paraId="59EEA7E0" w14:textId="77777777" w:rsidR="00892F69" w:rsidRPr="00C043B7" w:rsidRDefault="00892F69" w:rsidP="00FD5A18">
            <w:pPr>
              <w:spacing w:after="0" w:line="240" w:lineRule="auto"/>
              <w:ind w:left="113" w:right="113" w:firstLine="340"/>
              <w:jc w:val="both"/>
              <w:rPr>
                <w:rFonts w:ascii="Times New Roman" w:hAnsi="Times New Roman" w:cs="Times New Roman"/>
                <w:sz w:val="24"/>
                <w:szCs w:val="24"/>
              </w:rPr>
            </w:pPr>
          </w:p>
          <w:p w14:paraId="33AB11F2" w14:textId="1F788D7E" w:rsidR="00892F69" w:rsidRDefault="00E03CB2" w:rsidP="00FD5A18">
            <w:pPr>
              <w:spacing w:after="0" w:line="240" w:lineRule="auto"/>
              <w:ind w:left="113" w:right="113" w:firstLine="340"/>
              <w:jc w:val="both"/>
              <w:rPr>
                <w:rFonts w:ascii="Times New Roman" w:hAnsi="Times New Roman" w:cs="Times New Roman"/>
                <w:sz w:val="24"/>
                <w:szCs w:val="24"/>
              </w:rPr>
            </w:pPr>
            <w:r w:rsidRPr="00C043B7">
              <w:rPr>
                <w:rFonts w:ascii="Times New Roman" w:hAnsi="Times New Roman" w:cs="Times New Roman"/>
                <w:sz w:val="24"/>
                <w:szCs w:val="24"/>
              </w:rPr>
              <w:t>Nosakot korupcijas riskam pakļautos amatus</w:t>
            </w:r>
            <w:r w:rsidR="00E400FC">
              <w:rPr>
                <w:rFonts w:ascii="Times New Roman" w:hAnsi="Times New Roman" w:cs="Times New Roman"/>
                <w:sz w:val="24"/>
                <w:szCs w:val="24"/>
              </w:rPr>
              <w:t>,</w:t>
            </w:r>
            <w:r w:rsidRPr="00C043B7">
              <w:rPr>
                <w:rFonts w:ascii="Times New Roman" w:hAnsi="Times New Roman" w:cs="Times New Roman"/>
                <w:sz w:val="24"/>
                <w:szCs w:val="24"/>
              </w:rPr>
              <w:t xml:space="preserve"> var apzināt </w:t>
            </w:r>
            <w:r w:rsidRPr="00C043B7">
              <w:rPr>
                <w:rFonts w:ascii="Times New Roman" w:hAnsi="Times New Roman" w:cs="Times New Roman"/>
                <w:sz w:val="24"/>
                <w:szCs w:val="24"/>
              </w:rPr>
              <w:lastRenderedPageBreak/>
              <w:t>darbiniekus, kuri ir korupcijas riska grupā, ņemot vērā zināmos darbinieka personību raksturojošos apstākļus un faktorus (piemēram, iepriekšējos pārkāpumus, potenciālos interešu konfliktus, personisko attieksmi u.c.), kas var veicināt nonākšanu korupcijas riska situācijā.</w:t>
            </w:r>
          </w:p>
          <w:p w14:paraId="39A3FA42" w14:textId="4D16C8F7" w:rsidR="003A0243" w:rsidRPr="00790A64" w:rsidRDefault="003A0243" w:rsidP="00790A64">
            <w:pPr>
              <w:spacing w:after="0" w:line="240" w:lineRule="auto"/>
              <w:ind w:left="113" w:right="113" w:firstLine="340"/>
              <w:jc w:val="both"/>
              <w:rPr>
                <w:rFonts w:ascii="Times New Roman" w:hAnsi="Times New Roman" w:cs="Times New Roman"/>
                <w:sz w:val="24"/>
                <w:szCs w:val="24"/>
              </w:rPr>
            </w:pPr>
            <w:r w:rsidRPr="00790A64">
              <w:rPr>
                <w:rFonts w:ascii="Times New Roman" w:hAnsi="Times New Roman" w:cs="Times New Roman"/>
                <w:sz w:val="24"/>
                <w:szCs w:val="24"/>
              </w:rPr>
              <w:t xml:space="preserve">Noteikumu projekta 7.2.apakšpunkts nosaka, ka </w:t>
            </w:r>
            <w:r w:rsidR="00F41801" w:rsidRPr="00F41801">
              <w:rPr>
                <w:rFonts w:ascii="Times New Roman" w:eastAsia="Times New Roman" w:hAnsi="Times New Roman" w:cs="Times New Roman"/>
                <w:sz w:val="24"/>
                <w:szCs w:val="24"/>
              </w:rPr>
              <w:t>ne retāk k</w:t>
            </w:r>
            <w:r w:rsidR="00F41801">
              <w:rPr>
                <w:rFonts w:ascii="Times New Roman" w:eastAsia="Times New Roman" w:hAnsi="Times New Roman" w:cs="Times New Roman"/>
                <w:sz w:val="24"/>
                <w:szCs w:val="24"/>
              </w:rPr>
              <w:t>ā</w:t>
            </w:r>
            <w:r w:rsidRPr="00790A64">
              <w:rPr>
                <w:rFonts w:ascii="Times New Roman" w:eastAsia="Times New Roman" w:hAnsi="Times New Roman" w:cs="Times New Roman"/>
                <w:sz w:val="24"/>
                <w:szCs w:val="24"/>
              </w:rPr>
              <w:t xml:space="preserve"> reizi trijos gados pārskata šo noteikumu 6.punktā noteikto un izvērtē pasākumu korupcijas riska novēršanai izpildi, īstenoto pasākumu efektivitāti un lietderību, un lemj par izmaiņu nepieciešamību iekšējās kontroles sistēmā, izvērtējot, vai:</w:t>
            </w:r>
          </w:p>
          <w:p w14:paraId="2E9B8190" w14:textId="77777777" w:rsidR="003A0243" w:rsidRDefault="003A0243" w:rsidP="00790A64">
            <w:pPr>
              <w:pStyle w:val="ListParagraph"/>
              <w:numPr>
                <w:ilvl w:val="2"/>
                <w:numId w:val="38"/>
              </w:numPr>
              <w:spacing w:after="0" w:line="240" w:lineRule="auto"/>
              <w:ind w:left="15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īstenojot</w:t>
            </w:r>
            <w:r w:rsidRPr="000A7187">
              <w:rPr>
                <w:rFonts w:ascii="Times New Roman" w:eastAsia="Times New Roman" w:hAnsi="Times New Roman" w:cs="Times New Roman"/>
                <w:sz w:val="24"/>
                <w:szCs w:val="24"/>
              </w:rPr>
              <w:t xml:space="preserve"> attiecīgos pasākumus</w:t>
            </w:r>
            <w:r>
              <w:rPr>
                <w:rFonts w:ascii="Times New Roman" w:eastAsia="Times New Roman" w:hAnsi="Times New Roman" w:cs="Times New Roman"/>
                <w:sz w:val="24"/>
                <w:szCs w:val="24"/>
              </w:rPr>
              <w:t xml:space="preserve"> korupcijas riska novēršanai</w:t>
            </w:r>
            <w:r w:rsidRPr="000A71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korupcijas </w:t>
            </w:r>
            <w:r w:rsidRPr="000A7187">
              <w:rPr>
                <w:rFonts w:ascii="Times New Roman" w:eastAsia="Times New Roman" w:hAnsi="Times New Roman" w:cs="Times New Roman"/>
                <w:sz w:val="24"/>
                <w:szCs w:val="24"/>
              </w:rPr>
              <w:t>riska iespējamība nav palielinājusies, kā arī iespējamais ko</w:t>
            </w:r>
            <w:r>
              <w:rPr>
                <w:rFonts w:ascii="Times New Roman" w:eastAsia="Times New Roman" w:hAnsi="Times New Roman" w:cs="Times New Roman"/>
                <w:sz w:val="24"/>
                <w:szCs w:val="24"/>
              </w:rPr>
              <w:t xml:space="preserve">rupcijas risks </w:t>
            </w:r>
            <w:r w:rsidRPr="000A7187">
              <w:rPr>
                <w:rFonts w:ascii="Times New Roman" w:eastAsia="Times New Roman" w:hAnsi="Times New Roman" w:cs="Times New Roman"/>
                <w:sz w:val="24"/>
                <w:szCs w:val="24"/>
              </w:rPr>
              <w:t>nav iestājies;</w:t>
            </w:r>
          </w:p>
          <w:p w14:paraId="44DC3506" w14:textId="1EC630DB" w:rsidR="00892F69" w:rsidRPr="00790A64" w:rsidRDefault="003A0243" w:rsidP="00790A64">
            <w:pPr>
              <w:pStyle w:val="ListParagraph"/>
              <w:numPr>
                <w:ilvl w:val="2"/>
                <w:numId w:val="38"/>
              </w:numPr>
              <w:spacing w:after="0" w:line="240" w:lineRule="auto"/>
              <w:ind w:left="1571"/>
              <w:jc w:val="both"/>
              <w:rPr>
                <w:rFonts w:ascii="Times New Roman" w:eastAsia="Times New Roman" w:hAnsi="Times New Roman" w:cs="Times New Roman"/>
                <w:sz w:val="24"/>
                <w:szCs w:val="24"/>
              </w:rPr>
            </w:pPr>
            <w:r w:rsidRPr="00790A64">
              <w:rPr>
                <w:rFonts w:ascii="Times New Roman" w:eastAsia="Times New Roman" w:hAnsi="Times New Roman" w:cs="Times New Roman"/>
                <w:sz w:val="24"/>
                <w:szCs w:val="24"/>
              </w:rPr>
              <w:t>noteiktie pasākumi korupcijas riska novēršanai ir veikti lietderīgi, mērķi sasniedzot ar iespējami mazāku resursu (tajā skaitā finanšu) izlietojumu</w:t>
            </w:r>
            <w:r w:rsidR="00B2023C" w:rsidRPr="00790A64">
              <w:rPr>
                <w:rFonts w:ascii="Times New Roman" w:hAnsi="Times New Roman" w:cs="Times New Roman"/>
                <w:sz w:val="24"/>
                <w:szCs w:val="24"/>
              </w:rPr>
              <w:t xml:space="preserve">. </w:t>
            </w:r>
          </w:p>
          <w:p w14:paraId="20A0F199" w14:textId="3B56EC9E" w:rsidR="003A0243" w:rsidRPr="00C043B7" w:rsidRDefault="004A4F86" w:rsidP="00FD5A18">
            <w:pPr>
              <w:spacing w:after="0" w:line="240" w:lineRule="auto"/>
              <w:ind w:left="113" w:right="113" w:firstLine="340"/>
              <w:jc w:val="both"/>
              <w:rPr>
                <w:rFonts w:ascii="Times New Roman" w:hAnsi="Times New Roman" w:cs="Times New Roman"/>
                <w:sz w:val="24"/>
                <w:szCs w:val="24"/>
              </w:rPr>
            </w:pPr>
            <w:r>
              <w:rPr>
                <w:rFonts w:ascii="Times New Roman" w:hAnsi="Times New Roman" w:cs="Times New Roman"/>
                <w:sz w:val="24"/>
                <w:szCs w:val="24"/>
              </w:rPr>
              <w:t xml:space="preserve">Respektīvi, pasākumiem korupcijas riska novēršanai jābūt tādiem, lai </w:t>
            </w:r>
            <w:r w:rsidRPr="00790A64">
              <w:rPr>
                <w:rFonts w:ascii="Times New Roman" w:hAnsi="Times New Roman" w:cs="Times New Roman"/>
                <w:b/>
                <w:sz w:val="24"/>
                <w:szCs w:val="24"/>
              </w:rPr>
              <w:t>mērķi sasniegtu</w:t>
            </w:r>
            <w:r>
              <w:rPr>
                <w:rFonts w:ascii="Times New Roman" w:hAnsi="Times New Roman" w:cs="Times New Roman"/>
                <w:sz w:val="24"/>
                <w:szCs w:val="24"/>
              </w:rPr>
              <w:t xml:space="preserve"> ar mazāku resursu izlietojumu</w:t>
            </w:r>
            <w:r w:rsidR="00964D55">
              <w:rPr>
                <w:rFonts w:ascii="Times New Roman" w:hAnsi="Times New Roman" w:cs="Times New Roman"/>
                <w:sz w:val="24"/>
                <w:szCs w:val="24"/>
              </w:rPr>
              <w:t xml:space="preserve">, ievērojot </w:t>
            </w:r>
            <w:r w:rsidR="00964D55" w:rsidRPr="00964D55">
              <w:rPr>
                <w:rFonts w:ascii="Times New Roman" w:hAnsi="Times New Roman" w:cs="Times New Roman"/>
                <w:sz w:val="24"/>
                <w:szCs w:val="24"/>
              </w:rPr>
              <w:t>Publiskas personas finanšu līdzekļu un mantas izšķērdēšanas novēršanas likum</w:t>
            </w:r>
            <w:r w:rsidR="00964D55">
              <w:rPr>
                <w:rFonts w:ascii="Times New Roman" w:hAnsi="Times New Roman" w:cs="Times New Roman"/>
                <w:sz w:val="24"/>
                <w:szCs w:val="24"/>
              </w:rPr>
              <w:t>ā noteikto.</w:t>
            </w:r>
          </w:p>
          <w:p w14:paraId="79966EBD" w14:textId="4E860D91" w:rsidR="00FE41E7" w:rsidRPr="00790A64" w:rsidRDefault="00512CC6" w:rsidP="00C043B7">
            <w:pPr>
              <w:spacing w:after="0" w:line="240" w:lineRule="auto"/>
              <w:ind w:left="113" w:right="113" w:firstLine="340"/>
              <w:jc w:val="both"/>
              <w:rPr>
                <w:rFonts w:ascii="Times New Roman" w:hAnsi="Times New Roman" w:cs="Times New Roman"/>
                <w:sz w:val="24"/>
                <w:szCs w:val="24"/>
              </w:rPr>
            </w:pPr>
            <w:r w:rsidRPr="00790A64">
              <w:rPr>
                <w:rFonts w:ascii="Times New Roman" w:hAnsi="Times New Roman" w:cs="Times New Roman"/>
                <w:b/>
                <w:sz w:val="24"/>
                <w:szCs w:val="24"/>
                <w:u w:val="single"/>
              </w:rPr>
              <w:t>P</w:t>
            </w:r>
            <w:r w:rsidR="00B77307" w:rsidRPr="00790A64">
              <w:rPr>
                <w:rFonts w:ascii="Times New Roman" w:hAnsi="Times New Roman" w:cs="Times New Roman"/>
                <w:b/>
                <w:sz w:val="24"/>
                <w:szCs w:val="24"/>
                <w:u w:val="single"/>
              </w:rPr>
              <w:t>retkorupcijas pasākumu</w:t>
            </w:r>
            <w:r w:rsidRPr="00790A64">
              <w:rPr>
                <w:rFonts w:ascii="Times New Roman" w:hAnsi="Times New Roman" w:cs="Times New Roman"/>
                <w:b/>
                <w:sz w:val="24"/>
                <w:szCs w:val="24"/>
                <w:u w:val="single"/>
              </w:rPr>
              <w:t xml:space="preserve"> </w:t>
            </w:r>
            <w:r w:rsidR="00B77307" w:rsidRPr="00790A64">
              <w:rPr>
                <w:rFonts w:ascii="Times New Roman" w:hAnsi="Times New Roman" w:cs="Times New Roman"/>
                <w:b/>
                <w:sz w:val="24"/>
                <w:szCs w:val="24"/>
                <w:u w:val="single"/>
              </w:rPr>
              <w:t xml:space="preserve">pārskatīšana </w:t>
            </w:r>
            <w:r w:rsidRPr="00790A64">
              <w:rPr>
                <w:rFonts w:ascii="Times New Roman" w:hAnsi="Times New Roman" w:cs="Times New Roman"/>
                <w:b/>
                <w:sz w:val="24"/>
                <w:szCs w:val="24"/>
                <w:u w:val="single"/>
              </w:rPr>
              <w:t>spēs nodrošināt, ka ir ieviesti efektīvi un lietderīgi korupcijas</w:t>
            </w:r>
            <w:r w:rsidR="004A6DCE" w:rsidRPr="00790A64">
              <w:rPr>
                <w:rFonts w:ascii="Times New Roman" w:hAnsi="Times New Roman" w:cs="Times New Roman"/>
                <w:b/>
                <w:sz w:val="24"/>
                <w:szCs w:val="24"/>
                <w:u w:val="single"/>
              </w:rPr>
              <w:t xml:space="preserve"> risku</w:t>
            </w:r>
            <w:r w:rsidRPr="00790A64">
              <w:rPr>
                <w:rFonts w:ascii="Times New Roman" w:hAnsi="Times New Roman" w:cs="Times New Roman"/>
                <w:b/>
                <w:sz w:val="24"/>
                <w:szCs w:val="24"/>
                <w:u w:val="single"/>
              </w:rPr>
              <w:t xml:space="preserve"> mazinošie pasākumi.</w:t>
            </w:r>
            <w:r w:rsidRPr="00790A64">
              <w:rPr>
                <w:rFonts w:ascii="Times New Roman" w:hAnsi="Times New Roman" w:cs="Times New Roman"/>
                <w:sz w:val="24"/>
                <w:szCs w:val="24"/>
              </w:rPr>
              <w:t xml:space="preserve"> Piemēram,  pārskatot korupcijas riskus un attiecīgi tā mazināšanai noteiktos pasākumus, var konstatēt, </w:t>
            </w:r>
            <w:r w:rsidR="00FE41E7" w:rsidRPr="00790A64">
              <w:rPr>
                <w:rFonts w:ascii="Times New Roman" w:hAnsi="Times New Roman" w:cs="Times New Roman"/>
                <w:sz w:val="24"/>
                <w:szCs w:val="24"/>
              </w:rPr>
              <w:t>vai</w:t>
            </w:r>
            <w:r w:rsidRPr="00790A64">
              <w:rPr>
                <w:rFonts w:ascii="Times New Roman" w:hAnsi="Times New Roman" w:cs="Times New Roman"/>
                <w:sz w:val="24"/>
                <w:szCs w:val="24"/>
              </w:rPr>
              <w:t xml:space="preserve"> identificētais risks ir būtiski samazinājies</w:t>
            </w:r>
            <w:r w:rsidR="004A6DCE" w:rsidRPr="00790A64">
              <w:rPr>
                <w:rFonts w:ascii="Times New Roman" w:hAnsi="Times New Roman" w:cs="Times New Roman"/>
                <w:sz w:val="24"/>
                <w:szCs w:val="24"/>
              </w:rPr>
              <w:t>,</w:t>
            </w:r>
            <w:r w:rsidRPr="00790A64">
              <w:rPr>
                <w:rFonts w:ascii="Times New Roman" w:hAnsi="Times New Roman" w:cs="Times New Roman"/>
                <w:sz w:val="24"/>
                <w:szCs w:val="24"/>
              </w:rPr>
              <w:t xml:space="preserve"> un var atteikties no kādu pasākumu veikšanas, tādējādi ietaupot institūcijas resursus</w:t>
            </w:r>
            <w:r w:rsidR="00FE41E7" w:rsidRPr="00790A64">
              <w:rPr>
                <w:rFonts w:ascii="Times New Roman" w:hAnsi="Times New Roman" w:cs="Times New Roman"/>
                <w:sz w:val="24"/>
                <w:szCs w:val="24"/>
              </w:rPr>
              <w:t>.</w:t>
            </w:r>
          </w:p>
          <w:p w14:paraId="4EEB054A" w14:textId="69FA78B3" w:rsidR="00892F69" w:rsidRPr="00790A64" w:rsidRDefault="00FE41E7" w:rsidP="00C043B7">
            <w:pPr>
              <w:spacing w:after="0" w:line="240" w:lineRule="auto"/>
              <w:ind w:left="113" w:right="113" w:firstLine="340"/>
              <w:jc w:val="both"/>
              <w:rPr>
                <w:rFonts w:ascii="Times New Roman" w:hAnsi="Times New Roman" w:cs="Times New Roman"/>
                <w:sz w:val="24"/>
                <w:szCs w:val="24"/>
              </w:rPr>
            </w:pPr>
            <w:r w:rsidRPr="00790A64">
              <w:rPr>
                <w:rFonts w:ascii="Times New Roman" w:hAnsi="Times New Roman" w:cs="Times New Roman"/>
                <w:sz w:val="24"/>
                <w:szCs w:val="24"/>
              </w:rPr>
              <w:t>Vai arī konstatēt, ka iepriekš noteiktie riski ir samazinājušies, bet radušies to vietā jauni riski, kuru novēršanai nepieciešams ieviest citus novēršanas pasākumus.</w:t>
            </w:r>
          </w:p>
          <w:p w14:paraId="725048A9" w14:textId="0BE53A52" w:rsidR="00823EF4" w:rsidRPr="00C043B7" w:rsidRDefault="00823EF4" w:rsidP="00FD5A18">
            <w:pPr>
              <w:spacing w:after="0" w:line="240" w:lineRule="auto"/>
              <w:ind w:left="113" w:right="113" w:firstLine="340"/>
              <w:jc w:val="both"/>
              <w:rPr>
                <w:rFonts w:ascii="Times New Roman" w:eastAsia="Times New Roman" w:hAnsi="Times New Roman" w:cs="Times New Roman"/>
                <w:sz w:val="24"/>
                <w:szCs w:val="24"/>
              </w:rPr>
            </w:pPr>
            <w:r w:rsidRPr="00C043B7">
              <w:rPr>
                <w:rFonts w:ascii="Times New Roman" w:hAnsi="Times New Roman" w:cs="Times New Roman"/>
                <w:sz w:val="24"/>
                <w:szCs w:val="24"/>
              </w:rPr>
              <w:t xml:space="preserve">Noteikumu projekta </w:t>
            </w:r>
            <w:r w:rsidR="004D10DF">
              <w:rPr>
                <w:rFonts w:ascii="Times New Roman" w:hAnsi="Times New Roman" w:cs="Times New Roman"/>
                <w:b/>
                <w:sz w:val="24"/>
                <w:szCs w:val="24"/>
              </w:rPr>
              <w:t>7</w:t>
            </w:r>
            <w:r w:rsidR="00B67623" w:rsidRPr="00C043B7">
              <w:rPr>
                <w:rFonts w:ascii="Times New Roman" w:hAnsi="Times New Roman" w:cs="Times New Roman"/>
                <w:b/>
                <w:sz w:val="24"/>
                <w:szCs w:val="24"/>
              </w:rPr>
              <w:t>.3</w:t>
            </w:r>
            <w:r w:rsidRPr="00C043B7">
              <w:rPr>
                <w:rFonts w:ascii="Times New Roman" w:hAnsi="Times New Roman" w:cs="Times New Roman"/>
                <w:b/>
                <w:sz w:val="24"/>
                <w:szCs w:val="24"/>
              </w:rPr>
              <w:t>.1.apakšpunkts</w:t>
            </w:r>
            <w:r w:rsidR="001602B9">
              <w:rPr>
                <w:rFonts w:ascii="Times New Roman" w:hAnsi="Times New Roman" w:cs="Times New Roman"/>
                <w:sz w:val="24"/>
                <w:szCs w:val="24"/>
              </w:rPr>
              <w:t xml:space="preserve"> paredz</w:t>
            </w:r>
            <w:r w:rsidRPr="00C043B7">
              <w:rPr>
                <w:rFonts w:ascii="Times New Roman" w:hAnsi="Times New Roman" w:cs="Times New Roman"/>
                <w:sz w:val="24"/>
                <w:szCs w:val="24"/>
              </w:rPr>
              <w:t xml:space="preserve">, ka institūcijas iekšējos normatīvajos aktos ir </w:t>
            </w:r>
            <w:r w:rsidR="001602B9">
              <w:rPr>
                <w:rFonts w:ascii="Times New Roman" w:hAnsi="Times New Roman" w:cs="Times New Roman"/>
                <w:sz w:val="24"/>
                <w:szCs w:val="24"/>
              </w:rPr>
              <w:t xml:space="preserve">jānosaka </w:t>
            </w:r>
            <w:r w:rsidR="001602B9">
              <w:rPr>
                <w:rFonts w:ascii="Times New Roman" w:eastAsia="Times New Roman" w:hAnsi="Times New Roman" w:cs="Times New Roman"/>
                <w:sz w:val="24"/>
                <w:szCs w:val="24"/>
              </w:rPr>
              <w:t xml:space="preserve">kārtība, </w:t>
            </w:r>
            <w:r w:rsidR="001602B9" w:rsidRPr="00EF0DA7">
              <w:rPr>
                <w:rFonts w:ascii="Times New Roman" w:eastAsia="Times New Roman" w:hAnsi="Times New Roman" w:cs="Times New Roman"/>
                <w:sz w:val="24"/>
                <w:szCs w:val="24"/>
              </w:rPr>
              <w:t>kā darbiniekiem ir jārīkojas gadījumos, kad tie vēlas ziņot pa</w:t>
            </w:r>
            <w:r w:rsidR="001602B9">
              <w:rPr>
                <w:rFonts w:ascii="Times New Roman" w:eastAsia="Times New Roman" w:hAnsi="Times New Roman" w:cs="Times New Roman"/>
                <w:sz w:val="24"/>
                <w:szCs w:val="24"/>
              </w:rPr>
              <w:t>r iespējamiem pārkāpumiem (tajā skaitā</w:t>
            </w:r>
            <w:r w:rsidR="001602B9" w:rsidRPr="00EF0DA7">
              <w:rPr>
                <w:rFonts w:ascii="Times New Roman" w:eastAsia="Times New Roman" w:hAnsi="Times New Roman" w:cs="Times New Roman"/>
                <w:sz w:val="24"/>
                <w:szCs w:val="24"/>
              </w:rPr>
              <w:t xml:space="preserve"> iespējamām </w:t>
            </w:r>
            <w:proofErr w:type="spellStart"/>
            <w:r w:rsidR="001602B9" w:rsidRPr="00EF0DA7">
              <w:rPr>
                <w:rFonts w:ascii="Times New Roman" w:eastAsia="Times New Roman" w:hAnsi="Times New Roman" w:cs="Times New Roman"/>
                <w:sz w:val="24"/>
                <w:szCs w:val="24"/>
              </w:rPr>
              <w:t>koruptīvām</w:t>
            </w:r>
            <w:proofErr w:type="spellEnd"/>
            <w:r w:rsidR="001602B9" w:rsidRPr="00EF0DA7">
              <w:rPr>
                <w:rFonts w:ascii="Times New Roman" w:eastAsia="Times New Roman" w:hAnsi="Times New Roman" w:cs="Times New Roman"/>
                <w:sz w:val="24"/>
                <w:szCs w:val="24"/>
              </w:rPr>
              <w:t xml:space="preserve"> darbībām), ietverot pasākumus, lai nodrošinātu ziņotāja anonimitāti un </w:t>
            </w:r>
            <w:r w:rsidR="001602B9">
              <w:rPr>
                <w:rFonts w:ascii="Times New Roman" w:eastAsia="Times New Roman" w:hAnsi="Times New Roman" w:cs="Times New Roman"/>
                <w:sz w:val="24"/>
                <w:szCs w:val="24"/>
              </w:rPr>
              <w:t>aizsardzību</w:t>
            </w:r>
            <w:r w:rsidR="008D0EB7">
              <w:rPr>
                <w:rFonts w:ascii="Times New Roman" w:eastAsia="Times New Roman" w:hAnsi="Times New Roman" w:cs="Times New Roman"/>
                <w:sz w:val="24"/>
                <w:szCs w:val="24"/>
              </w:rPr>
              <w:t>.</w:t>
            </w:r>
            <w:r w:rsidR="00DA3828">
              <w:rPr>
                <w:rFonts w:ascii="Times New Roman" w:eastAsia="Times New Roman" w:hAnsi="Times New Roman" w:cs="Times New Roman"/>
                <w:sz w:val="24"/>
                <w:szCs w:val="24"/>
              </w:rPr>
              <w:t xml:space="preserve"> </w:t>
            </w:r>
            <w:r w:rsidR="005618B9">
              <w:rPr>
                <w:rFonts w:ascii="Times New Roman" w:eastAsia="Times New Roman" w:hAnsi="Times New Roman" w:cs="Times New Roman"/>
                <w:sz w:val="24"/>
                <w:szCs w:val="24"/>
              </w:rPr>
              <w:t>Nosakot minēto kārtību institūcijā, darbinieki būs informēti kā jārīkojas gadījumos, kad tie vēlas ziņot par iespējamiem pārkāpumie</w:t>
            </w:r>
            <w:r w:rsidR="00F11113">
              <w:rPr>
                <w:rFonts w:ascii="Times New Roman" w:eastAsia="Times New Roman" w:hAnsi="Times New Roman" w:cs="Times New Roman"/>
                <w:sz w:val="24"/>
                <w:szCs w:val="24"/>
              </w:rPr>
              <w:t>m, kā arī atgādinās, ka gadījumos</w:t>
            </w:r>
            <w:r w:rsidR="005618B9">
              <w:rPr>
                <w:rFonts w:ascii="Times New Roman" w:eastAsia="Times New Roman" w:hAnsi="Times New Roman" w:cs="Times New Roman"/>
                <w:sz w:val="24"/>
                <w:szCs w:val="24"/>
              </w:rPr>
              <w:t>, kad personas rīcībā ir kāda informācija par iespējamo pārkāpumu institūcijā, ir jāziņo.</w:t>
            </w:r>
          </w:p>
          <w:p w14:paraId="4CDFECAB" w14:textId="63095F9A" w:rsidR="00CA14F4" w:rsidRDefault="00823EF4" w:rsidP="00FD5A18">
            <w:pPr>
              <w:spacing w:after="0" w:line="240" w:lineRule="auto"/>
              <w:ind w:left="113" w:right="113" w:firstLine="340"/>
              <w:jc w:val="both"/>
              <w:rPr>
                <w:rFonts w:ascii="Times New Roman" w:hAnsi="Times New Roman" w:cs="Times New Roman"/>
                <w:sz w:val="24"/>
                <w:szCs w:val="24"/>
              </w:rPr>
            </w:pPr>
            <w:r w:rsidRPr="00C043B7">
              <w:rPr>
                <w:rFonts w:ascii="Times New Roman" w:eastAsia="Times New Roman" w:hAnsi="Times New Roman" w:cs="Times New Roman"/>
                <w:sz w:val="24"/>
                <w:szCs w:val="24"/>
              </w:rPr>
              <w:t xml:space="preserve">Ar iepriekš minēto apakšpunktu </w:t>
            </w:r>
            <w:r w:rsidR="00FC2B90">
              <w:rPr>
                <w:rFonts w:ascii="Times New Roman" w:eastAsia="Times New Roman" w:hAnsi="Times New Roman" w:cs="Times New Roman"/>
                <w:b/>
                <w:sz w:val="24"/>
                <w:szCs w:val="24"/>
                <w:u w:val="single"/>
              </w:rPr>
              <w:t>pastarpināti</w:t>
            </w:r>
            <w:r w:rsidR="00FC2B90" w:rsidRPr="00DA3828">
              <w:rPr>
                <w:rFonts w:ascii="Times New Roman" w:eastAsia="Times New Roman" w:hAnsi="Times New Roman" w:cs="Times New Roman"/>
                <w:b/>
                <w:sz w:val="24"/>
                <w:szCs w:val="24"/>
                <w:u w:val="single"/>
              </w:rPr>
              <w:t xml:space="preserve"> </w:t>
            </w:r>
            <w:r w:rsidRPr="00DA3828">
              <w:rPr>
                <w:rFonts w:ascii="Times New Roman" w:eastAsia="Times New Roman" w:hAnsi="Times New Roman" w:cs="Times New Roman"/>
                <w:b/>
                <w:sz w:val="24"/>
                <w:szCs w:val="24"/>
                <w:u w:val="single"/>
              </w:rPr>
              <w:t>tiks pildīta</w:t>
            </w:r>
            <w:r w:rsidR="00FC2B90">
              <w:rPr>
                <w:rFonts w:ascii="Times New Roman" w:eastAsia="Times New Roman" w:hAnsi="Times New Roman" w:cs="Times New Roman"/>
                <w:b/>
                <w:sz w:val="24"/>
                <w:szCs w:val="24"/>
                <w:u w:val="single"/>
              </w:rPr>
              <w:t>s</w:t>
            </w:r>
            <w:r w:rsidRPr="00C043B7">
              <w:rPr>
                <w:rFonts w:ascii="Times New Roman" w:eastAsia="Times New Roman" w:hAnsi="Times New Roman" w:cs="Times New Roman"/>
                <w:sz w:val="24"/>
                <w:szCs w:val="24"/>
              </w:rPr>
              <w:t xml:space="preserve"> “</w:t>
            </w:r>
            <w:r w:rsidRPr="00C043B7">
              <w:rPr>
                <w:rFonts w:ascii="Times New Roman" w:hAnsi="Times New Roman" w:cs="Times New Roman"/>
                <w:sz w:val="24"/>
                <w:szCs w:val="24"/>
              </w:rPr>
              <w:t>Pas</w:t>
            </w:r>
            <w:r w:rsidR="005F14F2">
              <w:rPr>
                <w:rFonts w:ascii="Times New Roman" w:hAnsi="Times New Roman" w:cs="Times New Roman"/>
                <w:sz w:val="24"/>
                <w:szCs w:val="24"/>
              </w:rPr>
              <w:t>ākumu un uzdevumu plānā OECD Kukuļošanas darba grupas</w:t>
            </w:r>
            <w:r w:rsidRPr="00C043B7">
              <w:rPr>
                <w:rFonts w:ascii="Times New Roman" w:hAnsi="Times New Roman" w:cs="Times New Roman"/>
                <w:sz w:val="24"/>
                <w:szCs w:val="24"/>
              </w:rPr>
              <w:t xml:space="preserve"> 2.fāzes rekomendāciju izpildei” ietvertā</w:t>
            </w:r>
            <w:r w:rsidR="00531F73">
              <w:rPr>
                <w:rFonts w:ascii="Times New Roman" w:hAnsi="Times New Roman" w:cs="Times New Roman"/>
                <w:sz w:val="24"/>
                <w:szCs w:val="24"/>
              </w:rPr>
              <w:t>s</w:t>
            </w:r>
            <w:r w:rsidRPr="00C043B7">
              <w:rPr>
                <w:rFonts w:ascii="Times New Roman" w:hAnsi="Times New Roman" w:cs="Times New Roman"/>
                <w:sz w:val="24"/>
                <w:szCs w:val="24"/>
              </w:rPr>
              <w:t xml:space="preserve"> </w:t>
            </w:r>
            <w:r w:rsidR="00CA14F4">
              <w:rPr>
                <w:rFonts w:ascii="Times New Roman" w:hAnsi="Times New Roman" w:cs="Times New Roman"/>
                <w:sz w:val="24"/>
                <w:szCs w:val="24"/>
              </w:rPr>
              <w:t>:</w:t>
            </w:r>
          </w:p>
          <w:p w14:paraId="6E3C7AE6" w14:textId="40B12873" w:rsidR="00CA14F4" w:rsidRPr="00CA14F4" w:rsidRDefault="00823EF4" w:rsidP="00CA14F4">
            <w:pPr>
              <w:pStyle w:val="ListParagraph"/>
              <w:numPr>
                <w:ilvl w:val="0"/>
                <w:numId w:val="38"/>
              </w:numPr>
              <w:spacing w:after="0" w:line="240" w:lineRule="auto"/>
              <w:ind w:right="113"/>
              <w:jc w:val="both"/>
              <w:rPr>
                <w:rFonts w:ascii="Times New Roman" w:hAnsi="Times New Roman" w:cs="Times New Roman"/>
                <w:i/>
                <w:sz w:val="24"/>
                <w:szCs w:val="24"/>
              </w:rPr>
            </w:pPr>
            <w:r w:rsidRPr="00CA14F4">
              <w:rPr>
                <w:rFonts w:ascii="Times New Roman" w:hAnsi="Times New Roman" w:cs="Times New Roman"/>
                <w:sz w:val="24"/>
                <w:szCs w:val="24"/>
              </w:rPr>
              <w:t xml:space="preserve">(b) rekomendācija, kura nosaka, ka </w:t>
            </w:r>
            <w:r w:rsidRPr="00CA14F4">
              <w:rPr>
                <w:rFonts w:ascii="Times New Roman" w:hAnsi="Times New Roman" w:cs="Times New Roman"/>
                <w:i/>
                <w:sz w:val="24"/>
                <w:szCs w:val="24"/>
              </w:rPr>
              <w:t xml:space="preserve">Latvija īsteno tās </w:t>
            </w:r>
            <w:r w:rsidRPr="00CA14F4">
              <w:rPr>
                <w:rFonts w:ascii="Times New Roman" w:hAnsi="Times New Roman" w:cs="Times New Roman"/>
                <w:i/>
                <w:sz w:val="24"/>
                <w:szCs w:val="24"/>
              </w:rPr>
              <w:lastRenderedPageBreak/>
              <w:t xml:space="preserve">plānu veikt pasākumus, kas noteiktu valsts amatpersonām pienākumu ziņot tieši vai netieši, izmantojot iekšējo mehānismu, tiesībsargājošām iestādēm par aizdomām par ārvalstu amatpersonu kukuļošanu starptautiskos darījumos, kas radušās, veicot savus dienesta pienākumus (2009.gada Rekomendācija III un </w:t>
            </w:r>
            <w:proofErr w:type="spellStart"/>
            <w:r w:rsidRPr="00CA14F4">
              <w:rPr>
                <w:rFonts w:ascii="Times New Roman" w:hAnsi="Times New Roman" w:cs="Times New Roman"/>
                <w:i/>
                <w:sz w:val="24"/>
                <w:szCs w:val="24"/>
              </w:rPr>
              <w:t>IX(i</w:t>
            </w:r>
            <w:proofErr w:type="spellEnd"/>
            <w:r w:rsidRPr="00CA14F4">
              <w:rPr>
                <w:rFonts w:ascii="Times New Roman" w:hAnsi="Times New Roman" w:cs="Times New Roman"/>
                <w:i/>
                <w:sz w:val="24"/>
                <w:szCs w:val="24"/>
              </w:rPr>
              <w:t>)).</w:t>
            </w:r>
          </w:p>
          <w:p w14:paraId="31D21164" w14:textId="26982853" w:rsidR="00FC2B90" w:rsidRPr="00CA14F4" w:rsidRDefault="00FC2B90" w:rsidP="00FC2B90">
            <w:pPr>
              <w:pStyle w:val="ListParagraph"/>
              <w:numPr>
                <w:ilvl w:val="0"/>
                <w:numId w:val="38"/>
              </w:numPr>
              <w:spacing w:after="0" w:line="240" w:lineRule="auto"/>
              <w:ind w:right="113"/>
              <w:jc w:val="both"/>
              <w:rPr>
                <w:rFonts w:ascii="Times New Roman" w:hAnsi="Times New Roman" w:cs="Times New Roman"/>
                <w:i/>
                <w:sz w:val="24"/>
                <w:szCs w:val="24"/>
              </w:rPr>
            </w:pPr>
            <w:r>
              <w:rPr>
                <w:rFonts w:ascii="Times New Roman" w:hAnsi="Times New Roman" w:cs="Times New Roman"/>
                <w:i/>
                <w:sz w:val="24"/>
                <w:szCs w:val="24"/>
              </w:rPr>
              <w:t>(b) rekomendācija, kura rekomendē Latvijai veikt pasākumus</w:t>
            </w:r>
            <w:r w:rsidRPr="00CA14F4">
              <w:rPr>
                <w:rFonts w:ascii="Times New Roman" w:hAnsi="Times New Roman" w:cs="Times New Roman"/>
                <w:i/>
                <w:sz w:val="24"/>
                <w:szCs w:val="24"/>
              </w:rPr>
              <w:t>, iedrošinot trauksmes celšanu, tai skaitā informējot par labā ticībā (</w:t>
            </w:r>
            <w:proofErr w:type="spellStart"/>
            <w:r w:rsidRPr="00CA14F4">
              <w:rPr>
                <w:rFonts w:ascii="Times New Roman" w:hAnsi="Times New Roman" w:cs="Times New Roman"/>
                <w:i/>
                <w:sz w:val="24"/>
                <w:szCs w:val="24"/>
              </w:rPr>
              <w:t>bona</w:t>
            </w:r>
            <w:proofErr w:type="spellEnd"/>
            <w:r w:rsidRPr="00CA14F4">
              <w:rPr>
                <w:rFonts w:ascii="Times New Roman" w:hAnsi="Times New Roman" w:cs="Times New Roman"/>
                <w:i/>
                <w:sz w:val="24"/>
                <w:szCs w:val="24"/>
              </w:rPr>
              <w:t xml:space="preserve"> </w:t>
            </w:r>
            <w:proofErr w:type="spellStart"/>
            <w:r w:rsidRPr="00CA14F4">
              <w:rPr>
                <w:rFonts w:ascii="Times New Roman" w:hAnsi="Times New Roman" w:cs="Times New Roman"/>
                <w:i/>
                <w:sz w:val="24"/>
                <w:szCs w:val="24"/>
              </w:rPr>
              <w:t>fide</w:t>
            </w:r>
            <w:proofErr w:type="spellEnd"/>
            <w:r w:rsidRPr="00CA14F4">
              <w:rPr>
                <w:rFonts w:ascii="Times New Roman" w:hAnsi="Times New Roman" w:cs="Times New Roman"/>
                <w:i/>
                <w:sz w:val="24"/>
                <w:szCs w:val="24"/>
              </w:rPr>
              <w:t xml:space="preserve">) veiktās trauksmes celšanas, kā publiskās un privātās godprātības sistēmas sastāvdaļas, svarīgumu un paaugstinot informētību par pieejamo aizsardzību privātā sektorā strādājošiem trauksmes cēlējiem, nodrošinot trauksmes cēlējiem viegli pieejamus ziņošanas kanālus (2009.gada Rekomendācija III un </w:t>
            </w:r>
            <w:proofErr w:type="spellStart"/>
            <w:r w:rsidRPr="00CA14F4">
              <w:rPr>
                <w:rFonts w:ascii="Times New Roman" w:hAnsi="Times New Roman" w:cs="Times New Roman"/>
                <w:i/>
                <w:sz w:val="24"/>
                <w:szCs w:val="24"/>
              </w:rPr>
              <w:t>IX(i</w:t>
            </w:r>
            <w:proofErr w:type="spellEnd"/>
            <w:r w:rsidRPr="00CA14F4">
              <w:rPr>
                <w:rFonts w:ascii="Times New Roman" w:hAnsi="Times New Roman" w:cs="Times New Roman"/>
                <w:i/>
                <w:sz w:val="24"/>
                <w:szCs w:val="24"/>
              </w:rPr>
              <w:t>), (</w:t>
            </w:r>
            <w:proofErr w:type="spellStart"/>
            <w:r w:rsidRPr="00CA14F4">
              <w:rPr>
                <w:rFonts w:ascii="Times New Roman" w:hAnsi="Times New Roman" w:cs="Times New Roman"/>
                <w:i/>
                <w:sz w:val="24"/>
                <w:szCs w:val="24"/>
              </w:rPr>
              <w:t>iii</w:t>
            </w:r>
            <w:proofErr w:type="spellEnd"/>
            <w:r w:rsidRPr="00CA14F4">
              <w:rPr>
                <w:rFonts w:ascii="Times New Roman" w:hAnsi="Times New Roman" w:cs="Times New Roman"/>
                <w:i/>
                <w:sz w:val="24"/>
                <w:szCs w:val="24"/>
              </w:rPr>
              <w:t>)).</w:t>
            </w:r>
            <w:r>
              <w:rPr>
                <w:rStyle w:val="FootnoteReference"/>
                <w:rFonts w:ascii="Times New Roman" w:hAnsi="Times New Roman" w:cs="Times New Roman"/>
                <w:i/>
                <w:sz w:val="24"/>
                <w:szCs w:val="24"/>
              </w:rPr>
              <w:footnoteReference w:id="4"/>
            </w:r>
          </w:p>
          <w:p w14:paraId="620082E3" w14:textId="77777777" w:rsidR="00823EF4" w:rsidRPr="00C043B7" w:rsidRDefault="00823EF4" w:rsidP="00FD5A18">
            <w:pPr>
              <w:spacing w:after="0" w:line="240" w:lineRule="auto"/>
              <w:ind w:left="113" w:right="113" w:firstLine="340"/>
              <w:jc w:val="both"/>
              <w:rPr>
                <w:rFonts w:ascii="Times New Roman" w:hAnsi="Times New Roman" w:cs="Times New Roman"/>
                <w:sz w:val="24"/>
                <w:szCs w:val="24"/>
              </w:rPr>
            </w:pPr>
          </w:p>
          <w:p w14:paraId="75A0ADBD" w14:textId="1F9E80A0" w:rsidR="00462F31" w:rsidRPr="00C043B7" w:rsidRDefault="00462F31" w:rsidP="00FD5A18">
            <w:pPr>
              <w:spacing w:after="0" w:line="240" w:lineRule="auto"/>
              <w:ind w:left="113" w:right="113" w:firstLine="340"/>
              <w:jc w:val="both"/>
              <w:rPr>
                <w:rFonts w:ascii="Times New Roman" w:hAnsi="Times New Roman" w:cs="Times New Roman"/>
                <w:sz w:val="24"/>
                <w:szCs w:val="24"/>
              </w:rPr>
            </w:pPr>
            <w:r w:rsidRPr="00C043B7">
              <w:rPr>
                <w:rFonts w:ascii="Times New Roman" w:hAnsi="Times New Roman" w:cs="Times New Roman"/>
                <w:sz w:val="24"/>
                <w:szCs w:val="24"/>
              </w:rPr>
              <w:t xml:space="preserve">Ministru kabineta noteikumu projekta </w:t>
            </w:r>
            <w:r w:rsidR="004D10DF">
              <w:rPr>
                <w:rFonts w:ascii="Times New Roman" w:hAnsi="Times New Roman" w:cs="Times New Roman"/>
                <w:b/>
                <w:sz w:val="24"/>
                <w:szCs w:val="24"/>
              </w:rPr>
              <w:t>7.3.2. un 7</w:t>
            </w:r>
            <w:r w:rsidRPr="00C043B7">
              <w:rPr>
                <w:rFonts w:ascii="Times New Roman" w:hAnsi="Times New Roman" w:cs="Times New Roman"/>
                <w:b/>
                <w:sz w:val="24"/>
                <w:szCs w:val="24"/>
              </w:rPr>
              <w:t>.</w:t>
            </w:r>
            <w:r w:rsidR="00B67623" w:rsidRPr="00C043B7">
              <w:rPr>
                <w:rFonts w:ascii="Times New Roman" w:hAnsi="Times New Roman" w:cs="Times New Roman"/>
                <w:b/>
                <w:sz w:val="24"/>
                <w:szCs w:val="24"/>
              </w:rPr>
              <w:t>3.3.</w:t>
            </w:r>
            <w:r w:rsidRPr="00C043B7">
              <w:rPr>
                <w:rFonts w:ascii="Times New Roman" w:hAnsi="Times New Roman" w:cs="Times New Roman"/>
                <w:b/>
                <w:sz w:val="24"/>
                <w:szCs w:val="24"/>
              </w:rPr>
              <w:t>apakšpunkts</w:t>
            </w:r>
            <w:r w:rsidRPr="00C043B7">
              <w:rPr>
                <w:rFonts w:ascii="Times New Roman" w:hAnsi="Times New Roman" w:cs="Times New Roman"/>
                <w:sz w:val="24"/>
                <w:szCs w:val="24"/>
              </w:rPr>
              <w:t xml:space="preserve"> paredz, ka institūcijas normatīvajos aktos ir jānosaka:</w:t>
            </w:r>
          </w:p>
          <w:p w14:paraId="3705FAA4" w14:textId="77777777" w:rsidR="001602B9" w:rsidRPr="00EF0DA7" w:rsidRDefault="001602B9" w:rsidP="001602B9">
            <w:pPr>
              <w:pStyle w:val="ListParagraph"/>
              <w:numPr>
                <w:ilvl w:val="2"/>
                <w:numId w:val="38"/>
              </w:numPr>
              <w:spacing w:after="0" w:line="240" w:lineRule="auto"/>
              <w:ind w:left="15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kārtību, kādā institūcijas</w:t>
            </w:r>
            <w:r w:rsidRPr="00EF0DA7">
              <w:rPr>
                <w:rFonts w:ascii="Times New Roman" w:eastAsia="Times New Roman" w:hAnsi="Times New Roman" w:cs="Times New Roman"/>
                <w:sz w:val="24"/>
                <w:szCs w:val="24"/>
              </w:rPr>
              <w:t xml:space="preserve"> valsts amatpersonas paziņo par savu atrašanos interešu kon</w:t>
            </w:r>
            <w:r>
              <w:rPr>
                <w:rFonts w:ascii="Times New Roman" w:eastAsia="Times New Roman" w:hAnsi="Times New Roman" w:cs="Times New Roman"/>
                <w:sz w:val="24"/>
                <w:szCs w:val="24"/>
              </w:rPr>
              <w:t>flikta situācijā, kā arī kārtību</w:t>
            </w:r>
            <w:r w:rsidRPr="00EF0DA7">
              <w:rPr>
                <w:rFonts w:ascii="Times New Roman" w:eastAsia="Times New Roman" w:hAnsi="Times New Roman" w:cs="Times New Roman"/>
                <w:sz w:val="24"/>
                <w:szCs w:val="24"/>
              </w:rPr>
              <w:t xml:space="preserve">, kādā interešu konflikta situācijā esošās valsts amatpersonas funkcijas </w:t>
            </w:r>
            <w:r>
              <w:rPr>
                <w:rFonts w:ascii="Times New Roman" w:eastAsia="Times New Roman" w:hAnsi="Times New Roman" w:cs="Times New Roman"/>
                <w:sz w:val="24"/>
                <w:szCs w:val="24"/>
              </w:rPr>
              <w:t xml:space="preserve">izpildei </w:t>
            </w:r>
            <w:r w:rsidRPr="00EF0DA7">
              <w:rPr>
                <w:rFonts w:ascii="Times New Roman" w:eastAsia="Times New Roman" w:hAnsi="Times New Roman" w:cs="Times New Roman"/>
                <w:sz w:val="24"/>
                <w:szCs w:val="24"/>
              </w:rPr>
              <w:t>tiek nodotas ci</w:t>
            </w:r>
            <w:r>
              <w:rPr>
                <w:rFonts w:ascii="Times New Roman" w:eastAsia="Times New Roman" w:hAnsi="Times New Roman" w:cs="Times New Roman"/>
                <w:sz w:val="24"/>
                <w:szCs w:val="24"/>
              </w:rPr>
              <w:t>tai valsts amatpersonai</w:t>
            </w:r>
            <w:r w:rsidRPr="00EF0DA7">
              <w:rPr>
                <w:rFonts w:ascii="Times New Roman" w:eastAsia="Times New Roman" w:hAnsi="Times New Roman" w:cs="Times New Roman"/>
                <w:sz w:val="24"/>
                <w:szCs w:val="24"/>
              </w:rPr>
              <w:t>;</w:t>
            </w:r>
          </w:p>
          <w:p w14:paraId="7B6D3752" w14:textId="77777777" w:rsidR="001602B9" w:rsidRPr="00EF0DA7" w:rsidRDefault="001602B9" w:rsidP="001602B9">
            <w:pPr>
              <w:pStyle w:val="ListParagraph"/>
              <w:numPr>
                <w:ilvl w:val="2"/>
                <w:numId w:val="38"/>
              </w:numPr>
              <w:spacing w:after="0" w:line="240" w:lineRule="auto"/>
              <w:ind w:left="1571"/>
              <w:jc w:val="both"/>
              <w:rPr>
                <w:rFonts w:ascii="Times New Roman" w:eastAsia="Times New Roman" w:hAnsi="Times New Roman" w:cs="Times New Roman"/>
                <w:sz w:val="24"/>
                <w:szCs w:val="24"/>
              </w:rPr>
            </w:pPr>
            <w:r w:rsidRPr="00EF0DA7">
              <w:rPr>
                <w:rFonts w:ascii="Times New Roman" w:eastAsia="Times New Roman" w:hAnsi="Times New Roman" w:cs="Times New Roman"/>
                <w:sz w:val="24"/>
                <w:szCs w:val="24"/>
              </w:rPr>
              <w:t>amatu savienošanas atļauju</w:t>
            </w:r>
            <w:r>
              <w:rPr>
                <w:rFonts w:ascii="Times New Roman" w:eastAsia="Times New Roman" w:hAnsi="Times New Roman" w:cs="Times New Roman"/>
                <w:sz w:val="24"/>
                <w:szCs w:val="24"/>
              </w:rPr>
              <w:t xml:space="preserve"> izsniegšanas kārtību</w:t>
            </w:r>
            <w:r w:rsidRPr="00EF0DA7">
              <w:rPr>
                <w:rFonts w:ascii="Times New Roman" w:eastAsia="Times New Roman" w:hAnsi="Times New Roman" w:cs="Times New Roman"/>
                <w:sz w:val="24"/>
                <w:szCs w:val="24"/>
              </w:rPr>
              <w:t xml:space="preserve">, tajā skaitā </w:t>
            </w:r>
            <w:r>
              <w:rPr>
                <w:rFonts w:ascii="Times New Roman" w:eastAsia="Times New Roman" w:hAnsi="Times New Roman" w:cs="Times New Roman"/>
                <w:sz w:val="24"/>
                <w:szCs w:val="24"/>
              </w:rPr>
              <w:t>nosakot</w:t>
            </w:r>
            <w:r w:rsidRPr="00EF0D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šo atļauju pārskatīšanas kārtību</w:t>
            </w:r>
            <w:r w:rsidRPr="00EF0D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izvērtējot,</w:t>
            </w:r>
            <w:r w:rsidRPr="00EF0DA7">
              <w:rPr>
                <w:rFonts w:ascii="Times New Roman" w:eastAsia="Times New Roman" w:hAnsi="Times New Roman" w:cs="Times New Roman"/>
                <w:sz w:val="24"/>
                <w:szCs w:val="24"/>
              </w:rPr>
              <w:t xml:space="preserve"> vai nav mainījušies tiesiskie un faktiskie apstākļi, kuri pastāv</w:t>
            </w:r>
            <w:r>
              <w:rPr>
                <w:rFonts w:ascii="Times New Roman" w:eastAsia="Times New Roman" w:hAnsi="Times New Roman" w:cs="Times New Roman"/>
                <w:sz w:val="24"/>
                <w:szCs w:val="24"/>
              </w:rPr>
              <w:t>ēja atļaujas izsniegšanas brīdī</w:t>
            </w:r>
            <w:r w:rsidRPr="00EF0DA7">
              <w:rPr>
                <w:rFonts w:ascii="Times New Roman" w:eastAsia="Times New Roman" w:hAnsi="Times New Roman" w:cs="Times New Roman"/>
                <w:sz w:val="24"/>
                <w:szCs w:val="24"/>
              </w:rPr>
              <w:t xml:space="preserve"> un vai valsts amatpersonas konkrētā amatu savienošana </w:t>
            </w:r>
            <w:r>
              <w:rPr>
                <w:rFonts w:ascii="Times New Roman" w:eastAsia="Times New Roman" w:hAnsi="Times New Roman" w:cs="Times New Roman"/>
                <w:sz w:val="24"/>
                <w:szCs w:val="24"/>
              </w:rPr>
              <w:t xml:space="preserve">joprojām </w:t>
            </w:r>
            <w:r w:rsidRPr="00EF0DA7">
              <w:rPr>
                <w:rFonts w:ascii="Times New Roman" w:eastAsia="Times New Roman" w:hAnsi="Times New Roman" w:cs="Times New Roman"/>
                <w:sz w:val="24"/>
                <w:szCs w:val="24"/>
              </w:rPr>
              <w:t>nerada interešu konfliktu, nav pretrunā ar valsts amatpersonai saistošām ētikas normām un nekaitē valsts amatpersonas tiešo pienākumu pildīšanai</w:t>
            </w:r>
            <w:r>
              <w:rPr>
                <w:rFonts w:ascii="Times New Roman" w:eastAsia="Times New Roman" w:hAnsi="Times New Roman" w:cs="Times New Roman"/>
                <w:sz w:val="24"/>
                <w:szCs w:val="24"/>
              </w:rPr>
              <w:t>.</w:t>
            </w:r>
          </w:p>
          <w:p w14:paraId="0A414FCC" w14:textId="77777777" w:rsidR="00B77307" w:rsidRDefault="00B77307" w:rsidP="00B77307">
            <w:pPr>
              <w:pStyle w:val="ListParagraph"/>
              <w:spacing w:after="0" w:line="240" w:lineRule="auto"/>
              <w:ind w:left="1571"/>
              <w:jc w:val="both"/>
              <w:rPr>
                <w:rFonts w:ascii="Times New Roman" w:eastAsia="Times New Roman" w:hAnsi="Times New Roman" w:cs="Times New Roman"/>
                <w:sz w:val="24"/>
                <w:szCs w:val="24"/>
              </w:rPr>
            </w:pPr>
          </w:p>
          <w:p w14:paraId="7B1C5EC2" w14:textId="56F98FE8" w:rsidR="00B77307" w:rsidRPr="00B77307" w:rsidRDefault="00B77307" w:rsidP="00B77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Tāpat</w:t>
            </w:r>
            <w:r w:rsidR="002B60F4">
              <w:rPr>
                <w:rFonts w:ascii="Times New Roman" w:eastAsia="Times New Roman" w:hAnsi="Times New Roman" w:cs="Times New Roman"/>
                <w:sz w:val="24"/>
                <w:szCs w:val="24"/>
              </w:rPr>
              <w:t xml:space="preserve"> institūcijā strādājošām amatpersonām ir jābūt informētām, kā jārīkojas gadījumos, kad viņ</w:t>
            </w:r>
            <w:r w:rsidR="005618B9">
              <w:rPr>
                <w:rFonts w:ascii="Times New Roman" w:eastAsia="Times New Roman" w:hAnsi="Times New Roman" w:cs="Times New Roman"/>
                <w:sz w:val="24"/>
                <w:szCs w:val="24"/>
              </w:rPr>
              <w:t>ie</w:t>
            </w:r>
            <w:r w:rsidR="002B60F4">
              <w:rPr>
                <w:rFonts w:ascii="Times New Roman" w:eastAsia="Times New Roman" w:hAnsi="Times New Roman" w:cs="Times New Roman"/>
                <w:sz w:val="24"/>
                <w:szCs w:val="24"/>
              </w:rPr>
              <w:t xml:space="preserve">m tiek piedāvāts vai rodas aizdomas, ka tiks piedāvāts prettiesisks labums. Minēto kārtību, Birojs plāno noteikt vadlīnijās  </w:t>
            </w:r>
            <w:r w:rsidR="002B60F4" w:rsidRPr="00C043B7">
              <w:rPr>
                <w:rFonts w:ascii="Times New Roman" w:hAnsi="Times New Roman" w:cs="Times New Roman"/>
                <w:sz w:val="24"/>
                <w:szCs w:val="24"/>
              </w:rPr>
              <w:t xml:space="preserve"> par iekšējās kontroles sistēmas pamatprasībām korupcijas un interešu konflikta riska novēršanai publiskas personas institūcijā</w:t>
            </w:r>
          </w:p>
          <w:p w14:paraId="2A058D82" w14:textId="6748E9B9" w:rsidR="00462F31" w:rsidRPr="00C043B7" w:rsidRDefault="00462F31" w:rsidP="00FD5A18">
            <w:pPr>
              <w:spacing w:after="0" w:line="240" w:lineRule="auto"/>
              <w:ind w:left="113" w:right="113" w:firstLine="340"/>
              <w:jc w:val="both"/>
              <w:rPr>
                <w:rFonts w:ascii="Times New Roman" w:hAnsi="Times New Roman" w:cs="Times New Roman"/>
                <w:sz w:val="24"/>
                <w:szCs w:val="24"/>
              </w:rPr>
            </w:pPr>
            <w:r w:rsidRPr="00C043B7">
              <w:rPr>
                <w:rFonts w:ascii="Times New Roman" w:hAnsi="Times New Roman" w:cs="Times New Roman"/>
                <w:sz w:val="24"/>
                <w:szCs w:val="24"/>
              </w:rPr>
              <w:t xml:space="preserve">       Iepriekš minēt</w:t>
            </w:r>
            <w:r w:rsidR="004A6DCE">
              <w:rPr>
                <w:rFonts w:ascii="Times New Roman" w:hAnsi="Times New Roman" w:cs="Times New Roman"/>
                <w:sz w:val="24"/>
                <w:szCs w:val="24"/>
              </w:rPr>
              <w:t>ajā</w:t>
            </w:r>
            <w:r w:rsidRPr="00C043B7">
              <w:rPr>
                <w:rFonts w:ascii="Times New Roman" w:hAnsi="Times New Roman" w:cs="Times New Roman"/>
                <w:sz w:val="24"/>
                <w:szCs w:val="24"/>
              </w:rPr>
              <w:t xml:space="preserve"> </w:t>
            </w:r>
            <w:r w:rsidR="00AA3786" w:rsidRPr="00C043B7">
              <w:rPr>
                <w:rFonts w:ascii="Times New Roman" w:hAnsi="Times New Roman" w:cs="Times New Roman"/>
                <w:sz w:val="24"/>
                <w:szCs w:val="24"/>
              </w:rPr>
              <w:t>Informatīv</w:t>
            </w:r>
            <w:r w:rsidR="004A6DCE">
              <w:rPr>
                <w:rFonts w:ascii="Times New Roman" w:hAnsi="Times New Roman" w:cs="Times New Roman"/>
                <w:sz w:val="24"/>
                <w:szCs w:val="24"/>
              </w:rPr>
              <w:t>ajā</w:t>
            </w:r>
            <w:r w:rsidR="00AA3786" w:rsidRPr="00C043B7">
              <w:rPr>
                <w:rFonts w:ascii="Times New Roman" w:hAnsi="Times New Roman" w:cs="Times New Roman"/>
                <w:sz w:val="24"/>
                <w:szCs w:val="24"/>
              </w:rPr>
              <w:t xml:space="preserve"> ziņojumā sniegtais izvērtējums liecina, ka kopš 2013.gada ir palielinājies Biroja pieņemto lēmumu skaits (par konstatētiem Interešu konflikta likuma</w:t>
            </w:r>
            <w:r w:rsidR="003F3E3F" w:rsidRPr="00C043B7">
              <w:rPr>
                <w:rFonts w:ascii="Times New Roman" w:hAnsi="Times New Roman" w:cs="Times New Roman"/>
                <w:sz w:val="24"/>
                <w:szCs w:val="24"/>
              </w:rPr>
              <w:t xml:space="preserve"> normu </w:t>
            </w:r>
            <w:r w:rsidR="00AA3786" w:rsidRPr="00C043B7">
              <w:rPr>
                <w:rFonts w:ascii="Times New Roman" w:hAnsi="Times New Roman" w:cs="Times New Roman"/>
                <w:sz w:val="24"/>
                <w:szCs w:val="24"/>
              </w:rPr>
              <w:t xml:space="preserve"> pārkāpumiem)</w:t>
            </w:r>
            <w:r w:rsidR="004A6DCE">
              <w:rPr>
                <w:rFonts w:ascii="Times New Roman" w:hAnsi="Times New Roman" w:cs="Times New Roman"/>
                <w:sz w:val="24"/>
                <w:szCs w:val="24"/>
              </w:rPr>
              <w:t>, kuros</w:t>
            </w:r>
            <w:r w:rsidR="00AA3786" w:rsidRPr="00C043B7">
              <w:rPr>
                <w:rFonts w:ascii="Times New Roman" w:hAnsi="Times New Roman" w:cs="Times New Roman"/>
                <w:sz w:val="24"/>
                <w:szCs w:val="24"/>
              </w:rPr>
              <w:t xml:space="preserve"> piemērot</w:t>
            </w:r>
            <w:r w:rsidR="004A6DCE">
              <w:rPr>
                <w:rFonts w:ascii="Times New Roman" w:hAnsi="Times New Roman" w:cs="Times New Roman"/>
                <w:sz w:val="24"/>
                <w:szCs w:val="24"/>
              </w:rPr>
              <w:t>s</w:t>
            </w:r>
            <w:r w:rsidR="00AA3786" w:rsidRPr="00C043B7">
              <w:rPr>
                <w:rFonts w:ascii="Times New Roman" w:hAnsi="Times New Roman" w:cs="Times New Roman"/>
                <w:sz w:val="24"/>
                <w:szCs w:val="24"/>
              </w:rPr>
              <w:t xml:space="preserve"> naudas sod</w:t>
            </w:r>
            <w:r w:rsidR="004A6DCE">
              <w:rPr>
                <w:rFonts w:ascii="Times New Roman" w:hAnsi="Times New Roman" w:cs="Times New Roman"/>
                <w:sz w:val="24"/>
                <w:szCs w:val="24"/>
              </w:rPr>
              <w:t>s</w:t>
            </w:r>
            <w:r w:rsidR="00AA3786" w:rsidRPr="00C043B7">
              <w:rPr>
                <w:rFonts w:ascii="Times New Roman" w:hAnsi="Times New Roman" w:cs="Times New Roman"/>
                <w:sz w:val="24"/>
                <w:szCs w:val="24"/>
              </w:rPr>
              <w:t xml:space="preserve"> vai izteikt</w:t>
            </w:r>
            <w:r w:rsidR="004A6DCE">
              <w:rPr>
                <w:rFonts w:ascii="Times New Roman" w:hAnsi="Times New Roman" w:cs="Times New Roman"/>
                <w:sz w:val="24"/>
                <w:szCs w:val="24"/>
              </w:rPr>
              <w:t>s</w:t>
            </w:r>
            <w:r w:rsidR="00AA3786" w:rsidRPr="00C043B7">
              <w:rPr>
                <w:rFonts w:ascii="Times New Roman" w:hAnsi="Times New Roman" w:cs="Times New Roman"/>
                <w:sz w:val="24"/>
                <w:szCs w:val="24"/>
              </w:rPr>
              <w:t xml:space="preserve"> mutvārdu aizrādījum</w:t>
            </w:r>
            <w:r w:rsidR="004A6DCE">
              <w:rPr>
                <w:rFonts w:ascii="Times New Roman" w:hAnsi="Times New Roman" w:cs="Times New Roman"/>
                <w:sz w:val="24"/>
                <w:szCs w:val="24"/>
              </w:rPr>
              <w:t>s</w:t>
            </w:r>
            <w:r w:rsidR="00AA3786" w:rsidRPr="00C043B7">
              <w:rPr>
                <w:rFonts w:ascii="Times New Roman" w:hAnsi="Times New Roman" w:cs="Times New Roman"/>
                <w:sz w:val="24"/>
                <w:szCs w:val="24"/>
              </w:rPr>
              <w:t xml:space="preserve"> valsts amatpersonām, kuras ieņem amatus pašvaldībās un tās izveidotajās iestādēs, </w:t>
            </w:r>
            <w:r w:rsidR="00AA3786" w:rsidRPr="00C043B7">
              <w:rPr>
                <w:rFonts w:ascii="Times New Roman" w:hAnsi="Times New Roman" w:cs="Times New Roman"/>
                <w:sz w:val="24"/>
                <w:szCs w:val="24"/>
              </w:rPr>
              <w:lastRenderedPageBreak/>
              <w:t>kā arī publiskas personas kapitālsabiedrībās.</w:t>
            </w:r>
          </w:p>
          <w:p w14:paraId="32127D0F" w14:textId="45FE06B3" w:rsidR="00E84EEB" w:rsidRPr="00C043B7" w:rsidRDefault="00462F31" w:rsidP="00FD5A18">
            <w:pPr>
              <w:spacing w:after="0" w:line="240" w:lineRule="auto"/>
              <w:ind w:left="113" w:right="113" w:firstLine="340"/>
              <w:jc w:val="both"/>
              <w:rPr>
                <w:rFonts w:ascii="Times New Roman" w:hAnsi="Times New Roman" w:cs="Times New Roman"/>
                <w:sz w:val="24"/>
                <w:szCs w:val="24"/>
              </w:rPr>
            </w:pPr>
            <w:r w:rsidRPr="00C043B7">
              <w:rPr>
                <w:rFonts w:ascii="Times New Roman" w:hAnsi="Times New Roman" w:cs="Times New Roman"/>
                <w:sz w:val="24"/>
                <w:szCs w:val="24"/>
              </w:rPr>
              <w:t xml:space="preserve">      2015.gadā visbiežāk pieļautie Interešu konflikta likum</w:t>
            </w:r>
            <w:r w:rsidR="004A6DCE">
              <w:rPr>
                <w:rFonts w:ascii="Times New Roman" w:hAnsi="Times New Roman" w:cs="Times New Roman"/>
                <w:sz w:val="24"/>
                <w:szCs w:val="24"/>
              </w:rPr>
              <w:t>ā</w:t>
            </w:r>
            <w:r w:rsidRPr="00C043B7">
              <w:rPr>
                <w:rFonts w:ascii="Times New Roman" w:hAnsi="Times New Roman" w:cs="Times New Roman"/>
                <w:sz w:val="24"/>
                <w:szCs w:val="24"/>
              </w:rPr>
              <w:t xml:space="preserve"> noteikto ierobežojumu pārkāpumi ir saistīti ar speciālo ierobežojumu </w:t>
            </w:r>
            <w:r w:rsidR="004A6DCE" w:rsidRPr="00C043B7">
              <w:rPr>
                <w:rFonts w:ascii="Times New Roman" w:hAnsi="Times New Roman" w:cs="Times New Roman"/>
                <w:sz w:val="24"/>
                <w:szCs w:val="24"/>
              </w:rPr>
              <w:t xml:space="preserve"> neievērošanu </w:t>
            </w:r>
            <w:r w:rsidRPr="00C043B7">
              <w:rPr>
                <w:rFonts w:ascii="Times New Roman" w:hAnsi="Times New Roman" w:cs="Times New Roman"/>
                <w:sz w:val="24"/>
                <w:szCs w:val="24"/>
              </w:rPr>
              <w:t xml:space="preserve">attiecībā uz amatu savienošanu – </w:t>
            </w:r>
            <w:r w:rsidRPr="00C043B7">
              <w:rPr>
                <w:rFonts w:ascii="Times New Roman" w:hAnsi="Times New Roman" w:cs="Times New Roman"/>
                <w:b/>
                <w:sz w:val="24"/>
                <w:szCs w:val="24"/>
              </w:rPr>
              <w:t>187</w:t>
            </w:r>
            <w:r w:rsidRPr="00C043B7">
              <w:rPr>
                <w:rFonts w:ascii="Times New Roman" w:hAnsi="Times New Roman" w:cs="Times New Roman"/>
                <w:sz w:val="24"/>
                <w:szCs w:val="24"/>
              </w:rPr>
              <w:t xml:space="preserve"> gadījumi,  </w:t>
            </w:r>
            <w:r w:rsidRPr="00C043B7">
              <w:rPr>
                <w:rFonts w:ascii="Times New Roman" w:hAnsi="Times New Roman" w:cs="Times New Roman"/>
                <w:b/>
                <w:sz w:val="24"/>
                <w:szCs w:val="24"/>
              </w:rPr>
              <w:t>110</w:t>
            </w:r>
            <w:r w:rsidRPr="00C043B7">
              <w:rPr>
                <w:rFonts w:ascii="Times New Roman" w:hAnsi="Times New Roman" w:cs="Times New Roman"/>
                <w:sz w:val="24"/>
                <w:szCs w:val="24"/>
              </w:rPr>
              <w:t xml:space="preserve"> gadījumos pieļauti tādu ierobežojumu pārkāpumi, kas saistīti ar ienākumu gūšanu, un </w:t>
            </w:r>
            <w:r w:rsidRPr="00C043B7">
              <w:rPr>
                <w:rFonts w:ascii="Times New Roman" w:hAnsi="Times New Roman" w:cs="Times New Roman"/>
                <w:b/>
                <w:sz w:val="24"/>
                <w:szCs w:val="24"/>
              </w:rPr>
              <w:t>69</w:t>
            </w:r>
            <w:r w:rsidRPr="00C043B7">
              <w:rPr>
                <w:rFonts w:ascii="Times New Roman" w:hAnsi="Times New Roman" w:cs="Times New Roman"/>
                <w:sz w:val="24"/>
                <w:szCs w:val="24"/>
              </w:rPr>
              <w:t xml:space="preserve"> gadījumos pieļauti pārkāpumi rīcībā ar publiskas personas mantu. Valsts amatpersonas </w:t>
            </w:r>
            <w:r w:rsidRPr="00C043B7">
              <w:rPr>
                <w:rFonts w:ascii="Times New Roman" w:hAnsi="Times New Roman" w:cs="Times New Roman"/>
                <w:b/>
                <w:sz w:val="24"/>
                <w:szCs w:val="24"/>
              </w:rPr>
              <w:t>39</w:t>
            </w:r>
            <w:r w:rsidRPr="00C043B7">
              <w:rPr>
                <w:rFonts w:ascii="Times New Roman" w:hAnsi="Times New Roman" w:cs="Times New Roman"/>
                <w:sz w:val="24"/>
                <w:szCs w:val="24"/>
              </w:rPr>
              <w:t xml:space="preserve"> gadījumos rīkojušās interešu konflikta situācijā, pārkāpumus attiecībā uz ziedojumu pieņemšanu pieļāvušas </w:t>
            </w:r>
            <w:r w:rsidRPr="00C043B7">
              <w:rPr>
                <w:rFonts w:ascii="Times New Roman" w:hAnsi="Times New Roman" w:cs="Times New Roman"/>
                <w:b/>
                <w:sz w:val="24"/>
                <w:szCs w:val="24"/>
              </w:rPr>
              <w:t>23</w:t>
            </w:r>
            <w:r w:rsidRPr="00C043B7">
              <w:rPr>
                <w:rFonts w:ascii="Times New Roman" w:hAnsi="Times New Roman" w:cs="Times New Roman"/>
                <w:sz w:val="24"/>
                <w:szCs w:val="24"/>
              </w:rPr>
              <w:t xml:space="preserve"> valsts amatpersonas. </w:t>
            </w:r>
            <w:r w:rsidRPr="00C043B7">
              <w:rPr>
                <w:rFonts w:ascii="Times New Roman" w:hAnsi="Times New Roman" w:cs="Times New Roman"/>
                <w:b/>
                <w:sz w:val="24"/>
                <w:szCs w:val="24"/>
              </w:rPr>
              <w:t>21</w:t>
            </w:r>
            <w:r w:rsidRPr="00C043B7">
              <w:rPr>
                <w:rFonts w:ascii="Times New Roman" w:hAnsi="Times New Roman" w:cs="Times New Roman"/>
                <w:sz w:val="24"/>
                <w:szCs w:val="24"/>
              </w:rPr>
              <w:t xml:space="preserve"> gadījumā  pieļautie pārkāpumi bijuši saistībā ar valsts amatpersonas amata savienošanas izpildes kārtību, savukārt pārējie </w:t>
            </w:r>
            <w:r w:rsidRPr="00C043B7">
              <w:rPr>
                <w:rFonts w:ascii="Times New Roman" w:hAnsi="Times New Roman" w:cs="Times New Roman"/>
                <w:b/>
                <w:sz w:val="24"/>
                <w:szCs w:val="24"/>
              </w:rPr>
              <w:t>11</w:t>
            </w:r>
            <w:r w:rsidRPr="00C043B7">
              <w:rPr>
                <w:rFonts w:ascii="Times New Roman" w:hAnsi="Times New Roman" w:cs="Times New Roman"/>
                <w:sz w:val="24"/>
                <w:szCs w:val="24"/>
              </w:rPr>
              <w:t xml:space="preserve"> gadījumi saistīti ar atsevišķiem pārkāpumiem attiecībā uz komercdarbības ierobežojumiem, informācijas izmantošanas aizlieguma pārkāpšanu, aizlieguma ietekmēt administratīvo aktu izdošanu un aizlieguma būt par pārstāvi neievērošanu.</w:t>
            </w:r>
          </w:p>
          <w:p w14:paraId="0A547135" w14:textId="1B68AD78" w:rsidR="00462F31" w:rsidRPr="00C043B7" w:rsidRDefault="00462F31" w:rsidP="00FD5A18">
            <w:pPr>
              <w:spacing w:after="0" w:line="240" w:lineRule="auto"/>
              <w:ind w:left="113" w:right="113" w:firstLine="340"/>
              <w:jc w:val="both"/>
              <w:rPr>
                <w:rFonts w:ascii="Times New Roman" w:hAnsi="Times New Roman" w:cs="Times New Roman"/>
                <w:sz w:val="24"/>
                <w:szCs w:val="24"/>
              </w:rPr>
            </w:pPr>
            <w:r w:rsidRPr="00C043B7">
              <w:rPr>
                <w:rFonts w:ascii="Times New Roman" w:hAnsi="Times New Roman" w:cs="Times New Roman"/>
                <w:sz w:val="24"/>
                <w:szCs w:val="24"/>
              </w:rPr>
              <w:t xml:space="preserve">      Biroja ieskatā</w:t>
            </w:r>
            <w:r w:rsidR="004A6DCE">
              <w:rPr>
                <w:rFonts w:ascii="Times New Roman" w:hAnsi="Times New Roman" w:cs="Times New Roman"/>
                <w:sz w:val="24"/>
                <w:szCs w:val="24"/>
              </w:rPr>
              <w:t xml:space="preserve"> katra</w:t>
            </w:r>
            <w:r w:rsidRPr="00C043B7">
              <w:rPr>
                <w:rFonts w:ascii="Times New Roman" w:hAnsi="Times New Roman" w:cs="Times New Roman"/>
                <w:sz w:val="24"/>
                <w:szCs w:val="24"/>
              </w:rPr>
              <w:t xml:space="preserve"> </w:t>
            </w:r>
            <w:r w:rsidR="004A6DCE">
              <w:rPr>
                <w:rFonts w:ascii="Times New Roman" w:hAnsi="Times New Roman" w:cs="Times New Roman"/>
                <w:sz w:val="24"/>
                <w:szCs w:val="24"/>
              </w:rPr>
              <w:t xml:space="preserve">institūcija var </w:t>
            </w:r>
            <w:r w:rsidRPr="00C043B7">
              <w:rPr>
                <w:rFonts w:ascii="Times New Roman" w:hAnsi="Times New Roman" w:cs="Times New Roman"/>
                <w:b/>
                <w:sz w:val="24"/>
                <w:szCs w:val="24"/>
              </w:rPr>
              <w:t>mazināt valsts amatpersonu skaitu, kuru darbībā tiek konstatēti Interešu konflikta likuma normu pārkāpumi</w:t>
            </w:r>
            <w:r w:rsidR="00AD1ED0">
              <w:rPr>
                <w:rFonts w:ascii="Times New Roman" w:hAnsi="Times New Roman" w:cs="Times New Roman"/>
                <w:sz w:val="24"/>
                <w:szCs w:val="24"/>
              </w:rPr>
              <w:t>,</w:t>
            </w:r>
            <w:r w:rsidRPr="00C043B7">
              <w:rPr>
                <w:rFonts w:ascii="Times New Roman" w:hAnsi="Times New Roman" w:cs="Times New Roman"/>
                <w:sz w:val="24"/>
                <w:szCs w:val="24"/>
              </w:rPr>
              <w:t xml:space="preserve"> piemēram:</w:t>
            </w:r>
          </w:p>
          <w:p w14:paraId="6487C00A" w14:textId="77777777" w:rsidR="00462F31" w:rsidRPr="00C043B7" w:rsidRDefault="00AA3786" w:rsidP="00FD5A18">
            <w:pPr>
              <w:numPr>
                <w:ilvl w:val="0"/>
                <w:numId w:val="37"/>
              </w:numPr>
              <w:spacing w:after="0" w:line="240" w:lineRule="auto"/>
              <w:ind w:left="113" w:right="113" w:firstLine="340"/>
              <w:jc w:val="both"/>
              <w:rPr>
                <w:rFonts w:ascii="Times New Roman" w:hAnsi="Times New Roman" w:cs="Times New Roman"/>
                <w:sz w:val="24"/>
                <w:szCs w:val="24"/>
              </w:rPr>
            </w:pPr>
            <w:r w:rsidRPr="00C043B7">
              <w:rPr>
                <w:rFonts w:ascii="Times New Roman" w:hAnsi="Times New Roman" w:cs="Times New Roman"/>
                <w:sz w:val="24"/>
                <w:szCs w:val="24"/>
              </w:rPr>
              <w:t>ieviešot iekšējās kontroles mehānismus interešu konflikta novēršanai, tādējādi nodrošinot, ka valsts amatpersonas nerealizē amata pilnvaras interešu konflikta situācijā;</w:t>
            </w:r>
          </w:p>
          <w:p w14:paraId="46DF2BE7" w14:textId="3CA9EC02" w:rsidR="00462F31" w:rsidRPr="00C043B7" w:rsidRDefault="00462F31" w:rsidP="00FD5A18">
            <w:pPr>
              <w:numPr>
                <w:ilvl w:val="0"/>
                <w:numId w:val="37"/>
              </w:numPr>
              <w:spacing w:after="0" w:line="240" w:lineRule="auto"/>
              <w:ind w:left="113" w:right="113" w:firstLine="340"/>
              <w:jc w:val="both"/>
              <w:rPr>
                <w:rFonts w:ascii="Times New Roman" w:hAnsi="Times New Roman" w:cs="Times New Roman"/>
                <w:sz w:val="24"/>
                <w:szCs w:val="24"/>
              </w:rPr>
            </w:pPr>
            <w:r w:rsidRPr="00C043B7">
              <w:rPr>
                <w:rFonts w:ascii="Times New Roman" w:hAnsi="Times New Roman" w:cs="Times New Roman"/>
                <w:sz w:val="24"/>
                <w:szCs w:val="24"/>
              </w:rPr>
              <w:t>nosakot kārtību</w:t>
            </w:r>
            <w:r w:rsidR="00AA3786" w:rsidRPr="00C043B7">
              <w:rPr>
                <w:rFonts w:ascii="Times New Roman" w:hAnsi="Times New Roman" w:cs="Times New Roman"/>
                <w:sz w:val="24"/>
                <w:szCs w:val="24"/>
              </w:rPr>
              <w:t xml:space="preserve">, kādā institūcijā strādājošās valsts amatpersonas paziņo par savu atrašanos interešu konflikta situācijā, nosakot institūcijā </w:t>
            </w:r>
            <w:r w:rsidR="004A6DCE" w:rsidRPr="00C043B7">
              <w:rPr>
                <w:rFonts w:ascii="Times New Roman" w:hAnsi="Times New Roman" w:cs="Times New Roman"/>
                <w:sz w:val="24"/>
                <w:szCs w:val="24"/>
              </w:rPr>
              <w:t xml:space="preserve"> par interešu konflikta novēršanu </w:t>
            </w:r>
            <w:r w:rsidR="00AA3786" w:rsidRPr="00C043B7">
              <w:rPr>
                <w:rFonts w:ascii="Times New Roman" w:hAnsi="Times New Roman" w:cs="Times New Roman"/>
                <w:sz w:val="24"/>
                <w:szCs w:val="24"/>
              </w:rPr>
              <w:t>atbildīgās</w:t>
            </w:r>
            <w:r w:rsidR="007B22BF">
              <w:rPr>
                <w:rFonts w:ascii="Times New Roman" w:hAnsi="Times New Roman" w:cs="Times New Roman"/>
                <w:sz w:val="24"/>
                <w:szCs w:val="24"/>
              </w:rPr>
              <w:t xml:space="preserve"> </w:t>
            </w:r>
            <w:r w:rsidR="00AA3786" w:rsidRPr="00C043B7">
              <w:rPr>
                <w:rFonts w:ascii="Times New Roman" w:hAnsi="Times New Roman" w:cs="Times New Roman"/>
                <w:sz w:val="24"/>
                <w:szCs w:val="24"/>
              </w:rPr>
              <w:t xml:space="preserve">amatpersonas, kā arī nosakot kārtību, kādā interešu konflikta situācijā esošās valsts amatpersonas funkcijas tiek nodotas </w:t>
            </w:r>
            <w:r w:rsidR="004A6DCE" w:rsidRPr="00C043B7">
              <w:rPr>
                <w:rFonts w:ascii="Times New Roman" w:hAnsi="Times New Roman" w:cs="Times New Roman"/>
                <w:sz w:val="24"/>
                <w:szCs w:val="24"/>
              </w:rPr>
              <w:t xml:space="preserve"> izpildei </w:t>
            </w:r>
            <w:r w:rsidR="00AA3786" w:rsidRPr="00C043B7">
              <w:rPr>
                <w:rFonts w:ascii="Times New Roman" w:hAnsi="Times New Roman" w:cs="Times New Roman"/>
                <w:sz w:val="24"/>
                <w:szCs w:val="24"/>
              </w:rPr>
              <w:t>citai valsts amatpersonai;</w:t>
            </w:r>
          </w:p>
          <w:p w14:paraId="7AA428D0" w14:textId="2EB34FDF" w:rsidR="00E32D88" w:rsidRDefault="00462F31" w:rsidP="00FD5A18">
            <w:pPr>
              <w:numPr>
                <w:ilvl w:val="0"/>
                <w:numId w:val="37"/>
              </w:numPr>
              <w:spacing w:after="0" w:line="240" w:lineRule="auto"/>
              <w:ind w:left="113" w:right="113" w:firstLine="340"/>
              <w:jc w:val="both"/>
              <w:rPr>
                <w:rFonts w:ascii="Times New Roman" w:hAnsi="Times New Roman" w:cs="Times New Roman"/>
                <w:sz w:val="24"/>
                <w:szCs w:val="24"/>
              </w:rPr>
            </w:pPr>
            <w:r w:rsidRPr="00C043B7">
              <w:rPr>
                <w:rFonts w:ascii="Times New Roman" w:hAnsi="Times New Roman" w:cs="Times New Roman"/>
                <w:sz w:val="24"/>
                <w:szCs w:val="24"/>
              </w:rPr>
              <w:t xml:space="preserve">paredzot </w:t>
            </w:r>
            <w:r w:rsidR="00AA3786" w:rsidRPr="00C043B7">
              <w:rPr>
                <w:rFonts w:ascii="Times New Roman" w:hAnsi="Times New Roman" w:cs="Times New Roman"/>
                <w:sz w:val="24"/>
                <w:szCs w:val="24"/>
              </w:rPr>
              <w:t>amatu savienošan</w:t>
            </w:r>
            <w:r w:rsidRPr="00C043B7">
              <w:rPr>
                <w:rFonts w:ascii="Times New Roman" w:hAnsi="Times New Roman" w:cs="Times New Roman"/>
                <w:sz w:val="24"/>
                <w:szCs w:val="24"/>
              </w:rPr>
              <w:t>as atļaujas izsniegšanas kārtību</w:t>
            </w:r>
            <w:r w:rsidR="00AA3786" w:rsidRPr="00C043B7">
              <w:rPr>
                <w:rFonts w:ascii="Times New Roman" w:hAnsi="Times New Roman" w:cs="Times New Roman"/>
                <w:sz w:val="24"/>
                <w:szCs w:val="24"/>
              </w:rPr>
              <w:t xml:space="preserve">, tajā skaitā paredzot šo atļauju pārskatīšanas kārtību, lai konstatētu, vai nav mainījušies tiesiskie </w:t>
            </w:r>
            <w:r w:rsidR="004A6DCE">
              <w:rPr>
                <w:rFonts w:ascii="Times New Roman" w:hAnsi="Times New Roman" w:cs="Times New Roman"/>
                <w:sz w:val="24"/>
                <w:szCs w:val="24"/>
              </w:rPr>
              <w:t>vai</w:t>
            </w:r>
            <w:r w:rsidR="00AA3786" w:rsidRPr="00C043B7">
              <w:rPr>
                <w:rFonts w:ascii="Times New Roman" w:hAnsi="Times New Roman" w:cs="Times New Roman"/>
                <w:sz w:val="24"/>
                <w:szCs w:val="24"/>
              </w:rPr>
              <w:t xml:space="preserve"> faktiskie apstākļi, kuri pastāvēja atļaujas izsniegšanas brīdī, un vai joprojām valsts amatpersonas konkrētā amata savienošana nerada interešu konfliktu, nav pretrunā ar valsts amatpersonai saistošām ētikas normām un nekaitē valsts tiešo pienākumu pildīšanai.</w:t>
            </w:r>
          </w:p>
          <w:p w14:paraId="4E0E224F" w14:textId="77777777" w:rsidR="00B27C7B" w:rsidRDefault="00B27C7B" w:rsidP="00B27C7B">
            <w:pPr>
              <w:spacing w:after="0" w:line="240" w:lineRule="auto"/>
              <w:ind w:left="453" w:right="113"/>
              <w:jc w:val="both"/>
              <w:rPr>
                <w:rFonts w:ascii="Times New Roman" w:hAnsi="Times New Roman" w:cs="Times New Roman"/>
                <w:sz w:val="24"/>
                <w:szCs w:val="24"/>
              </w:rPr>
            </w:pPr>
          </w:p>
          <w:p w14:paraId="11188E7B" w14:textId="4EB42E29" w:rsidR="00B27C7B" w:rsidRPr="00B27C7B" w:rsidRDefault="005F14F2" w:rsidP="00B27C7B">
            <w:pPr>
              <w:spacing w:after="0" w:line="240" w:lineRule="auto"/>
              <w:ind w:left="453" w:right="113"/>
              <w:jc w:val="both"/>
              <w:rPr>
                <w:rFonts w:ascii="Times New Roman" w:hAnsi="Times New Roman" w:cs="Times New Roman"/>
                <w:bCs/>
                <w:sz w:val="24"/>
                <w:szCs w:val="24"/>
              </w:rPr>
            </w:pPr>
            <w:r>
              <w:rPr>
                <w:rFonts w:ascii="Times New Roman" w:hAnsi="Times New Roman" w:cs="Times New Roman"/>
                <w:sz w:val="24"/>
                <w:szCs w:val="24"/>
              </w:rPr>
              <w:t>Kukuļošanas</w:t>
            </w:r>
            <w:r w:rsidR="00B27C7B" w:rsidRPr="00B27C7B">
              <w:rPr>
                <w:rFonts w:ascii="Times New Roman" w:hAnsi="Times New Roman" w:cs="Times New Roman"/>
                <w:bCs/>
                <w:sz w:val="24"/>
                <w:szCs w:val="24"/>
              </w:rPr>
              <w:t xml:space="preserve"> darba grupa attiecībā uz uzskaites prasībām, ārējo un iekšējo uzņēmuma kontroli rekomendē, lai Latvija:</w:t>
            </w:r>
          </w:p>
          <w:p w14:paraId="761EB8E8" w14:textId="71A598BE" w:rsidR="00B27C7B" w:rsidRPr="00B27C7B" w:rsidRDefault="00B27C7B" w:rsidP="00B27C7B">
            <w:pPr>
              <w:numPr>
                <w:ilvl w:val="0"/>
                <w:numId w:val="39"/>
              </w:numPr>
              <w:spacing w:after="0" w:line="240" w:lineRule="auto"/>
              <w:ind w:right="113"/>
              <w:jc w:val="both"/>
              <w:rPr>
                <w:rFonts w:ascii="Times New Roman" w:hAnsi="Times New Roman" w:cs="Times New Roman"/>
                <w:sz w:val="24"/>
                <w:szCs w:val="24"/>
              </w:rPr>
            </w:pPr>
            <w:r w:rsidRPr="00B27C7B">
              <w:rPr>
                <w:rFonts w:ascii="Times New Roman" w:hAnsi="Times New Roman" w:cs="Times New Roman"/>
                <w:sz w:val="24"/>
                <w:szCs w:val="24"/>
              </w:rPr>
              <w:t>veic pasākumus, mudinot uzņēmumus izstrādāt, pieņemt un efektīvi īstenot adekvātu iekšējo kontroli, ētikas un atbilstības programmas vai pasākumus ar mērķi novērst un atklāt ārvalstu amatpersonu kukuļošanu; un mudina uzņēmēju un profesionālās asociācijas izstrādāt līdzīgas programmas vai pasākumus, cenšoties p</w:t>
            </w:r>
            <w:r w:rsidR="005F14F2">
              <w:rPr>
                <w:rFonts w:ascii="Times New Roman" w:hAnsi="Times New Roman" w:cs="Times New Roman"/>
                <w:sz w:val="24"/>
                <w:szCs w:val="24"/>
              </w:rPr>
              <w:t xml:space="preserve">alīdzēt </w:t>
            </w:r>
            <w:r w:rsidR="005F14F2">
              <w:rPr>
                <w:rFonts w:ascii="Times New Roman" w:hAnsi="Times New Roman" w:cs="Times New Roman"/>
                <w:sz w:val="24"/>
                <w:szCs w:val="24"/>
              </w:rPr>
              <w:lastRenderedPageBreak/>
              <w:t>uzņēmumiem, it īpaši maziem un vidējiem uzņēmumiem</w:t>
            </w:r>
            <w:r w:rsidRPr="00B27C7B">
              <w:rPr>
                <w:rFonts w:ascii="Times New Roman" w:hAnsi="Times New Roman" w:cs="Times New Roman"/>
                <w:sz w:val="24"/>
                <w:szCs w:val="24"/>
              </w:rPr>
              <w:t xml:space="preserve"> (2009.gada Rekomendācija III un X </w:t>
            </w:r>
            <w:proofErr w:type="spellStart"/>
            <w:r w:rsidRPr="00B27C7B">
              <w:rPr>
                <w:rFonts w:ascii="Times New Roman" w:hAnsi="Times New Roman" w:cs="Times New Roman"/>
                <w:sz w:val="24"/>
                <w:szCs w:val="24"/>
              </w:rPr>
              <w:t>C(i</w:t>
            </w:r>
            <w:proofErr w:type="spellEnd"/>
            <w:r w:rsidRPr="00B27C7B">
              <w:rPr>
                <w:rFonts w:ascii="Times New Roman" w:hAnsi="Times New Roman" w:cs="Times New Roman"/>
                <w:sz w:val="24"/>
                <w:szCs w:val="24"/>
              </w:rPr>
              <w:t>));</w:t>
            </w:r>
          </w:p>
          <w:p w14:paraId="13A88D47" w14:textId="22B92116" w:rsidR="00B27C7B" w:rsidRPr="00B27C7B" w:rsidRDefault="00B27C7B" w:rsidP="00B27C7B">
            <w:pPr>
              <w:numPr>
                <w:ilvl w:val="0"/>
                <w:numId w:val="39"/>
              </w:numPr>
              <w:spacing w:after="0" w:line="240" w:lineRule="auto"/>
              <w:ind w:right="113"/>
              <w:jc w:val="both"/>
              <w:rPr>
                <w:rFonts w:ascii="Times New Roman" w:hAnsi="Times New Roman" w:cs="Times New Roman"/>
                <w:sz w:val="24"/>
                <w:szCs w:val="24"/>
              </w:rPr>
            </w:pPr>
            <w:r w:rsidRPr="00B27C7B">
              <w:rPr>
                <w:rFonts w:ascii="Times New Roman" w:hAnsi="Times New Roman" w:cs="Times New Roman"/>
                <w:sz w:val="24"/>
                <w:szCs w:val="24"/>
              </w:rPr>
              <w:t xml:space="preserve">nodrošina, ka valsts uzņēmumiem vadlīnijas par iekšējo kontroli pretkorupcijas jomā skaidri vēršas pret ārvalstu amatpersonu kukuļošanu (2009.gada Rekomendācija III un X </w:t>
            </w:r>
            <w:proofErr w:type="spellStart"/>
            <w:r w:rsidRPr="00B27C7B">
              <w:rPr>
                <w:rFonts w:ascii="Times New Roman" w:hAnsi="Times New Roman" w:cs="Times New Roman"/>
                <w:sz w:val="24"/>
                <w:szCs w:val="24"/>
              </w:rPr>
              <w:t>C(i</w:t>
            </w:r>
            <w:proofErr w:type="spellEnd"/>
            <w:r w:rsidRPr="00B27C7B">
              <w:rPr>
                <w:rFonts w:ascii="Times New Roman" w:hAnsi="Times New Roman" w:cs="Times New Roman"/>
                <w:sz w:val="24"/>
                <w:szCs w:val="24"/>
              </w:rPr>
              <w:t>))</w:t>
            </w:r>
            <w:r w:rsidR="0004090A">
              <w:rPr>
                <w:rFonts w:ascii="Times New Roman" w:hAnsi="Times New Roman" w:cs="Times New Roman"/>
                <w:sz w:val="24"/>
                <w:szCs w:val="24"/>
              </w:rPr>
              <w:t>.</w:t>
            </w:r>
            <w:r w:rsidR="0004090A">
              <w:rPr>
                <w:rStyle w:val="FootnoteReference"/>
                <w:rFonts w:ascii="Times New Roman" w:hAnsi="Times New Roman" w:cs="Times New Roman"/>
                <w:sz w:val="24"/>
                <w:szCs w:val="24"/>
              </w:rPr>
              <w:footnoteReference w:id="5"/>
            </w:r>
          </w:p>
          <w:p w14:paraId="44408CF9" w14:textId="3423694A" w:rsidR="00B27C7B" w:rsidRPr="00B27C7B" w:rsidRDefault="00B27C7B" w:rsidP="00B27C7B">
            <w:pPr>
              <w:spacing w:after="0" w:line="240" w:lineRule="auto"/>
              <w:ind w:left="453" w:right="113"/>
              <w:jc w:val="both"/>
              <w:rPr>
                <w:rFonts w:ascii="Times New Roman" w:hAnsi="Times New Roman" w:cs="Times New Roman"/>
                <w:bCs/>
                <w:i/>
                <w:sz w:val="24"/>
                <w:szCs w:val="24"/>
              </w:rPr>
            </w:pPr>
            <w:r>
              <w:rPr>
                <w:rFonts w:ascii="Times New Roman" w:hAnsi="Times New Roman" w:cs="Times New Roman"/>
                <w:bCs/>
                <w:sz w:val="24"/>
                <w:szCs w:val="24"/>
              </w:rPr>
              <w:t xml:space="preserve">       </w:t>
            </w:r>
            <w:r w:rsidRPr="00B27C7B">
              <w:rPr>
                <w:rFonts w:ascii="Times New Roman" w:hAnsi="Times New Roman" w:cs="Times New Roman"/>
                <w:bCs/>
                <w:sz w:val="24"/>
                <w:szCs w:val="24"/>
              </w:rPr>
              <w:t xml:space="preserve">Pamatojoties uz iepriekš minēto, kā arī citu valstu labo praksi, </w:t>
            </w:r>
            <w:r w:rsidR="004D10DF">
              <w:rPr>
                <w:rFonts w:ascii="Times New Roman" w:hAnsi="Times New Roman" w:cs="Times New Roman"/>
                <w:bCs/>
                <w:sz w:val="24"/>
                <w:szCs w:val="24"/>
              </w:rPr>
              <w:t xml:space="preserve">Ministru kabineta </w:t>
            </w:r>
            <w:r w:rsidR="004D10DF">
              <w:rPr>
                <w:rFonts w:ascii="Times New Roman" w:hAnsi="Times New Roman" w:cs="Times New Roman"/>
                <w:b/>
                <w:bCs/>
                <w:sz w:val="24"/>
                <w:szCs w:val="24"/>
              </w:rPr>
              <w:t>n</w:t>
            </w:r>
            <w:r w:rsidRPr="00B27C7B">
              <w:rPr>
                <w:rFonts w:ascii="Times New Roman" w:hAnsi="Times New Roman" w:cs="Times New Roman"/>
                <w:b/>
                <w:bCs/>
                <w:sz w:val="24"/>
                <w:szCs w:val="24"/>
              </w:rPr>
              <w:t xml:space="preserve">oteikumu projekta </w:t>
            </w:r>
            <w:r w:rsidR="004D10DF">
              <w:rPr>
                <w:rFonts w:ascii="Times New Roman" w:hAnsi="Times New Roman" w:cs="Times New Roman"/>
                <w:b/>
                <w:bCs/>
                <w:sz w:val="24"/>
                <w:szCs w:val="24"/>
              </w:rPr>
              <w:t>8.punkts</w:t>
            </w:r>
            <w:r w:rsidRPr="00B27C7B">
              <w:rPr>
                <w:rFonts w:ascii="Times New Roman" w:hAnsi="Times New Roman" w:cs="Times New Roman"/>
                <w:bCs/>
                <w:sz w:val="24"/>
                <w:szCs w:val="24"/>
              </w:rPr>
              <w:t xml:space="preserve"> paredz, ka </w:t>
            </w:r>
            <w:r w:rsidR="00225D18">
              <w:t xml:space="preserve"> </w:t>
            </w:r>
            <w:r w:rsidR="00225D18">
              <w:rPr>
                <w:rFonts w:ascii="Times New Roman" w:hAnsi="Times New Roman" w:cs="Times New Roman"/>
                <w:bCs/>
                <w:i/>
                <w:sz w:val="24"/>
                <w:szCs w:val="24"/>
              </w:rPr>
              <w:t>k</w:t>
            </w:r>
            <w:r w:rsidR="00225D18" w:rsidRPr="00225D18">
              <w:rPr>
                <w:rFonts w:ascii="Times New Roman" w:hAnsi="Times New Roman" w:cs="Times New Roman"/>
                <w:bCs/>
                <w:i/>
                <w:sz w:val="24"/>
                <w:szCs w:val="24"/>
              </w:rPr>
              <w:t>apitālsabiedrības reizi gadā un ne vēlāk kā 3 mēnešus pēc gada pārskata apstiprināšanas publisko informāciju tīmekļa vietnē par iepriekšējā gadā kapitālsabiedrības veiktajiem pasākumiem korupcijas riska novēršanai.</w:t>
            </w:r>
          </w:p>
          <w:p w14:paraId="7B6CFE6D" w14:textId="7D1043DF" w:rsidR="00B27C7B" w:rsidRPr="00B27C7B" w:rsidRDefault="00B27C7B" w:rsidP="00B27C7B">
            <w:pPr>
              <w:spacing w:after="0" w:line="240" w:lineRule="auto"/>
              <w:ind w:left="453" w:right="113"/>
              <w:jc w:val="both"/>
              <w:rPr>
                <w:rFonts w:ascii="Times New Roman" w:hAnsi="Times New Roman" w:cs="Times New Roman"/>
                <w:i/>
                <w:sz w:val="24"/>
                <w:szCs w:val="24"/>
              </w:rPr>
            </w:pPr>
            <w:r>
              <w:rPr>
                <w:rFonts w:ascii="Times New Roman" w:hAnsi="Times New Roman" w:cs="Times New Roman"/>
                <w:bCs/>
                <w:sz w:val="24"/>
                <w:szCs w:val="24"/>
              </w:rPr>
              <w:t xml:space="preserve">     </w:t>
            </w:r>
            <w:r w:rsidRPr="00B27C7B">
              <w:rPr>
                <w:rFonts w:ascii="Times New Roman" w:hAnsi="Times New Roman" w:cs="Times New Roman"/>
                <w:bCs/>
                <w:sz w:val="24"/>
                <w:szCs w:val="24"/>
              </w:rPr>
              <w:t>Kapitālsabiedrības, uz kurām attiecas</w:t>
            </w:r>
            <w:r w:rsidRPr="00B27C7B">
              <w:rPr>
                <w:rFonts w:ascii="Times New Roman" w:hAnsi="Times New Roman" w:cs="Times New Roman"/>
                <w:sz w:val="24"/>
                <w:szCs w:val="24"/>
              </w:rPr>
              <w:t xml:space="preserve"> Gada pārskatu un konsolidēto gada pārskatu likums,</w:t>
            </w:r>
            <w:r w:rsidRPr="00B27C7B">
              <w:rPr>
                <w:rFonts w:ascii="Times New Roman" w:hAnsi="Times New Roman" w:cs="Times New Roman"/>
                <w:bCs/>
                <w:sz w:val="24"/>
                <w:szCs w:val="24"/>
              </w:rPr>
              <w:t xml:space="preserve"> informāciju par iepriekšējā gadā veiktajiem pasākumiem korupcijas riska novēršanai, </w:t>
            </w:r>
            <w:r w:rsidRPr="00091623">
              <w:rPr>
                <w:rFonts w:ascii="Times New Roman" w:hAnsi="Times New Roman" w:cs="Times New Roman"/>
                <w:b/>
                <w:bCs/>
                <w:sz w:val="24"/>
                <w:szCs w:val="24"/>
                <w:u w:val="single"/>
              </w:rPr>
              <w:t>var iekļaut</w:t>
            </w:r>
            <w:r w:rsidRPr="00B27C7B">
              <w:rPr>
                <w:rFonts w:ascii="Times New Roman" w:hAnsi="Times New Roman" w:cs="Times New Roman"/>
                <w:bCs/>
                <w:sz w:val="24"/>
                <w:szCs w:val="24"/>
              </w:rPr>
              <w:t xml:space="preserve"> </w:t>
            </w:r>
            <w:r w:rsidRPr="00B27C7B">
              <w:rPr>
                <w:rFonts w:ascii="Times New Roman" w:hAnsi="Times New Roman" w:cs="Times New Roman"/>
                <w:sz w:val="24"/>
                <w:szCs w:val="24"/>
              </w:rPr>
              <w:t>Vadības ziņojumā (Gada pārskatu un konsolidēto gada pārskatu likuma XI nodaļa). Gada pārskatu un konsolidēto gada pārskatu likuma 55.panta pirmā un otrā daļa paredz, ka  (1)</w:t>
            </w:r>
            <w:r w:rsidRPr="00B27C7B">
              <w:rPr>
                <w:rFonts w:ascii="Times New Roman" w:hAnsi="Times New Roman" w:cs="Times New Roman"/>
                <w:i/>
                <w:sz w:val="24"/>
                <w:szCs w:val="24"/>
              </w:rPr>
              <w:t xml:space="preserve">Vadības ziņojumā sniedz skaidru informāciju par </w:t>
            </w:r>
            <w:r w:rsidRPr="00B27C7B">
              <w:rPr>
                <w:rFonts w:ascii="Times New Roman" w:hAnsi="Times New Roman" w:cs="Times New Roman"/>
                <w:i/>
                <w:sz w:val="24"/>
                <w:szCs w:val="24"/>
                <w:u w:val="single"/>
              </w:rPr>
              <w:t>sabiedrības attīstību</w:t>
            </w:r>
            <w:r w:rsidRPr="00B27C7B">
              <w:rPr>
                <w:rFonts w:ascii="Times New Roman" w:hAnsi="Times New Roman" w:cs="Times New Roman"/>
                <w:i/>
                <w:sz w:val="24"/>
                <w:szCs w:val="24"/>
              </w:rPr>
              <w:t xml:space="preserve">, darbības finansiālajiem rezultātiem un finansiālo stāvokli, kā arī </w:t>
            </w:r>
            <w:r w:rsidRPr="00B27C7B">
              <w:rPr>
                <w:rFonts w:ascii="Times New Roman" w:hAnsi="Times New Roman" w:cs="Times New Roman"/>
                <w:i/>
                <w:sz w:val="24"/>
                <w:szCs w:val="24"/>
                <w:u w:val="single"/>
              </w:rPr>
              <w:t>informāciju par būtiskiem riskiem un neskaidriem apstākļiem</w:t>
            </w:r>
            <w:r w:rsidRPr="00B27C7B">
              <w:rPr>
                <w:rFonts w:ascii="Times New Roman" w:hAnsi="Times New Roman" w:cs="Times New Roman"/>
                <w:i/>
                <w:sz w:val="24"/>
                <w:szCs w:val="24"/>
              </w:rPr>
              <w:t xml:space="preserve">, ar kuriem sabiedrība saskaras. Šo </w:t>
            </w:r>
            <w:r w:rsidRPr="00B27C7B">
              <w:rPr>
                <w:rFonts w:ascii="Times New Roman" w:hAnsi="Times New Roman" w:cs="Times New Roman"/>
                <w:i/>
                <w:sz w:val="24"/>
                <w:szCs w:val="24"/>
                <w:u w:val="single"/>
              </w:rPr>
              <w:t>informāciju pamato ar vispusīgu un visaptverošu sabiedrības attīstības</w:t>
            </w:r>
            <w:r w:rsidRPr="00B27C7B">
              <w:rPr>
                <w:rFonts w:ascii="Times New Roman" w:hAnsi="Times New Roman" w:cs="Times New Roman"/>
                <w:i/>
                <w:sz w:val="24"/>
                <w:szCs w:val="24"/>
              </w:rPr>
              <w:t>, darbības finansiālo rezultātu un finansiālā stāvokļa analīzi atbilstoši attiecīgās sabiedrības darbības apjomam un sarežģītībai.</w:t>
            </w:r>
          </w:p>
          <w:p w14:paraId="1F6990DD" w14:textId="77777777" w:rsidR="00B27C7B" w:rsidRPr="00B27C7B" w:rsidRDefault="00B27C7B" w:rsidP="00B27C7B">
            <w:pPr>
              <w:spacing w:after="0" w:line="240" w:lineRule="auto"/>
              <w:ind w:left="453" w:right="113"/>
              <w:jc w:val="both"/>
              <w:rPr>
                <w:rFonts w:ascii="Times New Roman" w:hAnsi="Times New Roman" w:cs="Times New Roman"/>
                <w:i/>
                <w:sz w:val="24"/>
                <w:szCs w:val="24"/>
              </w:rPr>
            </w:pPr>
            <w:r w:rsidRPr="00B27C7B">
              <w:rPr>
                <w:rFonts w:ascii="Times New Roman" w:hAnsi="Times New Roman" w:cs="Times New Roman"/>
                <w:i/>
                <w:sz w:val="24"/>
                <w:szCs w:val="24"/>
              </w:rPr>
              <w:t xml:space="preserve">(2)Ciktāl tas ir nepieciešams, lai izprastu </w:t>
            </w:r>
            <w:r w:rsidRPr="00B27C7B">
              <w:rPr>
                <w:rFonts w:ascii="Times New Roman" w:hAnsi="Times New Roman" w:cs="Times New Roman"/>
                <w:i/>
                <w:sz w:val="24"/>
                <w:szCs w:val="24"/>
                <w:u w:val="single"/>
              </w:rPr>
              <w:t>sabiedrības attīstību</w:t>
            </w:r>
            <w:r w:rsidRPr="00B27C7B">
              <w:rPr>
                <w:rFonts w:ascii="Times New Roman" w:hAnsi="Times New Roman" w:cs="Times New Roman"/>
                <w:i/>
                <w:sz w:val="24"/>
                <w:szCs w:val="24"/>
              </w:rPr>
              <w:t>, darbības finansiālos rezultātus vai finansiālo stāvokli, šā panta pirmajā daļā minētajā analīzē iekļauj:</w:t>
            </w:r>
          </w:p>
          <w:p w14:paraId="2FE72C1A" w14:textId="77777777" w:rsidR="00B27C7B" w:rsidRPr="00B27C7B" w:rsidRDefault="00B27C7B" w:rsidP="00B27C7B">
            <w:pPr>
              <w:spacing w:after="0" w:line="240" w:lineRule="auto"/>
              <w:ind w:left="453" w:right="113"/>
              <w:jc w:val="both"/>
              <w:rPr>
                <w:rFonts w:ascii="Times New Roman" w:hAnsi="Times New Roman" w:cs="Times New Roman"/>
                <w:i/>
                <w:sz w:val="24"/>
                <w:szCs w:val="24"/>
              </w:rPr>
            </w:pPr>
            <w:r w:rsidRPr="00B27C7B">
              <w:rPr>
                <w:rFonts w:ascii="Times New Roman" w:hAnsi="Times New Roman" w:cs="Times New Roman"/>
                <w:i/>
                <w:sz w:val="24"/>
                <w:szCs w:val="24"/>
              </w:rPr>
              <w:t>1) finansiālo rezultātu rādītājus;</w:t>
            </w:r>
          </w:p>
          <w:p w14:paraId="5293B5AA" w14:textId="77777777" w:rsidR="00B27C7B" w:rsidRPr="00B27C7B" w:rsidRDefault="00B27C7B" w:rsidP="00B27C7B">
            <w:pPr>
              <w:spacing w:after="0" w:line="240" w:lineRule="auto"/>
              <w:ind w:left="453" w:right="113"/>
              <w:jc w:val="both"/>
              <w:rPr>
                <w:rFonts w:ascii="Times New Roman" w:hAnsi="Times New Roman" w:cs="Times New Roman"/>
                <w:i/>
                <w:sz w:val="24"/>
                <w:szCs w:val="24"/>
              </w:rPr>
            </w:pPr>
            <w:r w:rsidRPr="00B27C7B">
              <w:rPr>
                <w:rFonts w:ascii="Times New Roman" w:hAnsi="Times New Roman" w:cs="Times New Roman"/>
                <w:i/>
                <w:sz w:val="24"/>
                <w:szCs w:val="24"/>
              </w:rPr>
              <w:t xml:space="preserve">2) </w:t>
            </w:r>
            <w:r w:rsidRPr="00B27C7B">
              <w:rPr>
                <w:rFonts w:ascii="Times New Roman" w:hAnsi="Times New Roman" w:cs="Times New Roman"/>
                <w:i/>
                <w:sz w:val="24"/>
                <w:szCs w:val="24"/>
                <w:u w:val="single"/>
              </w:rPr>
              <w:t xml:space="preserve">ciktāl tie ir būtiski, arī galvenos sabiedrību un attiecīgo nozari raksturojošos </w:t>
            </w:r>
            <w:proofErr w:type="spellStart"/>
            <w:r w:rsidRPr="00B27C7B">
              <w:rPr>
                <w:rFonts w:ascii="Times New Roman" w:hAnsi="Times New Roman" w:cs="Times New Roman"/>
                <w:i/>
                <w:sz w:val="24"/>
                <w:szCs w:val="24"/>
                <w:u w:val="single"/>
              </w:rPr>
              <w:t>nefinanšu</w:t>
            </w:r>
            <w:proofErr w:type="spellEnd"/>
            <w:r w:rsidRPr="00B27C7B">
              <w:rPr>
                <w:rFonts w:ascii="Times New Roman" w:hAnsi="Times New Roman" w:cs="Times New Roman"/>
                <w:i/>
                <w:sz w:val="24"/>
                <w:szCs w:val="24"/>
                <w:u w:val="single"/>
              </w:rPr>
              <w:t xml:space="preserve"> rādītājus</w:t>
            </w:r>
            <w:r w:rsidRPr="00B27C7B">
              <w:rPr>
                <w:rFonts w:ascii="Times New Roman" w:hAnsi="Times New Roman" w:cs="Times New Roman"/>
                <w:i/>
                <w:sz w:val="24"/>
                <w:szCs w:val="24"/>
              </w:rPr>
              <w:t>, kā arī informāciju par vides aizsardzības prasību ietekmi un informāciju par darbiniekiem vai citu informāciju;</w:t>
            </w:r>
          </w:p>
          <w:p w14:paraId="07AD1AE5" w14:textId="77777777" w:rsidR="00B27C7B" w:rsidRPr="00B27C7B" w:rsidRDefault="00B27C7B" w:rsidP="00B27C7B">
            <w:pPr>
              <w:spacing w:after="0" w:line="240" w:lineRule="auto"/>
              <w:ind w:left="453" w:right="113"/>
              <w:jc w:val="both"/>
              <w:rPr>
                <w:rFonts w:ascii="Times New Roman" w:hAnsi="Times New Roman" w:cs="Times New Roman"/>
                <w:i/>
                <w:sz w:val="24"/>
                <w:szCs w:val="24"/>
              </w:rPr>
            </w:pPr>
            <w:r w:rsidRPr="00B27C7B">
              <w:rPr>
                <w:rFonts w:ascii="Times New Roman" w:hAnsi="Times New Roman" w:cs="Times New Roman"/>
                <w:i/>
                <w:sz w:val="24"/>
                <w:szCs w:val="24"/>
              </w:rPr>
              <w:t>3) attiecīgā gadījumā — atsauces uz finanšu pārskatā norādītajām summām un papildu skaidrojumus par tām.</w:t>
            </w:r>
          </w:p>
          <w:p w14:paraId="0F470585" w14:textId="77777777" w:rsidR="00B27C7B" w:rsidRPr="00C043B7" w:rsidRDefault="00B27C7B" w:rsidP="00B27C7B">
            <w:pPr>
              <w:spacing w:after="0" w:line="240" w:lineRule="auto"/>
              <w:ind w:left="453" w:right="113"/>
              <w:jc w:val="both"/>
              <w:rPr>
                <w:rFonts w:ascii="Times New Roman" w:hAnsi="Times New Roman" w:cs="Times New Roman"/>
                <w:sz w:val="24"/>
                <w:szCs w:val="24"/>
              </w:rPr>
            </w:pPr>
          </w:p>
          <w:p w14:paraId="01FC70B2" w14:textId="3F129F22" w:rsidR="00997BA4" w:rsidRPr="00C043B7" w:rsidRDefault="00997BA4" w:rsidP="00FD5A18">
            <w:pPr>
              <w:pStyle w:val="Heading4"/>
              <w:spacing w:before="0" w:line="240" w:lineRule="auto"/>
              <w:ind w:left="113" w:right="113" w:firstLine="340"/>
              <w:jc w:val="both"/>
              <w:rPr>
                <w:rFonts w:ascii="Times New Roman" w:hAnsi="Times New Roman" w:cs="Times New Roman"/>
                <w:b w:val="0"/>
                <w:i w:val="0"/>
                <w:color w:val="auto"/>
                <w:sz w:val="24"/>
                <w:szCs w:val="24"/>
              </w:rPr>
            </w:pPr>
            <w:r w:rsidRPr="00C043B7">
              <w:rPr>
                <w:rFonts w:ascii="Times New Roman" w:hAnsi="Times New Roman" w:cs="Times New Roman"/>
                <w:b w:val="0"/>
                <w:i w:val="0"/>
                <w:color w:val="auto"/>
                <w:sz w:val="24"/>
                <w:szCs w:val="24"/>
              </w:rPr>
              <w:t>Pamatojoties uz to, ka jau no 2004.gada (Korupcijas novēršanas un apk</w:t>
            </w:r>
            <w:r w:rsidR="006A10CA" w:rsidRPr="00C043B7">
              <w:rPr>
                <w:rFonts w:ascii="Times New Roman" w:hAnsi="Times New Roman" w:cs="Times New Roman"/>
                <w:b w:val="0"/>
                <w:i w:val="0"/>
                <w:color w:val="auto"/>
                <w:sz w:val="24"/>
                <w:szCs w:val="24"/>
              </w:rPr>
              <w:t>arošanas valsts programma 2004.‒</w:t>
            </w:r>
            <w:r w:rsidRPr="00C043B7">
              <w:rPr>
                <w:rFonts w:ascii="Times New Roman" w:hAnsi="Times New Roman" w:cs="Times New Roman"/>
                <w:b w:val="0"/>
                <w:i w:val="0"/>
                <w:color w:val="auto"/>
                <w:sz w:val="24"/>
                <w:szCs w:val="24"/>
              </w:rPr>
              <w:t xml:space="preserve">2008.gadam) visām valsts pārvaldes un pašvaldību iestādēm </w:t>
            </w:r>
            <w:r w:rsidR="004A6DCE">
              <w:rPr>
                <w:rFonts w:ascii="Times New Roman" w:hAnsi="Times New Roman" w:cs="Times New Roman"/>
                <w:b w:val="0"/>
                <w:i w:val="0"/>
                <w:color w:val="auto"/>
                <w:sz w:val="24"/>
                <w:szCs w:val="24"/>
              </w:rPr>
              <w:t>ir</w:t>
            </w:r>
            <w:r w:rsidRPr="00C043B7">
              <w:rPr>
                <w:rFonts w:ascii="Times New Roman" w:hAnsi="Times New Roman" w:cs="Times New Roman"/>
                <w:b w:val="0"/>
                <w:i w:val="0"/>
                <w:color w:val="auto"/>
                <w:sz w:val="24"/>
                <w:szCs w:val="24"/>
              </w:rPr>
              <w:t xml:space="preserve"> noteikta prasība izstrādāt pretkorupcijas pasākumu plānu un stiprināt iekšējo kontroles sistēmu (novēršot korupcijas riskus) iestādē, </w:t>
            </w:r>
            <w:r w:rsidRPr="00C043B7">
              <w:rPr>
                <w:rFonts w:ascii="Times New Roman" w:hAnsi="Times New Roman" w:cs="Times New Roman"/>
                <w:i w:val="0"/>
                <w:color w:val="auto"/>
                <w:sz w:val="24"/>
                <w:szCs w:val="24"/>
              </w:rPr>
              <w:t>Korupcijas novēršanas un apkarošanas biroja pārstāvj</w:t>
            </w:r>
            <w:r w:rsidRPr="00C043B7">
              <w:rPr>
                <w:rFonts w:ascii="Times New Roman" w:hAnsi="Times New Roman" w:cs="Times New Roman"/>
                <w:b w:val="0"/>
                <w:i w:val="0"/>
                <w:color w:val="auto"/>
                <w:sz w:val="24"/>
                <w:szCs w:val="24"/>
              </w:rPr>
              <w:t>i</w:t>
            </w:r>
            <w:r w:rsidRPr="008D0EB7">
              <w:rPr>
                <w:rFonts w:ascii="Times New Roman" w:hAnsi="Times New Roman" w:cs="Times New Roman"/>
                <w:i w:val="0"/>
                <w:color w:val="auto"/>
                <w:sz w:val="24"/>
                <w:szCs w:val="24"/>
              </w:rPr>
              <w:t xml:space="preserve"> aktīvi</w:t>
            </w:r>
            <w:r w:rsidRPr="00C043B7">
              <w:rPr>
                <w:rFonts w:ascii="Times New Roman" w:hAnsi="Times New Roman" w:cs="Times New Roman"/>
                <w:b w:val="0"/>
                <w:i w:val="0"/>
                <w:color w:val="auto"/>
                <w:sz w:val="24"/>
                <w:szCs w:val="24"/>
              </w:rPr>
              <w:t xml:space="preserve"> </w:t>
            </w:r>
            <w:r w:rsidRPr="00C043B7">
              <w:rPr>
                <w:rFonts w:ascii="Times New Roman" w:hAnsi="Times New Roman" w:cs="Times New Roman"/>
                <w:i w:val="0"/>
                <w:color w:val="auto"/>
                <w:sz w:val="24"/>
                <w:szCs w:val="24"/>
              </w:rPr>
              <w:t>konsultē un nodrošina (</w:t>
            </w:r>
            <w:r w:rsidR="004A6DCE">
              <w:rPr>
                <w:rFonts w:ascii="Times New Roman" w:hAnsi="Times New Roman" w:cs="Times New Roman"/>
                <w:i w:val="0"/>
                <w:color w:val="auto"/>
                <w:sz w:val="24"/>
                <w:szCs w:val="24"/>
              </w:rPr>
              <w:t xml:space="preserve">gan </w:t>
            </w:r>
            <w:r w:rsidRPr="00C043B7">
              <w:rPr>
                <w:rFonts w:ascii="Times New Roman" w:hAnsi="Times New Roman" w:cs="Times New Roman"/>
                <w:i w:val="0"/>
                <w:color w:val="auto"/>
                <w:sz w:val="24"/>
                <w:szCs w:val="24"/>
              </w:rPr>
              <w:t xml:space="preserve">pēc </w:t>
            </w:r>
            <w:r w:rsidRPr="00C043B7">
              <w:rPr>
                <w:rFonts w:ascii="Times New Roman" w:hAnsi="Times New Roman" w:cs="Times New Roman"/>
                <w:i w:val="0"/>
                <w:color w:val="auto"/>
                <w:sz w:val="24"/>
                <w:szCs w:val="24"/>
              </w:rPr>
              <w:lastRenderedPageBreak/>
              <w:t>pieprasījuma</w:t>
            </w:r>
            <w:r w:rsidR="004A6DCE">
              <w:rPr>
                <w:rFonts w:ascii="Times New Roman" w:hAnsi="Times New Roman" w:cs="Times New Roman"/>
                <w:i w:val="0"/>
                <w:color w:val="auto"/>
                <w:sz w:val="24"/>
                <w:szCs w:val="24"/>
              </w:rPr>
              <w:t xml:space="preserve">, gan </w:t>
            </w:r>
            <w:proofErr w:type="spellStart"/>
            <w:r w:rsidR="004A6DCE">
              <w:rPr>
                <w:rFonts w:ascii="Times New Roman" w:hAnsi="Times New Roman" w:cs="Times New Roman"/>
                <w:i w:val="0"/>
                <w:color w:val="auto"/>
                <w:sz w:val="24"/>
                <w:szCs w:val="24"/>
              </w:rPr>
              <w:t>plānveidā</w:t>
            </w:r>
            <w:proofErr w:type="spellEnd"/>
            <w:r w:rsidRPr="00C043B7">
              <w:rPr>
                <w:rFonts w:ascii="Times New Roman" w:hAnsi="Times New Roman" w:cs="Times New Roman"/>
                <w:i w:val="0"/>
                <w:color w:val="auto"/>
                <w:sz w:val="24"/>
                <w:szCs w:val="24"/>
              </w:rPr>
              <w:t>) izglītošanas pasākumus</w:t>
            </w:r>
            <w:r w:rsidRPr="00C043B7">
              <w:rPr>
                <w:rFonts w:ascii="Times New Roman" w:hAnsi="Times New Roman" w:cs="Times New Roman"/>
                <w:b w:val="0"/>
                <w:i w:val="0"/>
                <w:color w:val="auto"/>
                <w:sz w:val="24"/>
                <w:szCs w:val="24"/>
              </w:rPr>
              <w:t xml:space="preserve"> iestādēm par </w:t>
            </w:r>
            <w:r w:rsidR="00000E57" w:rsidRPr="00C043B7">
              <w:rPr>
                <w:rFonts w:ascii="Times New Roman" w:eastAsiaTheme="minorEastAsia" w:hAnsi="Times New Roman" w:cs="Times New Roman"/>
                <w:b w:val="0"/>
                <w:bCs w:val="0"/>
                <w:i w:val="0"/>
                <w:iCs w:val="0"/>
                <w:color w:val="auto"/>
                <w:sz w:val="24"/>
                <w:szCs w:val="24"/>
              </w:rPr>
              <w:t xml:space="preserve"> </w:t>
            </w:r>
            <w:r w:rsidR="008E7669">
              <w:rPr>
                <w:rFonts w:ascii="Times New Roman" w:eastAsiaTheme="minorEastAsia" w:hAnsi="Times New Roman" w:cs="Times New Roman"/>
                <w:b w:val="0"/>
                <w:bCs w:val="0"/>
                <w:i w:val="0"/>
                <w:iCs w:val="0"/>
                <w:color w:val="auto"/>
                <w:sz w:val="24"/>
                <w:szCs w:val="24"/>
              </w:rPr>
              <w:t xml:space="preserve">ētikas, </w:t>
            </w:r>
            <w:r w:rsidR="00000E57" w:rsidRPr="00C043B7">
              <w:rPr>
                <w:rFonts w:ascii="Times New Roman" w:hAnsi="Times New Roman" w:cs="Times New Roman"/>
                <w:b w:val="0"/>
                <w:i w:val="0"/>
                <w:color w:val="auto"/>
                <w:sz w:val="24"/>
                <w:szCs w:val="24"/>
              </w:rPr>
              <w:t>korupcijas, interešu konflikta</w:t>
            </w:r>
            <w:r w:rsidR="004A6DCE">
              <w:rPr>
                <w:rFonts w:ascii="Times New Roman" w:hAnsi="Times New Roman" w:cs="Times New Roman"/>
                <w:b w:val="0"/>
                <w:i w:val="0"/>
                <w:color w:val="auto"/>
                <w:sz w:val="24"/>
                <w:szCs w:val="24"/>
              </w:rPr>
              <w:t xml:space="preserve"> novēršanas</w:t>
            </w:r>
            <w:r w:rsidR="00000E57" w:rsidRPr="00C043B7">
              <w:rPr>
                <w:rFonts w:ascii="Times New Roman" w:hAnsi="Times New Roman" w:cs="Times New Roman"/>
                <w:b w:val="0"/>
                <w:i w:val="0"/>
                <w:color w:val="auto"/>
                <w:sz w:val="24"/>
                <w:szCs w:val="24"/>
              </w:rPr>
              <w:t xml:space="preserve"> jautājumiem, kā arī par </w:t>
            </w:r>
            <w:r w:rsidRPr="00C043B7">
              <w:rPr>
                <w:rFonts w:ascii="Times New Roman" w:hAnsi="Times New Roman" w:cs="Times New Roman"/>
                <w:b w:val="0"/>
                <w:i w:val="0"/>
                <w:color w:val="auto"/>
                <w:sz w:val="24"/>
                <w:szCs w:val="24"/>
              </w:rPr>
              <w:t>iekšējiem organizatoriskajiem pasākumiem korupcijas riska novēršanai institūcijā.</w:t>
            </w:r>
            <w:r w:rsidR="00000E57" w:rsidRPr="00C043B7">
              <w:rPr>
                <w:rFonts w:ascii="Times New Roman" w:hAnsi="Times New Roman" w:cs="Times New Roman"/>
                <w:b w:val="0"/>
                <w:i w:val="0"/>
                <w:color w:val="auto"/>
                <w:sz w:val="24"/>
                <w:szCs w:val="24"/>
              </w:rPr>
              <w:t xml:space="preserve"> </w:t>
            </w:r>
          </w:p>
          <w:p w14:paraId="56CDF8BF" w14:textId="0C35DF20" w:rsidR="00000E57" w:rsidRPr="008E7669" w:rsidRDefault="00000E57" w:rsidP="00FD5A18">
            <w:pPr>
              <w:spacing w:after="0" w:line="240" w:lineRule="auto"/>
              <w:ind w:left="113" w:right="113" w:firstLine="340"/>
              <w:jc w:val="both"/>
              <w:rPr>
                <w:rFonts w:ascii="Times New Roman" w:hAnsi="Times New Roman" w:cs="Times New Roman"/>
                <w:sz w:val="24"/>
                <w:szCs w:val="24"/>
              </w:rPr>
            </w:pPr>
            <w:r w:rsidRPr="00C043B7">
              <w:rPr>
                <w:rFonts w:ascii="Times New Roman" w:hAnsi="Times New Roman" w:cs="Times New Roman"/>
                <w:sz w:val="24"/>
                <w:szCs w:val="24"/>
              </w:rPr>
              <w:t xml:space="preserve">Apmācības par </w:t>
            </w:r>
            <w:r w:rsidR="007903C2" w:rsidRPr="00C043B7">
              <w:rPr>
                <w:rFonts w:ascii="Times New Roman" w:hAnsi="Times New Roman" w:cs="Times New Roman"/>
                <w:sz w:val="24"/>
                <w:szCs w:val="24"/>
              </w:rPr>
              <w:t>ētikas, korupcijas un interešu konflikta</w:t>
            </w:r>
            <w:r w:rsidR="004A6DCE">
              <w:rPr>
                <w:rFonts w:ascii="Times New Roman" w:hAnsi="Times New Roman" w:cs="Times New Roman"/>
                <w:sz w:val="24"/>
                <w:szCs w:val="24"/>
              </w:rPr>
              <w:t xml:space="preserve"> </w:t>
            </w:r>
            <w:r w:rsidR="007903C2" w:rsidRPr="00C043B7">
              <w:rPr>
                <w:rFonts w:ascii="Times New Roman" w:hAnsi="Times New Roman" w:cs="Times New Roman"/>
                <w:sz w:val="24"/>
                <w:szCs w:val="24"/>
              </w:rPr>
              <w:t xml:space="preserve">jautājumiem var nodrošināt organizējot semināru institūcijā (arī apvienojoties institūcijām, piemēram, divas vai vairākas pašvaldības kopā), uzaicinot Korupcijas novēršanas un apkarošanas biroja </w:t>
            </w:r>
            <w:r w:rsidR="00D056E4">
              <w:rPr>
                <w:rFonts w:ascii="Times New Roman" w:hAnsi="Times New Roman" w:cs="Times New Roman"/>
                <w:sz w:val="24"/>
                <w:szCs w:val="24"/>
              </w:rPr>
              <w:t>amatpersonas</w:t>
            </w:r>
            <w:r w:rsidR="007903C2" w:rsidRPr="00C043B7">
              <w:rPr>
                <w:rFonts w:ascii="Times New Roman" w:hAnsi="Times New Roman" w:cs="Times New Roman"/>
                <w:sz w:val="24"/>
                <w:szCs w:val="24"/>
              </w:rPr>
              <w:t xml:space="preserve"> (minimālais dal</w:t>
            </w:r>
            <w:r w:rsidR="00287CD3" w:rsidRPr="00C043B7">
              <w:rPr>
                <w:rFonts w:ascii="Times New Roman" w:hAnsi="Times New Roman" w:cs="Times New Roman"/>
                <w:sz w:val="24"/>
                <w:szCs w:val="24"/>
              </w:rPr>
              <w:t>ībnieku skaits 25), vai piedaloties Valsts administrācijas skolas organizētaj</w:t>
            </w:r>
            <w:r w:rsidR="004A6DCE">
              <w:rPr>
                <w:rFonts w:ascii="Times New Roman" w:hAnsi="Times New Roman" w:cs="Times New Roman"/>
                <w:sz w:val="24"/>
                <w:szCs w:val="24"/>
              </w:rPr>
              <w:t>os</w:t>
            </w:r>
            <w:r w:rsidR="00287CD3" w:rsidRPr="00C043B7">
              <w:rPr>
                <w:rFonts w:ascii="Times New Roman" w:hAnsi="Times New Roman" w:cs="Times New Roman"/>
                <w:sz w:val="24"/>
                <w:szCs w:val="24"/>
              </w:rPr>
              <w:t xml:space="preserve"> seminār</w:t>
            </w:r>
            <w:r w:rsidR="004A6DCE">
              <w:rPr>
                <w:rFonts w:ascii="Times New Roman" w:hAnsi="Times New Roman" w:cs="Times New Roman"/>
                <w:sz w:val="24"/>
                <w:szCs w:val="24"/>
              </w:rPr>
              <w:t>os</w:t>
            </w:r>
            <w:r w:rsidR="00287CD3" w:rsidRPr="00C043B7">
              <w:rPr>
                <w:rFonts w:ascii="Times New Roman" w:hAnsi="Times New Roman" w:cs="Times New Roman"/>
                <w:sz w:val="24"/>
                <w:szCs w:val="24"/>
              </w:rPr>
              <w:t xml:space="preserve"> par interešu konflikta un korupcijas novēršanas jautājumiem</w:t>
            </w:r>
            <w:r w:rsidR="004A6DCE">
              <w:rPr>
                <w:rFonts w:ascii="Times New Roman" w:hAnsi="Times New Roman" w:cs="Times New Roman"/>
                <w:sz w:val="24"/>
                <w:szCs w:val="24"/>
              </w:rPr>
              <w:t>, k</w:t>
            </w:r>
            <w:r w:rsidR="00287CD3" w:rsidRPr="00C043B7">
              <w:rPr>
                <w:rFonts w:ascii="Times New Roman" w:hAnsi="Times New Roman" w:cs="Times New Roman"/>
                <w:sz w:val="24"/>
                <w:szCs w:val="24"/>
              </w:rPr>
              <w:t xml:space="preserve">ā arī, deleģējot institūcijas pārstāvi, var iesaistīties Biroja piedāvātajā </w:t>
            </w:r>
            <w:proofErr w:type="spellStart"/>
            <w:r w:rsidR="00287CD3" w:rsidRPr="00C043B7">
              <w:rPr>
                <w:rFonts w:ascii="Times New Roman" w:hAnsi="Times New Roman" w:cs="Times New Roman"/>
                <w:sz w:val="24"/>
                <w:szCs w:val="24"/>
              </w:rPr>
              <w:t>tālākizglītotāju</w:t>
            </w:r>
            <w:proofErr w:type="spellEnd"/>
            <w:r w:rsidR="00287CD3" w:rsidRPr="00C043B7">
              <w:rPr>
                <w:rFonts w:ascii="Times New Roman" w:hAnsi="Times New Roman" w:cs="Times New Roman"/>
                <w:sz w:val="24"/>
                <w:szCs w:val="24"/>
              </w:rPr>
              <w:t xml:space="preserve"> pretkorupcijas jautājumos sagatavošanas programm</w:t>
            </w:r>
            <w:r w:rsidR="00FD5A18" w:rsidRPr="00C043B7">
              <w:rPr>
                <w:rFonts w:ascii="Times New Roman" w:hAnsi="Times New Roman" w:cs="Times New Roman"/>
                <w:sz w:val="24"/>
                <w:szCs w:val="24"/>
              </w:rPr>
              <w:t>ā, tādējādi nodrošinot</w:t>
            </w:r>
            <w:r w:rsidR="00507F9A">
              <w:rPr>
                <w:rFonts w:ascii="Times New Roman" w:hAnsi="Times New Roman" w:cs="Times New Roman"/>
                <w:sz w:val="24"/>
                <w:szCs w:val="24"/>
              </w:rPr>
              <w:t xml:space="preserve">, ka regulāras </w:t>
            </w:r>
            <w:r w:rsidR="00FD5A18" w:rsidRPr="00C043B7">
              <w:rPr>
                <w:rFonts w:ascii="Times New Roman" w:hAnsi="Times New Roman" w:cs="Times New Roman"/>
                <w:sz w:val="24"/>
                <w:szCs w:val="24"/>
              </w:rPr>
              <w:t xml:space="preserve"> </w:t>
            </w:r>
            <w:r w:rsidR="00FD5A18" w:rsidRPr="008E7669">
              <w:rPr>
                <w:rFonts w:ascii="Times New Roman" w:hAnsi="Times New Roman" w:cs="Times New Roman"/>
                <w:sz w:val="24"/>
                <w:szCs w:val="24"/>
              </w:rPr>
              <w:t>apmācības savās institūcijās</w:t>
            </w:r>
            <w:r w:rsidR="00507F9A" w:rsidRPr="008E7669">
              <w:rPr>
                <w:rFonts w:ascii="Times New Roman" w:hAnsi="Times New Roman" w:cs="Times New Roman"/>
                <w:sz w:val="24"/>
                <w:szCs w:val="24"/>
              </w:rPr>
              <w:t xml:space="preserve"> varēs veikt īpaši sagatavotas šīs institūcijas amatpersonas</w:t>
            </w:r>
            <w:r w:rsidR="00FD5A18" w:rsidRPr="008E7669">
              <w:rPr>
                <w:rFonts w:ascii="Times New Roman" w:hAnsi="Times New Roman" w:cs="Times New Roman"/>
                <w:sz w:val="24"/>
                <w:szCs w:val="24"/>
              </w:rPr>
              <w:t>.</w:t>
            </w:r>
          </w:p>
          <w:p w14:paraId="26600D66" w14:textId="7F43E067" w:rsidR="00287CD3" w:rsidRPr="008E7669" w:rsidRDefault="00FD5A18" w:rsidP="00FD5A18">
            <w:pPr>
              <w:spacing w:after="0" w:line="240" w:lineRule="auto"/>
              <w:ind w:left="113" w:right="113" w:firstLine="340"/>
              <w:jc w:val="both"/>
              <w:rPr>
                <w:rFonts w:ascii="Times New Roman" w:eastAsia="Calibri" w:hAnsi="Times New Roman" w:cs="Times New Roman"/>
                <w:i/>
                <w:sz w:val="24"/>
                <w:szCs w:val="24"/>
              </w:rPr>
            </w:pPr>
            <w:r w:rsidRPr="008E7669">
              <w:rPr>
                <w:rFonts w:ascii="Times New Roman" w:eastAsia="Calibri" w:hAnsi="Times New Roman" w:cs="Times New Roman"/>
                <w:sz w:val="24"/>
                <w:szCs w:val="24"/>
              </w:rPr>
              <w:t>Tāpat Birojs</w:t>
            </w:r>
            <w:r w:rsidR="00287CD3" w:rsidRPr="008E7669">
              <w:rPr>
                <w:rFonts w:ascii="Times New Roman" w:eastAsia="Calibri" w:hAnsi="Times New Roman" w:cs="Times New Roman"/>
                <w:sz w:val="24"/>
                <w:szCs w:val="24"/>
              </w:rPr>
              <w:t xml:space="preserve"> nodrošina </w:t>
            </w:r>
            <w:proofErr w:type="spellStart"/>
            <w:r w:rsidRPr="008E7669">
              <w:rPr>
                <w:rFonts w:ascii="Times New Roman" w:eastAsia="Calibri" w:hAnsi="Times New Roman" w:cs="Times New Roman"/>
                <w:i/>
                <w:sz w:val="24"/>
                <w:szCs w:val="24"/>
              </w:rPr>
              <w:t>tālākizglītotājiem</w:t>
            </w:r>
            <w:proofErr w:type="spellEnd"/>
            <w:r w:rsidRPr="008E7669">
              <w:rPr>
                <w:rFonts w:ascii="Times New Roman" w:eastAsia="Calibri" w:hAnsi="Times New Roman" w:cs="Times New Roman"/>
                <w:i/>
                <w:sz w:val="24"/>
                <w:szCs w:val="24"/>
              </w:rPr>
              <w:t xml:space="preserve"> </w:t>
            </w:r>
            <w:r w:rsidR="00507F9A" w:rsidRPr="008E7669">
              <w:rPr>
                <w:rFonts w:ascii="Times New Roman" w:eastAsia="Calibri" w:hAnsi="Times New Roman" w:cs="Times New Roman"/>
                <w:i/>
                <w:sz w:val="24"/>
                <w:szCs w:val="24"/>
              </w:rPr>
              <w:t>dažāda veida metodisko</w:t>
            </w:r>
            <w:r w:rsidRPr="008E7669">
              <w:rPr>
                <w:rFonts w:ascii="Times New Roman" w:eastAsia="Calibri" w:hAnsi="Times New Roman" w:cs="Times New Roman"/>
                <w:i/>
                <w:sz w:val="24"/>
                <w:szCs w:val="24"/>
              </w:rPr>
              <w:t xml:space="preserve"> palīdzību</w:t>
            </w:r>
            <w:r w:rsidR="00287CD3" w:rsidRPr="008E7669">
              <w:rPr>
                <w:rFonts w:ascii="Times New Roman" w:eastAsia="Calibri" w:hAnsi="Times New Roman" w:cs="Times New Roman"/>
                <w:i/>
                <w:sz w:val="24"/>
                <w:szCs w:val="24"/>
              </w:rPr>
              <w:t xml:space="preserve"> procesa </w:t>
            </w:r>
            <w:r w:rsidR="00507F9A" w:rsidRPr="008E7669">
              <w:rPr>
                <w:rFonts w:ascii="Times New Roman" w:eastAsia="Calibri" w:hAnsi="Times New Roman" w:cs="Times New Roman"/>
                <w:i/>
                <w:sz w:val="24"/>
                <w:szCs w:val="24"/>
              </w:rPr>
              <w:t xml:space="preserve">izglītošanas un </w:t>
            </w:r>
            <w:r w:rsidR="00287CD3" w:rsidRPr="008E7669">
              <w:rPr>
                <w:rFonts w:ascii="Times New Roman" w:eastAsia="Calibri" w:hAnsi="Times New Roman" w:cs="Times New Roman"/>
                <w:i/>
                <w:sz w:val="24"/>
                <w:szCs w:val="24"/>
              </w:rPr>
              <w:t>nodrošināšan</w:t>
            </w:r>
            <w:r w:rsidR="00507F9A" w:rsidRPr="008E7669">
              <w:rPr>
                <w:rFonts w:ascii="Times New Roman" w:eastAsia="Calibri" w:hAnsi="Times New Roman" w:cs="Times New Roman"/>
                <w:i/>
                <w:sz w:val="24"/>
                <w:szCs w:val="24"/>
              </w:rPr>
              <w:t>ai</w:t>
            </w:r>
            <w:r w:rsidR="00287CD3" w:rsidRPr="008E7669">
              <w:rPr>
                <w:rFonts w:ascii="Times New Roman" w:eastAsia="Calibri" w:hAnsi="Times New Roman" w:cs="Times New Roman"/>
                <w:i/>
                <w:sz w:val="24"/>
                <w:szCs w:val="24"/>
              </w:rPr>
              <w:t xml:space="preserve"> savās institūcijās.</w:t>
            </w:r>
          </w:p>
          <w:p w14:paraId="4DEECC3C" w14:textId="45A8FECD" w:rsidR="00287CD3" w:rsidRPr="008E7669" w:rsidRDefault="00287CD3" w:rsidP="00FD5A18">
            <w:pPr>
              <w:spacing w:after="0" w:line="240" w:lineRule="auto"/>
              <w:ind w:left="113" w:right="113" w:firstLine="340"/>
              <w:jc w:val="both"/>
              <w:rPr>
                <w:rFonts w:ascii="Times New Roman" w:eastAsia="Calibri" w:hAnsi="Times New Roman" w:cs="Times New Roman"/>
                <w:sz w:val="24"/>
                <w:szCs w:val="24"/>
              </w:rPr>
            </w:pPr>
            <w:r w:rsidRPr="008E7669">
              <w:rPr>
                <w:rFonts w:ascii="Times New Roman" w:eastAsia="Calibri" w:hAnsi="Times New Roman" w:cs="Times New Roman"/>
                <w:sz w:val="24"/>
                <w:szCs w:val="24"/>
              </w:rPr>
              <w:t xml:space="preserve">Informējam, ka </w:t>
            </w:r>
            <w:proofErr w:type="spellStart"/>
            <w:r w:rsidRPr="008E7669">
              <w:rPr>
                <w:rFonts w:ascii="Times New Roman" w:eastAsia="Calibri" w:hAnsi="Times New Roman" w:cs="Times New Roman"/>
                <w:sz w:val="24"/>
                <w:szCs w:val="24"/>
              </w:rPr>
              <w:t>tālākizglītotāju</w:t>
            </w:r>
            <w:proofErr w:type="spellEnd"/>
            <w:r w:rsidRPr="008E7669">
              <w:rPr>
                <w:rFonts w:ascii="Times New Roman" w:eastAsia="Calibri" w:hAnsi="Times New Roman" w:cs="Times New Roman"/>
                <w:sz w:val="24"/>
                <w:szCs w:val="24"/>
              </w:rPr>
              <w:t xml:space="preserve"> apmācības modeļa izveide ir uzsākta jau 2013.gada nogalē un šā apmācīb</w:t>
            </w:r>
            <w:r w:rsidR="00507F9A" w:rsidRPr="008E7669">
              <w:rPr>
                <w:rFonts w:ascii="Times New Roman" w:eastAsia="Calibri" w:hAnsi="Times New Roman" w:cs="Times New Roman"/>
                <w:sz w:val="24"/>
                <w:szCs w:val="24"/>
              </w:rPr>
              <w:t>u</w:t>
            </w:r>
            <w:r w:rsidRPr="008E7669">
              <w:rPr>
                <w:rFonts w:ascii="Times New Roman" w:eastAsia="Calibri" w:hAnsi="Times New Roman" w:cs="Times New Roman"/>
                <w:sz w:val="24"/>
                <w:szCs w:val="24"/>
              </w:rPr>
              <w:t xml:space="preserve"> modeļa ietvaros no 2013.gada līdz 2015.gadam ir apmācītas 128 amatpersonas no 38 institūcijām, kas turpmāk varēs savās institūcijās nodrošināt valsts amatpersonu apmācības par korupcijas un interešu konflikta jautājumiem. Šāda modeļa ieviešana sekmē valsts amatpersonu </w:t>
            </w:r>
            <w:r w:rsidR="00507F9A" w:rsidRPr="008E7669">
              <w:rPr>
                <w:rFonts w:ascii="Times New Roman" w:eastAsia="Calibri" w:hAnsi="Times New Roman" w:cs="Times New Roman"/>
                <w:sz w:val="24"/>
                <w:szCs w:val="24"/>
              </w:rPr>
              <w:t xml:space="preserve">izpratnes un </w:t>
            </w:r>
            <w:r w:rsidRPr="008E7669">
              <w:rPr>
                <w:rFonts w:ascii="Times New Roman" w:eastAsia="Calibri" w:hAnsi="Times New Roman" w:cs="Times New Roman"/>
                <w:sz w:val="24"/>
                <w:szCs w:val="24"/>
              </w:rPr>
              <w:t>zināšanu līmeņa paaugstināšanos.</w:t>
            </w:r>
          </w:p>
          <w:p w14:paraId="4445CCBE" w14:textId="22C561FD" w:rsidR="00D056E4" w:rsidRPr="008E7669" w:rsidRDefault="00507F9A" w:rsidP="00FD5A18">
            <w:pPr>
              <w:spacing w:after="0" w:line="240" w:lineRule="auto"/>
              <w:ind w:left="113" w:right="113" w:firstLine="340"/>
              <w:jc w:val="both"/>
              <w:rPr>
                <w:rFonts w:ascii="Times New Roman" w:eastAsia="Calibri" w:hAnsi="Times New Roman" w:cs="Times New Roman"/>
                <w:sz w:val="24"/>
                <w:szCs w:val="24"/>
              </w:rPr>
            </w:pPr>
            <w:r w:rsidRPr="008E7669">
              <w:rPr>
                <w:rFonts w:ascii="Times New Roman" w:eastAsia="Calibri" w:hAnsi="Times New Roman" w:cs="Times New Roman"/>
                <w:sz w:val="24"/>
                <w:szCs w:val="24"/>
              </w:rPr>
              <w:t>D</w:t>
            </w:r>
            <w:r w:rsidR="00757308" w:rsidRPr="008E7669">
              <w:rPr>
                <w:rFonts w:ascii="Times New Roman" w:eastAsia="Calibri" w:hAnsi="Times New Roman" w:cs="Times New Roman"/>
                <w:sz w:val="24"/>
                <w:szCs w:val="24"/>
              </w:rPr>
              <w:t xml:space="preserve">arbinieki zināšanas par minētajiem jautājumiem var apgūt </w:t>
            </w:r>
            <w:r w:rsidRPr="008E7669">
              <w:rPr>
                <w:rFonts w:ascii="Times New Roman" w:eastAsia="Calibri" w:hAnsi="Times New Roman" w:cs="Times New Roman"/>
                <w:sz w:val="24"/>
                <w:szCs w:val="24"/>
              </w:rPr>
              <w:t xml:space="preserve">arī </w:t>
            </w:r>
            <w:r w:rsidR="00757308" w:rsidRPr="008E7669">
              <w:rPr>
                <w:rFonts w:ascii="Times New Roman" w:eastAsia="Calibri" w:hAnsi="Times New Roman" w:cs="Times New Roman"/>
                <w:sz w:val="24"/>
                <w:szCs w:val="24"/>
              </w:rPr>
              <w:t>patstāvīgi, izmantojot interneta vidē pieejamos materiālus.</w:t>
            </w:r>
            <w:r w:rsidR="00D056E4" w:rsidRPr="008E7669">
              <w:rPr>
                <w:rFonts w:ascii="Times New Roman" w:eastAsia="Calibri" w:hAnsi="Times New Roman" w:cs="Times New Roman"/>
                <w:sz w:val="24"/>
                <w:szCs w:val="24"/>
              </w:rPr>
              <w:t xml:space="preserve"> </w:t>
            </w:r>
          </w:p>
          <w:p w14:paraId="7D98BE73" w14:textId="120CBC9B" w:rsidR="00757308" w:rsidRPr="00C043B7" w:rsidRDefault="00D056E4" w:rsidP="00FD5A18">
            <w:pPr>
              <w:spacing w:after="0" w:line="240" w:lineRule="auto"/>
              <w:ind w:left="113" w:right="113" w:firstLine="340"/>
              <w:jc w:val="both"/>
              <w:rPr>
                <w:rFonts w:ascii="Times New Roman" w:eastAsia="Calibri" w:hAnsi="Times New Roman" w:cs="Times New Roman"/>
                <w:sz w:val="24"/>
                <w:szCs w:val="24"/>
              </w:rPr>
            </w:pPr>
            <w:r w:rsidRPr="008E7669">
              <w:rPr>
                <w:rFonts w:ascii="Times New Roman" w:eastAsia="Times New Roman" w:hAnsi="Times New Roman" w:cs="Times New Roman"/>
                <w:sz w:val="24"/>
                <w:szCs w:val="24"/>
              </w:rPr>
              <w:t>Šobrīd ir uzsākts darbs pie elektroniskās mācību platformas izveides</w:t>
            </w:r>
            <w:r>
              <w:rPr>
                <w:rFonts w:ascii="Times New Roman" w:eastAsia="Times New Roman" w:hAnsi="Times New Roman" w:cs="Times New Roman"/>
                <w:sz w:val="24"/>
                <w:szCs w:val="24"/>
              </w:rPr>
              <w:t>, nodrošinot gan apmācības, gan zināšanu pārbaudi par pretkorupcijas jautājumiem elektroniskajā vidē</w:t>
            </w:r>
            <w:r w:rsidR="008D0EB7">
              <w:rPr>
                <w:rFonts w:ascii="Times New Roman" w:eastAsia="Times New Roman" w:hAnsi="Times New Roman" w:cs="Times New Roman"/>
                <w:sz w:val="24"/>
                <w:szCs w:val="24"/>
              </w:rPr>
              <w:t>.</w:t>
            </w:r>
          </w:p>
          <w:p w14:paraId="39A106EB" w14:textId="66D5A5C9" w:rsidR="00757308" w:rsidRPr="00C043B7" w:rsidRDefault="00790A64" w:rsidP="00FD5A18">
            <w:pPr>
              <w:spacing w:after="0" w:line="240" w:lineRule="auto"/>
              <w:ind w:left="113" w:right="113" w:firstLine="3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Pēc </w:t>
            </w:r>
            <w:r w:rsidR="00757308" w:rsidRPr="00C043B7">
              <w:rPr>
                <w:rFonts w:ascii="Times New Roman" w:eastAsia="Calibri" w:hAnsi="Times New Roman" w:cs="Times New Roman"/>
                <w:sz w:val="24"/>
                <w:szCs w:val="24"/>
              </w:rPr>
              <w:t>apmācībām</w:t>
            </w:r>
            <w:r w:rsidR="00531F73">
              <w:rPr>
                <w:rFonts w:ascii="Times New Roman" w:eastAsia="Calibri" w:hAnsi="Times New Roman" w:cs="Times New Roman"/>
                <w:sz w:val="24"/>
                <w:szCs w:val="24"/>
              </w:rPr>
              <w:t xml:space="preserve"> (arī zināšanu papildināšanas)</w:t>
            </w:r>
            <w:r w:rsidR="00757308" w:rsidRPr="00C043B7">
              <w:rPr>
                <w:rFonts w:ascii="Times New Roman" w:eastAsia="Calibri" w:hAnsi="Times New Roman" w:cs="Times New Roman"/>
                <w:sz w:val="24"/>
                <w:szCs w:val="24"/>
              </w:rPr>
              <w:t xml:space="preserve"> par korupcijas un interešu konflikta </w:t>
            </w:r>
            <w:r w:rsidR="00531F73">
              <w:rPr>
                <w:rFonts w:ascii="Times New Roman" w:eastAsia="Calibri" w:hAnsi="Times New Roman" w:cs="Times New Roman"/>
                <w:sz w:val="24"/>
                <w:szCs w:val="24"/>
              </w:rPr>
              <w:t xml:space="preserve">novēršanas </w:t>
            </w:r>
            <w:r w:rsidR="00757308" w:rsidRPr="00C043B7">
              <w:rPr>
                <w:rFonts w:ascii="Times New Roman" w:eastAsia="Calibri" w:hAnsi="Times New Roman" w:cs="Times New Roman"/>
                <w:sz w:val="24"/>
                <w:szCs w:val="24"/>
              </w:rPr>
              <w:t>jautājumiem</w:t>
            </w:r>
            <w:r w:rsidR="00531F73">
              <w:rPr>
                <w:rFonts w:ascii="Times New Roman" w:eastAsia="Calibri" w:hAnsi="Times New Roman" w:cs="Times New Roman"/>
                <w:sz w:val="24"/>
                <w:szCs w:val="24"/>
              </w:rPr>
              <w:t xml:space="preserve">, kuras </w:t>
            </w:r>
            <w:r w:rsidR="00757308" w:rsidRPr="00C043B7">
              <w:rPr>
                <w:rFonts w:ascii="Times New Roman" w:eastAsia="Calibri" w:hAnsi="Times New Roman" w:cs="Times New Roman"/>
                <w:sz w:val="24"/>
                <w:szCs w:val="24"/>
              </w:rPr>
              <w:t xml:space="preserve"> </w:t>
            </w:r>
            <w:r w:rsidR="00531F73">
              <w:rPr>
                <w:rFonts w:ascii="Times New Roman" w:eastAsia="Calibri" w:hAnsi="Times New Roman" w:cs="Times New Roman"/>
                <w:sz w:val="24"/>
                <w:szCs w:val="24"/>
              </w:rPr>
              <w:t xml:space="preserve">jānodrošina vismaz reizi trijos gados, </w:t>
            </w:r>
            <w:r w:rsidR="00757308" w:rsidRPr="00C043B7">
              <w:rPr>
                <w:rFonts w:ascii="Times New Roman" w:eastAsia="Calibri" w:hAnsi="Times New Roman" w:cs="Times New Roman"/>
                <w:sz w:val="24"/>
                <w:szCs w:val="24"/>
              </w:rPr>
              <w:t xml:space="preserve">darbinieku zināšanas </w:t>
            </w:r>
            <w:r w:rsidR="00531F73">
              <w:rPr>
                <w:rFonts w:ascii="Times New Roman" w:eastAsia="Calibri" w:hAnsi="Times New Roman" w:cs="Times New Roman"/>
                <w:sz w:val="24"/>
                <w:szCs w:val="24"/>
              </w:rPr>
              <w:t>būtu</w:t>
            </w:r>
            <w:r w:rsidR="00531F73" w:rsidRPr="00C043B7">
              <w:rPr>
                <w:rFonts w:ascii="Times New Roman" w:eastAsia="Calibri" w:hAnsi="Times New Roman" w:cs="Times New Roman"/>
                <w:sz w:val="24"/>
                <w:szCs w:val="24"/>
              </w:rPr>
              <w:t xml:space="preserve"> </w:t>
            </w:r>
            <w:r w:rsidR="00757308" w:rsidRPr="00C043B7">
              <w:rPr>
                <w:rFonts w:ascii="Times New Roman" w:eastAsia="Calibri" w:hAnsi="Times New Roman" w:cs="Times New Roman"/>
                <w:sz w:val="24"/>
                <w:szCs w:val="24"/>
              </w:rPr>
              <w:t>jāpārbauda</w:t>
            </w:r>
            <w:r w:rsidR="00BD690B" w:rsidRPr="00C043B7">
              <w:rPr>
                <w:rFonts w:ascii="Times New Roman" w:eastAsia="Calibri" w:hAnsi="Times New Roman" w:cs="Times New Roman"/>
                <w:sz w:val="24"/>
                <w:szCs w:val="24"/>
              </w:rPr>
              <w:t xml:space="preserve">. </w:t>
            </w:r>
            <w:r w:rsidR="00531F73">
              <w:rPr>
                <w:rFonts w:ascii="Times New Roman" w:eastAsia="Calibri" w:hAnsi="Times New Roman" w:cs="Times New Roman"/>
                <w:sz w:val="24"/>
                <w:szCs w:val="24"/>
              </w:rPr>
              <w:t>Informāciju par z</w:t>
            </w:r>
            <w:r w:rsidR="00BD690B" w:rsidRPr="00C043B7">
              <w:rPr>
                <w:rFonts w:ascii="Times New Roman" w:eastAsia="Calibri" w:hAnsi="Times New Roman" w:cs="Times New Roman"/>
                <w:sz w:val="24"/>
                <w:szCs w:val="24"/>
              </w:rPr>
              <w:t>ināšanu pārbaud</w:t>
            </w:r>
            <w:r w:rsidR="00531F73">
              <w:rPr>
                <w:rFonts w:ascii="Times New Roman" w:eastAsia="Calibri" w:hAnsi="Times New Roman" w:cs="Times New Roman"/>
                <w:sz w:val="24"/>
                <w:szCs w:val="24"/>
              </w:rPr>
              <w:t>es rezultātiem</w:t>
            </w:r>
            <w:r w:rsidR="00BD690B" w:rsidRPr="00C043B7">
              <w:rPr>
                <w:rFonts w:ascii="Times New Roman" w:eastAsia="Calibri" w:hAnsi="Times New Roman" w:cs="Times New Roman"/>
                <w:sz w:val="24"/>
                <w:szCs w:val="24"/>
              </w:rPr>
              <w:t xml:space="preserve"> </w:t>
            </w:r>
            <w:r w:rsidR="00531F73">
              <w:rPr>
                <w:rFonts w:ascii="Times New Roman" w:eastAsia="Calibri" w:hAnsi="Times New Roman" w:cs="Times New Roman"/>
                <w:sz w:val="24"/>
                <w:szCs w:val="24"/>
              </w:rPr>
              <w:t xml:space="preserve">turpmāk </w:t>
            </w:r>
            <w:r w:rsidR="00BD690B" w:rsidRPr="00C043B7">
              <w:rPr>
                <w:rFonts w:ascii="Times New Roman" w:eastAsia="Calibri" w:hAnsi="Times New Roman" w:cs="Times New Roman"/>
                <w:sz w:val="24"/>
                <w:szCs w:val="24"/>
              </w:rPr>
              <w:t xml:space="preserve">var izmantot, </w:t>
            </w:r>
            <w:r w:rsidR="00507F9A">
              <w:rPr>
                <w:rFonts w:ascii="Times New Roman" w:eastAsia="Calibri" w:hAnsi="Times New Roman" w:cs="Times New Roman"/>
                <w:sz w:val="24"/>
                <w:szCs w:val="24"/>
              </w:rPr>
              <w:t xml:space="preserve">piemēram, </w:t>
            </w:r>
            <w:r w:rsidR="00BD690B" w:rsidRPr="00C043B7">
              <w:rPr>
                <w:rFonts w:ascii="Times New Roman" w:eastAsia="Calibri" w:hAnsi="Times New Roman" w:cs="Times New Roman"/>
                <w:sz w:val="24"/>
                <w:szCs w:val="24"/>
              </w:rPr>
              <w:t xml:space="preserve">sastādot </w:t>
            </w:r>
            <w:r w:rsidR="00531F73">
              <w:rPr>
                <w:rFonts w:ascii="Times New Roman" w:eastAsia="Calibri" w:hAnsi="Times New Roman" w:cs="Times New Roman"/>
                <w:sz w:val="24"/>
                <w:szCs w:val="24"/>
              </w:rPr>
              <w:t xml:space="preserve">nākamā perioda </w:t>
            </w:r>
            <w:r w:rsidR="00BD690B" w:rsidRPr="00C043B7">
              <w:rPr>
                <w:rFonts w:ascii="Times New Roman" w:eastAsia="Calibri" w:hAnsi="Times New Roman" w:cs="Times New Roman"/>
                <w:sz w:val="24"/>
                <w:szCs w:val="24"/>
              </w:rPr>
              <w:t>apmācību plānu institūcijas darbiniekiem</w:t>
            </w:r>
            <w:r w:rsidR="00DA59E2">
              <w:rPr>
                <w:rFonts w:ascii="Times New Roman" w:eastAsia="Calibri" w:hAnsi="Times New Roman" w:cs="Times New Roman"/>
                <w:sz w:val="24"/>
                <w:szCs w:val="24"/>
              </w:rPr>
              <w:t>, nosakot aktuālās apmācību tēmas</w:t>
            </w:r>
            <w:r w:rsidR="00BD690B" w:rsidRPr="00C043B7">
              <w:rPr>
                <w:rFonts w:ascii="Times New Roman" w:eastAsia="Calibri" w:hAnsi="Times New Roman" w:cs="Times New Roman"/>
                <w:sz w:val="24"/>
                <w:szCs w:val="24"/>
              </w:rPr>
              <w:t>.</w:t>
            </w:r>
          </w:p>
          <w:p w14:paraId="2ECBA15D" w14:textId="24773822" w:rsidR="00BD690B" w:rsidRDefault="00DA59E2" w:rsidP="00FD5A18">
            <w:pPr>
              <w:spacing w:after="0" w:line="240" w:lineRule="auto"/>
              <w:ind w:left="113" w:right="113" w:firstLine="3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Ja apmācības nodrošina </w:t>
            </w:r>
            <w:r w:rsidR="00BD690B" w:rsidRPr="00C043B7">
              <w:rPr>
                <w:rFonts w:ascii="Times New Roman" w:eastAsia="Calibri" w:hAnsi="Times New Roman" w:cs="Times New Roman"/>
                <w:sz w:val="24"/>
                <w:szCs w:val="24"/>
              </w:rPr>
              <w:t>Biroja amatpersonas</w:t>
            </w:r>
            <w:r>
              <w:rPr>
                <w:rFonts w:ascii="Times New Roman" w:eastAsia="Calibri" w:hAnsi="Times New Roman" w:cs="Times New Roman"/>
                <w:sz w:val="24"/>
                <w:szCs w:val="24"/>
              </w:rPr>
              <w:t>,</w:t>
            </w:r>
            <w:r w:rsidR="00BD690B" w:rsidRPr="00C043B7">
              <w:rPr>
                <w:rFonts w:ascii="Times New Roman" w:eastAsia="Calibri" w:hAnsi="Times New Roman" w:cs="Times New Roman"/>
                <w:sz w:val="24"/>
                <w:szCs w:val="24"/>
              </w:rPr>
              <w:t xml:space="preserve"> zināšanu pārbaud</w:t>
            </w:r>
            <w:r w:rsidR="00790A64">
              <w:rPr>
                <w:rFonts w:ascii="Times New Roman" w:eastAsia="Calibri" w:hAnsi="Times New Roman" w:cs="Times New Roman"/>
                <w:sz w:val="24"/>
                <w:szCs w:val="24"/>
              </w:rPr>
              <w:t xml:space="preserve">e tiek veikta </w:t>
            </w:r>
            <w:r w:rsidR="00507F9A">
              <w:rPr>
                <w:rFonts w:ascii="Times New Roman" w:eastAsia="Calibri" w:hAnsi="Times New Roman" w:cs="Times New Roman"/>
                <w:sz w:val="24"/>
                <w:szCs w:val="24"/>
              </w:rPr>
              <w:t>semināra noslēgumā</w:t>
            </w:r>
            <w:r w:rsidR="00790A64">
              <w:rPr>
                <w:rFonts w:ascii="Times New Roman" w:eastAsia="Calibri" w:hAnsi="Times New Roman" w:cs="Times New Roman"/>
                <w:sz w:val="24"/>
                <w:szCs w:val="24"/>
              </w:rPr>
              <w:t>,</w:t>
            </w:r>
            <w:r w:rsidR="00507F9A">
              <w:rPr>
                <w:rFonts w:ascii="Times New Roman" w:eastAsia="Calibri" w:hAnsi="Times New Roman" w:cs="Times New Roman"/>
                <w:sz w:val="24"/>
                <w:szCs w:val="24"/>
              </w:rPr>
              <w:t xml:space="preserve"> testējot dalībniekus rakstveidā un pēc tam </w:t>
            </w:r>
            <w:r w:rsidR="00C105F1" w:rsidRPr="00C043B7">
              <w:rPr>
                <w:rFonts w:ascii="Times New Roman" w:eastAsia="Calibri" w:hAnsi="Times New Roman" w:cs="Times New Roman"/>
                <w:sz w:val="24"/>
                <w:szCs w:val="24"/>
              </w:rPr>
              <w:t>apkopojot zināšanu testā par korupcijas un interešu konflikta novēršanas jautājumiem sniegtās atbildes.</w:t>
            </w:r>
            <w:r w:rsidR="00C043B7" w:rsidRPr="00C043B7">
              <w:rPr>
                <w:rFonts w:ascii="Times New Roman" w:eastAsia="Calibri" w:hAnsi="Times New Roman" w:cs="Times New Roman"/>
                <w:sz w:val="24"/>
                <w:szCs w:val="24"/>
              </w:rPr>
              <w:t xml:space="preserve"> </w:t>
            </w:r>
          </w:p>
          <w:p w14:paraId="576C7D53" w14:textId="252EDD54" w:rsidR="00DA59E2" w:rsidRDefault="00DA59E2" w:rsidP="00FD5A18">
            <w:pPr>
              <w:spacing w:after="0" w:line="240" w:lineRule="auto"/>
              <w:ind w:left="113" w:right="113" w:firstLine="3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Ja institūcija apmācības organizē pati, izmantojot savus </w:t>
            </w:r>
            <w:r>
              <w:rPr>
                <w:rFonts w:ascii="Times New Roman" w:eastAsia="Calibri" w:hAnsi="Times New Roman" w:cs="Times New Roman"/>
                <w:sz w:val="24"/>
                <w:szCs w:val="24"/>
              </w:rPr>
              <w:lastRenderedPageBreak/>
              <w:t>resursus, tad instit</w:t>
            </w:r>
            <w:r w:rsidR="00FE41E7">
              <w:rPr>
                <w:rFonts w:ascii="Times New Roman" w:eastAsia="Calibri" w:hAnsi="Times New Roman" w:cs="Times New Roman"/>
                <w:sz w:val="24"/>
                <w:szCs w:val="24"/>
              </w:rPr>
              <w:t>ūcija var</w:t>
            </w:r>
            <w:r>
              <w:rPr>
                <w:rFonts w:ascii="Times New Roman" w:eastAsia="Calibri" w:hAnsi="Times New Roman" w:cs="Times New Roman"/>
                <w:sz w:val="24"/>
                <w:szCs w:val="24"/>
              </w:rPr>
              <w:t xml:space="preserve"> pati izstrādāt zināšanu pārbaudes testus, vai izmantot Biroja izstrādātos testus.</w:t>
            </w:r>
          </w:p>
          <w:p w14:paraId="054843C0" w14:textId="77777777" w:rsidR="00F9652C" w:rsidRDefault="00DA59E2" w:rsidP="00790A64">
            <w:pPr>
              <w:spacing w:after="0" w:line="240" w:lineRule="auto"/>
              <w:ind w:left="113" w:right="11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Zināšanu pārbaudes mērķis ir pārliecināties, ka visas publiskas personas institūcijas darbinieki zina un izprot korupcijas un interešu konflikta novēršanas pamatjautājumus. Institūcijas vadītājs ikgadējās novērtēšanas kontekstā šos rezultātus </w:t>
            </w:r>
            <w:r w:rsidRPr="00790A64">
              <w:rPr>
                <w:rFonts w:ascii="Times New Roman" w:eastAsia="Calibri" w:hAnsi="Times New Roman" w:cs="Times New Roman"/>
                <w:b/>
                <w:sz w:val="24"/>
                <w:szCs w:val="24"/>
              </w:rPr>
              <w:t>var</w:t>
            </w:r>
            <w:r>
              <w:rPr>
                <w:rFonts w:ascii="Times New Roman" w:eastAsia="Calibri" w:hAnsi="Times New Roman" w:cs="Times New Roman"/>
                <w:sz w:val="24"/>
                <w:szCs w:val="24"/>
              </w:rPr>
              <w:t xml:space="preserve"> izmantot, definējot nepieciešamos zināšanu pilnveides pasākumus nākamajam novērtēšanas periodam.</w:t>
            </w:r>
            <w:r w:rsidR="00790A64">
              <w:rPr>
                <w:rFonts w:ascii="Times New Roman" w:eastAsia="Calibri" w:hAnsi="Times New Roman" w:cs="Times New Roman"/>
                <w:sz w:val="24"/>
                <w:szCs w:val="24"/>
              </w:rPr>
              <w:t xml:space="preserve"> </w:t>
            </w:r>
          </w:p>
          <w:p w14:paraId="1E24C92D" w14:textId="69E51BF4" w:rsidR="00F9652C" w:rsidRPr="00720DDB" w:rsidRDefault="00F9652C" w:rsidP="00F9652C">
            <w:pPr>
              <w:spacing w:after="0" w:line="240" w:lineRule="auto"/>
              <w:ind w:left="113" w:right="113"/>
              <w:jc w:val="both"/>
              <w:rPr>
                <w:rFonts w:ascii="Times New Roman" w:eastAsia="Calibri" w:hAnsi="Times New Roman" w:cs="Times New Roman"/>
                <w:i/>
                <w:sz w:val="24"/>
                <w:szCs w:val="24"/>
              </w:rPr>
            </w:pPr>
            <w:r w:rsidRPr="00720DDB">
              <w:rPr>
                <w:rFonts w:ascii="Times New Roman" w:eastAsia="Calibri" w:hAnsi="Times New Roman" w:cs="Times New Roman"/>
                <w:sz w:val="24"/>
                <w:szCs w:val="24"/>
              </w:rPr>
              <w:t xml:space="preserve">      Noteikumu projekta 15.punkts paredz, ka </w:t>
            </w:r>
            <w:r w:rsidRPr="00720DDB">
              <w:rPr>
                <w:rFonts w:ascii="Times New Roman" w:eastAsia="Times New Roman" w:hAnsi="Times New Roman" w:cs="Times New Roman"/>
                <w:i/>
                <w:sz w:val="24"/>
                <w:szCs w:val="24"/>
              </w:rPr>
              <w:t>tiesu varas institūcijas nodrošina korupcijas un interešu konflikta riska novēršanu, ievērojot speciālajos likumos noteikto funkciju un darbību specifiku.</w:t>
            </w:r>
            <w:r w:rsidRPr="00720DDB">
              <w:rPr>
                <w:rFonts w:ascii="Times New Roman" w:eastAsia="Calibri" w:hAnsi="Times New Roman" w:cs="Times New Roman"/>
                <w:i/>
                <w:sz w:val="24"/>
                <w:szCs w:val="24"/>
              </w:rPr>
              <w:t xml:space="preserve"> </w:t>
            </w:r>
            <w:r w:rsidRPr="00720DDB">
              <w:rPr>
                <w:rFonts w:ascii="Times New Roman" w:eastAsia="Calibri" w:hAnsi="Times New Roman" w:cs="Times New Roman"/>
                <w:sz w:val="24"/>
                <w:szCs w:val="24"/>
              </w:rPr>
              <w:t>Atbilstoši </w:t>
            </w:r>
            <w:r w:rsidR="00AA4B02" w:rsidRPr="00720DDB">
              <w:rPr>
                <w:rFonts w:ascii="Times New Roman" w:eastAsia="Calibri" w:hAnsi="Times New Roman" w:cs="Times New Roman"/>
                <w:sz w:val="24"/>
                <w:szCs w:val="24"/>
              </w:rPr>
              <w:t>speciālajos normatīvajos aktos n</w:t>
            </w:r>
            <w:r w:rsidRPr="00720DDB">
              <w:rPr>
                <w:rFonts w:ascii="Times New Roman" w:eastAsia="Calibri" w:hAnsi="Times New Roman" w:cs="Times New Roman"/>
                <w:sz w:val="24"/>
                <w:szCs w:val="24"/>
              </w:rPr>
              <w:t>oteiktajām funkcijām un  darbības specifikai</w:t>
            </w:r>
            <w:r w:rsidR="00AA4B02" w:rsidRPr="00720DDB">
              <w:rPr>
                <w:rFonts w:ascii="Times New Roman" w:eastAsia="Calibri" w:hAnsi="Times New Roman" w:cs="Times New Roman"/>
                <w:sz w:val="24"/>
                <w:szCs w:val="24"/>
              </w:rPr>
              <w:t>,</w:t>
            </w:r>
            <w:r w:rsidRPr="00720DDB">
              <w:rPr>
                <w:rFonts w:ascii="Times New Roman" w:eastAsia="Calibri" w:hAnsi="Times New Roman" w:cs="Times New Roman"/>
                <w:sz w:val="24"/>
                <w:szCs w:val="24"/>
              </w:rPr>
              <w:t> </w:t>
            </w:r>
            <w:r w:rsidR="00AA4B02" w:rsidRPr="00720DDB">
              <w:rPr>
                <w:rFonts w:ascii="Times New Roman" w:hAnsi="Times New Roman" w:cs="Times New Roman"/>
                <w:sz w:val="24"/>
                <w:szCs w:val="24"/>
              </w:rPr>
              <w:t xml:space="preserve">šo noteikumu </w:t>
            </w:r>
            <w:r w:rsidRPr="00720DDB">
              <w:rPr>
                <w:rFonts w:ascii="Times New Roman" w:hAnsi="Times New Roman" w:cs="Times New Roman"/>
                <w:sz w:val="24"/>
                <w:szCs w:val="24"/>
              </w:rPr>
              <w:t>projekta 15.punktā minētās institūcijas  korupcijas un int</w:t>
            </w:r>
            <w:r w:rsidR="00AA4B02" w:rsidRPr="00720DDB">
              <w:rPr>
                <w:rFonts w:ascii="Times New Roman" w:hAnsi="Times New Roman" w:cs="Times New Roman"/>
                <w:sz w:val="24"/>
                <w:szCs w:val="24"/>
              </w:rPr>
              <w:t xml:space="preserve">erešu konflikta risku novēršanu </w:t>
            </w:r>
            <w:r w:rsidR="00AA4B02" w:rsidRPr="00720DDB">
              <w:rPr>
                <w:rFonts w:ascii="Times New Roman" w:hAnsi="Times New Roman" w:cs="Times New Roman"/>
                <w:b/>
                <w:sz w:val="24"/>
                <w:szCs w:val="24"/>
              </w:rPr>
              <w:t>var nodrošināt</w:t>
            </w:r>
            <w:r w:rsidRPr="00720DDB">
              <w:rPr>
                <w:rFonts w:ascii="Times New Roman" w:hAnsi="Times New Roman" w:cs="Times New Roman"/>
                <w:sz w:val="24"/>
                <w:szCs w:val="24"/>
              </w:rPr>
              <w:t xml:space="preserve"> neizstrādājot atsevišķu pretkorupcijas pasākumu plānu. </w:t>
            </w:r>
          </w:p>
          <w:p w14:paraId="3003E413" w14:textId="273F313A" w:rsidR="00C61A11" w:rsidRDefault="00F9652C" w:rsidP="00790A64">
            <w:pPr>
              <w:spacing w:after="0"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 xml:space="preserve">       </w:t>
            </w:r>
            <w:r w:rsidR="00997BA4" w:rsidRPr="00C043B7">
              <w:rPr>
                <w:rFonts w:ascii="Times New Roman" w:hAnsi="Times New Roman" w:cs="Times New Roman"/>
                <w:sz w:val="24"/>
                <w:szCs w:val="24"/>
              </w:rPr>
              <w:t>Lai veicinātu izpratni publiskas personas institūcijā</w:t>
            </w:r>
            <w:r w:rsidR="00507F9A">
              <w:rPr>
                <w:rFonts w:ascii="Times New Roman" w:hAnsi="Times New Roman" w:cs="Times New Roman"/>
                <w:sz w:val="24"/>
                <w:szCs w:val="24"/>
              </w:rPr>
              <w:t>s</w:t>
            </w:r>
            <w:r w:rsidR="00997BA4" w:rsidRPr="00C043B7">
              <w:rPr>
                <w:rFonts w:ascii="Times New Roman" w:hAnsi="Times New Roman" w:cs="Times New Roman"/>
                <w:sz w:val="24"/>
                <w:szCs w:val="24"/>
              </w:rPr>
              <w:t xml:space="preserve"> par Ministru kab</w:t>
            </w:r>
            <w:r w:rsidR="00204A3C">
              <w:rPr>
                <w:rFonts w:ascii="Times New Roman" w:hAnsi="Times New Roman" w:cs="Times New Roman"/>
                <w:sz w:val="24"/>
                <w:szCs w:val="24"/>
              </w:rPr>
              <w:t xml:space="preserve">ineta noteikumu piemērošanu, </w:t>
            </w:r>
            <w:r w:rsidR="00997BA4" w:rsidRPr="00C043B7">
              <w:rPr>
                <w:rFonts w:ascii="Times New Roman" w:hAnsi="Times New Roman" w:cs="Times New Roman"/>
                <w:sz w:val="24"/>
                <w:szCs w:val="24"/>
              </w:rPr>
              <w:t>B</w:t>
            </w:r>
            <w:r w:rsidR="00204A3C">
              <w:rPr>
                <w:rFonts w:ascii="Times New Roman" w:hAnsi="Times New Roman" w:cs="Times New Roman"/>
                <w:sz w:val="24"/>
                <w:szCs w:val="24"/>
              </w:rPr>
              <w:t>irojs</w:t>
            </w:r>
            <w:r w:rsidR="00997BA4" w:rsidRPr="00C043B7">
              <w:rPr>
                <w:rFonts w:ascii="Times New Roman" w:hAnsi="Times New Roman" w:cs="Times New Roman"/>
                <w:sz w:val="24"/>
                <w:szCs w:val="24"/>
              </w:rPr>
              <w:t xml:space="preserve"> </w:t>
            </w:r>
            <w:r w:rsidR="00997BA4" w:rsidRPr="00C043B7">
              <w:rPr>
                <w:rFonts w:ascii="Times New Roman" w:hAnsi="Times New Roman" w:cs="Times New Roman"/>
                <w:b/>
                <w:sz w:val="24"/>
                <w:szCs w:val="24"/>
              </w:rPr>
              <w:t>turpinās ne tikai konsultēt un izglītot institūcij</w:t>
            </w:r>
            <w:r w:rsidR="00507F9A">
              <w:rPr>
                <w:rFonts w:ascii="Times New Roman" w:hAnsi="Times New Roman" w:cs="Times New Roman"/>
                <w:b/>
                <w:sz w:val="24"/>
                <w:szCs w:val="24"/>
              </w:rPr>
              <w:t>u</w:t>
            </w:r>
            <w:r w:rsidR="00997BA4" w:rsidRPr="00C043B7">
              <w:rPr>
                <w:rFonts w:ascii="Times New Roman" w:hAnsi="Times New Roman" w:cs="Times New Roman"/>
                <w:b/>
                <w:sz w:val="24"/>
                <w:szCs w:val="24"/>
              </w:rPr>
              <w:t xml:space="preserve"> </w:t>
            </w:r>
            <w:r w:rsidR="00204A3C">
              <w:rPr>
                <w:rFonts w:ascii="Times New Roman" w:hAnsi="Times New Roman" w:cs="Times New Roman"/>
                <w:b/>
                <w:sz w:val="24"/>
                <w:szCs w:val="24"/>
              </w:rPr>
              <w:t xml:space="preserve">darbiniekus </w:t>
            </w:r>
            <w:r w:rsidR="00997BA4" w:rsidRPr="00C043B7">
              <w:rPr>
                <w:rFonts w:ascii="Times New Roman" w:hAnsi="Times New Roman" w:cs="Times New Roman"/>
                <w:b/>
                <w:sz w:val="24"/>
                <w:szCs w:val="24"/>
              </w:rPr>
              <w:t>par iekšējās kontroles sistēmas pamatprasībām</w:t>
            </w:r>
            <w:r w:rsidR="00997BA4" w:rsidRPr="00C043B7">
              <w:rPr>
                <w:rFonts w:ascii="Times New Roman" w:hAnsi="Times New Roman" w:cs="Times New Roman"/>
                <w:sz w:val="24"/>
                <w:szCs w:val="24"/>
              </w:rPr>
              <w:t xml:space="preserve"> </w:t>
            </w:r>
            <w:r w:rsidR="00997BA4" w:rsidRPr="00C043B7">
              <w:rPr>
                <w:rFonts w:ascii="Times New Roman" w:hAnsi="Times New Roman" w:cs="Times New Roman"/>
                <w:b/>
                <w:sz w:val="24"/>
                <w:szCs w:val="24"/>
              </w:rPr>
              <w:t>korupcijas riska novēršanai institūcijās, bet arī izstrādās vadlīnijas</w:t>
            </w:r>
            <w:r w:rsidR="00997BA4" w:rsidRPr="00C043B7">
              <w:rPr>
                <w:rFonts w:ascii="Times New Roman" w:hAnsi="Times New Roman" w:cs="Times New Roman"/>
                <w:sz w:val="24"/>
                <w:szCs w:val="24"/>
              </w:rPr>
              <w:t xml:space="preserve"> </w:t>
            </w:r>
            <w:r w:rsidR="004A6FE1" w:rsidRPr="00C043B7">
              <w:rPr>
                <w:rFonts w:ascii="Times New Roman" w:hAnsi="Times New Roman" w:cs="Times New Roman"/>
                <w:sz w:val="24"/>
                <w:szCs w:val="24"/>
              </w:rPr>
              <w:t xml:space="preserve">par </w:t>
            </w:r>
            <w:r w:rsidR="00997BA4" w:rsidRPr="00C043B7">
              <w:rPr>
                <w:rFonts w:ascii="Times New Roman" w:hAnsi="Times New Roman" w:cs="Times New Roman"/>
                <w:sz w:val="24"/>
                <w:szCs w:val="24"/>
              </w:rPr>
              <w:t xml:space="preserve">iekšējās kontroles sistēmas </w:t>
            </w:r>
            <w:r w:rsidR="004A6FE1" w:rsidRPr="00C043B7">
              <w:rPr>
                <w:rFonts w:ascii="Times New Roman" w:hAnsi="Times New Roman" w:cs="Times New Roman"/>
                <w:sz w:val="24"/>
                <w:szCs w:val="24"/>
              </w:rPr>
              <w:t>pamatprasībām</w:t>
            </w:r>
            <w:r w:rsidR="00997BA4" w:rsidRPr="00C043B7">
              <w:rPr>
                <w:rFonts w:ascii="Times New Roman" w:hAnsi="Times New Roman" w:cs="Times New Roman"/>
                <w:sz w:val="24"/>
                <w:szCs w:val="24"/>
              </w:rPr>
              <w:t xml:space="preserve"> korupcijas un interešu konflikta riska novēršanai publiskas personas institūcijā.</w:t>
            </w:r>
            <w:r w:rsidR="004A6FE1" w:rsidRPr="00C043B7">
              <w:rPr>
                <w:rFonts w:ascii="Times New Roman" w:hAnsi="Times New Roman" w:cs="Times New Roman"/>
                <w:sz w:val="24"/>
                <w:szCs w:val="24"/>
              </w:rPr>
              <w:t xml:space="preserve"> </w:t>
            </w:r>
          </w:p>
          <w:p w14:paraId="707D51C8" w14:textId="71A01D93" w:rsidR="00C61A11" w:rsidRDefault="00C61A11" w:rsidP="00FD5A18">
            <w:pPr>
              <w:spacing w:after="0" w:line="240" w:lineRule="auto"/>
              <w:ind w:left="113" w:right="113" w:firstLine="340"/>
              <w:jc w:val="both"/>
              <w:rPr>
                <w:rFonts w:ascii="Times New Roman" w:hAnsi="Times New Roman" w:cs="Times New Roman"/>
                <w:sz w:val="24"/>
                <w:szCs w:val="24"/>
              </w:rPr>
            </w:pPr>
            <w:r>
              <w:rPr>
                <w:rFonts w:ascii="Times New Roman" w:hAnsi="Times New Roman" w:cs="Times New Roman"/>
                <w:color w:val="000000"/>
                <w:sz w:val="24"/>
                <w:szCs w:val="24"/>
              </w:rPr>
              <w:t>Ar Korupcijas novēršanas un apkarošanas biroja priekšnieka 2017.gada 28.marta rīkojumu Nr.1-1/23 "Par darba grupas izveidi vadlīniju izstrādei" tika izveidota starpinstitūciju darba grupa minēto vadlīniju izstrādei.</w:t>
            </w:r>
          </w:p>
          <w:p w14:paraId="76983E02" w14:textId="269B7E66" w:rsidR="009E1C3E" w:rsidRPr="00C043B7" w:rsidRDefault="009E1C3E" w:rsidP="00C043B7">
            <w:pPr>
              <w:spacing w:after="0" w:line="240" w:lineRule="auto"/>
              <w:ind w:left="113" w:right="113" w:firstLine="340"/>
              <w:jc w:val="both"/>
              <w:rPr>
                <w:rFonts w:ascii="Times New Roman" w:hAnsi="Times New Roman" w:cs="Times New Roman"/>
                <w:sz w:val="24"/>
                <w:szCs w:val="24"/>
              </w:rPr>
            </w:pPr>
          </w:p>
        </w:tc>
      </w:tr>
      <w:tr w:rsidR="00DA6C86" w:rsidRPr="00F667E7" w14:paraId="32E66799" w14:textId="77777777" w:rsidTr="00FD5A18">
        <w:trPr>
          <w:trHeight w:val="476"/>
        </w:trPr>
        <w:tc>
          <w:tcPr>
            <w:tcW w:w="237" w:type="pct"/>
          </w:tcPr>
          <w:p w14:paraId="2B00E437" w14:textId="56B23CB4" w:rsidR="00DA6C86" w:rsidRPr="00F667E7" w:rsidRDefault="00DA6C86" w:rsidP="00176CB2">
            <w:pPr>
              <w:pStyle w:val="naiskr"/>
              <w:spacing w:before="0" w:beforeAutospacing="0" w:after="0" w:afterAutospacing="0"/>
              <w:ind w:right="57"/>
              <w:jc w:val="center"/>
            </w:pPr>
            <w:r w:rsidRPr="00F667E7">
              <w:lastRenderedPageBreak/>
              <w:t>3.</w:t>
            </w:r>
          </w:p>
        </w:tc>
        <w:tc>
          <w:tcPr>
            <w:tcW w:w="1352" w:type="pct"/>
          </w:tcPr>
          <w:p w14:paraId="5C3FC8FA" w14:textId="77777777" w:rsidR="00DA6C86" w:rsidRPr="00F667E7" w:rsidRDefault="00DA6C86" w:rsidP="00F57E68">
            <w:pPr>
              <w:pStyle w:val="naiskr"/>
              <w:spacing w:before="0" w:beforeAutospacing="0" w:after="0" w:afterAutospacing="0"/>
              <w:ind w:left="57" w:right="57"/>
              <w:rPr>
                <w:highlight w:val="yellow"/>
              </w:rPr>
            </w:pPr>
            <w:r w:rsidRPr="00F667E7">
              <w:t>Projekta izstrādē iesaistītās institūcijas</w:t>
            </w:r>
          </w:p>
        </w:tc>
        <w:tc>
          <w:tcPr>
            <w:tcW w:w="3411" w:type="pct"/>
          </w:tcPr>
          <w:p w14:paraId="160E051A" w14:textId="436FDCB0" w:rsidR="000538D9" w:rsidRPr="00720DDB" w:rsidRDefault="00B95415" w:rsidP="00720DDB">
            <w:pPr>
              <w:spacing w:before="120" w:after="120" w:line="240" w:lineRule="auto"/>
              <w:ind w:left="139" w:right="57"/>
              <w:jc w:val="both"/>
              <w:rPr>
                <w:rFonts w:ascii="Times New Roman" w:hAnsi="Times New Roman" w:cs="Times New Roman"/>
                <w:sz w:val="24"/>
                <w:szCs w:val="24"/>
              </w:rPr>
            </w:pPr>
            <w:r w:rsidRPr="00C043B7">
              <w:rPr>
                <w:rFonts w:ascii="Times New Roman" w:hAnsi="Times New Roman" w:cs="Times New Roman"/>
                <w:sz w:val="24"/>
                <w:szCs w:val="24"/>
              </w:rPr>
              <w:t>2016.gada 11.februārī ar Korupcijas novēršanas un apkaroš</w:t>
            </w:r>
            <w:r w:rsidR="00465F5D" w:rsidRPr="00C043B7">
              <w:rPr>
                <w:rFonts w:ascii="Times New Roman" w:hAnsi="Times New Roman" w:cs="Times New Roman"/>
                <w:sz w:val="24"/>
                <w:szCs w:val="24"/>
              </w:rPr>
              <w:t>anas biroja priekšnieka rīkojumu</w:t>
            </w:r>
            <w:r w:rsidRPr="00C043B7">
              <w:rPr>
                <w:rFonts w:ascii="Times New Roman" w:hAnsi="Times New Roman" w:cs="Times New Roman"/>
                <w:sz w:val="24"/>
                <w:szCs w:val="24"/>
              </w:rPr>
              <w:t xml:space="preserve"> Nr.1-1/15 “Par darba grupas izveidi Ministru kabineta noteikumu  par iekšējās kontroles sistēmas pamatprasībām korupcijas un interešu konflikta riska novēršanai publiskas personas institūcijā projekta izstrādei” tika izveidota starpinstitūciju darba grupa, kuras sastāvā bija p</w:t>
            </w:r>
            <w:r w:rsidR="007B1678" w:rsidRPr="00C043B7">
              <w:rPr>
                <w:rFonts w:ascii="Times New Roman" w:hAnsi="Times New Roman" w:cs="Times New Roman"/>
                <w:sz w:val="24"/>
                <w:szCs w:val="24"/>
              </w:rPr>
              <w:t xml:space="preserve">ārstāvji no: </w:t>
            </w:r>
            <w:r w:rsidR="00145166" w:rsidRPr="00C043B7">
              <w:rPr>
                <w:rFonts w:ascii="Times New Roman" w:hAnsi="Times New Roman" w:cs="Times New Roman"/>
                <w:sz w:val="24"/>
                <w:szCs w:val="24"/>
              </w:rPr>
              <w:t xml:space="preserve">Korupcijas novēršanas un apkarošanas biroja, </w:t>
            </w:r>
            <w:r w:rsidR="007B1678" w:rsidRPr="00C043B7">
              <w:rPr>
                <w:rFonts w:ascii="Times New Roman" w:hAnsi="Times New Roman" w:cs="Times New Roman"/>
                <w:b/>
                <w:sz w:val="24"/>
                <w:szCs w:val="24"/>
              </w:rPr>
              <w:t xml:space="preserve">Finanšu ministrijas, Latvijas Tirdzniecības un rūpniecības kameras, </w:t>
            </w:r>
            <w:proofErr w:type="spellStart"/>
            <w:r w:rsidR="007B1678" w:rsidRPr="00C043B7">
              <w:rPr>
                <w:rFonts w:ascii="Times New Roman" w:hAnsi="Times New Roman" w:cs="Times New Roman"/>
                <w:b/>
                <w:sz w:val="24"/>
                <w:szCs w:val="24"/>
              </w:rPr>
              <w:t>Pārresoru</w:t>
            </w:r>
            <w:proofErr w:type="spellEnd"/>
            <w:r w:rsidR="007B1678" w:rsidRPr="00C043B7">
              <w:rPr>
                <w:rFonts w:ascii="Times New Roman" w:hAnsi="Times New Roman" w:cs="Times New Roman"/>
                <w:b/>
                <w:sz w:val="24"/>
                <w:szCs w:val="24"/>
              </w:rPr>
              <w:t xml:space="preserve"> koordinācijas centra, Latvijas Pašvaldību savienības, Rīgas domes, Korporatīvās ilgtspējas un atbildības institūta</w:t>
            </w:r>
            <w:r w:rsidR="007B1678" w:rsidRPr="00C043B7">
              <w:rPr>
                <w:rFonts w:ascii="Times New Roman" w:hAnsi="Times New Roman" w:cs="Times New Roman"/>
                <w:sz w:val="24"/>
                <w:szCs w:val="24"/>
              </w:rPr>
              <w:t>.</w:t>
            </w:r>
            <w:r w:rsidR="009E1C3E" w:rsidRPr="00C043B7">
              <w:rPr>
                <w:rFonts w:ascii="Times New Roman" w:hAnsi="Times New Roman" w:cs="Times New Roman"/>
                <w:sz w:val="24"/>
                <w:szCs w:val="24"/>
              </w:rPr>
              <w:t xml:space="preserve"> Papildus norādām, ka tika lūgts arī </w:t>
            </w:r>
            <w:r w:rsidR="009E1C3E" w:rsidRPr="00C043B7">
              <w:rPr>
                <w:rFonts w:ascii="Times New Roman" w:hAnsi="Times New Roman" w:cs="Times New Roman"/>
                <w:b/>
                <w:sz w:val="24"/>
                <w:szCs w:val="24"/>
              </w:rPr>
              <w:t>Valsts ieņēmuma dienesta</w:t>
            </w:r>
            <w:r w:rsidR="009E1C3E" w:rsidRPr="00C043B7">
              <w:rPr>
                <w:rFonts w:ascii="Times New Roman" w:hAnsi="Times New Roman" w:cs="Times New Roman"/>
                <w:sz w:val="24"/>
                <w:szCs w:val="24"/>
              </w:rPr>
              <w:t xml:space="preserve"> </w:t>
            </w:r>
            <w:r w:rsidR="00D57261">
              <w:rPr>
                <w:rFonts w:ascii="Times New Roman" w:hAnsi="Times New Roman" w:cs="Times New Roman"/>
                <w:sz w:val="24"/>
                <w:szCs w:val="24"/>
              </w:rPr>
              <w:t xml:space="preserve">un publiskas personas kapitālsabiedrību </w:t>
            </w:r>
            <w:r w:rsidR="009E1C3E" w:rsidRPr="00C043B7">
              <w:rPr>
                <w:rFonts w:ascii="Times New Roman" w:hAnsi="Times New Roman" w:cs="Times New Roman"/>
                <w:sz w:val="24"/>
                <w:szCs w:val="24"/>
              </w:rPr>
              <w:t>pārstāvju viedoklis par minēto Ministru kabineta noteikumu projektu.</w:t>
            </w:r>
          </w:p>
        </w:tc>
      </w:tr>
      <w:tr w:rsidR="00DA6C86" w:rsidRPr="00F667E7" w14:paraId="6914A7EE" w14:textId="77777777" w:rsidTr="00FD5A18">
        <w:tc>
          <w:tcPr>
            <w:tcW w:w="237" w:type="pct"/>
          </w:tcPr>
          <w:p w14:paraId="4C21386A" w14:textId="77777777" w:rsidR="00DA6C86" w:rsidRPr="00F667E7" w:rsidRDefault="00DA6C86" w:rsidP="00176CB2">
            <w:pPr>
              <w:pStyle w:val="naiskr"/>
              <w:spacing w:before="0" w:beforeAutospacing="0" w:after="0" w:afterAutospacing="0"/>
              <w:ind w:right="57"/>
              <w:jc w:val="center"/>
            </w:pPr>
            <w:r w:rsidRPr="00F667E7">
              <w:t>4.</w:t>
            </w:r>
          </w:p>
        </w:tc>
        <w:tc>
          <w:tcPr>
            <w:tcW w:w="1352" w:type="pct"/>
          </w:tcPr>
          <w:p w14:paraId="317E2090" w14:textId="77777777" w:rsidR="00DA6C86" w:rsidRPr="00F667E7" w:rsidRDefault="00DA6C86" w:rsidP="00F57E68">
            <w:pPr>
              <w:pStyle w:val="naiskr"/>
              <w:spacing w:before="0" w:beforeAutospacing="0" w:after="0" w:afterAutospacing="0"/>
              <w:ind w:left="57" w:right="57"/>
            </w:pPr>
            <w:r w:rsidRPr="00F667E7">
              <w:t>Cita informācija</w:t>
            </w:r>
          </w:p>
        </w:tc>
        <w:tc>
          <w:tcPr>
            <w:tcW w:w="3411" w:type="pct"/>
          </w:tcPr>
          <w:p w14:paraId="4EB3F6EC" w14:textId="696A9FA5" w:rsidR="00E74E50" w:rsidRPr="00F667E7" w:rsidRDefault="00C43ABD" w:rsidP="00BF229A">
            <w:pPr>
              <w:pStyle w:val="naiskr"/>
              <w:spacing w:before="0" w:beforeAutospacing="0" w:after="0" w:afterAutospacing="0"/>
              <w:ind w:left="139" w:right="57"/>
              <w:jc w:val="both"/>
            </w:pPr>
            <w:r w:rsidRPr="00F667E7">
              <w:t>Nav.</w:t>
            </w:r>
            <w:r w:rsidR="00552ED7" w:rsidRPr="00F667E7">
              <w:t xml:space="preserve">  </w:t>
            </w:r>
          </w:p>
        </w:tc>
      </w:tr>
      <w:tr w:rsidR="00000E57" w:rsidRPr="00F667E7" w14:paraId="3CE75666" w14:textId="77777777" w:rsidTr="00FD5A18">
        <w:tc>
          <w:tcPr>
            <w:tcW w:w="237" w:type="pct"/>
          </w:tcPr>
          <w:p w14:paraId="5625EC81" w14:textId="77777777" w:rsidR="00000E57" w:rsidRPr="00F667E7" w:rsidRDefault="00000E57" w:rsidP="00176CB2">
            <w:pPr>
              <w:pStyle w:val="naiskr"/>
              <w:spacing w:before="0" w:beforeAutospacing="0" w:after="0" w:afterAutospacing="0"/>
              <w:ind w:right="57"/>
              <w:jc w:val="center"/>
            </w:pPr>
          </w:p>
        </w:tc>
        <w:tc>
          <w:tcPr>
            <w:tcW w:w="1352" w:type="pct"/>
          </w:tcPr>
          <w:p w14:paraId="07EEFC64" w14:textId="77777777" w:rsidR="00000E57" w:rsidRPr="00F667E7" w:rsidRDefault="00000E57" w:rsidP="00F57E68">
            <w:pPr>
              <w:pStyle w:val="naiskr"/>
              <w:spacing w:before="0" w:beforeAutospacing="0" w:after="0" w:afterAutospacing="0"/>
              <w:ind w:left="57" w:right="57"/>
            </w:pPr>
          </w:p>
        </w:tc>
        <w:tc>
          <w:tcPr>
            <w:tcW w:w="3411" w:type="pct"/>
          </w:tcPr>
          <w:p w14:paraId="76552E8A" w14:textId="77777777" w:rsidR="00000E57" w:rsidRPr="00F667E7" w:rsidRDefault="00000E57" w:rsidP="00BF229A">
            <w:pPr>
              <w:pStyle w:val="naiskr"/>
              <w:spacing w:before="0" w:beforeAutospacing="0" w:after="0" w:afterAutospacing="0"/>
              <w:ind w:left="139" w:right="57"/>
              <w:jc w:val="both"/>
            </w:pPr>
          </w:p>
        </w:tc>
      </w:tr>
    </w:tbl>
    <w:p w14:paraId="6F7A6A20" w14:textId="77777777" w:rsidR="00232F12" w:rsidRPr="00F667E7" w:rsidRDefault="00232F12" w:rsidP="00171D36">
      <w:pPr>
        <w:spacing w:after="0" w:line="240" w:lineRule="auto"/>
        <w:rPr>
          <w:rFonts w:ascii="Times New Roman" w:hAnsi="Times New Roman" w:cs="Times New Roman"/>
          <w:sz w:val="24"/>
          <w:szCs w:val="24"/>
        </w:rPr>
      </w:pPr>
    </w:p>
    <w:p w14:paraId="79EAEA97" w14:textId="77777777" w:rsidR="00CB538A" w:rsidRPr="00F667E7" w:rsidRDefault="00CB538A" w:rsidP="00171D36">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62"/>
        <w:gridCol w:w="2835"/>
        <w:gridCol w:w="5664"/>
      </w:tblGrid>
      <w:tr w:rsidR="006774AE" w:rsidRPr="00F667E7" w14:paraId="1C6C1E6C" w14:textId="77777777" w:rsidTr="006774AE">
        <w:tc>
          <w:tcPr>
            <w:tcW w:w="9061" w:type="dxa"/>
            <w:gridSpan w:val="3"/>
          </w:tcPr>
          <w:p w14:paraId="21B79F6F" w14:textId="5BFC5ECF" w:rsidR="006774AE" w:rsidRPr="00F667E7" w:rsidRDefault="006774AE" w:rsidP="006774AE">
            <w:pPr>
              <w:jc w:val="center"/>
              <w:rPr>
                <w:rFonts w:ascii="Times New Roman" w:hAnsi="Times New Roman" w:cs="Times New Roman"/>
                <w:sz w:val="24"/>
                <w:szCs w:val="24"/>
              </w:rPr>
            </w:pPr>
            <w:r w:rsidRPr="00F667E7">
              <w:rPr>
                <w:rFonts w:ascii="Times New Roman" w:eastAsia="Times New Roman" w:hAnsi="Times New Roman" w:cs="Times New Roman"/>
                <w:b/>
                <w:bCs/>
                <w:sz w:val="24"/>
                <w:szCs w:val="24"/>
              </w:rPr>
              <w:t>II. Tiesību akta projekta ietekme uz sabiedrību, tautsaimniecības attīstību un administratīvo slogu</w:t>
            </w:r>
          </w:p>
        </w:tc>
      </w:tr>
      <w:tr w:rsidR="00596E11" w:rsidRPr="00F667E7" w14:paraId="03C2830C" w14:textId="77777777" w:rsidTr="002B3CCF">
        <w:tc>
          <w:tcPr>
            <w:tcW w:w="562" w:type="dxa"/>
          </w:tcPr>
          <w:p w14:paraId="6DAB3CC3" w14:textId="48C654E1" w:rsidR="00596E11" w:rsidRPr="00F667E7" w:rsidRDefault="00596E11" w:rsidP="00171D36">
            <w:pPr>
              <w:rPr>
                <w:rFonts w:ascii="Times New Roman" w:hAnsi="Times New Roman" w:cs="Times New Roman"/>
                <w:sz w:val="24"/>
                <w:szCs w:val="24"/>
              </w:rPr>
            </w:pPr>
            <w:r w:rsidRPr="00F667E7">
              <w:rPr>
                <w:rFonts w:ascii="Times New Roman" w:hAnsi="Times New Roman" w:cs="Times New Roman"/>
                <w:sz w:val="24"/>
                <w:szCs w:val="24"/>
              </w:rPr>
              <w:t>1.</w:t>
            </w:r>
          </w:p>
        </w:tc>
        <w:tc>
          <w:tcPr>
            <w:tcW w:w="2835" w:type="dxa"/>
          </w:tcPr>
          <w:p w14:paraId="5D46F77B" w14:textId="70D635EB" w:rsidR="00596E11" w:rsidRPr="00F667E7" w:rsidRDefault="00596E11" w:rsidP="00171D36">
            <w:pPr>
              <w:rPr>
                <w:rFonts w:ascii="Times New Roman" w:hAnsi="Times New Roman" w:cs="Times New Roman"/>
                <w:sz w:val="24"/>
                <w:szCs w:val="24"/>
              </w:rPr>
            </w:pPr>
            <w:r w:rsidRPr="00F667E7">
              <w:rPr>
                <w:rFonts w:ascii="Times New Roman" w:eastAsia="Times New Roman" w:hAnsi="Times New Roman" w:cs="Times New Roman"/>
                <w:sz w:val="24"/>
                <w:szCs w:val="24"/>
              </w:rPr>
              <w:t xml:space="preserve">Sabiedrības </w:t>
            </w:r>
            <w:proofErr w:type="spellStart"/>
            <w:r w:rsidRPr="00F667E7">
              <w:rPr>
                <w:rFonts w:ascii="Times New Roman" w:eastAsia="Times New Roman" w:hAnsi="Times New Roman" w:cs="Times New Roman"/>
                <w:sz w:val="24"/>
                <w:szCs w:val="24"/>
              </w:rPr>
              <w:t>mērķgrupas</w:t>
            </w:r>
            <w:proofErr w:type="spellEnd"/>
            <w:r w:rsidRPr="00F667E7">
              <w:rPr>
                <w:rFonts w:ascii="Times New Roman" w:eastAsia="Times New Roman" w:hAnsi="Times New Roman" w:cs="Times New Roman"/>
                <w:sz w:val="24"/>
                <w:szCs w:val="24"/>
              </w:rPr>
              <w:t>, kuras tiesiskais regulējums ietekmē vai varētu ietekmēt</w:t>
            </w:r>
          </w:p>
        </w:tc>
        <w:tc>
          <w:tcPr>
            <w:tcW w:w="5664" w:type="dxa"/>
          </w:tcPr>
          <w:p w14:paraId="0691003B" w14:textId="24B855EC" w:rsidR="00434982" w:rsidRPr="00F667E7" w:rsidRDefault="00596E11" w:rsidP="00B84C91">
            <w:pPr>
              <w:jc w:val="both"/>
              <w:rPr>
                <w:rFonts w:ascii="Times New Roman" w:hAnsi="Times New Roman" w:cs="Times New Roman"/>
                <w:sz w:val="24"/>
                <w:szCs w:val="24"/>
              </w:rPr>
            </w:pPr>
            <w:r w:rsidRPr="00F667E7">
              <w:rPr>
                <w:rFonts w:ascii="Times New Roman" w:hAnsi="Times New Roman" w:cs="Times New Roman"/>
                <w:sz w:val="24"/>
                <w:szCs w:val="24"/>
              </w:rPr>
              <w:t xml:space="preserve">Noteikumu projekta tiesiskais regulējums attiecināms uz </w:t>
            </w:r>
            <w:r w:rsidR="00B84C91" w:rsidRPr="00F667E7">
              <w:rPr>
                <w:rFonts w:ascii="Times New Roman" w:hAnsi="Times New Roman" w:cs="Times New Roman"/>
                <w:sz w:val="24"/>
                <w:szCs w:val="24"/>
              </w:rPr>
              <w:t xml:space="preserve">publiskas personas institūcijām, </w:t>
            </w:r>
            <w:r w:rsidR="009C14F9" w:rsidRPr="00F667E7">
              <w:rPr>
                <w:rFonts w:ascii="Times New Roman" w:hAnsi="Times New Roman" w:cs="Times New Roman"/>
                <w:sz w:val="24"/>
                <w:szCs w:val="24"/>
              </w:rPr>
              <w:t xml:space="preserve"> </w:t>
            </w:r>
            <w:r w:rsidR="00B84C91" w:rsidRPr="00F667E7">
              <w:rPr>
                <w:rFonts w:ascii="Times New Roman" w:eastAsia="Times New Roman" w:hAnsi="Times New Roman" w:cs="Times New Roman"/>
                <w:sz w:val="24"/>
                <w:szCs w:val="24"/>
              </w:rPr>
              <w:t>ciktāl tas nav pretrunā ar speciālajiem normatīvajiem aktiem.</w:t>
            </w:r>
          </w:p>
        </w:tc>
      </w:tr>
      <w:tr w:rsidR="00596E11" w:rsidRPr="00F667E7" w14:paraId="063EA860" w14:textId="77777777" w:rsidTr="002B3CCF">
        <w:tc>
          <w:tcPr>
            <w:tcW w:w="562" w:type="dxa"/>
          </w:tcPr>
          <w:p w14:paraId="524E7711" w14:textId="2CCE26BF" w:rsidR="00596E11" w:rsidRPr="00F667E7" w:rsidRDefault="00596E11" w:rsidP="00171D36">
            <w:pPr>
              <w:rPr>
                <w:rFonts w:ascii="Times New Roman" w:hAnsi="Times New Roman" w:cs="Times New Roman"/>
                <w:sz w:val="24"/>
                <w:szCs w:val="24"/>
              </w:rPr>
            </w:pPr>
            <w:r w:rsidRPr="00F667E7">
              <w:rPr>
                <w:rFonts w:ascii="Times New Roman" w:hAnsi="Times New Roman" w:cs="Times New Roman"/>
                <w:sz w:val="24"/>
                <w:szCs w:val="24"/>
              </w:rPr>
              <w:t>2.</w:t>
            </w:r>
          </w:p>
        </w:tc>
        <w:tc>
          <w:tcPr>
            <w:tcW w:w="2835" w:type="dxa"/>
          </w:tcPr>
          <w:p w14:paraId="273A9D58" w14:textId="6B7B3A24" w:rsidR="00596E11" w:rsidRPr="00F667E7" w:rsidRDefault="00596E11" w:rsidP="00171D36">
            <w:pPr>
              <w:rPr>
                <w:rFonts w:ascii="Times New Roman" w:eastAsia="Times New Roman" w:hAnsi="Times New Roman" w:cs="Times New Roman"/>
                <w:sz w:val="24"/>
                <w:szCs w:val="24"/>
              </w:rPr>
            </w:pPr>
            <w:r w:rsidRPr="00F667E7">
              <w:rPr>
                <w:rFonts w:ascii="Times New Roman" w:eastAsia="Times New Roman" w:hAnsi="Times New Roman" w:cs="Times New Roman"/>
                <w:sz w:val="24"/>
                <w:szCs w:val="24"/>
              </w:rPr>
              <w:t>Tiesiskā regulējuma ietekme uz tautsaimniecību un administratīvo slogu</w:t>
            </w:r>
          </w:p>
        </w:tc>
        <w:tc>
          <w:tcPr>
            <w:tcW w:w="5664" w:type="dxa"/>
          </w:tcPr>
          <w:p w14:paraId="06415014" w14:textId="7A910C30" w:rsidR="00E27C1C" w:rsidRDefault="00E27C1C" w:rsidP="00B27C7B">
            <w:pPr>
              <w:jc w:val="both"/>
              <w:rPr>
                <w:rFonts w:ascii="Times New Roman" w:hAnsi="Times New Roman" w:cs="Times New Roman"/>
                <w:bCs/>
                <w:sz w:val="24"/>
                <w:szCs w:val="24"/>
              </w:rPr>
            </w:pPr>
            <w:r>
              <w:rPr>
                <w:rFonts w:ascii="Times New Roman" w:hAnsi="Times New Roman" w:cs="Times New Roman"/>
                <w:bCs/>
                <w:sz w:val="24"/>
                <w:szCs w:val="24"/>
              </w:rPr>
              <w:t>Administratīvais slogs tiek palielināts publiskas personas kapitālsabiedrībām.</w:t>
            </w:r>
          </w:p>
          <w:p w14:paraId="0EB30E77" w14:textId="23DC7EE5" w:rsidR="00596E11" w:rsidRPr="00F667E7" w:rsidRDefault="00B27C7B" w:rsidP="004D10DF">
            <w:pPr>
              <w:jc w:val="both"/>
              <w:rPr>
                <w:rFonts w:ascii="Times New Roman" w:hAnsi="Times New Roman" w:cs="Times New Roman"/>
                <w:sz w:val="24"/>
                <w:szCs w:val="24"/>
              </w:rPr>
            </w:pPr>
            <w:r w:rsidRPr="00B27C7B">
              <w:rPr>
                <w:rFonts w:ascii="Times New Roman" w:hAnsi="Times New Roman" w:cs="Times New Roman"/>
                <w:bCs/>
                <w:sz w:val="24"/>
                <w:szCs w:val="24"/>
              </w:rPr>
              <w:t xml:space="preserve">Papildus administratīvo slogu rada </w:t>
            </w:r>
            <w:r w:rsidR="004D10DF">
              <w:rPr>
                <w:rFonts w:ascii="Times New Roman" w:hAnsi="Times New Roman" w:cs="Times New Roman"/>
                <w:bCs/>
                <w:sz w:val="24"/>
                <w:szCs w:val="24"/>
              </w:rPr>
              <w:t>Ministru kabineta n</w:t>
            </w:r>
            <w:r w:rsidRPr="00B27C7B">
              <w:rPr>
                <w:rFonts w:ascii="Times New Roman" w:hAnsi="Times New Roman" w:cs="Times New Roman"/>
                <w:bCs/>
                <w:sz w:val="24"/>
                <w:szCs w:val="24"/>
              </w:rPr>
              <w:t xml:space="preserve">oteikumu projekta </w:t>
            </w:r>
            <w:r w:rsidR="004D10DF">
              <w:rPr>
                <w:rFonts w:ascii="Times New Roman" w:hAnsi="Times New Roman" w:cs="Times New Roman"/>
                <w:b/>
                <w:bCs/>
                <w:sz w:val="24"/>
                <w:szCs w:val="24"/>
              </w:rPr>
              <w:t>8.punktā</w:t>
            </w:r>
            <w:r w:rsidRPr="00B27C7B">
              <w:rPr>
                <w:rFonts w:ascii="Times New Roman" w:hAnsi="Times New Roman" w:cs="Times New Roman"/>
                <w:bCs/>
                <w:sz w:val="24"/>
                <w:szCs w:val="24"/>
              </w:rPr>
              <w:t xml:space="preserve"> minētās informācijas par iepriekšējā gadā veiktajiem pasākumiem korupcijas riska novēršanai sagatavošana. </w:t>
            </w:r>
          </w:p>
        </w:tc>
      </w:tr>
      <w:tr w:rsidR="00596E11" w:rsidRPr="00F667E7" w14:paraId="3794A0BB" w14:textId="77777777" w:rsidTr="002B3CCF">
        <w:tc>
          <w:tcPr>
            <w:tcW w:w="562" w:type="dxa"/>
          </w:tcPr>
          <w:p w14:paraId="16B5CF6B" w14:textId="5BE70098" w:rsidR="00596E11" w:rsidRPr="00F667E7" w:rsidRDefault="00596E11" w:rsidP="00171D36">
            <w:pPr>
              <w:rPr>
                <w:rFonts w:ascii="Times New Roman" w:hAnsi="Times New Roman" w:cs="Times New Roman"/>
                <w:sz w:val="24"/>
                <w:szCs w:val="24"/>
              </w:rPr>
            </w:pPr>
            <w:r w:rsidRPr="00F667E7">
              <w:rPr>
                <w:rFonts w:ascii="Times New Roman" w:hAnsi="Times New Roman" w:cs="Times New Roman"/>
                <w:sz w:val="24"/>
                <w:szCs w:val="24"/>
              </w:rPr>
              <w:t>3.</w:t>
            </w:r>
          </w:p>
        </w:tc>
        <w:tc>
          <w:tcPr>
            <w:tcW w:w="2835" w:type="dxa"/>
          </w:tcPr>
          <w:p w14:paraId="57E3012E" w14:textId="55FC5CB2" w:rsidR="00596E11" w:rsidRPr="00F667E7" w:rsidRDefault="00596E11" w:rsidP="00171D36">
            <w:pPr>
              <w:rPr>
                <w:rFonts w:ascii="Times New Roman" w:eastAsia="Times New Roman" w:hAnsi="Times New Roman" w:cs="Times New Roman"/>
                <w:sz w:val="24"/>
                <w:szCs w:val="24"/>
              </w:rPr>
            </w:pPr>
            <w:r w:rsidRPr="00F667E7">
              <w:rPr>
                <w:rFonts w:ascii="Times New Roman" w:eastAsia="Times New Roman" w:hAnsi="Times New Roman" w:cs="Times New Roman"/>
                <w:sz w:val="24"/>
                <w:szCs w:val="24"/>
              </w:rPr>
              <w:t>Administratīvo izmaksu monetārs novērtējums</w:t>
            </w:r>
          </w:p>
        </w:tc>
        <w:tc>
          <w:tcPr>
            <w:tcW w:w="5664" w:type="dxa"/>
          </w:tcPr>
          <w:p w14:paraId="38F745BF" w14:textId="7F22D972" w:rsidR="00B27C7B" w:rsidRPr="00B27C7B" w:rsidRDefault="00B27C7B" w:rsidP="00B27C7B">
            <w:pPr>
              <w:jc w:val="both"/>
              <w:rPr>
                <w:rFonts w:ascii="Times New Roman" w:hAnsi="Times New Roman" w:cs="Times New Roman"/>
                <w:bCs/>
                <w:sz w:val="24"/>
                <w:szCs w:val="24"/>
              </w:rPr>
            </w:pPr>
            <w:r w:rsidRPr="00B27C7B">
              <w:rPr>
                <w:rFonts w:ascii="Times New Roman" w:hAnsi="Times New Roman" w:cs="Times New Roman"/>
                <w:bCs/>
                <w:sz w:val="24"/>
                <w:szCs w:val="24"/>
              </w:rPr>
              <w:t xml:space="preserve">Papildus administratīvo slogu rada </w:t>
            </w:r>
            <w:r w:rsidR="004D10DF">
              <w:rPr>
                <w:rFonts w:ascii="Times New Roman" w:hAnsi="Times New Roman" w:cs="Times New Roman"/>
                <w:bCs/>
                <w:sz w:val="24"/>
                <w:szCs w:val="24"/>
              </w:rPr>
              <w:t>Ministru kabineta n</w:t>
            </w:r>
            <w:r w:rsidRPr="00B27C7B">
              <w:rPr>
                <w:rFonts w:ascii="Times New Roman" w:hAnsi="Times New Roman" w:cs="Times New Roman"/>
                <w:bCs/>
                <w:sz w:val="24"/>
                <w:szCs w:val="24"/>
              </w:rPr>
              <w:t xml:space="preserve">oteikumu projekta </w:t>
            </w:r>
            <w:r w:rsidR="004D10DF">
              <w:rPr>
                <w:rFonts w:ascii="Times New Roman" w:hAnsi="Times New Roman" w:cs="Times New Roman"/>
                <w:b/>
                <w:bCs/>
                <w:sz w:val="24"/>
                <w:szCs w:val="24"/>
              </w:rPr>
              <w:t>8.punktā</w:t>
            </w:r>
            <w:r w:rsidRPr="00B27C7B">
              <w:rPr>
                <w:rFonts w:ascii="Times New Roman" w:hAnsi="Times New Roman" w:cs="Times New Roman"/>
                <w:bCs/>
                <w:sz w:val="24"/>
                <w:szCs w:val="24"/>
              </w:rPr>
              <w:t xml:space="preserve"> minētās informācijas par iepriekšējā gadā veiktajiem pasākumiem korupcijas riska novēršanai sagatavošana. Aptuvenais informācijas sagatavošanas laiks varētu būt viena darba diena (8 stundas) (atkarībā no institūcijas lieluma un institūcijā veiktajiem pasākumiem). Savukārt vidējais atalgojums valstī (Centrālās statistikas dati par 2016.gada septembrī vidējā darba samaksa sabiedriskajā sektorā</w:t>
            </w:r>
            <w:r w:rsidRPr="00B27C7B">
              <w:rPr>
                <w:rFonts w:ascii="Times New Roman" w:hAnsi="Times New Roman" w:cs="Times New Roman"/>
                <w:bCs/>
                <w:sz w:val="24"/>
                <w:szCs w:val="24"/>
                <w:vertAlign w:val="superscript"/>
              </w:rPr>
              <w:footnoteReference w:id="6"/>
            </w:r>
            <w:r w:rsidRPr="00B27C7B">
              <w:rPr>
                <w:rFonts w:ascii="Times New Roman" w:hAnsi="Times New Roman" w:cs="Times New Roman"/>
                <w:bCs/>
                <w:sz w:val="24"/>
                <w:szCs w:val="24"/>
              </w:rPr>
              <w:t xml:space="preserve">) ir 867 </w:t>
            </w:r>
            <w:proofErr w:type="spellStart"/>
            <w:r w:rsidRPr="00B27C7B">
              <w:rPr>
                <w:rFonts w:ascii="Times New Roman" w:hAnsi="Times New Roman" w:cs="Times New Roman"/>
                <w:bCs/>
                <w:i/>
                <w:sz w:val="24"/>
                <w:szCs w:val="24"/>
              </w:rPr>
              <w:t>euro</w:t>
            </w:r>
            <w:proofErr w:type="spellEnd"/>
            <w:r w:rsidRPr="00B27C7B">
              <w:rPr>
                <w:rFonts w:ascii="Times New Roman" w:hAnsi="Times New Roman" w:cs="Times New Roman"/>
                <w:bCs/>
                <w:i/>
                <w:sz w:val="24"/>
                <w:szCs w:val="24"/>
              </w:rPr>
              <w:t xml:space="preserve">. </w:t>
            </w:r>
          </w:p>
          <w:p w14:paraId="013B7F24" w14:textId="77777777" w:rsidR="00B27C7B" w:rsidRPr="00B27C7B" w:rsidRDefault="00B27C7B" w:rsidP="00B27C7B">
            <w:pPr>
              <w:numPr>
                <w:ilvl w:val="0"/>
                <w:numId w:val="40"/>
              </w:numPr>
              <w:jc w:val="both"/>
              <w:rPr>
                <w:rFonts w:ascii="Times New Roman" w:hAnsi="Times New Roman" w:cs="Times New Roman"/>
                <w:sz w:val="24"/>
                <w:szCs w:val="24"/>
              </w:rPr>
            </w:pPr>
            <w:r w:rsidRPr="00B27C7B">
              <w:rPr>
                <w:rFonts w:ascii="Times New Roman" w:hAnsi="Times New Roman" w:cs="Times New Roman"/>
                <w:sz w:val="24"/>
                <w:szCs w:val="24"/>
              </w:rPr>
              <w:t>2016.gada septembrī bija 22 darba dienas jeb 176 darba stundas;</w:t>
            </w:r>
          </w:p>
          <w:p w14:paraId="628937E1" w14:textId="77777777" w:rsidR="00B27C7B" w:rsidRPr="00B27C7B" w:rsidRDefault="00B27C7B" w:rsidP="00B27C7B">
            <w:pPr>
              <w:numPr>
                <w:ilvl w:val="0"/>
                <w:numId w:val="40"/>
              </w:numPr>
              <w:jc w:val="both"/>
              <w:rPr>
                <w:rFonts w:ascii="Times New Roman" w:hAnsi="Times New Roman" w:cs="Times New Roman"/>
                <w:sz w:val="24"/>
                <w:szCs w:val="24"/>
              </w:rPr>
            </w:pPr>
            <w:r w:rsidRPr="00B27C7B">
              <w:rPr>
                <w:rFonts w:ascii="Times New Roman" w:hAnsi="Times New Roman" w:cs="Times New Roman"/>
                <w:sz w:val="24"/>
                <w:szCs w:val="24"/>
              </w:rPr>
              <w:t>1 sabiedriskā sektora darbinieka stundas vidējā darba samaksa bija:</w:t>
            </w:r>
          </w:p>
          <w:p w14:paraId="4531AE99" w14:textId="77777777" w:rsidR="00B27C7B" w:rsidRPr="00B27C7B" w:rsidRDefault="00B27C7B" w:rsidP="00B27C7B">
            <w:pPr>
              <w:jc w:val="both"/>
              <w:rPr>
                <w:rFonts w:ascii="Times New Roman" w:hAnsi="Times New Roman" w:cs="Times New Roman"/>
                <w:i/>
                <w:sz w:val="24"/>
                <w:szCs w:val="24"/>
              </w:rPr>
            </w:pPr>
            <w:r w:rsidRPr="00B27C7B">
              <w:rPr>
                <w:rFonts w:ascii="Times New Roman" w:hAnsi="Times New Roman" w:cs="Times New Roman"/>
                <w:sz w:val="24"/>
                <w:szCs w:val="24"/>
              </w:rPr>
              <w:t xml:space="preserve">867 </w:t>
            </w:r>
            <w:r w:rsidRPr="00B27C7B">
              <w:rPr>
                <w:rFonts w:ascii="Times New Roman" w:hAnsi="Times New Roman" w:cs="Times New Roman"/>
                <w:i/>
                <w:sz w:val="24"/>
                <w:szCs w:val="24"/>
              </w:rPr>
              <w:t>euro:</w:t>
            </w:r>
            <w:r w:rsidRPr="00B27C7B">
              <w:rPr>
                <w:rFonts w:ascii="Times New Roman" w:hAnsi="Times New Roman" w:cs="Times New Roman"/>
                <w:sz w:val="24"/>
                <w:szCs w:val="24"/>
              </w:rPr>
              <w:t xml:space="preserve">176=4,93 </w:t>
            </w:r>
            <w:proofErr w:type="spellStart"/>
            <w:r w:rsidRPr="00B27C7B">
              <w:rPr>
                <w:rFonts w:ascii="Times New Roman" w:hAnsi="Times New Roman" w:cs="Times New Roman"/>
                <w:i/>
                <w:sz w:val="24"/>
                <w:szCs w:val="24"/>
              </w:rPr>
              <w:t>euro</w:t>
            </w:r>
            <w:proofErr w:type="spellEnd"/>
            <w:r w:rsidRPr="00B27C7B">
              <w:rPr>
                <w:rFonts w:ascii="Times New Roman" w:hAnsi="Times New Roman" w:cs="Times New Roman"/>
                <w:i/>
                <w:sz w:val="24"/>
                <w:szCs w:val="24"/>
              </w:rPr>
              <w:t>;</w:t>
            </w:r>
          </w:p>
          <w:p w14:paraId="1E03EC31" w14:textId="77777777" w:rsidR="00B27C7B" w:rsidRPr="00B27C7B" w:rsidRDefault="00B27C7B" w:rsidP="00B27C7B">
            <w:pPr>
              <w:jc w:val="both"/>
              <w:rPr>
                <w:rFonts w:ascii="Times New Roman" w:hAnsi="Times New Roman" w:cs="Times New Roman"/>
                <w:sz w:val="24"/>
                <w:szCs w:val="24"/>
              </w:rPr>
            </w:pPr>
          </w:p>
          <w:p w14:paraId="1788C7A7" w14:textId="77777777" w:rsidR="00B27C7B" w:rsidRPr="00B27C7B" w:rsidRDefault="00B27C7B" w:rsidP="00B27C7B">
            <w:pPr>
              <w:jc w:val="both"/>
              <w:rPr>
                <w:rFonts w:ascii="Times New Roman" w:hAnsi="Times New Roman" w:cs="Times New Roman"/>
                <w:i/>
                <w:sz w:val="24"/>
                <w:szCs w:val="24"/>
              </w:rPr>
            </w:pPr>
            <w:r w:rsidRPr="00B27C7B">
              <w:rPr>
                <w:rFonts w:ascii="Times New Roman" w:hAnsi="Times New Roman" w:cs="Times New Roman"/>
                <w:sz w:val="24"/>
                <w:szCs w:val="24"/>
              </w:rPr>
              <w:t>Ziņojuma sagatavošanas izmaksas ir: 8 (darba stundas)*4,93(</w:t>
            </w:r>
            <w:r w:rsidRPr="00B27C7B">
              <w:rPr>
                <w:rFonts w:ascii="Times New Roman" w:hAnsi="Times New Roman" w:cs="Times New Roman"/>
                <w:i/>
                <w:sz w:val="24"/>
                <w:szCs w:val="24"/>
              </w:rPr>
              <w:t>euro/stundā)</w:t>
            </w:r>
            <w:r w:rsidRPr="00B27C7B">
              <w:rPr>
                <w:rFonts w:ascii="Times New Roman" w:hAnsi="Times New Roman" w:cs="Times New Roman"/>
                <w:sz w:val="24"/>
                <w:szCs w:val="24"/>
              </w:rPr>
              <w:t xml:space="preserve">= 39,44 </w:t>
            </w:r>
            <w:proofErr w:type="spellStart"/>
            <w:r w:rsidRPr="00B27C7B">
              <w:rPr>
                <w:rFonts w:ascii="Times New Roman" w:hAnsi="Times New Roman" w:cs="Times New Roman"/>
                <w:i/>
                <w:sz w:val="24"/>
                <w:szCs w:val="24"/>
              </w:rPr>
              <w:t>euro</w:t>
            </w:r>
            <w:proofErr w:type="spellEnd"/>
          </w:p>
          <w:p w14:paraId="75601FD1" w14:textId="77777777" w:rsidR="00B27C7B" w:rsidRPr="00B27C7B" w:rsidRDefault="00B27C7B" w:rsidP="00B27C7B">
            <w:pPr>
              <w:jc w:val="both"/>
              <w:rPr>
                <w:rFonts w:ascii="Times New Roman" w:hAnsi="Times New Roman" w:cs="Times New Roman"/>
                <w:sz w:val="24"/>
                <w:szCs w:val="24"/>
              </w:rPr>
            </w:pPr>
          </w:p>
          <w:p w14:paraId="03B18014" w14:textId="77777777" w:rsidR="00B27C7B" w:rsidRPr="00B27C7B" w:rsidRDefault="00B27C7B" w:rsidP="00B27C7B">
            <w:pPr>
              <w:jc w:val="both"/>
              <w:rPr>
                <w:rFonts w:ascii="Times New Roman" w:hAnsi="Times New Roman" w:cs="Times New Roman"/>
                <w:sz w:val="24"/>
                <w:szCs w:val="24"/>
              </w:rPr>
            </w:pPr>
            <w:r w:rsidRPr="00B27C7B">
              <w:rPr>
                <w:rFonts w:ascii="Times New Roman" w:hAnsi="Times New Roman" w:cs="Times New Roman"/>
                <w:sz w:val="24"/>
                <w:szCs w:val="24"/>
              </w:rPr>
              <w:t>Kapitālsabiedrībām (kurās valsts daļa pamatkapitālā atsevišķi vai kopumā pārsniedz 50 procentus) administratīvais slogs aptuveni ir:</w:t>
            </w:r>
          </w:p>
          <w:p w14:paraId="4B8B2926" w14:textId="77777777" w:rsidR="00B27C7B" w:rsidRPr="00B27C7B" w:rsidRDefault="00B27C7B" w:rsidP="00B27C7B">
            <w:pPr>
              <w:jc w:val="both"/>
              <w:rPr>
                <w:rFonts w:ascii="Times New Roman" w:hAnsi="Times New Roman" w:cs="Times New Roman"/>
                <w:i/>
                <w:sz w:val="24"/>
                <w:szCs w:val="24"/>
              </w:rPr>
            </w:pPr>
            <w:r w:rsidRPr="00B27C7B">
              <w:rPr>
                <w:rFonts w:ascii="Times New Roman" w:hAnsi="Times New Roman" w:cs="Times New Roman"/>
                <w:sz w:val="24"/>
                <w:szCs w:val="24"/>
              </w:rPr>
              <w:t>72 (valsts kapitālsabiedrības)</w:t>
            </w:r>
            <w:r w:rsidRPr="00B27C7B">
              <w:rPr>
                <w:rFonts w:ascii="Times New Roman" w:hAnsi="Times New Roman" w:cs="Times New Roman"/>
                <w:sz w:val="24"/>
                <w:szCs w:val="24"/>
                <w:vertAlign w:val="superscript"/>
              </w:rPr>
              <w:footnoteReference w:id="7"/>
            </w:r>
            <w:r w:rsidRPr="00B27C7B">
              <w:rPr>
                <w:rFonts w:ascii="Times New Roman" w:hAnsi="Times New Roman" w:cs="Times New Roman"/>
                <w:sz w:val="24"/>
                <w:szCs w:val="24"/>
              </w:rPr>
              <w:t xml:space="preserve">*39,44 </w:t>
            </w:r>
            <w:proofErr w:type="spellStart"/>
            <w:r w:rsidRPr="00B27C7B">
              <w:rPr>
                <w:rFonts w:ascii="Times New Roman" w:hAnsi="Times New Roman" w:cs="Times New Roman"/>
                <w:i/>
                <w:sz w:val="24"/>
                <w:szCs w:val="24"/>
              </w:rPr>
              <w:t>euro</w:t>
            </w:r>
            <w:proofErr w:type="spellEnd"/>
            <w:r w:rsidRPr="00B27C7B">
              <w:rPr>
                <w:rFonts w:ascii="Times New Roman" w:hAnsi="Times New Roman" w:cs="Times New Roman"/>
                <w:sz w:val="24"/>
                <w:szCs w:val="24"/>
              </w:rPr>
              <w:t xml:space="preserve">= </w:t>
            </w:r>
            <w:r w:rsidRPr="00B27C7B">
              <w:rPr>
                <w:rFonts w:ascii="Times New Roman" w:hAnsi="Times New Roman" w:cs="Times New Roman"/>
                <w:b/>
                <w:sz w:val="24"/>
                <w:szCs w:val="24"/>
                <w:u w:val="single"/>
              </w:rPr>
              <w:t xml:space="preserve">2839,98 </w:t>
            </w:r>
            <w:proofErr w:type="spellStart"/>
            <w:r w:rsidRPr="00B27C7B">
              <w:rPr>
                <w:rFonts w:ascii="Times New Roman" w:hAnsi="Times New Roman" w:cs="Times New Roman"/>
                <w:b/>
                <w:sz w:val="24"/>
                <w:szCs w:val="24"/>
                <w:u w:val="single"/>
              </w:rPr>
              <w:t>euro</w:t>
            </w:r>
            <w:proofErr w:type="spellEnd"/>
            <w:r w:rsidRPr="00B27C7B">
              <w:rPr>
                <w:rFonts w:ascii="Times New Roman" w:hAnsi="Times New Roman" w:cs="Times New Roman"/>
                <w:b/>
                <w:sz w:val="24"/>
                <w:szCs w:val="24"/>
                <w:u w:val="single"/>
              </w:rPr>
              <w:t>/gadā</w:t>
            </w:r>
          </w:p>
          <w:p w14:paraId="34B68540" w14:textId="77777777" w:rsidR="00B27C7B" w:rsidRPr="00B27C7B" w:rsidRDefault="00B27C7B" w:rsidP="00B27C7B">
            <w:pPr>
              <w:jc w:val="both"/>
              <w:rPr>
                <w:rFonts w:ascii="Times New Roman" w:hAnsi="Times New Roman" w:cs="Times New Roman"/>
                <w:sz w:val="24"/>
                <w:szCs w:val="24"/>
              </w:rPr>
            </w:pPr>
          </w:p>
          <w:p w14:paraId="5922B80C" w14:textId="77777777" w:rsidR="00B27C7B" w:rsidRPr="00B27C7B" w:rsidRDefault="00B27C7B" w:rsidP="00B27C7B">
            <w:pPr>
              <w:jc w:val="both"/>
              <w:rPr>
                <w:rFonts w:ascii="Times New Roman" w:hAnsi="Times New Roman" w:cs="Times New Roman"/>
                <w:sz w:val="24"/>
                <w:szCs w:val="24"/>
              </w:rPr>
            </w:pPr>
            <w:r w:rsidRPr="00B27C7B">
              <w:rPr>
                <w:rFonts w:ascii="Times New Roman" w:hAnsi="Times New Roman" w:cs="Times New Roman"/>
                <w:sz w:val="24"/>
                <w:szCs w:val="24"/>
              </w:rPr>
              <w:t>Kapitālsabiedrībām (kurās pašvaldību daļa pamatkapitālā atsevišķi vai kopumā pārsniedz 50 procentus) administratīvais slogs aptuveni ir:</w:t>
            </w:r>
          </w:p>
          <w:p w14:paraId="23FB8F5C" w14:textId="77777777" w:rsidR="00B27C7B" w:rsidRPr="00B27C7B" w:rsidRDefault="00B27C7B" w:rsidP="00B27C7B">
            <w:pPr>
              <w:jc w:val="both"/>
              <w:rPr>
                <w:rFonts w:ascii="Times New Roman" w:hAnsi="Times New Roman" w:cs="Times New Roman"/>
                <w:b/>
                <w:sz w:val="24"/>
                <w:szCs w:val="24"/>
                <w:u w:val="single"/>
              </w:rPr>
            </w:pPr>
            <w:r w:rsidRPr="00B27C7B">
              <w:rPr>
                <w:rFonts w:ascii="Times New Roman" w:hAnsi="Times New Roman" w:cs="Times New Roman"/>
                <w:sz w:val="24"/>
                <w:szCs w:val="24"/>
              </w:rPr>
              <w:t>430 (pašvaldību kapitālsabiedrības)</w:t>
            </w:r>
            <w:r w:rsidRPr="00B27C7B">
              <w:rPr>
                <w:rFonts w:ascii="Times New Roman" w:hAnsi="Times New Roman" w:cs="Times New Roman"/>
                <w:sz w:val="24"/>
                <w:szCs w:val="24"/>
                <w:vertAlign w:val="superscript"/>
              </w:rPr>
              <w:footnoteReference w:id="8"/>
            </w:r>
            <w:r w:rsidRPr="00B27C7B">
              <w:rPr>
                <w:rFonts w:ascii="Times New Roman" w:hAnsi="Times New Roman" w:cs="Times New Roman"/>
                <w:sz w:val="24"/>
                <w:szCs w:val="24"/>
              </w:rPr>
              <w:t>*39,44</w:t>
            </w:r>
            <w:r w:rsidRPr="00B27C7B">
              <w:rPr>
                <w:rFonts w:ascii="Times New Roman" w:hAnsi="Times New Roman" w:cs="Times New Roman"/>
                <w:i/>
                <w:sz w:val="24"/>
                <w:szCs w:val="24"/>
              </w:rPr>
              <w:t>euro=</w:t>
            </w:r>
            <w:r w:rsidRPr="00B27C7B">
              <w:rPr>
                <w:rFonts w:ascii="Times New Roman" w:hAnsi="Times New Roman" w:cs="Times New Roman"/>
                <w:b/>
                <w:sz w:val="24"/>
                <w:szCs w:val="24"/>
                <w:u w:val="single"/>
              </w:rPr>
              <w:t xml:space="preserve">16959,20 </w:t>
            </w:r>
            <w:proofErr w:type="spellStart"/>
            <w:r w:rsidRPr="00B27C7B">
              <w:rPr>
                <w:rFonts w:ascii="Times New Roman" w:hAnsi="Times New Roman" w:cs="Times New Roman"/>
                <w:b/>
                <w:sz w:val="24"/>
                <w:szCs w:val="24"/>
                <w:u w:val="single"/>
              </w:rPr>
              <w:t>euro</w:t>
            </w:r>
            <w:proofErr w:type="spellEnd"/>
            <w:r w:rsidRPr="00B27C7B">
              <w:rPr>
                <w:rFonts w:ascii="Times New Roman" w:hAnsi="Times New Roman" w:cs="Times New Roman"/>
                <w:b/>
                <w:sz w:val="24"/>
                <w:szCs w:val="24"/>
                <w:u w:val="single"/>
              </w:rPr>
              <w:t>/gadā</w:t>
            </w:r>
          </w:p>
          <w:p w14:paraId="3AB11C3A" w14:textId="58289701" w:rsidR="00434982" w:rsidRPr="00F667E7" w:rsidRDefault="00434982" w:rsidP="00201098">
            <w:pPr>
              <w:rPr>
                <w:rFonts w:ascii="Times New Roman" w:hAnsi="Times New Roman" w:cs="Times New Roman"/>
                <w:sz w:val="24"/>
                <w:szCs w:val="24"/>
              </w:rPr>
            </w:pPr>
          </w:p>
        </w:tc>
      </w:tr>
      <w:tr w:rsidR="00596E11" w:rsidRPr="00F667E7" w14:paraId="6504CF45" w14:textId="77777777" w:rsidTr="002B3CCF">
        <w:tc>
          <w:tcPr>
            <w:tcW w:w="562" w:type="dxa"/>
          </w:tcPr>
          <w:p w14:paraId="02CA0102" w14:textId="2B162799" w:rsidR="00596E11" w:rsidRPr="00F667E7" w:rsidRDefault="00596E11" w:rsidP="00171D36">
            <w:pPr>
              <w:rPr>
                <w:rFonts w:ascii="Times New Roman" w:hAnsi="Times New Roman" w:cs="Times New Roman"/>
                <w:sz w:val="24"/>
                <w:szCs w:val="24"/>
              </w:rPr>
            </w:pPr>
            <w:r w:rsidRPr="00F667E7">
              <w:rPr>
                <w:rFonts w:ascii="Times New Roman" w:hAnsi="Times New Roman" w:cs="Times New Roman"/>
                <w:sz w:val="24"/>
                <w:szCs w:val="24"/>
              </w:rPr>
              <w:t>4.</w:t>
            </w:r>
          </w:p>
        </w:tc>
        <w:tc>
          <w:tcPr>
            <w:tcW w:w="2835" w:type="dxa"/>
          </w:tcPr>
          <w:p w14:paraId="1A956718" w14:textId="0694FC1E" w:rsidR="00596E11" w:rsidRPr="00F667E7" w:rsidRDefault="00596E11" w:rsidP="00171D36">
            <w:pPr>
              <w:rPr>
                <w:rFonts w:ascii="Times New Roman" w:eastAsia="Times New Roman" w:hAnsi="Times New Roman" w:cs="Times New Roman"/>
                <w:sz w:val="24"/>
                <w:szCs w:val="24"/>
              </w:rPr>
            </w:pPr>
            <w:r w:rsidRPr="00F667E7">
              <w:rPr>
                <w:rFonts w:ascii="Times New Roman" w:eastAsia="Times New Roman" w:hAnsi="Times New Roman" w:cs="Times New Roman"/>
                <w:sz w:val="24"/>
                <w:szCs w:val="24"/>
              </w:rPr>
              <w:t>Cita informācija</w:t>
            </w:r>
          </w:p>
        </w:tc>
        <w:tc>
          <w:tcPr>
            <w:tcW w:w="5664" w:type="dxa"/>
          </w:tcPr>
          <w:p w14:paraId="70A0D47E" w14:textId="40349BC3" w:rsidR="00596E11" w:rsidRPr="00F667E7" w:rsidRDefault="00596E11" w:rsidP="00171D36">
            <w:pPr>
              <w:rPr>
                <w:rFonts w:ascii="Times New Roman" w:hAnsi="Times New Roman" w:cs="Times New Roman"/>
                <w:sz w:val="24"/>
                <w:szCs w:val="24"/>
              </w:rPr>
            </w:pPr>
            <w:r w:rsidRPr="00F667E7">
              <w:rPr>
                <w:rFonts w:ascii="Times New Roman" w:hAnsi="Times New Roman" w:cs="Times New Roman"/>
                <w:sz w:val="24"/>
                <w:szCs w:val="24"/>
              </w:rPr>
              <w:t>Nav.</w:t>
            </w:r>
          </w:p>
        </w:tc>
      </w:tr>
    </w:tbl>
    <w:p w14:paraId="4E5569C4" w14:textId="77777777" w:rsidR="00391863" w:rsidRPr="00F667E7" w:rsidRDefault="00391863" w:rsidP="00171D36">
      <w:pPr>
        <w:spacing w:after="0" w:line="240" w:lineRule="auto"/>
        <w:rPr>
          <w:rFonts w:ascii="Times New Roman" w:hAnsi="Times New Roman" w:cs="Times New Roman"/>
          <w:sz w:val="24"/>
          <w:szCs w:val="24"/>
        </w:rPr>
      </w:pPr>
    </w:p>
    <w:p w14:paraId="6B7AF874" w14:textId="77777777" w:rsidR="00C16585" w:rsidRPr="00F667E7" w:rsidRDefault="00C16585" w:rsidP="00171D36">
      <w:pPr>
        <w:spacing w:after="0" w:line="240" w:lineRule="auto"/>
        <w:rPr>
          <w:rFonts w:ascii="Times New Roman" w:hAnsi="Times New Roman" w:cs="Times New Roman"/>
          <w:sz w:val="24"/>
          <w:szCs w:val="24"/>
        </w:rPr>
      </w:pPr>
    </w:p>
    <w:p w14:paraId="3DC770ED" w14:textId="77777777" w:rsidR="00391863" w:rsidRPr="00F667E7" w:rsidRDefault="00391863" w:rsidP="00171D36">
      <w:pPr>
        <w:spacing w:after="0" w:line="240" w:lineRule="auto"/>
        <w:rPr>
          <w:rFonts w:ascii="Times New Roman" w:hAnsi="Times New Roman" w:cs="Times New Roman"/>
          <w:sz w:val="24"/>
          <w:szCs w:val="24"/>
        </w:rPr>
      </w:pPr>
    </w:p>
    <w:p w14:paraId="7650BEF4" w14:textId="77777777" w:rsidR="00391863" w:rsidRPr="00F667E7" w:rsidRDefault="00391863" w:rsidP="00171D36">
      <w:pPr>
        <w:spacing w:after="0" w:line="240" w:lineRule="auto"/>
        <w:rPr>
          <w:rFonts w:ascii="Times New Roman" w:hAnsi="Times New Roman" w:cs="Times New Roman"/>
          <w:sz w:val="24"/>
          <w:szCs w:val="24"/>
        </w:rPr>
      </w:pPr>
    </w:p>
    <w:tbl>
      <w:tblPr>
        <w:tblStyle w:val="TableGrid"/>
        <w:tblW w:w="9640" w:type="dxa"/>
        <w:tblInd w:w="-176" w:type="dxa"/>
        <w:tblLook w:val="04A0" w:firstRow="1" w:lastRow="0" w:firstColumn="1" w:lastColumn="0" w:noHBand="0" w:noVBand="1"/>
      </w:tblPr>
      <w:tblGrid>
        <w:gridCol w:w="738"/>
        <w:gridCol w:w="2381"/>
        <w:gridCol w:w="6521"/>
      </w:tblGrid>
      <w:tr w:rsidR="00F55994" w:rsidRPr="00F667E7" w14:paraId="00B6B736" w14:textId="77777777" w:rsidTr="00D57261">
        <w:tc>
          <w:tcPr>
            <w:tcW w:w="9640" w:type="dxa"/>
            <w:gridSpan w:val="3"/>
          </w:tcPr>
          <w:p w14:paraId="3A98530C" w14:textId="02940CF2" w:rsidR="00F55994" w:rsidRPr="00F667E7" w:rsidRDefault="00F55994" w:rsidP="00F55994">
            <w:pPr>
              <w:jc w:val="center"/>
              <w:rPr>
                <w:rFonts w:ascii="Times New Roman" w:hAnsi="Times New Roman" w:cs="Times New Roman"/>
                <w:sz w:val="24"/>
                <w:szCs w:val="24"/>
              </w:rPr>
            </w:pPr>
            <w:r w:rsidRPr="00F667E7">
              <w:rPr>
                <w:rFonts w:ascii="Times New Roman" w:eastAsia="Times New Roman" w:hAnsi="Times New Roman" w:cs="Times New Roman"/>
                <w:b/>
                <w:bCs/>
                <w:sz w:val="24"/>
                <w:szCs w:val="24"/>
              </w:rPr>
              <w:t>IV. Tiesību akta projekta ietekme uz spēkā esošo tiesību normu sistēmu</w:t>
            </w:r>
          </w:p>
        </w:tc>
      </w:tr>
      <w:tr w:rsidR="00F55994" w:rsidRPr="00F667E7" w14:paraId="70B1D363" w14:textId="77777777" w:rsidTr="00D57261">
        <w:tc>
          <w:tcPr>
            <w:tcW w:w="738" w:type="dxa"/>
          </w:tcPr>
          <w:p w14:paraId="7C9F451E" w14:textId="77777777" w:rsidR="00F55994" w:rsidRPr="00F667E7" w:rsidRDefault="00F55994" w:rsidP="00F87ACC">
            <w:pPr>
              <w:rPr>
                <w:rFonts w:ascii="Times New Roman" w:hAnsi="Times New Roman" w:cs="Times New Roman"/>
                <w:sz w:val="24"/>
                <w:szCs w:val="24"/>
              </w:rPr>
            </w:pPr>
            <w:r w:rsidRPr="00F667E7">
              <w:rPr>
                <w:rFonts w:ascii="Times New Roman" w:hAnsi="Times New Roman" w:cs="Times New Roman"/>
                <w:sz w:val="24"/>
                <w:szCs w:val="24"/>
              </w:rPr>
              <w:t>1.</w:t>
            </w:r>
          </w:p>
        </w:tc>
        <w:tc>
          <w:tcPr>
            <w:tcW w:w="2381" w:type="dxa"/>
          </w:tcPr>
          <w:p w14:paraId="052B7A14" w14:textId="78FD37BD" w:rsidR="00F55994" w:rsidRPr="00F667E7" w:rsidRDefault="00F55994" w:rsidP="00F87ACC">
            <w:pPr>
              <w:rPr>
                <w:rFonts w:ascii="Times New Roman" w:hAnsi="Times New Roman" w:cs="Times New Roman"/>
                <w:sz w:val="24"/>
                <w:szCs w:val="24"/>
              </w:rPr>
            </w:pPr>
            <w:r w:rsidRPr="00F667E7">
              <w:rPr>
                <w:rFonts w:ascii="Times New Roman" w:eastAsia="Times New Roman" w:hAnsi="Times New Roman" w:cs="Times New Roman"/>
                <w:sz w:val="24"/>
                <w:szCs w:val="24"/>
              </w:rPr>
              <w:t>Nepieciešamie saistītie tiesību aktu projekti</w:t>
            </w:r>
          </w:p>
        </w:tc>
        <w:tc>
          <w:tcPr>
            <w:tcW w:w="6521" w:type="dxa"/>
          </w:tcPr>
          <w:p w14:paraId="6FF6F8C0" w14:textId="163874E0" w:rsidR="00F55994" w:rsidRPr="00F667E7" w:rsidRDefault="00D57261" w:rsidP="00237024">
            <w:pPr>
              <w:jc w:val="both"/>
              <w:rPr>
                <w:rFonts w:ascii="Times New Roman" w:hAnsi="Times New Roman" w:cs="Times New Roman"/>
                <w:sz w:val="24"/>
                <w:szCs w:val="24"/>
              </w:rPr>
            </w:pPr>
            <w:r>
              <w:rPr>
                <w:rFonts w:ascii="Times New Roman" w:hAnsi="Times New Roman" w:cs="Times New Roman"/>
                <w:sz w:val="24"/>
                <w:szCs w:val="24"/>
              </w:rPr>
              <w:t>Nav</w:t>
            </w:r>
          </w:p>
        </w:tc>
      </w:tr>
      <w:tr w:rsidR="00F55994" w:rsidRPr="00F667E7" w14:paraId="18A2FA0B" w14:textId="77777777" w:rsidTr="00D57261">
        <w:tc>
          <w:tcPr>
            <w:tcW w:w="738" w:type="dxa"/>
          </w:tcPr>
          <w:p w14:paraId="71075DB2" w14:textId="77777777" w:rsidR="00F55994" w:rsidRPr="00F667E7" w:rsidRDefault="00F55994" w:rsidP="00F87ACC">
            <w:pPr>
              <w:rPr>
                <w:rFonts w:ascii="Times New Roman" w:hAnsi="Times New Roman" w:cs="Times New Roman"/>
                <w:sz w:val="24"/>
                <w:szCs w:val="24"/>
              </w:rPr>
            </w:pPr>
            <w:r w:rsidRPr="00F667E7">
              <w:rPr>
                <w:rFonts w:ascii="Times New Roman" w:hAnsi="Times New Roman" w:cs="Times New Roman"/>
                <w:sz w:val="24"/>
                <w:szCs w:val="24"/>
              </w:rPr>
              <w:t>2.</w:t>
            </w:r>
          </w:p>
        </w:tc>
        <w:tc>
          <w:tcPr>
            <w:tcW w:w="2381" w:type="dxa"/>
          </w:tcPr>
          <w:p w14:paraId="42A262AF" w14:textId="3804E602" w:rsidR="00F55994" w:rsidRPr="00F667E7" w:rsidRDefault="00F55994" w:rsidP="00F87ACC">
            <w:pPr>
              <w:rPr>
                <w:rFonts w:ascii="Times New Roman" w:eastAsia="Times New Roman" w:hAnsi="Times New Roman" w:cs="Times New Roman"/>
                <w:sz w:val="24"/>
                <w:szCs w:val="24"/>
              </w:rPr>
            </w:pPr>
            <w:r w:rsidRPr="00F667E7">
              <w:rPr>
                <w:rFonts w:ascii="Times New Roman" w:eastAsia="Times New Roman" w:hAnsi="Times New Roman" w:cs="Times New Roman"/>
                <w:sz w:val="24"/>
                <w:szCs w:val="24"/>
              </w:rPr>
              <w:t>Atbildīgā institūcija</w:t>
            </w:r>
          </w:p>
        </w:tc>
        <w:tc>
          <w:tcPr>
            <w:tcW w:w="6521" w:type="dxa"/>
          </w:tcPr>
          <w:p w14:paraId="7281055A" w14:textId="77777777" w:rsidR="00F55994" w:rsidRDefault="00B84C91" w:rsidP="00C27371">
            <w:pPr>
              <w:jc w:val="both"/>
              <w:rPr>
                <w:rFonts w:ascii="Times New Roman" w:hAnsi="Times New Roman" w:cs="Times New Roman"/>
                <w:sz w:val="24"/>
                <w:szCs w:val="24"/>
              </w:rPr>
            </w:pPr>
            <w:r w:rsidRPr="00F667E7">
              <w:rPr>
                <w:rFonts w:ascii="Times New Roman" w:hAnsi="Times New Roman" w:cs="Times New Roman"/>
                <w:sz w:val="24"/>
                <w:szCs w:val="24"/>
              </w:rPr>
              <w:t>Korupcijas novēršanas un apkarošanas birojs</w:t>
            </w:r>
          </w:p>
          <w:p w14:paraId="6AB0B880" w14:textId="3759FC4F" w:rsidR="00C61A11" w:rsidRPr="00F667E7" w:rsidRDefault="00C61A11" w:rsidP="00C27371">
            <w:pPr>
              <w:jc w:val="both"/>
              <w:rPr>
                <w:rFonts w:ascii="Times New Roman" w:hAnsi="Times New Roman" w:cs="Times New Roman"/>
                <w:sz w:val="24"/>
                <w:szCs w:val="24"/>
              </w:rPr>
            </w:pPr>
          </w:p>
        </w:tc>
      </w:tr>
    </w:tbl>
    <w:p w14:paraId="5981652F" w14:textId="77777777" w:rsidR="00F55994" w:rsidRDefault="00F55994" w:rsidP="00171D36">
      <w:pPr>
        <w:spacing w:after="0" w:line="240" w:lineRule="auto"/>
        <w:rPr>
          <w:rFonts w:ascii="Times New Roman" w:hAnsi="Times New Roman" w:cs="Times New Roman"/>
          <w:sz w:val="24"/>
          <w:szCs w:val="24"/>
        </w:rPr>
      </w:pPr>
    </w:p>
    <w:tbl>
      <w:tblPr>
        <w:tblW w:w="5193" w:type="pct"/>
        <w:tblInd w:w="-17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719"/>
        <w:gridCol w:w="2400"/>
        <w:gridCol w:w="6520"/>
      </w:tblGrid>
      <w:tr w:rsidR="00C2434A" w:rsidRPr="00FD23D6" w14:paraId="62EC6160" w14:textId="77777777" w:rsidTr="00E92E92">
        <w:tc>
          <w:tcPr>
            <w:tcW w:w="5000" w:type="pct"/>
            <w:gridSpan w:val="3"/>
            <w:tcBorders>
              <w:top w:val="outset" w:sz="6" w:space="0" w:color="auto"/>
              <w:left w:val="outset" w:sz="6" w:space="0" w:color="auto"/>
              <w:bottom w:val="outset" w:sz="6" w:space="0" w:color="auto"/>
              <w:right w:val="outset" w:sz="6" w:space="0" w:color="auto"/>
            </w:tcBorders>
          </w:tcPr>
          <w:p w14:paraId="4F21E8CA" w14:textId="77777777" w:rsidR="00C2434A" w:rsidRPr="00FD23D6" w:rsidRDefault="00C2434A" w:rsidP="00BE33BE">
            <w:pPr>
              <w:pStyle w:val="NoSpacing"/>
              <w:rPr>
                <w:rFonts w:ascii="Times New Roman" w:hAnsi="Times New Roman"/>
                <w:b/>
                <w:sz w:val="24"/>
                <w:szCs w:val="24"/>
              </w:rPr>
            </w:pPr>
            <w:r w:rsidRPr="00FD23D6">
              <w:rPr>
                <w:rFonts w:ascii="Times New Roman" w:hAnsi="Times New Roman"/>
                <w:b/>
                <w:sz w:val="24"/>
                <w:szCs w:val="24"/>
              </w:rPr>
              <w:t> V. Tiesību akta projekta atbilstība Latvijas Republikas starptautiskajām saistībām</w:t>
            </w:r>
          </w:p>
        </w:tc>
      </w:tr>
      <w:tr w:rsidR="00C2434A" w:rsidRPr="00FD23D6" w14:paraId="577AE473" w14:textId="77777777" w:rsidTr="00790A64">
        <w:tc>
          <w:tcPr>
            <w:tcW w:w="373" w:type="pct"/>
            <w:tcBorders>
              <w:top w:val="outset" w:sz="6" w:space="0" w:color="auto"/>
              <w:left w:val="outset" w:sz="6" w:space="0" w:color="auto"/>
              <w:bottom w:val="outset" w:sz="6" w:space="0" w:color="auto"/>
              <w:right w:val="outset" w:sz="6" w:space="0" w:color="auto"/>
            </w:tcBorders>
          </w:tcPr>
          <w:p w14:paraId="21609178" w14:textId="77777777" w:rsidR="00C2434A" w:rsidRPr="00FD23D6" w:rsidRDefault="00C2434A" w:rsidP="00BE33BE">
            <w:pPr>
              <w:pStyle w:val="Parastais1"/>
            </w:pPr>
            <w:r w:rsidRPr="00FD23D6">
              <w:t>1.</w:t>
            </w:r>
          </w:p>
        </w:tc>
        <w:tc>
          <w:tcPr>
            <w:tcW w:w="1245" w:type="pct"/>
            <w:tcBorders>
              <w:top w:val="outset" w:sz="6" w:space="0" w:color="auto"/>
              <w:left w:val="outset" w:sz="6" w:space="0" w:color="auto"/>
              <w:bottom w:val="outset" w:sz="6" w:space="0" w:color="auto"/>
              <w:right w:val="outset" w:sz="6" w:space="0" w:color="auto"/>
            </w:tcBorders>
          </w:tcPr>
          <w:p w14:paraId="10B96A29" w14:textId="77777777" w:rsidR="00C2434A" w:rsidRPr="00FD23D6" w:rsidRDefault="00C2434A" w:rsidP="00BE33BE">
            <w:pPr>
              <w:pStyle w:val="Parastais1"/>
            </w:pPr>
            <w:r w:rsidRPr="00FD23D6">
              <w:t>Saistības pret Eiropas Savienību</w:t>
            </w:r>
          </w:p>
        </w:tc>
        <w:tc>
          <w:tcPr>
            <w:tcW w:w="3382" w:type="pct"/>
            <w:tcBorders>
              <w:top w:val="outset" w:sz="6" w:space="0" w:color="auto"/>
              <w:left w:val="outset" w:sz="6" w:space="0" w:color="auto"/>
              <w:bottom w:val="outset" w:sz="6" w:space="0" w:color="auto"/>
              <w:right w:val="outset" w:sz="6" w:space="0" w:color="auto"/>
            </w:tcBorders>
          </w:tcPr>
          <w:p w14:paraId="3D8A0224" w14:textId="77777777" w:rsidR="00C2434A" w:rsidRDefault="00C2434A" w:rsidP="00BE33BE"/>
          <w:p w14:paraId="342A57E6" w14:textId="77777777" w:rsidR="00C61A11" w:rsidRPr="00FD23D6" w:rsidRDefault="00C61A11" w:rsidP="00BE33BE"/>
        </w:tc>
      </w:tr>
      <w:tr w:rsidR="00C2434A" w:rsidRPr="00FD23D6" w14:paraId="7952C330" w14:textId="77777777" w:rsidTr="00790A64">
        <w:tc>
          <w:tcPr>
            <w:tcW w:w="373" w:type="pct"/>
            <w:tcBorders>
              <w:top w:val="outset" w:sz="6" w:space="0" w:color="auto"/>
              <w:left w:val="outset" w:sz="6" w:space="0" w:color="auto"/>
              <w:bottom w:val="outset" w:sz="6" w:space="0" w:color="auto"/>
              <w:right w:val="outset" w:sz="6" w:space="0" w:color="auto"/>
            </w:tcBorders>
          </w:tcPr>
          <w:p w14:paraId="209AFE13" w14:textId="77777777" w:rsidR="00C2434A" w:rsidRPr="00FD23D6" w:rsidRDefault="00C2434A" w:rsidP="00BE33BE">
            <w:pPr>
              <w:pStyle w:val="Parastais1"/>
            </w:pPr>
            <w:r w:rsidRPr="00FD23D6">
              <w:t>2.</w:t>
            </w:r>
          </w:p>
        </w:tc>
        <w:tc>
          <w:tcPr>
            <w:tcW w:w="1245" w:type="pct"/>
            <w:tcBorders>
              <w:top w:val="outset" w:sz="6" w:space="0" w:color="auto"/>
              <w:left w:val="outset" w:sz="6" w:space="0" w:color="auto"/>
              <w:bottom w:val="outset" w:sz="6" w:space="0" w:color="auto"/>
              <w:right w:val="outset" w:sz="6" w:space="0" w:color="auto"/>
            </w:tcBorders>
          </w:tcPr>
          <w:p w14:paraId="7511E0C3" w14:textId="77777777" w:rsidR="00C2434A" w:rsidRPr="00FD23D6" w:rsidRDefault="00C2434A" w:rsidP="00BE33BE">
            <w:pPr>
              <w:pStyle w:val="Parastais1"/>
            </w:pPr>
            <w:r w:rsidRPr="00FD23D6">
              <w:t>Citas starptautiskās saistības</w:t>
            </w:r>
          </w:p>
        </w:tc>
        <w:tc>
          <w:tcPr>
            <w:tcW w:w="3382" w:type="pct"/>
            <w:tcBorders>
              <w:top w:val="outset" w:sz="6" w:space="0" w:color="auto"/>
              <w:left w:val="outset" w:sz="6" w:space="0" w:color="auto"/>
              <w:bottom w:val="outset" w:sz="6" w:space="0" w:color="auto"/>
              <w:right w:val="outset" w:sz="6" w:space="0" w:color="auto"/>
            </w:tcBorders>
          </w:tcPr>
          <w:p w14:paraId="791F9406" w14:textId="77777777" w:rsidR="008E7669" w:rsidRDefault="000B6208" w:rsidP="008E7669">
            <w:pPr>
              <w:spacing w:after="0" w:line="240" w:lineRule="auto"/>
              <w:ind w:right="113"/>
              <w:jc w:val="both"/>
              <w:rPr>
                <w:rFonts w:ascii="Times New Roman" w:hAnsi="Times New Roman" w:cs="Times New Roman"/>
                <w:kern w:val="24"/>
                <w:sz w:val="24"/>
                <w:szCs w:val="24"/>
              </w:rPr>
            </w:pPr>
            <w:r w:rsidRPr="008E7669">
              <w:rPr>
                <w:rFonts w:ascii="Times New Roman" w:hAnsi="Times New Roman" w:cs="Times New Roman"/>
                <w:sz w:val="24"/>
                <w:szCs w:val="24"/>
              </w:rPr>
              <w:t xml:space="preserve">Izstrādājot minēto Ministru kabineta noteikumu projektu, tika ņemtas vērā </w:t>
            </w:r>
            <w:r w:rsidRPr="008E7669">
              <w:rPr>
                <w:rFonts w:ascii="Times New Roman" w:hAnsi="Times New Roman" w:cs="Times New Roman"/>
                <w:sz w:val="24"/>
                <w:szCs w:val="24"/>
                <w:u w:val="single"/>
              </w:rPr>
              <w:t>Ekonomiskās sadarbības un attīstības organizācijas (</w:t>
            </w:r>
            <w:r w:rsidRPr="008E7669">
              <w:rPr>
                <w:rFonts w:ascii="Times New Roman" w:hAnsi="Times New Roman" w:cs="Times New Roman"/>
                <w:kern w:val="24"/>
                <w:sz w:val="24"/>
                <w:szCs w:val="24"/>
                <w:u w:val="single"/>
              </w:rPr>
              <w:t>OECD)</w:t>
            </w:r>
            <w:r w:rsidRPr="008E7669">
              <w:rPr>
                <w:rFonts w:ascii="Times New Roman" w:hAnsi="Times New Roman" w:cs="Times New Roman"/>
                <w:kern w:val="24"/>
                <w:sz w:val="24"/>
                <w:szCs w:val="24"/>
              </w:rPr>
              <w:t xml:space="preserve"> Kukuļošanas apkarošanas starptautiskajos biznesa darījumos darba grupas Latvijas 2.fāzes ziņ</w:t>
            </w:r>
            <w:r w:rsidR="008E7669">
              <w:rPr>
                <w:rFonts w:ascii="Times New Roman" w:hAnsi="Times New Roman" w:cs="Times New Roman"/>
                <w:kern w:val="24"/>
                <w:sz w:val="24"/>
                <w:szCs w:val="24"/>
              </w:rPr>
              <w:t xml:space="preserve">ojumā izteiktās rekomendācijas, </w:t>
            </w:r>
            <w:r w:rsidRPr="008E7669">
              <w:rPr>
                <w:rFonts w:ascii="Times New Roman" w:hAnsi="Times New Roman" w:cs="Times New Roman"/>
                <w:kern w:val="24"/>
                <w:sz w:val="24"/>
                <w:szCs w:val="24"/>
              </w:rPr>
              <w:t>piemēram</w:t>
            </w:r>
            <w:r w:rsidR="008E7669" w:rsidRPr="008E7669">
              <w:rPr>
                <w:rFonts w:ascii="Times New Roman" w:hAnsi="Times New Roman" w:cs="Times New Roman"/>
                <w:sz w:val="24"/>
                <w:szCs w:val="24"/>
              </w:rPr>
              <w:t>,</w:t>
            </w:r>
            <w:r w:rsidR="008E7669">
              <w:rPr>
                <w:rFonts w:ascii="Times New Roman" w:hAnsi="Times New Roman" w:cs="Times New Roman"/>
                <w:sz w:val="24"/>
                <w:szCs w:val="24"/>
              </w:rPr>
              <w:t xml:space="preserve"> </w:t>
            </w:r>
            <w:r w:rsidRPr="008E7669">
              <w:rPr>
                <w:rFonts w:ascii="Times New Roman" w:hAnsi="Times New Roman" w:cs="Times New Roman"/>
                <w:sz w:val="24"/>
                <w:szCs w:val="24"/>
              </w:rPr>
              <w:t xml:space="preserve">Kukuļošanas apkarošanas </w:t>
            </w:r>
            <w:r w:rsidRPr="008E7669">
              <w:rPr>
                <w:rFonts w:ascii="Times New Roman" w:hAnsi="Times New Roman" w:cs="Times New Roman"/>
                <w:bCs/>
                <w:sz w:val="24"/>
                <w:szCs w:val="24"/>
              </w:rPr>
              <w:t>starptautiskajos biznesa darījumos darba grupas</w:t>
            </w:r>
            <w:r w:rsidR="008E7669">
              <w:rPr>
                <w:rFonts w:ascii="Times New Roman" w:hAnsi="Times New Roman" w:cs="Times New Roman"/>
                <w:bCs/>
                <w:sz w:val="24"/>
                <w:szCs w:val="24"/>
              </w:rPr>
              <w:t xml:space="preserve"> </w:t>
            </w:r>
            <w:r w:rsidRPr="008E7669">
              <w:rPr>
                <w:rFonts w:ascii="Times New Roman" w:hAnsi="Times New Roman" w:cs="Times New Roman"/>
                <w:kern w:val="24"/>
                <w:sz w:val="24"/>
                <w:szCs w:val="24"/>
              </w:rPr>
              <w:t>rekomendācija</w:t>
            </w:r>
            <w:r w:rsidR="008E7669">
              <w:rPr>
                <w:rFonts w:ascii="Times New Roman" w:hAnsi="Times New Roman" w:cs="Times New Roman"/>
                <w:kern w:val="24"/>
                <w:sz w:val="24"/>
                <w:szCs w:val="24"/>
              </w:rPr>
              <w:t>:</w:t>
            </w:r>
          </w:p>
          <w:p w14:paraId="1A4D619B" w14:textId="21ABA14E" w:rsidR="008E7669" w:rsidRPr="00790A64" w:rsidRDefault="008E7669" w:rsidP="00790A64">
            <w:pPr>
              <w:numPr>
                <w:ilvl w:val="0"/>
                <w:numId w:val="43"/>
              </w:num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Latvijai veikt pasākumus</w:t>
            </w:r>
            <w:r w:rsidRPr="00B27C7B">
              <w:rPr>
                <w:rFonts w:ascii="Times New Roman" w:hAnsi="Times New Roman" w:cs="Times New Roman"/>
                <w:sz w:val="24"/>
                <w:szCs w:val="24"/>
              </w:rPr>
              <w:t>, mudinot uzņēmumus izstrādāt, pieņemt un efektīvi īstenot adekvātu iekšējo kontroli, ētikas un atbilstības programmas vai pasākumus ar mērķi novērst un atklāt ārvalstu amatpersonu kukuļošanu; un mudina uzņēmēju un profesionālās asociācijas izstrādāt līdzīgas programmas vai pasākumus, cenšoties p</w:t>
            </w:r>
            <w:r>
              <w:rPr>
                <w:rFonts w:ascii="Times New Roman" w:hAnsi="Times New Roman" w:cs="Times New Roman"/>
                <w:sz w:val="24"/>
                <w:szCs w:val="24"/>
              </w:rPr>
              <w:t>alīdzēt uzņēmumiem, it īpaši maziem un vidējiem uzņēmumiem</w:t>
            </w:r>
            <w:r w:rsidRPr="00B27C7B">
              <w:rPr>
                <w:rFonts w:ascii="Times New Roman" w:hAnsi="Times New Roman" w:cs="Times New Roman"/>
                <w:sz w:val="24"/>
                <w:szCs w:val="24"/>
              </w:rPr>
              <w:t xml:space="preserve"> (2009.gada Rekomendācija III un X </w:t>
            </w:r>
            <w:proofErr w:type="spellStart"/>
            <w:r w:rsidRPr="00B27C7B">
              <w:rPr>
                <w:rFonts w:ascii="Times New Roman" w:hAnsi="Times New Roman" w:cs="Times New Roman"/>
                <w:sz w:val="24"/>
                <w:szCs w:val="24"/>
              </w:rPr>
              <w:t>C(i</w:t>
            </w:r>
            <w:proofErr w:type="spellEnd"/>
            <w:r w:rsidRPr="00B27C7B">
              <w:rPr>
                <w:rFonts w:ascii="Times New Roman" w:hAnsi="Times New Roman" w:cs="Times New Roman"/>
                <w:sz w:val="24"/>
                <w:szCs w:val="24"/>
              </w:rPr>
              <w:t>));</w:t>
            </w:r>
          </w:p>
          <w:p w14:paraId="62E0640B" w14:textId="77777777" w:rsidR="008E7669" w:rsidRPr="008E7669" w:rsidRDefault="000B6208" w:rsidP="008E7669">
            <w:pPr>
              <w:pStyle w:val="ListParagraph"/>
              <w:numPr>
                <w:ilvl w:val="0"/>
                <w:numId w:val="43"/>
              </w:numPr>
              <w:spacing w:after="0" w:line="240" w:lineRule="auto"/>
              <w:ind w:right="113"/>
              <w:jc w:val="both"/>
              <w:rPr>
                <w:rFonts w:ascii="Times New Roman" w:hAnsi="Times New Roman" w:cs="Times New Roman"/>
                <w:sz w:val="24"/>
                <w:szCs w:val="24"/>
              </w:rPr>
            </w:pPr>
            <w:r w:rsidRPr="008E7669">
              <w:rPr>
                <w:rFonts w:ascii="Times New Roman" w:hAnsi="Times New Roman" w:cs="Times New Roman"/>
                <w:i/>
                <w:kern w:val="24"/>
                <w:sz w:val="24"/>
                <w:szCs w:val="24"/>
              </w:rPr>
              <w:t xml:space="preserve">Latvija īsteno tās plānu veikt pasākumus, kas noteiktu valsts amatpersonām pienākumu ziņot tieši vai netieši, izmantojot iekšējo mehānismu, tiesībsargājošām iestādēm par aizdomām par ārvalstu amatpersonu kukuļošanu starptautiskos darījumos, kas radušās, veicot savus dienesta pienākumus (2009.gada Rekomendācija III un </w:t>
            </w:r>
            <w:proofErr w:type="spellStart"/>
            <w:r w:rsidRPr="008E7669">
              <w:rPr>
                <w:rFonts w:ascii="Times New Roman" w:hAnsi="Times New Roman" w:cs="Times New Roman"/>
                <w:i/>
                <w:kern w:val="24"/>
                <w:sz w:val="24"/>
                <w:szCs w:val="24"/>
              </w:rPr>
              <w:t>IX(i</w:t>
            </w:r>
            <w:proofErr w:type="spellEnd"/>
            <w:r w:rsidRPr="008E7669">
              <w:rPr>
                <w:rFonts w:ascii="Times New Roman" w:hAnsi="Times New Roman" w:cs="Times New Roman"/>
                <w:i/>
                <w:kern w:val="24"/>
                <w:sz w:val="24"/>
                <w:szCs w:val="24"/>
              </w:rPr>
              <w:t>))</w:t>
            </w:r>
          </w:p>
          <w:p w14:paraId="49E88C14" w14:textId="16B8E661" w:rsidR="00C2434A" w:rsidRPr="00790A64" w:rsidRDefault="008E7669" w:rsidP="008E7669">
            <w:pPr>
              <w:pStyle w:val="ListParagraph"/>
              <w:numPr>
                <w:ilvl w:val="0"/>
                <w:numId w:val="43"/>
              </w:numPr>
              <w:spacing w:after="0" w:line="240" w:lineRule="auto"/>
              <w:ind w:right="113"/>
              <w:jc w:val="both"/>
              <w:rPr>
                <w:rFonts w:ascii="Times New Roman" w:hAnsi="Times New Roman" w:cs="Times New Roman"/>
                <w:sz w:val="24"/>
                <w:szCs w:val="24"/>
              </w:rPr>
            </w:pPr>
            <w:r>
              <w:rPr>
                <w:rFonts w:ascii="Times New Roman" w:hAnsi="Times New Roman" w:cs="Times New Roman"/>
                <w:i/>
                <w:sz w:val="24"/>
                <w:szCs w:val="24"/>
              </w:rPr>
              <w:t>Latvijai veikt pasākumus</w:t>
            </w:r>
            <w:r w:rsidRPr="00CA14F4">
              <w:rPr>
                <w:rFonts w:ascii="Times New Roman" w:hAnsi="Times New Roman" w:cs="Times New Roman"/>
                <w:i/>
                <w:sz w:val="24"/>
                <w:szCs w:val="24"/>
              </w:rPr>
              <w:t>, iedrošinot trauksmes celšanu, tai skaitā informējot par labā ticībā (</w:t>
            </w:r>
            <w:proofErr w:type="spellStart"/>
            <w:r w:rsidRPr="00CA14F4">
              <w:rPr>
                <w:rFonts w:ascii="Times New Roman" w:hAnsi="Times New Roman" w:cs="Times New Roman"/>
                <w:i/>
                <w:sz w:val="24"/>
                <w:szCs w:val="24"/>
              </w:rPr>
              <w:t>bona</w:t>
            </w:r>
            <w:proofErr w:type="spellEnd"/>
            <w:r w:rsidRPr="00CA14F4">
              <w:rPr>
                <w:rFonts w:ascii="Times New Roman" w:hAnsi="Times New Roman" w:cs="Times New Roman"/>
                <w:i/>
                <w:sz w:val="24"/>
                <w:szCs w:val="24"/>
              </w:rPr>
              <w:t xml:space="preserve"> </w:t>
            </w:r>
            <w:proofErr w:type="spellStart"/>
            <w:r w:rsidRPr="00CA14F4">
              <w:rPr>
                <w:rFonts w:ascii="Times New Roman" w:hAnsi="Times New Roman" w:cs="Times New Roman"/>
                <w:i/>
                <w:sz w:val="24"/>
                <w:szCs w:val="24"/>
              </w:rPr>
              <w:t>fide</w:t>
            </w:r>
            <w:proofErr w:type="spellEnd"/>
            <w:r w:rsidRPr="00CA14F4">
              <w:rPr>
                <w:rFonts w:ascii="Times New Roman" w:hAnsi="Times New Roman" w:cs="Times New Roman"/>
                <w:i/>
                <w:sz w:val="24"/>
                <w:szCs w:val="24"/>
              </w:rPr>
              <w:t xml:space="preserve">) veiktās trauksmes celšanas, kā publiskās un privātās godprātības sistēmas sastāvdaļas, svarīgumu un paaugstinot informētību par pieejamo aizsardzību privātā sektorā strādājošiem trauksmes cēlējiem, nodrošinot trauksmes cēlējiem viegli pieejamus ziņošanas kanālus (2009.gada Rekomendācija III un </w:t>
            </w:r>
            <w:proofErr w:type="spellStart"/>
            <w:r w:rsidRPr="00CA14F4">
              <w:rPr>
                <w:rFonts w:ascii="Times New Roman" w:hAnsi="Times New Roman" w:cs="Times New Roman"/>
                <w:i/>
                <w:sz w:val="24"/>
                <w:szCs w:val="24"/>
              </w:rPr>
              <w:t>IX(i</w:t>
            </w:r>
            <w:proofErr w:type="spellEnd"/>
            <w:r w:rsidRPr="00CA14F4">
              <w:rPr>
                <w:rFonts w:ascii="Times New Roman" w:hAnsi="Times New Roman" w:cs="Times New Roman"/>
                <w:i/>
                <w:sz w:val="24"/>
                <w:szCs w:val="24"/>
              </w:rPr>
              <w:t>), (</w:t>
            </w:r>
            <w:proofErr w:type="spellStart"/>
            <w:r w:rsidRPr="00CA14F4">
              <w:rPr>
                <w:rFonts w:ascii="Times New Roman" w:hAnsi="Times New Roman" w:cs="Times New Roman"/>
                <w:i/>
                <w:sz w:val="24"/>
                <w:szCs w:val="24"/>
              </w:rPr>
              <w:t>iii</w:t>
            </w:r>
            <w:proofErr w:type="spellEnd"/>
            <w:r w:rsidRPr="00CA14F4">
              <w:rPr>
                <w:rFonts w:ascii="Times New Roman" w:hAnsi="Times New Roman" w:cs="Times New Roman"/>
                <w:i/>
                <w:sz w:val="24"/>
                <w:szCs w:val="24"/>
              </w:rPr>
              <w:t>)).</w:t>
            </w:r>
            <w:r w:rsidR="000B6208" w:rsidRPr="008E7669">
              <w:rPr>
                <w:rFonts w:ascii="Times New Roman" w:hAnsi="Times New Roman" w:cs="Times New Roman"/>
                <w:i/>
                <w:kern w:val="24"/>
                <w:sz w:val="24"/>
                <w:szCs w:val="24"/>
              </w:rPr>
              <w:t>.</w:t>
            </w:r>
          </w:p>
        </w:tc>
      </w:tr>
      <w:tr w:rsidR="00C2434A" w:rsidRPr="00FD23D6" w14:paraId="6745E3C3" w14:textId="77777777" w:rsidTr="00790A64">
        <w:tc>
          <w:tcPr>
            <w:tcW w:w="373" w:type="pct"/>
            <w:tcBorders>
              <w:top w:val="outset" w:sz="6" w:space="0" w:color="auto"/>
              <w:left w:val="outset" w:sz="6" w:space="0" w:color="auto"/>
              <w:bottom w:val="outset" w:sz="6" w:space="0" w:color="auto"/>
              <w:right w:val="outset" w:sz="6" w:space="0" w:color="auto"/>
            </w:tcBorders>
          </w:tcPr>
          <w:p w14:paraId="7717062A" w14:textId="4B7E928E" w:rsidR="00C2434A" w:rsidRPr="00FD23D6" w:rsidRDefault="00C2434A" w:rsidP="00BE33BE">
            <w:pPr>
              <w:pStyle w:val="Parastais1"/>
            </w:pPr>
            <w:r w:rsidRPr="00FD23D6">
              <w:lastRenderedPageBreak/>
              <w:t>3.</w:t>
            </w:r>
          </w:p>
        </w:tc>
        <w:tc>
          <w:tcPr>
            <w:tcW w:w="1245" w:type="pct"/>
            <w:tcBorders>
              <w:top w:val="outset" w:sz="6" w:space="0" w:color="auto"/>
              <w:left w:val="outset" w:sz="6" w:space="0" w:color="auto"/>
              <w:bottom w:val="outset" w:sz="6" w:space="0" w:color="auto"/>
              <w:right w:val="outset" w:sz="6" w:space="0" w:color="auto"/>
            </w:tcBorders>
          </w:tcPr>
          <w:p w14:paraId="495471AB" w14:textId="77777777" w:rsidR="00C2434A" w:rsidRPr="00FD23D6" w:rsidRDefault="00C2434A" w:rsidP="00BE33BE">
            <w:pPr>
              <w:pStyle w:val="Parastais1"/>
            </w:pPr>
            <w:r w:rsidRPr="00FD23D6">
              <w:t>Cita informācija</w:t>
            </w:r>
          </w:p>
        </w:tc>
        <w:tc>
          <w:tcPr>
            <w:tcW w:w="3382" w:type="pct"/>
            <w:tcBorders>
              <w:top w:val="outset" w:sz="6" w:space="0" w:color="auto"/>
              <w:left w:val="outset" w:sz="6" w:space="0" w:color="auto"/>
              <w:bottom w:val="outset" w:sz="6" w:space="0" w:color="auto"/>
              <w:right w:val="outset" w:sz="6" w:space="0" w:color="auto"/>
            </w:tcBorders>
          </w:tcPr>
          <w:p w14:paraId="47998310" w14:textId="77777777" w:rsidR="00C2434A" w:rsidRPr="00FD23D6" w:rsidRDefault="00C2434A" w:rsidP="00BE33BE">
            <w:pPr>
              <w:spacing w:line="240" w:lineRule="auto"/>
            </w:pPr>
          </w:p>
        </w:tc>
      </w:tr>
    </w:tbl>
    <w:p w14:paraId="5ABDA221" w14:textId="77777777" w:rsidR="00C2434A" w:rsidRDefault="00C2434A" w:rsidP="00171D36">
      <w:pPr>
        <w:spacing w:after="0" w:line="240" w:lineRule="auto"/>
        <w:rPr>
          <w:rFonts w:ascii="Times New Roman" w:hAnsi="Times New Roman" w:cs="Times New Roman"/>
          <w:sz w:val="24"/>
          <w:szCs w:val="24"/>
        </w:rPr>
      </w:pPr>
    </w:p>
    <w:p w14:paraId="5AB74B93" w14:textId="77777777" w:rsidR="00C61A11" w:rsidRPr="00F667E7" w:rsidRDefault="00C61A11" w:rsidP="00171D36">
      <w:pPr>
        <w:spacing w:after="0" w:line="240" w:lineRule="auto"/>
        <w:rPr>
          <w:rFonts w:ascii="Times New Roman" w:hAnsi="Times New Roman" w:cs="Times New Roman"/>
          <w:sz w:val="24"/>
          <w:szCs w:val="24"/>
        </w:rPr>
      </w:pPr>
    </w:p>
    <w:p w14:paraId="4436A5AE" w14:textId="77777777" w:rsidR="00CB538A" w:rsidRPr="00F667E7" w:rsidRDefault="00CB538A" w:rsidP="00171D36">
      <w:pPr>
        <w:spacing w:after="0" w:line="240" w:lineRule="auto"/>
        <w:rPr>
          <w:rFonts w:ascii="Times New Roman" w:hAnsi="Times New Roman" w:cs="Times New Roman"/>
          <w:sz w:val="24"/>
          <w:szCs w:val="24"/>
        </w:rPr>
      </w:pPr>
    </w:p>
    <w:tbl>
      <w:tblPr>
        <w:tblW w:w="5139" w:type="pct"/>
        <w:tblInd w:w="-254"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708"/>
        <w:gridCol w:w="2411"/>
        <w:gridCol w:w="6266"/>
      </w:tblGrid>
      <w:tr w:rsidR="008E1C63" w:rsidRPr="00F667E7" w14:paraId="6A2A2AFD" w14:textId="77777777" w:rsidTr="00D57261">
        <w:tc>
          <w:tcPr>
            <w:tcW w:w="9385" w:type="dxa"/>
            <w:gridSpan w:val="3"/>
            <w:tcBorders>
              <w:top w:val="outset" w:sz="6" w:space="0" w:color="000000"/>
              <w:left w:val="outset" w:sz="6" w:space="0" w:color="000000"/>
              <w:bottom w:val="outset" w:sz="6" w:space="0" w:color="000000"/>
              <w:right w:val="outset" w:sz="6" w:space="0" w:color="000000"/>
            </w:tcBorders>
            <w:hideMark/>
          </w:tcPr>
          <w:p w14:paraId="47E2FDAA" w14:textId="68F833AA" w:rsidR="008E1C63" w:rsidRPr="00F667E7" w:rsidRDefault="008E1C63" w:rsidP="007A4FA9">
            <w:pPr>
              <w:pStyle w:val="NormalWeb"/>
              <w:spacing w:before="0" w:beforeAutospacing="0" w:after="0" w:afterAutospacing="0"/>
              <w:jc w:val="center"/>
              <w:rPr>
                <w:b/>
                <w:bCs/>
              </w:rPr>
            </w:pPr>
            <w:r w:rsidRPr="00F667E7">
              <w:rPr>
                <w:b/>
                <w:bCs/>
              </w:rPr>
              <w:t>VI. Sabiedrības līdzdalība un komunikācijas aktivitātes</w:t>
            </w:r>
          </w:p>
        </w:tc>
      </w:tr>
      <w:tr w:rsidR="008E1C63" w:rsidRPr="00F667E7" w14:paraId="6D3162A2" w14:textId="77777777" w:rsidTr="00D57261">
        <w:tc>
          <w:tcPr>
            <w:tcW w:w="708" w:type="dxa"/>
            <w:tcBorders>
              <w:top w:val="outset" w:sz="6" w:space="0" w:color="000000"/>
              <w:left w:val="outset" w:sz="6" w:space="0" w:color="000000"/>
              <w:bottom w:val="outset" w:sz="6" w:space="0" w:color="000000"/>
              <w:right w:val="outset" w:sz="6" w:space="0" w:color="000000"/>
            </w:tcBorders>
            <w:hideMark/>
          </w:tcPr>
          <w:p w14:paraId="6EC009A5" w14:textId="77777777" w:rsidR="008E1C63" w:rsidRPr="00F667E7" w:rsidRDefault="008E1C63" w:rsidP="007A4FA9">
            <w:pPr>
              <w:pStyle w:val="NormalWeb"/>
              <w:spacing w:before="0" w:beforeAutospacing="0" w:after="0" w:afterAutospacing="0"/>
            </w:pPr>
            <w:r w:rsidRPr="00F667E7">
              <w:t>1.</w:t>
            </w:r>
          </w:p>
        </w:tc>
        <w:tc>
          <w:tcPr>
            <w:tcW w:w="2411" w:type="dxa"/>
            <w:tcBorders>
              <w:top w:val="outset" w:sz="6" w:space="0" w:color="000000"/>
              <w:left w:val="outset" w:sz="6" w:space="0" w:color="000000"/>
              <w:bottom w:val="outset" w:sz="6" w:space="0" w:color="000000"/>
              <w:right w:val="outset" w:sz="6" w:space="0" w:color="000000"/>
            </w:tcBorders>
            <w:hideMark/>
          </w:tcPr>
          <w:p w14:paraId="583EE1B2" w14:textId="567D3D04" w:rsidR="008E1C63" w:rsidRPr="00F667E7" w:rsidRDefault="008E1C63" w:rsidP="007A4FA9">
            <w:pPr>
              <w:pStyle w:val="NormalWeb"/>
              <w:spacing w:before="0" w:beforeAutospacing="0" w:after="0" w:afterAutospacing="0"/>
            </w:pPr>
            <w:r w:rsidRPr="00F667E7">
              <w:t>Plānotās sabiedrības līdzdalības un komunikācijas aktivitātes saistībā ar projektu</w:t>
            </w:r>
          </w:p>
        </w:tc>
        <w:tc>
          <w:tcPr>
            <w:tcW w:w="6266" w:type="dxa"/>
            <w:tcBorders>
              <w:top w:val="outset" w:sz="6" w:space="0" w:color="000000"/>
              <w:left w:val="outset" w:sz="6" w:space="0" w:color="000000"/>
              <w:bottom w:val="outset" w:sz="6" w:space="0" w:color="000000"/>
              <w:right w:val="outset" w:sz="6" w:space="0" w:color="000000"/>
            </w:tcBorders>
          </w:tcPr>
          <w:p w14:paraId="1398DC09" w14:textId="2475D6B9" w:rsidR="006A22EF" w:rsidRDefault="006A22EF" w:rsidP="006A22EF">
            <w:pPr>
              <w:spacing w:before="120" w:after="120" w:line="240" w:lineRule="auto"/>
              <w:ind w:left="139" w:right="57"/>
              <w:jc w:val="both"/>
              <w:rPr>
                <w:rFonts w:ascii="Times New Roman" w:hAnsi="Times New Roman" w:cs="Times New Roman"/>
                <w:sz w:val="24"/>
                <w:szCs w:val="24"/>
              </w:rPr>
            </w:pPr>
            <w:r w:rsidRPr="00C043B7">
              <w:rPr>
                <w:rFonts w:ascii="Times New Roman" w:hAnsi="Times New Roman" w:cs="Times New Roman"/>
                <w:sz w:val="24"/>
                <w:szCs w:val="24"/>
              </w:rPr>
              <w:t xml:space="preserve">2016.gada 11.februārī ar Korupcijas novēršanas un apkarošanas biroja priekšnieka rīkojumu Nr.1-1/15 “Par darba grupas izveidi Ministru kabineta noteikumu  par iekšējās kontroles sistēmas pamatprasībām korupcijas un interešu konflikta riska novēršanai publiskas personas institūcijā projekta izstrādei” tika izveidota starpinstitūciju darba grupa, kuras sastāvā bija pārstāvji no: Korupcijas novēršanas un apkarošanas biroja, </w:t>
            </w:r>
            <w:r w:rsidRPr="00C043B7">
              <w:rPr>
                <w:rFonts w:ascii="Times New Roman" w:hAnsi="Times New Roman" w:cs="Times New Roman"/>
                <w:b/>
                <w:sz w:val="24"/>
                <w:szCs w:val="24"/>
              </w:rPr>
              <w:t xml:space="preserve">Finanšu ministrijas, Latvijas Tirdzniecības un rūpniecības kameras, </w:t>
            </w:r>
            <w:proofErr w:type="spellStart"/>
            <w:r w:rsidRPr="00C043B7">
              <w:rPr>
                <w:rFonts w:ascii="Times New Roman" w:hAnsi="Times New Roman" w:cs="Times New Roman"/>
                <w:b/>
                <w:sz w:val="24"/>
                <w:szCs w:val="24"/>
              </w:rPr>
              <w:t>Pārresoru</w:t>
            </w:r>
            <w:proofErr w:type="spellEnd"/>
            <w:r w:rsidRPr="00C043B7">
              <w:rPr>
                <w:rFonts w:ascii="Times New Roman" w:hAnsi="Times New Roman" w:cs="Times New Roman"/>
                <w:b/>
                <w:sz w:val="24"/>
                <w:szCs w:val="24"/>
              </w:rPr>
              <w:t xml:space="preserve"> koordinācijas centra, Latvijas Pašvaldību savienības, Rīgas domes, Korporatīvās ilgtspējas un atbildības institūta</w:t>
            </w:r>
            <w:r w:rsidRPr="00C043B7">
              <w:rPr>
                <w:rFonts w:ascii="Times New Roman" w:hAnsi="Times New Roman" w:cs="Times New Roman"/>
                <w:sz w:val="24"/>
                <w:szCs w:val="24"/>
              </w:rPr>
              <w:t xml:space="preserve">. Papildus norādām, ka tika lūgts arī </w:t>
            </w:r>
            <w:r w:rsidRPr="00C043B7">
              <w:rPr>
                <w:rFonts w:ascii="Times New Roman" w:hAnsi="Times New Roman" w:cs="Times New Roman"/>
                <w:b/>
                <w:sz w:val="24"/>
                <w:szCs w:val="24"/>
              </w:rPr>
              <w:t>Valsts ieņēmuma dienesta</w:t>
            </w:r>
            <w:r w:rsidR="00D57261">
              <w:rPr>
                <w:rFonts w:ascii="Times New Roman" w:hAnsi="Times New Roman" w:cs="Times New Roman"/>
                <w:b/>
                <w:sz w:val="24"/>
                <w:szCs w:val="24"/>
              </w:rPr>
              <w:t xml:space="preserve"> un publiskas personas kapitālsabiedrību</w:t>
            </w:r>
            <w:r w:rsidRPr="00C043B7">
              <w:rPr>
                <w:rFonts w:ascii="Times New Roman" w:hAnsi="Times New Roman" w:cs="Times New Roman"/>
                <w:sz w:val="24"/>
                <w:szCs w:val="24"/>
              </w:rPr>
              <w:t xml:space="preserve"> pārstāvju viedoklis par minēto Ministru kabineta noteikumu projektu.</w:t>
            </w:r>
          </w:p>
          <w:p w14:paraId="7F655316" w14:textId="57BB4056" w:rsidR="008E1C63" w:rsidRPr="00F667E7" w:rsidRDefault="008E1C63" w:rsidP="00D20EDA">
            <w:pPr>
              <w:pStyle w:val="NormalWeb"/>
              <w:spacing w:after="0"/>
              <w:ind w:right="140"/>
              <w:jc w:val="both"/>
            </w:pPr>
          </w:p>
        </w:tc>
      </w:tr>
      <w:tr w:rsidR="008E1C63" w:rsidRPr="00F667E7" w14:paraId="0ABD632E" w14:textId="77777777" w:rsidTr="00D57261">
        <w:tc>
          <w:tcPr>
            <w:tcW w:w="708" w:type="dxa"/>
            <w:tcBorders>
              <w:top w:val="outset" w:sz="6" w:space="0" w:color="000000"/>
              <w:left w:val="outset" w:sz="6" w:space="0" w:color="000000"/>
              <w:bottom w:val="outset" w:sz="6" w:space="0" w:color="000000"/>
              <w:right w:val="outset" w:sz="6" w:space="0" w:color="000000"/>
            </w:tcBorders>
            <w:hideMark/>
          </w:tcPr>
          <w:p w14:paraId="1AA1D392" w14:textId="77777777" w:rsidR="008E1C63" w:rsidRPr="00F667E7" w:rsidRDefault="008E1C63" w:rsidP="007A4FA9">
            <w:pPr>
              <w:pStyle w:val="NormalWeb"/>
              <w:spacing w:before="0" w:beforeAutospacing="0" w:after="0" w:afterAutospacing="0"/>
            </w:pPr>
            <w:r w:rsidRPr="00F667E7">
              <w:t>2.</w:t>
            </w:r>
          </w:p>
        </w:tc>
        <w:tc>
          <w:tcPr>
            <w:tcW w:w="2411" w:type="dxa"/>
            <w:tcBorders>
              <w:top w:val="outset" w:sz="6" w:space="0" w:color="000000"/>
              <w:left w:val="outset" w:sz="6" w:space="0" w:color="000000"/>
              <w:bottom w:val="outset" w:sz="6" w:space="0" w:color="000000"/>
              <w:right w:val="outset" w:sz="6" w:space="0" w:color="000000"/>
            </w:tcBorders>
            <w:hideMark/>
          </w:tcPr>
          <w:p w14:paraId="6808026A" w14:textId="099204DC" w:rsidR="008E1C63" w:rsidRPr="00F667E7" w:rsidRDefault="008E1C63" w:rsidP="007A4FA9">
            <w:pPr>
              <w:pStyle w:val="NormalWeb"/>
              <w:spacing w:before="0" w:beforeAutospacing="0" w:after="0" w:afterAutospacing="0"/>
            </w:pPr>
            <w:r w:rsidRPr="00F667E7">
              <w:t>Sabiedrības līdzdalība projekta izstrādē</w:t>
            </w:r>
          </w:p>
        </w:tc>
        <w:tc>
          <w:tcPr>
            <w:tcW w:w="6266" w:type="dxa"/>
            <w:tcBorders>
              <w:top w:val="outset" w:sz="6" w:space="0" w:color="000000"/>
              <w:left w:val="outset" w:sz="6" w:space="0" w:color="000000"/>
              <w:bottom w:val="outset" w:sz="6" w:space="0" w:color="000000"/>
              <w:right w:val="outset" w:sz="6" w:space="0" w:color="000000"/>
            </w:tcBorders>
          </w:tcPr>
          <w:p w14:paraId="44DB263C" w14:textId="77777777" w:rsidR="008E1C63" w:rsidRDefault="00C2434A" w:rsidP="00CD191D">
            <w:pPr>
              <w:pStyle w:val="NormalWeb"/>
              <w:spacing w:before="0" w:beforeAutospacing="0" w:after="0" w:afterAutospacing="0"/>
              <w:ind w:left="69" w:right="140"/>
              <w:jc w:val="both"/>
            </w:pPr>
            <w:r>
              <w:t>Sabiedrības pārstāvju (</w:t>
            </w:r>
            <w:r w:rsidRPr="00C043B7">
              <w:rPr>
                <w:b/>
              </w:rPr>
              <w:t>Latvijas Tirdzniecības un rūpniecības kameras</w:t>
            </w:r>
            <w:r>
              <w:t xml:space="preserve">, </w:t>
            </w:r>
            <w:r w:rsidRPr="00C043B7">
              <w:rPr>
                <w:b/>
              </w:rPr>
              <w:t>Latvijas Pašvaldību savienības</w:t>
            </w:r>
            <w:r>
              <w:t>,</w:t>
            </w:r>
            <w:r w:rsidRPr="00C043B7">
              <w:rPr>
                <w:b/>
              </w:rPr>
              <w:t xml:space="preserve"> Korporatīvās ilgtspējas un atbildības institūta</w:t>
            </w:r>
            <w:r>
              <w:rPr>
                <w:b/>
              </w:rPr>
              <w:t xml:space="preserve"> un Latvijas Lielo pilsētas asociācijas)</w:t>
            </w:r>
            <w:r>
              <w:t xml:space="preserve"> līdzdalība darba grupā </w:t>
            </w:r>
            <w:r w:rsidR="006A22EF">
              <w:t>Noteikumu projekta izstrādes procesā tika saņemti iebildumi un priekšlikumi no darba grupas locekļiem, kā arī no pašvaldībām un publiskas personas kapitālsabiedrībām</w:t>
            </w:r>
            <w:r w:rsidR="00DD4CEA">
              <w:t>.</w:t>
            </w:r>
          </w:p>
          <w:p w14:paraId="52FE8EE9" w14:textId="08A6A1A9" w:rsidR="00C61A11" w:rsidRPr="00F667E7" w:rsidRDefault="00C61A11" w:rsidP="00CD191D">
            <w:pPr>
              <w:pStyle w:val="NormalWeb"/>
              <w:spacing w:before="0" w:beforeAutospacing="0" w:after="0" w:afterAutospacing="0"/>
              <w:ind w:left="69" w:right="140"/>
              <w:jc w:val="both"/>
            </w:pPr>
          </w:p>
        </w:tc>
      </w:tr>
      <w:tr w:rsidR="008E1C63" w:rsidRPr="00F667E7" w14:paraId="3861DC2B" w14:textId="77777777" w:rsidTr="00D57261">
        <w:tc>
          <w:tcPr>
            <w:tcW w:w="708" w:type="dxa"/>
            <w:tcBorders>
              <w:top w:val="outset" w:sz="6" w:space="0" w:color="000000"/>
              <w:left w:val="outset" w:sz="6" w:space="0" w:color="000000"/>
              <w:bottom w:val="outset" w:sz="6" w:space="0" w:color="000000"/>
              <w:right w:val="outset" w:sz="6" w:space="0" w:color="000000"/>
            </w:tcBorders>
          </w:tcPr>
          <w:p w14:paraId="6AD2CCA5" w14:textId="7557789F" w:rsidR="008E1C63" w:rsidRPr="00F667E7" w:rsidRDefault="008E1C63" w:rsidP="007A4FA9">
            <w:pPr>
              <w:pStyle w:val="NormalWeb"/>
              <w:spacing w:before="0" w:beforeAutospacing="0" w:after="0" w:afterAutospacing="0"/>
            </w:pPr>
            <w:r w:rsidRPr="00F667E7">
              <w:t>3.</w:t>
            </w:r>
          </w:p>
        </w:tc>
        <w:tc>
          <w:tcPr>
            <w:tcW w:w="2411" w:type="dxa"/>
            <w:tcBorders>
              <w:top w:val="outset" w:sz="6" w:space="0" w:color="000000"/>
              <w:left w:val="outset" w:sz="6" w:space="0" w:color="000000"/>
              <w:bottom w:val="outset" w:sz="6" w:space="0" w:color="000000"/>
              <w:right w:val="outset" w:sz="6" w:space="0" w:color="000000"/>
            </w:tcBorders>
          </w:tcPr>
          <w:p w14:paraId="3401CE5A" w14:textId="2C0255C6" w:rsidR="008E1C63" w:rsidRPr="00F667E7" w:rsidRDefault="008E1C63" w:rsidP="007A4FA9">
            <w:pPr>
              <w:pStyle w:val="NormalWeb"/>
              <w:spacing w:before="0" w:beforeAutospacing="0" w:after="0" w:afterAutospacing="0"/>
            </w:pPr>
            <w:r w:rsidRPr="00F667E7">
              <w:t>Sabiedrības līdzdalības rezultāti</w:t>
            </w:r>
          </w:p>
        </w:tc>
        <w:tc>
          <w:tcPr>
            <w:tcW w:w="6266" w:type="dxa"/>
            <w:tcBorders>
              <w:top w:val="outset" w:sz="6" w:space="0" w:color="000000"/>
              <w:left w:val="outset" w:sz="6" w:space="0" w:color="000000"/>
              <w:bottom w:val="outset" w:sz="6" w:space="0" w:color="000000"/>
              <w:right w:val="outset" w:sz="6" w:space="0" w:color="000000"/>
            </w:tcBorders>
          </w:tcPr>
          <w:p w14:paraId="2656B1DA" w14:textId="77777777" w:rsidR="009A44E0" w:rsidRDefault="00F74FB0" w:rsidP="009A44E0">
            <w:pPr>
              <w:pStyle w:val="NormalWeb"/>
              <w:spacing w:before="0" w:beforeAutospacing="0" w:after="0" w:afterAutospacing="0"/>
              <w:ind w:left="69" w:right="140"/>
              <w:jc w:val="both"/>
            </w:pPr>
            <w:r w:rsidRPr="00F74FB0">
              <w:t xml:space="preserve">Noteikumu projekta izstrādes procesā </w:t>
            </w:r>
            <w:r w:rsidR="00C2434A">
              <w:t xml:space="preserve">tika ņemti vērā darba grupas locekļu iebildumi, taču </w:t>
            </w:r>
            <w:r w:rsidRPr="00F74FB0">
              <w:t>ne visi pašvaldību un publiskas personas kapitālsabiedrību iebildumi tika ņemti vērā</w:t>
            </w:r>
            <w:r w:rsidR="00D57261">
              <w:t>.</w:t>
            </w:r>
          </w:p>
          <w:p w14:paraId="445628A3" w14:textId="14B76AE6" w:rsidR="00C61A11" w:rsidRPr="00F74FB0" w:rsidRDefault="00C61A11" w:rsidP="009A44E0">
            <w:pPr>
              <w:pStyle w:val="NormalWeb"/>
              <w:spacing w:before="0" w:beforeAutospacing="0" w:after="0" w:afterAutospacing="0"/>
              <w:ind w:left="69" w:right="140"/>
              <w:jc w:val="both"/>
            </w:pPr>
          </w:p>
        </w:tc>
      </w:tr>
      <w:tr w:rsidR="008E1C63" w:rsidRPr="00F667E7" w14:paraId="42B4A8BC" w14:textId="77777777" w:rsidTr="00D57261">
        <w:tc>
          <w:tcPr>
            <w:tcW w:w="708" w:type="dxa"/>
            <w:tcBorders>
              <w:top w:val="outset" w:sz="6" w:space="0" w:color="000000"/>
              <w:left w:val="outset" w:sz="6" w:space="0" w:color="000000"/>
              <w:bottom w:val="outset" w:sz="6" w:space="0" w:color="000000"/>
              <w:right w:val="outset" w:sz="6" w:space="0" w:color="000000"/>
            </w:tcBorders>
            <w:hideMark/>
          </w:tcPr>
          <w:p w14:paraId="1E9289B8" w14:textId="40FC9C2F" w:rsidR="008E1C63" w:rsidRPr="00F667E7" w:rsidRDefault="008E1C63" w:rsidP="007A4FA9">
            <w:pPr>
              <w:pStyle w:val="NormalWeb"/>
              <w:spacing w:before="0" w:beforeAutospacing="0" w:after="0" w:afterAutospacing="0"/>
            </w:pPr>
            <w:r w:rsidRPr="00F667E7">
              <w:t>4.</w:t>
            </w:r>
          </w:p>
        </w:tc>
        <w:tc>
          <w:tcPr>
            <w:tcW w:w="2411" w:type="dxa"/>
            <w:tcBorders>
              <w:top w:val="outset" w:sz="6" w:space="0" w:color="000000"/>
              <w:left w:val="outset" w:sz="6" w:space="0" w:color="000000"/>
              <w:bottom w:val="outset" w:sz="6" w:space="0" w:color="000000"/>
              <w:right w:val="outset" w:sz="6" w:space="0" w:color="000000"/>
            </w:tcBorders>
            <w:hideMark/>
          </w:tcPr>
          <w:p w14:paraId="76BA1F8C" w14:textId="77777777" w:rsidR="008E1C63" w:rsidRPr="00F667E7" w:rsidRDefault="008E1C63" w:rsidP="007A4FA9">
            <w:pPr>
              <w:pStyle w:val="NormalWeb"/>
              <w:spacing w:before="0" w:beforeAutospacing="0" w:after="0" w:afterAutospacing="0"/>
            </w:pPr>
            <w:r w:rsidRPr="00F667E7">
              <w:t>Cita informācija</w:t>
            </w:r>
          </w:p>
        </w:tc>
        <w:tc>
          <w:tcPr>
            <w:tcW w:w="6266" w:type="dxa"/>
            <w:tcBorders>
              <w:top w:val="outset" w:sz="6" w:space="0" w:color="000000"/>
              <w:left w:val="outset" w:sz="6" w:space="0" w:color="000000"/>
              <w:bottom w:val="outset" w:sz="6" w:space="0" w:color="000000"/>
              <w:right w:val="outset" w:sz="6" w:space="0" w:color="000000"/>
            </w:tcBorders>
            <w:hideMark/>
          </w:tcPr>
          <w:p w14:paraId="5D59378B" w14:textId="275ACDAE" w:rsidR="008E1C63" w:rsidRPr="00F667E7" w:rsidRDefault="00D57261" w:rsidP="007A4FA9">
            <w:pPr>
              <w:pStyle w:val="NormalWeb"/>
              <w:spacing w:before="0" w:beforeAutospacing="0" w:after="0" w:afterAutospacing="0"/>
            </w:pPr>
            <w:r>
              <w:t>Nav</w:t>
            </w:r>
          </w:p>
        </w:tc>
      </w:tr>
    </w:tbl>
    <w:p w14:paraId="2F6DB38D" w14:textId="77777777" w:rsidR="008E1C63" w:rsidRPr="00F667E7" w:rsidRDefault="008E1C63" w:rsidP="00171D36">
      <w:pPr>
        <w:spacing w:after="0" w:line="240" w:lineRule="auto"/>
        <w:rPr>
          <w:rFonts w:ascii="Times New Roman" w:hAnsi="Times New Roman" w:cs="Times New Roman"/>
          <w:sz w:val="24"/>
          <w:szCs w:val="24"/>
        </w:rPr>
      </w:pPr>
    </w:p>
    <w:p w14:paraId="7F7EE3BE" w14:textId="77777777" w:rsidR="00CB538A" w:rsidRDefault="00CB538A" w:rsidP="00171D36">
      <w:pPr>
        <w:spacing w:after="0" w:line="240" w:lineRule="auto"/>
        <w:rPr>
          <w:rFonts w:ascii="Times New Roman" w:hAnsi="Times New Roman" w:cs="Times New Roman"/>
          <w:sz w:val="24"/>
          <w:szCs w:val="24"/>
        </w:rPr>
      </w:pPr>
    </w:p>
    <w:p w14:paraId="66F1BACE" w14:textId="77777777" w:rsidR="00C61A11" w:rsidRPr="00F667E7" w:rsidRDefault="00C61A11" w:rsidP="00171D36">
      <w:pPr>
        <w:spacing w:after="0" w:line="240" w:lineRule="auto"/>
        <w:rPr>
          <w:rFonts w:ascii="Times New Roman" w:hAnsi="Times New Roman" w:cs="Times New Roman"/>
          <w:sz w:val="24"/>
          <w:szCs w:val="24"/>
        </w:rPr>
      </w:pPr>
    </w:p>
    <w:tbl>
      <w:tblPr>
        <w:tblW w:w="513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697"/>
        <w:gridCol w:w="2423"/>
        <w:gridCol w:w="6265"/>
      </w:tblGrid>
      <w:tr w:rsidR="00492265" w:rsidRPr="00F667E7" w14:paraId="4FBB3952" w14:textId="77777777" w:rsidTr="00D57261">
        <w:tc>
          <w:tcPr>
            <w:tcW w:w="5000" w:type="pct"/>
            <w:gridSpan w:val="3"/>
            <w:tcBorders>
              <w:top w:val="outset" w:sz="6" w:space="0" w:color="000000"/>
              <w:left w:val="outset" w:sz="6" w:space="0" w:color="000000"/>
              <w:bottom w:val="outset" w:sz="6" w:space="0" w:color="000000"/>
              <w:right w:val="outset" w:sz="6" w:space="0" w:color="000000"/>
            </w:tcBorders>
            <w:hideMark/>
          </w:tcPr>
          <w:p w14:paraId="2FF471B7" w14:textId="77777777" w:rsidR="00492265" w:rsidRPr="00F667E7" w:rsidRDefault="00492265" w:rsidP="00E731EA">
            <w:pPr>
              <w:pStyle w:val="NormalWeb"/>
              <w:spacing w:before="0" w:beforeAutospacing="0" w:after="0" w:afterAutospacing="0"/>
              <w:jc w:val="center"/>
              <w:rPr>
                <w:b/>
                <w:bCs/>
              </w:rPr>
            </w:pPr>
            <w:r w:rsidRPr="00F667E7">
              <w:rPr>
                <w:b/>
                <w:bCs/>
              </w:rPr>
              <w:t>VII. Tiesību akta projekta izpildes nodrošināšana un tās ietekme uz institūcijām</w:t>
            </w:r>
          </w:p>
        </w:tc>
      </w:tr>
      <w:tr w:rsidR="00492265" w:rsidRPr="00F667E7" w14:paraId="5E05659A" w14:textId="77777777" w:rsidTr="00D57261">
        <w:tc>
          <w:tcPr>
            <w:tcW w:w="371" w:type="pct"/>
            <w:tcBorders>
              <w:top w:val="outset" w:sz="6" w:space="0" w:color="000000"/>
              <w:left w:val="outset" w:sz="6" w:space="0" w:color="000000"/>
              <w:bottom w:val="outset" w:sz="6" w:space="0" w:color="000000"/>
              <w:right w:val="outset" w:sz="6" w:space="0" w:color="000000"/>
            </w:tcBorders>
            <w:hideMark/>
          </w:tcPr>
          <w:p w14:paraId="5C92CF56" w14:textId="77777777" w:rsidR="00492265" w:rsidRPr="00F667E7" w:rsidRDefault="00492265" w:rsidP="00E731EA">
            <w:pPr>
              <w:pStyle w:val="NormalWeb"/>
              <w:spacing w:before="0" w:beforeAutospacing="0" w:after="0" w:afterAutospacing="0"/>
            </w:pPr>
            <w:r w:rsidRPr="00F667E7">
              <w:t>1.</w:t>
            </w:r>
          </w:p>
        </w:tc>
        <w:tc>
          <w:tcPr>
            <w:tcW w:w="1291" w:type="pct"/>
            <w:tcBorders>
              <w:top w:val="outset" w:sz="6" w:space="0" w:color="000000"/>
              <w:left w:val="outset" w:sz="6" w:space="0" w:color="000000"/>
              <w:bottom w:val="outset" w:sz="6" w:space="0" w:color="000000"/>
              <w:right w:val="outset" w:sz="6" w:space="0" w:color="000000"/>
            </w:tcBorders>
            <w:hideMark/>
          </w:tcPr>
          <w:p w14:paraId="0728FA33" w14:textId="77777777" w:rsidR="00492265" w:rsidRPr="00F667E7" w:rsidRDefault="00492265" w:rsidP="00E731EA">
            <w:pPr>
              <w:pStyle w:val="NormalWeb"/>
              <w:spacing w:before="0" w:beforeAutospacing="0" w:after="0" w:afterAutospacing="0"/>
            </w:pPr>
            <w:r w:rsidRPr="00F667E7">
              <w:t>Projekta izpildē iesaistītās institūcijas</w:t>
            </w:r>
          </w:p>
        </w:tc>
        <w:tc>
          <w:tcPr>
            <w:tcW w:w="3338" w:type="pct"/>
            <w:tcBorders>
              <w:top w:val="outset" w:sz="6" w:space="0" w:color="000000"/>
              <w:left w:val="outset" w:sz="6" w:space="0" w:color="000000"/>
              <w:bottom w:val="outset" w:sz="6" w:space="0" w:color="000000"/>
              <w:right w:val="outset" w:sz="6" w:space="0" w:color="000000"/>
            </w:tcBorders>
            <w:hideMark/>
          </w:tcPr>
          <w:p w14:paraId="4A1335D7" w14:textId="2636291A" w:rsidR="00492265" w:rsidRPr="00F667E7" w:rsidRDefault="00DD4CEA" w:rsidP="00201098">
            <w:pPr>
              <w:pStyle w:val="NormalWeb"/>
              <w:spacing w:before="0" w:beforeAutospacing="0" w:after="0" w:afterAutospacing="0"/>
              <w:ind w:left="69" w:right="140"/>
              <w:jc w:val="both"/>
            </w:pPr>
            <w:r>
              <w:t>Publi</w:t>
            </w:r>
            <w:r w:rsidR="00D57261">
              <w:t>skas personas institūcijas</w:t>
            </w:r>
          </w:p>
        </w:tc>
      </w:tr>
      <w:tr w:rsidR="00492265" w:rsidRPr="00F667E7" w14:paraId="42EC123B" w14:textId="77777777" w:rsidTr="00D57261">
        <w:tc>
          <w:tcPr>
            <w:tcW w:w="371" w:type="pct"/>
            <w:tcBorders>
              <w:top w:val="outset" w:sz="6" w:space="0" w:color="000000"/>
              <w:left w:val="outset" w:sz="6" w:space="0" w:color="000000"/>
              <w:bottom w:val="outset" w:sz="6" w:space="0" w:color="000000"/>
              <w:right w:val="outset" w:sz="6" w:space="0" w:color="000000"/>
            </w:tcBorders>
            <w:hideMark/>
          </w:tcPr>
          <w:p w14:paraId="10179F63" w14:textId="77777777" w:rsidR="00492265" w:rsidRPr="00F667E7" w:rsidRDefault="00492265" w:rsidP="00E731EA">
            <w:pPr>
              <w:pStyle w:val="NormalWeb"/>
              <w:spacing w:before="0" w:beforeAutospacing="0" w:after="0" w:afterAutospacing="0"/>
            </w:pPr>
            <w:r w:rsidRPr="00F667E7">
              <w:t>2.</w:t>
            </w:r>
          </w:p>
        </w:tc>
        <w:tc>
          <w:tcPr>
            <w:tcW w:w="1291" w:type="pct"/>
            <w:tcBorders>
              <w:top w:val="outset" w:sz="6" w:space="0" w:color="000000"/>
              <w:left w:val="outset" w:sz="6" w:space="0" w:color="000000"/>
              <w:bottom w:val="outset" w:sz="6" w:space="0" w:color="000000"/>
              <w:right w:val="outset" w:sz="6" w:space="0" w:color="000000"/>
            </w:tcBorders>
            <w:hideMark/>
          </w:tcPr>
          <w:p w14:paraId="754A55A7" w14:textId="77777777" w:rsidR="00492265" w:rsidRPr="00F667E7" w:rsidRDefault="00492265" w:rsidP="00E731EA">
            <w:pPr>
              <w:pStyle w:val="NormalWeb"/>
              <w:spacing w:before="0" w:beforeAutospacing="0" w:after="0" w:afterAutospacing="0"/>
            </w:pPr>
            <w:r w:rsidRPr="00F667E7">
              <w:t>Projekta izpildes ietekme uz pārvaldes funkcijām un institucionālo struktūru.</w:t>
            </w:r>
          </w:p>
          <w:p w14:paraId="3FC4ECD1" w14:textId="77777777" w:rsidR="00492265" w:rsidRPr="00F667E7" w:rsidRDefault="00492265" w:rsidP="00E731EA">
            <w:pPr>
              <w:pStyle w:val="NormalWeb"/>
              <w:spacing w:before="0" w:beforeAutospacing="0" w:after="0" w:afterAutospacing="0"/>
            </w:pPr>
            <w:r w:rsidRPr="00F667E7">
              <w:lastRenderedPageBreak/>
              <w:t>Jaunu institūciju izveide, esošo institūciju likvidācija vai reorganizācija, to ietekme uz institūcijas cilvēkresursiem</w:t>
            </w:r>
          </w:p>
        </w:tc>
        <w:tc>
          <w:tcPr>
            <w:tcW w:w="3338" w:type="pct"/>
            <w:tcBorders>
              <w:top w:val="outset" w:sz="6" w:space="0" w:color="000000"/>
              <w:left w:val="outset" w:sz="6" w:space="0" w:color="000000"/>
              <w:bottom w:val="outset" w:sz="6" w:space="0" w:color="000000"/>
              <w:right w:val="outset" w:sz="6" w:space="0" w:color="000000"/>
            </w:tcBorders>
            <w:hideMark/>
          </w:tcPr>
          <w:p w14:paraId="6D4F4617" w14:textId="77777777" w:rsidR="00492265" w:rsidRPr="00F667E7" w:rsidRDefault="00B1059D" w:rsidP="00B1059D">
            <w:pPr>
              <w:pStyle w:val="NormalWeb"/>
              <w:spacing w:before="0" w:beforeAutospacing="0" w:after="0" w:afterAutospacing="0"/>
              <w:ind w:right="140"/>
              <w:jc w:val="both"/>
            </w:pPr>
            <w:r w:rsidRPr="00F667E7">
              <w:lastRenderedPageBreak/>
              <w:t>Noteikumu projekta izpilde neietekmēs pārvaldes funkcijas vai institucionālo struktūru.</w:t>
            </w:r>
          </w:p>
          <w:p w14:paraId="0F296A9F" w14:textId="764ED4CA" w:rsidR="00B1059D" w:rsidRPr="00F667E7" w:rsidRDefault="00B1059D" w:rsidP="00B1059D">
            <w:pPr>
              <w:pStyle w:val="NormalWeb"/>
              <w:spacing w:before="0" w:beforeAutospacing="0" w:after="0" w:afterAutospacing="0"/>
              <w:ind w:right="140"/>
              <w:jc w:val="both"/>
            </w:pPr>
            <w:r w:rsidRPr="00F667E7">
              <w:t>Saistībā ar noteikumu projekta izpildi nav nepieciešams veidot jaunas institūcijas, likvidēt vai reorganizēt esošās.</w:t>
            </w:r>
          </w:p>
        </w:tc>
      </w:tr>
      <w:tr w:rsidR="00492265" w:rsidRPr="00F667E7" w14:paraId="57633B08" w14:textId="77777777" w:rsidTr="00D57261">
        <w:tc>
          <w:tcPr>
            <w:tcW w:w="371" w:type="pct"/>
            <w:tcBorders>
              <w:top w:val="outset" w:sz="6" w:space="0" w:color="000000"/>
              <w:left w:val="outset" w:sz="6" w:space="0" w:color="000000"/>
              <w:bottom w:val="outset" w:sz="6" w:space="0" w:color="000000"/>
              <w:right w:val="outset" w:sz="6" w:space="0" w:color="000000"/>
            </w:tcBorders>
            <w:hideMark/>
          </w:tcPr>
          <w:p w14:paraId="758436D0" w14:textId="1540DB51" w:rsidR="00492265" w:rsidRPr="00F667E7" w:rsidRDefault="00492265" w:rsidP="00E731EA">
            <w:pPr>
              <w:pStyle w:val="NormalWeb"/>
              <w:spacing w:before="0" w:beforeAutospacing="0" w:after="0" w:afterAutospacing="0"/>
            </w:pPr>
            <w:r w:rsidRPr="00F667E7">
              <w:lastRenderedPageBreak/>
              <w:t>3.</w:t>
            </w:r>
          </w:p>
        </w:tc>
        <w:tc>
          <w:tcPr>
            <w:tcW w:w="1291" w:type="pct"/>
            <w:tcBorders>
              <w:top w:val="outset" w:sz="6" w:space="0" w:color="000000"/>
              <w:left w:val="outset" w:sz="6" w:space="0" w:color="000000"/>
              <w:bottom w:val="outset" w:sz="6" w:space="0" w:color="000000"/>
              <w:right w:val="outset" w:sz="6" w:space="0" w:color="000000"/>
            </w:tcBorders>
            <w:hideMark/>
          </w:tcPr>
          <w:p w14:paraId="6C37B5C2" w14:textId="77777777" w:rsidR="00492265" w:rsidRPr="00F667E7" w:rsidRDefault="00492265" w:rsidP="00E731EA">
            <w:pPr>
              <w:pStyle w:val="NormalWeb"/>
              <w:spacing w:before="0" w:beforeAutospacing="0" w:after="0" w:afterAutospacing="0"/>
            </w:pPr>
            <w:r w:rsidRPr="00F667E7">
              <w:t>Cita informācija</w:t>
            </w:r>
          </w:p>
        </w:tc>
        <w:tc>
          <w:tcPr>
            <w:tcW w:w="3338" w:type="pct"/>
            <w:tcBorders>
              <w:top w:val="outset" w:sz="6" w:space="0" w:color="000000"/>
              <w:left w:val="outset" w:sz="6" w:space="0" w:color="000000"/>
              <w:bottom w:val="outset" w:sz="6" w:space="0" w:color="000000"/>
              <w:right w:val="outset" w:sz="6" w:space="0" w:color="000000"/>
            </w:tcBorders>
            <w:hideMark/>
          </w:tcPr>
          <w:p w14:paraId="3044B868" w14:textId="77777777" w:rsidR="00492265" w:rsidRPr="00F667E7" w:rsidRDefault="00492265" w:rsidP="00E731EA">
            <w:pPr>
              <w:pStyle w:val="NormalWeb"/>
              <w:spacing w:before="0" w:beforeAutospacing="0" w:after="0" w:afterAutospacing="0"/>
            </w:pPr>
            <w:r w:rsidRPr="00F667E7">
              <w:t>Nav.</w:t>
            </w:r>
          </w:p>
        </w:tc>
      </w:tr>
    </w:tbl>
    <w:p w14:paraId="6D0A37A3" w14:textId="76FCEAB0" w:rsidR="00492265" w:rsidRPr="00F667E7" w:rsidRDefault="00AD3869" w:rsidP="007B22BF">
      <w:pPr>
        <w:rPr>
          <w:rFonts w:ascii="Times New Roman" w:hAnsi="Times New Roman" w:cs="Times New Roman"/>
          <w:sz w:val="24"/>
          <w:szCs w:val="24"/>
        </w:rPr>
      </w:pPr>
      <w:r w:rsidRPr="00F667E7">
        <w:rPr>
          <w:rFonts w:ascii="Times New Roman" w:hAnsi="Times New Roman" w:cs="Times New Roman"/>
          <w:i/>
          <w:sz w:val="24"/>
          <w:szCs w:val="24"/>
        </w:rPr>
        <w:t>Anotācijas</w:t>
      </w:r>
      <w:r w:rsidR="004D10DF">
        <w:rPr>
          <w:rFonts w:ascii="Times New Roman" w:hAnsi="Times New Roman" w:cs="Times New Roman"/>
          <w:i/>
          <w:sz w:val="24"/>
          <w:szCs w:val="24"/>
        </w:rPr>
        <w:t xml:space="preserve"> </w:t>
      </w:r>
      <w:r w:rsidR="000E33FB">
        <w:rPr>
          <w:rFonts w:ascii="Times New Roman" w:hAnsi="Times New Roman" w:cs="Times New Roman"/>
          <w:i/>
          <w:sz w:val="24"/>
          <w:szCs w:val="24"/>
        </w:rPr>
        <w:t>III</w:t>
      </w:r>
      <w:r w:rsidR="008E1C63" w:rsidRPr="00F667E7">
        <w:rPr>
          <w:rFonts w:ascii="Times New Roman" w:hAnsi="Times New Roman" w:cs="Times New Roman"/>
          <w:i/>
          <w:sz w:val="24"/>
          <w:szCs w:val="24"/>
        </w:rPr>
        <w:t xml:space="preserve"> </w:t>
      </w:r>
      <w:r w:rsidR="00492265" w:rsidRPr="00F667E7">
        <w:rPr>
          <w:rFonts w:ascii="Times New Roman" w:hAnsi="Times New Roman" w:cs="Times New Roman"/>
          <w:i/>
          <w:sz w:val="24"/>
          <w:szCs w:val="24"/>
        </w:rPr>
        <w:t>sadaļa – projekts šīs jomas neskar.</w:t>
      </w:r>
    </w:p>
    <w:p w14:paraId="0A35E0D7" w14:textId="77777777" w:rsidR="00C61A11" w:rsidRDefault="00C61A11" w:rsidP="007B22BF">
      <w:pPr>
        <w:pStyle w:val="naisf"/>
        <w:tabs>
          <w:tab w:val="left" w:pos="6804"/>
        </w:tabs>
        <w:spacing w:before="0" w:after="0"/>
      </w:pPr>
    </w:p>
    <w:p w14:paraId="759EE64B" w14:textId="77777777" w:rsidR="00720DDB" w:rsidRDefault="00720DDB" w:rsidP="007B22BF">
      <w:pPr>
        <w:pStyle w:val="naisf"/>
        <w:tabs>
          <w:tab w:val="left" w:pos="6804"/>
        </w:tabs>
        <w:spacing w:before="0" w:after="0"/>
      </w:pPr>
    </w:p>
    <w:p w14:paraId="6BF5B3C5" w14:textId="77777777" w:rsidR="00720DDB" w:rsidRDefault="00720DDB" w:rsidP="007B22BF">
      <w:pPr>
        <w:pStyle w:val="naisf"/>
        <w:tabs>
          <w:tab w:val="left" w:pos="6804"/>
        </w:tabs>
        <w:spacing w:before="0" w:after="0"/>
      </w:pPr>
    </w:p>
    <w:p w14:paraId="636A3496" w14:textId="36CE42C1" w:rsidR="005E055F" w:rsidRDefault="005E055F" w:rsidP="007B22BF">
      <w:pPr>
        <w:pStyle w:val="naisf"/>
        <w:tabs>
          <w:tab w:val="left" w:pos="6804"/>
        </w:tabs>
        <w:spacing w:before="0" w:after="0"/>
      </w:pPr>
      <w:r w:rsidRPr="00F667E7">
        <w:t>Iesniedzējs: Ministru prezidents</w:t>
      </w:r>
      <w:r w:rsidRPr="00F667E7">
        <w:tab/>
      </w:r>
      <w:proofErr w:type="spellStart"/>
      <w:r w:rsidRPr="00F667E7">
        <w:t>M.Kučinskis</w:t>
      </w:r>
      <w:proofErr w:type="spellEnd"/>
    </w:p>
    <w:p w14:paraId="56B75B98" w14:textId="77777777" w:rsidR="00C61A11" w:rsidRDefault="00C61A11" w:rsidP="007B22BF">
      <w:pPr>
        <w:pStyle w:val="naisf"/>
        <w:tabs>
          <w:tab w:val="left" w:pos="6804"/>
        </w:tabs>
        <w:spacing w:before="0" w:after="0"/>
      </w:pPr>
    </w:p>
    <w:p w14:paraId="35721BBD" w14:textId="77777777" w:rsidR="00720DDB" w:rsidRDefault="00720DDB" w:rsidP="007B22BF">
      <w:pPr>
        <w:pStyle w:val="naisf"/>
        <w:tabs>
          <w:tab w:val="left" w:pos="6804"/>
        </w:tabs>
        <w:spacing w:before="0" w:after="0"/>
      </w:pPr>
    </w:p>
    <w:p w14:paraId="7C703A6D" w14:textId="77777777" w:rsidR="005E055F" w:rsidRPr="00F667E7" w:rsidRDefault="005E055F" w:rsidP="005E055F">
      <w:pPr>
        <w:tabs>
          <w:tab w:val="left" w:pos="6840"/>
        </w:tabs>
        <w:spacing w:after="0" w:line="240" w:lineRule="auto"/>
        <w:ind w:firstLine="426"/>
        <w:jc w:val="both"/>
        <w:rPr>
          <w:rFonts w:ascii="Times New Roman" w:eastAsia="Calibri" w:hAnsi="Times New Roman" w:cs="Times New Roman"/>
          <w:sz w:val="24"/>
          <w:szCs w:val="24"/>
        </w:rPr>
      </w:pPr>
    </w:p>
    <w:p w14:paraId="787E62ED" w14:textId="2BB14605" w:rsidR="005E055F" w:rsidRPr="00F667E7" w:rsidRDefault="00D57261" w:rsidP="005E055F">
      <w:pPr>
        <w:tabs>
          <w:tab w:val="left" w:pos="6840"/>
        </w:tabs>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Vīza</w:t>
      </w:r>
      <w:r w:rsidR="005E055F" w:rsidRPr="00F667E7">
        <w:rPr>
          <w:rFonts w:ascii="Times New Roman" w:eastAsia="Calibri" w:hAnsi="Times New Roman" w:cs="Times New Roman"/>
          <w:sz w:val="24"/>
          <w:szCs w:val="24"/>
        </w:rPr>
        <w:t>: Korupcijas novēršanas un</w:t>
      </w:r>
    </w:p>
    <w:p w14:paraId="74E46399" w14:textId="39F4A774" w:rsidR="00957799" w:rsidRPr="00F667E7" w:rsidRDefault="005206FA" w:rsidP="005E055F">
      <w:pPr>
        <w:tabs>
          <w:tab w:val="left" w:pos="3345"/>
        </w:tabs>
        <w:rPr>
          <w:rFonts w:ascii="Times New Roman" w:eastAsia="Calibri" w:hAnsi="Times New Roman" w:cs="Times New Roman"/>
          <w:sz w:val="24"/>
          <w:szCs w:val="24"/>
        </w:rPr>
      </w:pPr>
      <w:r w:rsidRPr="00F667E7">
        <w:rPr>
          <w:rFonts w:ascii="Times New Roman" w:eastAsia="Calibri" w:hAnsi="Times New Roman" w:cs="Times New Roman"/>
          <w:sz w:val="24"/>
          <w:szCs w:val="24"/>
        </w:rPr>
        <w:t>apk</w:t>
      </w:r>
      <w:r w:rsidR="00C61A11">
        <w:rPr>
          <w:rFonts w:ascii="Times New Roman" w:eastAsia="Calibri" w:hAnsi="Times New Roman" w:cs="Times New Roman"/>
          <w:sz w:val="24"/>
          <w:szCs w:val="24"/>
        </w:rPr>
        <w:t>arošanas biroja priekšnieks</w:t>
      </w:r>
      <w:r w:rsidR="005E055F" w:rsidRPr="00F667E7">
        <w:rPr>
          <w:rFonts w:ascii="Times New Roman" w:eastAsia="Calibri" w:hAnsi="Times New Roman" w:cs="Times New Roman"/>
          <w:sz w:val="24"/>
          <w:szCs w:val="24"/>
        </w:rPr>
        <w:t xml:space="preserve">                                            </w:t>
      </w:r>
      <w:r w:rsidR="00C61A11">
        <w:rPr>
          <w:rFonts w:ascii="Times New Roman" w:eastAsia="Calibri" w:hAnsi="Times New Roman" w:cs="Times New Roman"/>
          <w:sz w:val="24"/>
          <w:szCs w:val="24"/>
        </w:rPr>
        <w:t xml:space="preserve">                      </w:t>
      </w:r>
      <w:r w:rsidR="005E055F" w:rsidRPr="00F667E7">
        <w:rPr>
          <w:rFonts w:ascii="Times New Roman" w:eastAsia="Calibri" w:hAnsi="Times New Roman" w:cs="Times New Roman"/>
          <w:sz w:val="24"/>
          <w:szCs w:val="24"/>
        </w:rPr>
        <w:t xml:space="preserve"> </w:t>
      </w:r>
      <w:r w:rsidR="00C61A11">
        <w:rPr>
          <w:rFonts w:ascii="Times New Roman" w:eastAsia="Calibri" w:hAnsi="Times New Roman" w:cs="Times New Roman"/>
          <w:sz w:val="24"/>
          <w:szCs w:val="24"/>
        </w:rPr>
        <w:t>J.Straume</w:t>
      </w:r>
      <w:r w:rsidR="005E055F" w:rsidRPr="00F667E7">
        <w:rPr>
          <w:rFonts w:ascii="Times New Roman" w:eastAsia="Calibri" w:hAnsi="Times New Roman" w:cs="Times New Roman"/>
          <w:sz w:val="24"/>
          <w:szCs w:val="24"/>
        </w:rPr>
        <w:t xml:space="preserve">      </w:t>
      </w:r>
    </w:p>
    <w:p w14:paraId="780CD67C" w14:textId="2E1C9B32" w:rsidR="00DC7772" w:rsidRDefault="00DC7772" w:rsidP="005E055F">
      <w:pPr>
        <w:tabs>
          <w:tab w:val="left" w:pos="3345"/>
        </w:tabs>
        <w:rPr>
          <w:rFonts w:ascii="Times New Roman" w:hAnsi="Times New Roman" w:cs="Times New Roman"/>
          <w:sz w:val="24"/>
          <w:szCs w:val="24"/>
        </w:rPr>
      </w:pPr>
    </w:p>
    <w:p w14:paraId="79C8CCE7" w14:textId="77777777" w:rsidR="00C61A11" w:rsidRDefault="00C61A11" w:rsidP="005E055F">
      <w:pPr>
        <w:tabs>
          <w:tab w:val="left" w:pos="3345"/>
        </w:tabs>
        <w:rPr>
          <w:rFonts w:ascii="Times New Roman" w:hAnsi="Times New Roman" w:cs="Times New Roman"/>
          <w:sz w:val="24"/>
          <w:szCs w:val="24"/>
        </w:rPr>
      </w:pPr>
    </w:p>
    <w:p w14:paraId="2769A9DD" w14:textId="77777777" w:rsidR="00C61A11" w:rsidRDefault="00C61A11" w:rsidP="005E055F">
      <w:pPr>
        <w:tabs>
          <w:tab w:val="left" w:pos="3345"/>
        </w:tabs>
        <w:rPr>
          <w:rFonts w:ascii="Times New Roman" w:hAnsi="Times New Roman" w:cs="Times New Roman"/>
          <w:sz w:val="24"/>
          <w:szCs w:val="24"/>
        </w:rPr>
      </w:pPr>
    </w:p>
    <w:p w14:paraId="1BA64526" w14:textId="77777777" w:rsidR="00C61A11" w:rsidRPr="00F667E7" w:rsidRDefault="00C61A11" w:rsidP="005E055F">
      <w:pPr>
        <w:tabs>
          <w:tab w:val="left" w:pos="3345"/>
        </w:tabs>
        <w:rPr>
          <w:rFonts w:ascii="Times New Roman" w:hAnsi="Times New Roman" w:cs="Times New Roman"/>
          <w:sz w:val="24"/>
          <w:szCs w:val="24"/>
        </w:rPr>
      </w:pPr>
    </w:p>
    <w:p w14:paraId="63F373D0" w14:textId="62200D3D" w:rsidR="00471630" w:rsidRPr="00F667E7" w:rsidRDefault="00720DDB" w:rsidP="003409F4">
      <w:pPr>
        <w:pStyle w:val="Header"/>
        <w:tabs>
          <w:tab w:val="clear" w:pos="4153"/>
          <w:tab w:val="clear" w:pos="8306"/>
          <w:tab w:val="center" w:pos="4535"/>
        </w:tabs>
        <w:rPr>
          <w:rFonts w:ascii="Times New Roman" w:hAnsi="Times New Roman" w:cs="Times New Roman"/>
          <w:sz w:val="20"/>
          <w:szCs w:val="20"/>
        </w:rPr>
      </w:pPr>
      <w:r>
        <w:rPr>
          <w:rFonts w:ascii="Times New Roman" w:hAnsi="Times New Roman" w:cs="Times New Roman"/>
          <w:sz w:val="20"/>
          <w:szCs w:val="20"/>
        </w:rPr>
        <w:t>02.10</w:t>
      </w:r>
      <w:r w:rsidR="00243200" w:rsidRPr="00F667E7">
        <w:rPr>
          <w:rFonts w:ascii="Times New Roman" w:hAnsi="Times New Roman" w:cs="Times New Roman"/>
          <w:sz w:val="20"/>
          <w:szCs w:val="20"/>
        </w:rPr>
        <w:t>.</w:t>
      </w:r>
      <w:r w:rsidR="00C61A11">
        <w:rPr>
          <w:rFonts w:ascii="Times New Roman" w:hAnsi="Times New Roman" w:cs="Times New Roman"/>
          <w:sz w:val="20"/>
          <w:szCs w:val="20"/>
        </w:rPr>
        <w:t>2017</w:t>
      </w:r>
      <w:r w:rsidR="00D57261">
        <w:rPr>
          <w:rFonts w:ascii="Times New Roman" w:hAnsi="Times New Roman" w:cs="Times New Roman"/>
          <w:sz w:val="20"/>
          <w:szCs w:val="20"/>
        </w:rPr>
        <w:t>.</w:t>
      </w:r>
      <w:r w:rsidR="00471630" w:rsidRPr="00F667E7">
        <w:rPr>
          <w:rFonts w:ascii="Times New Roman" w:hAnsi="Times New Roman" w:cs="Times New Roman"/>
          <w:sz w:val="20"/>
          <w:szCs w:val="20"/>
        </w:rPr>
        <w:t xml:space="preserve"> </w:t>
      </w:r>
      <w:r w:rsidR="003409F4" w:rsidRPr="00F667E7">
        <w:rPr>
          <w:rFonts w:ascii="Times New Roman" w:hAnsi="Times New Roman" w:cs="Times New Roman"/>
          <w:sz w:val="20"/>
          <w:szCs w:val="20"/>
        </w:rPr>
        <w:tab/>
      </w:r>
    </w:p>
    <w:p w14:paraId="28B3B6A9" w14:textId="00D713BB" w:rsidR="007B0E90" w:rsidRPr="00F667E7" w:rsidRDefault="00D20EDA" w:rsidP="007B0E90">
      <w:pPr>
        <w:pStyle w:val="Header"/>
        <w:tabs>
          <w:tab w:val="left" w:pos="5610"/>
        </w:tabs>
        <w:rPr>
          <w:rFonts w:ascii="Times New Roman" w:hAnsi="Times New Roman" w:cs="Times New Roman"/>
          <w:sz w:val="20"/>
          <w:szCs w:val="20"/>
        </w:rPr>
      </w:pPr>
      <w:r>
        <w:rPr>
          <w:rFonts w:ascii="Times New Roman" w:hAnsi="Times New Roman" w:cs="Times New Roman"/>
          <w:sz w:val="20"/>
          <w:szCs w:val="20"/>
        </w:rPr>
        <w:t>4</w:t>
      </w:r>
      <w:r w:rsidR="00B27C7B">
        <w:rPr>
          <w:rFonts w:ascii="Times New Roman" w:hAnsi="Times New Roman" w:cs="Times New Roman"/>
          <w:sz w:val="20"/>
          <w:szCs w:val="20"/>
        </w:rPr>
        <w:t xml:space="preserve"> </w:t>
      </w:r>
      <w:r w:rsidR="00720DDB">
        <w:rPr>
          <w:rFonts w:ascii="Times New Roman" w:hAnsi="Times New Roman" w:cs="Times New Roman"/>
          <w:sz w:val="20"/>
          <w:szCs w:val="20"/>
        </w:rPr>
        <w:t>135</w:t>
      </w:r>
    </w:p>
    <w:p w14:paraId="14F8687A" w14:textId="43186C54" w:rsidR="00243200" w:rsidRPr="00F667E7" w:rsidRDefault="005E055F" w:rsidP="007B0E90">
      <w:pPr>
        <w:pStyle w:val="Header"/>
        <w:tabs>
          <w:tab w:val="left" w:pos="5610"/>
        </w:tabs>
        <w:rPr>
          <w:rFonts w:ascii="Times New Roman" w:hAnsi="Times New Roman" w:cs="Times New Roman"/>
          <w:sz w:val="20"/>
          <w:szCs w:val="20"/>
        </w:rPr>
      </w:pPr>
      <w:r w:rsidRPr="00F667E7">
        <w:rPr>
          <w:rFonts w:ascii="Times New Roman" w:hAnsi="Times New Roman" w:cs="Times New Roman"/>
          <w:sz w:val="20"/>
          <w:szCs w:val="20"/>
        </w:rPr>
        <w:t xml:space="preserve">Iluta </w:t>
      </w:r>
      <w:proofErr w:type="spellStart"/>
      <w:r w:rsidRPr="00F667E7">
        <w:rPr>
          <w:rFonts w:ascii="Times New Roman" w:hAnsi="Times New Roman" w:cs="Times New Roman"/>
          <w:sz w:val="20"/>
          <w:szCs w:val="20"/>
        </w:rPr>
        <w:t>Ceicāne</w:t>
      </w:r>
      <w:proofErr w:type="spellEnd"/>
      <w:r w:rsidR="00EA7BC4" w:rsidRPr="00F667E7">
        <w:rPr>
          <w:rFonts w:ascii="Times New Roman" w:hAnsi="Times New Roman" w:cs="Times New Roman"/>
          <w:sz w:val="20"/>
          <w:szCs w:val="20"/>
        </w:rPr>
        <w:t>,</w:t>
      </w:r>
      <w:r w:rsidRPr="00F667E7">
        <w:rPr>
          <w:rFonts w:ascii="Times New Roman" w:hAnsi="Times New Roman" w:cs="Times New Roman"/>
          <w:sz w:val="20"/>
          <w:szCs w:val="20"/>
        </w:rPr>
        <w:t xml:space="preserve"> 67356144</w:t>
      </w:r>
    </w:p>
    <w:p w14:paraId="3C719E35" w14:textId="0F8B81BF" w:rsidR="00243200" w:rsidRPr="00F667E7" w:rsidRDefault="00720DDB" w:rsidP="00F667E7">
      <w:pPr>
        <w:spacing w:after="0" w:line="240" w:lineRule="auto"/>
        <w:rPr>
          <w:rFonts w:ascii="Times New Roman" w:hAnsi="Times New Roman" w:cs="Times New Roman"/>
          <w:sz w:val="20"/>
          <w:szCs w:val="20"/>
        </w:rPr>
      </w:pPr>
      <w:hyperlink r:id="rId13" w:history="1">
        <w:r w:rsidR="005E055F" w:rsidRPr="00F667E7">
          <w:rPr>
            <w:rStyle w:val="Hyperlink"/>
            <w:rFonts w:ascii="Times New Roman" w:hAnsi="Times New Roman" w:cs="Times New Roman"/>
            <w:sz w:val="20"/>
            <w:szCs w:val="20"/>
          </w:rPr>
          <w:t>iluta.ceicane@knab.gov.lv</w:t>
        </w:r>
      </w:hyperlink>
      <w:bookmarkStart w:id="1" w:name="_GoBack"/>
      <w:bookmarkEnd w:id="1"/>
    </w:p>
    <w:sectPr w:rsidR="00243200" w:rsidRPr="00F667E7" w:rsidSect="00115464">
      <w:headerReference w:type="even" r:id="rId14"/>
      <w:headerReference w:type="default" r:id="rId15"/>
      <w:footerReference w:type="even" r:id="rId16"/>
      <w:footerReference w:type="default" r:id="rId17"/>
      <w:headerReference w:type="first" r:id="rId18"/>
      <w:footerReference w:type="first" r:id="rId19"/>
      <w:pgSz w:w="11906" w:h="16838" w:code="9"/>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7C5F4" w14:textId="77777777" w:rsidR="00836B02" w:rsidRDefault="00836B02" w:rsidP="004369B2">
      <w:pPr>
        <w:spacing w:after="0" w:line="240" w:lineRule="auto"/>
      </w:pPr>
      <w:r>
        <w:separator/>
      </w:r>
    </w:p>
  </w:endnote>
  <w:endnote w:type="continuationSeparator" w:id="0">
    <w:p w14:paraId="183171A2" w14:textId="77777777" w:rsidR="00836B02" w:rsidRDefault="00836B02" w:rsidP="0043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0CB5A" w14:textId="7AD33D60" w:rsidR="005E055F" w:rsidRPr="00201098" w:rsidRDefault="005E055F" w:rsidP="005E055F">
    <w:pPr>
      <w:pStyle w:val="Footer"/>
      <w:jc w:val="both"/>
    </w:pPr>
    <w:r>
      <w:rPr>
        <w:rFonts w:ascii="Times New Roman" w:eastAsia="Times New Roman" w:hAnsi="Times New Roman" w:cs="Times New Roman"/>
        <w:sz w:val="20"/>
        <w:szCs w:val="20"/>
      </w:rPr>
      <w:t>KNAB</w:t>
    </w:r>
    <w:r w:rsidR="00525357">
      <w:rPr>
        <w:rFonts w:ascii="Times New Roman" w:eastAsia="Times New Roman" w:hAnsi="Times New Roman" w:cs="Times New Roman"/>
        <w:sz w:val="20"/>
        <w:szCs w:val="20"/>
      </w:rPr>
      <w:t>anot_IK_0210</w:t>
    </w:r>
    <w:r w:rsidR="00D46320">
      <w:rPr>
        <w:rFonts w:ascii="Times New Roman" w:eastAsia="Times New Roman" w:hAnsi="Times New Roman" w:cs="Times New Roman"/>
        <w:sz w:val="20"/>
        <w:szCs w:val="20"/>
      </w:rPr>
      <w:t>2017</w:t>
    </w:r>
    <w:r>
      <w:rPr>
        <w:rFonts w:ascii="Times New Roman" w:eastAsia="Times New Roman" w:hAnsi="Times New Roman" w:cs="Times New Roman"/>
        <w:sz w:val="20"/>
        <w:szCs w:val="20"/>
      </w:rPr>
      <w:t>.docx</w:t>
    </w:r>
    <w:r w:rsidRPr="004E18CD">
      <w:rPr>
        <w:rFonts w:ascii="Times New Roman" w:eastAsia="Times New Roman" w:hAnsi="Times New Roman" w:cs="Times New Roman"/>
        <w:sz w:val="20"/>
        <w:szCs w:val="20"/>
      </w:rPr>
      <w:t>; Ministru kabinet</w:t>
    </w:r>
    <w:r>
      <w:rPr>
        <w:rFonts w:ascii="Times New Roman" w:eastAsia="Times New Roman" w:hAnsi="Times New Roman" w:cs="Times New Roman"/>
        <w:sz w:val="20"/>
        <w:szCs w:val="20"/>
      </w:rPr>
      <w:t>a noteikumu projekta “Noteikumi par iekšējās kontroles sistēmas pamatprasībām korupcijas un interešu konflikta riska novēršanai publiskas personas institūcijā</w:t>
    </w:r>
    <w:r w:rsidRPr="004E18CD">
      <w:rPr>
        <w:rFonts w:ascii="Times New Roman" w:eastAsia="Times New Roman" w:hAnsi="Times New Roman" w:cs="Times New Roman"/>
        <w:sz w:val="20"/>
        <w:szCs w:val="20"/>
      </w:rPr>
      <w:t>” sākotnējās ietekmes novērtējuma ziņojums (anotācija).</w:t>
    </w:r>
  </w:p>
  <w:p w14:paraId="0DBF4DDF" w14:textId="5BB78687" w:rsidR="0091451C" w:rsidRPr="005E055F" w:rsidRDefault="0091451C" w:rsidP="005E05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C76C6" w14:textId="4FDEED0D" w:rsidR="0091451C" w:rsidRPr="00201098" w:rsidRDefault="005E055F" w:rsidP="00A102FB">
    <w:pPr>
      <w:pStyle w:val="Footer"/>
      <w:jc w:val="both"/>
    </w:pPr>
    <w:r>
      <w:rPr>
        <w:rFonts w:ascii="Times New Roman" w:eastAsia="Times New Roman" w:hAnsi="Times New Roman" w:cs="Times New Roman"/>
        <w:sz w:val="20"/>
        <w:szCs w:val="20"/>
      </w:rPr>
      <w:t>KNAB</w:t>
    </w:r>
    <w:r w:rsidR="00525357">
      <w:rPr>
        <w:rFonts w:ascii="Times New Roman" w:eastAsia="Times New Roman" w:hAnsi="Times New Roman" w:cs="Times New Roman"/>
        <w:sz w:val="20"/>
        <w:szCs w:val="20"/>
      </w:rPr>
      <w:t>anot_IK_0210</w:t>
    </w:r>
    <w:r w:rsidR="00D46320">
      <w:rPr>
        <w:rFonts w:ascii="Times New Roman" w:eastAsia="Times New Roman" w:hAnsi="Times New Roman" w:cs="Times New Roman"/>
        <w:sz w:val="20"/>
        <w:szCs w:val="20"/>
      </w:rPr>
      <w:t>2017</w:t>
    </w:r>
    <w:r>
      <w:rPr>
        <w:rFonts w:ascii="Times New Roman" w:eastAsia="Times New Roman" w:hAnsi="Times New Roman" w:cs="Times New Roman"/>
        <w:sz w:val="20"/>
        <w:szCs w:val="20"/>
      </w:rPr>
      <w:t>.docx</w:t>
    </w:r>
    <w:r w:rsidR="004E18CD" w:rsidRPr="004E18CD">
      <w:rPr>
        <w:rFonts w:ascii="Times New Roman" w:eastAsia="Times New Roman" w:hAnsi="Times New Roman" w:cs="Times New Roman"/>
        <w:sz w:val="20"/>
        <w:szCs w:val="20"/>
      </w:rPr>
      <w:t>; Ministru kabinet</w:t>
    </w:r>
    <w:r w:rsidR="00A102FB">
      <w:rPr>
        <w:rFonts w:ascii="Times New Roman" w:eastAsia="Times New Roman" w:hAnsi="Times New Roman" w:cs="Times New Roman"/>
        <w:sz w:val="20"/>
        <w:szCs w:val="20"/>
      </w:rPr>
      <w:t>a noteikumu projekta “</w:t>
    </w:r>
    <w:r>
      <w:rPr>
        <w:rFonts w:ascii="Times New Roman" w:eastAsia="Times New Roman" w:hAnsi="Times New Roman" w:cs="Times New Roman"/>
        <w:sz w:val="20"/>
        <w:szCs w:val="20"/>
      </w:rPr>
      <w:t>Noteikumi par iekšējās kontroles sistēmas pamatprasībām korupcijas un interešu konflikta riska novēršanai publiskas personas institūcijā</w:t>
    </w:r>
    <w:r w:rsidR="004E18CD" w:rsidRPr="004E18CD">
      <w:rPr>
        <w:rFonts w:ascii="Times New Roman" w:eastAsia="Times New Roman" w:hAnsi="Times New Roman" w:cs="Times New Roman"/>
        <w:sz w:val="20"/>
        <w:szCs w:val="20"/>
      </w:rPr>
      <w:t>”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127F7" w14:textId="6B41AA72" w:rsidR="005E055F" w:rsidRPr="00201098" w:rsidRDefault="00525357" w:rsidP="005E055F">
    <w:pPr>
      <w:pStyle w:val="Footer"/>
      <w:jc w:val="both"/>
    </w:pPr>
    <w:r>
      <w:rPr>
        <w:rFonts w:ascii="Times New Roman" w:eastAsia="Times New Roman" w:hAnsi="Times New Roman" w:cs="Times New Roman"/>
        <w:sz w:val="20"/>
        <w:szCs w:val="20"/>
      </w:rPr>
      <w:t>KNABanot_IK_0210</w:t>
    </w:r>
    <w:r w:rsidR="00D46320">
      <w:rPr>
        <w:rFonts w:ascii="Times New Roman" w:eastAsia="Times New Roman" w:hAnsi="Times New Roman" w:cs="Times New Roman"/>
        <w:sz w:val="20"/>
        <w:szCs w:val="20"/>
      </w:rPr>
      <w:t>2017</w:t>
    </w:r>
    <w:r w:rsidR="005E055F">
      <w:rPr>
        <w:rFonts w:ascii="Times New Roman" w:eastAsia="Times New Roman" w:hAnsi="Times New Roman" w:cs="Times New Roman"/>
        <w:sz w:val="20"/>
        <w:szCs w:val="20"/>
      </w:rPr>
      <w:t>.docx</w:t>
    </w:r>
    <w:r w:rsidR="005E055F" w:rsidRPr="004E18CD">
      <w:rPr>
        <w:rFonts w:ascii="Times New Roman" w:eastAsia="Times New Roman" w:hAnsi="Times New Roman" w:cs="Times New Roman"/>
        <w:sz w:val="20"/>
        <w:szCs w:val="20"/>
      </w:rPr>
      <w:t>; Ministru kabinet</w:t>
    </w:r>
    <w:r w:rsidR="005E055F">
      <w:rPr>
        <w:rFonts w:ascii="Times New Roman" w:eastAsia="Times New Roman" w:hAnsi="Times New Roman" w:cs="Times New Roman"/>
        <w:sz w:val="20"/>
        <w:szCs w:val="20"/>
      </w:rPr>
      <w:t>a noteikumu projekta “Noteikumi par iekšējās kontroles sistēmas pamatprasībām korupcijas un interešu konflikta riska novēršanai publiskas personas institūcijā</w:t>
    </w:r>
    <w:r w:rsidR="005E055F" w:rsidRPr="004E18CD">
      <w:rPr>
        <w:rFonts w:ascii="Times New Roman" w:eastAsia="Times New Roman" w:hAnsi="Times New Roman" w:cs="Times New Roman"/>
        <w:sz w:val="20"/>
        <w:szCs w:val="20"/>
      </w:rPr>
      <w:t>” sākotnējās ietekmes novērtējuma ziņojums (anotācija).</w:t>
    </w:r>
  </w:p>
  <w:p w14:paraId="6ABE0F0E" w14:textId="5B75FB29" w:rsidR="0091451C" w:rsidRPr="005E055F" w:rsidRDefault="0091451C" w:rsidP="005E0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4E3B4" w14:textId="77777777" w:rsidR="00836B02" w:rsidRDefault="00836B02" w:rsidP="004369B2">
      <w:pPr>
        <w:spacing w:after="0" w:line="240" w:lineRule="auto"/>
      </w:pPr>
      <w:r>
        <w:separator/>
      </w:r>
    </w:p>
  </w:footnote>
  <w:footnote w:type="continuationSeparator" w:id="0">
    <w:p w14:paraId="74E3D4DC" w14:textId="77777777" w:rsidR="00836B02" w:rsidRDefault="00836B02" w:rsidP="004369B2">
      <w:pPr>
        <w:spacing w:after="0" w:line="240" w:lineRule="auto"/>
      </w:pPr>
      <w:r>
        <w:continuationSeparator/>
      </w:r>
    </w:p>
  </w:footnote>
  <w:footnote w:id="1">
    <w:p w14:paraId="5D18A353" w14:textId="53BF2B40" w:rsidR="001E7A6E" w:rsidRDefault="001E7A6E">
      <w:pPr>
        <w:pStyle w:val="FootnoteText"/>
      </w:pPr>
      <w:r>
        <w:rPr>
          <w:rStyle w:val="FootnoteReference"/>
        </w:rPr>
        <w:footnoteRef/>
      </w:r>
      <w:r>
        <w:t xml:space="preserve"> Korupcijas novēršanas un apkarošanas pamatnostādnes 2015.-2020.</w:t>
      </w:r>
    </w:p>
  </w:footnote>
  <w:footnote w:id="2">
    <w:p w14:paraId="48AA3381" w14:textId="6E41F518" w:rsidR="00823EF4" w:rsidRPr="00720DDB" w:rsidRDefault="00823EF4" w:rsidP="00823EF4">
      <w:pPr>
        <w:pStyle w:val="FootnoteText"/>
        <w:rPr>
          <w:sz w:val="22"/>
          <w:szCs w:val="22"/>
        </w:rPr>
      </w:pPr>
      <w:r w:rsidRPr="00720DDB">
        <w:rPr>
          <w:rStyle w:val="FootnoteReference"/>
          <w:sz w:val="22"/>
          <w:szCs w:val="22"/>
        </w:rPr>
        <w:footnoteRef/>
      </w:r>
      <w:r w:rsidRPr="00720DDB">
        <w:rPr>
          <w:sz w:val="22"/>
          <w:szCs w:val="22"/>
        </w:rPr>
        <w:t xml:space="preserve"> </w:t>
      </w:r>
      <w:hyperlink r:id="rId1" w:history="1">
        <w:r w:rsidR="0004090A" w:rsidRPr="00720DDB">
          <w:rPr>
            <w:rFonts w:eastAsia="Calibri" w:cs="Times New Roman"/>
            <w:sz w:val="22"/>
            <w:szCs w:val="22"/>
            <w:u w:val="single"/>
            <w:lang w:eastAsia="lv-LV"/>
          </w:rPr>
          <w:t>http://www.oecd.org/daf/anti-bribery/ConvCombatBribery_ENG.pdf</w:t>
        </w:r>
      </w:hyperlink>
    </w:p>
  </w:footnote>
  <w:footnote w:id="3">
    <w:p w14:paraId="22C74013" w14:textId="51A01E4F" w:rsidR="008E550C" w:rsidRDefault="008E550C">
      <w:pPr>
        <w:pStyle w:val="FootnoteText"/>
      </w:pPr>
      <w:r w:rsidRPr="00720DDB">
        <w:rPr>
          <w:rStyle w:val="FootnoteReference"/>
          <w:sz w:val="22"/>
          <w:szCs w:val="22"/>
        </w:rPr>
        <w:footnoteRef/>
      </w:r>
      <w:r w:rsidRPr="00720DDB">
        <w:rPr>
          <w:sz w:val="22"/>
          <w:szCs w:val="22"/>
        </w:rPr>
        <w:t xml:space="preserve"> </w:t>
      </w:r>
      <w:hyperlink r:id="rId2" w:history="1">
        <w:r w:rsidR="0004090A" w:rsidRPr="00720DDB">
          <w:rPr>
            <w:rFonts w:eastAsia="Calibri" w:cs="Times New Roman"/>
            <w:sz w:val="22"/>
            <w:szCs w:val="22"/>
            <w:u w:val="single"/>
          </w:rPr>
          <w:t>http://www.oecd.org/daf/anti-bribery/Latvia-Phase-2-Report-ENG.pdf</w:t>
        </w:r>
      </w:hyperlink>
      <w:r w:rsidR="0004090A" w:rsidRPr="00720DDB">
        <w:rPr>
          <w:rFonts w:eastAsia="Calibri" w:cs="Times New Roman"/>
          <w:sz w:val="22"/>
          <w:szCs w:val="22"/>
        </w:rPr>
        <w:t>.</w:t>
      </w:r>
      <w:r w:rsidR="0004090A" w:rsidRPr="00720DDB">
        <w:rPr>
          <w:rFonts w:eastAsia="Calibri" w:cs="Times New Roman"/>
          <w:sz w:val="24"/>
        </w:rPr>
        <w:t xml:space="preserve">  </w:t>
      </w:r>
    </w:p>
  </w:footnote>
  <w:footnote w:id="4">
    <w:p w14:paraId="62F2056A" w14:textId="77777777" w:rsidR="00FC2B90" w:rsidRDefault="00FC2B90" w:rsidP="00FC2B90">
      <w:pPr>
        <w:pStyle w:val="FootnoteText"/>
      </w:pPr>
      <w:r w:rsidRPr="00720DDB">
        <w:rPr>
          <w:rStyle w:val="FootnoteReference"/>
        </w:rPr>
        <w:footnoteRef/>
      </w:r>
      <w:r w:rsidRPr="00720DDB">
        <w:t xml:space="preserve"> </w:t>
      </w:r>
      <w:hyperlink r:id="rId3" w:history="1">
        <w:r w:rsidRPr="00720DDB">
          <w:rPr>
            <w:rFonts w:eastAsia="Calibri" w:cs="Times New Roman"/>
            <w:sz w:val="24"/>
            <w:u w:val="single"/>
          </w:rPr>
          <w:t>http://www.oecd.org/daf/anti-bribery/Latvia-Phase-2-Report-ENG.pdf</w:t>
        </w:r>
      </w:hyperlink>
    </w:p>
  </w:footnote>
  <w:footnote w:id="5">
    <w:p w14:paraId="2B9BA28F" w14:textId="2A0B723F" w:rsidR="0004090A" w:rsidRDefault="0004090A">
      <w:pPr>
        <w:pStyle w:val="FootnoteText"/>
      </w:pPr>
      <w:r w:rsidRPr="00720DDB">
        <w:rPr>
          <w:rStyle w:val="FootnoteReference"/>
        </w:rPr>
        <w:footnoteRef/>
      </w:r>
      <w:r w:rsidRPr="00720DDB">
        <w:t xml:space="preserve"> </w:t>
      </w:r>
      <w:hyperlink r:id="rId4" w:history="1">
        <w:r w:rsidRPr="00720DDB">
          <w:rPr>
            <w:rFonts w:eastAsia="Calibri" w:cs="Times New Roman"/>
            <w:sz w:val="24"/>
            <w:u w:val="single"/>
          </w:rPr>
          <w:t>http://www.oecd.org/daf/anti-bribery/Latvia-Phase-2-Report-ENG.pdf</w:t>
        </w:r>
      </w:hyperlink>
    </w:p>
  </w:footnote>
  <w:footnote w:id="6">
    <w:p w14:paraId="04B77E96" w14:textId="77777777" w:rsidR="00B27C7B" w:rsidRDefault="00B27C7B" w:rsidP="00B27C7B">
      <w:pPr>
        <w:pStyle w:val="FootnoteText"/>
      </w:pPr>
      <w:r>
        <w:rPr>
          <w:rStyle w:val="FootnoteReference"/>
        </w:rPr>
        <w:footnoteRef/>
      </w:r>
      <w:r>
        <w:t xml:space="preserve"> </w:t>
      </w:r>
      <w:r w:rsidRPr="00FE5556">
        <w:rPr>
          <w:bCs/>
        </w:rPr>
        <w:t>http://www.csb.gov.lv/statistikas-temas/darba-samaksa-galvenie-raditaji-30270.html</w:t>
      </w:r>
    </w:p>
  </w:footnote>
  <w:footnote w:id="7">
    <w:p w14:paraId="0E8002E2" w14:textId="77777777" w:rsidR="00B27C7B" w:rsidRDefault="00B27C7B" w:rsidP="00B27C7B">
      <w:pPr>
        <w:pStyle w:val="FootnoteText"/>
      </w:pPr>
      <w:r>
        <w:rPr>
          <w:rStyle w:val="FootnoteReference"/>
        </w:rPr>
        <w:footnoteRef/>
      </w:r>
      <w:r>
        <w:t xml:space="preserve"> </w:t>
      </w:r>
      <w:proofErr w:type="spellStart"/>
      <w:r>
        <w:t>Pārresoru</w:t>
      </w:r>
      <w:proofErr w:type="spellEnd"/>
      <w:r>
        <w:t xml:space="preserve"> koordinācijas centra informācija</w:t>
      </w:r>
    </w:p>
  </w:footnote>
  <w:footnote w:id="8">
    <w:p w14:paraId="5FFB4907" w14:textId="77777777" w:rsidR="00B27C7B" w:rsidRDefault="00B27C7B" w:rsidP="00B27C7B">
      <w:pPr>
        <w:pStyle w:val="FootnoteText"/>
      </w:pPr>
      <w:r>
        <w:rPr>
          <w:rStyle w:val="FootnoteReference"/>
        </w:rPr>
        <w:footnoteRef/>
      </w:r>
      <w:r>
        <w:t xml:space="preserve"> Valsts kontroles informācija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434765"/>
      <w:docPartObj>
        <w:docPartGallery w:val="Page Numbers (Top of Page)"/>
        <w:docPartUnique/>
      </w:docPartObj>
    </w:sdtPr>
    <w:sdtEndPr>
      <w:rPr>
        <w:noProof/>
        <w:sz w:val="24"/>
      </w:rPr>
    </w:sdtEndPr>
    <w:sdtContent>
      <w:p w14:paraId="7E6040A9" w14:textId="3FF530B3" w:rsidR="0091451C" w:rsidRPr="00171D36" w:rsidRDefault="0091451C">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720DDB">
          <w:rPr>
            <w:rFonts w:ascii="Times New Roman" w:hAnsi="Times New Roman" w:cs="Times New Roman"/>
            <w:noProof/>
            <w:sz w:val="24"/>
          </w:rPr>
          <w:t>14</w:t>
        </w:r>
        <w:r w:rsidRPr="00171D36">
          <w:rPr>
            <w:rFonts w:ascii="Times New Roman" w:hAnsi="Times New Roman" w:cs="Times New Roman"/>
            <w:noProof/>
            <w:sz w:val="24"/>
          </w:rPr>
          <w:fldChar w:fldCharType="end"/>
        </w:r>
      </w:p>
    </w:sdtContent>
  </w:sdt>
  <w:p w14:paraId="4D9D97F1" w14:textId="77777777" w:rsidR="0091451C" w:rsidRPr="00D21294" w:rsidRDefault="0091451C">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127472"/>
      <w:docPartObj>
        <w:docPartGallery w:val="Page Numbers (Top of Page)"/>
        <w:docPartUnique/>
      </w:docPartObj>
    </w:sdtPr>
    <w:sdtEndPr>
      <w:rPr>
        <w:rFonts w:ascii="Times New Roman" w:hAnsi="Times New Roman" w:cs="Times New Roman"/>
        <w:noProof/>
        <w:sz w:val="24"/>
      </w:rPr>
    </w:sdtEndPr>
    <w:sdtContent>
      <w:p w14:paraId="34A34288" w14:textId="69A0605E" w:rsidR="0091451C" w:rsidRPr="00171D36" w:rsidRDefault="0091451C">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720DDB">
          <w:rPr>
            <w:rFonts w:ascii="Times New Roman" w:hAnsi="Times New Roman" w:cs="Times New Roman"/>
            <w:noProof/>
            <w:sz w:val="24"/>
          </w:rPr>
          <w:t>13</w:t>
        </w:r>
        <w:r w:rsidRPr="00171D36">
          <w:rPr>
            <w:rFonts w:ascii="Times New Roman" w:hAnsi="Times New Roman" w:cs="Times New Roman"/>
            <w:noProof/>
            <w:sz w:val="24"/>
          </w:rPr>
          <w:fldChar w:fldCharType="end"/>
        </w:r>
      </w:p>
    </w:sdtContent>
  </w:sdt>
  <w:p w14:paraId="763C3B3D" w14:textId="77777777" w:rsidR="0091451C" w:rsidRDefault="0091451C">
    <w:pPr>
      <w:pStyle w:val="Header"/>
    </w:pPr>
  </w:p>
  <w:p w14:paraId="45337164" w14:textId="77777777" w:rsidR="000B23E0" w:rsidRDefault="000B23E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A65FB" w14:textId="77777777" w:rsidR="0091451C" w:rsidRDefault="0091451C" w:rsidP="00171D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3643731"/>
    <w:multiLevelType w:val="hybridMultilevel"/>
    <w:tmpl w:val="0416FE72"/>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
    <w:nsid w:val="058E4029"/>
    <w:multiLevelType w:val="hybridMultilevel"/>
    <w:tmpl w:val="72E8AF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nsid w:val="07FC6D16"/>
    <w:multiLevelType w:val="hybridMultilevel"/>
    <w:tmpl w:val="E90E4128"/>
    <w:lvl w:ilvl="0" w:tplc="602E463C">
      <w:numFmt w:val="bullet"/>
      <w:lvlText w:val="-"/>
      <w:lvlJc w:val="left"/>
      <w:pPr>
        <w:ind w:left="1020" w:hanging="360"/>
      </w:pPr>
      <w:rPr>
        <w:rFonts w:ascii="Times New Roman" w:eastAsiaTheme="minorEastAsia" w:hAnsi="Times New Roman" w:cs="Times New Roman"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4">
    <w:nsid w:val="0A273B6A"/>
    <w:multiLevelType w:val="hybridMultilevel"/>
    <w:tmpl w:val="1FD203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0CE0166B"/>
    <w:multiLevelType w:val="hybridMultilevel"/>
    <w:tmpl w:val="99389CE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6">
    <w:nsid w:val="0E950DE6"/>
    <w:multiLevelType w:val="hybridMultilevel"/>
    <w:tmpl w:val="D0D869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1826268E"/>
    <w:multiLevelType w:val="hybridMultilevel"/>
    <w:tmpl w:val="E9225710"/>
    <w:lvl w:ilvl="0" w:tplc="3C20F85C">
      <w:start w:val="1"/>
      <w:numFmt w:val="lowerLetter"/>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B523CD3"/>
    <w:multiLevelType w:val="hybridMultilevel"/>
    <w:tmpl w:val="35788A42"/>
    <w:lvl w:ilvl="0" w:tplc="385A520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9">
    <w:nsid w:val="1C621BAB"/>
    <w:multiLevelType w:val="multilevel"/>
    <w:tmpl w:val="0426001F"/>
    <w:lvl w:ilvl="0">
      <w:start w:val="1"/>
      <w:numFmt w:val="decimal"/>
      <w:lvlText w:val="%1."/>
      <w:lvlJc w:val="left"/>
      <w:pPr>
        <w:ind w:left="3054" w:hanging="360"/>
      </w:pPr>
      <w:rPr>
        <w:rFonts w:hint="default"/>
      </w:rPr>
    </w:lvl>
    <w:lvl w:ilvl="1">
      <w:start w:val="1"/>
      <w:numFmt w:val="decimal"/>
      <w:lvlText w:val="%1.%2."/>
      <w:lvlJc w:val="left"/>
      <w:pPr>
        <w:ind w:left="3202" w:hanging="432"/>
      </w:pPr>
    </w:lvl>
    <w:lvl w:ilvl="2">
      <w:start w:val="1"/>
      <w:numFmt w:val="decimal"/>
      <w:lvlText w:val="%1.%2.%3."/>
      <w:lvlJc w:val="left"/>
      <w:pPr>
        <w:ind w:left="3634" w:hanging="504"/>
      </w:pPr>
    </w:lvl>
    <w:lvl w:ilvl="3">
      <w:start w:val="1"/>
      <w:numFmt w:val="decimal"/>
      <w:lvlText w:val="%1.%2.%3.%4."/>
      <w:lvlJc w:val="left"/>
      <w:pPr>
        <w:ind w:left="4138" w:hanging="648"/>
      </w:pPr>
    </w:lvl>
    <w:lvl w:ilvl="4">
      <w:start w:val="1"/>
      <w:numFmt w:val="decimal"/>
      <w:lvlText w:val="%1.%2.%3.%4.%5."/>
      <w:lvlJc w:val="left"/>
      <w:pPr>
        <w:ind w:left="4642" w:hanging="792"/>
      </w:pPr>
    </w:lvl>
    <w:lvl w:ilvl="5">
      <w:start w:val="1"/>
      <w:numFmt w:val="decimal"/>
      <w:lvlText w:val="%1.%2.%3.%4.%5.%6."/>
      <w:lvlJc w:val="left"/>
      <w:pPr>
        <w:ind w:left="5146" w:hanging="936"/>
      </w:pPr>
    </w:lvl>
    <w:lvl w:ilvl="6">
      <w:start w:val="1"/>
      <w:numFmt w:val="decimal"/>
      <w:lvlText w:val="%1.%2.%3.%4.%5.%6.%7."/>
      <w:lvlJc w:val="left"/>
      <w:pPr>
        <w:ind w:left="5650" w:hanging="1080"/>
      </w:pPr>
    </w:lvl>
    <w:lvl w:ilvl="7">
      <w:start w:val="1"/>
      <w:numFmt w:val="decimal"/>
      <w:lvlText w:val="%1.%2.%3.%4.%5.%6.%7.%8."/>
      <w:lvlJc w:val="left"/>
      <w:pPr>
        <w:ind w:left="6154" w:hanging="1224"/>
      </w:pPr>
    </w:lvl>
    <w:lvl w:ilvl="8">
      <w:start w:val="1"/>
      <w:numFmt w:val="decimal"/>
      <w:lvlText w:val="%1.%2.%3.%4.%5.%6.%7.%8.%9."/>
      <w:lvlJc w:val="left"/>
      <w:pPr>
        <w:ind w:left="6730" w:hanging="1440"/>
      </w:pPr>
    </w:lvl>
  </w:abstractNum>
  <w:abstractNum w:abstractNumId="10">
    <w:nsid w:val="1E0D0193"/>
    <w:multiLevelType w:val="multilevel"/>
    <w:tmpl w:val="E64E0006"/>
    <w:lvl w:ilvl="0">
      <w:start w:val="1"/>
      <w:numFmt w:val="decimal"/>
      <w:lvlText w:val="%1."/>
      <w:lvlJc w:val="left"/>
      <w:pPr>
        <w:ind w:left="360" w:hanging="360"/>
      </w:pPr>
    </w:lvl>
    <w:lvl w:ilvl="1">
      <w:start w:val="1"/>
      <w:numFmt w:val="decimal"/>
      <w:isLgl/>
      <w:lvlText w:val="%1.%2."/>
      <w:lvlJc w:val="left"/>
      <w:pPr>
        <w:ind w:left="1004" w:hanging="720"/>
      </w:pPr>
      <w:rPr>
        <w:rFonts w:hint="default"/>
      </w:rPr>
    </w:lvl>
    <w:lvl w:ilvl="2">
      <w:start w:val="1"/>
      <w:numFmt w:val="bullet"/>
      <w:lvlText w:val=""/>
      <w:lvlJc w:val="left"/>
      <w:pPr>
        <w:ind w:left="1146"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1E3B6DA6"/>
    <w:multiLevelType w:val="hybridMultilevel"/>
    <w:tmpl w:val="03D8BD74"/>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2">
    <w:nsid w:val="1E94538D"/>
    <w:multiLevelType w:val="hybridMultilevel"/>
    <w:tmpl w:val="7C00831E"/>
    <w:lvl w:ilvl="0" w:tplc="8D825FC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7BE57E8"/>
    <w:multiLevelType w:val="hybridMultilevel"/>
    <w:tmpl w:val="6D1AE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nsid w:val="2B617221"/>
    <w:multiLevelType w:val="hybridMultilevel"/>
    <w:tmpl w:val="A900DC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C4D44EF"/>
    <w:multiLevelType w:val="hybridMultilevel"/>
    <w:tmpl w:val="D0CE24CE"/>
    <w:lvl w:ilvl="0" w:tplc="C2584956">
      <w:start w:val="1"/>
      <w:numFmt w:val="decimal"/>
      <w:lvlText w:val="%1."/>
      <w:lvlJc w:val="left"/>
      <w:pPr>
        <w:ind w:left="529"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6">
    <w:nsid w:val="34C52E48"/>
    <w:multiLevelType w:val="hybridMultilevel"/>
    <w:tmpl w:val="97F87AA8"/>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7">
    <w:nsid w:val="39D606DE"/>
    <w:multiLevelType w:val="hybridMultilevel"/>
    <w:tmpl w:val="F7701E1C"/>
    <w:lvl w:ilvl="0" w:tplc="39888550">
      <w:start w:val="1"/>
      <w:numFmt w:val="bullet"/>
      <w:lvlText w:val="–"/>
      <w:lvlJc w:val="left"/>
      <w:pPr>
        <w:ind w:left="1069" w:hanging="360"/>
      </w:pPr>
      <w:rPr>
        <w:rFonts w:ascii="Times New Roman" w:eastAsiaTheme="minorEastAsia" w:hAnsi="Times New Roman" w:cs="Times New Roman" w:hint="default"/>
      </w:rPr>
    </w:lvl>
    <w:lvl w:ilvl="1" w:tplc="04260003">
      <w:start w:val="1"/>
      <w:numFmt w:val="bullet"/>
      <w:lvlText w:val="o"/>
      <w:lvlJc w:val="left"/>
      <w:pPr>
        <w:ind w:left="1789" w:hanging="360"/>
      </w:pPr>
      <w:rPr>
        <w:rFonts w:ascii="Courier New" w:hAnsi="Courier New" w:cs="Courier New" w:hint="default"/>
      </w:rPr>
    </w:lvl>
    <w:lvl w:ilvl="2" w:tplc="04260005">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start w:val="1"/>
      <w:numFmt w:val="bullet"/>
      <w:lvlText w:val="o"/>
      <w:lvlJc w:val="left"/>
      <w:pPr>
        <w:ind w:left="3949" w:hanging="360"/>
      </w:pPr>
      <w:rPr>
        <w:rFonts w:ascii="Courier New" w:hAnsi="Courier New" w:cs="Courier New" w:hint="default"/>
      </w:rPr>
    </w:lvl>
    <w:lvl w:ilvl="5" w:tplc="04260005">
      <w:start w:val="1"/>
      <w:numFmt w:val="bullet"/>
      <w:lvlText w:val=""/>
      <w:lvlJc w:val="left"/>
      <w:pPr>
        <w:ind w:left="4669" w:hanging="360"/>
      </w:pPr>
      <w:rPr>
        <w:rFonts w:ascii="Wingdings" w:hAnsi="Wingdings" w:hint="default"/>
      </w:rPr>
    </w:lvl>
    <w:lvl w:ilvl="6" w:tplc="04260001">
      <w:start w:val="1"/>
      <w:numFmt w:val="bullet"/>
      <w:lvlText w:val=""/>
      <w:lvlJc w:val="left"/>
      <w:pPr>
        <w:ind w:left="5389" w:hanging="360"/>
      </w:pPr>
      <w:rPr>
        <w:rFonts w:ascii="Symbol" w:hAnsi="Symbol" w:hint="default"/>
      </w:rPr>
    </w:lvl>
    <w:lvl w:ilvl="7" w:tplc="04260003">
      <w:start w:val="1"/>
      <w:numFmt w:val="bullet"/>
      <w:lvlText w:val="o"/>
      <w:lvlJc w:val="left"/>
      <w:pPr>
        <w:ind w:left="6109" w:hanging="360"/>
      </w:pPr>
      <w:rPr>
        <w:rFonts w:ascii="Courier New" w:hAnsi="Courier New" w:cs="Courier New" w:hint="default"/>
      </w:rPr>
    </w:lvl>
    <w:lvl w:ilvl="8" w:tplc="04260005">
      <w:start w:val="1"/>
      <w:numFmt w:val="bullet"/>
      <w:lvlText w:val=""/>
      <w:lvlJc w:val="left"/>
      <w:pPr>
        <w:ind w:left="6829" w:hanging="360"/>
      </w:pPr>
      <w:rPr>
        <w:rFonts w:ascii="Wingdings" w:hAnsi="Wingdings" w:hint="default"/>
      </w:rPr>
    </w:lvl>
  </w:abstractNum>
  <w:abstractNum w:abstractNumId="18">
    <w:nsid w:val="3D232A4A"/>
    <w:multiLevelType w:val="hybridMultilevel"/>
    <w:tmpl w:val="A91AFEFA"/>
    <w:lvl w:ilvl="0" w:tplc="77403BB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9">
    <w:nsid w:val="401810F3"/>
    <w:multiLevelType w:val="hybridMultilevel"/>
    <w:tmpl w:val="6CD0DC40"/>
    <w:lvl w:ilvl="0" w:tplc="7DB4CF90">
      <w:numFmt w:val="bullet"/>
      <w:lvlText w:val="-"/>
      <w:lvlJc w:val="left"/>
      <w:pPr>
        <w:ind w:left="420" w:hanging="360"/>
      </w:pPr>
      <w:rPr>
        <w:rFonts w:ascii="Times New Roman" w:eastAsiaTheme="minorEastAsia"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0">
    <w:nsid w:val="40F10E8C"/>
    <w:multiLevelType w:val="hybridMultilevel"/>
    <w:tmpl w:val="69EA97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1745064"/>
    <w:multiLevelType w:val="hybridMultilevel"/>
    <w:tmpl w:val="A2FC0FB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2">
    <w:nsid w:val="446B71AB"/>
    <w:multiLevelType w:val="hybridMultilevel"/>
    <w:tmpl w:val="47ECB3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4C56F5F"/>
    <w:multiLevelType w:val="hybridMultilevel"/>
    <w:tmpl w:val="3C584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BFB10FE"/>
    <w:multiLevelType w:val="hybridMultilevel"/>
    <w:tmpl w:val="37400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E1A7F35"/>
    <w:multiLevelType w:val="hybridMultilevel"/>
    <w:tmpl w:val="69069958"/>
    <w:lvl w:ilvl="0" w:tplc="3C20F85C">
      <w:start w:val="1"/>
      <w:numFmt w:val="lowerLetter"/>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14163E8"/>
    <w:multiLevelType w:val="hybridMultilevel"/>
    <w:tmpl w:val="09C664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1C82DBB"/>
    <w:multiLevelType w:val="hybridMultilevel"/>
    <w:tmpl w:val="42065C16"/>
    <w:lvl w:ilvl="0" w:tplc="04260001">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28">
    <w:nsid w:val="5E105124"/>
    <w:multiLevelType w:val="hybridMultilevel"/>
    <w:tmpl w:val="BD585E94"/>
    <w:lvl w:ilvl="0" w:tplc="3C469732">
      <w:start w:val="14"/>
      <w:numFmt w:val="bullet"/>
      <w:lvlText w:val="-"/>
      <w:lvlJc w:val="left"/>
      <w:pPr>
        <w:ind w:left="420" w:hanging="360"/>
      </w:pPr>
      <w:rPr>
        <w:rFonts w:ascii="Times New Roman" w:eastAsiaTheme="minorEastAsia"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9">
    <w:nsid w:val="5F9C32A9"/>
    <w:multiLevelType w:val="hybridMultilevel"/>
    <w:tmpl w:val="0DF489FC"/>
    <w:lvl w:ilvl="0" w:tplc="D654E0C2">
      <w:start w:val="3"/>
      <w:numFmt w:val="bullet"/>
      <w:lvlText w:val="-"/>
      <w:lvlJc w:val="left"/>
      <w:pPr>
        <w:ind w:left="460" w:hanging="360"/>
      </w:pPr>
      <w:rPr>
        <w:rFonts w:ascii="Times New Roman" w:eastAsia="Times New Roman" w:hAnsi="Times New Roman" w:cs="Times New Roman" w:hint="default"/>
      </w:rPr>
    </w:lvl>
    <w:lvl w:ilvl="1" w:tplc="04260003">
      <w:start w:val="1"/>
      <w:numFmt w:val="bullet"/>
      <w:lvlText w:val="o"/>
      <w:lvlJc w:val="left"/>
      <w:pPr>
        <w:ind w:left="1180" w:hanging="360"/>
      </w:pPr>
      <w:rPr>
        <w:rFonts w:ascii="Courier New" w:hAnsi="Courier New" w:cs="Courier New" w:hint="default"/>
      </w:rPr>
    </w:lvl>
    <w:lvl w:ilvl="2" w:tplc="04260005">
      <w:start w:val="1"/>
      <w:numFmt w:val="bullet"/>
      <w:lvlText w:val=""/>
      <w:lvlJc w:val="left"/>
      <w:pPr>
        <w:ind w:left="1900" w:hanging="360"/>
      </w:pPr>
      <w:rPr>
        <w:rFonts w:ascii="Wingdings" w:hAnsi="Wingdings" w:hint="default"/>
      </w:rPr>
    </w:lvl>
    <w:lvl w:ilvl="3" w:tplc="04260001">
      <w:start w:val="1"/>
      <w:numFmt w:val="bullet"/>
      <w:lvlText w:val=""/>
      <w:lvlJc w:val="left"/>
      <w:pPr>
        <w:ind w:left="2620" w:hanging="360"/>
      </w:pPr>
      <w:rPr>
        <w:rFonts w:ascii="Symbol" w:hAnsi="Symbol" w:hint="default"/>
      </w:rPr>
    </w:lvl>
    <w:lvl w:ilvl="4" w:tplc="04260003">
      <w:start w:val="1"/>
      <w:numFmt w:val="bullet"/>
      <w:lvlText w:val="o"/>
      <w:lvlJc w:val="left"/>
      <w:pPr>
        <w:ind w:left="3340" w:hanging="360"/>
      </w:pPr>
      <w:rPr>
        <w:rFonts w:ascii="Courier New" w:hAnsi="Courier New" w:cs="Courier New" w:hint="default"/>
      </w:rPr>
    </w:lvl>
    <w:lvl w:ilvl="5" w:tplc="04260005">
      <w:start w:val="1"/>
      <w:numFmt w:val="bullet"/>
      <w:lvlText w:val=""/>
      <w:lvlJc w:val="left"/>
      <w:pPr>
        <w:ind w:left="4060" w:hanging="360"/>
      </w:pPr>
      <w:rPr>
        <w:rFonts w:ascii="Wingdings" w:hAnsi="Wingdings" w:hint="default"/>
      </w:rPr>
    </w:lvl>
    <w:lvl w:ilvl="6" w:tplc="04260001">
      <w:start w:val="1"/>
      <w:numFmt w:val="bullet"/>
      <w:lvlText w:val=""/>
      <w:lvlJc w:val="left"/>
      <w:pPr>
        <w:ind w:left="4780" w:hanging="360"/>
      </w:pPr>
      <w:rPr>
        <w:rFonts w:ascii="Symbol" w:hAnsi="Symbol" w:hint="default"/>
      </w:rPr>
    </w:lvl>
    <w:lvl w:ilvl="7" w:tplc="04260003">
      <w:start w:val="1"/>
      <w:numFmt w:val="bullet"/>
      <w:lvlText w:val="o"/>
      <w:lvlJc w:val="left"/>
      <w:pPr>
        <w:ind w:left="5500" w:hanging="360"/>
      </w:pPr>
      <w:rPr>
        <w:rFonts w:ascii="Courier New" w:hAnsi="Courier New" w:cs="Courier New" w:hint="default"/>
      </w:rPr>
    </w:lvl>
    <w:lvl w:ilvl="8" w:tplc="04260005">
      <w:start w:val="1"/>
      <w:numFmt w:val="bullet"/>
      <w:lvlText w:val=""/>
      <w:lvlJc w:val="left"/>
      <w:pPr>
        <w:ind w:left="6220" w:hanging="360"/>
      </w:pPr>
      <w:rPr>
        <w:rFonts w:ascii="Wingdings" w:hAnsi="Wingdings" w:hint="default"/>
      </w:rPr>
    </w:lvl>
  </w:abstractNum>
  <w:abstractNum w:abstractNumId="30">
    <w:nsid w:val="62CB5B86"/>
    <w:multiLevelType w:val="hybridMultilevel"/>
    <w:tmpl w:val="E1343B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nsid w:val="62EF3482"/>
    <w:multiLevelType w:val="hybridMultilevel"/>
    <w:tmpl w:val="31A2A284"/>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32">
    <w:nsid w:val="63481DC8"/>
    <w:multiLevelType w:val="hybridMultilevel"/>
    <w:tmpl w:val="50C2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62615E9"/>
    <w:multiLevelType w:val="hybridMultilevel"/>
    <w:tmpl w:val="FD2620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77D7E57"/>
    <w:multiLevelType w:val="hybridMultilevel"/>
    <w:tmpl w:val="473671FC"/>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36">
    <w:nsid w:val="6A963FDD"/>
    <w:multiLevelType w:val="hybridMultilevel"/>
    <w:tmpl w:val="5F3E51F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7">
    <w:nsid w:val="6C0C55C9"/>
    <w:multiLevelType w:val="hybridMultilevel"/>
    <w:tmpl w:val="9A88BC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F7653D7"/>
    <w:multiLevelType w:val="hybridMultilevel"/>
    <w:tmpl w:val="FE22256C"/>
    <w:lvl w:ilvl="0" w:tplc="F16667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2F56380"/>
    <w:multiLevelType w:val="hybridMultilevel"/>
    <w:tmpl w:val="0058AB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7985433B"/>
    <w:multiLevelType w:val="hybridMultilevel"/>
    <w:tmpl w:val="06BCB3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9E81D36"/>
    <w:multiLevelType w:val="hybridMultilevel"/>
    <w:tmpl w:val="0EA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033668"/>
    <w:multiLevelType w:val="multilevel"/>
    <w:tmpl w:val="F146A664"/>
    <w:lvl w:ilvl="0">
      <w:start w:val="7"/>
      <w:numFmt w:val="decimal"/>
      <w:lvlText w:val="%1."/>
      <w:lvlJc w:val="left"/>
      <w:pPr>
        <w:ind w:left="675" w:hanging="675"/>
      </w:pPr>
      <w:rPr>
        <w:rFonts w:hint="default"/>
      </w:rPr>
    </w:lvl>
    <w:lvl w:ilvl="1">
      <w:start w:val="4"/>
      <w:numFmt w:val="decimal"/>
      <w:lvlText w:val="%1.%2."/>
      <w:lvlJc w:val="left"/>
      <w:pPr>
        <w:ind w:left="1145" w:hanging="720"/>
      </w:pPr>
      <w:rPr>
        <w:rFonts w:hint="default"/>
      </w:rPr>
    </w:lvl>
    <w:lvl w:ilvl="2">
      <w:start w:val="1"/>
      <w:numFmt w:val="bullet"/>
      <w:lvlText w:val=""/>
      <w:lvlJc w:val="left"/>
      <w:pPr>
        <w:ind w:left="862" w:hanging="720"/>
      </w:pPr>
      <w:rPr>
        <w:rFonts w:ascii="Symbol" w:hAnsi="Symbol"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33"/>
  </w:num>
  <w:num w:numId="2">
    <w:abstractNumId w:val="11"/>
  </w:num>
  <w:num w:numId="3">
    <w:abstractNumId w:val="35"/>
  </w:num>
  <w:num w:numId="4">
    <w:abstractNumId w:val="0"/>
  </w:num>
  <w:num w:numId="5">
    <w:abstractNumId w:val="12"/>
  </w:num>
  <w:num w:numId="6">
    <w:abstractNumId w:val="13"/>
  </w:num>
  <w:num w:numId="7">
    <w:abstractNumId w:val="6"/>
  </w:num>
  <w:num w:numId="8">
    <w:abstractNumId w:val="16"/>
  </w:num>
  <w:num w:numId="9">
    <w:abstractNumId w:val="1"/>
  </w:num>
  <w:num w:numId="10">
    <w:abstractNumId w:val="2"/>
  </w:num>
  <w:num w:numId="11">
    <w:abstractNumId w:val="36"/>
  </w:num>
  <w:num w:numId="12">
    <w:abstractNumId w:val="21"/>
  </w:num>
  <w:num w:numId="13">
    <w:abstractNumId w:val="38"/>
  </w:num>
  <w:num w:numId="14">
    <w:abstractNumId w:val="31"/>
  </w:num>
  <w:num w:numId="15">
    <w:abstractNumId w:val="30"/>
  </w:num>
  <w:num w:numId="16">
    <w:abstractNumId w:val="41"/>
  </w:num>
  <w:num w:numId="17">
    <w:abstractNumId w:val="32"/>
  </w:num>
  <w:num w:numId="18">
    <w:abstractNumId w:val="24"/>
  </w:num>
  <w:num w:numId="19">
    <w:abstractNumId w:val="22"/>
  </w:num>
  <w:num w:numId="20">
    <w:abstractNumId w:val="23"/>
  </w:num>
  <w:num w:numId="21">
    <w:abstractNumId w:val="14"/>
  </w:num>
  <w:num w:numId="22">
    <w:abstractNumId w:val="9"/>
  </w:num>
  <w:num w:numId="23">
    <w:abstractNumId w:val="18"/>
  </w:num>
  <w:num w:numId="24">
    <w:abstractNumId w:val="34"/>
  </w:num>
  <w:num w:numId="25">
    <w:abstractNumId w:val="15"/>
  </w:num>
  <w:num w:numId="26">
    <w:abstractNumId w:val="8"/>
  </w:num>
  <w:num w:numId="27">
    <w:abstractNumId w:val="39"/>
  </w:num>
  <w:num w:numId="28">
    <w:abstractNumId w:val="19"/>
  </w:num>
  <w:num w:numId="29">
    <w:abstractNumId w:val="3"/>
  </w:num>
  <w:num w:numId="30">
    <w:abstractNumId w:val="28"/>
  </w:num>
  <w:num w:numId="31">
    <w:abstractNumId w:val="29"/>
  </w:num>
  <w:num w:numId="32">
    <w:abstractNumId w:val="17"/>
  </w:num>
  <w:num w:numId="33">
    <w:abstractNumId w:val="4"/>
  </w:num>
  <w:num w:numId="34">
    <w:abstractNumId w:val="5"/>
  </w:num>
  <w:num w:numId="35">
    <w:abstractNumId w:val="26"/>
  </w:num>
  <w:num w:numId="36">
    <w:abstractNumId w:val="42"/>
  </w:num>
  <w:num w:numId="37">
    <w:abstractNumId w:val="37"/>
  </w:num>
  <w:num w:numId="38">
    <w:abstractNumId w:val="10"/>
  </w:num>
  <w:num w:numId="39">
    <w:abstractNumId w:val="7"/>
  </w:num>
  <w:num w:numId="40">
    <w:abstractNumId w:val="40"/>
  </w:num>
  <w:num w:numId="41">
    <w:abstractNumId w:val="25"/>
  </w:num>
  <w:num w:numId="42">
    <w:abstractNumId w:val="20"/>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2A"/>
    <w:rsid w:val="00000E57"/>
    <w:rsid w:val="00001C19"/>
    <w:rsid w:val="00002A70"/>
    <w:rsid w:val="00002AC4"/>
    <w:rsid w:val="00003F2D"/>
    <w:rsid w:val="000044FD"/>
    <w:rsid w:val="000066F2"/>
    <w:rsid w:val="00007445"/>
    <w:rsid w:val="00011A47"/>
    <w:rsid w:val="00012F4F"/>
    <w:rsid w:val="000136A3"/>
    <w:rsid w:val="00013DA3"/>
    <w:rsid w:val="00022A31"/>
    <w:rsid w:val="00023768"/>
    <w:rsid w:val="0002742F"/>
    <w:rsid w:val="000277B3"/>
    <w:rsid w:val="00030AEF"/>
    <w:rsid w:val="00034F6A"/>
    <w:rsid w:val="00035FAB"/>
    <w:rsid w:val="000375D2"/>
    <w:rsid w:val="0004090A"/>
    <w:rsid w:val="00043BCB"/>
    <w:rsid w:val="000452B6"/>
    <w:rsid w:val="0004634C"/>
    <w:rsid w:val="00047C66"/>
    <w:rsid w:val="000538D9"/>
    <w:rsid w:val="00053C20"/>
    <w:rsid w:val="00053CE2"/>
    <w:rsid w:val="00054351"/>
    <w:rsid w:val="00056305"/>
    <w:rsid w:val="000612C8"/>
    <w:rsid w:val="000627FE"/>
    <w:rsid w:val="00062FE4"/>
    <w:rsid w:val="00064E7B"/>
    <w:rsid w:val="00067D02"/>
    <w:rsid w:val="00067F85"/>
    <w:rsid w:val="00070D8C"/>
    <w:rsid w:val="00071243"/>
    <w:rsid w:val="00071906"/>
    <w:rsid w:val="00072A6D"/>
    <w:rsid w:val="00076ED0"/>
    <w:rsid w:val="00077E3F"/>
    <w:rsid w:val="00085D9E"/>
    <w:rsid w:val="000906F2"/>
    <w:rsid w:val="00091623"/>
    <w:rsid w:val="00092D60"/>
    <w:rsid w:val="00092F47"/>
    <w:rsid w:val="00095616"/>
    <w:rsid w:val="0009614E"/>
    <w:rsid w:val="000A0B88"/>
    <w:rsid w:val="000A1069"/>
    <w:rsid w:val="000A150F"/>
    <w:rsid w:val="000A2ECE"/>
    <w:rsid w:val="000A2EEB"/>
    <w:rsid w:val="000A3A53"/>
    <w:rsid w:val="000A465C"/>
    <w:rsid w:val="000A4BEA"/>
    <w:rsid w:val="000A6640"/>
    <w:rsid w:val="000A6B02"/>
    <w:rsid w:val="000A6BCF"/>
    <w:rsid w:val="000A76F1"/>
    <w:rsid w:val="000B23E0"/>
    <w:rsid w:val="000B3F80"/>
    <w:rsid w:val="000B5F8D"/>
    <w:rsid w:val="000B6208"/>
    <w:rsid w:val="000B6F71"/>
    <w:rsid w:val="000B7633"/>
    <w:rsid w:val="000B7FC9"/>
    <w:rsid w:val="000C3185"/>
    <w:rsid w:val="000C439F"/>
    <w:rsid w:val="000C674A"/>
    <w:rsid w:val="000C7217"/>
    <w:rsid w:val="000D1A7F"/>
    <w:rsid w:val="000E0EF3"/>
    <w:rsid w:val="000E2159"/>
    <w:rsid w:val="000E33FB"/>
    <w:rsid w:val="000E35AA"/>
    <w:rsid w:val="000E52FA"/>
    <w:rsid w:val="000F043D"/>
    <w:rsid w:val="000F2653"/>
    <w:rsid w:val="000F56D3"/>
    <w:rsid w:val="000F6E68"/>
    <w:rsid w:val="000F7045"/>
    <w:rsid w:val="000F7354"/>
    <w:rsid w:val="000F76A9"/>
    <w:rsid w:val="000F7AE3"/>
    <w:rsid w:val="001028F2"/>
    <w:rsid w:val="00106E13"/>
    <w:rsid w:val="00107BB6"/>
    <w:rsid w:val="00107CB9"/>
    <w:rsid w:val="001108E1"/>
    <w:rsid w:val="0011155F"/>
    <w:rsid w:val="00111BAD"/>
    <w:rsid w:val="00112295"/>
    <w:rsid w:val="00113776"/>
    <w:rsid w:val="00115464"/>
    <w:rsid w:val="00117C3F"/>
    <w:rsid w:val="0012183D"/>
    <w:rsid w:val="00124A07"/>
    <w:rsid w:val="001263E6"/>
    <w:rsid w:val="0012659F"/>
    <w:rsid w:val="00126759"/>
    <w:rsid w:val="00127DB5"/>
    <w:rsid w:val="0013023A"/>
    <w:rsid w:val="001315BE"/>
    <w:rsid w:val="0013192A"/>
    <w:rsid w:val="00132975"/>
    <w:rsid w:val="00132DE7"/>
    <w:rsid w:val="00133320"/>
    <w:rsid w:val="001343C0"/>
    <w:rsid w:val="001378DE"/>
    <w:rsid w:val="00142E74"/>
    <w:rsid w:val="00143237"/>
    <w:rsid w:val="00145166"/>
    <w:rsid w:val="00147090"/>
    <w:rsid w:val="00153F4C"/>
    <w:rsid w:val="001542A5"/>
    <w:rsid w:val="0015440A"/>
    <w:rsid w:val="001554CC"/>
    <w:rsid w:val="00155DE8"/>
    <w:rsid w:val="001563C2"/>
    <w:rsid w:val="00156772"/>
    <w:rsid w:val="001602B9"/>
    <w:rsid w:val="0016186A"/>
    <w:rsid w:val="00161EF7"/>
    <w:rsid w:val="00163A60"/>
    <w:rsid w:val="001644D2"/>
    <w:rsid w:val="00166EA2"/>
    <w:rsid w:val="00170137"/>
    <w:rsid w:val="001719E3"/>
    <w:rsid w:val="00171D17"/>
    <w:rsid w:val="00171D36"/>
    <w:rsid w:val="001730E1"/>
    <w:rsid w:val="001733B9"/>
    <w:rsid w:val="00174AC6"/>
    <w:rsid w:val="00174B1F"/>
    <w:rsid w:val="00175420"/>
    <w:rsid w:val="00176CB2"/>
    <w:rsid w:val="00177A5E"/>
    <w:rsid w:val="0018354B"/>
    <w:rsid w:val="00184133"/>
    <w:rsid w:val="00185097"/>
    <w:rsid w:val="0019146C"/>
    <w:rsid w:val="00192975"/>
    <w:rsid w:val="001A03C5"/>
    <w:rsid w:val="001A1164"/>
    <w:rsid w:val="001A2000"/>
    <w:rsid w:val="001A30FE"/>
    <w:rsid w:val="001A3439"/>
    <w:rsid w:val="001A479C"/>
    <w:rsid w:val="001A5567"/>
    <w:rsid w:val="001A5691"/>
    <w:rsid w:val="001A60AD"/>
    <w:rsid w:val="001A6A7F"/>
    <w:rsid w:val="001A7231"/>
    <w:rsid w:val="001A7B1F"/>
    <w:rsid w:val="001A7D41"/>
    <w:rsid w:val="001B0121"/>
    <w:rsid w:val="001B1210"/>
    <w:rsid w:val="001B20E6"/>
    <w:rsid w:val="001B2D57"/>
    <w:rsid w:val="001B42C1"/>
    <w:rsid w:val="001C01DD"/>
    <w:rsid w:val="001C144E"/>
    <w:rsid w:val="001C3A85"/>
    <w:rsid w:val="001C45E7"/>
    <w:rsid w:val="001D0391"/>
    <w:rsid w:val="001D097A"/>
    <w:rsid w:val="001D0E62"/>
    <w:rsid w:val="001D1E95"/>
    <w:rsid w:val="001D51C9"/>
    <w:rsid w:val="001D59E5"/>
    <w:rsid w:val="001E2011"/>
    <w:rsid w:val="001E3DE9"/>
    <w:rsid w:val="001E4F58"/>
    <w:rsid w:val="001E52E0"/>
    <w:rsid w:val="001E69FC"/>
    <w:rsid w:val="001E7A6E"/>
    <w:rsid w:val="001F004D"/>
    <w:rsid w:val="001F0072"/>
    <w:rsid w:val="001F1CE7"/>
    <w:rsid w:val="001F30D4"/>
    <w:rsid w:val="001F6940"/>
    <w:rsid w:val="00200F15"/>
    <w:rsid w:val="00201098"/>
    <w:rsid w:val="0020233E"/>
    <w:rsid w:val="002030E5"/>
    <w:rsid w:val="00203521"/>
    <w:rsid w:val="00203C6D"/>
    <w:rsid w:val="00204A3C"/>
    <w:rsid w:val="00205DB2"/>
    <w:rsid w:val="00205F39"/>
    <w:rsid w:val="00206258"/>
    <w:rsid w:val="00206468"/>
    <w:rsid w:val="0020733D"/>
    <w:rsid w:val="002121D7"/>
    <w:rsid w:val="00212E84"/>
    <w:rsid w:val="002130ED"/>
    <w:rsid w:val="00216601"/>
    <w:rsid w:val="00217FA9"/>
    <w:rsid w:val="00225D18"/>
    <w:rsid w:val="002277D8"/>
    <w:rsid w:val="0023042D"/>
    <w:rsid w:val="002307C7"/>
    <w:rsid w:val="0023149A"/>
    <w:rsid w:val="00232B4D"/>
    <w:rsid w:val="00232EA5"/>
    <w:rsid w:val="00232F12"/>
    <w:rsid w:val="00233B1F"/>
    <w:rsid w:val="00233CDB"/>
    <w:rsid w:val="00234A68"/>
    <w:rsid w:val="00235345"/>
    <w:rsid w:val="00235727"/>
    <w:rsid w:val="00236887"/>
    <w:rsid w:val="00236AFE"/>
    <w:rsid w:val="00237024"/>
    <w:rsid w:val="0024170B"/>
    <w:rsid w:val="00243200"/>
    <w:rsid w:val="002441D0"/>
    <w:rsid w:val="00247EBD"/>
    <w:rsid w:val="00250602"/>
    <w:rsid w:val="002534EE"/>
    <w:rsid w:val="002569C1"/>
    <w:rsid w:val="00256C84"/>
    <w:rsid w:val="00257D3A"/>
    <w:rsid w:val="0026298A"/>
    <w:rsid w:val="002718B3"/>
    <w:rsid w:val="00271F12"/>
    <w:rsid w:val="002731B1"/>
    <w:rsid w:val="0027384E"/>
    <w:rsid w:val="00274308"/>
    <w:rsid w:val="00274379"/>
    <w:rsid w:val="00274407"/>
    <w:rsid w:val="00276EAD"/>
    <w:rsid w:val="00277B1F"/>
    <w:rsid w:val="00280188"/>
    <w:rsid w:val="0028065B"/>
    <w:rsid w:val="00284831"/>
    <w:rsid w:val="00284D83"/>
    <w:rsid w:val="00285418"/>
    <w:rsid w:val="00287CD3"/>
    <w:rsid w:val="002909AD"/>
    <w:rsid w:val="002917F8"/>
    <w:rsid w:val="00292449"/>
    <w:rsid w:val="00295176"/>
    <w:rsid w:val="00296224"/>
    <w:rsid w:val="0029664A"/>
    <w:rsid w:val="002A245C"/>
    <w:rsid w:val="002A3DF8"/>
    <w:rsid w:val="002A5198"/>
    <w:rsid w:val="002A739D"/>
    <w:rsid w:val="002B22E6"/>
    <w:rsid w:val="002B3CCF"/>
    <w:rsid w:val="002B438A"/>
    <w:rsid w:val="002B5EF5"/>
    <w:rsid w:val="002B60F4"/>
    <w:rsid w:val="002C01B4"/>
    <w:rsid w:val="002C10EA"/>
    <w:rsid w:val="002C21ED"/>
    <w:rsid w:val="002C3769"/>
    <w:rsid w:val="002C40F9"/>
    <w:rsid w:val="002C5BB1"/>
    <w:rsid w:val="002C6C8C"/>
    <w:rsid w:val="002D14F4"/>
    <w:rsid w:val="002D1DBA"/>
    <w:rsid w:val="002D1E59"/>
    <w:rsid w:val="002D7812"/>
    <w:rsid w:val="002E1C28"/>
    <w:rsid w:val="002E1DFC"/>
    <w:rsid w:val="002E2F44"/>
    <w:rsid w:val="002E7880"/>
    <w:rsid w:val="002F29D1"/>
    <w:rsid w:val="002F4655"/>
    <w:rsid w:val="002F4848"/>
    <w:rsid w:val="002F700B"/>
    <w:rsid w:val="00300997"/>
    <w:rsid w:val="00302959"/>
    <w:rsid w:val="003033B2"/>
    <w:rsid w:val="00304704"/>
    <w:rsid w:val="00305E8A"/>
    <w:rsid w:val="0031152D"/>
    <w:rsid w:val="00311AFF"/>
    <w:rsid w:val="00311EA5"/>
    <w:rsid w:val="00322046"/>
    <w:rsid w:val="0032258D"/>
    <w:rsid w:val="00325324"/>
    <w:rsid w:val="0032763C"/>
    <w:rsid w:val="00332115"/>
    <w:rsid w:val="00333A9B"/>
    <w:rsid w:val="003409F4"/>
    <w:rsid w:val="0034128A"/>
    <w:rsid w:val="00343428"/>
    <w:rsid w:val="00347E9A"/>
    <w:rsid w:val="00352DF3"/>
    <w:rsid w:val="00353520"/>
    <w:rsid w:val="00355403"/>
    <w:rsid w:val="00362B13"/>
    <w:rsid w:val="003654AA"/>
    <w:rsid w:val="0036683A"/>
    <w:rsid w:val="003714C5"/>
    <w:rsid w:val="003722FD"/>
    <w:rsid w:val="0037311D"/>
    <w:rsid w:val="00374A37"/>
    <w:rsid w:val="00375B76"/>
    <w:rsid w:val="00376037"/>
    <w:rsid w:val="003807D0"/>
    <w:rsid w:val="00380812"/>
    <w:rsid w:val="003855FF"/>
    <w:rsid w:val="00386316"/>
    <w:rsid w:val="00386402"/>
    <w:rsid w:val="00391863"/>
    <w:rsid w:val="003925B4"/>
    <w:rsid w:val="00392E77"/>
    <w:rsid w:val="00392F99"/>
    <w:rsid w:val="00393C14"/>
    <w:rsid w:val="00393CFF"/>
    <w:rsid w:val="0039446F"/>
    <w:rsid w:val="003963C7"/>
    <w:rsid w:val="003A0243"/>
    <w:rsid w:val="003A1256"/>
    <w:rsid w:val="003A1663"/>
    <w:rsid w:val="003A3E40"/>
    <w:rsid w:val="003A3F7F"/>
    <w:rsid w:val="003A72EF"/>
    <w:rsid w:val="003B1968"/>
    <w:rsid w:val="003B3ACB"/>
    <w:rsid w:val="003B5AAE"/>
    <w:rsid w:val="003B692B"/>
    <w:rsid w:val="003B6B89"/>
    <w:rsid w:val="003B7552"/>
    <w:rsid w:val="003C04B5"/>
    <w:rsid w:val="003C421C"/>
    <w:rsid w:val="003D2652"/>
    <w:rsid w:val="003D38D2"/>
    <w:rsid w:val="003D50B4"/>
    <w:rsid w:val="003D664D"/>
    <w:rsid w:val="003D7914"/>
    <w:rsid w:val="003E1193"/>
    <w:rsid w:val="003E12D6"/>
    <w:rsid w:val="003E31C1"/>
    <w:rsid w:val="003E3801"/>
    <w:rsid w:val="003E5BD2"/>
    <w:rsid w:val="003E692A"/>
    <w:rsid w:val="003F036F"/>
    <w:rsid w:val="003F24E7"/>
    <w:rsid w:val="003F3E3F"/>
    <w:rsid w:val="003F58FC"/>
    <w:rsid w:val="0040070B"/>
    <w:rsid w:val="00401A15"/>
    <w:rsid w:val="00402272"/>
    <w:rsid w:val="00402A9A"/>
    <w:rsid w:val="00405BC6"/>
    <w:rsid w:val="00411BBF"/>
    <w:rsid w:val="00415F33"/>
    <w:rsid w:val="00416572"/>
    <w:rsid w:val="0041661C"/>
    <w:rsid w:val="004229F8"/>
    <w:rsid w:val="004246AB"/>
    <w:rsid w:val="0042708E"/>
    <w:rsid w:val="00427F59"/>
    <w:rsid w:val="004308A6"/>
    <w:rsid w:val="00432F12"/>
    <w:rsid w:val="0043316C"/>
    <w:rsid w:val="00434982"/>
    <w:rsid w:val="00435338"/>
    <w:rsid w:val="004369B2"/>
    <w:rsid w:val="00441F04"/>
    <w:rsid w:val="004431BD"/>
    <w:rsid w:val="00443695"/>
    <w:rsid w:val="00444F92"/>
    <w:rsid w:val="0044749C"/>
    <w:rsid w:val="00450268"/>
    <w:rsid w:val="004502F9"/>
    <w:rsid w:val="0045368F"/>
    <w:rsid w:val="004544D2"/>
    <w:rsid w:val="00455724"/>
    <w:rsid w:val="004605CE"/>
    <w:rsid w:val="00462F31"/>
    <w:rsid w:val="00465F5D"/>
    <w:rsid w:val="00466B9E"/>
    <w:rsid w:val="004709AC"/>
    <w:rsid w:val="00471630"/>
    <w:rsid w:val="00472613"/>
    <w:rsid w:val="00474949"/>
    <w:rsid w:val="00474EEF"/>
    <w:rsid w:val="0047700D"/>
    <w:rsid w:val="00477B03"/>
    <w:rsid w:val="00480FF1"/>
    <w:rsid w:val="004819D2"/>
    <w:rsid w:val="004822D6"/>
    <w:rsid w:val="00484826"/>
    <w:rsid w:val="00485653"/>
    <w:rsid w:val="00485D16"/>
    <w:rsid w:val="00486E31"/>
    <w:rsid w:val="00487A04"/>
    <w:rsid w:val="004900D0"/>
    <w:rsid w:val="00492265"/>
    <w:rsid w:val="00492774"/>
    <w:rsid w:val="0049352B"/>
    <w:rsid w:val="00493FA2"/>
    <w:rsid w:val="00495CFB"/>
    <w:rsid w:val="004A0F47"/>
    <w:rsid w:val="004A0FA2"/>
    <w:rsid w:val="004A1E5E"/>
    <w:rsid w:val="004A21A0"/>
    <w:rsid w:val="004A30A9"/>
    <w:rsid w:val="004A4F86"/>
    <w:rsid w:val="004A6DCE"/>
    <w:rsid w:val="004A6FE1"/>
    <w:rsid w:val="004A7073"/>
    <w:rsid w:val="004A758F"/>
    <w:rsid w:val="004B056A"/>
    <w:rsid w:val="004B06D2"/>
    <w:rsid w:val="004B2247"/>
    <w:rsid w:val="004B247B"/>
    <w:rsid w:val="004B263A"/>
    <w:rsid w:val="004B6275"/>
    <w:rsid w:val="004C187A"/>
    <w:rsid w:val="004C67B2"/>
    <w:rsid w:val="004C7470"/>
    <w:rsid w:val="004D02E7"/>
    <w:rsid w:val="004D02E8"/>
    <w:rsid w:val="004D10DF"/>
    <w:rsid w:val="004D2DBD"/>
    <w:rsid w:val="004D3382"/>
    <w:rsid w:val="004D6D5B"/>
    <w:rsid w:val="004E0E7F"/>
    <w:rsid w:val="004E18CD"/>
    <w:rsid w:val="004E1B12"/>
    <w:rsid w:val="004E4CD6"/>
    <w:rsid w:val="004E6536"/>
    <w:rsid w:val="004E6957"/>
    <w:rsid w:val="004F12C2"/>
    <w:rsid w:val="004F1F14"/>
    <w:rsid w:val="004F2C94"/>
    <w:rsid w:val="004F527E"/>
    <w:rsid w:val="004F5916"/>
    <w:rsid w:val="004F6353"/>
    <w:rsid w:val="004F6B3A"/>
    <w:rsid w:val="004F70CC"/>
    <w:rsid w:val="00500402"/>
    <w:rsid w:val="00501825"/>
    <w:rsid w:val="00502620"/>
    <w:rsid w:val="00502937"/>
    <w:rsid w:val="00503049"/>
    <w:rsid w:val="00504770"/>
    <w:rsid w:val="0050499F"/>
    <w:rsid w:val="00507191"/>
    <w:rsid w:val="00507ECC"/>
    <w:rsid w:val="00507F9A"/>
    <w:rsid w:val="005113C9"/>
    <w:rsid w:val="005119D6"/>
    <w:rsid w:val="00512CC6"/>
    <w:rsid w:val="0051339D"/>
    <w:rsid w:val="00514E2C"/>
    <w:rsid w:val="00517601"/>
    <w:rsid w:val="005206FA"/>
    <w:rsid w:val="00522035"/>
    <w:rsid w:val="00524E56"/>
    <w:rsid w:val="00525357"/>
    <w:rsid w:val="005258CC"/>
    <w:rsid w:val="00526479"/>
    <w:rsid w:val="00526F76"/>
    <w:rsid w:val="00527D30"/>
    <w:rsid w:val="005307DD"/>
    <w:rsid w:val="00531F73"/>
    <w:rsid w:val="0053272A"/>
    <w:rsid w:val="00534660"/>
    <w:rsid w:val="00536597"/>
    <w:rsid w:val="00541141"/>
    <w:rsid w:val="00541276"/>
    <w:rsid w:val="00541CC6"/>
    <w:rsid w:val="00542124"/>
    <w:rsid w:val="0054344C"/>
    <w:rsid w:val="00545FF6"/>
    <w:rsid w:val="00546129"/>
    <w:rsid w:val="00550879"/>
    <w:rsid w:val="005524AF"/>
    <w:rsid w:val="00552ED7"/>
    <w:rsid w:val="0055314C"/>
    <w:rsid w:val="005561E6"/>
    <w:rsid w:val="00557CDC"/>
    <w:rsid w:val="0056018E"/>
    <w:rsid w:val="00560795"/>
    <w:rsid w:val="00560C94"/>
    <w:rsid w:val="005612E9"/>
    <w:rsid w:val="005618B9"/>
    <w:rsid w:val="00561A32"/>
    <w:rsid w:val="0056254F"/>
    <w:rsid w:val="00564E80"/>
    <w:rsid w:val="005675C4"/>
    <w:rsid w:val="00572BA8"/>
    <w:rsid w:val="005840B6"/>
    <w:rsid w:val="00584507"/>
    <w:rsid w:val="00584643"/>
    <w:rsid w:val="00584879"/>
    <w:rsid w:val="00585200"/>
    <w:rsid w:val="00585B64"/>
    <w:rsid w:val="00585D50"/>
    <w:rsid w:val="00585F65"/>
    <w:rsid w:val="0058698C"/>
    <w:rsid w:val="005906C4"/>
    <w:rsid w:val="00592AE3"/>
    <w:rsid w:val="005949B3"/>
    <w:rsid w:val="00595E81"/>
    <w:rsid w:val="00596E11"/>
    <w:rsid w:val="00596F47"/>
    <w:rsid w:val="00597631"/>
    <w:rsid w:val="005A17DE"/>
    <w:rsid w:val="005A1D14"/>
    <w:rsid w:val="005A45F8"/>
    <w:rsid w:val="005A5076"/>
    <w:rsid w:val="005A5A37"/>
    <w:rsid w:val="005A6697"/>
    <w:rsid w:val="005B22B7"/>
    <w:rsid w:val="005B4232"/>
    <w:rsid w:val="005B4E4B"/>
    <w:rsid w:val="005B71C3"/>
    <w:rsid w:val="005C2ABD"/>
    <w:rsid w:val="005C2DF1"/>
    <w:rsid w:val="005C3613"/>
    <w:rsid w:val="005D07B2"/>
    <w:rsid w:val="005D164B"/>
    <w:rsid w:val="005D5CED"/>
    <w:rsid w:val="005D5FE1"/>
    <w:rsid w:val="005E055F"/>
    <w:rsid w:val="005E056B"/>
    <w:rsid w:val="005E26F3"/>
    <w:rsid w:val="005E3BAB"/>
    <w:rsid w:val="005E5832"/>
    <w:rsid w:val="005E6A88"/>
    <w:rsid w:val="005F14F2"/>
    <w:rsid w:val="005F3251"/>
    <w:rsid w:val="005F335E"/>
    <w:rsid w:val="005F5CE0"/>
    <w:rsid w:val="005F6B51"/>
    <w:rsid w:val="005F73B9"/>
    <w:rsid w:val="00600F5E"/>
    <w:rsid w:val="006055C0"/>
    <w:rsid w:val="0060783B"/>
    <w:rsid w:val="006107FA"/>
    <w:rsid w:val="006112F6"/>
    <w:rsid w:val="00611835"/>
    <w:rsid w:val="006119A1"/>
    <w:rsid w:val="006132B1"/>
    <w:rsid w:val="006141D1"/>
    <w:rsid w:val="00615175"/>
    <w:rsid w:val="00615F74"/>
    <w:rsid w:val="00616E92"/>
    <w:rsid w:val="00617970"/>
    <w:rsid w:val="00622C4C"/>
    <w:rsid w:val="006270EB"/>
    <w:rsid w:val="00627EE6"/>
    <w:rsid w:val="0063054A"/>
    <w:rsid w:val="00634C17"/>
    <w:rsid w:val="006358E7"/>
    <w:rsid w:val="00636948"/>
    <w:rsid w:val="00643263"/>
    <w:rsid w:val="00643421"/>
    <w:rsid w:val="00646761"/>
    <w:rsid w:val="006467D1"/>
    <w:rsid w:val="00650ADB"/>
    <w:rsid w:val="00651ADC"/>
    <w:rsid w:val="00651B2D"/>
    <w:rsid w:val="0065478D"/>
    <w:rsid w:val="006559FB"/>
    <w:rsid w:val="006562E0"/>
    <w:rsid w:val="0066088D"/>
    <w:rsid w:val="00661226"/>
    <w:rsid w:val="00662CA0"/>
    <w:rsid w:val="00663F1E"/>
    <w:rsid w:val="00665314"/>
    <w:rsid w:val="00665490"/>
    <w:rsid w:val="00665874"/>
    <w:rsid w:val="00666BF8"/>
    <w:rsid w:val="00666C0C"/>
    <w:rsid w:val="006671FC"/>
    <w:rsid w:val="00667E5F"/>
    <w:rsid w:val="0067092B"/>
    <w:rsid w:val="00672B73"/>
    <w:rsid w:val="00672F33"/>
    <w:rsid w:val="006774AE"/>
    <w:rsid w:val="006812A7"/>
    <w:rsid w:val="00681548"/>
    <w:rsid w:val="0068292C"/>
    <w:rsid w:val="00686DA3"/>
    <w:rsid w:val="00687406"/>
    <w:rsid w:val="006878C6"/>
    <w:rsid w:val="00691254"/>
    <w:rsid w:val="00692204"/>
    <w:rsid w:val="00692E94"/>
    <w:rsid w:val="00693210"/>
    <w:rsid w:val="00694617"/>
    <w:rsid w:val="00694926"/>
    <w:rsid w:val="00694976"/>
    <w:rsid w:val="00696872"/>
    <w:rsid w:val="00696BDF"/>
    <w:rsid w:val="0069768D"/>
    <w:rsid w:val="00697A4F"/>
    <w:rsid w:val="006A0123"/>
    <w:rsid w:val="006A10CA"/>
    <w:rsid w:val="006A22EF"/>
    <w:rsid w:val="006A293E"/>
    <w:rsid w:val="006A326F"/>
    <w:rsid w:val="006A57DD"/>
    <w:rsid w:val="006A6B6E"/>
    <w:rsid w:val="006A7F89"/>
    <w:rsid w:val="006B02BF"/>
    <w:rsid w:val="006B142D"/>
    <w:rsid w:val="006B2115"/>
    <w:rsid w:val="006B2DC9"/>
    <w:rsid w:val="006B4287"/>
    <w:rsid w:val="006B5CE4"/>
    <w:rsid w:val="006B6D2F"/>
    <w:rsid w:val="006C0438"/>
    <w:rsid w:val="006C18C0"/>
    <w:rsid w:val="006C309B"/>
    <w:rsid w:val="006C4D67"/>
    <w:rsid w:val="006C4EC8"/>
    <w:rsid w:val="006C62AB"/>
    <w:rsid w:val="006C6FEF"/>
    <w:rsid w:val="006C719C"/>
    <w:rsid w:val="006C7FFB"/>
    <w:rsid w:val="006D4642"/>
    <w:rsid w:val="006D5818"/>
    <w:rsid w:val="006E2085"/>
    <w:rsid w:val="006E412A"/>
    <w:rsid w:val="006E4A36"/>
    <w:rsid w:val="006E5209"/>
    <w:rsid w:val="006E77A0"/>
    <w:rsid w:val="006E7B52"/>
    <w:rsid w:val="006F225F"/>
    <w:rsid w:val="006F7810"/>
    <w:rsid w:val="00700A10"/>
    <w:rsid w:val="00703183"/>
    <w:rsid w:val="00703EFD"/>
    <w:rsid w:val="007059C6"/>
    <w:rsid w:val="0070643A"/>
    <w:rsid w:val="007079D9"/>
    <w:rsid w:val="00710857"/>
    <w:rsid w:val="0071415F"/>
    <w:rsid w:val="0071422E"/>
    <w:rsid w:val="0071452C"/>
    <w:rsid w:val="007153BD"/>
    <w:rsid w:val="007178CD"/>
    <w:rsid w:val="00720DDB"/>
    <w:rsid w:val="00721279"/>
    <w:rsid w:val="007253C1"/>
    <w:rsid w:val="007262C7"/>
    <w:rsid w:val="007272CF"/>
    <w:rsid w:val="00731BEF"/>
    <w:rsid w:val="00732ACF"/>
    <w:rsid w:val="007346A8"/>
    <w:rsid w:val="0073592E"/>
    <w:rsid w:val="00735E9A"/>
    <w:rsid w:val="0073620D"/>
    <w:rsid w:val="007367C4"/>
    <w:rsid w:val="0073724B"/>
    <w:rsid w:val="00742A0A"/>
    <w:rsid w:val="00744716"/>
    <w:rsid w:val="00744F38"/>
    <w:rsid w:val="00746E52"/>
    <w:rsid w:val="007505EB"/>
    <w:rsid w:val="00752A06"/>
    <w:rsid w:val="00753A6D"/>
    <w:rsid w:val="00756A78"/>
    <w:rsid w:val="00756D77"/>
    <w:rsid w:val="00757308"/>
    <w:rsid w:val="00765E16"/>
    <w:rsid w:val="00767188"/>
    <w:rsid w:val="00767429"/>
    <w:rsid w:val="00771A61"/>
    <w:rsid w:val="00772E1E"/>
    <w:rsid w:val="007736C0"/>
    <w:rsid w:val="00774E67"/>
    <w:rsid w:val="00775D1C"/>
    <w:rsid w:val="00776E44"/>
    <w:rsid w:val="00776F04"/>
    <w:rsid w:val="0077752A"/>
    <w:rsid w:val="00780F05"/>
    <w:rsid w:val="00782A00"/>
    <w:rsid w:val="00783B3F"/>
    <w:rsid w:val="00783E3D"/>
    <w:rsid w:val="00784413"/>
    <w:rsid w:val="007867D2"/>
    <w:rsid w:val="00786848"/>
    <w:rsid w:val="00787650"/>
    <w:rsid w:val="00787732"/>
    <w:rsid w:val="0078790A"/>
    <w:rsid w:val="007903C2"/>
    <w:rsid w:val="00790A64"/>
    <w:rsid w:val="00791F88"/>
    <w:rsid w:val="00795BDA"/>
    <w:rsid w:val="00796885"/>
    <w:rsid w:val="00796E59"/>
    <w:rsid w:val="00797147"/>
    <w:rsid w:val="007A2DC5"/>
    <w:rsid w:val="007A3483"/>
    <w:rsid w:val="007A4496"/>
    <w:rsid w:val="007A4AAB"/>
    <w:rsid w:val="007A5414"/>
    <w:rsid w:val="007B0E90"/>
    <w:rsid w:val="007B1678"/>
    <w:rsid w:val="007B1C85"/>
    <w:rsid w:val="007B22BF"/>
    <w:rsid w:val="007B2372"/>
    <w:rsid w:val="007B29CD"/>
    <w:rsid w:val="007B495C"/>
    <w:rsid w:val="007B5D38"/>
    <w:rsid w:val="007B7B6C"/>
    <w:rsid w:val="007C2883"/>
    <w:rsid w:val="007C7070"/>
    <w:rsid w:val="007D03DA"/>
    <w:rsid w:val="007D1F17"/>
    <w:rsid w:val="007D5708"/>
    <w:rsid w:val="007E6C75"/>
    <w:rsid w:val="007F047A"/>
    <w:rsid w:val="007F1EDB"/>
    <w:rsid w:val="007F2821"/>
    <w:rsid w:val="007F303A"/>
    <w:rsid w:val="007F32B9"/>
    <w:rsid w:val="007F7066"/>
    <w:rsid w:val="007F7DC1"/>
    <w:rsid w:val="0080010C"/>
    <w:rsid w:val="00800926"/>
    <w:rsid w:val="008012F9"/>
    <w:rsid w:val="008023D7"/>
    <w:rsid w:val="008053B2"/>
    <w:rsid w:val="008079EB"/>
    <w:rsid w:val="00812798"/>
    <w:rsid w:val="00813657"/>
    <w:rsid w:val="00816043"/>
    <w:rsid w:val="00816356"/>
    <w:rsid w:val="00823EF4"/>
    <w:rsid w:val="00824B32"/>
    <w:rsid w:val="008257E8"/>
    <w:rsid w:val="008310F4"/>
    <w:rsid w:val="008313C7"/>
    <w:rsid w:val="00831777"/>
    <w:rsid w:val="008331FB"/>
    <w:rsid w:val="00836902"/>
    <w:rsid w:val="00836B02"/>
    <w:rsid w:val="00837384"/>
    <w:rsid w:val="008419DC"/>
    <w:rsid w:val="00843184"/>
    <w:rsid w:val="00843663"/>
    <w:rsid w:val="00843AFD"/>
    <w:rsid w:val="00844B59"/>
    <w:rsid w:val="0084646A"/>
    <w:rsid w:val="008468E1"/>
    <w:rsid w:val="00850DE6"/>
    <w:rsid w:val="008522BD"/>
    <w:rsid w:val="00852CF5"/>
    <w:rsid w:val="00852EB1"/>
    <w:rsid w:val="00853AD8"/>
    <w:rsid w:val="0085451E"/>
    <w:rsid w:val="0085625C"/>
    <w:rsid w:val="008608FC"/>
    <w:rsid w:val="00862FD3"/>
    <w:rsid w:val="00865816"/>
    <w:rsid w:val="00865C2B"/>
    <w:rsid w:val="008668D1"/>
    <w:rsid w:val="00867305"/>
    <w:rsid w:val="00870152"/>
    <w:rsid w:val="0087130E"/>
    <w:rsid w:val="0087222B"/>
    <w:rsid w:val="00873AB5"/>
    <w:rsid w:val="00874568"/>
    <w:rsid w:val="00874E9D"/>
    <w:rsid w:val="0087502C"/>
    <w:rsid w:val="008761C5"/>
    <w:rsid w:val="008769A0"/>
    <w:rsid w:val="00876B5D"/>
    <w:rsid w:val="008833EC"/>
    <w:rsid w:val="00885312"/>
    <w:rsid w:val="00886BF5"/>
    <w:rsid w:val="00892C67"/>
    <w:rsid w:val="00892F69"/>
    <w:rsid w:val="00893C1F"/>
    <w:rsid w:val="008A1D34"/>
    <w:rsid w:val="008A39EC"/>
    <w:rsid w:val="008A3BA1"/>
    <w:rsid w:val="008A5837"/>
    <w:rsid w:val="008A68A8"/>
    <w:rsid w:val="008A7536"/>
    <w:rsid w:val="008B2542"/>
    <w:rsid w:val="008B2F04"/>
    <w:rsid w:val="008B5CBF"/>
    <w:rsid w:val="008B627E"/>
    <w:rsid w:val="008B6CC8"/>
    <w:rsid w:val="008B7369"/>
    <w:rsid w:val="008B76E4"/>
    <w:rsid w:val="008C434C"/>
    <w:rsid w:val="008C47C1"/>
    <w:rsid w:val="008C549B"/>
    <w:rsid w:val="008C56D9"/>
    <w:rsid w:val="008C57A3"/>
    <w:rsid w:val="008C74B9"/>
    <w:rsid w:val="008D063B"/>
    <w:rsid w:val="008D0EB7"/>
    <w:rsid w:val="008D6C68"/>
    <w:rsid w:val="008D7791"/>
    <w:rsid w:val="008E1C63"/>
    <w:rsid w:val="008E1FAC"/>
    <w:rsid w:val="008E441B"/>
    <w:rsid w:val="008E550C"/>
    <w:rsid w:val="008E731F"/>
    <w:rsid w:val="008E7669"/>
    <w:rsid w:val="008E78BC"/>
    <w:rsid w:val="008F04F9"/>
    <w:rsid w:val="008F05DB"/>
    <w:rsid w:val="008F1DA2"/>
    <w:rsid w:val="008F254F"/>
    <w:rsid w:val="008F2BCB"/>
    <w:rsid w:val="008F3FB9"/>
    <w:rsid w:val="008F7247"/>
    <w:rsid w:val="00901B16"/>
    <w:rsid w:val="00903473"/>
    <w:rsid w:val="0090638D"/>
    <w:rsid w:val="00906D29"/>
    <w:rsid w:val="00907095"/>
    <w:rsid w:val="00907E8C"/>
    <w:rsid w:val="0091194F"/>
    <w:rsid w:val="00911B7D"/>
    <w:rsid w:val="00913814"/>
    <w:rsid w:val="0091451C"/>
    <w:rsid w:val="009157F9"/>
    <w:rsid w:val="00920261"/>
    <w:rsid w:val="0092098F"/>
    <w:rsid w:val="0092231D"/>
    <w:rsid w:val="00922F36"/>
    <w:rsid w:val="009253C9"/>
    <w:rsid w:val="00925F4E"/>
    <w:rsid w:val="00926E80"/>
    <w:rsid w:val="00930C42"/>
    <w:rsid w:val="009310B9"/>
    <w:rsid w:val="00933948"/>
    <w:rsid w:val="00933EBA"/>
    <w:rsid w:val="0093452E"/>
    <w:rsid w:val="00934722"/>
    <w:rsid w:val="0093487E"/>
    <w:rsid w:val="00935DFE"/>
    <w:rsid w:val="0093739F"/>
    <w:rsid w:val="009379A2"/>
    <w:rsid w:val="0094035E"/>
    <w:rsid w:val="009415E7"/>
    <w:rsid w:val="00942B9F"/>
    <w:rsid w:val="0094686C"/>
    <w:rsid w:val="00947731"/>
    <w:rsid w:val="0095037D"/>
    <w:rsid w:val="0095043E"/>
    <w:rsid w:val="00953DF5"/>
    <w:rsid w:val="00955686"/>
    <w:rsid w:val="00955714"/>
    <w:rsid w:val="00955BB5"/>
    <w:rsid w:val="00955D91"/>
    <w:rsid w:val="009561E2"/>
    <w:rsid w:val="00957476"/>
    <w:rsid w:val="00957672"/>
    <w:rsid w:val="00957799"/>
    <w:rsid w:val="00962770"/>
    <w:rsid w:val="00964D55"/>
    <w:rsid w:val="009651A9"/>
    <w:rsid w:val="00965B97"/>
    <w:rsid w:val="00966AE4"/>
    <w:rsid w:val="00973AB5"/>
    <w:rsid w:val="009812C8"/>
    <w:rsid w:val="00982933"/>
    <w:rsid w:val="00983615"/>
    <w:rsid w:val="009854D0"/>
    <w:rsid w:val="0098692D"/>
    <w:rsid w:val="00991CBE"/>
    <w:rsid w:val="00994E4B"/>
    <w:rsid w:val="00995E9B"/>
    <w:rsid w:val="00997BA4"/>
    <w:rsid w:val="009A0A1E"/>
    <w:rsid w:val="009A3179"/>
    <w:rsid w:val="009A44E0"/>
    <w:rsid w:val="009A53F5"/>
    <w:rsid w:val="009B00CA"/>
    <w:rsid w:val="009B202F"/>
    <w:rsid w:val="009B3312"/>
    <w:rsid w:val="009B3852"/>
    <w:rsid w:val="009B448C"/>
    <w:rsid w:val="009C14F9"/>
    <w:rsid w:val="009C2889"/>
    <w:rsid w:val="009C4770"/>
    <w:rsid w:val="009C7B0B"/>
    <w:rsid w:val="009C7B2D"/>
    <w:rsid w:val="009D152C"/>
    <w:rsid w:val="009D3614"/>
    <w:rsid w:val="009D5F0F"/>
    <w:rsid w:val="009E0F59"/>
    <w:rsid w:val="009E1574"/>
    <w:rsid w:val="009E1C3E"/>
    <w:rsid w:val="009E248D"/>
    <w:rsid w:val="009E27FE"/>
    <w:rsid w:val="009E6681"/>
    <w:rsid w:val="009E7B4D"/>
    <w:rsid w:val="009F0AA4"/>
    <w:rsid w:val="009F21E6"/>
    <w:rsid w:val="009F2B3C"/>
    <w:rsid w:val="009F7855"/>
    <w:rsid w:val="00A018AA"/>
    <w:rsid w:val="00A02881"/>
    <w:rsid w:val="00A02E64"/>
    <w:rsid w:val="00A03063"/>
    <w:rsid w:val="00A045E2"/>
    <w:rsid w:val="00A078FF"/>
    <w:rsid w:val="00A07DCA"/>
    <w:rsid w:val="00A102FB"/>
    <w:rsid w:val="00A11D45"/>
    <w:rsid w:val="00A127ED"/>
    <w:rsid w:val="00A14481"/>
    <w:rsid w:val="00A163FE"/>
    <w:rsid w:val="00A16489"/>
    <w:rsid w:val="00A16AE5"/>
    <w:rsid w:val="00A22844"/>
    <w:rsid w:val="00A23B32"/>
    <w:rsid w:val="00A259C9"/>
    <w:rsid w:val="00A25AF9"/>
    <w:rsid w:val="00A271C7"/>
    <w:rsid w:val="00A2730C"/>
    <w:rsid w:val="00A31174"/>
    <w:rsid w:val="00A311A3"/>
    <w:rsid w:val="00A350B0"/>
    <w:rsid w:val="00A37C63"/>
    <w:rsid w:val="00A413B2"/>
    <w:rsid w:val="00A45722"/>
    <w:rsid w:val="00A4717D"/>
    <w:rsid w:val="00A47FDA"/>
    <w:rsid w:val="00A51AE5"/>
    <w:rsid w:val="00A51BD5"/>
    <w:rsid w:val="00A51E52"/>
    <w:rsid w:val="00A52BB2"/>
    <w:rsid w:val="00A54E12"/>
    <w:rsid w:val="00A54E2A"/>
    <w:rsid w:val="00A55113"/>
    <w:rsid w:val="00A6009E"/>
    <w:rsid w:val="00A60744"/>
    <w:rsid w:val="00A62884"/>
    <w:rsid w:val="00A62B9D"/>
    <w:rsid w:val="00A65F57"/>
    <w:rsid w:val="00A6615E"/>
    <w:rsid w:val="00A67F7A"/>
    <w:rsid w:val="00A730B3"/>
    <w:rsid w:val="00A73BC3"/>
    <w:rsid w:val="00A742A9"/>
    <w:rsid w:val="00A74F09"/>
    <w:rsid w:val="00A75118"/>
    <w:rsid w:val="00A775A4"/>
    <w:rsid w:val="00A807A2"/>
    <w:rsid w:val="00A81302"/>
    <w:rsid w:val="00A82CFB"/>
    <w:rsid w:val="00A82F51"/>
    <w:rsid w:val="00A83AB9"/>
    <w:rsid w:val="00A83B1E"/>
    <w:rsid w:val="00A847FA"/>
    <w:rsid w:val="00A87078"/>
    <w:rsid w:val="00A87ABE"/>
    <w:rsid w:val="00A915A6"/>
    <w:rsid w:val="00A92155"/>
    <w:rsid w:val="00A96656"/>
    <w:rsid w:val="00AA0915"/>
    <w:rsid w:val="00AA21AA"/>
    <w:rsid w:val="00AA22DE"/>
    <w:rsid w:val="00AA26B7"/>
    <w:rsid w:val="00AA3786"/>
    <w:rsid w:val="00AA4B02"/>
    <w:rsid w:val="00AA72CA"/>
    <w:rsid w:val="00AA7C9F"/>
    <w:rsid w:val="00AB1123"/>
    <w:rsid w:val="00AB264E"/>
    <w:rsid w:val="00AB4526"/>
    <w:rsid w:val="00AB54A5"/>
    <w:rsid w:val="00AB5683"/>
    <w:rsid w:val="00AB57D0"/>
    <w:rsid w:val="00AB5869"/>
    <w:rsid w:val="00AB7BFF"/>
    <w:rsid w:val="00AB7CF8"/>
    <w:rsid w:val="00AC44B6"/>
    <w:rsid w:val="00AC7108"/>
    <w:rsid w:val="00AC7A3B"/>
    <w:rsid w:val="00AD1ED0"/>
    <w:rsid w:val="00AD226A"/>
    <w:rsid w:val="00AD285B"/>
    <w:rsid w:val="00AD3869"/>
    <w:rsid w:val="00AD473A"/>
    <w:rsid w:val="00AD5ACB"/>
    <w:rsid w:val="00AE0651"/>
    <w:rsid w:val="00AE06F0"/>
    <w:rsid w:val="00AE0DD6"/>
    <w:rsid w:val="00AE13E4"/>
    <w:rsid w:val="00AE54F6"/>
    <w:rsid w:val="00AE5DF1"/>
    <w:rsid w:val="00AE7F31"/>
    <w:rsid w:val="00AF0385"/>
    <w:rsid w:val="00AF09E5"/>
    <w:rsid w:val="00AF2D24"/>
    <w:rsid w:val="00AF424C"/>
    <w:rsid w:val="00AF57D0"/>
    <w:rsid w:val="00AF5F37"/>
    <w:rsid w:val="00AF6493"/>
    <w:rsid w:val="00AF7833"/>
    <w:rsid w:val="00B02892"/>
    <w:rsid w:val="00B03955"/>
    <w:rsid w:val="00B06A07"/>
    <w:rsid w:val="00B1000C"/>
    <w:rsid w:val="00B1059D"/>
    <w:rsid w:val="00B1096C"/>
    <w:rsid w:val="00B11919"/>
    <w:rsid w:val="00B1286E"/>
    <w:rsid w:val="00B12EB3"/>
    <w:rsid w:val="00B13C4A"/>
    <w:rsid w:val="00B1480C"/>
    <w:rsid w:val="00B16E64"/>
    <w:rsid w:val="00B2023C"/>
    <w:rsid w:val="00B218FA"/>
    <w:rsid w:val="00B22C79"/>
    <w:rsid w:val="00B23AC9"/>
    <w:rsid w:val="00B241FD"/>
    <w:rsid w:val="00B27C7B"/>
    <w:rsid w:val="00B30007"/>
    <w:rsid w:val="00B3016C"/>
    <w:rsid w:val="00B31AC4"/>
    <w:rsid w:val="00B32F54"/>
    <w:rsid w:val="00B34110"/>
    <w:rsid w:val="00B34DF4"/>
    <w:rsid w:val="00B37E7F"/>
    <w:rsid w:val="00B408ED"/>
    <w:rsid w:val="00B428AA"/>
    <w:rsid w:val="00B430D9"/>
    <w:rsid w:val="00B465FD"/>
    <w:rsid w:val="00B4681E"/>
    <w:rsid w:val="00B563B2"/>
    <w:rsid w:val="00B60E72"/>
    <w:rsid w:val="00B64BD4"/>
    <w:rsid w:val="00B6526A"/>
    <w:rsid w:val="00B666B2"/>
    <w:rsid w:val="00B67623"/>
    <w:rsid w:val="00B70707"/>
    <w:rsid w:val="00B7179B"/>
    <w:rsid w:val="00B73DDD"/>
    <w:rsid w:val="00B77307"/>
    <w:rsid w:val="00B80A05"/>
    <w:rsid w:val="00B81672"/>
    <w:rsid w:val="00B824EA"/>
    <w:rsid w:val="00B84C91"/>
    <w:rsid w:val="00B85537"/>
    <w:rsid w:val="00B865E0"/>
    <w:rsid w:val="00B8758E"/>
    <w:rsid w:val="00B90127"/>
    <w:rsid w:val="00B91B8A"/>
    <w:rsid w:val="00B95415"/>
    <w:rsid w:val="00B956A1"/>
    <w:rsid w:val="00B96385"/>
    <w:rsid w:val="00B97A36"/>
    <w:rsid w:val="00BA1EC2"/>
    <w:rsid w:val="00BB1101"/>
    <w:rsid w:val="00BB26FE"/>
    <w:rsid w:val="00BB2E2F"/>
    <w:rsid w:val="00BB5B31"/>
    <w:rsid w:val="00BB7545"/>
    <w:rsid w:val="00BC1F11"/>
    <w:rsid w:val="00BC31BF"/>
    <w:rsid w:val="00BC36F4"/>
    <w:rsid w:val="00BC50F7"/>
    <w:rsid w:val="00BC6BE9"/>
    <w:rsid w:val="00BC6F17"/>
    <w:rsid w:val="00BD0002"/>
    <w:rsid w:val="00BD1CE1"/>
    <w:rsid w:val="00BD2436"/>
    <w:rsid w:val="00BD2C61"/>
    <w:rsid w:val="00BD67FD"/>
    <w:rsid w:val="00BD690B"/>
    <w:rsid w:val="00BD7AEA"/>
    <w:rsid w:val="00BE0B3D"/>
    <w:rsid w:val="00BE1116"/>
    <w:rsid w:val="00BE3F28"/>
    <w:rsid w:val="00BE6980"/>
    <w:rsid w:val="00BE7C4D"/>
    <w:rsid w:val="00BF00C2"/>
    <w:rsid w:val="00BF229A"/>
    <w:rsid w:val="00BF3816"/>
    <w:rsid w:val="00BF4CCA"/>
    <w:rsid w:val="00BF6E02"/>
    <w:rsid w:val="00BF7C9F"/>
    <w:rsid w:val="00C03E09"/>
    <w:rsid w:val="00C043B7"/>
    <w:rsid w:val="00C05026"/>
    <w:rsid w:val="00C0563A"/>
    <w:rsid w:val="00C06592"/>
    <w:rsid w:val="00C0697E"/>
    <w:rsid w:val="00C105F1"/>
    <w:rsid w:val="00C10625"/>
    <w:rsid w:val="00C1149C"/>
    <w:rsid w:val="00C115ED"/>
    <w:rsid w:val="00C11B25"/>
    <w:rsid w:val="00C15E62"/>
    <w:rsid w:val="00C16585"/>
    <w:rsid w:val="00C178F2"/>
    <w:rsid w:val="00C20054"/>
    <w:rsid w:val="00C21184"/>
    <w:rsid w:val="00C21FB6"/>
    <w:rsid w:val="00C2332C"/>
    <w:rsid w:val="00C239BB"/>
    <w:rsid w:val="00C2434A"/>
    <w:rsid w:val="00C27371"/>
    <w:rsid w:val="00C27B1D"/>
    <w:rsid w:val="00C31B0F"/>
    <w:rsid w:val="00C32E20"/>
    <w:rsid w:val="00C34A63"/>
    <w:rsid w:val="00C357B0"/>
    <w:rsid w:val="00C36AD7"/>
    <w:rsid w:val="00C40C4E"/>
    <w:rsid w:val="00C42795"/>
    <w:rsid w:val="00C43ABD"/>
    <w:rsid w:val="00C47345"/>
    <w:rsid w:val="00C519C6"/>
    <w:rsid w:val="00C52438"/>
    <w:rsid w:val="00C54B56"/>
    <w:rsid w:val="00C604D9"/>
    <w:rsid w:val="00C607A9"/>
    <w:rsid w:val="00C61A11"/>
    <w:rsid w:val="00C624CB"/>
    <w:rsid w:val="00C641CC"/>
    <w:rsid w:val="00C65499"/>
    <w:rsid w:val="00C66814"/>
    <w:rsid w:val="00C711F4"/>
    <w:rsid w:val="00C728A7"/>
    <w:rsid w:val="00C72DA9"/>
    <w:rsid w:val="00C72F18"/>
    <w:rsid w:val="00C7379D"/>
    <w:rsid w:val="00C74C6D"/>
    <w:rsid w:val="00C76627"/>
    <w:rsid w:val="00C773B9"/>
    <w:rsid w:val="00C810B5"/>
    <w:rsid w:val="00C83787"/>
    <w:rsid w:val="00C8641D"/>
    <w:rsid w:val="00C86704"/>
    <w:rsid w:val="00C86B50"/>
    <w:rsid w:val="00C87ACE"/>
    <w:rsid w:val="00C90A26"/>
    <w:rsid w:val="00C92004"/>
    <w:rsid w:val="00C930BD"/>
    <w:rsid w:val="00C947C2"/>
    <w:rsid w:val="00C95025"/>
    <w:rsid w:val="00C95529"/>
    <w:rsid w:val="00C97234"/>
    <w:rsid w:val="00C97935"/>
    <w:rsid w:val="00CA13F6"/>
    <w:rsid w:val="00CA14F4"/>
    <w:rsid w:val="00CA1CDC"/>
    <w:rsid w:val="00CA45BE"/>
    <w:rsid w:val="00CA681F"/>
    <w:rsid w:val="00CA6915"/>
    <w:rsid w:val="00CA6C60"/>
    <w:rsid w:val="00CB0A00"/>
    <w:rsid w:val="00CB0B20"/>
    <w:rsid w:val="00CB1481"/>
    <w:rsid w:val="00CB2E5A"/>
    <w:rsid w:val="00CB4DD7"/>
    <w:rsid w:val="00CB538A"/>
    <w:rsid w:val="00CB67F0"/>
    <w:rsid w:val="00CB779C"/>
    <w:rsid w:val="00CC29C7"/>
    <w:rsid w:val="00CC4C4E"/>
    <w:rsid w:val="00CC525F"/>
    <w:rsid w:val="00CC68FE"/>
    <w:rsid w:val="00CC730E"/>
    <w:rsid w:val="00CC745B"/>
    <w:rsid w:val="00CC7757"/>
    <w:rsid w:val="00CD191D"/>
    <w:rsid w:val="00CD1B47"/>
    <w:rsid w:val="00CD234C"/>
    <w:rsid w:val="00CD5A57"/>
    <w:rsid w:val="00CD6F61"/>
    <w:rsid w:val="00CD739E"/>
    <w:rsid w:val="00CE07DF"/>
    <w:rsid w:val="00CE1498"/>
    <w:rsid w:val="00CE2D50"/>
    <w:rsid w:val="00CE31DD"/>
    <w:rsid w:val="00CE6FFF"/>
    <w:rsid w:val="00CE7B0F"/>
    <w:rsid w:val="00CF0360"/>
    <w:rsid w:val="00CF2791"/>
    <w:rsid w:val="00CF3ECA"/>
    <w:rsid w:val="00CF6620"/>
    <w:rsid w:val="00CF6995"/>
    <w:rsid w:val="00D01D49"/>
    <w:rsid w:val="00D056E4"/>
    <w:rsid w:val="00D06EA2"/>
    <w:rsid w:val="00D07D72"/>
    <w:rsid w:val="00D1132B"/>
    <w:rsid w:val="00D13E93"/>
    <w:rsid w:val="00D15E34"/>
    <w:rsid w:val="00D20A69"/>
    <w:rsid w:val="00D20B04"/>
    <w:rsid w:val="00D20EDA"/>
    <w:rsid w:val="00D2104D"/>
    <w:rsid w:val="00D21294"/>
    <w:rsid w:val="00D21EF7"/>
    <w:rsid w:val="00D22859"/>
    <w:rsid w:val="00D23C4A"/>
    <w:rsid w:val="00D24398"/>
    <w:rsid w:val="00D31FDC"/>
    <w:rsid w:val="00D32649"/>
    <w:rsid w:val="00D3560F"/>
    <w:rsid w:val="00D358E8"/>
    <w:rsid w:val="00D36792"/>
    <w:rsid w:val="00D377C2"/>
    <w:rsid w:val="00D37DE9"/>
    <w:rsid w:val="00D411B6"/>
    <w:rsid w:val="00D42CFA"/>
    <w:rsid w:val="00D445E3"/>
    <w:rsid w:val="00D4599A"/>
    <w:rsid w:val="00D46320"/>
    <w:rsid w:val="00D46F0A"/>
    <w:rsid w:val="00D50E1C"/>
    <w:rsid w:val="00D54966"/>
    <w:rsid w:val="00D54D75"/>
    <w:rsid w:val="00D562CA"/>
    <w:rsid w:val="00D56998"/>
    <w:rsid w:val="00D56E11"/>
    <w:rsid w:val="00D57261"/>
    <w:rsid w:val="00D61BBA"/>
    <w:rsid w:val="00D628F8"/>
    <w:rsid w:val="00D62EEC"/>
    <w:rsid w:val="00D723D3"/>
    <w:rsid w:val="00D723F5"/>
    <w:rsid w:val="00D725FE"/>
    <w:rsid w:val="00D72936"/>
    <w:rsid w:val="00D72FCE"/>
    <w:rsid w:val="00D76B99"/>
    <w:rsid w:val="00D76ED0"/>
    <w:rsid w:val="00D81DEA"/>
    <w:rsid w:val="00D83E6F"/>
    <w:rsid w:val="00D847A8"/>
    <w:rsid w:val="00D86085"/>
    <w:rsid w:val="00D864E4"/>
    <w:rsid w:val="00D870D7"/>
    <w:rsid w:val="00D9047B"/>
    <w:rsid w:val="00D90807"/>
    <w:rsid w:val="00D913C1"/>
    <w:rsid w:val="00D914E4"/>
    <w:rsid w:val="00D94027"/>
    <w:rsid w:val="00D95A41"/>
    <w:rsid w:val="00D96D1B"/>
    <w:rsid w:val="00DA0182"/>
    <w:rsid w:val="00DA202C"/>
    <w:rsid w:val="00DA3828"/>
    <w:rsid w:val="00DA43D2"/>
    <w:rsid w:val="00DA4A19"/>
    <w:rsid w:val="00DA59E2"/>
    <w:rsid w:val="00DA5A1C"/>
    <w:rsid w:val="00DA6C86"/>
    <w:rsid w:val="00DA7762"/>
    <w:rsid w:val="00DB18C6"/>
    <w:rsid w:val="00DB2102"/>
    <w:rsid w:val="00DB37E2"/>
    <w:rsid w:val="00DB40E4"/>
    <w:rsid w:val="00DC023D"/>
    <w:rsid w:val="00DC0370"/>
    <w:rsid w:val="00DC1273"/>
    <w:rsid w:val="00DC6DCB"/>
    <w:rsid w:val="00DC7772"/>
    <w:rsid w:val="00DC7DA1"/>
    <w:rsid w:val="00DD0C6E"/>
    <w:rsid w:val="00DD16BE"/>
    <w:rsid w:val="00DD1F7D"/>
    <w:rsid w:val="00DD3897"/>
    <w:rsid w:val="00DD47C8"/>
    <w:rsid w:val="00DD49B6"/>
    <w:rsid w:val="00DD4CEA"/>
    <w:rsid w:val="00DD5046"/>
    <w:rsid w:val="00DD7205"/>
    <w:rsid w:val="00DE002F"/>
    <w:rsid w:val="00DE1831"/>
    <w:rsid w:val="00DE3EE8"/>
    <w:rsid w:val="00DE4554"/>
    <w:rsid w:val="00DE5547"/>
    <w:rsid w:val="00DE5AAD"/>
    <w:rsid w:val="00DE5F35"/>
    <w:rsid w:val="00DE6036"/>
    <w:rsid w:val="00DE6610"/>
    <w:rsid w:val="00DF1864"/>
    <w:rsid w:val="00DF1E39"/>
    <w:rsid w:val="00DF2D63"/>
    <w:rsid w:val="00DF300E"/>
    <w:rsid w:val="00DF41AA"/>
    <w:rsid w:val="00DF51A8"/>
    <w:rsid w:val="00DF5521"/>
    <w:rsid w:val="00DF6772"/>
    <w:rsid w:val="00DF693F"/>
    <w:rsid w:val="00DF7C48"/>
    <w:rsid w:val="00E00BB3"/>
    <w:rsid w:val="00E0349C"/>
    <w:rsid w:val="00E03CB2"/>
    <w:rsid w:val="00E048B4"/>
    <w:rsid w:val="00E0686D"/>
    <w:rsid w:val="00E10681"/>
    <w:rsid w:val="00E118BF"/>
    <w:rsid w:val="00E137C0"/>
    <w:rsid w:val="00E141B2"/>
    <w:rsid w:val="00E14A76"/>
    <w:rsid w:val="00E163C4"/>
    <w:rsid w:val="00E17144"/>
    <w:rsid w:val="00E208B9"/>
    <w:rsid w:val="00E25165"/>
    <w:rsid w:val="00E25CAD"/>
    <w:rsid w:val="00E2603E"/>
    <w:rsid w:val="00E27473"/>
    <w:rsid w:val="00E27C1C"/>
    <w:rsid w:val="00E314EC"/>
    <w:rsid w:val="00E3189E"/>
    <w:rsid w:val="00E34075"/>
    <w:rsid w:val="00E400FC"/>
    <w:rsid w:val="00E404DB"/>
    <w:rsid w:val="00E42943"/>
    <w:rsid w:val="00E43215"/>
    <w:rsid w:val="00E44D2B"/>
    <w:rsid w:val="00E507B7"/>
    <w:rsid w:val="00E52099"/>
    <w:rsid w:val="00E52FB5"/>
    <w:rsid w:val="00E544F6"/>
    <w:rsid w:val="00E54F3F"/>
    <w:rsid w:val="00E57FCE"/>
    <w:rsid w:val="00E60E6E"/>
    <w:rsid w:val="00E66600"/>
    <w:rsid w:val="00E67BA6"/>
    <w:rsid w:val="00E70959"/>
    <w:rsid w:val="00E71B57"/>
    <w:rsid w:val="00E72CE0"/>
    <w:rsid w:val="00E74E50"/>
    <w:rsid w:val="00E80A81"/>
    <w:rsid w:val="00E8264E"/>
    <w:rsid w:val="00E82B8F"/>
    <w:rsid w:val="00E82DCB"/>
    <w:rsid w:val="00E84C76"/>
    <w:rsid w:val="00E86166"/>
    <w:rsid w:val="00E862B5"/>
    <w:rsid w:val="00E8633C"/>
    <w:rsid w:val="00E8652F"/>
    <w:rsid w:val="00E877B0"/>
    <w:rsid w:val="00E87D0B"/>
    <w:rsid w:val="00E9194A"/>
    <w:rsid w:val="00E927CB"/>
    <w:rsid w:val="00E92DC6"/>
    <w:rsid w:val="00E92E92"/>
    <w:rsid w:val="00E96220"/>
    <w:rsid w:val="00E9643A"/>
    <w:rsid w:val="00EA09C1"/>
    <w:rsid w:val="00EA2A28"/>
    <w:rsid w:val="00EA2C51"/>
    <w:rsid w:val="00EA2F5F"/>
    <w:rsid w:val="00EA365B"/>
    <w:rsid w:val="00EA5AF1"/>
    <w:rsid w:val="00EA6DDF"/>
    <w:rsid w:val="00EA7BC4"/>
    <w:rsid w:val="00EB1C58"/>
    <w:rsid w:val="00EB2A46"/>
    <w:rsid w:val="00EB2EC5"/>
    <w:rsid w:val="00EB5637"/>
    <w:rsid w:val="00EB7B7D"/>
    <w:rsid w:val="00EC015F"/>
    <w:rsid w:val="00EC100E"/>
    <w:rsid w:val="00EC53CF"/>
    <w:rsid w:val="00EC5E31"/>
    <w:rsid w:val="00EC7BBC"/>
    <w:rsid w:val="00ED04BB"/>
    <w:rsid w:val="00ED0CC5"/>
    <w:rsid w:val="00ED4614"/>
    <w:rsid w:val="00ED7D50"/>
    <w:rsid w:val="00EE1D30"/>
    <w:rsid w:val="00EE24A7"/>
    <w:rsid w:val="00EE2F22"/>
    <w:rsid w:val="00EE5232"/>
    <w:rsid w:val="00EE6D99"/>
    <w:rsid w:val="00EF2FBD"/>
    <w:rsid w:val="00EF324E"/>
    <w:rsid w:val="00EF4784"/>
    <w:rsid w:val="00EF7BBB"/>
    <w:rsid w:val="00F0074D"/>
    <w:rsid w:val="00F01460"/>
    <w:rsid w:val="00F0244D"/>
    <w:rsid w:val="00F0451B"/>
    <w:rsid w:val="00F0661D"/>
    <w:rsid w:val="00F071C9"/>
    <w:rsid w:val="00F11113"/>
    <w:rsid w:val="00F1174D"/>
    <w:rsid w:val="00F12A40"/>
    <w:rsid w:val="00F13BF8"/>
    <w:rsid w:val="00F143AE"/>
    <w:rsid w:val="00F14968"/>
    <w:rsid w:val="00F16CA9"/>
    <w:rsid w:val="00F16D0A"/>
    <w:rsid w:val="00F17392"/>
    <w:rsid w:val="00F17467"/>
    <w:rsid w:val="00F200A1"/>
    <w:rsid w:val="00F227F7"/>
    <w:rsid w:val="00F22A0E"/>
    <w:rsid w:val="00F22AA8"/>
    <w:rsid w:val="00F2490D"/>
    <w:rsid w:val="00F30115"/>
    <w:rsid w:val="00F325F3"/>
    <w:rsid w:val="00F326BB"/>
    <w:rsid w:val="00F33780"/>
    <w:rsid w:val="00F3661E"/>
    <w:rsid w:val="00F40239"/>
    <w:rsid w:val="00F41801"/>
    <w:rsid w:val="00F437F3"/>
    <w:rsid w:val="00F43CFB"/>
    <w:rsid w:val="00F442CE"/>
    <w:rsid w:val="00F46D80"/>
    <w:rsid w:val="00F5322B"/>
    <w:rsid w:val="00F5595A"/>
    <w:rsid w:val="00F55994"/>
    <w:rsid w:val="00F55A6F"/>
    <w:rsid w:val="00F55B0A"/>
    <w:rsid w:val="00F561D7"/>
    <w:rsid w:val="00F56EA8"/>
    <w:rsid w:val="00F57E68"/>
    <w:rsid w:val="00F611EC"/>
    <w:rsid w:val="00F61F43"/>
    <w:rsid w:val="00F62467"/>
    <w:rsid w:val="00F62A6A"/>
    <w:rsid w:val="00F62F8F"/>
    <w:rsid w:val="00F6312F"/>
    <w:rsid w:val="00F637F1"/>
    <w:rsid w:val="00F667E7"/>
    <w:rsid w:val="00F6699D"/>
    <w:rsid w:val="00F70A14"/>
    <w:rsid w:val="00F72FAE"/>
    <w:rsid w:val="00F73424"/>
    <w:rsid w:val="00F73B50"/>
    <w:rsid w:val="00F74FB0"/>
    <w:rsid w:val="00F757F5"/>
    <w:rsid w:val="00F76B7F"/>
    <w:rsid w:val="00F7764D"/>
    <w:rsid w:val="00F779B3"/>
    <w:rsid w:val="00F81190"/>
    <w:rsid w:val="00F81E8D"/>
    <w:rsid w:val="00F8287F"/>
    <w:rsid w:val="00F84618"/>
    <w:rsid w:val="00F8484B"/>
    <w:rsid w:val="00F86C20"/>
    <w:rsid w:val="00F9141E"/>
    <w:rsid w:val="00F921B5"/>
    <w:rsid w:val="00F9283B"/>
    <w:rsid w:val="00F92F50"/>
    <w:rsid w:val="00F943FB"/>
    <w:rsid w:val="00F9652C"/>
    <w:rsid w:val="00FA2F18"/>
    <w:rsid w:val="00FA4E41"/>
    <w:rsid w:val="00FA679D"/>
    <w:rsid w:val="00FB066B"/>
    <w:rsid w:val="00FB3F85"/>
    <w:rsid w:val="00FB5BDE"/>
    <w:rsid w:val="00FC02B0"/>
    <w:rsid w:val="00FC0FAB"/>
    <w:rsid w:val="00FC183C"/>
    <w:rsid w:val="00FC2B90"/>
    <w:rsid w:val="00FC44C4"/>
    <w:rsid w:val="00FC49CA"/>
    <w:rsid w:val="00FC4E25"/>
    <w:rsid w:val="00FC5432"/>
    <w:rsid w:val="00FC66B3"/>
    <w:rsid w:val="00FC6921"/>
    <w:rsid w:val="00FC6CAC"/>
    <w:rsid w:val="00FC7D83"/>
    <w:rsid w:val="00FD1883"/>
    <w:rsid w:val="00FD2281"/>
    <w:rsid w:val="00FD2518"/>
    <w:rsid w:val="00FD2B16"/>
    <w:rsid w:val="00FD37A7"/>
    <w:rsid w:val="00FD5A18"/>
    <w:rsid w:val="00FD6A93"/>
    <w:rsid w:val="00FE23B1"/>
    <w:rsid w:val="00FE2432"/>
    <w:rsid w:val="00FE26B3"/>
    <w:rsid w:val="00FE3E56"/>
    <w:rsid w:val="00FE41E7"/>
    <w:rsid w:val="00FE478C"/>
    <w:rsid w:val="00FF0C89"/>
    <w:rsid w:val="00FF260D"/>
    <w:rsid w:val="00FF2742"/>
    <w:rsid w:val="00FF395B"/>
    <w:rsid w:val="00FF5349"/>
    <w:rsid w:val="00FF5875"/>
    <w:rsid w:val="00FF75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D93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994"/>
  </w:style>
  <w:style w:type="paragraph" w:styleId="Heading2">
    <w:name w:val="heading 2"/>
    <w:basedOn w:val="Normal"/>
    <w:next w:val="Normal"/>
    <w:link w:val="Heading2Char"/>
    <w:uiPriority w:val="9"/>
    <w:unhideWhenUsed/>
    <w:qFormat/>
    <w:rsid w:val="00922F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97B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unhideWhenUsed/>
    <w:qFormat/>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basedOn w:val="DefaultParagraphFont"/>
    <w:uiPriority w:val="99"/>
    <w:semiHidden/>
    <w:unhideWhenUsed/>
    <w:qFormat/>
    <w:rsid w:val="00824B32"/>
    <w:rPr>
      <w:vertAlign w:val="superscript"/>
    </w:rPr>
  </w:style>
  <w:style w:type="table" w:styleId="TableGrid">
    <w:name w:val="Table Grid"/>
    <w:basedOn w:val="TableNormal"/>
    <w:uiPriority w:val="59"/>
    <w:rsid w:val="00F5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22F36"/>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49226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16585"/>
    <w:pPr>
      <w:spacing w:after="0" w:line="240" w:lineRule="auto"/>
    </w:pPr>
    <w:rPr>
      <w:rFonts w:ascii="Calibri" w:eastAsia="Calibri" w:hAnsi="Calibri" w:cs="Times New Roman"/>
      <w:lang w:eastAsia="en-US"/>
    </w:rPr>
  </w:style>
  <w:style w:type="character" w:customStyle="1" w:styleId="Heading4Char">
    <w:name w:val="Heading 4 Char"/>
    <w:basedOn w:val="DefaultParagraphFont"/>
    <w:link w:val="Heading4"/>
    <w:uiPriority w:val="9"/>
    <w:semiHidden/>
    <w:rsid w:val="00997BA4"/>
    <w:rPr>
      <w:rFonts w:asciiTheme="majorHAnsi" w:eastAsiaTheme="majorEastAsia" w:hAnsiTheme="majorHAnsi" w:cstheme="majorBidi"/>
      <w:b/>
      <w:bCs/>
      <w:i/>
      <w:iCs/>
      <w:color w:val="4F81BD" w:themeColor="accent1"/>
    </w:rPr>
  </w:style>
  <w:style w:type="paragraph" w:customStyle="1" w:styleId="Parastais1">
    <w:name w:val="Parastais1"/>
    <w:qFormat/>
    <w:rsid w:val="00C2434A"/>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65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994"/>
  </w:style>
  <w:style w:type="paragraph" w:styleId="Heading2">
    <w:name w:val="heading 2"/>
    <w:basedOn w:val="Normal"/>
    <w:next w:val="Normal"/>
    <w:link w:val="Heading2Char"/>
    <w:uiPriority w:val="9"/>
    <w:unhideWhenUsed/>
    <w:qFormat/>
    <w:rsid w:val="00922F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97B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unhideWhenUsed/>
    <w:qFormat/>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basedOn w:val="DefaultParagraphFont"/>
    <w:uiPriority w:val="99"/>
    <w:semiHidden/>
    <w:unhideWhenUsed/>
    <w:qFormat/>
    <w:rsid w:val="00824B32"/>
    <w:rPr>
      <w:vertAlign w:val="superscript"/>
    </w:rPr>
  </w:style>
  <w:style w:type="table" w:styleId="TableGrid">
    <w:name w:val="Table Grid"/>
    <w:basedOn w:val="TableNormal"/>
    <w:uiPriority w:val="59"/>
    <w:rsid w:val="00F5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22F36"/>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49226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16585"/>
    <w:pPr>
      <w:spacing w:after="0" w:line="240" w:lineRule="auto"/>
    </w:pPr>
    <w:rPr>
      <w:rFonts w:ascii="Calibri" w:eastAsia="Calibri" w:hAnsi="Calibri" w:cs="Times New Roman"/>
      <w:lang w:eastAsia="en-US"/>
    </w:rPr>
  </w:style>
  <w:style w:type="character" w:customStyle="1" w:styleId="Heading4Char">
    <w:name w:val="Heading 4 Char"/>
    <w:basedOn w:val="DefaultParagraphFont"/>
    <w:link w:val="Heading4"/>
    <w:uiPriority w:val="9"/>
    <w:semiHidden/>
    <w:rsid w:val="00997BA4"/>
    <w:rPr>
      <w:rFonts w:asciiTheme="majorHAnsi" w:eastAsiaTheme="majorEastAsia" w:hAnsiTheme="majorHAnsi" w:cstheme="majorBidi"/>
      <w:b/>
      <w:bCs/>
      <w:i/>
      <w:iCs/>
      <w:color w:val="4F81BD" w:themeColor="accent1"/>
    </w:rPr>
  </w:style>
  <w:style w:type="paragraph" w:customStyle="1" w:styleId="Parastais1">
    <w:name w:val="Parastais1"/>
    <w:qFormat/>
    <w:rsid w:val="00C2434A"/>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65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3031">
      <w:bodyDiv w:val="1"/>
      <w:marLeft w:val="0"/>
      <w:marRight w:val="0"/>
      <w:marTop w:val="0"/>
      <w:marBottom w:val="0"/>
      <w:divBdr>
        <w:top w:val="none" w:sz="0" w:space="0" w:color="auto"/>
        <w:left w:val="none" w:sz="0" w:space="0" w:color="auto"/>
        <w:bottom w:val="none" w:sz="0" w:space="0" w:color="auto"/>
        <w:right w:val="none" w:sz="0" w:space="0" w:color="auto"/>
      </w:divBdr>
    </w:div>
    <w:div w:id="224921152">
      <w:bodyDiv w:val="1"/>
      <w:marLeft w:val="0"/>
      <w:marRight w:val="0"/>
      <w:marTop w:val="0"/>
      <w:marBottom w:val="0"/>
      <w:divBdr>
        <w:top w:val="none" w:sz="0" w:space="0" w:color="auto"/>
        <w:left w:val="none" w:sz="0" w:space="0" w:color="auto"/>
        <w:bottom w:val="none" w:sz="0" w:space="0" w:color="auto"/>
        <w:right w:val="none" w:sz="0" w:space="0" w:color="auto"/>
      </w:divBdr>
    </w:div>
    <w:div w:id="447160695">
      <w:bodyDiv w:val="1"/>
      <w:marLeft w:val="0"/>
      <w:marRight w:val="0"/>
      <w:marTop w:val="0"/>
      <w:marBottom w:val="0"/>
      <w:divBdr>
        <w:top w:val="none" w:sz="0" w:space="0" w:color="auto"/>
        <w:left w:val="none" w:sz="0" w:space="0" w:color="auto"/>
        <w:bottom w:val="none" w:sz="0" w:space="0" w:color="auto"/>
        <w:right w:val="none" w:sz="0" w:space="0" w:color="auto"/>
      </w:divBdr>
    </w:div>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0064145">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7302023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11515870">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297374889">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682775759">
      <w:bodyDiv w:val="1"/>
      <w:marLeft w:val="0"/>
      <w:marRight w:val="0"/>
      <w:marTop w:val="0"/>
      <w:marBottom w:val="0"/>
      <w:divBdr>
        <w:top w:val="none" w:sz="0" w:space="0" w:color="auto"/>
        <w:left w:val="none" w:sz="0" w:space="0" w:color="auto"/>
        <w:bottom w:val="none" w:sz="0" w:space="0" w:color="auto"/>
        <w:right w:val="none" w:sz="0" w:space="0" w:color="auto"/>
      </w:divBdr>
    </w:div>
    <w:div w:id="1837376712">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luta.ceicane@knab.gov.l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ikumi.lv/ta/id/4423-koncernu-likum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4423-koncernu-likum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pkc.gov.lv/images/vald%C4%ABbas_deklar%C4%81cijas/2016/VRP/1_2_10_11_280416_MKrik_VRP_pr.pdf"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likumi.lv/doc.php?id=61913"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ecd.org/daf/anti-bribery/Latvia-Phase-2-Report-ENG.pdf" TargetMode="External"/><Relationship Id="rId2" Type="http://schemas.openxmlformats.org/officeDocument/2006/relationships/hyperlink" Target="http://www.oecd.org/daf/anti-bribery/Latvia-Phase-2-Report-ENG.pdf" TargetMode="External"/><Relationship Id="rId1" Type="http://schemas.openxmlformats.org/officeDocument/2006/relationships/hyperlink" Target="http://www.oecd.org/daf/anti-bribery/ConvCombatBribery_ENG.pdf" TargetMode="External"/><Relationship Id="rId4" Type="http://schemas.openxmlformats.org/officeDocument/2006/relationships/hyperlink" Target="http://www.oecd.org/daf/anti-bribery/Latvia-Phase-2-Report-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1A1E2D5-97B1-4C8D-86F2-95652A029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16</Pages>
  <Words>22686</Words>
  <Characters>12932</Characters>
  <Application>Microsoft Office Word</Application>
  <DocSecurity>0</DocSecurity>
  <Lines>107</Lines>
  <Paragraphs>71</Paragraphs>
  <ScaleCrop>false</ScaleCrop>
  <HeadingPairs>
    <vt:vector size="2" baseType="variant">
      <vt:variant>
        <vt:lpstr>Title</vt:lpstr>
      </vt:variant>
      <vt:variant>
        <vt:i4>1</vt:i4>
      </vt:variant>
    </vt:vector>
  </HeadingPairs>
  <TitlesOfParts>
    <vt:vector size="1" baseType="lpstr">
      <vt:lpstr>Ministru kabineta noteikumu projekts “ Kārtība, kādā veicami pašvaldību savstarpējie norēķini par izglītības iestāžu sniegtajiem pakalpojumiem".</vt:lpstr>
    </vt:vector>
  </TitlesOfParts>
  <Company>FM</Company>
  <LinksUpToDate>false</LinksUpToDate>
  <CharactersWithSpaces>35547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 Kārtība, kādā veicami pašvaldību savstarpējie norēķini par izglītības iestāžu sniegtajiem pakalpojumiem".</dc:title>
  <dc:subject>Anotācija</dc:subject>
  <dc:creator>E.Sakniņa-Šakale</dc:creator>
  <dc:description>Tālr.67095684
e-pasts: elina.saknina-sakale@fm.gov.lv</dc:description>
  <cp:lastModifiedBy>Iluta Ceicāne</cp:lastModifiedBy>
  <cp:revision>23</cp:revision>
  <cp:lastPrinted>2017-09-21T06:54:00Z</cp:lastPrinted>
  <dcterms:created xsi:type="dcterms:W3CDTF">2017-06-28T08:25:00Z</dcterms:created>
  <dcterms:modified xsi:type="dcterms:W3CDTF">2017-10-02T09:47:00Z</dcterms:modified>
</cp:coreProperties>
</file>