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BDA" w:rsidRPr="00353FA8" w:rsidRDefault="005C1BDA" w:rsidP="005C1BDA">
      <w:pPr>
        <w:jc w:val="center"/>
      </w:pPr>
      <w:r w:rsidRPr="00353FA8">
        <w:rPr>
          <w:b/>
        </w:rPr>
        <w:t>Ministru kabineta noteikumu projekta "Grozījum</w:t>
      </w:r>
      <w:r w:rsidR="008270E9" w:rsidRPr="00353FA8">
        <w:rPr>
          <w:b/>
        </w:rPr>
        <w:t>s</w:t>
      </w:r>
      <w:r w:rsidRPr="00353FA8">
        <w:rPr>
          <w:b/>
        </w:rPr>
        <w:t xml:space="preserve"> Ministru kabineta 2016.gada 30.augusta noteikumos Nr.587 "Darbības programmas "Izaugsme un nodarbinātība" 6.1.4. specifiskā atbalsta mērķa "Pilsētu infrastruktūras sasaiste ar TEN-T tīklu" 6.1.4.2.pasākuma "Nacionālas nozīmes attīstības centru integrēšana TEN-T tīklā"</w:t>
      </w:r>
      <w:r w:rsidRPr="00353FA8" w:rsidDel="001C1A57">
        <w:rPr>
          <w:b/>
        </w:rPr>
        <w:t xml:space="preserve"> </w:t>
      </w:r>
      <w:r w:rsidRPr="00353FA8">
        <w:rPr>
          <w:b/>
        </w:rPr>
        <w:t xml:space="preserve"> īstenošanas noteikumi</w:t>
      </w:r>
      <w:r w:rsidR="00E97FB0" w:rsidRPr="00353FA8">
        <w:rPr>
          <w:b/>
        </w:rPr>
        <w:t>"</w:t>
      </w:r>
      <w:r w:rsidRPr="00353FA8">
        <w:rPr>
          <w:b/>
        </w:rPr>
        <w:t>" sākotnējās ietekmes novērtējuma ziņojums (anotācija)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6095"/>
      </w:tblGrid>
      <w:tr w:rsidR="005C1BDA" w:rsidRPr="00353FA8" w:rsidTr="00306837">
        <w:tc>
          <w:tcPr>
            <w:tcW w:w="9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pStyle w:val="ListParagraph"/>
              <w:tabs>
                <w:tab w:val="left" w:pos="2268"/>
                <w:tab w:val="left" w:pos="2410"/>
              </w:tabs>
              <w:ind w:left="1080"/>
              <w:jc w:val="center"/>
              <w:rPr>
                <w:b/>
                <w:sz w:val="24"/>
                <w:szCs w:val="24"/>
                <w:lang w:eastAsia="en-US"/>
              </w:rPr>
            </w:pPr>
            <w:r w:rsidRPr="00353FA8">
              <w:rPr>
                <w:b/>
                <w:bCs/>
                <w:sz w:val="24"/>
                <w:szCs w:val="24"/>
              </w:rPr>
              <w:t>I. Tiesību akta projekta izstrādes nepieciešamība</w:t>
            </w:r>
          </w:p>
        </w:tc>
      </w:tr>
      <w:tr w:rsidR="005C1BDA" w:rsidRPr="00353FA8"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jc w:val="center"/>
              <w:rPr>
                <w:lang w:eastAsia="en-US"/>
              </w:rPr>
            </w:pPr>
            <w:r w:rsidRPr="00353FA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tabs>
                <w:tab w:val="left" w:pos="1904"/>
              </w:tabs>
              <w:rPr>
                <w:lang w:eastAsia="en-US"/>
              </w:rPr>
            </w:pPr>
            <w:r w:rsidRPr="00353FA8">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DA" w:rsidRPr="00353FA8" w:rsidRDefault="001B6471" w:rsidP="00D64DD2">
            <w:pPr>
              <w:pStyle w:val="ListParagraph"/>
              <w:tabs>
                <w:tab w:val="left" w:pos="34"/>
              </w:tabs>
              <w:spacing w:before="60" w:after="60"/>
              <w:ind w:left="0"/>
              <w:jc w:val="both"/>
              <w:rPr>
                <w:sz w:val="24"/>
                <w:szCs w:val="24"/>
              </w:rPr>
            </w:pPr>
            <w:r w:rsidRPr="00353FA8">
              <w:rPr>
                <w:sz w:val="24"/>
                <w:szCs w:val="24"/>
              </w:rPr>
              <w:t>Noteikumu projekts</w:t>
            </w:r>
            <w:r w:rsidR="005C1BDA" w:rsidRPr="00353FA8">
              <w:rPr>
                <w:sz w:val="24"/>
                <w:szCs w:val="24"/>
              </w:rPr>
              <w:t xml:space="preserve"> izstrādāts atbilstoši Eiropas Savienības struktūrfondu un Kohēzijas fonda 2014.-2020.gada plānošanas perioda vadības likuma 20.panta 6. un 13.punktam.</w:t>
            </w:r>
          </w:p>
        </w:tc>
      </w:tr>
      <w:tr w:rsidR="005C1BDA" w:rsidRPr="00353FA8"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jc w:val="center"/>
              <w:rPr>
                <w:lang w:eastAsia="en-US"/>
              </w:rPr>
            </w:pPr>
            <w:r w:rsidRPr="00353FA8">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jc w:val="both"/>
              <w:rPr>
                <w:lang w:eastAsia="en-US"/>
              </w:rPr>
            </w:pPr>
            <w:r w:rsidRPr="00353FA8">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353FA8" w:rsidRDefault="005C1BDA" w:rsidP="00A44E90">
            <w:pPr>
              <w:autoSpaceDE w:val="0"/>
              <w:autoSpaceDN w:val="0"/>
              <w:jc w:val="both"/>
            </w:pPr>
            <w:r w:rsidRPr="00353FA8">
              <w:t>Ministru kabineta 2016.gada 30.augusta noteikumi Nr.587 "Darbības programmas "Izaugsme un nodarbinātība" 6.1.4. specifiskā atbalsta mērķa "Pilsētu infrastruktūras sasaiste ar TEN-T tīklu" 6.1.4.2. pasākuma "Nacionālas nozīmes attīstības centru integrēšana TEN-T tīklā" īstenošanas noteikumi” (turpmāk - Noteikumi) paredz, ka projekta izmaksas ir attiecināmas finansēšanai no Kohēzijas fonda līdzfinansējuma no dienas, kad noslēgta vienošanās par projekta īstenošanu.</w:t>
            </w:r>
          </w:p>
          <w:p w:rsidR="005C1BDA" w:rsidRPr="00353FA8" w:rsidRDefault="005C1BDA" w:rsidP="00A44E90">
            <w:pPr>
              <w:autoSpaceDE w:val="0"/>
              <w:autoSpaceDN w:val="0"/>
              <w:jc w:val="both"/>
              <w:rPr>
                <w:bCs/>
              </w:rPr>
            </w:pPr>
          </w:p>
          <w:p w:rsidR="005C1BDA" w:rsidRPr="00353FA8" w:rsidRDefault="005C1BDA" w:rsidP="005C1BDA">
            <w:pPr>
              <w:autoSpaceDE w:val="0"/>
              <w:autoSpaceDN w:val="0"/>
              <w:jc w:val="both"/>
              <w:rPr>
                <w:bCs/>
              </w:rPr>
            </w:pPr>
            <w:r w:rsidRPr="00353FA8">
              <w:rPr>
                <w:bCs/>
              </w:rPr>
              <w:t>Noteikumos minētā 6.1.4.2. pasākuma ie</w:t>
            </w:r>
            <w:bookmarkStart w:id="0" w:name="_GoBack"/>
            <w:bookmarkEnd w:id="0"/>
            <w:r w:rsidRPr="00353FA8">
              <w:rPr>
                <w:bCs/>
              </w:rPr>
              <w:t>tvaros projektu atlase ir izsludināta 2016.gada 14.novembrī ar projektu iesniegumu iesniegšanas termiņu līdz 2017.gada 29.septembrim. Uz doto brīdi 6.1.4.2. pasākuma ietvaros, no astoņiem plānotajiem projektiem, apstiprināšanai ir iesniegti pieci projekti. Par trīs projektu realizēšanu ir  noslēgt</w:t>
            </w:r>
            <w:r w:rsidR="00D64DD2" w:rsidRPr="00353FA8">
              <w:rPr>
                <w:bCs/>
              </w:rPr>
              <w:t>as</w:t>
            </w:r>
            <w:r w:rsidRPr="00353FA8">
              <w:rPr>
                <w:bCs/>
              </w:rPr>
              <w:t xml:space="preserve"> </w:t>
            </w:r>
            <w:r w:rsidR="00007B68" w:rsidRPr="00353FA8">
              <w:rPr>
                <w:bCs/>
              </w:rPr>
              <w:t>vienošanās</w:t>
            </w:r>
            <w:r w:rsidRPr="00353FA8">
              <w:rPr>
                <w:bCs/>
              </w:rPr>
              <w:t xml:space="preserve">. Viens projekts ir apstiprināts ar nosacījumu un viens projekts atrodas vērtēšana </w:t>
            </w:r>
            <w:r w:rsidR="00007B68" w:rsidRPr="00353FA8">
              <w:rPr>
                <w:bCs/>
              </w:rPr>
              <w:t>Centrālajā finanšu un līgumu aģentūrā</w:t>
            </w:r>
            <w:r w:rsidRPr="00353FA8">
              <w:rPr>
                <w:bCs/>
              </w:rPr>
              <w:t>. Līdz atlases termiņa beigām tiks iesniegti pārējie trīs projekti. Ņemot vērā indikatīvo projektu vērtēšanai un vienošanās noslēgšanai nepieciešamo termiņu, sagaidāms ka projektu iesniedzēji, kuri vēl nav iesnieguši projektu iesniegumus sadarbības iestādē, vienošanās par projektu īstenošanu varētu noslēgt līdz šā gada beigām.</w:t>
            </w:r>
          </w:p>
          <w:p w:rsidR="005C1BDA" w:rsidRPr="00353FA8" w:rsidRDefault="00F349B1" w:rsidP="005C1BDA">
            <w:pPr>
              <w:autoSpaceDE w:val="0"/>
              <w:autoSpaceDN w:val="0"/>
              <w:jc w:val="both"/>
              <w:rPr>
                <w:bCs/>
              </w:rPr>
            </w:pPr>
            <w:r w:rsidRPr="00353FA8">
              <w:rPr>
                <w:bCs/>
              </w:rPr>
              <w:t>Atsevišķiem</w:t>
            </w:r>
            <w:r w:rsidR="005C1BDA" w:rsidRPr="00353FA8">
              <w:rPr>
                <w:bCs/>
              </w:rPr>
              <w:t xml:space="preserve"> projektu iesniedzēji</w:t>
            </w:r>
            <w:r w:rsidRPr="00353FA8">
              <w:rPr>
                <w:bCs/>
              </w:rPr>
              <w:t>em</w:t>
            </w:r>
            <w:r w:rsidR="005C1BDA" w:rsidRPr="00353FA8">
              <w:rPr>
                <w:bCs/>
              </w:rPr>
              <w:t xml:space="preserve">, </w:t>
            </w:r>
            <w:r w:rsidRPr="00353FA8">
              <w:rPr>
                <w:bCs/>
              </w:rPr>
              <w:t>pēc iepirkumu procedūras noslēgšanās</w:t>
            </w:r>
            <w:r w:rsidR="005C1BDA" w:rsidRPr="00353FA8">
              <w:rPr>
                <w:bCs/>
              </w:rPr>
              <w:t>, vienlaikus ar projekta iesniegumu ies</w:t>
            </w:r>
            <w:r w:rsidR="00C47301" w:rsidRPr="00353FA8">
              <w:rPr>
                <w:bCs/>
              </w:rPr>
              <w:t>niegšanu sadarbība</w:t>
            </w:r>
            <w:r w:rsidRPr="00353FA8">
              <w:rPr>
                <w:bCs/>
              </w:rPr>
              <w:t>s iestādē, būtu iespējams</w:t>
            </w:r>
            <w:r w:rsidR="005C1BDA" w:rsidRPr="00353FA8">
              <w:rPr>
                <w:bCs/>
              </w:rPr>
              <w:t xml:space="preserve"> noslēgt būvdarbu līgumus, uzsākt darbus vēl šajā būvniecības sezonā un veikt izmaksas, tādējādi paātrinot</w:t>
            </w:r>
            <w:r w:rsidRPr="00353FA8">
              <w:rPr>
                <w:bCs/>
              </w:rPr>
              <w:t xml:space="preserve"> ES fondu investīciju ieviešanu. Minētās darbības, nav iespējams veikt,</w:t>
            </w:r>
            <w:r w:rsidR="005C1BDA" w:rsidRPr="00353FA8">
              <w:rPr>
                <w:bCs/>
              </w:rPr>
              <w:t xml:space="preserve"> </w:t>
            </w:r>
            <w:r w:rsidRPr="00353FA8">
              <w:rPr>
                <w:bCs/>
              </w:rPr>
              <w:t>pamatojoties uz  Noteikumos</w:t>
            </w:r>
            <w:r w:rsidR="005C1BDA" w:rsidRPr="00353FA8">
              <w:rPr>
                <w:bCs/>
              </w:rPr>
              <w:t xml:space="preserve"> </w:t>
            </w:r>
            <w:r w:rsidR="003E6F5D">
              <w:rPr>
                <w:bCs/>
              </w:rPr>
              <w:t>n</w:t>
            </w:r>
            <w:r w:rsidR="00086E70" w:rsidRPr="00353FA8">
              <w:rPr>
                <w:bCs/>
              </w:rPr>
              <w:t>oteiktajām izmaksu pozīcijā</w:t>
            </w:r>
            <w:r w:rsidRPr="00353FA8">
              <w:rPr>
                <w:bCs/>
              </w:rPr>
              <w:t>m</w:t>
            </w:r>
            <w:r w:rsidR="00086E70" w:rsidRPr="00353FA8">
              <w:rPr>
                <w:bCs/>
              </w:rPr>
              <w:t xml:space="preserve"> paredzētajiem</w:t>
            </w:r>
            <w:r w:rsidRPr="00353FA8">
              <w:rPr>
                <w:bCs/>
              </w:rPr>
              <w:t xml:space="preserve"> </w:t>
            </w:r>
            <w:r w:rsidR="005C1BDA" w:rsidRPr="00353FA8">
              <w:rPr>
                <w:bCs/>
              </w:rPr>
              <w:t xml:space="preserve"> </w:t>
            </w:r>
            <w:proofErr w:type="spellStart"/>
            <w:r w:rsidR="005C1BDA" w:rsidRPr="00353FA8">
              <w:rPr>
                <w:bCs/>
              </w:rPr>
              <w:t>att</w:t>
            </w:r>
            <w:r w:rsidR="00086E70" w:rsidRPr="00353FA8">
              <w:rPr>
                <w:bCs/>
              </w:rPr>
              <w:t>iecināmības</w:t>
            </w:r>
            <w:proofErr w:type="spellEnd"/>
            <w:r w:rsidR="00086E70" w:rsidRPr="00353FA8">
              <w:rPr>
                <w:bCs/>
              </w:rPr>
              <w:t xml:space="preserve"> perioda ierobežojumiem.</w:t>
            </w:r>
          </w:p>
          <w:p w:rsidR="005C1BDA" w:rsidRPr="00353FA8" w:rsidRDefault="005C1BDA" w:rsidP="00A44E90">
            <w:pPr>
              <w:autoSpaceDE w:val="0"/>
              <w:autoSpaceDN w:val="0"/>
              <w:jc w:val="both"/>
              <w:rPr>
                <w:bCs/>
              </w:rPr>
            </w:pPr>
          </w:p>
          <w:p w:rsidR="00086E70" w:rsidRPr="00353FA8" w:rsidRDefault="00086E70" w:rsidP="00A44E90">
            <w:pPr>
              <w:autoSpaceDE w:val="0"/>
              <w:autoSpaceDN w:val="0"/>
              <w:jc w:val="both"/>
              <w:rPr>
                <w:rFonts w:eastAsia="Times New Roman"/>
              </w:rPr>
            </w:pPr>
            <w:r w:rsidRPr="00353FA8">
              <w:rPr>
                <w:rFonts w:eastAsia="Times New Roman"/>
              </w:rPr>
              <w:t>Finanšu ministrija kā Eiropas Savienības struktūrfondu un Kohēzijas fonda vadošā iestāde savā 2017.gada 28.jūlija vēstulē Nr.</w:t>
            </w:r>
            <w:r w:rsidR="00C9576E" w:rsidRPr="00353FA8">
              <w:t xml:space="preserve"> </w:t>
            </w:r>
            <w:r w:rsidR="00C9576E" w:rsidRPr="00353FA8">
              <w:rPr>
                <w:rFonts w:eastAsia="Times New Roman"/>
              </w:rPr>
              <w:t>21-3-01/5895</w:t>
            </w:r>
            <w:r w:rsidRPr="00353FA8">
              <w:rPr>
                <w:rFonts w:eastAsia="Times New Roman"/>
              </w:rPr>
              <w:t xml:space="preserve"> ir aicinājusi Satiksmes </w:t>
            </w:r>
            <w:r w:rsidR="001B6471" w:rsidRPr="00353FA8">
              <w:rPr>
                <w:rFonts w:eastAsia="Times New Roman"/>
              </w:rPr>
              <w:t>m</w:t>
            </w:r>
            <w:r w:rsidRPr="00353FA8">
              <w:rPr>
                <w:rFonts w:eastAsia="Times New Roman"/>
              </w:rPr>
              <w:t>inistriju virzīt nepieciešamās izmaiņas Ministru kabineta noteikumos par specifiskā atbalsta mērķa īstenošanu, ja sadarbībā ar projektu iesniedzējiem tiek konstatēts, ka nepieciešams pārskatīt kādas prasības, kas var paātrināt ES fondu investīciju ieviešanu.</w:t>
            </w:r>
          </w:p>
          <w:p w:rsidR="00086E70" w:rsidRPr="00353FA8" w:rsidRDefault="00086E70" w:rsidP="00A44E90">
            <w:pPr>
              <w:autoSpaceDE w:val="0"/>
              <w:autoSpaceDN w:val="0"/>
              <w:jc w:val="both"/>
              <w:rPr>
                <w:rFonts w:eastAsia="Times New Roman"/>
              </w:rPr>
            </w:pPr>
          </w:p>
          <w:p w:rsidR="005C1BDA" w:rsidRPr="00353FA8" w:rsidRDefault="00086E70" w:rsidP="00A44E90">
            <w:pPr>
              <w:autoSpaceDE w:val="0"/>
              <w:autoSpaceDN w:val="0"/>
              <w:jc w:val="both"/>
              <w:rPr>
                <w:bCs/>
              </w:rPr>
            </w:pPr>
            <w:r w:rsidRPr="00353FA8">
              <w:rPr>
                <w:bCs/>
              </w:rPr>
              <w:t>Ņemot vērā, ka projektu iesniegumu iesniegšana, izvērtēšana un apstiprināšana tiešā veidā ietekmē noteiktos maksājumus un 2018.gada snieguma mērķu sasniegšanu ir svarīgi, lai projektiem, kuriem ir augsta gatavības pakāpe iepirkumu jomā, būtu iespējams uzsākt īstenot projekta aktivitātes arī pirms projekta apstiprināšanas.</w:t>
            </w:r>
          </w:p>
          <w:p w:rsidR="00086E70" w:rsidRPr="00353FA8" w:rsidRDefault="00086E70" w:rsidP="00A44E90">
            <w:pPr>
              <w:autoSpaceDE w:val="0"/>
              <w:autoSpaceDN w:val="0"/>
              <w:jc w:val="both"/>
              <w:rPr>
                <w:bCs/>
              </w:rPr>
            </w:pPr>
          </w:p>
          <w:p w:rsidR="00086E70" w:rsidRPr="00353FA8" w:rsidRDefault="00086E70" w:rsidP="001B6471">
            <w:pPr>
              <w:autoSpaceDE w:val="0"/>
              <w:autoSpaceDN w:val="0"/>
              <w:jc w:val="both"/>
              <w:rPr>
                <w:bCs/>
              </w:rPr>
            </w:pPr>
            <w:r w:rsidRPr="00353FA8">
              <w:rPr>
                <w:bCs/>
              </w:rPr>
              <w:t xml:space="preserve">Ievērojot minēto </w:t>
            </w:r>
            <w:r w:rsidR="001B6471" w:rsidRPr="00353FA8">
              <w:rPr>
                <w:bCs/>
              </w:rPr>
              <w:t>n</w:t>
            </w:r>
            <w:r w:rsidRPr="00353FA8">
              <w:rPr>
                <w:bCs/>
              </w:rPr>
              <w:t>oteikumu projekts paredz, ka projekta izmaksas ir attiecināmas finansēšanai no Kohēzijas fonda līdzfinansējuma, no dienas, kad projekta iesniedzējs ir iesniedzis projekta iesniegumu sadarbības iestādē.</w:t>
            </w:r>
          </w:p>
        </w:tc>
      </w:tr>
      <w:tr w:rsidR="005C1BDA" w:rsidRPr="00353FA8" w:rsidTr="0030683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jc w:val="center"/>
              <w:rPr>
                <w:lang w:eastAsia="en-US"/>
              </w:rPr>
            </w:pPr>
            <w:r w:rsidRPr="00353FA8">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rPr>
                <w:lang w:eastAsia="en-US"/>
              </w:rPr>
            </w:pPr>
            <w:r w:rsidRPr="00353FA8">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C1BDA" w:rsidRPr="00353FA8" w:rsidRDefault="005C1BDA" w:rsidP="00A44E90">
            <w:pPr>
              <w:spacing w:after="120"/>
              <w:jc w:val="both"/>
              <w:rPr>
                <w:b/>
              </w:rPr>
            </w:pPr>
            <w:r w:rsidRPr="00353FA8">
              <w:t>Satiksmes ministrija</w:t>
            </w:r>
          </w:p>
        </w:tc>
      </w:tr>
      <w:tr w:rsidR="005C1BDA" w:rsidRPr="00365014" w:rsidTr="00365014">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365014" w:rsidRDefault="005C1BDA" w:rsidP="00A44E90">
            <w:pPr>
              <w:jc w:val="center"/>
              <w:rPr>
                <w:lang w:eastAsia="en-US"/>
              </w:rPr>
            </w:pPr>
            <w:bookmarkStart w:id="1" w:name="_Hlk494723053"/>
            <w:r w:rsidRPr="00353FA8">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365014" w:rsidRDefault="005C1BDA" w:rsidP="00A44E90">
            <w:pPr>
              <w:rPr>
                <w:lang w:eastAsia="en-US"/>
              </w:rPr>
            </w:pPr>
            <w:r w:rsidRPr="00365014">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365014" w:rsidRDefault="005C1BDA" w:rsidP="00A44E90">
            <w:pPr>
              <w:jc w:val="both"/>
            </w:pPr>
            <w:bookmarkStart w:id="2" w:name="_Hlk494722255"/>
            <w:r w:rsidRPr="00365014">
              <w:t>MK noteikumu projektam nav ietekmes uz projektu iesniegumiem</w:t>
            </w:r>
            <w:r w:rsidR="00353FA8" w:rsidRPr="00365014">
              <w:t>,</w:t>
            </w:r>
            <w:r w:rsidR="00353FA8">
              <w:t xml:space="preserve"> </w:t>
            </w:r>
            <w:r w:rsidR="00353FA8" w:rsidRPr="00365014">
              <w:t>k</w:t>
            </w:r>
            <w:r w:rsidR="00FA2743">
              <w:t>uriem</w:t>
            </w:r>
            <w:r w:rsidR="00353FA8" w:rsidRPr="00365014">
              <w:t xml:space="preserve"> jau ir pieņemts lēmums un noslēgta</w:t>
            </w:r>
            <w:r w:rsidR="00FA2743">
              <w:t>s</w:t>
            </w:r>
            <w:r w:rsidR="00353FA8" w:rsidRPr="00365014">
              <w:t xml:space="preserve"> vienošanās ar sadarbības iestādi. </w:t>
            </w:r>
            <w:bookmarkEnd w:id="2"/>
          </w:p>
        </w:tc>
      </w:tr>
      <w:bookmarkEnd w:id="1"/>
    </w:tbl>
    <w:p w:rsidR="005C1BDA" w:rsidRPr="00365014" w:rsidRDefault="005C1BDA" w:rsidP="005C1BDA">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5C1BDA" w:rsidRPr="00365014" w:rsidTr="00A44E9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365014" w:rsidRDefault="005C1BDA" w:rsidP="00A44E90">
            <w:pPr>
              <w:pStyle w:val="ListParagraph"/>
              <w:tabs>
                <w:tab w:val="left" w:pos="2268"/>
                <w:tab w:val="left" w:pos="2410"/>
              </w:tabs>
              <w:ind w:left="1080"/>
              <w:jc w:val="center"/>
              <w:rPr>
                <w:b/>
                <w:sz w:val="24"/>
                <w:szCs w:val="24"/>
                <w:lang w:eastAsia="en-US"/>
              </w:rPr>
            </w:pPr>
            <w:r w:rsidRPr="00365014">
              <w:rPr>
                <w:b/>
                <w:bCs/>
                <w:sz w:val="24"/>
                <w:szCs w:val="24"/>
              </w:rPr>
              <w:t>II. Tiesību akta projekta ietekme uz sabiedrību, tautsaimniecības attīstību un administratīvo slogu</w:t>
            </w:r>
          </w:p>
        </w:tc>
      </w:tr>
      <w:tr w:rsidR="005C1BDA" w:rsidRPr="00365014" w:rsidTr="00A44E9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C1BDA" w:rsidRPr="00365014" w:rsidRDefault="005C1BDA" w:rsidP="00A44E90">
            <w:pPr>
              <w:jc w:val="center"/>
              <w:rPr>
                <w:lang w:eastAsia="en-US"/>
              </w:rPr>
            </w:pPr>
            <w:r w:rsidRPr="00365014">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365014" w:rsidRDefault="005C1BDA" w:rsidP="00A44E90">
            <w:pPr>
              <w:rPr>
                <w:lang w:eastAsia="en-US"/>
              </w:rPr>
            </w:pPr>
            <w:r w:rsidRPr="00365014">
              <w:t xml:space="preserve">Sabiedrības </w:t>
            </w:r>
            <w:proofErr w:type="spellStart"/>
            <w:r w:rsidRPr="00365014">
              <w:t>mērķgrupas</w:t>
            </w:r>
            <w:proofErr w:type="spellEnd"/>
            <w:r w:rsidRPr="00365014">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E70" w:rsidRPr="00365014" w:rsidRDefault="005C1BDA" w:rsidP="00A44E90">
            <w:pPr>
              <w:jc w:val="both"/>
              <w:rPr>
                <w:bCs/>
                <w:lang w:eastAsia="en-US"/>
              </w:rPr>
            </w:pPr>
            <w:r w:rsidRPr="00365014">
              <w:rPr>
                <w:bCs/>
                <w:lang w:eastAsia="en-US"/>
              </w:rPr>
              <w:t>Satiksmes dalībnieki</w:t>
            </w:r>
            <w:r w:rsidR="001B6471" w:rsidRPr="00365014">
              <w:rPr>
                <w:bCs/>
                <w:lang w:eastAsia="en-US"/>
              </w:rPr>
              <w:t>.</w:t>
            </w:r>
          </w:p>
        </w:tc>
      </w:tr>
      <w:tr w:rsidR="005C1BDA" w:rsidRPr="00365014"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365014" w:rsidRDefault="005C1BDA" w:rsidP="00A44E90">
            <w:pPr>
              <w:jc w:val="center"/>
            </w:pPr>
            <w:r w:rsidRPr="00365014">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365014" w:rsidRDefault="005C1BDA" w:rsidP="00A44E90">
            <w:pPr>
              <w:rPr>
                <w:rFonts w:ascii="Arial" w:hAnsi="Arial" w:cs="Arial"/>
                <w:color w:val="414142"/>
                <w:sz w:val="20"/>
                <w:szCs w:val="20"/>
              </w:rPr>
            </w:pPr>
            <w:r w:rsidRPr="00365014">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365014" w:rsidRDefault="005C1BDA" w:rsidP="00A44E90">
            <w:pPr>
              <w:pStyle w:val="ListParagraph"/>
              <w:tabs>
                <w:tab w:val="left" w:pos="317"/>
              </w:tabs>
              <w:spacing w:before="60" w:after="60"/>
              <w:ind w:left="34"/>
              <w:jc w:val="both"/>
              <w:rPr>
                <w:bCs/>
                <w:sz w:val="24"/>
                <w:szCs w:val="24"/>
                <w:lang w:eastAsia="en-US"/>
              </w:rPr>
            </w:pPr>
            <w:r w:rsidRPr="00365014">
              <w:rPr>
                <w:bCs/>
                <w:sz w:val="24"/>
                <w:szCs w:val="24"/>
                <w:lang w:eastAsia="en-US"/>
              </w:rPr>
              <w:t>Projekts šo jomu neskar.</w:t>
            </w:r>
          </w:p>
        </w:tc>
      </w:tr>
      <w:tr w:rsidR="005C1BDA" w:rsidRPr="00365014"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365014" w:rsidRDefault="005C1BDA" w:rsidP="00A44E90">
            <w:pPr>
              <w:jc w:val="center"/>
            </w:pPr>
            <w:r w:rsidRPr="00365014">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365014" w:rsidRDefault="005C1BDA" w:rsidP="00A44E90">
            <w:pPr>
              <w:rPr>
                <w:rFonts w:ascii="Arial" w:hAnsi="Arial" w:cs="Arial"/>
                <w:color w:val="414142"/>
                <w:sz w:val="20"/>
                <w:szCs w:val="20"/>
              </w:rPr>
            </w:pPr>
            <w:r w:rsidRPr="00365014">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365014" w:rsidRDefault="005C1BDA" w:rsidP="00A44E90">
            <w:pPr>
              <w:pStyle w:val="ListParagraph"/>
              <w:tabs>
                <w:tab w:val="left" w:pos="317"/>
              </w:tabs>
              <w:spacing w:before="60" w:after="60"/>
              <w:ind w:left="34"/>
              <w:jc w:val="both"/>
              <w:rPr>
                <w:bCs/>
                <w:sz w:val="24"/>
                <w:szCs w:val="24"/>
                <w:lang w:eastAsia="en-US"/>
              </w:rPr>
            </w:pPr>
            <w:r w:rsidRPr="00365014">
              <w:rPr>
                <w:bCs/>
                <w:sz w:val="24"/>
                <w:szCs w:val="24"/>
                <w:lang w:eastAsia="en-US"/>
              </w:rPr>
              <w:t>Projekts šo jomu neskar.</w:t>
            </w:r>
          </w:p>
        </w:tc>
      </w:tr>
      <w:tr w:rsidR="005C1BDA" w:rsidRPr="00365014"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365014" w:rsidRDefault="005C1BDA" w:rsidP="00A44E90">
            <w:pPr>
              <w:jc w:val="center"/>
            </w:pPr>
            <w:r w:rsidRPr="00365014">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365014" w:rsidRDefault="005C1BDA" w:rsidP="00A44E90">
            <w:pPr>
              <w:rPr>
                <w:rFonts w:ascii="Arial" w:hAnsi="Arial" w:cs="Arial"/>
                <w:color w:val="414142"/>
                <w:sz w:val="20"/>
                <w:szCs w:val="20"/>
              </w:rPr>
            </w:pPr>
            <w:r w:rsidRPr="00365014">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365014" w:rsidRDefault="005C1BDA" w:rsidP="00A44E90">
            <w:pPr>
              <w:pStyle w:val="ListParagraph"/>
              <w:tabs>
                <w:tab w:val="left" w:pos="317"/>
              </w:tabs>
              <w:spacing w:before="60" w:after="60"/>
              <w:ind w:left="34"/>
              <w:jc w:val="both"/>
              <w:rPr>
                <w:bCs/>
                <w:sz w:val="24"/>
                <w:szCs w:val="24"/>
                <w:lang w:eastAsia="en-US"/>
              </w:rPr>
            </w:pPr>
            <w:r w:rsidRPr="00365014">
              <w:rPr>
                <w:bCs/>
                <w:sz w:val="24"/>
                <w:szCs w:val="24"/>
                <w:lang w:eastAsia="en-US"/>
              </w:rPr>
              <w:t>Nav.</w:t>
            </w:r>
          </w:p>
        </w:tc>
      </w:tr>
    </w:tbl>
    <w:p w:rsidR="00A2084C" w:rsidRPr="00365014"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65014"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65014" w:rsidRDefault="00A2084C" w:rsidP="00A2084C">
            <w:pPr>
              <w:jc w:val="center"/>
              <w:rPr>
                <w:b/>
              </w:rPr>
            </w:pPr>
            <w:r w:rsidRPr="00365014">
              <w:rPr>
                <w:b/>
                <w:bCs/>
              </w:rPr>
              <w:t>III. Tiesību akta projekta ietekme uz valsts budžetu un pašvaldību budžetiem</w:t>
            </w:r>
          </w:p>
        </w:tc>
      </w:tr>
      <w:tr w:rsidR="00A2084C" w:rsidRPr="00365014" w:rsidTr="0022001E">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65014" w:rsidRDefault="00A2084C" w:rsidP="00A2084C">
            <w:pPr>
              <w:jc w:val="both"/>
              <w:rPr>
                <w:bCs/>
              </w:rPr>
            </w:pPr>
            <w:r w:rsidRPr="00365014">
              <w:rPr>
                <w:bCs/>
              </w:rPr>
              <w:t>Projekts šo jomu neskar</w:t>
            </w:r>
          </w:p>
        </w:tc>
      </w:tr>
    </w:tbl>
    <w:p w:rsidR="00A2084C" w:rsidRPr="00365014"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65014"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65014" w:rsidRDefault="00A2084C" w:rsidP="00A44E90">
            <w:pPr>
              <w:jc w:val="center"/>
              <w:rPr>
                <w:b/>
              </w:rPr>
            </w:pPr>
            <w:r w:rsidRPr="00365014">
              <w:rPr>
                <w:b/>
                <w:bCs/>
              </w:rPr>
              <w:t>IV. Tiesību akta projekta ietekme uz spēkā esošo tiesību normu sistēmu</w:t>
            </w:r>
          </w:p>
        </w:tc>
      </w:tr>
      <w:tr w:rsidR="00A2084C" w:rsidRPr="00365014"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65014" w:rsidRDefault="00A2084C" w:rsidP="00A44E90">
            <w:pPr>
              <w:jc w:val="both"/>
              <w:rPr>
                <w:bCs/>
              </w:rPr>
            </w:pPr>
            <w:r w:rsidRPr="00365014">
              <w:rPr>
                <w:bCs/>
              </w:rPr>
              <w:t>Projekts šo jomu neskar</w:t>
            </w:r>
          </w:p>
        </w:tc>
      </w:tr>
    </w:tbl>
    <w:p w:rsidR="00A2084C" w:rsidRPr="00365014"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65014"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65014" w:rsidRDefault="00A2084C" w:rsidP="00A2084C">
            <w:pPr>
              <w:jc w:val="both"/>
              <w:rPr>
                <w:b/>
              </w:rPr>
            </w:pPr>
            <w:r w:rsidRPr="00365014">
              <w:rPr>
                <w:b/>
                <w:bCs/>
              </w:rPr>
              <w:t>V. Tiesību akta projekta atbilstība Latvijas Republikas starptautiskajām saistībām</w:t>
            </w:r>
          </w:p>
        </w:tc>
      </w:tr>
      <w:tr w:rsidR="00A2084C" w:rsidRPr="00365014"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65014" w:rsidRDefault="00A2084C" w:rsidP="00A2084C">
            <w:pPr>
              <w:jc w:val="both"/>
              <w:rPr>
                <w:bCs/>
              </w:rPr>
            </w:pPr>
            <w:r w:rsidRPr="00365014">
              <w:rPr>
                <w:bCs/>
              </w:rPr>
              <w:t>Projekts šo jomu neskar</w:t>
            </w:r>
          </w:p>
        </w:tc>
      </w:tr>
    </w:tbl>
    <w:p w:rsidR="00A2084C" w:rsidRPr="00365014" w:rsidRDefault="00A2084C" w:rsidP="005C1BDA">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18"/>
        <w:gridCol w:w="2824"/>
        <w:gridCol w:w="14"/>
        <w:gridCol w:w="6043"/>
      </w:tblGrid>
      <w:tr w:rsidR="005C1BDA" w:rsidRPr="00365014" w:rsidTr="00A44E90">
        <w:trPr>
          <w:trHeight w:val="421"/>
        </w:trPr>
        <w:tc>
          <w:tcPr>
            <w:tcW w:w="9214" w:type="dxa"/>
            <w:gridSpan w:val="5"/>
            <w:vAlign w:val="center"/>
          </w:tcPr>
          <w:p w:rsidR="005C1BDA" w:rsidRPr="00365014" w:rsidRDefault="005C1BDA" w:rsidP="00A44E90">
            <w:pPr>
              <w:pStyle w:val="naisnod"/>
              <w:spacing w:before="0" w:beforeAutospacing="0" w:after="0" w:afterAutospacing="0"/>
              <w:ind w:left="57" w:right="57"/>
              <w:jc w:val="center"/>
            </w:pPr>
            <w:r w:rsidRPr="00365014">
              <w:rPr>
                <w:b/>
              </w:rPr>
              <w:t>VI. Sabiedrības līdzdalība un komunikācijas aktivitātes</w:t>
            </w:r>
          </w:p>
        </w:tc>
      </w:tr>
      <w:tr w:rsidR="005C1BDA" w:rsidRPr="00365014" w:rsidTr="00A44E90">
        <w:trPr>
          <w:trHeight w:val="553"/>
        </w:trPr>
        <w:tc>
          <w:tcPr>
            <w:tcW w:w="315" w:type="dxa"/>
          </w:tcPr>
          <w:p w:rsidR="005C1BDA" w:rsidRPr="00365014" w:rsidRDefault="005C1BDA" w:rsidP="00A44E90">
            <w:pPr>
              <w:ind w:left="57" w:right="57"/>
              <w:jc w:val="both"/>
              <w:rPr>
                <w:bCs/>
              </w:rPr>
            </w:pPr>
            <w:r w:rsidRPr="00365014">
              <w:rPr>
                <w:bCs/>
              </w:rPr>
              <w:t>1.</w:t>
            </w:r>
          </w:p>
        </w:tc>
        <w:tc>
          <w:tcPr>
            <w:tcW w:w="2842" w:type="dxa"/>
            <w:gridSpan w:val="2"/>
          </w:tcPr>
          <w:p w:rsidR="005C1BDA" w:rsidRPr="00365014" w:rsidRDefault="005C1BDA" w:rsidP="00A44E90">
            <w:pPr>
              <w:tabs>
                <w:tab w:val="left" w:pos="170"/>
              </w:tabs>
              <w:ind w:left="57" w:right="57"/>
            </w:pPr>
            <w:r w:rsidRPr="00365014">
              <w:t>Plānotās sabiedrības līdzdalības un komunikācijas aktivitātes saistībā ar projektu</w:t>
            </w:r>
          </w:p>
        </w:tc>
        <w:tc>
          <w:tcPr>
            <w:tcW w:w="6057" w:type="dxa"/>
            <w:gridSpan w:val="2"/>
          </w:tcPr>
          <w:p w:rsidR="00BA6018" w:rsidRPr="00365014" w:rsidRDefault="00BA6018" w:rsidP="00BA6018">
            <w:pPr>
              <w:shd w:val="clear" w:color="auto" w:fill="FFFFFF"/>
              <w:spacing w:after="120"/>
              <w:ind w:left="57" w:right="113"/>
              <w:jc w:val="both"/>
              <w:rPr>
                <w:bCs/>
              </w:rPr>
            </w:pPr>
            <w:r w:rsidRPr="00365014">
              <w:rPr>
                <w:bCs/>
              </w:rPr>
              <w:t xml:space="preserve">MK noteikumu projekts ir publicēts Satiksmes ministrijas </w:t>
            </w:r>
            <w:r w:rsidR="007102CD" w:rsidRPr="00365014">
              <w:rPr>
                <w:bCs/>
              </w:rPr>
              <w:t xml:space="preserve">un Valsts kancelejas </w:t>
            </w:r>
            <w:r w:rsidRPr="00365014">
              <w:rPr>
                <w:bCs/>
              </w:rPr>
              <w:t>mājaslapa internetā.</w:t>
            </w:r>
          </w:p>
          <w:p w:rsidR="005C1BDA" w:rsidRPr="00365014" w:rsidRDefault="00BA6018" w:rsidP="00BA6018">
            <w:pPr>
              <w:shd w:val="clear" w:color="auto" w:fill="FFFFFF"/>
              <w:spacing w:after="120"/>
              <w:ind w:right="113"/>
              <w:jc w:val="both"/>
            </w:pPr>
            <w:r w:rsidRPr="00365014">
              <w:rPr>
                <w:bCs/>
              </w:rPr>
              <w:t>MK noteikumu projekts izsludināts Valsts sekretāru sanāksmē.</w:t>
            </w:r>
          </w:p>
        </w:tc>
      </w:tr>
      <w:tr w:rsidR="005C1BDA" w:rsidRPr="00365014" w:rsidTr="00A44E90">
        <w:trPr>
          <w:trHeight w:val="339"/>
        </w:trPr>
        <w:tc>
          <w:tcPr>
            <w:tcW w:w="315" w:type="dxa"/>
          </w:tcPr>
          <w:p w:rsidR="005C1BDA" w:rsidRPr="00365014" w:rsidRDefault="005C1BDA" w:rsidP="00A44E90">
            <w:pPr>
              <w:ind w:left="57" w:right="57"/>
              <w:jc w:val="both"/>
              <w:rPr>
                <w:bCs/>
              </w:rPr>
            </w:pPr>
            <w:r w:rsidRPr="00365014">
              <w:rPr>
                <w:bCs/>
              </w:rPr>
              <w:lastRenderedPageBreak/>
              <w:t>2.</w:t>
            </w:r>
          </w:p>
        </w:tc>
        <w:tc>
          <w:tcPr>
            <w:tcW w:w="2842" w:type="dxa"/>
            <w:gridSpan w:val="2"/>
          </w:tcPr>
          <w:p w:rsidR="005C1BDA" w:rsidRPr="00365014" w:rsidRDefault="005C1BDA" w:rsidP="00A44E90">
            <w:pPr>
              <w:ind w:left="57" w:right="57"/>
            </w:pPr>
            <w:r w:rsidRPr="00365014">
              <w:t>Sabiedrības līdzdalība projekta izstrādē</w:t>
            </w:r>
          </w:p>
        </w:tc>
        <w:tc>
          <w:tcPr>
            <w:tcW w:w="6057" w:type="dxa"/>
            <w:gridSpan w:val="2"/>
          </w:tcPr>
          <w:p w:rsidR="005C1BDA" w:rsidRPr="00365014" w:rsidRDefault="00BA6018" w:rsidP="00A44E90">
            <w:pPr>
              <w:shd w:val="clear" w:color="auto" w:fill="FFFFFF"/>
              <w:spacing w:after="120"/>
              <w:ind w:right="113"/>
              <w:jc w:val="both"/>
              <w:rPr>
                <w:kern w:val="24"/>
              </w:rPr>
            </w:pPr>
            <w:r w:rsidRPr="00365014">
              <w:t>Sabiedrības pārstāvji Ministru kabineta 2007.gada 7.aprīļa noteikumu Nr.300 “Ministru kabineta kārtības rullis” noteiktajā kārtībā varēs līdzdarboties Ministru kabineta noteikumu projekta izstrādē, sniedzot atzinumu un viedokli par Valsts sekretāru sanāksmē izsludināto Ministru kabineta noteikumu projektu.</w:t>
            </w:r>
          </w:p>
        </w:tc>
      </w:tr>
      <w:tr w:rsidR="005C1BDA" w:rsidRPr="00365014" w:rsidTr="00A44E90">
        <w:trPr>
          <w:trHeight w:val="476"/>
        </w:trPr>
        <w:tc>
          <w:tcPr>
            <w:tcW w:w="315" w:type="dxa"/>
          </w:tcPr>
          <w:p w:rsidR="005C1BDA" w:rsidRPr="00365014" w:rsidRDefault="005C1BDA" w:rsidP="00A44E90">
            <w:pPr>
              <w:ind w:left="57" w:right="57"/>
              <w:jc w:val="both"/>
              <w:rPr>
                <w:bCs/>
              </w:rPr>
            </w:pPr>
            <w:r w:rsidRPr="00365014">
              <w:rPr>
                <w:bCs/>
              </w:rPr>
              <w:t>3.</w:t>
            </w:r>
          </w:p>
        </w:tc>
        <w:tc>
          <w:tcPr>
            <w:tcW w:w="2842" w:type="dxa"/>
            <w:gridSpan w:val="2"/>
          </w:tcPr>
          <w:p w:rsidR="005C1BDA" w:rsidRPr="00365014" w:rsidRDefault="005C1BDA" w:rsidP="00A44E90">
            <w:pPr>
              <w:ind w:left="57" w:right="57"/>
            </w:pPr>
            <w:r w:rsidRPr="00365014">
              <w:t>Sabiedrības līdzdalības rezultāti</w:t>
            </w:r>
          </w:p>
        </w:tc>
        <w:tc>
          <w:tcPr>
            <w:tcW w:w="6057" w:type="dxa"/>
            <w:gridSpan w:val="2"/>
          </w:tcPr>
          <w:p w:rsidR="005C1BDA" w:rsidRPr="00365014" w:rsidRDefault="005C1BDA" w:rsidP="00A44E90">
            <w:pPr>
              <w:shd w:val="clear" w:color="auto" w:fill="FFFFFF"/>
              <w:spacing w:after="120"/>
              <w:ind w:right="113"/>
              <w:jc w:val="both"/>
            </w:pPr>
            <w:r w:rsidRPr="00365014">
              <w:t>Projekts šo jomu neskar.</w:t>
            </w:r>
          </w:p>
          <w:p w:rsidR="005C1BDA" w:rsidRPr="00365014" w:rsidRDefault="005C1BDA" w:rsidP="00A44E90">
            <w:pPr>
              <w:shd w:val="clear" w:color="auto" w:fill="FFFFFF"/>
              <w:spacing w:after="120"/>
              <w:ind w:right="113"/>
              <w:jc w:val="both"/>
            </w:pPr>
          </w:p>
        </w:tc>
      </w:tr>
      <w:tr w:rsidR="005C1BDA" w:rsidRPr="00365014" w:rsidTr="00A44E90">
        <w:trPr>
          <w:trHeight w:val="357"/>
        </w:trPr>
        <w:tc>
          <w:tcPr>
            <w:tcW w:w="315" w:type="dxa"/>
          </w:tcPr>
          <w:p w:rsidR="005C1BDA" w:rsidRPr="00365014" w:rsidRDefault="005C1BDA" w:rsidP="00A44E90">
            <w:pPr>
              <w:ind w:left="57" w:right="57"/>
              <w:jc w:val="both"/>
              <w:rPr>
                <w:bCs/>
              </w:rPr>
            </w:pPr>
            <w:r w:rsidRPr="00365014">
              <w:rPr>
                <w:bCs/>
              </w:rPr>
              <w:t>4.</w:t>
            </w:r>
          </w:p>
        </w:tc>
        <w:tc>
          <w:tcPr>
            <w:tcW w:w="2842" w:type="dxa"/>
            <w:gridSpan w:val="2"/>
          </w:tcPr>
          <w:p w:rsidR="005C1BDA" w:rsidRPr="00365014" w:rsidRDefault="005C1BDA" w:rsidP="00A44E90">
            <w:pPr>
              <w:ind w:left="57" w:right="57"/>
            </w:pPr>
            <w:r w:rsidRPr="00365014">
              <w:t>Cita informācija</w:t>
            </w:r>
          </w:p>
        </w:tc>
        <w:tc>
          <w:tcPr>
            <w:tcW w:w="6057" w:type="dxa"/>
            <w:gridSpan w:val="2"/>
          </w:tcPr>
          <w:p w:rsidR="005C1BDA" w:rsidRPr="00365014" w:rsidRDefault="005C1BDA" w:rsidP="00A44E90">
            <w:pPr>
              <w:ind w:right="113"/>
              <w:jc w:val="both"/>
            </w:pPr>
            <w:r w:rsidRPr="00365014">
              <w:t>Nav.</w:t>
            </w:r>
          </w:p>
        </w:tc>
      </w:tr>
      <w:tr w:rsidR="005C1BDA" w:rsidRPr="00365014" w:rsidTr="00A44E90">
        <w:trPr>
          <w:trHeight w:val="421"/>
        </w:trPr>
        <w:tc>
          <w:tcPr>
            <w:tcW w:w="9214" w:type="dxa"/>
            <w:gridSpan w:val="5"/>
            <w:vAlign w:val="center"/>
          </w:tcPr>
          <w:p w:rsidR="005C1BDA" w:rsidRPr="00365014" w:rsidRDefault="005C1BDA" w:rsidP="00A44E90">
            <w:pPr>
              <w:pStyle w:val="naisnod"/>
              <w:spacing w:before="0" w:beforeAutospacing="0" w:after="0" w:afterAutospacing="0"/>
              <w:ind w:left="57" w:right="57"/>
              <w:jc w:val="center"/>
            </w:pPr>
            <w:r w:rsidRPr="00365014">
              <w:rPr>
                <w:b/>
              </w:rPr>
              <w:t>VII. Tiesību akta projekta izpildes nodrošināšana un tās ietekme uz institūcijām</w:t>
            </w:r>
          </w:p>
        </w:tc>
      </w:tr>
      <w:tr w:rsidR="005C1BDA" w:rsidRPr="00365014" w:rsidTr="00A44E90">
        <w:trPr>
          <w:trHeight w:val="553"/>
        </w:trPr>
        <w:tc>
          <w:tcPr>
            <w:tcW w:w="333" w:type="dxa"/>
            <w:gridSpan w:val="2"/>
          </w:tcPr>
          <w:p w:rsidR="005C1BDA" w:rsidRPr="00365014" w:rsidRDefault="005C1BDA" w:rsidP="00A44E90">
            <w:pPr>
              <w:ind w:left="57" w:right="57"/>
              <w:jc w:val="both"/>
              <w:rPr>
                <w:bCs/>
              </w:rPr>
            </w:pPr>
            <w:r w:rsidRPr="00365014">
              <w:rPr>
                <w:bCs/>
              </w:rPr>
              <w:t>1.</w:t>
            </w:r>
          </w:p>
        </w:tc>
        <w:tc>
          <w:tcPr>
            <w:tcW w:w="2838" w:type="dxa"/>
            <w:gridSpan w:val="2"/>
          </w:tcPr>
          <w:p w:rsidR="005C1BDA" w:rsidRPr="00365014" w:rsidRDefault="005C1BDA" w:rsidP="00A44E90">
            <w:pPr>
              <w:ind w:left="57" w:right="57"/>
            </w:pPr>
            <w:r w:rsidRPr="00365014">
              <w:t>Projekta izpildē iesaistītās institūcijas</w:t>
            </w:r>
          </w:p>
        </w:tc>
        <w:tc>
          <w:tcPr>
            <w:tcW w:w="6043" w:type="dxa"/>
          </w:tcPr>
          <w:p w:rsidR="005C1BDA" w:rsidRPr="00365014" w:rsidRDefault="005C1BDA" w:rsidP="00A44E90">
            <w:pPr>
              <w:shd w:val="clear" w:color="auto" w:fill="FFFFFF"/>
              <w:ind w:left="57" w:right="113"/>
              <w:jc w:val="both"/>
            </w:pPr>
            <w:r w:rsidRPr="00365014">
              <w:t xml:space="preserve">Satiksmes ministrija kā atbildīgā iestāde, Centrālā finanšu un līgumu aģentūra kā sadarbības iestāde. </w:t>
            </w:r>
          </w:p>
        </w:tc>
      </w:tr>
      <w:tr w:rsidR="005C1BDA" w:rsidRPr="00365014" w:rsidTr="00A44E90">
        <w:trPr>
          <w:trHeight w:val="339"/>
        </w:trPr>
        <w:tc>
          <w:tcPr>
            <w:tcW w:w="333" w:type="dxa"/>
            <w:gridSpan w:val="2"/>
          </w:tcPr>
          <w:p w:rsidR="005C1BDA" w:rsidRPr="00365014" w:rsidRDefault="005C1BDA" w:rsidP="00A44E90">
            <w:pPr>
              <w:ind w:left="57" w:right="57"/>
              <w:jc w:val="both"/>
              <w:rPr>
                <w:bCs/>
              </w:rPr>
            </w:pPr>
            <w:r w:rsidRPr="00365014">
              <w:rPr>
                <w:bCs/>
              </w:rPr>
              <w:t>2.</w:t>
            </w:r>
          </w:p>
        </w:tc>
        <w:tc>
          <w:tcPr>
            <w:tcW w:w="2838" w:type="dxa"/>
            <w:gridSpan w:val="2"/>
          </w:tcPr>
          <w:p w:rsidR="005C1BDA" w:rsidRPr="00365014" w:rsidRDefault="005C1BDA" w:rsidP="00A44E90">
            <w:pPr>
              <w:ind w:left="57" w:right="57"/>
            </w:pPr>
            <w:r w:rsidRPr="00365014">
              <w:t xml:space="preserve">Projekta izpildes ietekme uz pārvaldes funkcijām un institucionālo struktūru. </w:t>
            </w:r>
          </w:p>
          <w:p w:rsidR="005C1BDA" w:rsidRPr="00365014" w:rsidRDefault="005C1BDA" w:rsidP="00A44E90">
            <w:pPr>
              <w:ind w:left="57" w:right="57"/>
            </w:pPr>
            <w:r w:rsidRPr="00365014">
              <w:t>Jaunu institūciju izveide, esošu institūciju likvidācija vai reorganizācija, to ietekme uz institūcijas cilvēkresursiem</w:t>
            </w:r>
          </w:p>
        </w:tc>
        <w:tc>
          <w:tcPr>
            <w:tcW w:w="6043" w:type="dxa"/>
          </w:tcPr>
          <w:p w:rsidR="005C1BDA" w:rsidRPr="00365014" w:rsidRDefault="005C1BDA" w:rsidP="00A44E90">
            <w:pPr>
              <w:shd w:val="clear" w:color="auto" w:fill="FFFFFF"/>
              <w:ind w:left="57" w:right="113"/>
              <w:jc w:val="both"/>
              <w:rPr>
                <w:kern w:val="24"/>
              </w:rPr>
            </w:pPr>
            <w:r w:rsidRPr="00365014">
              <w:t>Nav plānota jaunu institūciju izveide, esošu institūciju likvidācija vai reorganizācija.</w:t>
            </w:r>
          </w:p>
        </w:tc>
      </w:tr>
      <w:tr w:rsidR="005C1BDA" w:rsidRPr="00365014" w:rsidTr="00A44E90">
        <w:trPr>
          <w:trHeight w:val="351"/>
        </w:trPr>
        <w:tc>
          <w:tcPr>
            <w:tcW w:w="333" w:type="dxa"/>
            <w:gridSpan w:val="2"/>
          </w:tcPr>
          <w:p w:rsidR="005C1BDA" w:rsidRPr="00365014" w:rsidRDefault="005C1BDA" w:rsidP="00A44E90">
            <w:pPr>
              <w:ind w:left="57" w:right="57"/>
              <w:jc w:val="both"/>
              <w:rPr>
                <w:bCs/>
              </w:rPr>
            </w:pPr>
            <w:r w:rsidRPr="00365014">
              <w:rPr>
                <w:bCs/>
              </w:rPr>
              <w:t>3.</w:t>
            </w:r>
          </w:p>
        </w:tc>
        <w:tc>
          <w:tcPr>
            <w:tcW w:w="2838" w:type="dxa"/>
            <w:gridSpan w:val="2"/>
          </w:tcPr>
          <w:p w:rsidR="005C1BDA" w:rsidRPr="00365014" w:rsidRDefault="005C1BDA" w:rsidP="00A44E90">
            <w:pPr>
              <w:ind w:left="57" w:right="57"/>
            </w:pPr>
            <w:r w:rsidRPr="00365014">
              <w:t>Cita informācija</w:t>
            </w:r>
          </w:p>
        </w:tc>
        <w:tc>
          <w:tcPr>
            <w:tcW w:w="6043" w:type="dxa"/>
          </w:tcPr>
          <w:p w:rsidR="005C1BDA" w:rsidRPr="00365014" w:rsidRDefault="005C1BDA" w:rsidP="00A44E90">
            <w:pPr>
              <w:shd w:val="clear" w:color="auto" w:fill="FFFFFF"/>
              <w:ind w:left="57" w:right="113"/>
              <w:jc w:val="both"/>
            </w:pPr>
            <w:r w:rsidRPr="00365014">
              <w:t xml:space="preserve">Nav. </w:t>
            </w:r>
          </w:p>
        </w:tc>
      </w:tr>
    </w:tbl>
    <w:p w:rsidR="005C1BDA" w:rsidRPr="00365014" w:rsidRDefault="005C1BDA" w:rsidP="005C1BDA">
      <w:pPr>
        <w:jc w:val="both"/>
      </w:pPr>
    </w:p>
    <w:p w:rsidR="00E137CD" w:rsidRPr="00365014" w:rsidRDefault="00E137CD" w:rsidP="005C1BDA">
      <w:pPr>
        <w:jc w:val="both"/>
      </w:pPr>
    </w:p>
    <w:p w:rsidR="008D364A" w:rsidRDefault="008D364A" w:rsidP="008D364A">
      <w:pPr>
        <w:jc w:val="both"/>
      </w:pPr>
      <w:r>
        <w:t xml:space="preserve">Satiksmes ministra </w:t>
      </w:r>
      <w:proofErr w:type="spellStart"/>
      <w:r>
        <w:t>p.i</w:t>
      </w:r>
      <w:proofErr w:type="spellEnd"/>
      <w:r>
        <w:t>.</w:t>
      </w:r>
      <w:r>
        <w:tab/>
      </w:r>
    </w:p>
    <w:p w:rsidR="001B6471" w:rsidRPr="00365014" w:rsidRDefault="008D364A" w:rsidP="008D364A">
      <w:pPr>
        <w:jc w:val="both"/>
      </w:pPr>
      <w:r>
        <w:t xml:space="preserve">zemkopības ministrs </w:t>
      </w:r>
      <w:r>
        <w:tab/>
      </w:r>
      <w:r>
        <w:tab/>
      </w:r>
      <w:r>
        <w:tab/>
      </w:r>
      <w:r>
        <w:tab/>
      </w:r>
      <w:r>
        <w:tab/>
      </w:r>
      <w:r>
        <w:tab/>
      </w:r>
      <w:r>
        <w:tab/>
      </w:r>
      <w:r>
        <w:tab/>
      </w:r>
      <w:r w:rsidR="005265E2">
        <w:tab/>
      </w:r>
      <w:r>
        <w:t>J. Dūklavs</w:t>
      </w:r>
    </w:p>
    <w:p w:rsidR="008D364A" w:rsidRDefault="008D364A" w:rsidP="005C1BDA">
      <w:pPr>
        <w:jc w:val="both"/>
      </w:pPr>
    </w:p>
    <w:p w:rsidR="005C1BDA" w:rsidRPr="00365014" w:rsidRDefault="005C1BDA" w:rsidP="005C1BDA">
      <w:pPr>
        <w:jc w:val="both"/>
      </w:pPr>
      <w:r w:rsidRPr="00365014">
        <w:t>Vīza:</w:t>
      </w:r>
    </w:p>
    <w:p w:rsidR="005265E2" w:rsidRDefault="005C1BDA" w:rsidP="005C1BDA">
      <w:pPr>
        <w:jc w:val="both"/>
      </w:pPr>
      <w:r w:rsidRPr="00365014">
        <w:t>Valsts sekretār</w:t>
      </w:r>
      <w:r w:rsidR="008D364A">
        <w:t xml:space="preserve">a </w:t>
      </w:r>
      <w:r w:rsidR="005265E2">
        <w:t>vietā</w:t>
      </w:r>
      <w:r w:rsidR="00F374EC">
        <w:t>,</w:t>
      </w:r>
      <w:r w:rsidR="008D364A">
        <w:tab/>
      </w:r>
    </w:p>
    <w:p w:rsidR="005C1BDA" w:rsidRPr="00365014" w:rsidRDefault="005265E2" w:rsidP="005C1BDA">
      <w:pPr>
        <w:jc w:val="both"/>
        <w:rPr>
          <w:sz w:val="20"/>
          <w:szCs w:val="20"/>
        </w:rPr>
      </w:pPr>
      <w:r w:rsidRPr="005265E2">
        <w:t xml:space="preserve">valsts sekretāra vietniece </w:t>
      </w:r>
      <w:r>
        <w:tab/>
      </w:r>
      <w:r>
        <w:tab/>
      </w:r>
      <w:r>
        <w:tab/>
      </w:r>
      <w:r>
        <w:tab/>
      </w:r>
      <w:r>
        <w:tab/>
      </w:r>
      <w:r>
        <w:tab/>
      </w:r>
      <w:r>
        <w:tab/>
      </w:r>
      <w:r>
        <w:tab/>
      </w:r>
      <w:proofErr w:type="spellStart"/>
      <w:r w:rsidR="00F374EC">
        <w:t>Dž.Innusa</w:t>
      </w:r>
      <w:proofErr w:type="spellEnd"/>
      <w:r w:rsidR="005C1BDA" w:rsidRPr="00365014">
        <w:tab/>
      </w:r>
      <w:r w:rsidR="005C1BDA" w:rsidRPr="00365014">
        <w:tab/>
      </w:r>
      <w:r w:rsidR="005C1BDA" w:rsidRPr="00365014">
        <w:tab/>
      </w:r>
      <w:r w:rsidR="005C1BDA" w:rsidRPr="00365014">
        <w:tab/>
      </w:r>
      <w:r w:rsidR="005C1BDA" w:rsidRPr="00365014">
        <w:tab/>
      </w:r>
      <w:r w:rsidR="005C1BDA" w:rsidRPr="00365014">
        <w:tab/>
      </w:r>
      <w:r w:rsidR="005C1BDA" w:rsidRPr="00365014">
        <w:tab/>
      </w:r>
      <w:r w:rsidR="005C1BDA" w:rsidRPr="00365014">
        <w:tab/>
      </w:r>
      <w:r w:rsidRPr="00365014">
        <w:rPr>
          <w:sz w:val="20"/>
          <w:szCs w:val="20"/>
        </w:rPr>
        <w:t xml:space="preserve"> </w:t>
      </w:r>
    </w:p>
    <w:p w:rsidR="001B6471" w:rsidRPr="00365014" w:rsidRDefault="001B6471" w:rsidP="005C1BDA">
      <w:pPr>
        <w:jc w:val="both"/>
        <w:rPr>
          <w:sz w:val="20"/>
          <w:szCs w:val="20"/>
        </w:rPr>
      </w:pPr>
    </w:p>
    <w:p w:rsidR="001B6471" w:rsidRPr="00365014" w:rsidRDefault="001B6471" w:rsidP="005C1BDA">
      <w:pPr>
        <w:jc w:val="both"/>
        <w:rPr>
          <w:sz w:val="20"/>
          <w:szCs w:val="20"/>
        </w:rPr>
      </w:pPr>
    </w:p>
    <w:p w:rsidR="001B6471" w:rsidRPr="00365014" w:rsidRDefault="001B6471" w:rsidP="005C1BDA">
      <w:pPr>
        <w:jc w:val="both"/>
        <w:rPr>
          <w:sz w:val="20"/>
          <w:szCs w:val="20"/>
        </w:rPr>
      </w:pPr>
    </w:p>
    <w:p w:rsidR="001B6471" w:rsidRPr="00365014" w:rsidRDefault="001B6471" w:rsidP="005C1BDA">
      <w:pPr>
        <w:jc w:val="both"/>
        <w:rPr>
          <w:sz w:val="20"/>
          <w:szCs w:val="20"/>
        </w:rPr>
      </w:pPr>
    </w:p>
    <w:p w:rsidR="001B6471" w:rsidRPr="00365014" w:rsidRDefault="001B6471" w:rsidP="005C1BDA">
      <w:pPr>
        <w:jc w:val="both"/>
        <w:rPr>
          <w:sz w:val="20"/>
          <w:szCs w:val="20"/>
        </w:rPr>
      </w:pPr>
    </w:p>
    <w:p w:rsidR="005C1BDA" w:rsidRPr="00E261E3" w:rsidRDefault="0053449D" w:rsidP="005C1BDA">
      <w:pPr>
        <w:jc w:val="both"/>
        <w:rPr>
          <w:sz w:val="20"/>
          <w:szCs w:val="20"/>
        </w:rPr>
      </w:pPr>
      <w:r w:rsidRPr="00E261E3">
        <w:rPr>
          <w:sz w:val="20"/>
          <w:szCs w:val="20"/>
        </w:rPr>
        <w:t>0</w:t>
      </w:r>
      <w:r w:rsidR="00750498">
        <w:rPr>
          <w:sz w:val="20"/>
          <w:szCs w:val="20"/>
        </w:rPr>
        <w:t>3</w:t>
      </w:r>
      <w:r w:rsidR="005C1BDA" w:rsidRPr="00E261E3">
        <w:rPr>
          <w:sz w:val="20"/>
          <w:szCs w:val="20"/>
        </w:rPr>
        <w:t>.</w:t>
      </w:r>
      <w:r w:rsidRPr="00E261E3">
        <w:rPr>
          <w:sz w:val="20"/>
          <w:szCs w:val="20"/>
        </w:rPr>
        <w:t>10</w:t>
      </w:r>
      <w:r w:rsidR="005C1BDA" w:rsidRPr="00E261E3">
        <w:rPr>
          <w:sz w:val="20"/>
          <w:szCs w:val="20"/>
        </w:rPr>
        <w:t xml:space="preserve">.2017. </w:t>
      </w:r>
      <w:r w:rsidR="00E137CD" w:rsidRPr="00E261E3">
        <w:rPr>
          <w:sz w:val="20"/>
          <w:szCs w:val="20"/>
        </w:rPr>
        <w:t>1</w:t>
      </w:r>
      <w:r w:rsidR="008676E6">
        <w:rPr>
          <w:sz w:val="20"/>
          <w:szCs w:val="20"/>
        </w:rPr>
        <w:t>2</w:t>
      </w:r>
      <w:r w:rsidR="005C1BDA" w:rsidRPr="00E261E3">
        <w:rPr>
          <w:sz w:val="20"/>
          <w:szCs w:val="20"/>
        </w:rPr>
        <w:t>:</w:t>
      </w:r>
      <w:r w:rsidR="008676E6">
        <w:rPr>
          <w:sz w:val="20"/>
          <w:szCs w:val="20"/>
        </w:rPr>
        <w:t>00</w:t>
      </w:r>
    </w:p>
    <w:p w:rsidR="005C1BDA" w:rsidRPr="00E261E3" w:rsidRDefault="00F16B00" w:rsidP="005C1BDA">
      <w:pPr>
        <w:jc w:val="both"/>
        <w:rPr>
          <w:sz w:val="20"/>
          <w:szCs w:val="20"/>
        </w:rPr>
      </w:pPr>
      <w:r w:rsidRPr="00E261E3">
        <w:rPr>
          <w:sz w:val="20"/>
          <w:szCs w:val="20"/>
        </w:rPr>
        <w:t>6</w:t>
      </w:r>
      <w:r w:rsidR="005265E2">
        <w:rPr>
          <w:sz w:val="20"/>
          <w:szCs w:val="20"/>
        </w:rPr>
        <w:t>97</w:t>
      </w:r>
    </w:p>
    <w:p w:rsidR="005C1BDA" w:rsidRPr="00E261E3" w:rsidRDefault="005C1BDA" w:rsidP="005C1BDA">
      <w:pPr>
        <w:jc w:val="both"/>
        <w:rPr>
          <w:sz w:val="20"/>
          <w:szCs w:val="20"/>
        </w:rPr>
      </w:pPr>
      <w:proofErr w:type="spellStart"/>
      <w:r w:rsidRPr="00E261E3">
        <w:rPr>
          <w:sz w:val="20"/>
          <w:szCs w:val="20"/>
        </w:rPr>
        <w:t>K.Keišs</w:t>
      </w:r>
      <w:proofErr w:type="spellEnd"/>
      <w:r w:rsidRPr="00E261E3">
        <w:rPr>
          <w:sz w:val="20"/>
          <w:szCs w:val="20"/>
        </w:rPr>
        <w:t>, 67028017</w:t>
      </w:r>
    </w:p>
    <w:p w:rsidR="005C1BDA" w:rsidRPr="00365014" w:rsidRDefault="005C1BDA" w:rsidP="005C1BDA">
      <w:pPr>
        <w:jc w:val="both"/>
        <w:rPr>
          <w:sz w:val="20"/>
          <w:szCs w:val="20"/>
        </w:rPr>
      </w:pPr>
      <w:r w:rsidRPr="00E261E3">
        <w:rPr>
          <w:sz w:val="20"/>
          <w:szCs w:val="20"/>
        </w:rPr>
        <w:t>Kristaps.Keišs@sam.gov.lv</w:t>
      </w:r>
    </w:p>
    <w:sectPr w:rsidR="005C1BDA" w:rsidRPr="00365014" w:rsidSect="002052E9">
      <w:headerReference w:type="default" r:id="rId7"/>
      <w:footerReference w:type="even" r:id="rId8"/>
      <w:footerReference w:type="default" r:id="rId9"/>
      <w:headerReference w:type="first" r:id="rId10"/>
      <w:footerReference w:type="first" r:id="rId11"/>
      <w:pgSz w:w="11906" w:h="16838" w:code="9"/>
      <w:pgMar w:top="1418" w:right="1418"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526" w:rsidRDefault="00851526">
      <w:r>
        <w:separator/>
      </w:r>
    </w:p>
  </w:endnote>
  <w:endnote w:type="continuationSeparator" w:id="0">
    <w:p w:rsidR="00851526" w:rsidRDefault="008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Pr="00186C21" w:rsidRDefault="00C4730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Pr="002E311E" w:rsidRDefault="00C47301" w:rsidP="00BD685E">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7102CD">
      <w:rPr>
        <w:bCs/>
        <w:noProof/>
        <w:sz w:val="20"/>
        <w:szCs w:val="20"/>
      </w:rPr>
      <w:t>SAMAnot_</w:t>
    </w:r>
    <w:r w:rsidR="00E261E3">
      <w:rPr>
        <w:bCs/>
        <w:noProof/>
        <w:sz w:val="20"/>
        <w:szCs w:val="20"/>
      </w:rPr>
      <w:t>0</w:t>
    </w:r>
    <w:r w:rsidR="00B45AD0">
      <w:rPr>
        <w:bCs/>
        <w:noProof/>
        <w:sz w:val="20"/>
        <w:szCs w:val="20"/>
      </w:rPr>
      <w:t>3</w:t>
    </w:r>
    <w:r w:rsidR="00E261E3">
      <w:rPr>
        <w:bCs/>
        <w:noProof/>
        <w:sz w:val="20"/>
        <w:szCs w:val="20"/>
      </w:rPr>
      <w:t>10</w:t>
    </w:r>
    <w:r w:rsidR="007102CD">
      <w:rPr>
        <w:bCs/>
        <w:noProof/>
        <w:sz w:val="20"/>
        <w:szCs w:val="20"/>
      </w:rPr>
      <w:t>17_Groz_587</w:t>
    </w:r>
    <w:r>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70" w:rsidRPr="00314A70" w:rsidRDefault="00C47301" w:rsidP="00314A70">
    <w:pPr>
      <w:jc w:val="both"/>
      <w:rPr>
        <w:bCs/>
        <w:sz w:val="20"/>
        <w:szCs w:val="20"/>
      </w:rPr>
    </w:pPr>
    <w:r w:rsidRPr="00314A70">
      <w:rPr>
        <w:bCs/>
        <w:sz w:val="20"/>
        <w:szCs w:val="20"/>
      </w:rPr>
      <w:fldChar w:fldCharType="begin"/>
    </w:r>
    <w:r w:rsidRPr="00314A70">
      <w:rPr>
        <w:bCs/>
        <w:sz w:val="20"/>
        <w:szCs w:val="20"/>
      </w:rPr>
      <w:instrText xml:space="preserve"> FILENAME   \* MERGEFORMAT </w:instrText>
    </w:r>
    <w:r w:rsidRPr="00314A70">
      <w:rPr>
        <w:bCs/>
        <w:sz w:val="20"/>
        <w:szCs w:val="20"/>
      </w:rPr>
      <w:fldChar w:fldCharType="separate"/>
    </w:r>
    <w:r w:rsidR="007102CD">
      <w:rPr>
        <w:bCs/>
        <w:noProof/>
        <w:sz w:val="20"/>
        <w:szCs w:val="20"/>
      </w:rPr>
      <w:t>SAMAnot_</w:t>
    </w:r>
    <w:r w:rsidR="00E261E3">
      <w:rPr>
        <w:bCs/>
        <w:noProof/>
        <w:sz w:val="20"/>
        <w:szCs w:val="20"/>
      </w:rPr>
      <w:t>0</w:t>
    </w:r>
    <w:r w:rsidR="00B45AD0">
      <w:rPr>
        <w:bCs/>
        <w:noProof/>
        <w:sz w:val="20"/>
        <w:szCs w:val="20"/>
      </w:rPr>
      <w:t>3</w:t>
    </w:r>
    <w:r w:rsidR="00E261E3">
      <w:rPr>
        <w:bCs/>
        <w:noProof/>
        <w:sz w:val="20"/>
        <w:szCs w:val="20"/>
      </w:rPr>
      <w:t>10</w:t>
    </w:r>
    <w:r w:rsidR="007102CD">
      <w:rPr>
        <w:bCs/>
        <w:noProof/>
        <w:sz w:val="20"/>
        <w:szCs w:val="20"/>
      </w:rPr>
      <w:t>17_Groz_587</w:t>
    </w:r>
    <w:r w:rsidRPr="00314A70">
      <w:rPr>
        <w:bCs/>
        <w:sz w:val="20"/>
        <w:szCs w:val="20"/>
      </w:rPr>
      <w:fldChar w:fldCharType="end"/>
    </w:r>
  </w:p>
  <w:p w:rsidR="004F5197" w:rsidRPr="00330635" w:rsidRDefault="002052E9" w:rsidP="00E1637E">
    <w:pPr>
      <w:jc w:val="both"/>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526" w:rsidRDefault="00851526">
      <w:r>
        <w:separator/>
      </w:r>
    </w:p>
  </w:footnote>
  <w:footnote w:type="continuationSeparator" w:id="0">
    <w:p w:rsidR="00851526" w:rsidRDefault="0085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Default="00C47301"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2E9">
      <w:rPr>
        <w:rStyle w:val="PageNumber"/>
        <w:noProof/>
      </w:rPr>
      <w:t>3</w:t>
    </w:r>
    <w:r>
      <w:rPr>
        <w:rStyle w:val="PageNumber"/>
      </w:rPr>
      <w:fldChar w:fldCharType="end"/>
    </w:r>
  </w:p>
  <w:p w:rsidR="004F5197" w:rsidRDefault="00205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Default="00C47301" w:rsidP="00D21AEC">
    <w:pPr>
      <w:pStyle w:val="Header"/>
      <w:tabs>
        <w:tab w:val="clear" w:pos="4153"/>
        <w:tab w:val="clear" w:pos="8306"/>
        <w:tab w:val="center" w:pos="4535"/>
        <w:tab w:val="right" w:pos="9071"/>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DA"/>
    <w:rsid w:val="00005C85"/>
    <w:rsid w:val="00007B68"/>
    <w:rsid w:val="00086E70"/>
    <w:rsid w:val="0018437C"/>
    <w:rsid w:val="001B6471"/>
    <w:rsid w:val="002052E9"/>
    <w:rsid w:val="002869CF"/>
    <w:rsid w:val="002A432B"/>
    <w:rsid w:val="00306837"/>
    <w:rsid w:val="00353FA8"/>
    <w:rsid w:val="00365014"/>
    <w:rsid w:val="003E6F5D"/>
    <w:rsid w:val="005265E2"/>
    <w:rsid w:val="0053449D"/>
    <w:rsid w:val="00554596"/>
    <w:rsid w:val="005C1BDA"/>
    <w:rsid w:val="00645233"/>
    <w:rsid w:val="006A7DAC"/>
    <w:rsid w:val="00707651"/>
    <w:rsid w:val="007102CD"/>
    <w:rsid w:val="00750498"/>
    <w:rsid w:val="0077204D"/>
    <w:rsid w:val="00785AE1"/>
    <w:rsid w:val="008270E9"/>
    <w:rsid w:val="00851526"/>
    <w:rsid w:val="008676E6"/>
    <w:rsid w:val="008D364A"/>
    <w:rsid w:val="0093445D"/>
    <w:rsid w:val="00A2084C"/>
    <w:rsid w:val="00B45AD0"/>
    <w:rsid w:val="00B919B8"/>
    <w:rsid w:val="00BA6018"/>
    <w:rsid w:val="00C47301"/>
    <w:rsid w:val="00C9576E"/>
    <w:rsid w:val="00D64DD2"/>
    <w:rsid w:val="00E137CD"/>
    <w:rsid w:val="00E261E3"/>
    <w:rsid w:val="00E97FB0"/>
    <w:rsid w:val="00F16B00"/>
    <w:rsid w:val="00F349B1"/>
    <w:rsid w:val="00F374EC"/>
    <w:rsid w:val="00FA2743"/>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CEFA-4584-4D6F-BD34-8FB8E573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84C"/>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1BDA"/>
    <w:pPr>
      <w:tabs>
        <w:tab w:val="center" w:pos="4153"/>
        <w:tab w:val="right" w:pos="8306"/>
      </w:tabs>
    </w:pPr>
    <w:rPr>
      <w:lang w:val="x-none"/>
    </w:rPr>
  </w:style>
  <w:style w:type="character" w:customStyle="1" w:styleId="HeaderChar">
    <w:name w:val="Header Char"/>
    <w:basedOn w:val="DefaultParagraphFont"/>
    <w:link w:val="Header"/>
    <w:rsid w:val="005C1BDA"/>
    <w:rPr>
      <w:rFonts w:ascii="Times New Roman" w:eastAsia="Calibri" w:hAnsi="Times New Roman" w:cs="Times New Roman"/>
      <w:sz w:val="24"/>
      <w:szCs w:val="24"/>
      <w:lang w:val="x-none" w:eastAsia="lv-LV"/>
    </w:rPr>
  </w:style>
  <w:style w:type="character" w:styleId="PageNumber">
    <w:name w:val="page number"/>
    <w:rsid w:val="005C1BDA"/>
    <w:rPr>
      <w:rFonts w:cs="Times New Roman"/>
    </w:rPr>
  </w:style>
  <w:style w:type="paragraph" w:styleId="BodyText2">
    <w:name w:val="Body Text 2"/>
    <w:basedOn w:val="Normal"/>
    <w:link w:val="BodyText2Char"/>
    <w:semiHidden/>
    <w:rsid w:val="005C1BDA"/>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5C1BDA"/>
    <w:rPr>
      <w:rFonts w:ascii="Times New Roman" w:eastAsia="Calibri" w:hAnsi="Times New Roman" w:cs="Times New Roman"/>
      <w:b/>
      <w:bCs/>
      <w:sz w:val="28"/>
      <w:szCs w:val="28"/>
      <w:lang w:val="x-none" w:eastAsia="x-none"/>
    </w:rPr>
  </w:style>
  <w:style w:type="paragraph" w:styleId="ListParagraph">
    <w:name w:val="List Paragraph"/>
    <w:aliases w:val="2,Strip,H&amp;P List Paragraph"/>
    <w:basedOn w:val="Normal"/>
    <w:link w:val="ListParagraphChar"/>
    <w:qFormat/>
    <w:rsid w:val="005C1BDA"/>
    <w:pPr>
      <w:ind w:left="720"/>
      <w:contextualSpacing/>
    </w:pPr>
    <w:rPr>
      <w:rFonts w:eastAsia="Times New Roman"/>
      <w:sz w:val="22"/>
      <w:szCs w:val="22"/>
    </w:rPr>
  </w:style>
  <w:style w:type="paragraph" w:customStyle="1" w:styleId="naisnod">
    <w:name w:val="naisnod"/>
    <w:basedOn w:val="Normal"/>
    <w:rsid w:val="005C1BDA"/>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5C1BDA"/>
    <w:rPr>
      <w:rFonts w:ascii="Times New Roman" w:eastAsia="Times New Roman" w:hAnsi="Times New Roman" w:cs="Times New Roman"/>
      <w:lang w:eastAsia="lv-LV"/>
    </w:rPr>
  </w:style>
  <w:style w:type="paragraph" w:styleId="BalloonText">
    <w:name w:val="Balloon Text"/>
    <w:basedOn w:val="Normal"/>
    <w:link w:val="BalloonTextChar"/>
    <w:uiPriority w:val="99"/>
    <w:semiHidden/>
    <w:unhideWhenUsed/>
    <w:rsid w:val="001B6471"/>
    <w:rPr>
      <w:rFonts w:ascii="Tahoma" w:hAnsi="Tahoma" w:cs="Tahoma"/>
      <w:sz w:val="16"/>
      <w:szCs w:val="16"/>
    </w:rPr>
  </w:style>
  <w:style w:type="character" w:customStyle="1" w:styleId="BalloonTextChar">
    <w:name w:val="Balloon Text Char"/>
    <w:basedOn w:val="DefaultParagraphFont"/>
    <w:link w:val="BalloonText"/>
    <w:uiPriority w:val="99"/>
    <w:semiHidden/>
    <w:rsid w:val="001B6471"/>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2DA7-B668-44FD-8950-6117A385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2016.gada 30.augusta noteikumos Nr.587 "Darbības programmas "Izaugsme un nodarbinātība" 6.1.4. specifiskā atbalsta mērķa "Pilsētu infrastruktūras sasaiste ar TEN-T tīklu" 6.1.4.2.pasākuma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30.augusta noteikumos Nr.587 "Darbības programmas "Izaugsme un nodarbinātība" 6.1.4. specifiskā atbalsta mērķa "Pilsētu infrastruktūras sasaiste ar TEN-T tīklu" 6.1.4.2.pasākuma "Nacionālas nozīmes attīstības centru integrēšana TEN-T tīklā"  īstenošanas noteikumi" sākotnējās ietekmes novērtējuma ziņojums (anotācija)</dc:title>
  <dc:creator>Kristaps.Keiss@sam.gov.lv</dc:creator>
  <cp:lastModifiedBy>Kristaps Keišs</cp:lastModifiedBy>
  <cp:revision>14</cp:revision>
  <cp:lastPrinted>2017-09-11T12:02:00Z</cp:lastPrinted>
  <dcterms:created xsi:type="dcterms:W3CDTF">2017-10-02T13:17:00Z</dcterms:created>
  <dcterms:modified xsi:type="dcterms:W3CDTF">2017-10-03T10:47:00Z</dcterms:modified>
</cp:coreProperties>
</file>