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CB4AAB" w:rsidRPr="00E1755A" w:rsidP="00FD58D0" w14:paraId="24CE619E" w14:textId="1FAA93A3">
      <w:pPr>
        <w:pStyle w:val="naislab"/>
        <w:spacing w:before="0" w:after="60"/>
        <w:jc w:val="center"/>
        <w:outlineLvl w:val="0"/>
        <w:rPr>
          <w:b/>
        </w:rPr>
      </w:pPr>
      <w:r w:rsidRPr="00E1755A">
        <w:rPr>
          <w:b/>
        </w:rPr>
        <w:t>Likumprojekta „</w:t>
      </w:r>
      <w:r w:rsidRPr="00E1755A" w:rsidR="00F13061">
        <w:rPr>
          <w:b/>
        </w:rPr>
        <w:t>Grozījumi Administratīvo pārkāpumu kodeksā</w:t>
      </w:r>
      <w:r w:rsidRPr="00E1755A">
        <w:rPr>
          <w:b/>
        </w:rPr>
        <w:t>”</w:t>
      </w:r>
      <w:r w:rsidR="00463B8C">
        <w:rPr>
          <w:b/>
        </w:rPr>
        <w:t xml:space="preserve"> (VSS-1014)</w:t>
      </w:r>
      <w:r w:rsidRPr="00E1755A">
        <w:rPr>
          <w:b/>
        </w:rPr>
        <w:t xml:space="preserve"> sākotnējās ietekmes novērtējuma </w:t>
      </w:r>
      <w:smartTag w:uri="schemas-tilde-lv/tildestengine" w:element="veidnes">
        <w:smartTagPr>
          <w:attr w:name="baseform" w:val="ziņojums"/>
          <w:attr w:name="id" w:val="-1"/>
          <w:attr w:name="text" w:val="ziņojums"/>
        </w:smartTagPr>
        <w:r w:rsidRPr="00E1755A">
          <w:rPr>
            <w:b/>
          </w:rPr>
          <w:t>ziņojums</w:t>
        </w:r>
      </w:smartTag>
      <w:r w:rsidRPr="00E1755A">
        <w:rPr>
          <w:b/>
        </w:rPr>
        <w:t xml:space="preserve"> (anotācija)</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468"/>
        <w:gridCol w:w="1596"/>
        <w:gridCol w:w="7292"/>
      </w:tblGrid>
      <w:tr w14:paraId="24CE61A0" w14:textId="77777777" w:rsidTr="003D77B9">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Ex>
        <w:trPr>
          <w:trHeight w:val="255"/>
          <w:jc w:val="center"/>
        </w:trPr>
        <w:tc>
          <w:tcPr>
            <w:tcW w:w="0" w:type="auto"/>
            <w:gridSpan w:val="3"/>
            <w:vAlign w:val="center"/>
          </w:tcPr>
          <w:p w:rsidR="00CB4AAB" w:rsidRPr="00E1755A" w:rsidP="00E51C74" w14:paraId="24CE619F" w14:textId="57C566B2">
            <w:pPr>
              <w:spacing w:before="60" w:after="60"/>
              <w:jc w:val="center"/>
              <w:rPr>
                <w:rFonts w:ascii="Times New Roman" w:hAnsi="Times New Roman"/>
                <w:b/>
                <w:bCs/>
                <w:sz w:val="24"/>
                <w:szCs w:val="24"/>
                <w:lang w:eastAsia="lv-LV"/>
              </w:rPr>
            </w:pPr>
            <w:r w:rsidRPr="00E1755A">
              <w:rPr>
                <w:rFonts w:ascii="Times New Roman" w:hAnsi="Times New Roman"/>
                <w:b/>
                <w:bCs/>
                <w:sz w:val="24"/>
                <w:szCs w:val="24"/>
                <w:lang w:eastAsia="lv-LV"/>
              </w:rPr>
              <w:t>I.</w:t>
            </w:r>
            <w:r w:rsidRPr="00E1755A" w:rsidR="00FB512D">
              <w:rPr>
                <w:rFonts w:ascii="Times New Roman" w:hAnsi="Times New Roman"/>
                <w:b/>
                <w:bCs/>
                <w:sz w:val="24"/>
                <w:szCs w:val="24"/>
                <w:lang w:eastAsia="lv-LV"/>
              </w:rPr>
              <w:t> </w:t>
            </w:r>
            <w:r w:rsidRPr="00E1755A">
              <w:rPr>
                <w:rFonts w:ascii="Times New Roman" w:hAnsi="Times New Roman"/>
                <w:b/>
                <w:bCs/>
                <w:sz w:val="24"/>
                <w:szCs w:val="24"/>
                <w:lang w:eastAsia="lv-LV"/>
              </w:rPr>
              <w:t>Tiesību akta projekta izstrādes nepieciešamība</w:t>
            </w:r>
          </w:p>
        </w:tc>
      </w:tr>
      <w:tr w14:paraId="24CE61A9" w14:textId="77777777" w:rsidTr="003D77B9">
        <w:tblPrEx>
          <w:tblW w:w="9356" w:type="dxa"/>
          <w:jc w:val="center"/>
          <w:tblCellMar>
            <w:left w:w="57" w:type="dxa"/>
            <w:right w:w="57" w:type="dxa"/>
          </w:tblCellMar>
          <w:tblLook w:val="00A0"/>
        </w:tblPrEx>
        <w:trPr>
          <w:trHeight w:val="405"/>
          <w:jc w:val="center"/>
        </w:trPr>
        <w:tc>
          <w:tcPr>
            <w:tcW w:w="250" w:type="pct"/>
          </w:tcPr>
          <w:p w:rsidR="00CB4AAB" w:rsidRPr="00E1755A" w:rsidP="00E51C74" w14:paraId="24CE61A1" w14:textId="77777777">
            <w:pPr>
              <w:spacing w:before="60" w:after="60"/>
              <w:jc w:val="center"/>
              <w:rPr>
                <w:rFonts w:ascii="Times New Roman" w:hAnsi="Times New Roman"/>
                <w:sz w:val="24"/>
                <w:szCs w:val="24"/>
                <w:lang w:eastAsia="lv-LV"/>
              </w:rPr>
            </w:pPr>
            <w:r w:rsidRPr="00E1755A">
              <w:rPr>
                <w:rFonts w:ascii="Times New Roman" w:hAnsi="Times New Roman"/>
                <w:sz w:val="24"/>
                <w:szCs w:val="24"/>
                <w:lang w:eastAsia="lv-LV"/>
              </w:rPr>
              <w:t>1.</w:t>
            </w:r>
          </w:p>
        </w:tc>
        <w:tc>
          <w:tcPr>
            <w:tcW w:w="853" w:type="pct"/>
          </w:tcPr>
          <w:p w:rsidR="00CB4AAB" w:rsidRPr="00E1755A" w:rsidP="00E51C74" w14:paraId="24CE61A2" w14:textId="77777777">
            <w:pPr>
              <w:spacing w:before="60" w:after="60"/>
              <w:jc w:val="left"/>
              <w:rPr>
                <w:rFonts w:ascii="Times New Roman" w:hAnsi="Times New Roman"/>
                <w:sz w:val="24"/>
                <w:szCs w:val="24"/>
                <w:lang w:eastAsia="lv-LV"/>
              </w:rPr>
            </w:pPr>
            <w:r w:rsidRPr="00E1755A">
              <w:rPr>
                <w:rFonts w:ascii="Times New Roman" w:hAnsi="Times New Roman"/>
                <w:sz w:val="24"/>
                <w:szCs w:val="24"/>
                <w:lang w:eastAsia="lv-LV"/>
              </w:rPr>
              <w:t>Pamatojums</w:t>
            </w:r>
          </w:p>
        </w:tc>
        <w:tc>
          <w:tcPr>
            <w:tcW w:w="3897" w:type="pct"/>
          </w:tcPr>
          <w:p w:rsidR="00927641" w:rsidP="009B0BF3" w14:paraId="20C423B9" w14:textId="77777777">
            <w:pPr>
              <w:pStyle w:val="naiskr"/>
              <w:spacing w:before="60" w:after="60"/>
              <w:jc w:val="both"/>
            </w:pPr>
            <w:r w:rsidRPr="00E1755A">
              <w:t xml:space="preserve">Likumprojekts „Grozījumi </w:t>
            </w:r>
            <w:r w:rsidRPr="00E1755A" w:rsidR="005F1AD2">
              <w:t>Administratīvo pārkāpumu kodeksā”</w:t>
            </w:r>
            <w:r w:rsidRPr="00E1755A">
              <w:t xml:space="preserve"> (turpmāk</w:t>
            </w:r>
            <w:r w:rsidRPr="00E1755A" w:rsidR="00FB512D">
              <w:t xml:space="preserve"> </w:t>
            </w:r>
            <w:r w:rsidRPr="00E1755A" w:rsidR="00FB512D">
              <w:noBreakHyphen/>
              <w:t xml:space="preserve"> </w:t>
            </w:r>
            <w:r w:rsidRPr="00E1755A">
              <w:t>likumprojekts) izstrādāts pēc</w:t>
            </w:r>
            <w:r>
              <w:t>:</w:t>
            </w:r>
          </w:p>
          <w:p w:rsidR="00CB4AAB" w:rsidRPr="00E1755A" w:rsidP="00861969" w14:paraId="24CE61A3" w14:textId="234A9480">
            <w:pPr>
              <w:pStyle w:val="naiskr"/>
              <w:spacing w:before="60" w:after="60"/>
              <w:jc w:val="both"/>
            </w:pPr>
            <w:r w:rsidRPr="00861969">
              <w:rPr>
                <w:b/>
              </w:rPr>
              <w:t>1.</w:t>
            </w:r>
            <w:r w:rsidR="00233F94">
              <w:t> </w:t>
            </w:r>
            <w:r w:rsidRPr="00E1755A">
              <w:t>Vides aizsardzības un reģionālās attīstības ministrijas (turpmāk – VARAM) iniciatīvas, lai:</w:t>
            </w:r>
          </w:p>
          <w:p w:rsidR="005F1AD2" w:rsidRPr="00E1755A" w:rsidP="00F622C9" w14:paraId="1A211F38" w14:textId="055232D6">
            <w:pPr>
              <w:pStyle w:val="naiskr"/>
              <w:numPr>
                <w:ilvl w:val="0"/>
                <w:numId w:val="10"/>
              </w:numPr>
              <w:spacing w:before="60" w:after="60"/>
              <w:ind w:left="284" w:hanging="284"/>
              <w:jc w:val="both"/>
              <w:rPr>
                <w:color w:val="000000" w:themeColor="text1"/>
              </w:rPr>
            </w:pPr>
            <w:r w:rsidRPr="00E1755A">
              <w:rPr>
                <w:color w:val="000000" w:themeColor="text1"/>
              </w:rPr>
              <w:t>korekti izteiktu kompetences par administratīvo atbildību attiecībā uz E</w:t>
            </w:r>
            <w:r w:rsidR="00255EBC">
              <w:rPr>
                <w:color w:val="000000" w:themeColor="text1"/>
              </w:rPr>
              <w:t xml:space="preserve">iropas </w:t>
            </w:r>
            <w:r w:rsidRPr="00E1755A">
              <w:rPr>
                <w:color w:val="000000" w:themeColor="text1"/>
              </w:rPr>
              <w:t>S</w:t>
            </w:r>
            <w:r w:rsidR="00255EBC">
              <w:rPr>
                <w:color w:val="000000" w:themeColor="text1"/>
              </w:rPr>
              <w:t>avienības (turpmāk – ES)</w:t>
            </w:r>
            <w:r w:rsidRPr="00E1755A">
              <w:rPr>
                <w:color w:val="000000" w:themeColor="text1"/>
              </w:rPr>
              <w:t xml:space="preserve"> emisijas kvotu tirdzniecības sistēmas (</w:t>
            </w:r>
            <w:r w:rsidRPr="00E1755A" w:rsidR="00644ECE">
              <w:rPr>
                <w:color w:val="000000" w:themeColor="text1"/>
              </w:rPr>
              <w:t xml:space="preserve">turpmāk </w:t>
            </w:r>
            <w:r w:rsidR="00255EBC">
              <w:rPr>
                <w:color w:val="000000" w:themeColor="text1"/>
              </w:rPr>
              <w:t>–</w:t>
            </w:r>
            <w:r w:rsidRPr="00E1755A" w:rsidR="00644ECE">
              <w:rPr>
                <w:color w:val="000000" w:themeColor="text1"/>
              </w:rPr>
              <w:t xml:space="preserve"> </w:t>
            </w:r>
            <w:r w:rsidRPr="00E1755A">
              <w:rPr>
                <w:color w:val="000000" w:themeColor="text1"/>
              </w:rPr>
              <w:t xml:space="preserve">ETS) gaisa kuģu operatoru pienākumu nepildīšanu: likumprojektā šī kompetence tiek noteikta </w:t>
            </w:r>
            <w:r w:rsidRPr="00E1755A" w:rsidR="00FB512D">
              <w:t xml:space="preserve">valsts aģentūrai „Civilās aviācijas aģentūra” (turpmāk </w:t>
            </w:r>
            <w:r w:rsidR="00255EBC">
              <w:t>–</w:t>
            </w:r>
            <w:r w:rsidRPr="00E1755A" w:rsidR="00FB512D">
              <w:t xml:space="preserve"> </w:t>
            </w:r>
            <w:r w:rsidRPr="00E1755A">
              <w:rPr>
                <w:color w:val="000000" w:themeColor="text1"/>
              </w:rPr>
              <w:t>Civilās aviācijas aģentūra</w:t>
            </w:r>
            <w:r w:rsidRPr="00E1755A" w:rsidR="00FB512D">
              <w:rPr>
                <w:color w:val="000000" w:themeColor="text1"/>
              </w:rPr>
              <w:t>)</w:t>
            </w:r>
            <w:r w:rsidRPr="00E1755A" w:rsidR="00501123">
              <w:rPr>
                <w:color w:val="000000" w:themeColor="text1"/>
              </w:rPr>
              <w:t xml:space="preserve"> un </w:t>
            </w:r>
            <w:r w:rsidRPr="00E1755A">
              <w:rPr>
                <w:color w:val="000000" w:themeColor="text1"/>
              </w:rPr>
              <w:t>nevis Valsts vides dienestam</w:t>
            </w:r>
            <w:r w:rsidR="006D108D">
              <w:rPr>
                <w:color w:val="000000" w:themeColor="text1"/>
              </w:rPr>
              <w:t xml:space="preserve"> (turpmāk – VVD)</w:t>
            </w:r>
            <w:r w:rsidRPr="00E1755A" w:rsidR="00FB512D">
              <w:rPr>
                <w:color w:val="000000" w:themeColor="text1"/>
              </w:rPr>
              <w:t>,</w:t>
            </w:r>
            <w:r w:rsidRPr="00E1755A" w:rsidR="00501123">
              <w:rPr>
                <w:color w:val="000000" w:themeColor="text1"/>
              </w:rPr>
              <w:t xml:space="preserve"> kā tas ir šobrīd</w:t>
            </w:r>
            <w:r w:rsidRPr="00E1755A">
              <w:rPr>
                <w:color w:val="000000" w:themeColor="text1"/>
              </w:rPr>
              <w:t>;</w:t>
            </w:r>
          </w:p>
          <w:p w:rsidR="006F7387" w:rsidRPr="00D010A9" w:rsidP="00D010A9" w14:paraId="352866F7" w14:textId="5BD8F8A6">
            <w:pPr>
              <w:pStyle w:val="naiskr"/>
              <w:numPr>
                <w:ilvl w:val="0"/>
                <w:numId w:val="10"/>
              </w:numPr>
              <w:spacing w:before="60" w:after="60"/>
              <w:ind w:left="284" w:hanging="284"/>
              <w:jc w:val="both"/>
            </w:pPr>
            <w:r>
              <w:rPr>
                <w:color w:val="000000" w:themeColor="text1"/>
              </w:rPr>
              <w:t>noteiktu</w:t>
            </w:r>
            <w:r w:rsidRPr="00E1755A" w:rsidR="005F1AD2">
              <w:rPr>
                <w:color w:val="000000" w:themeColor="text1"/>
              </w:rPr>
              <w:t xml:space="preserve"> administratīvo atbildību </w:t>
            </w:r>
            <w:r>
              <w:rPr>
                <w:color w:val="000000" w:themeColor="text1"/>
              </w:rPr>
              <w:t xml:space="preserve">par </w:t>
            </w:r>
            <w:r w:rsidRPr="00E1755A">
              <w:rPr>
                <w:color w:val="000000" w:themeColor="text1"/>
              </w:rPr>
              <w:t>jūras transporta oglekļa dioksīda (</w:t>
            </w:r>
            <w:r w:rsidR="00FC1363">
              <w:rPr>
                <w:color w:val="000000" w:themeColor="text1"/>
              </w:rPr>
              <w:t xml:space="preserve">turpmāk </w:t>
            </w:r>
            <w:r w:rsidR="00F00469">
              <w:rPr>
                <w:color w:val="000000" w:themeColor="text1"/>
              </w:rPr>
              <w:t>–</w:t>
            </w:r>
            <w:r w:rsidR="00FC1363">
              <w:rPr>
                <w:color w:val="000000" w:themeColor="text1"/>
              </w:rPr>
              <w:t xml:space="preserve"> </w:t>
            </w:r>
            <w:r w:rsidRPr="00E1755A">
              <w:rPr>
                <w:color w:val="000000" w:themeColor="text1"/>
              </w:rPr>
              <w:t>CO</w:t>
            </w:r>
            <w:r w:rsidRPr="00E1755A">
              <w:rPr>
                <w:color w:val="000000" w:themeColor="text1"/>
                <w:vertAlign w:val="subscript"/>
              </w:rPr>
              <w:t>2</w:t>
            </w:r>
            <w:r w:rsidRPr="00E1755A">
              <w:rPr>
                <w:color w:val="000000" w:themeColor="text1"/>
              </w:rPr>
              <w:t>) emisiju monitoring</w:t>
            </w:r>
            <w:r>
              <w:rPr>
                <w:color w:val="000000" w:themeColor="text1"/>
              </w:rPr>
              <w:t xml:space="preserve">a, ziņošanas un verifikācijas pienākumu, kas </w:t>
            </w:r>
            <w:r w:rsidRPr="00F622C9" w:rsidR="00F622C9">
              <w:rPr>
                <w:color w:val="000000" w:themeColor="text1"/>
              </w:rPr>
              <w:t>kuģiem ar bruto tonnāžu virs 5</w:t>
            </w:r>
            <w:r w:rsidR="00FC1363">
              <w:rPr>
                <w:color w:val="000000" w:themeColor="text1"/>
              </w:rPr>
              <w:t> </w:t>
            </w:r>
            <w:r w:rsidRPr="00F622C9" w:rsidR="00F622C9">
              <w:rPr>
                <w:color w:val="000000" w:themeColor="text1"/>
              </w:rPr>
              <w:t>000 t</w:t>
            </w:r>
            <w:r w:rsidR="00FC1363">
              <w:rPr>
                <w:color w:val="000000" w:themeColor="text1"/>
              </w:rPr>
              <w:t>onnām</w:t>
            </w:r>
            <w:r>
              <w:rPr>
                <w:rStyle w:val="FootnoteReference"/>
                <w:color w:val="000000" w:themeColor="text1"/>
              </w:rPr>
              <w:footnoteReference w:id="3"/>
            </w:r>
            <w:r w:rsidRPr="00F622C9" w:rsidR="00F622C9">
              <w:rPr>
                <w:color w:val="000000" w:themeColor="text1"/>
              </w:rPr>
              <w:t xml:space="preserve"> </w:t>
            </w:r>
            <w:r>
              <w:rPr>
                <w:color w:val="000000" w:themeColor="text1"/>
              </w:rPr>
              <w:t xml:space="preserve">ir noteikti </w:t>
            </w:r>
            <w:r w:rsidR="00FC1363">
              <w:rPr>
                <w:color w:val="000000" w:themeColor="text1"/>
              </w:rPr>
              <w:t xml:space="preserve">ar </w:t>
            </w:r>
            <w:r w:rsidRPr="00E1755A">
              <w:rPr>
                <w:color w:val="000000" w:themeColor="text1"/>
              </w:rPr>
              <w:t xml:space="preserve">Eiropas Parlamenta un Padomes 2015. gada 29. aprīļa </w:t>
            </w:r>
            <w:r w:rsidR="0052604F">
              <w:rPr>
                <w:color w:val="000000" w:themeColor="text1"/>
              </w:rPr>
              <w:t>R</w:t>
            </w:r>
            <w:r w:rsidRPr="00E1755A">
              <w:rPr>
                <w:color w:val="000000" w:themeColor="text1"/>
              </w:rPr>
              <w:t>egulu 2015/757</w:t>
            </w:r>
            <w:r w:rsidR="0052604F">
              <w:rPr>
                <w:color w:val="000000" w:themeColor="text1"/>
              </w:rPr>
              <w:t>/ES</w:t>
            </w:r>
            <w:r w:rsidR="00742F0B">
              <w:rPr>
                <w:color w:val="000000" w:themeColor="text1"/>
              </w:rPr>
              <w:t xml:space="preserve"> </w:t>
            </w:r>
            <w:r w:rsidRPr="00E1755A">
              <w:rPr>
                <w:color w:val="000000" w:themeColor="text1"/>
              </w:rPr>
              <w:t>par jūras transporta oglekļa dioksīda emisiju monitoringu, ziņošanu un verifikāciju un ar ko groza Direktīvu 2009/16/EK</w:t>
            </w:r>
            <w:r>
              <w:rPr>
                <w:color w:val="000000" w:themeColor="text1"/>
              </w:rPr>
              <w:t xml:space="preserve"> (turpmāk – regula Nr.</w:t>
            </w:r>
            <w:r w:rsidR="00FC1363">
              <w:rPr>
                <w:color w:val="000000" w:themeColor="text1"/>
              </w:rPr>
              <w:t> </w:t>
            </w:r>
            <w:r>
              <w:rPr>
                <w:color w:val="000000" w:themeColor="text1"/>
              </w:rPr>
              <w:t xml:space="preserve">2015/757), nepildīšanu. </w:t>
            </w:r>
            <w:r w:rsidR="00F622C9">
              <w:rPr>
                <w:color w:val="000000" w:themeColor="text1"/>
              </w:rPr>
              <w:t xml:space="preserve">Šī administratīvā atbildība tiek piemērota </w:t>
            </w:r>
            <w:r w:rsidRPr="00F622C9" w:rsidR="00F622C9">
              <w:rPr>
                <w:color w:val="000000" w:themeColor="text1"/>
              </w:rPr>
              <w:t>Regulas Nr.</w:t>
            </w:r>
            <w:r w:rsidR="000E21B2">
              <w:rPr>
                <w:color w:val="000000" w:themeColor="text1"/>
              </w:rPr>
              <w:t> </w:t>
            </w:r>
            <w:r w:rsidRPr="00F622C9" w:rsidR="00F622C9">
              <w:rPr>
                <w:color w:val="000000" w:themeColor="text1"/>
              </w:rPr>
              <w:t>2015/757 3.</w:t>
            </w:r>
            <w:r w:rsidR="000E21B2">
              <w:rPr>
                <w:color w:val="000000" w:themeColor="text1"/>
              </w:rPr>
              <w:t> </w:t>
            </w:r>
            <w:r w:rsidRPr="00F622C9" w:rsidR="00F622C9">
              <w:rPr>
                <w:color w:val="000000" w:themeColor="text1"/>
              </w:rPr>
              <w:t>panta „d” punktā definēt</w:t>
            </w:r>
            <w:r w:rsidR="00F622C9">
              <w:rPr>
                <w:color w:val="000000" w:themeColor="text1"/>
              </w:rPr>
              <w:t xml:space="preserve">ajam uzņēmumam, kas saskaņā ar minēto definīciju ir </w:t>
            </w:r>
            <w:r w:rsidRPr="00F622C9" w:rsidR="00F622C9">
              <w:rPr>
                <w:color w:val="000000" w:themeColor="text1"/>
              </w:rPr>
              <w:t>„</w:t>
            </w:r>
            <w:r w:rsidRPr="00D010A9" w:rsidR="00F622C9">
              <w:rPr>
                <w:color w:val="000000" w:themeColor="text1"/>
                <w:u w:val="single"/>
              </w:rPr>
              <w:t>kuģa īpašnieks vai jebkura cita organizācija vai persona, piemēram, pārvaldnieks vai bezapkalpes kuģa fraktētājs, kas no kuģa īpašnieka pārņēmis atbildību par kuģa darbību</w:t>
            </w:r>
            <w:r w:rsidRPr="00F622C9" w:rsidR="00F622C9">
              <w:rPr>
                <w:color w:val="000000" w:themeColor="text1"/>
              </w:rPr>
              <w:t xml:space="preserve">”. </w:t>
            </w:r>
            <w:r w:rsidR="000E21B2">
              <w:rPr>
                <w:color w:val="000000" w:themeColor="text1"/>
              </w:rPr>
              <w:t>Ar likumprojektu</w:t>
            </w:r>
            <w:r w:rsidRPr="00E1755A">
              <w:rPr>
                <w:color w:val="000000" w:themeColor="text1"/>
              </w:rPr>
              <w:t xml:space="preserve"> noteiktie naudas sodi</w:t>
            </w:r>
            <w:r w:rsidR="006D108D">
              <w:rPr>
                <w:color w:val="000000" w:themeColor="text1"/>
              </w:rPr>
              <w:t xml:space="preserve"> </w:t>
            </w:r>
            <w:r w:rsidRPr="00E1755A" w:rsidR="006D108D">
              <w:rPr>
                <w:color w:val="000000" w:themeColor="text1"/>
              </w:rPr>
              <w:t>ir pielāgoti</w:t>
            </w:r>
            <w:r w:rsidR="006D108D">
              <w:rPr>
                <w:color w:val="000000" w:themeColor="text1"/>
              </w:rPr>
              <w:t xml:space="preserve"> tiem soda apjomiem, kas ir noteikti</w:t>
            </w:r>
            <w:r w:rsidRPr="00E1755A" w:rsidR="006D108D">
              <w:rPr>
                <w:color w:val="000000" w:themeColor="text1"/>
              </w:rPr>
              <w:t xml:space="preserve"> ES ETS operatoriem un gaisa kuģu operatoriem</w:t>
            </w:r>
            <w:r>
              <w:rPr>
                <w:color w:val="000000" w:themeColor="text1"/>
              </w:rPr>
              <w:t>;</w:t>
            </w:r>
          </w:p>
          <w:p w:rsidR="00F07CD0" w:rsidRPr="00861969" w:rsidP="00D010A9" w14:paraId="1B98EFCE" w14:textId="17F4A3A9">
            <w:pPr>
              <w:pStyle w:val="naiskr"/>
              <w:numPr>
                <w:ilvl w:val="0"/>
                <w:numId w:val="10"/>
              </w:numPr>
              <w:spacing w:before="60" w:after="60"/>
              <w:ind w:left="284" w:hanging="284"/>
              <w:jc w:val="both"/>
            </w:pPr>
            <w:r>
              <w:rPr>
                <w:color w:val="000000" w:themeColor="text1"/>
              </w:rPr>
              <w:t xml:space="preserve">izteiktu kompetences par administratīvo atbildību attiecībā uz </w:t>
            </w:r>
            <w:r w:rsidR="002011A8">
              <w:rPr>
                <w:color w:val="000000" w:themeColor="text1"/>
              </w:rPr>
              <w:t xml:space="preserve">jūras </w:t>
            </w:r>
            <w:r w:rsidRPr="00E1755A">
              <w:rPr>
                <w:color w:val="000000" w:themeColor="text1"/>
              </w:rPr>
              <w:t>transporta CO</w:t>
            </w:r>
            <w:r w:rsidRPr="00E1755A">
              <w:rPr>
                <w:color w:val="000000" w:themeColor="text1"/>
                <w:vertAlign w:val="subscript"/>
              </w:rPr>
              <w:t>2</w:t>
            </w:r>
            <w:r w:rsidRPr="00E1755A">
              <w:rPr>
                <w:color w:val="000000" w:themeColor="text1"/>
              </w:rPr>
              <w:t xml:space="preserve"> emisiju monitoring</w:t>
            </w:r>
            <w:r>
              <w:rPr>
                <w:color w:val="000000" w:themeColor="text1"/>
              </w:rPr>
              <w:t>a, ziņošanas un verifikācijas pienākumu nepildīšanu</w:t>
            </w:r>
            <w:r>
              <w:t xml:space="preserve">. </w:t>
            </w:r>
            <w:r w:rsidR="000E21B2">
              <w:t xml:space="preserve">Ar likumprojektu </w:t>
            </w:r>
            <w:r w:rsidR="000E21B2">
              <w:rPr>
                <w:color w:val="000000" w:themeColor="text1"/>
              </w:rPr>
              <w:t>kompetentā iestāde</w:t>
            </w:r>
            <w:r w:rsidRPr="00E1755A">
              <w:rPr>
                <w:color w:val="000000" w:themeColor="text1"/>
              </w:rPr>
              <w:t xml:space="preserve"> par administratīvo pārkāpumu protokolu sastādīšanu</w:t>
            </w:r>
            <w:r w:rsidR="006D108D">
              <w:rPr>
                <w:color w:val="000000" w:themeColor="text1"/>
              </w:rPr>
              <w:t>,</w:t>
            </w:r>
            <w:r w:rsidRPr="00E1755A">
              <w:rPr>
                <w:color w:val="000000" w:themeColor="text1"/>
              </w:rPr>
              <w:t xml:space="preserve"> administratīvo pārkāpumu lietas izskatīšanu un administratīvo sodu uzlikšanu tiek notei</w:t>
            </w:r>
            <w:r w:rsidR="000E21B2">
              <w:rPr>
                <w:color w:val="000000" w:themeColor="text1"/>
              </w:rPr>
              <w:t>kts</w:t>
            </w:r>
            <w:r w:rsidRPr="00E1755A">
              <w:rPr>
                <w:color w:val="000000" w:themeColor="text1"/>
              </w:rPr>
              <w:t xml:space="preserve"> </w:t>
            </w:r>
            <w:r w:rsidR="00233F94">
              <w:rPr>
                <w:color w:val="000000" w:themeColor="text1"/>
              </w:rPr>
              <w:t>V</w:t>
            </w:r>
            <w:r w:rsidR="006D108D">
              <w:rPr>
                <w:color w:val="000000" w:themeColor="text1"/>
              </w:rPr>
              <w:t>VD</w:t>
            </w:r>
            <w:r>
              <w:rPr>
                <w:color w:val="000000" w:themeColor="text1"/>
              </w:rPr>
              <w:t>.</w:t>
            </w:r>
          </w:p>
          <w:p w:rsidR="00927641" w:rsidRPr="00927641" w:rsidP="00927641" w14:paraId="24CE61A8" w14:textId="7F344972">
            <w:pPr>
              <w:pStyle w:val="naiskr"/>
              <w:spacing w:before="60" w:after="60"/>
              <w:jc w:val="both"/>
            </w:pPr>
            <w:r>
              <w:rPr>
                <w:b/>
                <w:color w:val="000000" w:themeColor="text1"/>
              </w:rPr>
              <w:t>2.</w:t>
            </w:r>
            <w:r w:rsidR="0052604F">
              <w:rPr>
                <w:b/>
                <w:color w:val="000000" w:themeColor="text1"/>
              </w:rPr>
              <w:t> </w:t>
            </w:r>
            <w:r>
              <w:rPr>
                <w:color w:val="000000" w:themeColor="text1"/>
              </w:rPr>
              <w:t>Ekonomikas minis</w:t>
            </w:r>
            <w:r w:rsidR="000E21B2">
              <w:rPr>
                <w:color w:val="000000" w:themeColor="text1"/>
              </w:rPr>
              <w:t>trijas iniciatīvas, lai pārņemtu</w:t>
            </w:r>
            <w:r>
              <w:rPr>
                <w:color w:val="000000" w:themeColor="text1"/>
              </w:rPr>
              <w:t xml:space="preserve"> Eiropas Padomes 2015.</w:t>
            </w:r>
            <w:r w:rsidR="0052604F">
              <w:rPr>
                <w:color w:val="000000" w:themeColor="text1"/>
              </w:rPr>
              <w:t> </w:t>
            </w:r>
            <w:r w:rsidRPr="00927641">
              <w:rPr>
                <w:color w:val="000000" w:themeColor="text1"/>
              </w:rPr>
              <w:t>gada 20.</w:t>
            </w:r>
            <w:r w:rsidR="0052604F">
              <w:rPr>
                <w:color w:val="000000" w:themeColor="text1"/>
              </w:rPr>
              <w:t> </w:t>
            </w:r>
            <w:r w:rsidRPr="00927641">
              <w:rPr>
                <w:color w:val="000000" w:themeColor="text1"/>
              </w:rPr>
              <w:t>aprī</w:t>
            </w:r>
            <w:r>
              <w:rPr>
                <w:color w:val="000000" w:themeColor="text1"/>
              </w:rPr>
              <w:t xml:space="preserve">ļa </w:t>
            </w:r>
            <w:r w:rsidR="0052604F">
              <w:rPr>
                <w:color w:val="000000" w:themeColor="text1"/>
              </w:rPr>
              <w:t>D</w:t>
            </w:r>
            <w:r>
              <w:rPr>
                <w:color w:val="000000" w:themeColor="text1"/>
              </w:rPr>
              <w:t xml:space="preserve">irektīvas </w:t>
            </w:r>
            <w:r w:rsidRPr="00927641">
              <w:rPr>
                <w:color w:val="000000" w:themeColor="text1"/>
              </w:rPr>
              <w:t>2015/652</w:t>
            </w:r>
            <w:r w:rsidR="0052604F">
              <w:rPr>
                <w:color w:val="000000" w:themeColor="text1"/>
              </w:rPr>
              <w:t>/ES</w:t>
            </w:r>
            <w:r>
              <w:rPr>
                <w:color w:val="000000" w:themeColor="text1"/>
              </w:rPr>
              <w:t xml:space="preserve">, </w:t>
            </w:r>
            <w:r w:rsidRPr="00927641">
              <w:rPr>
                <w:color w:val="000000" w:themeColor="text1"/>
              </w:rPr>
              <w:t>ar ko nosaka aprēķina metodes un ziņošanas prasības, ievērojot Eiropas Parlamenta un Padomes Direktīvu 98/70/EK, attiecībā uz benzīna un dīzeļdegvielu kvalitāti</w:t>
            </w:r>
            <w:r>
              <w:rPr>
                <w:color w:val="000000" w:themeColor="text1"/>
              </w:rPr>
              <w:t xml:space="preserve"> (turpmāk – direktīva Nr.</w:t>
            </w:r>
            <w:r w:rsidR="0052604F">
              <w:rPr>
                <w:color w:val="000000" w:themeColor="text1"/>
              </w:rPr>
              <w:t> </w:t>
            </w:r>
            <w:r>
              <w:rPr>
                <w:color w:val="000000" w:themeColor="text1"/>
              </w:rPr>
              <w:t>2015/652) 6.</w:t>
            </w:r>
            <w:r w:rsidR="0052604F">
              <w:rPr>
                <w:color w:val="000000" w:themeColor="text1"/>
              </w:rPr>
              <w:t> </w:t>
            </w:r>
            <w:r>
              <w:rPr>
                <w:color w:val="000000" w:themeColor="text1"/>
              </w:rPr>
              <w:t>panta nosacījumu, kas no</w:t>
            </w:r>
            <w:r w:rsidR="0052604F">
              <w:rPr>
                <w:color w:val="000000" w:themeColor="text1"/>
              </w:rPr>
              <w:t>teic</w:t>
            </w:r>
            <w:r>
              <w:rPr>
                <w:color w:val="000000" w:themeColor="text1"/>
              </w:rPr>
              <w:t xml:space="preserve">, ka </w:t>
            </w:r>
            <w:r w:rsidR="0052604F">
              <w:rPr>
                <w:color w:val="000000" w:themeColor="text1"/>
              </w:rPr>
              <w:t xml:space="preserve">ES </w:t>
            </w:r>
            <w:r>
              <w:rPr>
                <w:color w:val="000000" w:themeColor="text1"/>
              </w:rPr>
              <w:t xml:space="preserve">dalībvalstīm ir jāpieņem </w:t>
            </w:r>
            <w:r w:rsidRPr="00927641">
              <w:rPr>
                <w:color w:val="000000" w:themeColor="text1"/>
              </w:rPr>
              <w:t>noteikumus par sankcijām, ko piemēro</w:t>
            </w:r>
            <w:r>
              <w:rPr>
                <w:color w:val="000000" w:themeColor="text1"/>
              </w:rPr>
              <w:t>t</w:t>
            </w:r>
            <w:r w:rsidRPr="00927641">
              <w:rPr>
                <w:color w:val="000000" w:themeColor="text1"/>
              </w:rPr>
              <w:t xml:space="preserve"> par to noteikumu pārkāpumiem, kuri pieņemti saskaņā ar šo direktīvu, un </w:t>
            </w:r>
            <w:r>
              <w:rPr>
                <w:color w:val="000000" w:themeColor="text1"/>
              </w:rPr>
              <w:t>p</w:t>
            </w:r>
            <w:r w:rsidRPr="00927641">
              <w:rPr>
                <w:color w:val="000000" w:themeColor="text1"/>
              </w:rPr>
              <w:t xml:space="preserve">aredzētajām sankcijām jābūt iedarbīgām, samērīgām un atturošām. </w:t>
            </w:r>
            <w:r>
              <w:rPr>
                <w:color w:val="000000" w:themeColor="text1"/>
              </w:rPr>
              <w:t>Ir arī noteikt</w:t>
            </w:r>
            <w:r w:rsidR="0052604F">
              <w:rPr>
                <w:color w:val="000000" w:themeColor="text1"/>
              </w:rPr>
              <w:t>a prasība</w:t>
            </w:r>
            <w:r>
              <w:rPr>
                <w:color w:val="000000" w:themeColor="text1"/>
              </w:rPr>
              <w:t>, ka par šīm sankcijām ir jā</w:t>
            </w:r>
            <w:r w:rsidRPr="00927641">
              <w:rPr>
                <w:color w:val="000000" w:themeColor="text1"/>
              </w:rPr>
              <w:t>paziņo</w:t>
            </w:r>
            <w:r>
              <w:rPr>
                <w:color w:val="000000" w:themeColor="text1"/>
              </w:rPr>
              <w:t xml:space="preserve"> Eiropas</w:t>
            </w:r>
            <w:r w:rsidRPr="00927641">
              <w:rPr>
                <w:color w:val="000000" w:themeColor="text1"/>
              </w:rPr>
              <w:t xml:space="preserve"> Komisijai ne vēlāk kā </w:t>
            </w:r>
            <w:r>
              <w:rPr>
                <w:color w:val="000000" w:themeColor="text1"/>
              </w:rPr>
              <w:t xml:space="preserve">līdz </w:t>
            </w:r>
            <w:r w:rsidRPr="00927641">
              <w:rPr>
                <w:color w:val="000000" w:themeColor="text1"/>
              </w:rPr>
              <w:t>2017.</w:t>
            </w:r>
            <w:r w:rsidR="0052604F">
              <w:rPr>
                <w:color w:val="000000" w:themeColor="text1"/>
              </w:rPr>
              <w:t> </w:t>
            </w:r>
            <w:r w:rsidRPr="00927641">
              <w:rPr>
                <w:color w:val="000000" w:themeColor="text1"/>
              </w:rPr>
              <w:t>gada 21.</w:t>
            </w:r>
            <w:r w:rsidR="0052604F">
              <w:rPr>
                <w:color w:val="000000" w:themeColor="text1"/>
              </w:rPr>
              <w:t> </w:t>
            </w:r>
            <w:r w:rsidRPr="00927641">
              <w:rPr>
                <w:color w:val="000000" w:themeColor="text1"/>
              </w:rPr>
              <w:t>aprīl</w:t>
            </w:r>
            <w:r>
              <w:rPr>
                <w:color w:val="000000" w:themeColor="text1"/>
              </w:rPr>
              <w:t>im</w:t>
            </w:r>
            <w:r w:rsidRPr="00927641">
              <w:rPr>
                <w:color w:val="000000" w:themeColor="text1"/>
              </w:rPr>
              <w:t>.</w:t>
            </w:r>
          </w:p>
        </w:tc>
      </w:tr>
      <w:tr w14:paraId="24CE61D9" w14:textId="77777777" w:rsidTr="003D77B9">
        <w:tblPrEx>
          <w:tblW w:w="9356" w:type="dxa"/>
          <w:jc w:val="center"/>
          <w:tblCellMar>
            <w:left w:w="57" w:type="dxa"/>
            <w:right w:w="57" w:type="dxa"/>
          </w:tblCellMar>
          <w:tblLook w:val="00A0"/>
        </w:tblPrEx>
        <w:trPr>
          <w:trHeight w:val="465"/>
          <w:jc w:val="center"/>
        </w:trPr>
        <w:tc>
          <w:tcPr>
            <w:tcW w:w="250" w:type="pct"/>
          </w:tcPr>
          <w:p w:rsidR="00CB4AAB" w:rsidRPr="00E1755A" w:rsidP="00E51C74" w14:paraId="24CE61AA" w14:textId="6A02CECB">
            <w:pPr>
              <w:spacing w:before="60" w:after="60"/>
              <w:jc w:val="center"/>
              <w:rPr>
                <w:rFonts w:ascii="Times New Roman" w:hAnsi="Times New Roman"/>
                <w:sz w:val="24"/>
                <w:szCs w:val="24"/>
                <w:lang w:eastAsia="lv-LV"/>
              </w:rPr>
            </w:pPr>
            <w:r w:rsidRPr="00E1755A">
              <w:rPr>
                <w:rFonts w:ascii="Times New Roman" w:hAnsi="Times New Roman"/>
                <w:sz w:val="24"/>
                <w:szCs w:val="24"/>
                <w:lang w:eastAsia="lv-LV"/>
              </w:rPr>
              <w:t>2.</w:t>
            </w:r>
          </w:p>
        </w:tc>
        <w:tc>
          <w:tcPr>
            <w:tcW w:w="853" w:type="pct"/>
          </w:tcPr>
          <w:p w:rsidR="00CB4AAB" w:rsidRPr="00E1755A" w:rsidP="00E51C74" w14:paraId="24CE61AB" w14:textId="77777777">
            <w:pPr>
              <w:spacing w:before="60" w:after="60"/>
              <w:jc w:val="left"/>
              <w:rPr>
                <w:rFonts w:ascii="Times New Roman" w:hAnsi="Times New Roman"/>
                <w:sz w:val="24"/>
                <w:szCs w:val="24"/>
                <w:lang w:eastAsia="lv-LV"/>
              </w:rPr>
            </w:pPr>
            <w:r w:rsidRPr="00E1755A">
              <w:rPr>
                <w:rFonts w:ascii="Times New Roman" w:hAnsi="Times New Roman"/>
                <w:sz w:val="24"/>
                <w:szCs w:val="24"/>
                <w:lang w:eastAsia="lv-LV"/>
              </w:rPr>
              <w:t xml:space="preserve">Pašreizējā situācija un </w:t>
            </w:r>
            <w:r w:rsidRPr="00E1755A">
              <w:rPr>
                <w:rFonts w:ascii="Times New Roman" w:hAnsi="Times New Roman"/>
                <w:sz w:val="24"/>
                <w:szCs w:val="24"/>
                <w:lang w:eastAsia="lv-LV"/>
              </w:rPr>
              <w:t>problēmas, kuru risināšanai tiesību akta projekts izstrādāts, tiesiskā regulējuma mērķis un būtība</w:t>
            </w:r>
          </w:p>
        </w:tc>
        <w:tc>
          <w:tcPr>
            <w:tcW w:w="3897" w:type="pct"/>
          </w:tcPr>
          <w:p w:rsidR="00047396" w:rsidRPr="005B1326" w:rsidP="004313BC" w14:paraId="633B99AB" w14:textId="202B7481">
            <w:pPr>
              <w:pStyle w:val="naiskr"/>
              <w:spacing w:before="60" w:after="60"/>
              <w:jc w:val="both"/>
              <w:rPr>
                <w:u w:val="single"/>
              </w:rPr>
            </w:pPr>
            <w:r w:rsidRPr="005B1326">
              <w:rPr>
                <w:u w:val="single"/>
              </w:rPr>
              <w:t>Pašreizējā situācija un problēmas</w:t>
            </w:r>
            <w:r w:rsidRPr="005B1326">
              <w:rPr>
                <w:u w:val="single"/>
              </w:rPr>
              <w:t>, pastāvošais tiesiskais regulējums, tā būtība un nepilnības</w:t>
            </w:r>
          </w:p>
          <w:p w:rsidR="008A1C5C" w:rsidRPr="005B1326" w:rsidP="004313BC" w14:paraId="3FCDC7BE" w14:textId="23E4E64C">
            <w:pPr>
              <w:pStyle w:val="naiskr"/>
              <w:spacing w:before="60" w:after="60"/>
              <w:jc w:val="both"/>
              <w:rPr>
                <w:i/>
              </w:rPr>
            </w:pPr>
            <w:r w:rsidRPr="005B1326">
              <w:rPr>
                <w:i/>
              </w:rPr>
              <w:t>Nosacījumi attiecībā uz ES ETS operatoriem un gaisa kuģu operatoriem</w:t>
            </w:r>
          </w:p>
          <w:p w:rsidR="008A1C5C" w:rsidRPr="005B1326" w:rsidP="004313BC" w14:paraId="185D5E85" w14:textId="052301F3">
            <w:pPr>
              <w:pStyle w:val="naiskr"/>
              <w:spacing w:before="60" w:after="60"/>
              <w:jc w:val="both"/>
            </w:pPr>
            <w:r w:rsidRPr="005B1326">
              <w:t>ES ETS darbību Latvijā regulē likums „Par piesārņojumu” un uz tā pamata izdotie Ministru kabineta noteikumi:</w:t>
            </w:r>
          </w:p>
          <w:p w:rsidR="002B1701" w:rsidRPr="005B1326" w:rsidP="005B1326" w14:paraId="2B0E87A4" w14:textId="52C24450">
            <w:pPr>
              <w:pStyle w:val="naiskr"/>
              <w:numPr>
                <w:ilvl w:val="0"/>
                <w:numId w:val="15"/>
              </w:numPr>
              <w:spacing w:before="60" w:after="60"/>
              <w:ind w:left="284" w:hanging="284"/>
              <w:jc w:val="both"/>
            </w:pPr>
            <w:r w:rsidRPr="005B1326">
              <w:t>Ministru kabineta 2012.</w:t>
            </w:r>
            <w:r w:rsidR="00F5041C">
              <w:t> </w:t>
            </w:r>
            <w:r w:rsidRPr="005B1326">
              <w:t>gada 13.</w:t>
            </w:r>
            <w:r w:rsidR="00F5041C">
              <w:t> </w:t>
            </w:r>
            <w:r w:rsidRPr="005B1326">
              <w:t>novembra noteikumi Nr.</w:t>
            </w:r>
            <w:r w:rsidR="00F5041C">
              <w:t> </w:t>
            </w:r>
            <w:r w:rsidRPr="005B1326">
              <w:t>769 „Noteikumi par stacionāro tehnoloģisko iekārtu dalību Eiropas Savienības emisijas kvotu tirdzniecības sistēmā</w:t>
            </w:r>
            <w:r w:rsidRPr="005B1326" w:rsidR="00922F2B">
              <w:t xml:space="preserve"> (turpmāk – noteikumi Nr.</w:t>
            </w:r>
            <w:r w:rsidR="00F5041C">
              <w:t> </w:t>
            </w:r>
            <w:r w:rsidRPr="005B1326" w:rsidR="00922F2B">
              <w:t>769)</w:t>
            </w:r>
            <w:r w:rsidRPr="005B1326" w:rsidR="00A91A6D">
              <w:t>;</w:t>
            </w:r>
          </w:p>
          <w:p w:rsidR="00A91A6D" w:rsidRPr="005B1326" w:rsidP="005B1326" w14:paraId="772F3C4A" w14:textId="602AA98A">
            <w:pPr>
              <w:pStyle w:val="naiskr"/>
              <w:numPr>
                <w:ilvl w:val="0"/>
                <w:numId w:val="15"/>
              </w:numPr>
              <w:spacing w:before="60" w:after="60"/>
              <w:ind w:left="284" w:hanging="284"/>
              <w:jc w:val="both"/>
            </w:pPr>
            <w:r w:rsidRPr="005B1326">
              <w:t>Ministru kabineta 2013.</w:t>
            </w:r>
            <w:r w:rsidR="00FC2A3F">
              <w:t> </w:t>
            </w:r>
            <w:r w:rsidRPr="005B1326">
              <w:t>gada 9.</w:t>
            </w:r>
            <w:r w:rsidR="00FC2A3F">
              <w:t> </w:t>
            </w:r>
            <w:r w:rsidRPr="005B1326">
              <w:t>jūlija noteikumi Nr.</w:t>
            </w:r>
            <w:r w:rsidR="00FC2A3F">
              <w:t> </w:t>
            </w:r>
            <w:r w:rsidRPr="005B1326">
              <w:t>366 „Noteikumi par aviācijas darbību dalību Eiropas Savienības emisijas kvotu tirdzniecības sistēmā</w:t>
            </w:r>
            <w:r w:rsidRPr="005B1326" w:rsidR="00922F2B">
              <w:t xml:space="preserve"> (turpmāk – noteikumi Nr.</w:t>
            </w:r>
            <w:r w:rsidR="00FC2A3F">
              <w:t> </w:t>
            </w:r>
            <w:r w:rsidRPr="005B1326" w:rsidR="00922F2B">
              <w:t>366)</w:t>
            </w:r>
            <w:r w:rsidRPr="005B1326">
              <w:t>;</w:t>
            </w:r>
          </w:p>
          <w:p w:rsidR="00A91A6D" w:rsidRPr="005B1326" w:rsidP="005B1326" w14:paraId="4B374A87" w14:textId="3915FCDF">
            <w:pPr>
              <w:pStyle w:val="naiskr"/>
              <w:numPr>
                <w:ilvl w:val="0"/>
                <w:numId w:val="15"/>
              </w:numPr>
              <w:spacing w:before="60" w:after="60"/>
              <w:ind w:left="284" w:hanging="284"/>
              <w:jc w:val="both"/>
            </w:pPr>
            <w:r w:rsidRPr="005B1326">
              <w:t>Ministru kabineta 2013.</w:t>
            </w:r>
            <w:r w:rsidR="00FC2A3F">
              <w:t> </w:t>
            </w:r>
            <w:r w:rsidRPr="005B1326">
              <w:t>gada 26.</w:t>
            </w:r>
            <w:r w:rsidR="00FC2A3F">
              <w:t> </w:t>
            </w:r>
            <w:r w:rsidRPr="005B1326">
              <w:t>februāra noteikumi Nr.</w:t>
            </w:r>
            <w:r w:rsidR="00FC2A3F">
              <w:t> </w:t>
            </w:r>
            <w:r w:rsidRPr="005B1326">
              <w:t>112 „Emisijas kvotu piešķiršanas kārtība stacionāro tehnoloģisko iekārtu operatoriem</w:t>
            </w:r>
            <w:r w:rsidR="00FC2A3F">
              <w:t>;</w:t>
            </w:r>
          </w:p>
          <w:p w:rsidR="00A91A6D" w:rsidRPr="005B1326" w:rsidP="005B1326" w14:paraId="76469229" w14:textId="4DEEBFE8">
            <w:pPr>
              <w:pStyle w:val="naiskr"/>
              <w:numPr>
                <w:ilvl w:val="0"/>
                <w:numId w:val="15"/>
              </w:numPr>
              <w:spacing w:before="60" w:after="60"/>
              <w:ind w:left="284" w:hanging="284"/>
              <w:jc w:val="both"/>
            </w:pPr>
            <w:r w:rsidRPr="005B1326">
              <w:t>Ministru kabineta 2014.</w:t>
            </w:r>
            <w:r w:rsidR="00FC2A3F">
              <w:t> </w:t>
            </w:r>
            <w:r w:rsidRPr="005B1326">
              <w:t>gada 20.</w:t>
            </w:r>
            <w:r w:rsidR="00FC2A3F">
              <w:t xml:space="preserve"> </w:t>
            </w:r>
            <w:r w:rsidRPr="005B1326">
              <w:t>maija noteikumi Nr.</w:t>
            </w:r>
            <w:r w:rsidR="00FC2A3F">
              <w:t> </w:t>
            </w:r>
            <w:r w:rsidRPr="005B1326">
              <w:t>250 „Noteikumi par darbībām emisijas reģistrā”.</w:t>
            </w:r>
          </w:p>
          <w:p w:rsidR="00A91A6D" w:rsidRPr="005B1326" w:rsidP="004313BC" w14:paraId="43B5C6F3" w14:textId="78314135">
            <w:pPr>
              <w:pStyle w:val="naiskr"/>
              <w:spacing w:before="60" w:after="60"/>
              <w:jc w:val="both"/>
            </w:pPr>
            <w:r w:rsidRPr="005B1326">
              <w:t xml:space="preserve">Ar likumu „Par piesārņojumu” un uz tā pamata izdotajiem Ministru kabineta noteikumiem Latvijas </w:t>
            </w:r>
            <w:r w:rsidR="00FC2A3F">
              <w:t>normatīvajos aktos</w:t>
            </w:r>
            <w:r w:rsidRPr="005B1326">
              <w:t xml:space="preserve"> ir </w:t>
            </w:r>
            <w:r w:rsidR="00583512">
              <w:t>pārņemti šādi ES</w:t>
            </w:r>
            <w:r w:rsidRPr="005B1326">
              <w:t xml:space="preserve"> tiesību akti:</w:t>
            </w:r>
          </w:p>
          <w:p w:rsidR="00A91A6D" w:rsidRPr="005B1326" w:rsidP="005B1326" w14:paraId="38E5E54C" w14:textId="2C5D66EE">
            <w:pPr>
              <w:pStyle w:val="naiskr"/>
              <w:numPr>
                <w:ilvl w:val="0"/>
                <w:numId w:val="16"/>
              </w:numPr>
              <w:spacing w:before="60" w:after="60"/>
              <w:ind w:left="284" w:hanging="284"/>
              <w:jc w:val="both"/>
            </w:pPr>
            <w:r w:rsidRPr="005B1326">
              <w:t>Eiropas Parlamenta un Padomes 2003.</w:t>
            </w:r>
            <w:r w:rsidR="00FC2A3F">
              <w:t> </w:t>
            </w:r>
            <w:r w:rsidRPr="005B1326">
              <w:t>gada 13.</w:t>
            </w:r>
            <w:r w:rsidR="00FC2A3F">
              <w:t> </w:t>
            </w:r>
            <w:r w:rsidRPr="005B1326">
              <w:t xml:space="preserve">oktobra </w:t>
            </w:r>
            <w:r w:rsidR="00FC2A3F">
              <w:t>D</w:t>
            </w:r>
            <w:r w:rsidRPr="005B1326">
              <w:t>irektīva 2003/87/EK, ar kuru nosaka sistēmu siltumnīcas efektu izraisošo gāzu emisijas kvotu tirdzniecībai Kopienā un groza Padomes Direktīvu 96/61/EK</w:t>
            </w:r>
            <w:r w:rsidRPr="005B1326" w:rsidR="00816F2F">
              <w:t xml:space="preserve"> (</w:t>
            </w:r>
            <w:r w:rsidR="00FC2A3F">
              <w:t xml:space="preserve">turpmāk </w:t>
            </w:r>
            <w:r w:rsidR="004313BC">
              <w:t>–</w:t>
            </w:r>
            <w:r w:rsidR="00FC2A3F">
              <w:t xml:space="preserve"> </w:t>
            </w:r>
            <w:r w:rsidRPr="005B1326" w:rsidR="00816F2F">
              <w:t>direktīva Nr.</w:t>
            </w:r>
            <w:r w:rsidR="00FC2A3F">
              <w:t> </w:t>
            </w:r>
            <w:r w:rsidRPr="005B1326" w:rsidR="00816F2F">
              <w:t>2003/87/EK)</w:t>
            </w:r>
            <w:r w:rsidR="0057646F">
              <w:t xml:space="preserve"> un tās </w:t>
            </w:r>
            <w:r w:rsidR="00583512">
              <w:t xml:space="preserve">2004., 2008., 2009., 2013., 2014., 2015. gada </w:t>
            </w:r>
            <w:r w:rsidR="0057646F">
              <w:t>grozījumi</w:t>
            </w:r>
            <w:r w:rsidRPr="005B1326">
              <w:t>;</w:t>
            </w:r>
          </w:p>
          <w:p w:rsidR="00A91A6D" w:rsidRPr="005B1326" w:rsidP="005B1326" w14:paraId="11D2E415" w14:textId="2D306D3F">
            <w:pPr>
              <w:pStyle w:val="naiskr"/>
              <w:numPr>
                <w:ilvl w:val="0"/>
                <w:numId w:val="16"/>
              </w:numPr>
              <w:spacing w:before="60" w:after="60"/>
              <w:ind w:left="284" w:hanging="284"/>
              <w:jc w:val="both"/>
            </w:pPr>
            <w:r w:rsidRPr="005B1326">
              <w:t>Eiropas Komisijas 2012.</w:t>
            </w:r>
            <w:r w:rsidR="00FC2A3F">
              <w:t> </w:t>
            </w:r>
            <w:r w:rsidRPr="005B1326">
              <w:t>gada 21.</w:t>
            </w:r>
            <w:r w:rsidR="00FC2A3F">
              <w:t> </w:t>
            </w:r>
            <w:r w:rsidRPr="005B1326">
              <w:t xml:space="preserve">jūnija </w:t>
            </w:r>
            <w:r w:rsidR="00FC2A3F">
              <w:t>R</w:t>
            </w:r>
            <w:r w:rsidRPr="005B1326">
              <w:t>egula Nr.</w:t>
            </w:r>
            <w:r w:rsidR="00FC2A3F">
              <w:t> </w:t>
            </w:r>
            <w:r w:rsidRPr="005B1326">
              <w:t>600/2012 par siltumnīcefekta gāzu ziņojumu un tonnkilometru ziņojumu verifikāciju un par verificētāju akreditāciju saskaņā ar Eiropas Parlamenta un Padomes Direktīvu 2003/87/EK;</w:t>
            </w:r>
          </w:p>
          <w:p w:rsidR="00A91A6D" w:rsidRPr="005B1326" w:rsidP="005B1326" w14:paraId="42EFB8EC" w14:textId="1F92079B">
            <w:pPr>
              <w:pStyle w:val="ListParagraph"/>
              <w:numPr>
                <w:ilvl w:val="0"/>
                <w:numId w:val="16"/>
              </w:numPr>
              <w:spacing w:before="60" w:after="60"/>
              <w:ind w:left="284" w:hanging="284"/>
              <w:contextualSpacing w:val="0"/>
              <w:rPr>
                <w:sz w:val="24"/>
                <w:szCs w:val="24"/>
              </w:rPr>
            </w:pPr>
            <w:r w:rsidRPr="005B1326">
              <w:rPr>
                <w:sz w:val="24"/>
                <w:szCs w:val="24"/>
                <w:lang w:eastAsia="lv-LV"/>
              </w:rPr>
              <w:t>Eiropas Komisijas 2012.</w:t>
            </w:r>
            <w:r w:rsidR="00FC2A3F">
              <w:rPr>
                <w:sz w:val="24"/>
                <w:szCs w:val="24"/>
                <w:lang w:eastAsia="lv-LV"/>
              </w:rPr>
              <w:t> </w:t>
            </w:r>
            <w:r w:rsidRPr="005B1326">
              <w:rPr>
                <w:sz w:val="24"/>
                <w:szCs w:val="24"/>
                <w:lang w:eastAsia="lv-LV"/>
              </w:rPr>
              <w:t>gada 21.</w:t>
            </w:r>
            <w:r w:rsidR="00FC2A3F">
              <w:rPr>
                <w:sz w:val="24"/>
                <w:szCs w:val="24"/>
                <w:lang w:eastAsia="lv-LV"/>
              </w:rPr>
              <w:t> </w:t>
            </w:r>
            <w:r w:rsidRPr="005B1326">
              <w:rPr>
                <w:sz w:val="24"/>
                <w:szCs w:val="24"/>
                <w:lang w:eastAsia="lv-LV"/>
              </w:rPr>
              <w:t xml:space="preserve">jūnija </w:t>
            </w:r>
            <w:r w:rsidR="00FC2A3F">
              <w:rPr>
                <w:sz w:val="24"/>
                <w:szCs w:val="24"/>
                <w:lang w:eastAsia="lv-LV"/>
              </w:rPr>
              <w:t>R</w:t>
            </w:r>
            <w:r w:rsidRPr="005B1326">
              <w:rPr>
                <w:sz w:val="24"/>
                <w:szCs w:val="24"/>
                <w:lang w:eastAsia="lv-LV"/>
              </w:rPr>
              <w:t>egula Nr.</w:t>
            </w:r>
            <w:r w:rsidR="00FC2A3F">
              <w:rPr>
                <w:sz w:val="24"/>
                <w:szCs w:val="24"/>
                <w:lang w:eastAsia="lv-LV"/>
              </w:rPr>
              <w:t> </w:t>
            </w:r>
            <w:r w:rsidRPr="005B1326">
              <w:rPr>
                <w:sz w:val="24"/>
                <w:szCs w:val="24"/>
                <w:lang w:eastAsia="lv-LV"/>
              </w:rPr>
              <w:t xml:space="preserve">601/2012 </w:t>
            </w:r>
            <w:r w:rsidRPr="005B1326">
              <w:rPr>
                <w:sz w:val="24"/>
                <w:szCs w:val="24"/>
              </w:rPr>
              <w:t>par siltumnīcefekta gāzu emisiju monitoringu un ziņošanu saskaņā ar Eiropas Parlamenta un Padomes Direktīvu 2003</w:t>
            </w:r>
            <w:r w:rsidR="00980EE6">
              <w:rPr>
                <w:sz w:val="24"/>
                <w:szCs w:val="24"/>
              </w:rPr>
              <w:t>/87/EK</w:t>
            </w:r>
            <w:r w:rsidRPr="005B1326">
              <w:rPr>
                <w:sz w:val="24"/>
                <w:szCs w:val="24"/>
              </w:rPr>
              <w:t>;</w:t>
            </w:r>
          </w:p>
          <w:p w:rsidR="00A91A6D" w:rsidRPr="005B1326" w:rsidP="005B1326" w14:paraId="3D698C99" w14:textId="68385324">
            <w:pPr>
              <w:pStyle w:val="ListParagraph"/>
              <w:numPr>
                <w:ilvl w:val="0"/>
                <w:numId w:val="16"/>
              </w:numPr>
              <w:spacing w:before="60" w:after="60"/>
              <w:ind w:left="284" w:hanging="284"/>
              <w:contextualSpacing w:val="0"/>
              <w:rPr>
                <w:sz w:val="24"/>
                <w:szCs w:val="24"/>
              </w:rPr>
            </w:pPr>
            <w:r w:rsidRPr="005B1326">
              <w:rPr>
                <w:sz w:val="24"/>
                <w:szCs w:val="24"/>
                <w:lang w:eastAsia="lv-LV"/>
              </w:rPr>
              <w:t>Eiropas Komisijas 2011.</w:t>
            </w:r>
            <w:r w:rsidR="00BB785C">
              <w:rPr>
                <w:sz w:val="24"/>
                <w:szCs w:val="24"/>
                <w:lang w:eastAsia="lv-LV"/>
              </w:rPr>
              <w:t> </w:t>
            </w:r>
            <w:r w:rsidRPr="005B1326">
              <w:rPr>
                <w:sz w:val="24"/>
                <w:szCs w:val="24"/>
                <w:lang w:eastAsia="lv-LV"/>
              </w:rPr>
              <w:t>gada 27.</w:t>
            </w:r>
            <w:r w:rsidR="00BB785C">
              <w:rPr>
                <w:sz w:val="24"/>
                <w:szCs w:val="24"/>
                <w:lang w:eastAsia="lv-LV"/>
              </w:rPr>
              <w:t> </w:t>
            </w:r>
            <w:r w:rsidRPr="005B1326">
              <w:rPr>
                <w:sz w:val="24"/>
                <w:szCs w:val="24"/>
                <w:lang w:eastAsia="lv-LV"/>
              </w:rPr>
              <w:t>aprīļa lēmums Nr.</w:t>
            </w:r>
            <w:r w:rsidR="00BB785C">
              <w:rPr>
                <w:sz w:val="24"/>
                <w:szCs w:val="24"/>
                <w:lang w:eastAsia="lv-LV"/>
              </w:rPr>
              <w:t> </w:t>
            </w:r>
            <w:r w:rsidRPr="005B1326">
              <w:rPr>
                <w:sz w:val="24"/>
                <w:szCs w:val="24"/>
                <w:lang w:eastAsia="lv-LV"/>
              </w:rPr>
              <w:t>2011/278/ES, ar kuru visā Savienībā nosaka pagaidu noteikumus saskaņotai bezmaksas emisiju kvotu sadalei atbilstoši 10.a pantam Eiropas Parlamenta un Padomes Direktīvā 2003/87/EK;</w:t>
            </w:r>
          </w:p>
          <w:p w:rsidR="00A91A6D" w:rsidRPr="005B1326" w:rsidP="005B1326" w14:paraId="17100A8D" w14:textId="07686EB7">
            <w:pPr>
              <w:pStyle w:val="ListParagraph"/>
              <w:numPr>
                <w:ilvl w:val="0"/>
                <w:numId w:val="16"/>
              </w:numPr>
              <w:spacing w:before="60" w:after="60"/>
              <w:ind w:left="284" w:hanging="284"/>
              <w:contextualSpacing w:val="0"/>
              <w:rPr>
                <w:sz w:val="24"/>
                <w:szCs w:val="24"/>
              </w:rPr>
            </w:pPr>
            <w:r w:rsidRPr="005B1326">
              <w:rPr>
                <w:sz w:val="24"/>
                <w:szCs w:val="24"/>
                <w:lang w:eastAsia="lv-LV"/>
              </w:rPr>
              <w:t>Eiropas Komisijas 2013.</w:t>
            </w:r>
            <w:r w:rsidR="00BB785C">
              <w:rPr>
                <w:sz w:val="24"/>
                <w:szCs w:val="24"/>
                <w:lang w:eastAsia="lv-LV"/>
              </w:rPr>
              <w:t> </w:t>
            </w:r>
            <w:r w:rsidRPr="005B1326">
              <w:rPr>
                <w:sz w:val="24"/>
                <w:szCs w:val="24"/>
                <w:lang w:eastAsia="lv-LV"/>
              </w:rPr>
              <w:t>gada 2.</w:t>
            </w:r>
            <w:r w:rsidR="00BB785C">
              <w:rPr>
                <w:sz w:val="24"/>
                <w:szCs w:val="24"/>
                <w:lang w:eastAsia="lv-LV"/>
              </w:rPr>
              <w:t> </w:t>
            </w:r>
            <w:r w:rsidRPr="005B1326">
              <w:rPr>
                <w:sz w:val="24"/>
                <w:szCs w:val="24"/>
                <w:lang w:eastAsia="lv-LV"/>
              </w:rPr>
              <w:t xml:space="preserve">maija </w:t>
            </w:r>
            <w:r w:rsidR="00BB785C">
              <w:rPr>
                <w:sz w:val="24"/>
                <w:szCs w:val="24"/>
                <w:lang w:eastAsia="lv-LV"/>
              </w:rPr>
              <w:t>R</w:t>
            </w:r>
            <w:r w:rsidRPr="005B1326">
              <w:rPr>
                <w:sz w:val="24"/>
                <w:szCs w:val="24"/>
                <w:lang w:eastAsia="lv-LV"/>
              </w:rPr>
              <w:t>egula Nr.</w:t>
            </w:r>
            <w:r w:rsidR="00BB785C">
              <w:rPr>
                <w:sz w:val="24"/>
                <w:szCs w:val="24"/>
                <w:lang w:eastAsia="lv-LV"/>
              </w:rPr>
              <w:t> </w:t>
            </w:r>
            <w:r w:rsidRPr="005B1326">
              <w:rPr>
                <w:sz w:val="24"/>
                <w:szCs w:val="24"/>
                <w:lang w:eastAsia="lv-LV"/>
              </w:rPr>
              <w:t>389/2013, ar ko izveido Savienības reģistru saskaņā ar Eiropas Parlamenta un Padomes Direktīvu 2003/87/EK un Eiropas Parlamenta un Padomes Lēmumu Nr.</w:t>
            </w:r>
            <w:r w:rsidR="00BB785C">
              <w:rPr>
                <w:sz w:val="24"/>
                <w:szCs w:val="24"/>
                <w:lang w:eastAsia="lv-LV"/>
              </w:rPr>
              <w:t> </w:t>
            </w:r>
            <w:r w:rsidRPr="005B1326">
              <w:rPr>
                <w:sz w:val="24"/>
                <w:szCs w:val="24"/>
                <w:lang w:eastAsia="lv-LV"/>
              </w:rPr>
              <w:t>280/2004/EK un Lēmumu Nr.</w:t>
            </w:r>
            <w:r w:rsidR="00BB785C">
              <w:rPr>
                <w:sz w:val="24"/>
                <w:szCs w:val="24"/>
                <w:lang w:eastAsia="lv-LV"/>
              </w:rPr>
              <w:t> </w:t>
            </w:r>
            <w:r w:rsidRPr="005B1326">
              <w:rPr>
                <w:sz w:val="24"/>
                <w:szCs w:val="24"/>
                <w:lang w:eastAsia="lv-LV"/>
              </w:rPr>
              <w:t>406/2009/EK un atceļ Komisijas Regulu (ES) Nr.</w:t>
            </w:r>
            <w:r w:rsidR="00BB785C">
              <w:rPr>
                <w:sz w:val="24"/>
                <w:szCs w:val="24"/>
                <w:lang w:eastAsia="lv-LV"/>
              </w:rPr>
              <w:t> </w:t>
            </w:r>
            <w:r w:rsidRPr="005B1326">
              <w:rPr>
                <w:sz w:val="24"/>
                <w:szCs w:val="24"/>
                <w:lang w:eastAsia="lv-LV"/>
              </w:rPr>
              <w:t>920/2010 un Regulu (ES) Nr.</w:t>
            </w:r>
            <w:r w:rsidR="00BB785C">
              <w:rPr>
                <w:sz w:val="24"/>
                <w:szCs w:val="24"/>
                <w:lang w:eastAsia="lv-LV"/>
              </w:rPr>
              <w:t> </w:t>
            </w:r>
            <w:r w:rsidRPr="005B1326">
              <w:rPr>
                <w:sz w:val="24"/>
                <w:szCs w:val="24"/>
                <w:lang w:eastAsia="lv-LV"/>
              </w:rPr>
              <w:t>119</w:t>
            </w:r>
            <w:r w:rsidR="00FA4C8A">
              <w:rPr>
                <w:sz w:val="24"/>
                <w:szCs w:val="24"/>
                <w:lang w:eastAsia="lv-LV"/>
              </w:rPr>
              <w:t>3/2011</w:t>
            </w:r>
            <w:r w:rsidRPr="005B1326" w:rsidR="00816F2F">
              <w:rPr>
                <w:sz w:val="24"/>
                <w:szCs w:val="24"/>
                <w:lang w:eastAsia="lv-LV"/>
              </w:rPr>
              <w:t>.</w:t>
            </w:r>
          </w:p>
          <w:p w:rsidR="00816F2F" w:rsidRPr="005B1326" w:rsidP="004313BC" w14:paraId="1E855973" w14:textId="666BF135">
            <w:pPr>
              <w:pStyle w:val="ListParagraph"/>
              <w:spacing w:before="60" w:after="60"/>
              <w:ind w:left="0" w:firstLine="0"/>
              <w:contextualSpacing w:val="0"/>
              <w:rPr>
                <w:sz w:val="24"/>
                <w:szCs w:val="24"/>
              </w:rPr>
            </w:pPr>
            <w:r w:rsidRPr="005B1326">
              <w:rPr>
                <w:sz w:val="24"/>
                <w:szCs w:val="24"/>
              </w:rPr>
              <w:t>Ar likumu „Par piesārņojumu” ir definēti operatori un gaisa ku</w:t>
            </w:r>
            <w:r w:rsidRPr="005B1326" w:rsidR="00B66836">
              <w:rPr>
                <w:sz w:val="24"/>
                <w:szCs w:val="24"/>
              </w:rPr>
              <w:t>ģu</w:t>
            </w:r>
            <w:r w:rsidRPr="005B1326">
              <w:rPr>
                <w:sz w:val="24"/>
                <w:szCs w:val="24"/>
              </w:rPr>
              <w:t xml:space="preserve"> operatori:</w:t>
            </w:r>
          </w:p>
          <w:p w:rsidR="00816F2F" w:rsidRPr="005B1326" w:rsidP="005B1326" w14:paraId="00D11803" w14:textId="0A065B88">
            <w:pPr>
              <w:pStyle w:val="ListParagraph"/>
              <w:numPr>
                <w:ilvl w:val="0"/>
                <w:numId w:val="14"/>
              </w:numPr>
              <w:spacing w:before="60" w:after="60"/>
              <w:ind w:left="370"/>
              <w:contextualSpacing w:val="0"/>
              <w:rPr>
                <w:sz w:val="24"/>
                <w:szCs w:val="24"/>
              </w:rPr>
            </w:pPr>
            <w:r w:rsidRPr="005B1326">
              <w:rPr>
                <w:sz w:val="24"/>
                <w:szCs w:val="24"/>
              </w:rPr>
              <w:t>O</w:t>
            </w:r>
            <w:r w:rsidRPr="005B1326">
              <w:rPr>
                <w:sz w:val="24"/>
                <w:szCs w:val="24"/>
              </w:rPr>
              <w:t>perators</w:t>
            </w:r>
            <w:r w:rsidRPr="005B1326">
              <w:rPr>
                <w:sz w:val="24"/>
                <w:szCs w:val="24"/>
              </w:rPr>
              <w:t xml:space="preserve"> – </w:t>
            </w:r>
            <w:r w:rsidRPr="005B1326">
              <w:rPr>
                <w:sz w:val="24"/>
                <w:szCs w:val="24"/>
              </w:rPr>
              <w:t>privātpersona, atvasināta publiska persona, tiešās vai pastarpinātās pārvaldes iestāde, kura veic profesionālu darbību vai ir atbildīga par šādas darbības veikšanu vai kurai ir noteicošā ekonomiskā ietekme uz attiecīgās profesionālās darbības tehnisko izpildījumu;</w:t>
            </w:r>
          </w:p>
          <w:p w:rsidR="00816F2F" w:rsidRPr="005B1326" w:rsidP="005B1326" w14:paraId="0ADF9B9C" w14:textId="43662FA0">
            <w:pPr>
              <w:pStyle w:val="ListParagraph"/>
              <w:numPr>
                <w:ilvl w:val="0"/>
                <w:numId w:val="14"/>
              </w:numPr>
              <w:spacing w:before="60" w:after="60"/>
              <w:ind w:left="370"/>
              <w:contextualSpacing w:val="0"/>
              <w:rPr>
                <w:sz w:val="24"/>
                <w:szCs w:val="24"/>
              </w:rPr>
            </w:pPr>
            <w:r w:rsidRPr="005B1326">
              <w:rPr>
                <w:sz w:val="24"/>
                <w:szCs w:val="24"/>
              </w:rPr>
              <w:t>G</w:t>
            </w:r>
            <w:r w:rsidRPr="005B1326">
              <w:rPr>
                <w:sz w:val="24"/>
                <w:szCs w:val="24"/>
              </w:rPr>
              <w:t>aisa kuģa operators</w:t>
            </w:r>
            <w:r w:rsidRPr="005B1326" w:rsidR="00B66836">
              <w:rPr>
                <w:sz w:val="24"/>
                <w:szCs w:val="24"/>
              </w:rPr>
              <w:t xml:space="preserve"> – </w:t>
            </w:r>
            <w:r w:rsidRPr="005B1326">
              <w:rPr>
                <w:sz w:val="24"/>
                <w:szCs w:val="24"/>
              </w:rPr>
              <w:t>persona, kas veic gaisa pārvadājumus un ekspluatē ga</w:t>
            </w:r>
            <w:r w:rsidR="00861996">
              <w:rPr>
                <w:sz w:val="24"/>
                <w:szCs w:val="24"/>
              </w:rPr>
              <w:t xml:space="preserve">isa kuģi laikā, kad tas veic </w:t>
            </w:r>
            <w:r w:rsidRPr="005B1326">
              <w:rPr>
                <w:sz w:val="24"/>
                <w:szCs w:val="24"/>
              </w:rPr>
              <w:t xml:space="preserve">likuma </w:t>
            </w:r>
            <w:r w:rsidRPr="005B1326" w:rsidR="00861996">
              <w:rPr>
                <w:sz w:val="24"/>
                <w:szCs w:val="24"/>
              </w:rPr>
              <w:t>„Par piesārņojumu”</w:t>
            </w:r>
            <w:r w:rsidR="00861996">
              <w:rPr>
                <w:sz w:val="24"/>
                <w:szCs w:val="24"/>
              </w:rPr>
              <w:t xml:space="preserve"> </w:t>
            </w:r>
            <w:r w:rsidRPr="005B1326">
              <w:rPr>
                <w:sz w:val="24"/>
                <w:szCs w:val="24"/>
              </w:rPr>
              <w:t>2.</w:t>
            </w:r>
            <w:r w:rsidR="00BB785C">
              <w:rPr>
                <w:sz w:val="24"/>
                <w:szCs w:val="24"/>
              </w:rPr>
              <w:t> </w:t>
            </w:r>
            <w:r w:rsidRPr="005B1326">
              <w:rPr>
                <w:sz w:val="24"/>
                <w:szCs w:val="24"/>
              </w:rPr>
              <w:t>pielikumā noteikto aviācijas darbību, vai arī, ja šī persona nav zināma vai gaisa kuģa īpašnieks to nav norādījis,</w:t>
            </w:r>
            <w:r w:rsidRPr="005B1326" w:rsidR="00B66836">
              <w:rPr>
                <w:sz w:val="24"/>
                <w:szCs w:val="24"/>
              </w:rPr>
              <w:t xml:space="preserve"> – g</w:t>
            </w:r>
            <w:r w:rsidRPr="005B1326">
              <w:rPr>
                <w:sz w:val="24"/>
                <w:szCs w:val="24"/>
              </w:rPr>
              <w:t xml:space="preserve">aisa kuģa īpašnieks. </w:t>
            </w:r>
          </w:p>
          <w:p w:rsidR="00E961F4" w:rsidRPr="005B1326" w:rsidP="004313BC" w14:paraId="56D10DDC" w14:textId="08328BF0">
            <w:pPr>
              <w:pStyle w:val="ListParagraph"/>
              <w:spacing w:before="60" w:after="60"/>
              <w:ind w:left="0" w:firstLine="0"/>
              <w:contextualSpacing w:val="0"/>
              <w:rPr>
                <w:sz w:val="24"/>
                <w:szCs w:val="24"/>
              </w:rPr>
            </w:pPr>
            <w:r w:rsidRPr="005B1326">
              <w:rPr>
                <w:sz w:val="24"/>
                <w:szCs w:val="24"/>
              </w:rPr>
              <w:t>Savukārt likuma „Par piesārņojumu” 24.</w:t>
            </w:r>
            <w:r w:rsidRPr="005B1326">
              <w:rPr>
                <w:sz w:val="24"/>
                <w:szCs w:val="24"/>
                <w:vertAlign w:val="superscript"/>
              </w:rPr>
              <w:t>1</w:t>
            </w:r>
            <w:r w:rsidR="00BB785C">
              <w:rPr>
                <w:sz w:val="24"/>
                <w:szCs w:val="24"/>
              </w:rPr>
              <w:t> </w:t>
            </w:r>
            <w:r w:rsidRPr="005B1326">
              <w:rPr>
                <w:sz w:val="24"/>
                <w:szCs w:val="24"/>
              </w:rPr>
              <w:t xml:space="preserve">pantā ir definētas darbības, kurām ir nepieciešama siltumnīcefekta gāzu </w:t>
            </w:r>
            <w:r w:rsidRPr="00F72515" w:rsidR="00F72515">
              <w:rPr>
                <w:sz w:val="24"/>
                <w:szCs w:val="24"/>
              </w:rPr>
              <w:t>(turpmāk – SEG)</w:t>
            </w:r>
            <w:r w:rsidR="00F72515">
              <w:t xml:space="preserve"> </w:t>
            </w:r>
            <w:r w:rsidRPr="005B1326">
              <w:rPr>
                <w:sz w:val="24"/>
                <w:szCs w:val="24"/>
              </w:rPr>
              <w:t>emisijas atļauja. Līdz ar to ir secināms, ka ES ETS operators ir likumā „Par piesārņojumu” definētais operators, kura stacionārajā tehnoloģiskajā iekārtā tiek veikta viena vai vairākas likuma „Par piesārņojumu” 2.</w:t>
            </w:r>
            <w:r w:rsidR="00BB785C">
              <w:rPr>
                <w:sz w:val="24"/>
                <w:szCs w:val="24"/>
              </w:rPr>
              <w:t> </w:t>
            </w:r>
            <w:r w:rsidRPr="005B1326">
              <w:rPr>
                <w:sz w:val="24"/>
                <w:szCs w:val="24"/>
              </w:rPr>
              <w:t>pielikumā minētā</w:t>
            </w:r>
            <w:r w:rsidR="005B1326">
              <w:rPr>
                <w:sz w:val="24"/>
                <w:szCs w:val="24"/>
              </w:rPr>
              <w:t>s</w:t>
            </w:r>
            <w:r w:rsidRPr="005B1326">
              <w:rPr>
                <w:sz w:val="24"/>
                <w:szCs w:val="24"/>
              </w:rPr>
              <w:t xml:space="preserve"> piesārņojošā</w:t>
            </w:r>
            <w:r w:rsidR="005B1326">
              <w:rPr>
                <w:sz w:val="24"/>
                <w:szCs w:val="24"/>
              </w:rPr>
              <w:t>s</w:t>
            </w:r>
            <w:r w:rsidRPr="005B1326">
              <w:rPr>
                <w:sz w:val="24"/>
                <w:szCs w:val="24"/>
              </w:rPr>
              <w:t xml:space="preserve"> darbība</w:t>
            </w:r>
            <w:r w:rsidR="005B1326">
              <w:rPr>
                <w:sz w:val="24"/>
                <w:szCs w:val="24"/>
              </w:rPr>
              <w:t>s</w:t>
            </w:r>
            <w:r w:rsidRPr="005B1326">
              <w:rPr>
                <w:sz w:val="24"/>
                <w:szCs w:val="24"/>
              </w:rPr>
              <w:t>, kur</w:t>
            </w:r>
            <w:r w:rsidR="005B1326">
              <w:rPr>
                <w:sz w:val="24"/>
                <w:szCs w:val="24"/>
              </w:rPr>
              <w:t>ām</w:t>
            </w:r>
            <w:r w:rsidRPr="005B1326">
              <w:rPr>
                <w:sz w:val="24"/>
                <w:szCs w:val="24"/>
              </w:rPr>
              <w:t xml:space="preserve"> ir n</w:t>
            </w:r>
            <w:r w:rsidR="00F72515">
              <w:rPr>
                <w:sz w:val="24"/>
                <w:szCs w:val="24"/>
              </w:rPr>
              <w:t>epieciešama SEG</w:t>
            </w:r>
            <w:r w:rsidRPr="005B1326">
              <w:rPr>
                <w:sz w:val="24"/>
                <w:szCs w:val="24"/>
              </w:rPr>
              <w:t xml:space="preserve"> emisijas atļauja.</w:t>
            </w:r>
          </w:p>
          <w:p w:rsidR="0004521E" w:rsidRPr="005B1326" w:rsidP="004313BC" w14:paraId="1BCF6ABD" w14:textId="7A7605F3">
            <w:pPr>
              <w:pStyle w:val="naiskr"/>
              <w:spacing w:before="60" w:after="60"/>
              <w:jc w:val="both"/>
              <w:rPr>
                <w:i/>
              </w:rPr>
            </w:pPr>
            <w:r w:rsidRPr="005B1326">
              <w:rPr>
                <w:i/>
              </w:rPr>
              <w:t>Nosacījumi kompetencēm ES ETS operatoru un gaisa kuģu operatoru</w:t>
            </w:r>
            <w:r w:rsidR="004C4E0E">
              <w:rPr>
                <w:i/>
              </w:rPr>
              <w:t xml:space="preserve"> darbības uzraudzībai</w:t>
            </w:r>
          </w:p>
          <w:p w:rsidR="0004521E" w:rsidRPr="005B1326" w:rsidP="004313BC" w14:paraId="7F3EA056" w14:textId="366E06A1">
            <w:pPr>
              <w:pStyle w:val="naiskr"/>
              <w:spacing w:before="60" w:after="60"/>
              <w:jc w:val="both"/>
            </w:pPr>
            <w:r w:rsidRPr="005B1326">
              <w:t>Likuma „Par piesārņojumu” 45.</w:t>
            </w:r>
            <w:r w:rsidR="00BB785C">
              <w:t> </w:t>
            </w:r>
            <w:r w:rsidR="00104E7D">
              <w:t xml:space="preserve">panta pirmajā daļā </w:t>
            </w:r>
            <w:r w:rsidRPr="005B1326">
              <w:t>noteikts, ka VARAM un Vides pārraudzības valsts birojs uzrauga likumā „Par piesārņojumu” noteikto prasību izpildi.</w:t>
            </w:r>
          </w:p>
          <w:p w:rsidR="0004521E" w:rsidRPr="005B1326" w:rsidP="004313BC" w14:paraId="2099EE9E" w14:textId="66A2C29B">
            <w:pPr>
              <w:pStyle w:val="naiskr"/>
              <w:spacing w:before="60" w:after="60"/>
              <w:jc w:val="both"/>
            </w:pPr>
            <w:r w:rsidRPr="005B1326">
              <w:t>Savukārt likuma „Par piesārņojumu” 45.</w:t>
            </w:r>
            <w:r w:rsidR="00BB785C">
              <w:t> </w:t>
            </w:r>
            <w:r w:rsidR="00104E7D">
              <w:t xml:space="preserve">panta trešajā daļā </w:t>
            </w:r>
            <w:r w:rsidRPr="005B1326">
              <w:t xml:space="preserve">noteikts, ka VARAM un Civilās aviācijas aģentūra savas kompetences ietvaros uzrauga likumā „Par piesārņojumu” un uz tā pamata izdotajos Ministru kabineta noteikumos gaisa kuģu operatoriem noteikto prasību izpildi. </w:t>
            </w:r>
          </w:p>
          <w:p w:rsidR="0004521E" w:rsidRPr="005B1326" w:rsidP="004313BC" w14:paraId="4C63E21D" w14:textId="2B8922FB">
            <w:pPr>
              <w:pStyle w:val="naiskr"/>
              <w:spacing w:before="60" w:after="60"/>
              <w:jc w:val="both"/>
            </w:pPr>
            <w:r w:rsidRPr="005B1326">
              <w:t>Attiecībā uz ES ETS operatoru iekārtu radīto</w:t>
            </w:r>
            <w:r w:rsidR="00C3729F">
              <w:t xml:space="preserve"> </w:t>
            </w:r>
            <w:r w:rsidRPr="005B1326">
              <w:t>SEG emisiju monitoringu, monitoringa plānu saņemšanu un izvērtēšanu, kā arī ikgadējo emisiju ziņojumu saņemšanu un izvērtēšanu kompetentā iestāde Latvijā ir V</w:t>
            </w:r>
            <w:r w:rsidR="00BB785C">
              <w:t>VD</w:t>
            </w:r>
            <w:r w:rsidRPr="005B1326">
              <w:t xml:space="preserve"> saskaņā ar noteikumiem Nr.</w:t>
            </w:r>
            <w:r w:rsidR="00BB785C">
              <w:t> </w:t>
            </w:r>
            <w:r w:rsidRPr="005B1326">
              <w:t>769.</w:t>
            </w:r>
          </w:p>
          <w:p w:rsidR="0004521E" w:rsidRPr="005B1326" w:rsidP="004313BC" w14:paraId="2EE64DA6" w14:textId="78D268E7">
            <w:pPr>
              <w:pStyle w:val="naiskr"/>
              <w:spacing w:before="60" w:after="60"/>
              <w:jc w:val="both"/>
              <w:rPr>
                <w:u w:val="single"/>
              </w:rPr>
            </w:pPr>
            <w:r w:rsidRPr="005B1326">
              <w:t>Attiecībā uz ES ETS gaisa kuģu operatoru radīto CO</w:t>
            </w:r>
            <w:r w:rsidRPr="005B1326">
              <w:rPr>
                <w:vertAlign w:val="subscript"/>
              </w:rPr>
              <w:t>2</w:t>
            </w:r>
            <w:r w:rsidRPr="005B1326">
              <w:t xml:space="preserve"> emisiju monitoringu, monitoringa plānu saņemšanu un izvērtēšanu, kā arī ikgadējo emisiju ziņojumu saņemšanu un izvērtēšanu kompetentā iestāde Latvijā ir Civilās aviācijas aģentūra saskaņā ar noteikumiem Nr.</w:t>
            </w:r>
            <w:r w:rsidR="00BB785C">
              <w:t> </w:t>
            </w:r>
            <w:r w:rsidRPr="005B1326">
              <w:t>366 (jo īpaši noteikumu Nr.</w:t>
            </w:r>
            <w:r w:rsidR="00BB785C">
              <w:t> </w:t>
            </w:r>
            <w:r w:rsidRPr="005B1326">
              <w:t>366 14.</w:t>
            </w:r>
            <w:r w:rsidR="00BB785C">
              <w:t> </w:t>
            </w:r>
            <w:r w:rsidRPr="005B1326">
              <w:t>punkts un 25.</w:t>
            </w:r>
            <w:r w:rsidR="00BB785C">
              <w:t> </w:t>
            </w:r>
            <w:r w:rsidRPr="005B1326">
              <w:t>punkts)</w:t>
            </w:r>
            <w:r w:rsidR="005B1326">
              <w:t>.</w:t>
            </w:r>
          </w:p>
          <w:p w:rsidR="0004521E" w:rsidRPr="005B1326" w:rsidP="004313BC" w14:paraId="2F15F097" w14:textId="2F3F3DC8">
            <w:pPr>
              <w:pStyle w:val="ListParagraph"/>
              <w:spacing w:before="60" w:after="60"/>
              <w:ind w:left="0" w:firstLine="0"/>
              <w:contextualSpacing w:val="0"/>
              <w:rPr>
                <w:i/>
                <w:color w:val="000000" w:themeColor="text1"/>
                <w:sz w:val="24"/>
                <w:szCs w:val="24"/>
              </w:rPr>
            </w:pPr>
            <w:r w:rsidRPr="005B1326">
              <w:rPr>
                <w:i/>
                <w:sz w:val="24"/>
                <w:szCs w:val="24"/>
              </w:rPr>
              <w:t xml:space="preserve">Nosacījumi kompetencēm </w:t>
            </w:r>
            <w:r>
              <w:rPr>
                <w:i/>
                <w:sz w:val="24"/>
                <w:szCs w:val="24"/>
              </w:rPr>
              <w:t>soda mehānisma piemērošanā</w:t>
            </w:r>
            <w:r w:rsidRPr="005B1326">
              <w:rPr>
                <w:i/>
                <w:sz w:val="24"/>
                <w:szCs w:val="24"/>
              </w:rPr>
              <w:t xml:space="preserve"> noteikšanā ES ETS operatoriem un gaisa kuģu operatoriem</w:t>
            </w:r>
          </w:p>
          <w:p w:rsidR="0004521E" w:rsidRPr="00B303CC" w:rsidP="004313BC" w14:paraId="2B156349" w14:textId="76BF29C2">
            <w:pPr>
              <w:pStyle w:val="ListParagraph"/>
              <w:spacing w:before="60" w:after="60"/>
              <w:ind w:left="0" w:firstLine="0"/>
              <w:contextualSpacing w:val="0"/>
              <w:rPr>
                <w:sz w:val="24"/>
                <w:szCs w:val="24"/>
              </w:rPr>
            </w:pPr>
            <w:r w:rsidRPr="00B303CC">
              <w:rPr>
                <w:sz w:val="24"/>
                <w:szCs w:val="24"/>
              </w:rPr>
              <w:t>Direktīvas Nr.</w:t>
            </w:r>
            <w:r w:rsidR="00BB785C">
              <w:rPr>
                <w:sz w:val="24"/>
                <w:szCs w:val="24"/>
              </w:rPr>
              <w:t> </w:t>
            </w:r>
            <w:r w:rsidRPr="00B303CC">
              <w:rPr>
                <w:sz w:val="24"/>
                <w:szCs w:val="24"/>
              </w:rPr>
              <w:t>2003/87/EK 16.</w:t>
            </w:r>
            <w:r w:rsidR="00BB785C">
              <w:rPr>
                <w:sz w:val="24"/>
                <w:szCs w:val="24"/>
              </w:rPr>
              <w:t> </w:t>
            </w:r>
            <w:r w:rsidRPr="00B303CC">
              <w:rPr>
                <w:sz w:val="24"/>
                <w:szCs w:val="24"/>
              </w:rPr>
              <w:t>pants no</w:t>
            </w:r>
            <w:r w:rsidR="00BB785C">
              <w:rPr>
                <w:sz w:val="24"/>
                <w:szCs w:val="24"/>
              </w:rPr>
              <w:t>teic</w:t>
            </w:r>
            <w:r w:rsidRPr="00B303CC">
              <w:rPr>
                <w:sz w:val="24"/>
                <w:szCs w:val="24"/>
              </w:rPr>
              <w:t>, ka visām ES dalībvalstīm ir jāparedz normas par sankcijām, kuras tiktu piemērotas par ES ETS operatoriem un gaisa kuģu operatoriem ES ETS ietvaros noteikto pienākumu nepildīšanu. Šīm sankcijām ir jābūt pietiekami iedarbīgām, lai nodrošinātu šo pienākumu izpildi, kā arī tām ir jābūt efektīvām, samērīgām un preventīvām. Līdz ar to ir secināms, ka ES tiesību aktos ir noteikts, ka dalībvalstīm ir jāizstrādā sankciju sistēma tiem gadījumiem, kad operators vai gaisa kuģu operators neveic ES ETS noteiktos pienākumus, kas ir:</w:t>
            </w:r>
          </w:p>
          <w:p w:rsidR="0004521E" w:rsidRPr="00B303CC" w:rsidP="0004521E" w14:paraId="6E8EA3AF" w14:textId="43C47102">
            <w:pPr>
              <w:pStyle w:val="ListParagraph"/>
              <w:numPr>
                <w:ilvl w:val="0"/>
                <w:numId w:val="13"/>
              </w:numPr>
              <w:spacing w:before="60" w:after="60"/>
              <w:ind w:left="370"/>
              <w:contextualSpacing w:val="0"/>
              <w:rPr>
                <w:sz w:val="24"/>
                <w:szCs w:val="24"/>
              </w:rPr>
            </w:pPr>
            <w:r>
              <w:rPr>
                <w:sz w:val="24"/>
                <w:szCs w:val="24"/>
              </w:rPr>
              <w:t>m</w:t>
            </w:r>
            <w:r w:rsidRPr="00B303CC">
              <w:rPr>
                <w:sz w:val="24"/>
                <w:szCs w:val="24"/>
              </w:rPr>
              <w:t>onitoringa plānu sagatavošana un iesniegšana atbilstoši savu iekārtu vai gaisa kuģu veiktajām darbībām;</w:t>
            </w:r>
          </w:p>
          <w:p w:rsidR="0004521E" w:rsidRPr="00B303CC" w:rsidP="0004521E" w14:paraId="712A6B4E" w14:textId="6EB58DA8">
            <w:pPr>
              <w:pStyle w:val="ListParagraph"/>
              <w:numPr>
                <w:ilvl w:val="0"/>
                <w:numId w:val="13"/>
              </w:numPr>
              <w:spacing w:before="60" w:after="60"/>
              <w:ind w:left="370"/>
              <w:contextualSpacing w:val="0"/>
              <w:rPr>
                <w:sz w:val="24"/>
                <w:szCs w:val="24"/>
              </w:rPr>
            </w:pPr>
            <w:r>
              <w:rPr>
                <w:sz w:val="24"/>
                <w:szCs w:val="24"/>
              </w:rPr>
              <w:t>m</w:t>
            </w:r>
            <w:r w:rsidRPr="00B303CC">
              <w:rPr>
                <w:sz w:val="24"/>
                <w:szCs w:val="24"/>
              </w:rPr>
              <w:t>onitoringa veikšana attiecībā uz iekārtu vai gaisa kuģu radītajām emisijām;</w:t>
            </w:r>
          </w:p>
          <w:p w:rsidR="0004521E" w:rsidRPr="00B303CC" w:rsidP="0004521E" w14:paraId="03637D8F" w14:textId="47084E6E">
            <w:pPr>
              <w:pStyle w:val="ListParagraph"/>
              <w:numPr>
                <w:ilvl w:val="0"/>
                <w:numId w:val="13"/>
              </w:numPr>
              <w:spacing w:before="60" w:after="60"/>
              <w:ind w:left="370"/>
              <w:contextualSpacing w:val="0"/>
              <w:rPr>
                <w:sz w:val="24"/>
                <w:szCs w:val="24"/>
              </w:rPr>
            </w:pPr>
            <w:r>
              <w:rPr>
                <w:sz w:val="24"/>
                <w:szCs w:val="24"/>
              </w:rPr>
              <w:t>z</w:t>
            </w:r>
            <w:r w:rsidRPr="00B303CC">
              <w:rPr>
                <w:sz w:val="24"/>
                <w:szCs w:val="24"/>
              </w:rPr>
              <w:t>iņojuma par monitoringa rezultātiem (ikgadējais emisiju ziņojums) sagatavošana un iesniegšana, tajā iekļaujot atbilstošu un patiesu informāciju par savu iekārtu vai gaisa kuģu radītajām emisijām;</w:t>
            </w:r>
          </w:p>
          <w:p w:rsidR="0004521E" w:rsidRPr="00B303CC" w:rsidP="0004521E" w14:paraId="1AD491EC" w14:textId="739D2A44">
            <w:pPr>
              <w:pStyle w:val="ListParagraph"/>
              <w:numPr>
                <w:ilvl w:val="0"/>
                <w:numId w:val="13"/>
              </w:numPr>
              <w:spacing w:before="60" w:after="60"/>
              <w:ind w:left="370"/>
              <w:contextualSpacing w:val="0"/>
              <w:rPr>
                <w:sz w:val="24"/>
                <w:szCs w:val="24"/>
              </w:rPr>
            </w:pPr>
            <w:r>
              <w:rPr>
                <w:sz w:val="24"/>
                <w:szCs w:val="24"/>
              </w:rPr>
              <w:t>e</w:t>
            </w:r>
            <w:r w:rsidRPr="00B303CC">
              <w:rPr>
                <w:sz w:val="24"/>
                <w:szCs w:val="24"/>
              </w:rPr>
              <w:t>misijas kvotu nodošana tādā apjomā, kādā iekārtu vai gaisa kuģu darbībās ir radīts SEG emis</w:t>
            </w:r>
            <w:r>
              <w:rPr>
                <w:sz w:val="24"/>
                <w:szCs w:val="24"/>
              </w:rPr>
              <w:t xml:space="preserve">iju apjoms (viena (1) emisijas kvota </w:t>
            </w:r>
            <w:r w:rsidRPr="00B303CC">
              <w:rPr>
                <w:sz w:val="24"/>
                <w:szCs w:val="24"/>
              </w:rPr>
              <w:t xml:space="preserve">jānodod par </w:t>
            </w:r>
            <w:r>
              <w:rPr>
                <w:sz w:val="24"/>
                <w:szCs w:val="24"/>
              </w:rPr>
              <w:t>vienu (</w:t>
            </w:r>
            <w:r w:rsidRPr="00B303CC">
              <w:rPr>
                <w:sz w:val="24"/>
                <w:szCs w:val="24"/>
              </w:rPr>
              <w:t>1</w:t>
            </w:r>
            <w:r>
              <w:rPr>
                <w:sz w:val="24"/>
                <w:szCs w:val="24"/>
              </w:rPr>
              <w:t>)</w:t>
            </w:r>
            <w:r w:rsidRPr="00B303CC">
              <w:rPr>
                <w:sz w:val="24"/>
                <w:szCs w:val="24"/>
              </w:rPr>
              <w:t xml:space="preserve"> tonnu SEG emisiju).</w:t>
            </w:r>
          </w:p>
          <w:p w:rsidR="005B1326" w:rsidRPr="005B1326" w:rsidP="004313BC" w14:paraId="020923ED" w14:textId="3DCFDB77">
            <w:pPr>
              <w:pStyle w:val="ListParagraph"/>
              <w:spacing w:before="60" w:after="60"/>
              <w:ind w:left="0" w:firstLine="0"/>
              <w:contextualSpacing w:val="0"/>
              <w:rPr>
                <w:sz w:val="24"/>
                <w:szCs w:val="24"/>
              </w:rPr>
            </w:pPr>
            <w:r>
              <w:rPr>
                <w:sz w:val="24"/>
                <w:szCs w:val="24"/>
              </w:rPr>
              <w:t xml:space="preserve">Direktīvas </w:t>
            </w:r>
            <w:r w:rsidR="00BA644B">
              <w:rPr>
                <w:sz w:val="24"/>
                <w:szCs w:val="24"/>
              </w:rPr>
              <w:t>N</w:t>
            </w:r>
            <w:r>
              <w:rPr>
                <w:sz w:val="24"/>
                <w:szCs w:val="24"/>
              </w:rPr>
              <w:t>r.</w:t>
            </w:r>
            <w:r w:rsidR="00BB785C">
              <w:rPr>
                <w:sz w:val="24"/>
                <w:szCs w:val="24"/>
              </w:rPr>
              <w:t> </w:t>
            </w:r>
            <w:r>
              <w:rPr>
                <w:sz w:val="24"/>
                <w:szCs w:val="24"/>
              </w:rPr>
              <w:t>2003/87/EK 16.</w:t>
            </w:r>
            <w:r w:rsidR="00BB785C">
              <w:rPr>
                <w:sz w:val="24"/>
                <w:szCs w:val="24"/>
              </w:rPr>
              <w:t> </w:t>
            </w:r>
            <w:r>
              <w:rPr>
                <w:sz w:val="24"/>
                <w:szCs w:val="24"/>
              </w:rPr>
              <w:t>panta 1.</w:t>
            </w:r>
            <w:r w:rsidR="00BB785C">
              <w:rPr>
                <w:sz w:val="24"/>
                <w:szCs w:val="24"/>
              </w:rPr>
              <w:t> </w:t>
            </w:r>
            <w:r w:rsidR="00287C4C">
              <w:rPr>
                <w:sz w:val="24"/>
                <w:szCs w:val="24"/>
              </w:rPr>
              <w:t>punkta prasības pārņemtas</w:t>
            </w:r>
            <w:r>
              <w:rPr>
                <w:sz w:val="24"/>
                <w:szCs w:val="24"/>
              </w:rPr>
              <w:t xml:space="preserve"> </w:t>
            </w:r>
            <w:r w:rsidR="00287C4C">
              <w:rPr>
                <w:sz w:val="24"/>
                <w:szCs w:val="24"/>
              </w:rPr>
              <w:t xml:space="preserve">Latvijas </w:t>
            </w:r>
            <w:r w:rsidRPr="005B1326">
              <w:rPr>
                <w:sz w:val="24"/>
                <w:szCs w:val="24"/>
              </w:rPr>
              <w:t>A</w:t>
            </w:r>
            <w:r w:rsidR="00287C4C">
              <w:rPr>
                <w:sz w:val="24"/>
                <w:szCs w:val="24"/>
              </w:rPr>
              <w:t xml:space="preserve">dministratīvo pārkāpuma kodeksa (turpmāk – APK) </w:t>
            </w:r>
            <w:r w:rsidRPr="005B1326">
              <w:rPr>
                <w:sz w:val="24"/>
                <w:szCs w:val="24"/>
              </w:rPr>
              <w:t>84.</w:t>
            </w:r>
            <w:r w:rsidR="00BB785C">
              <w:rPr>
                <w:sz w:val="24"/>
                <w:szCs w:val="24"/>
              </w:rPr>
              <w:t> </w:t>
            </w:r>
            <w:r w:rsidRPr="005B1326">
              <w:rPr>
                <w:sz w:val="24"/>
                <w:szCs w:val="24"/>
              </w:rPr>
              <w:t>pantā</w:t>
            </w:r>
            <w:r w:rsidR="00287C4C">
              <w:rPr>
                <w:sz w:val="24"/>
                <w:szCs w:val="24"/>
              </w:rPr>
              <w:t>, kas paredz nosacījumus</w:t>
            </w:r>
            <w:r w:rsidRPr="005B1326">
              <w:rPr>
                <w:sz w:val="24"/>
                <w:szCs w:val="24"/>
              </w:rPr>
              <w:t xml:space="preserve"> attiecībā uz ikgadējo p</w:t>
            </w:r>
            <w:r w:rsidR="00287C4C">
              <w:rPr>
                <w:sz w:val="24"/>
                <w:szCs w:val="24"/>
              </w:rPr>
              <w:t>ārskatu par SEG</w:t>
            </w:r>
            <w:r w:rsidRPr="005B1326">
              <w:rPr>
                <w:sz w:val="24"/>
                <w:szCs w:val="24"/>
              </w:rPr>
              <w:t xml:space="preserve"> emisiju (ikgadējais emisiju ziņojums) neiesniegšanu vai datu sagrozīšanu; par monitoringa datu slēpšanu vai sagrozīšanu</w:t>
            </w:r>
            <w:r>
              <w:rPr>
                <w:sz w:val="24"/>
                <w:szCs w:val="24"/>
              </w:rPr>
              <w:t xml:space="preserve">, tos piemērojot </w:t>
            </w:r>
            <w:r w:rsidRPr="005B1326">
              <w:rPr>
                <w:sz w:val="24"/>
                <w:szCs w:val="24"/>
              </w:rPr>
              <w:t xml:space="preserve">ES ETS operatoriem un gaisa kuģu operatoriem (kuru administrējošā </w:t>
            </w:r>
            <w:r w:rsidR="00287C4C">
              <w:rPr>
                <w:sz w:val="24"/>
                <w:szCs w:val="24"/>
              </w:rPr>
              <w:t xml:space="preserve">ES </w:t>
            </w:r>
            <w:r w:rsidRPr="005B1326">
              <w:rPr>
                <w:sz w:val="24"/>
                <w:szCs w:val="24"/>
              </w:rPr>
              <w:t xml:space="preserve">dalībvalsts ir Latvija). </w:t>
            </w:r>
            <w:r w:rsidR="00BA644B">
              <w:rPr>
                <w:sz w:val="24"/>
                <w:szCs w:val="24"/>
              </w:rPr>
              <w:t>APK 84.</w:t>
            </w:r>
            <w:r w:rsidR="00BB785C">
              <w:rPr>
                <w:sz w:val="24"/>
                <w:szCs w:val="24"/>
              </w:rPr>
              <w:t> </w:t>
            </w:r>
            <w:r w:rsidR="00AE76FC">
              <w:rPr>
                <w:sz w:val="24"/>
                <w:szCs w:val="24"/>
              </w:rPr>
              <w:t>pantā noteiktais</w:t>
            </w:r>
            <w:r w:rsidR="00BA644B">
              <w:rPr>
                <w:sz w:val="24"/>
                <w:szCs w:val="24"/>
              </w:rPr>
              <w:t xml:space="preserve"> papildsods juridiskas personas v</w:t>
            </w:r>
            <w:r w:rsidR="00AE76FC">
              <w:rPr>
                <w:sz w:val="24"/>
                <w:szCs w:val="24"/>
              </w:rPr>
              <w:t>aldes loceklim i</w:t>
            </w:r>
            <w:r w:rsidR="00BA644B">
              <w:rPr>
                <w:sz w:val="24"/>
                <w:szCs w:val="24"/>
              </w:rPr>
              <w:t>eņemt noteiktus amatus komercsa</w:t>
            </w:r>
            <w:r w:rsidR="00AE76FC">
              <w:rPr>
                <w:sz w:val="24"/>
                <w:szCs w:val="24"/>
              </w:rPr>
              <w:t>biedrībās ir iekļauts atbilstoši</w:t>
            </w:r>
            <w:r w:rsidR="00BA644B">
              <w:rPr>
                <w:sz w:val="24"/>
                <w:szCs w:val="24"/>
              </w:rPr>
              <w:t xml:space="preserve"> Ministru kabineta 2010.</w:t>
            </w:r>
            <w:r w:rsidR="00BB785C">
              <w:rPr>
                <w:sz w:val="24"/>
                <w:szCs w:val="24"/>
              </w:rPr>
              <w:t> </w:t>
            </w:r>
            <w:r w:rsidR="00BA644B">
              <w:rPr>
                <w:sz w:val="24"/>
                <w:szCs w:val="24"/>
              </w:rPr>
              <w:t>gada 30.</w:t>
            </w:r>
            <w:r w:rsidR="00BB785C">
              <w:rPr>
                <w:sz w:val="24"/>
                <w:szCs w:val="24"/>
              </w:rPr>
              <w:t> </w:t>
            </w:r>
            <w:r w:rsidR="00BA644B">
              <w:rPr>
                <w:sz w:val="24"/>
                <w:szCs w:val="24"/>
              </w:rPr>
              <w:t>martā Ministru kabinetā apstipri</w:t>
            </w:r>
            <w:r w:rsidR="00AE76FC">
              <w:rPr>
                <w:sz w:val="24"/>
                <w:szCs w:val="24"/>
              </w:rPr>
              <w:t>nātajam informatīvajam ziņojumam</w:t>
            </w:r>
            <w:r w:rsidR="00BA644B">
              <w:rPr>
                <w:sz w:val="24"/>
                <w:szCs w:val="24"/>
              </w:rPr>
              <w:t xml:space="preserve"> „</w:t>
            </w:r>
            <w:r w:rsidRPr="00BA644B" w:rsidR="00BA644B">
              <w:rPr>
                <w:sz w:val="24"/>
                <w:szCs w:val="24"/>
              </w:rPr>
              <w:t>Par atbildības regulējumu un sodu politiku komerctiesībās”</w:t>
            </w:r>
            <w:r w:rsidR="00BA644B">
              <w:rPr>
                <w:sz w:val="24"/>
                <w:szCs w:val="24"/>
              </w:rPr>
              <w:t xml:space="preserve">. </w:t>
            </w:r>
            <w:r w:rsidRPr="005B1326">
              <w:rPr>
                <w:sz w:val="24"/>
                <w:szCs w:val="24"/>
              </w:rPr>
              <w:t>APK 231.</w:t>
            </w:r>
            <w:r w:rsidR="00BB785C">
              <w:rPr>
                <w:sz w:val="24"/>
                <w:szCs w:val="24"/>
              </w:rPr>
              <w:t> </w:t>
            </w:r>
            <w:r w:rsidR="00AE76FC">
              <w:rPr>
                <w:sz w:val="24"/>
                <w:szCs w:val="24"/>
              </w:rPr>
              <w:t>pants noteic</w:t>
            </w:r>
            <w:r w:rsidRPr="005B1326">
              <w:rPr>
                <w:sz w:val="24"/>
                <w:szCs w:val="24"/>
              </w:rPr>
              <w:t xml:space="preserve">, ka </w:t>
            </w:r>
            <w:r>
              <w:rPr>
                <w:sz w:val="24"/>
                <w:szCs w:val="24"/>
              </w:rPr>
              <w:t xml:space="preserve">APK </w:t>
            </w:r>
            <w:r w:rsidRPr="005B1326">
              <w:rPr>
                <w:sz w:val="24"/>
                <w:szCs w:val="24"/>
              </w:rPr>
              <w:t>84.</w:t>
            </w:r>
            <w:r w:rsidR="00BB785C">
              <w:rPr>
                <w:sz w:val="24"/>
                <w:szCs w:val="24"/>
              </w:rPr>
              <w:t> </w:t>
            </w:r>
            <w:r w:rsidRPr="005B1326">
              <w:rPr>
                <w:sz w:val="24"/>
                <w:szCs w:val="24"/>
              </w:rPr>
              <w:t>pantā noteiktās administratīvo pārkāpumu lietas</w:t>
            </w:r>
            <w:r>
              <w:rPr>
                <w:sz w:val="24"/>
                <w:szCs w:val="24"/>
              </w:rPr>
              <w:t xml:space="preserve"> izskatīšana</w:t>
            </w:r>
            <w:r w:rsidRPr="005B1326">
              <w:rPr>
                <w:sz w:val="24"/>
                <w:szCs w:val="24"/>
              </w:rPr>
              <w:t xml:space="preserve"> un administratīvo sodu uzlikšana ir V</w:t>
            </w:r>
            <w:r w:rsidR="00BB785C">
              <w:rPr>
                <w:sz w:val="24"/>
                <w:szCs w:val="24"/>
              </w:rPr>
              <w:t>VD</w:t>
            </w:r>
            <w:r w:rsidRPr="005B1326">
              <w:rPr>
                <w:sz w:val="24"/>
                <w:szCs w:val="24"/>
              </w:rPr>
              <w:t xml:space="preserve"> kompetenc</w:t>
            </w:r>
            <w:r w:rsidR="00BB785C">
              <w:rPr>
                <w:sz w:val="24"/>
                <w:szCs w:val="24"/>
              </w:rPr>
              <w:t>ē</w:t>
            </w:r>
            <w:r w:rsidRPr="005B1326">
              <w:rPr>
                <w:sz w:val="24"/>
                <w:szCs w:val="24"/>
              </w:rPr>
              <w:t>.</w:t>
            </w:r>
          </w:p>
          <w:p w:rsidR="0004521E" w:rsidRPr="00B303CC" w:rsidP="004313BC" w14:paraId="67EEBC56" w14:textId="46534303">
            <w:pPr>
              <w:pStyle w:val="ListParagraph"/>
              <w:spacing w:before="60" w:after="60"/>
              <w:ind w:left="0" w:firstLine="0"/>
              <w:contextualSpacing w:val="0"/>
              <w:rPr>
                <w:sz w:val="24"/>
                <w:szCs w:val="24"/>
              </w:rPr>
            </w:pPr>
            <w:r w:rsidRPr="00B303CC">
              <w:rPr>
                <w:sz w:val="24"/>
                <w:szCs w:val="24"/>
              </w:rPr>
              <w:t>Attiecībā uz emisijas kvotu nodošanas pienākuma nepildīšanu sankcijas ir noteiktas likuma „Par piesārņojumu” 32.</w:t>
            </w:r>
            <w:r w:rsidRPr="00B303CC">
              <w:rPr>
                <w:sz w:val="24"/>
                <w:szCs w:val="24"/>
                <w:vertAlign w:val="superscript"/>
              </w:rPr>
              <w:t>5</w:t>
            </w:r>
            <w:r w:rsidR="00FC2A3F">
              <w:rPr>
                <w:sz w:val="24"/>
                <w:szCs w:val="24"/>
              </w:rPr>
              <w:t> </w:t>
            </w:r>
            <w:r w:rsidRPr="00B303CC">
              <w:rPr>
                <w:sz w:val="24"/>
                <w:szCs w:val="24"/>
              </w:rPr>
              <w:t xml:space="preserve">panta trešajā daļā, tādējādi </w:t>
            </w:r>
            <w:r w:rsidR="00FC2A3F">
              <w:rPr>
                <w:sz w:val="24"/>
                <w:szCs w:val="24"/>
              </w:rPr>
              <w:t>pārņemot</w:t>
            </w:r>
            <w:r w:rsidRPr="00B303CC">
              <w:rPr>
                <w:sz w:val="24"/>
                <w:szCs w:val="24"/>
              </w:rPr>
              <w:t xml:space="preserve"> direktīvas Nr.</w:t>
            </w:r>
            <w:r w:rsidR="00FC2A3F">
              <w:rPr>
                <w:sz w:val="24"/>
                <w:szCs w:val="24"/>
              </w:rPr>
              <w:t> </w:t>
            </w:r>
            <w:r w:rsidRPr="00B303CC">
              <w:rPr>
                <w:sz w:val="24"/>
                <w:szCs w:val="24"/>
              </w:rPr>
              <w:t>2003/87/EK 16.</w:t>
            </w:r>
            <w:r w:rsidR="00FC2A3F">
              <w:rPr>
                <w:sz w:val="24"/>
                <w:szCs w:val="24"/>
              </w:rPr>
              <w:t> </w:t>
            </w:r>
            <w:r w:rsidRPr="00B303CC">
              <w:rPr>
                <w:sz w:val="24"/>
                <w:szCs w:val="24"/>
              </w:rPr>
              <w:t>panta 3. un 4.</w:t>
            </w:r>
            <w:r w:rsidR="00FC2A3F">
              <w:rPr>
                <w:sz w:val="24"/>
                <w:szCs w:val="24"/>
              </w:rPr>
              <w:t> </w:t>
            </w:r>
            <w:r w:rsidRPr="00B303CC">
              <w:rPr>
                <w:sz w:val="24"/>
                <w:szCs w:val="24"/>
              </w:rPr>
              <w:t xml:space="preserve">punktu. </w:t>
            </w:r>
            <w:r w:rsidR="00AE76FC">
              <w:rPr>
                <w:sz w:val="24"/>
                <w:szCs w:val="24"/>
              </w:rPr>
              <w:t xml:space="preserve">VVD </w:t>
            </w:r>
            <w:r w:rsidRPr="00AE76FC" w:rsidR="00AE76FC">
              <w:rPr>
                <w:sz w:val="24"/>
                <w:szCs w:val="24"/>
              </w:rPr>
              <w:t xml:space="preserve">pieņem lēmumu, operatoram vai gaisa kuģa operatoram pienākumu veikt maksājumu par likuma </w:t>
            </w:r>
            <w:r w:rsidRPr="00B303CC" w:rsidR="00AE76FC">
              <w:rPr>
                <w:sz w:val="24"/>
                <w:szCs w:val="24"/>
              </w:rPr>
              <w:t>„Par piesārņojumu”</w:t>
            </w:r>
            <w:r w:rsidR="00AE76FC">
              <w:rPr>
                <w:sz w:val="24"/>
                <w:szCs w:val="24"/>
              </w:rPr>
              <w:t xml:space="preserve"> </w:t>
            </w:r>
            <w:r>
              <w:fldChar w:fldCharType="begin"/>
            </w:r>
            <w:r>
              <w:instrText xml:space="preserve"> HYPERLINK "https://likumi.lv/doc.php?id=6075" \l "p32.2" \t "_blank" </w:instrText>
            </w:r>
            <w:r>
              <w:fldChar w:fldCharType="separate"/>
            </w:r>
            <w:r w:rsidRPr="00AE76FC" w:rsidR="00AE76FC">
              <w:rPr>
                <w:sz w:val="24"/>
                <w:szCs w:val="24"/>
              </w:rPr>
              <w:t>32.</w:t>
            </w:r>
            <w:r w:rsidRPr="00AE76FC" w:rsidR="00AE76FC">
              <w:rPr>
                <w:sz w:val="24"/>
                <w:szCs w:val="24"/>
                <w:vertAlign w:val="superscript"/>
              </w:rPr>
              <w:t>2</w:t>
            </w:r>
            <w:r w:rsidRPr="00AE76FC" w:rsidR="00AE76FC">
              <w:rPr>
                <w:sz w:val="24"/>
                <w:szCs w:val="24"/>
              </w:rPr>
              <w:t> panta</w:t>
            </w:r>
            <w:r>
              <w:fldChar w:fldCharType="end"/>
            </w:r>
            <w:r w:rsidR="00AE76FC">
              <w:rPr>
                <w:sz w:val="24"/>
                <w:szCs w:val="24"/>
              </w:rPr>
              <w:t xml:space="preserve"> </w:t>
            </w:r>
            <w:r w:rsidRPr="00AE76FC" w:rsidR="00AE76FC">
              <w:rPr>
                <w:sz w:val="24"/>
                <w:szCs w:val="24"/>
              </w:rPr>
              <w:t>pirmajā daļā minēto emisijas kvotu nenodošanu paredzētajā termiņā vai noteiktajā apjomā.</w:t>
            </w:r>
          </w:p>
          <w:p w:rsidR="00816F2F" w:rsidRPr="005B1326" w:rsidP="005B1326" w14:paraId="3CB98DCD" w14:textId="77777777">
            <w:pPr>
              <w:pStyle w:val="ListParagraph"/>
              <w:spacing w:before="60" w:after="60"/>
              <w:ind w:left="0" w:firstLine="228"/>
              <w:contextualSpacing w:val="0"/>
              <w:rPr>
                <w:i/>
                <w:sz w:val="24"/>
                <w:szCs w:val="24"/>
              </w:rPr>
            </w:pPr>
          </w:p>
          <w:p w:rsidR="00816F2F" w:rsidRPr="005B1326" w:rsidP="004313BC" w14:paraId="577F0B95" w14:textId="4BF77217">
            <w:pPr>
              <w:pStyle w:val="ListParagraph"/>
              <w:spacing w:before="60" w:after="60"/>
              <w:ind w:left="0" w:firstLine="0"/>
              <w:contextualSpacing w:val="0"/>
              <w:rPr>
                <w:i/>
                <w:sz w:val="24"/>
                <w:szCs w:val="24"/>
              </w:rPr>
            </w:pPr>
            <w:r w:rsidRPr="005B1326">
              <w:rPr>
                <w:i/>
                <w:sz w:val="24"/>
                <w:szCs w:val="24"/>
              </w:rPr>
              <w:t xml:space="preserve">Nosacījumi </w:t>
            </w:r>
            <w:r w:rsidRPr="00EC53BE" w:rsidR="00EC53BE">
              <w:rPr>
                <w:i/>
                <w:sz w:val="24"/>
                <w:szCs w:val="24"/>
              </w:rPr>
              <w:t>regulas Nr.</w:t>
            </w:r>
            <w:r w:rsidR="00FC2A3F">
              <w:rPr>
                <w:i/>
                <w:sz w:val="24"/>
                <w:szCs w:val="24"/>
              </w:rPr>
              <w:t> </w:t>
            </w:r>
            <w:r w:rsidRPr="00EC53BE" w:rsidR="00EC53BE">
              <w:rPr>
                <w:i/>
                <w:sz w:val="24"/>
                <w:szCs w:val="24"/>
              </w:rPr>
              <w:t>2015/757 3.</w:t>
            </w:r>
            <w:r w:rsidR="00FC2A3F">
              <w:rPr>
                <w:i/>
                <w:sz w:val="24"/>
                <w:szCs w:val="24"/>
              </w:rPr>
              <w:t> </w:t>
            </w:r>
            <w:r w:rsidRPr="00EC53BE" w:rsidR="00EC53BE">
              <w:rPr>
                <w:i/>
                <w:sz w:val="24"/>
                <w:szCs w:val="24"/>
              </w:rPr>
              <w:t>panta „d” punktā minēt</w:t>
            </w:r>
            <w:r w:rsidR="00EC53BE">
              <w:rPr>
                <w:i/>
                <w:sz w:val="24"/>
                <w:szCs w:val="24"/>
              </w:rPr>
              <w:t xml:space="preserve">ajiem </w:t>
            </w:r>
            <w:r w:rsidRPr="00EC53BE" w:rsidR="00EC53BE">
              <w:rPr>
                <w:i/>
                <w:sz w:val="24"/>
                <w:szCs w:val="24"/>
              </w:rPr>
              <w:t>uzņēmum</w:t>
            </w:r>
            <w:r w:rsidR="00EC53BE">
              <w:rPr>
                <w:i/>
                <w:sz w:val="24"/>
                <w:szCs w:val="24"/>
              </w:rPr>
              <w:t>iem</w:t>
            </w:r>
          </w:p>
          <w:p w:rsidR="006F7387" w:rsidRPr="004313BC" w:rsidP="004313BC" w14:paraId="1610514B" w14:textId="241BC654">
            <w:pPr>
              <w:spacing w:before="120"/>
              <w:rPr>
                <w:sz w:val="24"/>
                <w:szCs w:val="24"/>
              </w:rPr>
            </w:pPr>
            <w:r w:rsidRPr="004313BC">
              <w:rPr>
                <w:rFonts w:ascii="Times New Roman" w:eastAsia="Times New Roman" w:hAnsi="Times New Roman"/>
                <w:sz w:val="24"/>
                <w:szCs w:val="24"/>
              </w:rPr>
              <w:t>Regulas Nr.</w:t>
            </w:r>
            <w:r w:rsidRPr="004313BC" w:rsidR="00BB785C">
              <w:rPr>
                <w:rFonts w:ascii="Times New Roman" w:eastAsia="Times New Roman" w:hAnsi="Times New Roman"/>
                <w:sz w:val="24"/>
                <w:szCs w:val="24"/>
              </w:rPr>
              <w:t> </w:t>
            </w:r>
            <w:r w:rsidRPr="004313BC">
              <w:rPr>
                <w:rFonts w:ascii="Times New Roman" w:eastAsia="Times New Roman" w:hAnsi="Times New Roman"/>
                <w:sz w:val="24"/>
                <w:szCs w:val="24"/>
              </w:rPr>
              <w:t>2015/757 3.</w:t>
            </w:r>
            <w:r w:rsidRPr="004313BC" w:rsidR="00BB785C">
              <w:rPr>
                <w:rFonts w:ascii="Times New Roman" w:eastAsia="Times New Roman" w:hAnsi="Times New Roman"/>
                <w:sz w:val="24"/>
                <w:szCs w:val="24"/>
              </w:rPr>
              <w:t> </w:t>
            </w:r>
            <w:r w:rsidRPr="004313BC">
              <w:rPr>
                <w:rFonts w:ascii="Times New Roman" w:eastAsia="Times New Roman" w:hAnsi="Times New Roman"/>
                <w:sz w:val="24"/>
                <w:szCs w:val="24"/>
              </w:rPr>
              <w:t>pant</w:t>
            </w:r>
            <w:r w:rsidRPr="004313BC">
              <w:rPr>
                <w:rFonts w:ascii="Times New Roman" w:eastAsia="Times New Roman" w:hAnsi="Times New Roman"/>
                <w:sz w:val="24"/>
                <w:szCs w:val="24"/>
              </w:rPr>
              <w:t xml:space="preserve">a „d” punktā ir definēts uzņēmums, uz kuru attiecas nosacījumi par jūras transporta oglekļa dioksīda emisiju monitoringu, ziņošanu un verifikāciju – </w:t>
            </w:r>
            <w:r w:rsidRPr="004313BC">
              <w:rPr>
                <w:rFonts w:ascii="Times New Roman" w:eastAsia="Times New Roman" w:hAnsi="Times New Roman"/>
                <w:sz w:val="24"/>
                <w:szCs w:val="24"/>
              </w:rPr>
              <w:t>„</w:t>
            </w:r>
            <w:r w:rsidRPr="004313BC" w:rsidR="005B1326">
              <w:rPr>
                <w:rFonts w:ascii="Times New Roman" w:eastAsia="Times New Roman" w:hAnsi="Times New Roman"/>
                <w:sz w:val="24"/>
                <w:szCs w:val="24"/>
              </w:rPr>
              <w:t xml:space="preserve">uzņēmums ir </w:t>
            </w:r>
            <w:r w:rsidRPr="004313BC">
              <w:rPr>
                <w:rFonts w:ascii="Times New Roman" w:eastAsia="Times New Roman" w:hAnsi="Times New Roman"/>
                <w:sz w:val="24"/>
                <w:szCs w:val="24"/>
              </w:rPr>
              <w:t>kuģa īpašnieks vai jebkura cita organizācija vai persona, piemēram, pārvaldnieks vai bezapkalpes kuģa fraktētājs, kas no kuģa īpašnieka pārņēmis atbildību par kuģa darbību”.</w:t>
            </w:r>
            <w:r w:rsidRPr="004313BC">
              <w:rPr>
                <w:rFonts w:ascii="Times New Roman" w:eastAsia="Times New Roman" w:hAnsi="Times New Roman"/>
                <w:sz w:val="24"/>
                <w:szCs w:val="24"/>
              </w:rPr>
              <w:t xml:space="preserve"> </w:t>
            </w:r>
            <w:r w:rsidRPr="004313BC" w:rsidR="00BB785C">
              <w:rPr>
                <w:rFonts w:ascii="Times New Roman" w:eastAsia="Times New Roman" w:hAnsi="Times New Roman"/>
                <w:sz w:val="24"/>
                <w:szCs w:val="24"/>
              </w:rPr>
              <w:t xml:space="preserve">Ievērojot minēto, ar </w:t>
            </w:r>
            <w:r w:rsidRPr="004313BC">
              <w:rPr>
                <w:rFonts w:ascii="Times New Roman" w:eastAsia="Times New Roman" w:hAnsi="Times New Roman"/>
                <w:sz w:val="24"/>
                <w:szCs w:val="24"/>
              </w:rPr>
              <w:t>likumprojekt</w:t>
            </w:r>
            <w:r w:rsidRPr="004313BC" w:rsidR="00442FF8">
              <w:rPr>
                <w:rFonts w:ascii="Times New Roman" w:eastAsia="Times New Roman" w:hAnsi="Times New Roman"/>
                <w:sz w:val="24"/>
                <w:szCs w:val="24"/>
              </w:rPr>
              <w:t>a 2. pantu, kas paredz papildināt APK ar 88.</w:t>
            </w:r>
            <w:r w:rsidRPr="004313BC" w:rsidR="00442FF8">
              <w:rPr>
                <w:rFonts w:ascii="Times New Roman" w:eastAsia="Times New Roman" w:hAnsi="Times New Roman"/>
                <w:sz w:val="24"/>
                <w:szCs w:val="24"/>
                <w:vertAlign w:val="superscript"/>
              </w:rPr>
              <w:t>11</w:t>
            </w:r>
            <w:r w:rsidRPr="004313BC" w:rsidR="00442FF8">
              <w:rPr>
                <w:rFonts w:ascii="Times New Roman" w:eastAsia="Times New Roman" w:hAnsi="Times New Roman"/>
                <w:sz w:val="24"/>
                <w:szCs w:val="24"/>
              </w:rPr>
              <w:t xml:space="preserve"> pantu, kas noteic atbildību par </w:t>
            </w:r>
            <w:r w:rsidR="00980EE6">
              <w:rPr>
                <w:rFonts w:ascii="Times New Roman" w:eastAsia="Times New Roman" w:hAnsi="Times New Roman"/>
                <w:sz w:val="24"/>
                <w:szCs w:val="24"/>
              </w:rPr>
              <w:t>SEG</w:t>
            </w:r>
            <w:r w:rsidRPr="004313BC" w:rsidR="00442FF8">
              <w:rPr>
                <w:rFonts w:ascii="Times New Roman" w:eastAsia="Times New Roman" w:hAnsi="Times New Roman"/>
                <w:sz w:val="24"/>
                <w:szCs w:val="24"/>
              </w:rPr>
              <w:t xml:space="preserve"> emisiju informācijas slēpšanu vai sagrozīšana, šī panta</w:t>
            </w:r>
            <w:r w:rsidR="00F73670">
              <w:rPr>
                <w:rFonts w:ascii="Times New Roman" w:eastAsia="Times New Roman" w:hAnsi="Times New Roman"/>
                <w:sz w:val="24"/>
                <w:szCs w:val="24"/>
              </w:rPr>
              <w:t xml:space="preserve"> </w:t>
            </w:r>
            <w:r w:rsidRPr="004313BC">
              <w:rPr>
                <w:rFonts w:ascii="Times New Roman" w:eastAsia="Times New Roman" w:hAnsi="Times New Roman"/>
                <w:sz w:val="24"/>
                <w:szCs w:val="24"/>
              </w:rPr>
              <w:t>trešā daļa ir attiecināma uz šo regulas Nr.</w:t>
            </w:r>
            <w:r w:rsidRPr="004313BC" w:rsidR="00442FF8">
              <w:rPr>
                <w:rFonts w:ascii="Times New Roman" w:eastAsia="Times New Roman" w:hAnsi="Times New Roman"/>
                <w:sz w:val="24"/>
                <w:szCs w:val="24"/>
              </w:rPr>
              <w:t> </w:t>
            </w:r>
            <w:r w:rsidRPr="004313BC">
              <w:rPr>
                <w:rFonts w:ascii="Times New Roman" w:eastAsia="Times New Roman" w:hAnsi="Times New Roman"/>
                <w:sz w:val="24"/>
                <w:szCs w:val="24"/>
              </w:rPr>
              <w:t>2015/757 3.</w:t>
            </w:r>
            <w:r w:rsidRPr="004313BC" w:rsidR="00442FF8">
              <w:rPr>
                <w:rFonts w:ascii="Times New Roman" w:eastAsia="Times New Roman" w:hAnsi="Times New Roman"/>
                <w:sz w:val="24"/>
                <w:szCs w:val="24"/>
              </w:rPr>
              <w:t> </w:t>
            </w:r>
            <w:r w:rsidRPr="004313BC">
              <w:rPr>
                <w:rFonts w:ascii="Times New Roman" w:eastAsia="Times New Roman" w:hAnsi="Times New Roman"/>
                <w:sz w:val="24"/>
                <w:szCs w:val="24"/>
              </w:rPr>
              <w:t>panta „d” punktā definēto uzņēmumu</w:t>
            </w:r>
            <w:r w:rsidRPr="004313BC" w:rsidR="00F622C9">
              <w:rPr>
                <w:rFonts w:ascii="Times New Roman" w:eastAsia="Times New Roman" w:hAnsi="Times New Roman"/>
                <w:sz w:val="24"/>
                <w:szCs w:val="24"/>
              </w:rPr>
              <w:t xml:space="preserve"> (fiziska vai juridiska persona, kura veic kādu no darbībām ar kuģiem ar bruto tonnāžu virs 5</w:t>
            </w:r>
            <w:r w:rsidRPr="004313BC" w:rsidR="00442FF8">
              <w:rPr>
                <w:rFonts w:ascii="Times New Roman" w:eastAsia="Times New Roman" w:hAnsi="Times New Roman"/>
                <w:sz w:val="24"/>
                <w:szCs w:val="24"/>
              </w:rPr>
              <w:t> </w:t>
            </w:r>
            <w:r w:rsidRPr="004313BC" w:rsidR="00F622C9">
              <w:rPr>
                <w:rFonts w:ascii="Times New Roman" w:eastAsia="Times New Roman" w:hAnsi="Times New Roman"/>
                <w:sz w:val="24"/>
                <w:szCs w:val="24"/>
              </w:rPr>
              <w:t>000 t</w:t>
            </w:r>
            <w:r w:rsidRPr="004313BC" w:rsidR="00442FF8">
              <w:rPr>
                <w:rFonts w:ascii="Times New Roman" w:eastAsia="Times New Roman" w:hAnsi="Times New Roman"/>
                <w:sz w:val="24"/>
                <w:szCs w:val="24"/>
              </w:rPr>
              <w:t>onnām,</w:t>
            </w:r>
            <w:r w:rsidRPr="004313BC" w:rsidR="00F622C9">
              <w:rPr>
                <w:rFonts w:ascii="Times New Roman" w:eastAsia="Times New Roman" w:hAnsi="Times New Roman"/>
                <w:sz w:val="24"/>
                <w:szCs w:val="24"/>
              </w:rPr>
              <w:t xml:space="preserve"> izņemot karakuģ</w:t>
            </w:r>
            <w:r w:rsidRPr="004313BC" w:rsidR="00442FF8">
              <w:rPr>
                <w:rFonts w:ascii="Times New Roman" w:eastAsia="Times New Roman" w:hAnsi="Times New Roman"/>
                <w:sz w:val="24"/>
                <w:szCs w:val="24"/>
              </w:rPr>
              <w:t>us</w:t>
            </w:r>
            <w:r w:rsidRPr="004313BC" w:rsidR="00F622C9">
              <w:rPr>
                <w:rFonts w:ascii="Times New Roman" w:eastAsia="Times New Roman" w:hAnsi="Times New Roman"/>
                <w:sz w:val="24"/>
                <w:szCs w:val="24"/>
              </w:rPr>
              <w:t>, jūras spēku palīgkuģ</w:t>
            </w:r>
            <w:r w:rsidRPr="004313BC" w:rsidR="00442FF8">
              <w:rPr>
                <w:rFonts w:ascii="Times New Roman" w:eastAsia="Times New Roman" w:hAnsi="Times New Roman"/>
                <w:sz w:val="24"/>
                <w:szCs w:val="24"/>
              </w:rPr>
              <w:t>us</w:t>
            </w:r>
            <w:r w:rsidRPr="004313BC" w:rsidR="00F622C9">
              <w:rPr>
                <w:rFonts w:ascii="Times New Roman" w:eastAsia="Times New Roman" w:hAnsi="Times New Roman"/>
                <w:sz w:val="24"/>
                <w:szCs w:val="24"/>
              </w:rPr>
              <w:t>, zvejas un zivju apstrādes kuģ</w:t>
            </w:r>
            <w:r w:rsidRPr="004313BC" w:rsidR="00442FF8">
              <w:rPr>
                <w:rFonts w:ascii="Times New Roman" w:eastAsia="Times New Roman" w:hAnsi="Times New Roman"/>
                <w:sz w:val="24"/>
                <w:szCs w:val="24"/>
              </w:rPr>
              <w:t>us</w:t>
            </w:r>
            <w:r w:rsidRPr="004313BC" w:rsidR="00F622C9">
              <w:rPr>
                <w:rFonts w:ascii="Times New Roman" w:eastAsia="Times New Roman" w:hAnsi="Times New Roman"/>
                <w:sz w:val="24"/>
                <w:szCs w:val="24"/>
              </w:rPr>
              <w:t>, vienkāršas konstrukcijas koka kuģ</w:t>
            </w:r>
            <w:r w:rsidRPr="004313BC" w:rsidR="00442FF8">
              <w:rPr>
                <w:rFonts w:ascii="Times New Roman" w:eastAsia="Times New Roman" w:hAnsi="Times New Roman"/>
                <w:sz w:val="24"/>
                <w:szCs w:val="24"/>
              </w:rPr>
              <w:t>us</w:t>
            </w:r>
            <w:r w:rsidRPr="004313BC" w:rsidR="00F622C9">
              <w:rPr>
                <w:rFonts w:ascii="Times New Roman" w:eastAsia="Times New Roman" w:hAnsi="Times New Roman"/>
                <w:sz w:val="24"/>
                <w:szCs w:val="24"/>
              </w:rPr>
              <w:t>, kuģi, kuru kustību nenodrošina mehāniski līdzekļi, vai nekomerciāli izmantotiem valsts dienesta kuģi)</w:t>
            </w:r>
            <w:r w:rsidRPr="004313BC">
              <w:rPr>
                <w:rFonts w:ascii="Times New Roman" w:eastAsia="Times New Roman" w:hAnsi="Times New Roman"/>
                <w:sz w:val="24"/>
                <w:szCs w:val="24"/>
              </w:rPr>
              <w:t xml:space="preserve">, un nav attiecināma uz Latvijas </w:t>
            </w:r>
            <w:r w:rsidRPr="004313BC" w:rsidR="00277222">
              <w:rPr>
                <w:rFonts w:ascii="Times New Roman" w:eastAsia="Times New Roman" w:hAnsi="Times New Roman"/>
                <w:sz w:val="24"/>
                <w:szCs w:val="24"/>
              </w:rPr>
              <w:t>normatīvajos aktos</w:t>
            </w:r>
            <w:r w:rsidR="004A4A64">
              <w:rPr>
                <w:rFonts w:ascii="Times New Roman" w:eastAsia="Times New Roman" w:hAnsi="Times New Roman"/>
                <w:sz w:val="24"/>
                <w:szCs w:val="24"/>
              </w:rPr>
              <w:t xml:space="preserve"> </w:t>
            </w:r>
            <w:r w:rsidRPr="004313BC">
              <w:rPr>
                <w:rFonts w:ascii="Times New Roman" w:eastAsia="Times New Roman" w:hAnsi="Times New Roman"/>
                <w:sz w:val="24"/>
                <w:szCs w:val="24"/>
              </w:rPr>
              <w:t>definēto jēdzienu „uzņēmums”.</w:t>
            </w:r>
          </w:p>
          <w:p w:rsidR="0004521E" w:rsidRPr="005B1326" w:rsidP="004313BC" w14:paraId="08580876" w14:textId="0376B0CE">
            <w:pPr>
              <w:pStyle w:val="naiskr"/>
              <w:spacing w:before="60" w:after="60"/>
              <w:jc w:val="both"/>
            </w:pPr>
            <w:r w:rsidRPr="004313BC">
              <w:t>Savukārt regulas Nr.</w:t>
            </w:r>
            <w:r w:rsidRPr="004313BC" w:rsidR="00277222">
              <w:t> </w:t>
            </w:r>
            <w:r w:rsidRPr="004313BC">
              <w:t>2015/757 2.</w:t>
            </w:r>
            <w:r w:rsidRPr="004313BC" w:rsidR="00277222">
              <w:t> </w:t>
            </w:r>
            <w:r w:rsidR="004A4A64">
              <w:t>pants paredz</w:t>
            </w:r>
            <w:r w:rsidRPr="004313BC">
              <w:t>, ka šī regula tiek</w:t>
            </w:r>
            <w:r w:rsidRPr="005B1326">
              <w:t xml:space="preserve"> piemērota kuģiem ar bruto tonnāžu virs 5</w:t>
            </w:r>
            <w:r w:rsidR="00277222">
              <w:t> </w:t>
            </w:r>
            <w:r w:rsidRPr="005B1326">
              <w:t>000 t</w:t>
            </w:r>
            <w:r w:rsidR="00277222">
              <w:t>onnām</w:t>
            </w:r>
            <w:r w:rsidRPr="005B1326">
              <w:t xml:space="preserve"> attiecībā uz CO</w:t>
            </w:r>
            <w:r w:rsidRPr="005B1326">
              <w:rPr>
                <w:vertAlign w:val="subscript"/>
              </w:rPr>
              <w:t>2</w:t>
            </w:r>
            <w:r w:rsidRPr="005B1326">
              <w:t xml:space="preserve"> emisijām, kas radušās minēto kuģu reisos no to pēdējās ienākšanas ostas uz </w:t>
            </w:r>
            <w:r w:rsidR="004A4A64">
              <w:t xml:space="preserve">ES </w:t>
            </w:r>
            <w:r w:rsidRPr="005B1326">
              <w:t xml:space="preserve">dalībvalsts jurisdikcijā esošu ienākšanas ostu, reisos no </w:t>
            </w:r>
            <w:r w:rsidR="004A4A64">
              <w:t xml:space="preserve">ES </w:t>
            </w:r>
            <w:r w:rsidRPr="005B1326">
              <w:t xml:space="preserve">dalībvalsts jurisdikcijā esošas ienākšanas ostas uz nākamo ienākšanas ostu, kā arī </w:t>
            </w:r>
            <w:r w:rsidR="004A4A64">
              <w:t xml:space="preserve">ES </w:t>
            </w:r>
            <w:r w:rsidRPr="005B1326">
              <w:t>dalībvalsts jurisdikcijā esošās ienākšanas ostās, bet šo regulu nepiemēro karakuģiem, jūras spēku palīgkuģiem, zvejas un zivju apstrādes kuģiem, vienkāršas konstrukcijas koka kuģiem, kuģiem, kuru kustību nenodrošina mehāniski līdzekļi, vai nekomerciāli izmantotiem valsts dienesta kuģiem.</w:t>
            </w:r>
          </w:p>
          <w:p w:rsidR="00A9076C" w:rsidRPr="005B1326" w:rsidP="004313BC" w14:paraId="708F8166" w14:textId="2E02B02C">
            <w:pPr>
              <w:pStyle w:val="ListParagraph"/>
              <w:spacing w:before="60" w:after="60"/>
              <w:ind w:left="0" w:firstLine="0"/>
              <w:contextualSpacing w:val="0"/>
              <w:rPr>
                <w:i/>
                <w:color w:val="000000" w:themeColor="text1"/>
                <w:sz w:val="24"/>
                <w:szCs w:val="24"/>
              </w:rPr>
            </w:pPr>
            <w:r w:rsidRPr="005B1326">
              <w:rPr>
                <w:i/>
                <w:sz w:val="24"/>
                <w:szCs w:val="24"/>
              </w:rPr>
              <w:t xml:space="preserve">Nosacījumi </w:t>
            </w:r>
            <w:r w:rsidRPr="00EC53BE" w:rsidR="00EC53BE">
              <w:rPr>
                <w:i/>
                <w:sz w:val="24"/>
                <w:szCs w:val="24"/>
              </w:rPr>
              <w:t>regulas Nr.</w:t>
            </w:r>
            <w:r w:rsidR="00277222">
              <w:rPr>
                <w:i/>
                <w:sz w:val="24"/>
                <w:szCs w:val="24"/>
              </w:rPr>
              <w:t> </w:t>
            </w:r>
            <w:r w:rsidRPr="00EC53BE" w:rsidR="00EC53BE">
              <w:rPr>
                <w:i/>
                <w:sz w:val="24"/>
                <w:szCs w:val="24"/>
              </w:rPr>
              <w:t>2015/757 3.</w:t>
            </w:r>
            <w:r w:rsidR="00277222">
              <w:rPr>
                <w:i/>
                <w:sz w:val="24"/>
                <w:szCs w:val="24"/>
              </w:rPr>
              <w:t> </w:t>
            </w:r>
            <w:r w:rsidRPr="00EC53BE" w:rsidR="00EC53BE">
              <w:rPr>
                <w:i/>
                <w:sz w:val="24"/>
                <w:szCs w:val="24"/>
              </w:rPr>
              <w:t>panta „d” punktā minēt</w:t>
            </w:r>
            <w:r w:rsidR="00EC53BE">
              <w:rPr>
                <w:i/>
                <w:sz w:val="24"/>
                <w:szCs w:val="24"/>
              </w:rPr>
              <w:t>o</w:t>
            </w:r>
            <w:r w:rsidRPr="00EC53BE" w:rsidR="00EC53BE">
              <w:rPr>
                <w:i/>
                <w:sz w:val="24"/>
                <w:szCs w:val="24"/>
              </w:rPr>
              <w:t xml:space="preserve"> uzņēmum</w:t>
            </w:r>
            <w:r w:rsidR="00EC53BE">
              <w:rPr>
                <w:i/>
                <w:sz w:val="24"/>
                <w:szCs w:val="24"/>
              </w:rPr>
              <w:t>u</w:t>
            </w:r>
            <w:r w:rsidRPr="005B1326" w:rsidR="00EC53BE">
              <w:rPr>
                <w:i/>
                <w:sz w:val="24"/>
                <w:szCs w:val="24"/>
              </w:rPr>
              <w:t xml:space="preserve"> </w:t>
            </w:r>
            <w:r w:rsidRPr="005B1326">
              <w:rPr>
                <w:i/>
                <w:color w:val="000000" w:themeColor="text1"/>
                <w:sz w:val="24"/>
                <w:szCs w:val="24"/>
              </w:rPr>
              <w:t>darbības uzraudz</w:t>
            </w:r>
            <w:r w:rsidR="004C4E0E">
              <w:rPr>
                <w:i/>
                <w:color w:val="000000" w:themeColor="text1"/>
                <w:sz w:val="24"/>
                <w:szCs w:val="24"/>
              </w:rPr>
              <w:t>ībai</w:t>
            </w:r>
          </w:p>
          <w:p w:rsidR="002D2368" w:rsidP="004313BC" w14:paraId="1A21BE01" w14:textId="693E0E82">
            <w:pPr>
              <w:pStyle w:val="naiskr"/>
              <w:spacing w:before="60" w:after="60"/>
              <w:jc w:val="both"/>
            </w:pPr>
            <w:r>
              <w:t>R</w:t>
            </w:r>
            <w:r w:rsidRPr="00EC53BE" w:rsidR="00EC53BE">
              <w:t>egulas Nr.</w:t>
            </w:r>
            <w:r w:rsidR="008C1CCE">
              <w:t> </w:t>
            </w:r>
            <w:r w:rsidRPr="00EC53BE" w:rsidR="00EC53BE">
              <w:t>2015/757 3.</w:t>
            </w:r>
            <w:r w:rsidR="008C1CCE">
              <w:t> </w:t>
            </w:r>
            <w:r w:rsidRPr="00EC53BE" w:rsidR="00EC53BE">
              <w:t>panta „d” punktā minēt</w:t>
            </w:r>
            <w:r w:rsidR="00EC53BE">
              <w:t>o</w:t>
            </w:r>
            <w:r w:rsidRPr="00EC53BE" w:rsidR="00EC53BE">
              <w:t xml:space="preserve"> uzņēmum</w:t>
            </w:r>
            <w:r w:rsidR="00EC53BE">
              <w:t>u</w:t>
            </w:r>
            <w:r w:rsidRPr="00EC53BE" w:rsidR="00EC53BE">
              <w:t xml:space="preserve"> </w:t>
            </w:r>
            <w:r w:rsidRPr="00B303CC" w:rsidR="0004521E">
              <w:t>pienākumi un atbildības</w:t>
            </w:r>
            <w:r>
              <w:t>:</w:t>
            </w:r>
          </w:p>
          <w:p w:rsidR="002D2368" w:rsidP="005B1326" w14:paraId="729A00B6" w14:textId="229B5BAA">
            <w:pPr>
              <w:pStyle w:val="naiskr"/>
              <w:numPr>
                <w:ilvl w:val="0"/>
                <w:numId w:val="17"/>
              </w:numPr>
              <w:spacing w:before="60" w:after="60"/>
              <w:ind w:left="284" w:hanging="284"/>
              <w:jc w:val="both"/>
            </w:pPr>
            <w:r>
              <w:t xml:space="preserve">sagatavot un verificētājam iesniegt monitoringa plānu </w:t>
            </w:r>
            <w:r w:rsidRPr="002D2368">
              <w:t>par katru uzņēmuma kuģi, kurā norādīta izvēlētā CO</w:t>
            </w:r>
            <w:r w:rsidRPr="005B1326">
              <w:rPr>
                <w:vertAlign w:val="subscript"/>
              </w:rPr>
              <w:t>2</w:t>
            </w:r>
            <w:r w:rsidRPr="002D2368">
              <w:t xml:space="preserve"> emisiju monitoringa un ziņošanas metode un cita attiecīga informācija</w:t>
            </w:r>
            <w:r>
              <w:t>;</w:t>
            </w:r>
          </w:p>
          <w:p w:rsidR="002D2368" w:rsidP="005B1326" w14:paraId="07CFA450" w14:textId="30629F06">
            <w:pPr>
              <w:pStyle w:val="naiskr"/>
              <w:numPr>
                <w:ilvl w:val="0"/>
                <w:numId w:val="17"/>
              </w:numPr>
              <w:spacing w:before="60" w:after="60"/>
              <w:ind w:left="284" w:hanging="284"/>
              <w:jc w:val="both"/>
            </w:pPr>
            <w:r w:rsidRPr="002D2368">
              <w:t>vei</w:t>
            </w:r>
            <w:r>
              <w:t>kt</w:t>
            </w:r>
            <w:r w:rsidRPr="002D2368">
              <w:t xml:space="preserve"> katra kuģa CO</w:t>
            </w:r>
            <w:r w:rsidRPr="005B1326">
              <w:rPr>
                <w:vertAlign w:val="subscript"/>
              </w:rPr>
              <w:t>2</w:t>
            </w:r>
            <w:r w:rsidRPr="002D2368">
              <w:t xml:space="preserve"> emisiju monitoringu gan par katru reisu, gan par</w:t>
            </w:r>
            <w:r>
              <w:t xml:space="preserve"> gadu;</w:t>
            </w:r>
          </w:p>
          <w:p w:rsidR="002D2368" w:rsidP="005B1326" w14:paraId="31067798" w14:textId="54A4DE89">
            <w:pPr>
              <w:pStyle w:val="naiskr"/>
              <w:numPr>
                <w:ilvl w:val="0"/>
                <w:numId w:val="17"/>
              </w:numPr>
              <w:spacing w:before="60" w:after="60"/>
              <w:ind w:left="284" w:hanging="284"/>
              <w:jc w:val="both"/>
            </w:pPr>
            <w:r>
              <w:t xml:space="preserve">sagatavot un iesniegt verificētājam ikgadējo emisiju ziņojumu </w:t>
            </w:r>
            <w:r w:rsidRPr="002D2368">
              <w:t>par katru to pārziņā esošo kuģi par CO</w:t>
            </w:r>
            <w:r w:rsidRPr="005B1326">
              <w:rPr>
                <w:vertAlign w:val="subscript"/>
              </w:rPr>
              <w:t>2</w:t>
            </w:r>
            <w:r w:rsidRPr="002D2368">
              <w:t xml:space="preserve"> emisijām un citu attiecīgo informāciju attiecībā uz visu ziņošanas laikposmu</w:t>
            </w:r>
            <w:r>
              <w:t>;</w:t>
            </w:r>
          </w:p>
          <w:p w:rsidR="002D2368" w:rsidP="005B1326" w14:paraId="527B6AE4" w14:textId="4A3E8835">
            <w:pPr>
              <w:pStyle w:val="naiskr"/>
              <w:numPr>
                <w:ilvl w:val="0"/>
                <w:numId w:val="17"/>
              </w:numPr>
              <w:spacing w:before="60" w:after="60"/>
              <w:ind w:left="284" w:hanging="284"/>
              <w:jc w:val="both"/>
            </w:pPr>
            <w:r>
              <w:t>iesniegt Eiropas Komisijā un attiecīgajā karoga valsts iestādē ikgadējo emisiju ziņojumu</w:t>
            </w:r>
            <w:r w:rsidRPr="002D2368">
              <w:t>, kuru verificētājs verificējis kā apmierinošu</w:t>
            </w:r>
            <w:r w:rsidR="005B1326">
              <w:t>.</w:t>
            </w:r>
          </w:p>
          <w:p w:rsidR="00F21E41" w:rsidP="004313BC" w14:paraId="1C92B497" w14:textId="2F9AE3AE">
            <w:pPr>
              <w:pStyle w:val="naiskr"/>
              <w:spacing w:before="60" w:after="60"/>
              <w:jc w:val="both"/>
            </w:pPr>
            <w:r>
              <w:t>Savukārt verificētājam ir nepieciešams verificēt iesniegto monitoringa plānu un ikgadējo emisiju ziņojumu un, ja iesniegtais emisiju ziņojums ir verificēts kā atbilstošs, izsniegt atbilstības dokumentu.</w:t>
            </w:r>
          </w:p>
          <w:p w:rsidR="0004521E" w:rsidRPr="00B303CC" w:rsidP="004313BC" w14:paraId="77E04DE3" w14:textId="0D66F8FA">
            <w:pPr>
              <w:pStyle w:val="naiskr"/>
              <w:spacing w:before="60" w:after="60"/>
              <w:jc w:val="both"/>
            </w:pPr>
            <w:r>
              <w:t>Regulā Nr.</w:t>
            </w:r>
            <w:r w:rsidR="008C1CCE">
              <w:t> </w:t>
            </w:r>
            <w:r>
              <w:t xml:space="preserve">2015/757 </w:t>
            </w:r>
            <w:r w:rsidR="00F73670">
              <w:t>ir noteiktas ar</w:t>
            </w:r>
            <w:r w:rsidR="009F04E7">
              <w:t>ī</w:t>
            </w:r>
            <w:r w:rsidRPr="00B303CC">
              <w:t xml:space="preserve"> valsts kompetentajām iestādēm</w:t>
            </w:r>
            <w:r w:rsidR="009F04E7">
              <w:t xml:space="preserve"> īstenojamās prasības</w:t>
            </w:r>
            <w:r w:rsidRPr="00B303CC">
              <w:t>. Šobrīd Latvijas normatīvajos aktos nav definētas konkrētās kompetentās iestādes, kas ir atbildīgas par regulas Nr.</w:t>
            </w:r>
            <w:r w:rsidR="008C1CCE">
              <w:t> </w:t>
            </w:r>
            <w:r w:rsidR="00F73670">
              <w:t>2015/757 prasību</w:t>
            </w:r>
            <w:r w:rsidRPr="00B303CC">
              <w:t xml:space="preserve"> izpildes kontroli un uzraudzību.</w:t>
            </w:r>
          </w:p>
          <w:p w:rsidR="00A9076C" w:rsidRPr="005B1326" w:rsidP="004313BC" w14:paraId="6467D4EA" w14:textId="72FF3538">
            <w:pPr>
              <w:pStyle w:val="ListParagraph"/>
              <w:spacing w:before="60" w:after="60"/>
              <w:ind w:left="0" w:firstLine="0"/>
              <w:contextualSpacing w:val="0"/>
              <w:rPr>
                <w:color w:val="000000" w:themeColor="text1"/>
                <w:sz w:val="24"/>
                <w:szCs w:val="24"/>
              </w:rPr>
            </w:pPr>
            <w:r>
              <w:rPr>
                <w:color w:val="000000" w:themeColor="text1"/>
                <w:sz w:val="24"/>
                <w:szCs w:val="24"/>
              </w:rPr>
              <w:t xml:space="preserve">Ar </w:t>
            </w:r>
            <w:r w:rsidRPr="005B1326" w:rsidR="0004521E">
              <w:rPr>
                <w:color w:val="000000" w:themeColor="text1"/>
                <w:sz w:val="24"/>
                <w:szCs w:val="24"/>
              </w:rPr>
              <w:t>Likumprojekt</w:t>
            </w:r>
            <w:r>
              <w:rPr>
                <w:color w:val="000000" w:themeColor="text1"/>
                <w:sz w:val="24"/>
                <w:szCs w:val="24"/>
              </w:rPr>
              <w:t>u</w:t>
            </w:r>
            <w:r w:rsidRPr="005B1326">
              <w:rPr>
                <w:color w:val="000000" w:themeColor="text1"/>
                <w:sz w:val="24"/>
                <w:szCs w:val="24"/>
              </w:rPr>
              <w:t xml:space="preserve"> „Grozījumi likumā „Par piesārņojumu”” (VSS-973)</w:t>
            </w:r>
            <w:r w:rsidRPr="005B1326" w:rsidR="0004521E">
              <w:rPr>
                <w:color w:val="000000" w:themeColor="text1"/>
                <w:sz w:val="24"/>
                <w:szCs w:val="24"/>
              </w:rPr>
              <w:t xml:space="preserve"> tiek</w:t>
            </w:r>
            <w:r w:rsidRPr="005B1326">
              <w:rPr>
                <w:color w:val="000000" w:themeColor="text1"/>
                <w:sz w:val="24"/>
                <w:szCs w:val="24"/>
              </w:rPr>
              <w:t xml:space="preserve"> noteikt</w:t>
            </w:r>
            <w:r w:rsidRPr="005B1326" w:rsidR="0004521E">
              <w:rPr>
                <w:color w:val="000000" w:themeColor="text1"/>
                <w:sz w:val="24"/>
                <w:szCs w:val="24"/>
              </w:rPr>
              <w:t>s</w:t>
            </w:r>
            <w:r w:rsidRPr="005B1326">
              <w:rPr>
                <w:color w:val="000000" w:themeColor="text1"/>
                <w:sz w:val="24"/>
                <w:szCs w:val="24"/>
              </w:rPr>
              <w:t xml:space="preserve">, ka VARAM un </w:t>
            </w:r>
            <w:r w:rsidR="006D108D">
              <w:rPr>
                <w:color w:val="000000" w:themeColor="text1"/>
                <w:sz w:val="24"/>
                <w:szCs w:val="24"/>
              </w:rPr>
              <w:t>VVD</w:t>
            </w:r>
            <w:r w:rsidRPr="005B1326">
              <w:rPr>
                <w:color w:val="000000" w:themeColor="text1"/>
                <w:sz w:val="24"/>
                <w:szCs w:val="24"/>
              </w:rPr>
              <w:t xml:space="preserve"> savas kompetences ietvaros</w:t>
            </w:r>
            <w:r w:rsidRPr="005B1326" w:rsidR="00F21E41">
              <w:rPr>
                <w:color w:val="000000" w:themeColor="text1"/>
                <w:sz w:val="24"/>
                <w:szCs w:val="24"/>
              </w:rPr>
              <w:t xml:space="preserve"> uzrauga un kontrolē </w:t>
            </w:r>
            <w:r w:rsidRPr="00EC53BE" w:rsidR="00EC53BE">
              <w:rPr>
                <w:color w:val="000000" w:themeColor="text1"/>
                <w:sz w:val="24"/>
                <w:szCs w:val="24"/>
              </w:rPr>
              <w:t>regulas Nr.</w:t>
            </w:r>
            <w:r>
              <w:rPr>
                <w:color w:val="000000" w:themeColor="text1"/>
                <w:sz w:val="24"/>
                <w:szCs w:val="24"/>
              </w:rPr>
              <w:t> </w:t>
            </w:r>
            <w:r w:rsidRPr="00EC53BE" w:rsidR="00EC53BE">
              <w:rPr>
                <w:color w:val="000000" w:themeColor="text1"/>
                <w:sz w:val="24"/>
                <w:szCs w:val="24"/>
              </w:rPr>
              <w:t>2015/757 3.</w:t>
            </w:r>
            <w:r>
              <w:rPr>
                <w:color w:val="000000" w:themeColor="text1"/>
                <w:sz w:val="24"/>
                <w:szCs w:val="24"/>
              </w:rPr>
              <w:t> </w:t>
            </w:r>
            <w:r w:rsidRPr="00EC53BE" w:rsidR="00EC53BE">
              <w:rPr>
                <w:color w:val="000000" w:themeColor="text1"/>
                <w:sz w:val="24"/>
                <w:szCs w:val="24"/>
              </w:rPr>
              <w:t>panta „d” punktā minētajam uzņēmumam</w:t>
            </w:r>
            <w:r w:rsidRPr="005B1326" w:rsidR="00EC53BE">
              <w:rPr>
                <w:color w:val="000000" w:themeColor="text1"/>
                <w:sz w:val="24"/>
                <w:szCs w:val="24"/>
              </w:rPr>
              <w:t xml:space="preserve"> </w:t>
            </w:r>
            <w:r w:rsidRPr="00B303CC" w:rsidR="00EC53BE">
              <w:rPr>
                <w:color w:val="000000" w:themeColor="text1"/>
                <w:sz w:val="24"/>
                <w:szCs w:val="24"/>
              </w:rPr>
              <w:t>regulā Nr.</w:t>
            </w:r>
            <w:r w:rsidR="00ED1223">
              <w:rPr>
                <w:color w:val="000000" w:themeColor="text1"/>
                <w:sz w:val="24"/>
                <w:szCs w:val="24"/>
              </w:rPr>
              <w:t> </w:t>
            </w:r>
            <w:r w:rsidRPr="00B303CC" w:rsidR="00EC53BE">
              <w:rPr>
                <w:color w:val="000000" w:themeColor="text1"/>
                <w:sz w:val="24"/>
                <w:szCs w:val="24"/>
              </w:rPr>
              <w:t xml:space="preserve">2015/757 </w:t>
            </w:r>
            <w:r w:rsidRPr="005B1326">
              <w:rPr>
                <w:color w:val="000000" w:themeColor="text1"/>
                <w:sz w:val="24"/>
                <w:szCs w:val="24"/>
              </w:rPr>
              <w:t>noteikto prasību izpildi.</w:t>
            </w:r>
          </w:p>
          <w:p w:rsidR="00A9076C" w:rsidRPr="005B1326" w:rsidP="009B0BF3" w14:paraId="210295CA" w14:textId="0872DDE2">
            <w:pPr>
              <w:pStyle w:val="ListParagraph"/>
              <w:spacing w:before="60" w:after="60"/>
              <w:ind w:left="0" w:firstLine="0"/>
              <w:contextualSpacing w:val="0"/>
              <w:rPr>
                <w:color w:val="000000" w:themeColor="text1"/>
                <w:sz w:val="24"/>
                <w:szCs w:val="24"/>
              </w:rPr>
            </w:pPr>
            <w:r w:rsidRPr="005B1326">
              <w:rPr>
                <w:color w:val="000000" w:themeColor="text1"/>
                <w:sz w:val="24"/>
                <w:szCs w:val="24"/>
              </w:rPr>
              <w:t>Tiek plānots, ka uz likuma „Par piesārņojumu” pamat</w:t>
            </w:r>
            <w:r w:rsidR="00ED1223">
              <w:rPr>
                <w:color w:val="000000" w:themeColor="text1"/>
                <w:sz w:val="24"/>
                <w:szCs w:val="24"/>
              </w:rPr>
              <w:t>a</w:t>
            </w:r>
            <w:r w:rsidRPr="005B1326">
              <w:rPr>
                <w:color w:val="000000" w:themeColor="text1"/>
                <w:sz w:val="24"/>
                <w:szCs w:val="24"/>
              </w:rPr>
              <w:t xml:space="preserve"> izdotajos Ministru kabineta noteikumos, kuru deleģējums ir dots </w:t>
            </w:r>
            <w:r w:rsidR="00ED1223">
              <w:rPr>
                <w:color w:val="000000" w:themeColor="text1"/>
                <w:sz w:val="24"/>
                <w:szCs w:val="24"/>
              </w:rPr>
              <w:t xml:space="preserve">ar </w:t>
            </w:r>
            <w:r w:rsidRPr="005B1326">
              <w:rPr>
                <w:color w:val="000000" w:themeColor="text1"/>
                <w:sz w:val="24"/>
                <w:szCs w:val="24"/>
              </w:rPr>
              <w:t>likumprojekt</w:t>
            </w:r>
            <w:r w:rsidR="00ED1223">
              <w:rPr>
                <w:color w:val="000000" w:themeColor="text1"/>
                <w:sz w:val="24"/>
                <w:szCs w:val="24"/>
              </w:rPr>
              <w:t>u</w:t>
            </w:r>
            <w:r w:rsidRPr="005B1326">
              <w:rPr>
                <w:color w:val="000000" w:themeColor="text1"/>
                <w:sz w:val="24"/>
                <w:szCs w:val="24"/>
              </w:rPr>
              <w:t xml:space="preserve"> „Grozījumi likumā „Par piesārņojumu”” (VSS-973), tiks noteikts, ka verificētājs informēs </w:t>
            </w:r>
            <w:r w:rsidR="006D108D">
              <w:rPr>
                <w:color w:val="000000" w:themeColor="text1"/>
                <w:sz w:val="24"/>
                <w:szCs w:val="24"/>
              </w:rPr>
              <w:t>VVD</w:t>
            </w:r>
            <w:r w:rsidRPr="005B1326">
              <w:rPr>
                <w:color w:val="000000" w:themeColor="text1"/>
                <w:sz w:val="24"/>
                <w:szCs w:val="24"/>
              </w:rPr>
              <w:t xml:space="preserve"> par t</w:t>
            </w:r>
            <w:r w:rsidR="00542BD9">
              <w:rPr>
                <w:color w:val="000000" w:themeColor="text1"/>
                <w:sz w:val="24"/>
                <w:szCs w:val="24"/>
              </w:rPr>
              <w:t>ie</w:t>
            </w:r>
            <w:r w:rsidRPr="005B1326" w:rsidR="0004521E">
              <w:rPr>
                <w:color w:val="000000" w:themeColor="text1"/>
                <w:sz w:val="24"/>
                <w:szCs w:val="24"/>
              </w:rPr>
              <w:t>m</w:t>
            </w:r>
            <w:r w:rsidRPr="005B1326">
              <w:rPr>
                <w:color w:val="000000" w:themeColor="text1"/>
                <w:sz w:val="24"/>
                <w:szCs w:val="24"/>
              </w:rPr>
              <w:t xml:space="preserve"> Latvijas karoga </w:t>
            </w:r>
            <w:r w:rsidRPr="00542BD9" w:rsidR="00542BD9">
              <w:rPr>
                <w:color w:val="000000" w:themeColor="text1"/>
                <w:sz w:val="24"/>
                <w:szCs w:val="24"/>
              </w:rPr>
              <w:t>regulas Nr.</w:t>
            </w:r>
            <w:r w:rsidR="00ED1223">
              <w:rPr>
                <w:color w:val="000000" w:themeColor="text1"/>
                <w:sz w:val="24"/>
                <w:szCs w:val="24"/>
              </w:rPr>
              <w:t> </w:t>
            </w:r>
            <w:r w:rsidRPr="00542BD9" w:rsidR="00542BD9">
              <w:rPr>
                <w:color w:val="000000" w:themeColor="text1"/>
                <w:sz w:val="24"/>
                <w:szCs w:val="24"/>
              </w:rPr>
              <w:t>2015/</w:t>
            </w:r>
            <w:r w:rsidR="00542BD9">
              <w:rPr>
                <w:color w:val="000000" w:themeColor="text1"/>
                <w:sz w:val="24"/>
                <w:szCs w:val="24"/>
              </w:rPr>
              <w:t>757 3.</w:t>
            </w:r>
            <w:r w:rsidR="00ED1223">
              <w:rPr>
                <w:color w:val="000000" w:themeColor="text1"/>
                <w:sz w:val="24"/>
                <w:szCs w:val="24"/>
              </w:rPr>
              <w:t> </w:t>
            </w:r>
            <w:r w:rsidR="00542BD9">
              <w:rPr>
                <w:color w:val="000000" w:themeColor="text1"/>
                <w:sz w:val="24"/>
                <w:szCs w:val="24"/>
              </w:rPr>
              <w:t>panta „d” punktā minētajiem uzņēmumie</w:t>
            </w:r>
            <w:r w:rsidRPr="00542BD9" w:rsidR="00542BD9">
              <w:rPr>
                <w:color w:val="000000" w:themeColor="text1"/>
                <w:sz w:val="24"/>
                <w:szCs w:val="24"/>
              </w:rPr>
              <w:t>m</w:t>
            </w:r>
            <w:r w:rsidRPr="005B1326">
              <w:rPr>
                <w:color w:val="000000" w:themeColor="text1"/>
                <w:sz w:val="24"/>
                <w:szCs w:val="24"/>
              </w:rPr>
              <w:t xml:space="preserve">, kuru iesniegtos monitoringa plānus šis verificētājs ir verificējis kā atbilstošus vai neatbilstošus. Līdz ar to būs viegli konstatējams, </w:t>
            </w:r>
            <w:r w:rsidR="00542BD9">
              <w:rPr>
                <w:color w:val="000000" w:themeColor="text1"/>
                <w:sz w:val="24"/>
                <w:szCs w:val="24"/>
              </w:rPr>
              <w:t xml:space="preserve">ja </w:t>
            </w:r>
            <w:r w:rsidRPr="005B1326">
              <w:rPr>
                <w:color w:val="000000" w:themeColor="text1"/>
                <w:sz w:val="24"/>
                <w:szCs w:val="24"/>
              </w:rPr>
              <w:t>monitoringa plān</w:t>
            </w:r>
            <w:r w:rsidR="00542BD9">
              <w:rPr>
                <w:color w:val="000000" w:themeColor="text1"/>
                <w:sz w:val="24"/>
                <w:szCs w:val="24"/>
              </w:rPr>
              <w:t xml:space="preserve">i nav iesniegti </w:t>
            </w:r>
            <w:r w:rsidRPr="005B1326">
              <w:rPr>
                <w:color w:val="000000" w:themeColor="text1"/>
                <w:sz w:val="24"/>
                <w:szCs w:val="24"/>
              </w:rPr>
              <w:t>vai kur</w:t>
            </w:r>
            <w:r w:rsidR="00542BD9">
              <w:rPr>
                <w:color w:val="000000" w:themeColor="text1"/>
                <w:sz w:val="24"/>
                <w:szCs w:val="24"/>
              </w:rPr>
              <w:t>i</w:t>
            </w:r>
            <w:r w:rsidRPr="005B1326">
              <w:rPr>
                <w:color w:val="000000" w:themeColor="text1"/>
                <w:sz w:val="24"/>
                <w:szCs w:val="24"/>
              </w:rPr>
              <w:t xml:space="preserve"> iesniegtie monitoringa plāni bija neatbilsto</w:t>
            </w:r>
            <w:r w:rsidRPr="005B1326" w:rsidR="0004521E">
              <w:rPr>
                <w:color w:val="000000" w:themeColor="text1"/>
                <w:sz w:val="24"/>
                <w:szCs w:val="24"/>
              </w:rPr>
              <w:t>ši apstiprinoša verifikācijas slēdziena pieņemšanai.</w:t>
            </w:r>
            <w:r w:rsidR="004E77BF">
              <w:rPr>
                <w:color w:val="000000" w:themeColor="text1"/>
                <w:sz w:val="24"/>
                <w:szCs w:val="24"/>
              </w:rPr>
              <w:t xml:space="preserve"> Tādā veidā, izpildot regulas Nr.</w:t>
            </w:r>
            <w:r w:rsidR="00ED1223">
              <w:rPr>
                <w:color w:val="000000" w:themeColor="text1"/>
                <w:sz w:val="24"/>
                <w:szCs w:val="24"/>
              </w:rPr>
              <w:t> </w:t>
            </w:r>
            <w:r w:rsidR="004E77BF">
              <w:rPr>
                <w:color w:val="000000" w:themeColor="text1"/>
                <w:sz w:val="24"/>
                <w:szCs w:val="24"/>
              </w:rPr>
              <w:t>2015/757 20.</w:t>
            </w:r>
            <w:r w:rsidR="00ED1223">
              <w:rPr>
                <w:color w:val="000000" w:themeColor="text1"/>
                <w:sz w:val="24"/>
                <w:szCs w:val="24"/>
              </w:rPr>
              <w:t> </w:t>
            </w:r>
            <w:r w:rsidR="004E77BF">
              <w:rPr>
                <w:color w:val="000000" w:themeColor="text1"/>
                <w:sz w:val="24"/>
                <w:szCs w:val="24"/>
              </w:rPr>
              <w:t>panta 1.</w:t>
            </w:r>
            <w:r w:rsidR="00ED1223">
              <w:rPr>
                <w:color w:val="000000" w:themeColor="text1"/>
                <w:sz w:val="24"/>
                <w:szCs w:val="24"/>
              </w:rPr>
              <w:t> </w:t>
            </w:r>
            <w:r w:rsidR="004E77BF">
              <w:rPr>
                <w:color w:val="000000" w:themeColor="text1"/>
                <w:sz w:val="24"/>
                <w:szCs w:val="24"/>
              </w:rPr>
              <w:t xml:space="preserve">punktā noteikto prasību </w:t>
            </w:r>
            <w:r w:rsidR="00ED1223">
              <w:rPr>
                <w:color w:val="000000" w:themeColor="text1"/>
                <w:sz w:val="24"/>
                <w:szCs w:val="24"/>
              </w:rPr>
              <w:t xml:space="preserve">ES </w:t>
            </w:r>
            <w:r w:rsidR="004E77BF">
              <w:rPr>
                <w:color w:val="000000" w:themeColor="text1"/>
                <w:sz w:val="24"/>
                <w:szCs w:val="24"/>
              </w:rPr>
              <w:t xml:space="preserve">dalībvalstīm izveidot </w:t>
            </w:r>
            <w:r w:rsidRPr="004E77BF" w:rsidR="004E77BF">
              <w:rPr>
                <w:color w:val="000000" w:themeColor="text1"/>
                <w:sz w:val="24"/>
                <w:szCs w:val="24"/>
              </w:rPr>
              <w:t>iedarbīgu, samērīgu un atturošu sankciju sistēmu monitoringa un ziņošanas pienākumu nepildīšanas gadījumiem</w:t>
            </w:r>
            <w:r w:rsidR="004E77BF">
              <w:rPr>
                <w:color w:val="000000" w:themeColor="text1"/>
                <w:sz w:val="24"/>
                <w:szCs w:val="24"/>
              </w:rPr>
              <w:t>, tiktu nodrošināta savlaicīga informācijas saņemšana par tām kuģošanas sabiedrībā</w:t>
            </w:r>
            <w:r w:rsidR="00ED1223">
              <w:rPr>
                <w:color w:val="000000" w:themeColor="text1"/>
                <w:sz w:val="24"/>
                <w:szCs w:val="24"/>
              </w:rPr>
              <w:t>m</w:t>
            </w:r>
            <w:r w:rsidR="004E77BF">
              <w:rPr>
                <w:color w:val="000000" w:themeColor="text1"/>
                <w:sz w:val="24"/>
                <w:szCs w:val="24"/>
              </w:rPr>
              <w:t>, kuras nebūs izpildījušas pirmo ar regulu Nr.</w:t>
            </w:r>
            <w:r w:rsidR="00ED1223">
              <w:rPr>
                <w:color w:val="000000" w:themeColor="text1"/>
                <w:sz w:val="24"/>
                <w:szCs w:val="24"/>
              </w:rPr>
              <w:t> </w:t>
            </w:r>
            <w:r w:rsidR="004E77BF">
              <w:rPr>
                <w:color w:val="000000" w:themeColor="text1"/>
                <w:sz w:val="24"/>
                <w:szCs w:val="24"/>
              </w:rPr>
              <w:t xml:space="preserve">2015/757 noteikto pienākumu </w:t>
            </w:r>
            <w:r w:rsidR="00ED1223">
              <w:rPr>
                <w:color w:val="000000" w:themeColor="text1"/>
                <w:sz w:val="24"/>
                <w:szCs w:val="24"/>
              </w:rPr>
              <w:noBreakHyphen/>
              <w:t xml:space="preserve"> </w:t>
            </w:r>
            <w:r w:rsidR="004E77BF">
              <w:rPr>
                <w:color w:val="000000" w:themeColor="text1"/>
                <w:sz w:val="24"/>
                <w:szCs w:val="24"/>
              </w:rPr>
              <w:t>sagatavot oglekļa dioksīda monitoringa plānu un nodrošināt tā verificēšanu.</w:t>
            </w:r>
            <w:r w:rsidR="00D51FCE">
              <w:rPr>
                <w:color w:val="000000" w:themeColor="text1"/>
                <w:sz w:val="24"/>
                <w:szCs w:val="24"/>
              </w:rPr>
              <w:t xml:space="preserve"> Šādā veidā tiktu savlaicīgi izpildīts </w:t>
            </w:r>
            <w:r w:rsidR="00ED1223">
              <w:rPr>
                <w:color w:val="000000" w:themeColor="text1"/>
                <w:sz w:val="24"/>
                <w:szCs w:val="24"/>
              </w:rPr>
              <w:t xml:space="preserve">ar </w:t>
            </w:r>
            <w:r w:rsidR="00D51FCE">
              <w:rPr>
                <w:color w:val="000000" w:themeColor="text1"/>
                <w:sz w:val="24"/>
                <w:szCs w:val="24"/>
              </w:rPr>
              <w:t>likumprojekt</w:t>
            </w:r>
            <w:r w:rsidR="00ED1223">
              <w:rPr>
                <w:color w:val="000000" w:themeColor="text1"/>
                <w:sz w:val="24"/>
                <w:szCs w:val="24"/>
              </w:rPr>
              <w:t>u</w:t>
            </w:r>
            <w:r w:rsidR="00D51FCE">
              <w:rPr>
                <w:color w:val="000000" w:themeColor="text1"/>
                <w:sz w:val="24"/>
                <w:szCs w:val="24"/>
              </w:rPr>
              <w:t xml:space="preserve"> noteiktais nosacījums, ka</w:t>
            </w:r>
            <w:r w:rsidRPr="00D51FCE" w:rsidR="00D51FCE">
              <w:rPr>
                <w:color w:val="000000" w:themeColor="text1"/>
                <w:sz w:val="24"/>
                <w:szCs w:val="24"/>
              </w:rPr>
              <w:t xml:space="preserve"> regulas Nr.</w:t>
            </w:r>
            <w:r w:rsidR="00ED1223">
              <w:rPr>
                <w:color w:val="000000" w:themeColor="text1"/>
                <w:sz w:val="24"/>
                <w:szCs w:val="24"/>
              </w:rPr>
              <w:t> </w:t>
            </w:r>
            <w:r w:rsidRPr="00D51FCE" w:rsidR="00D51FCE">
              <w:rPr>
                <w:color w:val="000000" w:themeColor="text1"/>
                <w:sz w:val="24"/>
                <w:szCs w:val="24"/>
              </w:rPr>
              <w:t>2015/757 3.</w:t>
            </w:r>
            <w:r w:rsidR="00ED1223">
              <w:rPr>
                <w:color w:val="000000" w:themeColor="text1"/>
                <w:sz w:val="24"/>
                <w:szCs w:val="24"/>
              </w:rPr>
              <w:t> </w:t>
            </w:r>
            <w:r w:rsidRPr="00D51FCE" w:rsidR="00D51FCE">
              <w:rPr>
                <w:color w:val="000000" w:themeColor="text1"/>
                <w:sz w:val="24"/>
                <w:szCs w:val="24"/>
              </w:rPr>
              <w:t>panta „d” punktā minēt</w:t>
            </w:r>
            <w:r w:rsidR="00D51FCE">
              <w:rPr>
                <w:color w:val="000000" w:themeColor="text1"/>
                <w:sz w:val="24"/>
                <w:szCs w:val="24"/>
              </w:rPr>
              <w:t>ajam</w:t>
            </w:r>
            <w:r w:rsidRPr="00D51FCE" w:rsidR="00D51FCE">
              <w:rPr>
                <w:color w:val="000000" w:themeColor="text1"/>
                <w:sz w:val="24"/>
                <w:szCs w:val="24"/>
              </w:rPr>
              <w:t xml:space="preserve"> uzņēmum</w:t>
            </w:r>
            <w:r w:rsidR="00D51FCE">
              <w:rPr>
                <w:color w:val="000000" w:themeColor="text1"/>
                <w:sz w:val="24"/>
                <w:szCs w:val="24"/>
              </w:rPr>
              <w:t xml:space="preserve">am tiek piemērots </w:t>
            </w:r>
            <w:r w:rsidR="00ED1223">
              <w:rPr>
                <w:color w:val="000000" w:themeColor="text1"/>
                <w:sz w:val="24"/>
                <w:szCs w:val="24"/>
              </w:rPr>
              <w:t xml:space="preserve">ar </w:t>
            </w:r>
            <w:r w:rsidR="00D51FCE">
              <w:rPr>
                <w:color w:val="000000" w:themeColor="text1"/>
                <w:sz w:val="24"/>
                <w:szCs w:val="24"/>
              </w:rPr>
              <w:t>likumprojekt</w:t>
            </w:r>
            <w:r w:rsidR="00ED1223">
              <w:rPr>
                <w:color w:val="000000" w:themeColor="text1"/>
                <w:sz w:val="24"/>
                <w:szCs w:val="24"/>
              </w:rPr>
              <w:t>u</w:t>
            </w:r>
            <w:r w:rsidR="00D51FCE">
              <w:rPr>
                <w:color w:val="000000" w:themeColor="text1"/>
                <w:sz w:val="24"/>
                <w:szCs w:val="24"/>
              </w:rPr>
              <w:t xml:space="preserve"> noteiktais administratīvais sods par </w:t>
            </w:r>
            <w:r w:rsidRPr="005B1326" w:rsidR="00ED1223">
              <w:rPr>
                <w:color w:val="000000" w:themeColor="text1"/>
                <w:sz w:val="24"/>
                <w:szCs w:val="24"/>
              </w:rPr>
              <w:t>„</w:t>
            </w:r>
            <w:r w:rsidRPr="00D51FCE" w:rsidR="00D51FCE">
              <w:rPr>
                <w:color w:val="000000" w:themeColor="text1"/>
                <w:sz w:val="24"/>
                <w:szCs w:val="24"/>
              </w:rPr>
              <w:t>oglekļa dioksīda emisiju monitoringa datu slēpšanu</w:t>
            </w:r>
            <w:r w:rsidR="00D51FCE">
              <w:rPr>
                <w:color w:val="000000" w:themeColor="text1"/>
                <w:sz w:val="24"/>
                <w:szCs w:val="24"/>
              </w:rPr>
              <w:t>”.</w:t>
            </w:r>
          </w:p>
          <w:p w:rsidR="0004521E" w:rsidRPr="005B1326" w:rsidP="004313BC" w14:paraId="3AD525B2" w14:textId="39E8CF0A">
            <w:pPr>
              <w:pStyle w:val="ListParagraph"/>
              <w:spacing w:before="60" w:after="60"/>
              <w:ind w:left="0" w:firstLine="0"/>
              <w:contextualSpacing w:val="0"/>
              <w:rPr>
                <w:i/>
                <w:color w:val="000000" w:themeColor="text1"/>
                <w:sz w:val="24"/>
                <w:szCs w:val="24"/>
              </w:rPr>
            </w:pPr>
            <w:r w:rsidRPr="005B1326">
              <w:rPr>
                <w:i/>
                <w:sz w:val="24"/>
                <w:szCs w:val="24"/>
              </w:rPr>
              <w:t xml:space="preserve">Nosacījumi kompetencēm </w:t>
            </w:r>
            <w:r>
              <w:rPr>
                <w:i/>
                <w:sz w:val="24"/>
                <w:szCs w:val="24"/>
              </w:rPr>
              <w:t>soda mehānisma piemērošanā</w:t>
            </w:r>
            <w:r w:rsidRPr="005B1326">
              <w:rPr>
                <w:i/>
                <w:sz w:val="24"/>
                <w:szCs w:val="24"/>
              </w:rPr>
              <w:t xml:space="preserve"> </w:t>
            </w:r>
            <w:r w:rsidRPr="00542BD9" w:rsidR="00542BD9">
              <w:rPr>
                <w:i/>
                <w:sz w:val="24"/>
                <w:szCs w:val="24"/>
              </w:rPr>
              <w:t>regulas Nr.</w:t>
            </w:r>
            <w:r w:rsidR="00ED1223">
              <w:rPr>
                <w:i/>
                <w:sz w:val="24"/>
                <w:szCs w:val="24"/>
              </w:rPr>
              <w:t> </w:t>
            </w:r>
            <w:r w:rsidRPr="00542BD9" w:rsidR="00542BD9">
              <w:rPr>
                <w:i/>
                <w:sz w:val="24"/>
                <w:szCs w:val="24"/>
              </w:rPr>
              <w:t>2015/757 3.</w:t>
            </w:r>
            <w:r w:rsidR="00ED1223">
              <w:rPr>
                <w:i/>
                <w:sz w:val="24"/>
                <w:szCs w:val="24"/>
              </w:rPr>
              <w:t> </w:t>
            </w:r>
            <w:r w:rsidRPr="00542BD9" w:rsidR="00542BD9">
              <w:rPr>
                <w:i/>
                <w:sz w:val="24"/>
                <w:szCs w:val="24"/>
              </w:rPr>
              <w:t>panta „d” punktā minētaj</w:t>
            </w:r>
            <w:r w:rsidR="00542BD9">
              <w:rPr>
                <w:i/>
                <w:sz w:val="24"/>
                <w:szCs w:val="24"/>
              </w:rPr>
              <w:t>iem uzņēmumie</w:t>
            </w:r>
            <w:r w:rsidRPr="00542BD9" w:rsidR="00542BD9">
              <w:rPr>
                <w:i/>
                <w:sz w:val="24"/>
                <w:szCs w:val="24"/>
              </w:rPr>
              <w:t>m</w:t>
            </w:r>
          </w:p>
          <w:p w:rsidR="0004521E" w:rsidRPr="005B1326" w:rsidP="004313BC" w14:paraId="23302FB6" w14:textId="717AFC98">
            <w:pPr>
              <w:pStyle w:val="naiskr"/>
              <w:spacing w:before="60" w:after="60"/>
              <w:jc w:val="both"/>
            </w:pPr>
            <w:r w:rsidRPr="005B1326">
              <w:t>Regulā Nr.</w:t>
            </w:r>
            <w:r w:rsidR="00ED1223">
              <w:t> </w:t>
            </w:r>
            <w:r w:rsidRPr="005B1326">
              <w:t>2015/757 ir noteikta prasība ES dalībvalstīm izveidot iedarbīgu, samērīgu un atturošu sankciju sistēmu regulas Nr.</w:t>
            </w:r>
            <w:r w:rsidR="00ED1223">
              <w:t> </w:t>
            </w:r>
            <w:r w:rsidRPr="005B1326">
              <w:t xml:space="preserve">2015/757 nosacījumu izpildes nodrošināšanai un par to </w:t>
            </w:r>
            <w:r w:rsidR="002D2368">
              <w:t>p</w:t>
            </w:r>
            <w:r w:rsidRPr="005B1326">
              <w:t>aziņo</w:t>
            </w:r>
            <w:r w:rsidR="002D2368">
              <w:t>t</w:t>
            </w:r>
            <w:r w:rsidRPr="005B1326">
              <w:t xml:space="preserve"> Eiropas Komisijai līdz 2017. gada 31. jūlijam. Šobrīd Latvijā šāda sistēma ar konkrētiem nosacījumiem tiesību aktos nav izveidota.</w:t>
            </w:r>
          </w:p>
          <w:p w:rsidR="00A9076C" w:rsidP="00023908" w14:paraId="34309668" w14:textId="77777777">
            <w:pPr>
              <w:pStyle w:val="naiskr"/>
              <w:spacing w:before="60" w:after="60"/>
              <w:ind w:firstLine="227"/>
              <w:jc w:val="both"/>
            </w:pPr>
          </w:p>
          <w:p w:rsidR="004C732B" w:rsidRPr="00861969" w:rsidP="004313BC" w14:paraId="495DAFB0" w14:textId="1947A292">
            <w:pPr>
              <w:pStyle w:val="naiskr"/>
              <w:spacing w:before="60" w:after="60"/>
              <w:jc w:val="both"/>
              <w:rPr>
                <w:i/>
              </w:rPr>
            </w:pPr>
            <w:r w:rsidRPr="00861969">
              <w:rPr>
                <w:i/>
              </w:rPr>
              <w:t>Nosacījumi degvielas piegādātājiem</w:t>
            </w:r>
            <w:r w:rsidRPr="00861969" w:rsidR="00040330">
              <w:rPr>
                <w:i/>
              </w:rPr>
              <w:t xml:space="preserve"> par ikgadējā ziņojuma iesniegšanas pienākuma neizpildi</w:t>
            </w:r>
          </w:p>
          <w:p w:rsidR="003D2099" w:rsidP="004313BC" w14:paraId="57D6B991" w14:textId="3064C1D8">
            <w:pPr>
              <w:pStyle w:val="naiskr"/>
              <w:spacing w:before="60" w:after="60"/>
              <w:jc w:val="both"/>
            </w:pPr>
            <w:r>
              <w:t>D</w:t>
            </w:r>
            <w:r>
              <w:t>irektīvas Nr.</w:t>
            </w:r>
            <w:r w:rsidR="00ED1223">
              <w:t> </w:t>
            </w:r>
            <w:r>
              <w:t>2015/652 6.</w:t>
            </w:r>
            <w:r w:rsidR="00ED1223">
              <w:t> </w:t>
            </w:r>
            <w:r>
              <w:t>pant</w:t>
            </w:r>
            <w:r>
              <w:t xml:space="preserve">ā ir noteikts, ka </w:t>
            </w:r>
            <w:r w:rsidR="00E52366">
              <w:t xml:space="preserve">ES </w:t>
            </w:r>
            <w:r w:rsidR="00023908">
              <w:t xml:space="preserve">dalībvalstis pieņem iedarbīgas, samērīgas un atturošas sankcijas, kas tiktu piemērotas degvielas piegādātājiem par noteikto pienākumu (ikgadējā ziņojuma un datu iesniegšana) nepildīšanu. Ir arī noteikts, ka </w:t>
            </w:r>
            <w:r w:rsidR="00E52366">
              <w:t xml:space="preserve">ES </w:t>
            </w:r>
            <w:r w:rsidR="00023908">
              <w:t>dalībvalstīm par šo sankciju sistēmu ir jāpaziņo Eiropas Komisijai līdz 2017.</w:t>
            </w:r>
            <w:r w:rsidR="00ED1223">
              <w:t> </w:t>
            </w:r>
            <w:r w:rsidR="00023908">
              <w:t>gada 21.</w:t>
            </w:r>
            <w:r w:rsidR="00ED1223">
              <w:t> </w:t>
            </w:r>
            <w:r w:rsidR="00023908">
              <w:t>aprīlim</w:t>
            </w:r>
            <w:r w:rsidR="00040330">
              <w:t>.</w:t>
            </w:r>
          </w:p>
          <w:p w:rsidR="00040330" w:rsidRPr="00861969" w:rsidP="004313BC" w14:paraId="5370F492" w14:textId="4E3795DF">
            <w:pPr>
              <w:pStyle w:val="naiskr"/>
              <w:spacing w:before="60" w:after="60"/>
              <w:jc w:val="both"/>
              <w:rPr>
                <w:i/>
              </w:rPr>
            </w:pPr>
            <w:r w:rsidRPr="00861969">
              <w:rPr>
                <w:i/>
              </w:rPr>
              <w:t>Nosacījum</w:t>
            </w:r>
            <w:r w:rsidR="0053015F">
              <w:rPr>
                <w:i/>
              </w:rPr>
              <w:t>i</w:t>
            </w:r>
            <w:r w:rsidRPr="00861969">
              <w:rPr>
                <w:i/>
              </w:rPr>
              <w:t xml:space="preserve"> kompetencēm attiecībā uz degvielas piegādātājiem noteikto pienākumu sniegt ikgadējo ziņojumu</w:t>
            </w:r>
          </w:p>
          <w:p w:rsidR="00040330" w:rsidP="004313BC" w14:paraId="33F63ED0" w14:textId="335B75FF">
            <w:pPr>
              <w:pStyle w:val="naiskr"/>
              <w:spacing w:before="60" w:after="60"/>
              <w:jc w:val="both"/>
            </w:pPr>
            <w:r>
              <w:t xml:space="preserve">Tiek noteikts, ka </w:t>
            </w:r>
            <w:r w:rsidR="006D108D">
              <w:t>VVD</w:t>
            </w:r>
            <w:r>
              <w:t xml:space="preserve"> izskata administratīvās lietas, ja degvielas piegādātājs nepilda noteikto pienākumu iesniegt ikgadējo emisiju ziņojumu</w:t>
            </w:r>
            <w:r w:rsidR="00C3729F">
              <w:t xml:space="preserve">, kā arī uzliekt </w:t>
            </w:r>
            <w:r w:rsidRPr="00040330">
              <w:t>administratīvos sodus</w:t>
            </w:r>
            <w:r w:rsidR="00C3729F">
              <w:t xml:space="preserve"> (brīdinājums </w:t>
            </w:r>
            <w:r w:rsidR="00ED1223">
              <w:t>vai</w:t>
            </w:r>
            <w:r w:rsidR="00C3729F">
              <w:t xml:space="preserve"> naudas sods) par minētā pienākuma neizpildi.</w:t>
            </w:r>
          </w:p>
          <w:p w:rsidR="004C732B" w:rsidRPr="005B1326" w:rsidP="005B1326" w14:paraId="1204487D" w14:textId="77777777">
            <w:pPr>
              <w:pStyle w:val="naiskr"/>
              <w:spacing w:before="60" w:after="60"/>
              <w:ind w:firstLine="227"/>
              <w:jc w:val="both"/>
            </w:pPr>
          </w:p>
          <w:p w:rsidR="00CB4AAB" w:rsidRPr="005B1326" w:rsidP="004313BC" w14:paraId="24CE61CF" w14:textId="76DAEC59">
            <w:pPr>
              <w:pStyle w:val="naiskr"/>
              <w:spacing w:before="60" w:after="60"/>
              <w:jc w:val="both"/>
              <w:rPr>
                <w:u w:val="single"/>
              </w:rPr>
            </w:pPr>
            <w:r w:rsidRPr="005B1326">
              <w:rPr>
                <w:u w:val="single"/>
              </w:rPr>
              <w:t>Likumprojekt</w:t>
            </w:r>
            <w:r w:rsidR="004C4E0E">
              <w:rPr>
                <w:u w:val="single"/>
              </w:rPr>
              <w:t>a</w:t>
            </w:r>
            <w:r w:rsidRPr="005B1326">
              <w:rPr>
                <w:u w:val="single"/>
              </w:rPr>
              <w:t xml:space="preserve"> izstrād</w:t>
            </w:r>
            <w:r w:rsidRPr="005B1326" w:rsidR="00F1169F">
              <w:rPr>
                <w:u w:val="single"/>
              </w:rPr>
              <w:t>es mērķis</w:t>
            </w:r>
            <w:r w:rsidRPr="005B1326">
              <w:rPr>
                <w:u w:val="single"/>
              </w:rPr>
              <w:t>:</w:t>
            </w:r>
          </w:p>
          <w:p w:rsidR="00C3729F" w:rsidP="00861969" w14:paraId="3D64EDA0" w14:textId="1E481CDF">
            <w:pPr>
              <w:spacing w:before="60" w:after="60"/>
              <w:rPr>
                <w:rFonts w:ascii="Times New Roman" w:hAnsi="Times New Roman"/>
                <w:sz w:val="24"/>
                <w:szCs w:val="24"/>
              </w:rPr>
            </w:pPr>
            <w:r w:rsidRPr="005B1326">
              <w:rPr>
                <w:rFonts w:ascii="Times New Roman" w:hAnsi="Times New Roman"/>
                <w:sz w:val="24"/>
                <w:szCs w:val="24"/>
              </w:rPr>
              <w:t xml:space="preserve">Ar atsevišķu tiesību akta vienību paredzēt atbildību par </w:t>
            </w:r>
            <w:r>
              <w:rPr>
                <w:rFonts w:ascii="Times New Roman" w:hAnsi="Times New Roman"/>
                <w:sz w:val="24"/>
                <w:szCs w:val="24"/>
              </w:rPr>
              <w:t xml:space="preserve">SEG </w:t>
            </w:r>
            <w:r w:rsidRPr="00C3729F">
              <w:rPr>
                <w:rFonts w:ascii="Times New Roman" w:hAnsi="Times New Roman"/>
                <w:sz w:val="24"/>
                <w:szCs w:val="24"/>
              </w:rPr>
              <w:t xml:space="preserve">emisiju informācijas </w:t>
            </w:r>
            <w:r w:rsidRPr="00C3729F" w:rsidR="003F064C">
              <w:rPr>
                <w:rFonts w:ascii="Times New Roman" w:hAnsi="Times New Roman"/>
                <w:sz w:val="24"/>
                <w:szCs w:val="24"/>
              </w:rPr>
              <w:t>slēpšan</w:t>
            </w:r>
            <w:r w:rsidR="003F064C">
              <w:rPr>
                <w:rFonts w:ascii="Times New Roman" w:hAnsi="Times New Roman"/>
                <w:sz w:val="24"/>
                <w:szCs w:val="24"/>
              </w:rPr>
              <w:t>u</w:t>
            </w:r>
            <w:r w:rsidRPr="00C3729F" w:rsidR="003F064C">
              <w:rPr>
                <w:rFonts w:ascii="Times New Roman" w:hAnsi="Times New Roman"/>
                <w:sz w:val="24"/>
                <w:szCs w:val="24"/>
              </w:rPr>
              <w:t xml:space="preserve"> </w:t>
            </w:r>
            <w:r w:rsidRPr="00C3729F">
              <w:rPr>
                <w:rFonts w:ascii="Times New Roman" w:hAnsi="Times New Roman"/>
                <w:sz w:val="24"/>
                <w:szCs w:val="24"/>
              </w:rPr>
              <w:t>vai sagrozīšan</w:t>
            </w:r>
            <w:r w:rsidR="003F064C">
              <w:rPr>
                <w:rFonts w:ascii="Times New Roman" w:hAnsi="Times New Roman"/>
                <w:sz w:val="24"/>
                <w:szCs w:val="24"/>
              </w:rPr>
              <w:t>u</w:t>
            </w:r>
            <w:r>
              <w:rPr>
                <w:rFonts w:ascii="Times New Roman" w:hAnsi="Times New Roman"/>
                <w:sz w:val="24"/>
                <w:szCs w:val="24"/>
              </w:rPr>
              <w:t>.</w:t>
            </w:r>
          </w:p>
          <w:p w:rsidR="00047396" w:rsidRPr="005B1326" w:rsidP="004313BC" w14:paraId="56973E24" w14:textId="3CDC49A1">
            <w:pPr>
              <w:spacing w:before="60" w:after="60"/>
              <w:rPr>
                <w:rFonts w:ascii="Times New Roman" w:hAnsi="Times New Roman"/>
                <w:sz w:val="24"/>
                <w:szCs w:val="24"/>
              </w:rPr>
            </w:pPr>
            <w:r w:rsidRPr="00CC0663">
              <w:rPr>
                <w:rFonts w:ascii="Times New Roman" w:hAnsi="Times New Roman"/>
                <w:b/>
                <w:sz w:val="24"/>
                <w:szCs w:val="24"/>
              </w:rPr>
              <w:t>1.</w:t>
            </w:r>
            <w:r w:rsidR="00ED1223">
              <w:rPr>
                <w:rFonts w:ascii="Times New Roman" w:hAnsi="Times New Roman"/>
                <w:b/>
                <w:sz w:val="24"/>
                <w:szCs w:val="24"/>
              </w:rPr>
              <w:t> </w:t>
            </w:r>
            <w:r w:rsidRPr="005B1326" w:rsidR="00F1169F">
              <w:rPr>
                <w:rFonts w:ascii="Times New Roman" w:hAnsi="Times New Roman"/>
                <w:sz w:val="24"/>
                <w:szCs w:val="24"/>
              </w:rPr>
              <w:t>Ar l</w:t>
            </w:r>
            <w:r w:rsidRPr="005B1326">
              <w:rPr>
                <w:rFonts w:ascii="Times New Roman" w:hAnsi="Times New Roman"/>
                <w:sz w:val="24"/>
                <w:szCs w:val="24"/>
              </w:rPr>
              <w:t>ikumprojekt</w:t>
            </w:r>
            <w:r w:rsidRPr="005B1326" w:rsidR="00501123">
              <w:rPr>
                <w:rFonts w:ascii="Times New Roman" w:hAnsi="Times New Roman"/>
                <w:sz w:val="24"/>
                <w:szCs w:val="24"/>
              </w:rPr>
              <w:t>u</w:t>
            </w:r>
            <w:r w:rsidRPr="005B1326">
              <w:rPr>
                <w:rFonts w:ascii="Times New Roman" w:hAnsi="Times New Roman"/>
                <w:sz w:val="24"/>
                <w:szCs w:val="24"/>
              </w:rPr>
              <w:t xml:space="preserve"> tiek korekti noteikta kompetence attiecībā uz administratīvās atbildības piemērošanu ES ETS gaisa kuģu operatoriem – šis pienākums tiek noteikts Civilās aviācijas aģentūrai un nevis V</w:t>
            </w:r>
            <w:r w:rsidR="00ED1223">
              <w:rPr>
                <w:rFonts w:ascii="Times New Roman" w:hAnsi="Times New Roman"/>
                <w:sz w:val="24"/>
                <w:szCs w:val="24"/>
              </w:rPr>
              <w:t>VD</w:t>
            </w:r>
            <w:r w:rsidRPr="005B1326" w:rsidR="00F1169F">
              <w:rPr>
                <w:rFonts w:ascii="Times New Roman" w:hAnsi="Times New Roman"/>
                <w:sz w:val="24"/>
                <w:szCs w:val="24"/>
              </w:rPr>
              <w:t>,</w:t>
            </w:r>
            <w:r w:rsidRPr="005B1326">
              <w:rPr>
                <w:rFonts w:ascii="Times New Roman" w:hAnsi="Times New Roman"/>
                <w:sz w:val="24"/>
                <w:szCs w:val="24"/>
              </w:rPr>
              <w:t xml:space="preserve"> kā tas ir šobrīd.</w:t>
            </w:r>
          </w:p>
          <w:p w:rsidR="00047396" w:rsidP="004313BC" w14:paraId="0337BD94" w14:textId="30A61A0E">
            <w:pPr>
              <w:spacing w:before="60" w:after="60"/>
              <w:rPr>
                <w:rFonts w:ascii="Times New Roman" w:hAnsi="Times New Roman"/>
                <w:sz w:val="24"/>
                <w:szCs w:val="24"/>
              </w:rPr>
            </w:pPr>
            <w:r w:rsidRPr="005B1326">
              <w:rPr>
                <w:rFonts w:ascii="Times New Roman" w:hAnsi="Times New Roman"/>
                <w:sz w:val="24"/>
                <w:szCs w:val="24"/>
              </w:rPr>
              <w:t>Ar l</w:t>
            </w:r>
            <w:r w:rsidRPr="005B1326">
              <w:rPr>
                <w:rFonts w:ascii="Times New Roman" w:hAnsi="Times New Roman"/>
                <w:sz w:val="24"/>
                <w:szCs w:val="24"/>
              </w:rPr>
              <w:t>ikumprojekt</w:t>
            </w:r>
            <w:r w:rsidRPr="005B1326">
              <w:rPr>
                <w:rFonts w:ascii="Times New Roman" w:hAnsi="Times New Roman"/>
                <w:sz w:val="24"/>
                <w:szCs w:val="24"/>
              </w:rPr>
              <w:t>u</w:t>
            </w:r>
            <w:r w:rsidRPr="005B1326">
              <w:rPr>
                <w:rFonts w:ascii="Times New Roman" w:hAnsi="Times New Roman"/>
                <w:sz w:val="24"/>
                <w:szCs w:val="24"/>
              </w:rPr>
              <w:t xml:space="preserve"> naudas soda apmēri</w:t>
            </w:r>
            <w:r w:rsidR="00260417">
              <w:rPr>
                <w:rFonts w:ascii="Times New Roman" w:hAnsi="Times New Roman"/>
                <w:sz w:val="24"/>
                <w:szCs w:val="24"/>
              </w:rPr>
              <w:t>,</w:t>
            </w:r>
            <w:r w:rsidRPr="005B1326">
              <w:rPr>
                <w:rFonts w:ascii="Times New Roman" w:hAnsi="Times New Roman"/>
                <w:sz w:val="24"/>
                <w:szCs w:val="24"/>
              </w:rPr>
              <w:t xml:space="preserve"> </w:t>
            </w:r>
            <w:r w:rsidR="004C4E0E">
              <w:rPr>
                <w:rFonts w:ascii="Times New Roman" w:hAnsi="Times New Roman"/>
                <w:sz w:val="24"/>
                <w:szCs w:val="24"/>
              </w:rPr>
              <w:t xml:space="preserve">to piemērošanas nosacījumi </w:t>
            </w:r>
            <w:r w:rsidRPr="005B1326">
              <w:rPr>
                <w:rFonts w:ascii="Times New Roman" w:hAnsi="Times New Roman"/>
                <w:sz w:val="24"/>
                <w:szCs w:val="24"/>
              </w:rPr>
              <w:t>ES ETS operatoriem vai gaisa kuģu operatoriem netiek mainīti</w:t>
            </w:r>
            <w:r w:rsidRPr="005B1326">
              <w:rPr>
                <w:rFonts w:ascii="Times New Roman" w:hAnsi="Times New Roman"/>
                <w:sz w:val="24"/>
                <w:szCs w:val="24"/>
              </w:rPr>
              <w:t>.</w:t>
            </w:r>
          </w:p>
          <w:p w:rsidR="008563DF" w:rsidP="009B0BF3" w14:paraId="7B6A56E0" w14:textId="6EBD7142">
            <w:pPr>
              <w:spacing w:before="60" w:after="60"/>
              <w:rPr>
                <w:rFonts w:ascii="Times New Roman" w:hAnsi="Times New Roman"/>
                <w:sz w:val="24"/>
                <w:szCs w:val="24"/>
              </w:rPr>
            </w:pPr>
            <w:r w:rsidRPr="005B1326">
              <w:rPr>
                <w:rFonts w:ascii="Times New Roman" w:hAnsi="Times New Roman"/>
                <w:sz w:val="24"/>
                <w:szCs w:val="24"/>
              </w:rPr>
              <w:t>Ar l</w:t>
            </w:r>
            <w:r w:rsidRPr="005B1326" w:rsidR="00047396">
              <w:rPr>
                <w:rFonts w:ascii="Times New Roman" w:hAnsi="Times New Roman"/>
                <w:sz w:val="24"/>
                <w:szCs w:val="24"/>
              </w:rPr>
              <w:t>ikumprojekt</w:t>
            </w:r>
            <w:r w:rsidRPr="005B1326" w:rsidR="00501123">
              <w:rPr>
                <w:rFonts w:ascii="Times New Roman" w:hAnsi="Times New Roman"/>
                <w:sz w:val="24"/>
                <w:szCs w:val="24"/>
              </w:rPr>
              <w:t>u</w:t>
            </w:r>
            <w:r w:rsidRPr="005B1326" w:rsidR="00047396">
              <w:rPr>
                <w:rFonts w:ascii="Times New Roman" w:hAnsi="Times New Roman"/>
                <w:sz w:val="24"/>
                <w:szCs w:val="24"/>
              </w:rPr>
              <w:t xml:space="preserve"> ir </w:t>
            </w:r>
            <w:r w:rsidRPr="005B1326">
              <w:rPr>
                <w:rFonts w:ascii="Times New Roman" w:hAnsi="Times New Roman"/>
                <w:sz w:val="24"/>
                <w:szCs w:val="24"/>
              </w:rPr>
              <w:t>noteikta</w:t>
            </w:r>
            <w:r w:rsidRPr="005B1326" w:rsidR="00047396">
              <w:rPr>
                <w:rFonts w:ascii="Times New Roman" w:hAnsi="Times New Roman"/>
                <w:sz w:val="24"/>
                <w:szCs w:val="24"/>
              </w:rPr>
              <w:t xml:space="preserve"> jauna administratīvā atbildība</w:t>
            </w:r>
            <w:r w:rsidRPr="005B1326" w:rsidR="000F4722">
              <w:rPr>
                <w:rFonts w:ascii="Times New Roman" w:hAnsi="Times New Roman"/>
                <w:sz w:val="24"/>
                <w:szCs w:val="24"/>
              </w:rPr>
              <w:t xml:space="preserve"> regulas Nr.</w:t>
            </w:r>
            <w:r w:rsidR="00260417">
              <w:rPr>
                <w:rFonts w:ascii="Times New Roman" w:hAnsi="Times New Roman"/>
                <w:sz w:val="24"/>
                <w:szCs w:val="24"/>
              </w:rPr>
              <w:t> </w:t>
            </w:r>
            <w:r w:rsidRPr="005B1326" w:rsidR="000F4722">
              <w:rPr>
                <w:rFonts w:ascii="Times New Roman" w:hAnsi="Times New Roman"/>
                <w:sz w:val="24"/>
                <w:szCs w:val="24"/>
              </w:rPr>
              <w:t>2015/757 3.</w:t>
            </w:r>
            <w:r w:rsidR="00260417">
              <w:rPr>
                <w:rFonts w:ascii="Times New Roman" w:hAnsi="Times New Roman"/>
                <w:sz w:val="24"/>
                <w:szCs w:val="24"/>
              </w:rPr>
              <w:t> </w:t>
            </w:r>
            <w:r w:rsidRPr="005B1326" w:rsidR="000F4722">
              <w:rPr>
                <w:rFonts w:ascii="Times New Roman" w:hAnsi="Times New Roman"/>
                <w:sz w:val="24"/>
                <w:szCs w:val="24"/>
              </w:rPr>
              <w:t>panta „d” punktā minētajam uzņēmumam</w:t>
            </w:r>
            <w:r w:rsidRPr="005B1326" w:rsidR="00047396">
              <w:rPr>
                <w:rFonts w:ascii="Times New Roman" w:hAnsi="Times New Roman"/>
                <w:sz w:val="24"/>
                <w:szCs w:val="24"/>
              </w:rPr>
              <w:t xml:space="preserve"> – par oglekļa dioksīda emisiju monitoringa </w:t>
            </w:r>
            <w:r w:rsidRPr="005B1326" w:rsidR="000F4722">
              <w:rPr>
                <w:rFonts w:ascii="Times New Roman" w:hAnsi="Times New Roman"/>
                <w:sz w:val="24"/>
                <w:szCs w:val="24"/>
              </w:rPr>
              <w:t xml:space="preserve">datu slēpšanu vai sagrozīšanu, kā arī par ikgadējā verificētā emisiju ziņojuma neiesniegšanu </w:t>
            </w:r>
            <w:r w:rsidR="006D108D">
              <w:rPr>
                <w:rFonts w:ascii="Times New Roman" w:hAnsi="Times New Roman"/>
                <w:sz w:val="24"/>
                <w:szCs w:val="24"/>
              </w:rPr>
              <w:t>VVD</w:t>
            </w:r>
            <w:r w:rsidRPr="005B1326" w:rsidR="000F4722">
              <w:rPr>
                <w:rFonts w:ascii="Times New Roman" w:hAnsi="Times New Roman"/>
                <w:sz w:val="24"/>
                <w:szCs w:val="24"/>
              </w:rPr>
              <w:t xml:space="preserve"> vai tā datu sagrozīšanu</w:t>
            </w:r>
            <w:r w:rsidR="009F04E7">
              <w:rPr>
                <w:rFonts w:ascii="Times New Roman" w:hAnsi="Times New Roman"/>
                <w:sz w:val="24"/>
                <w:szCs w:val="24"/>
              </w:rPr>
              <w:t>. Ievērojot minēto,</w:t>
            </w:r>
            <w:r w:rsidRPr="005B1326" w:rsidR="00047396">
              <w:rPr>
                <w:rFonts w:ascii="Times New Roman" w:hAnsi="Times New Roman"/>
                <w:sz w:val="24"/>
                <w:szCs w:val="24"/>
              </w:rPr>
              <w:t xml:space="preserve"> naudas soda apjoms </w:t>
            </w:r>
            <w:r w:rsidR="004C4E0E">
              <w:rPr>
                <w:rFonts w:ascii="Times New Roman" w:hAnsi="Times New Roman"/>
                <w:sz w:val="24"/>
                <w:szCs w:val="24"/>
              </w:rPr>
              <w:t xml:space="preserve">un tā piemērošanas nosacījumi </w:t>
            </w:r>
            <w:r w:rsidRPr="005B1326" w:rsidR="00047396">
              <w:rPr>
                <w:rFonts w:ascii="Times New Roman" w:hAnsi="Times New Roman"/>
                <w:sz w:val="24"/>
                <w:szCs w:val="24"/>
              </w:rPr>
              <w:t xml:space="preserve">tiek </w:t>
            </w:r>
            <w:r w:rsidR="001654C5">
              <w:rPr>
                <w:rFonts w:ascii="Times New Roman" w:hAnsi="Times New Roman"/>
                <w:sz w:val="24"/>
                <w:szCs w:val="24"/>
              </w:rPr>
              <w:t xml:space="preserve">pielīdzināti </w:t>
            </w:r>
            <w:r w:rsidRPr="005B1326" w:rsidR="00047396">
              <w:rPr>
                <w:rFonts w:ascii="Times New Roman" w:hAnsi="Times New Roman"/>
                <w:sz w:val="24"/>
                <w:szCs w:val="24"/>
              </w:rPr>
              <w:t>ES ETS operatoram un gaisa kuģa operatoram noteikta</w:t>
            </w:r>
            <w:r w:rsidR="001654C5">
              <w:rPr>
                <w:rFonts w:ascii="Times New Roman" w:hAnsi="Times New Roman"/>
                <w:sz w:val="24"/>
                <w:szCs w:val="24"/>
              </w:rPr>
              <w:t>jiem apjomiem</w:t>
            </w:r>
            <w:r w:rsidR="00220BB7">
              <w:rPr>
                <w:rFonts w:ascii="Times New Roman" w:hAnsi="Times New Roman"/>
                <w:sz w:val="24"/>
                <w:szCs w:val="24"/>
              </w:rPr>
              <w:t>, lai neradītu apdraudējumu APK vienmērīgai, korektai un godīgai piemērošanai</w:t>
            </w:r>
            <w:r w:rsidRPr="005B1326" w:rsidR="00047396">
              <w:rPr>
                <w:rFonts w:ascii="Times New Roman" w:hAnsi="Times New Roman"/>
                <w:sz w:val="24"/>
                <w:szCs w:val="24"/>
              </w:rPr>
              <w:t>.</w:t>
            </w:r>
          </w:p>
          <w:p w:rsidR="003F064C" w:rsidP="009B0BF3" w14:paraId="080A2443" w14:textId="61FA6BCA">
            <w:pPr>
              <w:spacing w:before="60" w:after="60"/>
              <w:rPr>
                <w:rFonts w:ascii="Times New Roman" w:hAnsi="Times New Roman"/>
                <w:sz w:val="24"/>
                <w:szCs w:val="24"/>
              </w:rPr>
            </w:pPr>
            <w:r>
              <w:rPr>
                <w:rFonts w:ascii="Times New Roman" w:hAnsi="Times New Roman"/>
                <w:sz w:val="24"/>
                <w:szCs w:val="24"/>
              </w:rPr>
              <w:t>K</w:t>
            </w:r>
            <w:r w:rsidRPr="005B1326">
              <w:rPr>
                <w:rFonts w:ascii="Times New Roman" w:hAnsi="Times New Roman"/>
                <w:sz w:val="24"/>
                <w:szCs w:val="24"/>
              </w:rPr>
              <w:t>ompetence attiecībā uz administratīv</w:t>
            </w:r>
            <w:r>
              <w:rPr>
                <w:rFonts w:ascii="Times New Roman" w:hAnsi="Times New Roman"/>
                <w:sz w:val="24"/>
                <w:szCs w:val="24"/>
              </w:rPr>
              <w:t xml:space="preserve">ās atbildības piemērošanu </w:t>
            </w:r>
            <w:r w:rsidRPr="005B1326">
              <w:rPr>
                <w:rFonts w:ascii="Times New Roman" w:hAnsi="Times New Roman"/>
                <w:sz w:val="24"/>
                <w:szCs w:val="24"/>
              </w:rPr>
              <w:t>regulas Nr.</w:t>
            </w:r>
            <w:r>
              <w:rPr>
                <w:rFonts w:ascii="Times New Roman" w:hAnsi="Times New Roman"/>
                <w:sz w:val="24"/>
                <w:szCs w:val="24"/>
              </w:rPr>
              <w:t> </w:t>
            </w:r>
            <w:r w:rsidRPr="005B1326">
              <w:rPr>
                <w:rFonts w:ascii="Times New Roman" w:hAnsi="Times New Roman"/>
                <w:sz w:val="24"/>
                <w:szCs w:val="24"/>
              </w:rPr>
              <w:t>2015/757 3.</w:t>
            </w:r>
            <w:r>
              <w:rPr>
                <w:rFonts w:ascii="Times New Roman" w:hAnsi="Times New Roman"/>
                <w:sz w:val="24"/>
                <w:szCs w:val="24"/>
              </w:rPr>
              <w:t> </w:t>
            </w:r>
            <w:r w:rsidRPr="005B1326">
              <w:rPr>
                <w:rFonts w:ascii="Times New Roman" w:hAnsi="Times New Roman"/>
                <w:sz w:val="24"/>
                <w:szCs w:val="24"/>
              </w:rPr>
              <w:t>panta „d” punktā minētajam uzņēmumam</w:t>
            </w:r>
            <w:r>
              <w:rPr>
                <w:rFonts w:ascii="Times New Roman" w:hAnsi="Times New Roman"/>
                <w:sz w:val="24"/>
                <w:szCs w:val="24"/>
              </w:rPr>
              <w:t xml:space="preserve"> tiek noteikta VVD.</w:t>
            </w:r>
          </w:p>
          <w:p w:rsidR="00702158" w:rsidP="00861969" w14:paraId="6BF0EEFB" w14:textId="1CF95D0B">
            <w:pPr>
              <w:spacing w:before="60" w:after="60"/>
              <w:rPr>
                <w:rFonts w:ascii="Times New Roman" w:hAnsi="Times New Roman"/>
                <w:sz w:val="24"/>
                <w:szCs w:val="24"/>
              </w:rPr>
            </w:pPr>
            <w:r>
              <w:rPr>
                <w:rFonts w:ascii="Times New Roman" w:hAnsi="Times New Roman"/>
                <w:b/>
                <w:sz w:val="24"/>
                <w:szCs w:val="24"/>
              </w:rPr>
              <w:t>2.</w:t>
            </w:r>
            <w:r w:rsidR="00260417">
              <w:rPr>
                <w:rFonts w:ascii="Times New Roman" w:hAnsi="Times New Roman"/>
                <w:b/>
                <w:sz w:val="24"/>
                <w:szCs w:val="24"/>
              </w:rPr>
              <w:t> </w:t>
            </w:r>
            <w:r w:rsidRPr="00861969">
              <w:rPr>
                <w:rFonts w:ascii="Times New Roman" w:hAnsi="Times New Roman"/>
                <w:sz w:val="24"/>
                <w:szCs w:val="24"/>
              </w:rPr>
              <w:t xml:space="preserve">Ar likumprojektu ir noteikta jauna administratīvā atbildība </w:t>
            </w:r>
            <w:r w:rsidRPr="00861969" w:rsidR="00213BE3">
              <w:rPr>
                <w:rFonts w:ascii="Times New Roman" w:hAnsi="Times New Roman"/>
                <w:sz w:val="24"/>
                <w:szCs w:val="24"/>
              </w:rPr>
              <w:t xml:space="preserve">par ikgadējā emisiju ziņojuma neiesniegšanu, kas tiek piemērota </w:t>
            </w:r>
            <w:r w:rsidRPr="00861969">
              <w:rPr>
                <w:rFonts w:ascii="Times New Roman" w:hAnsi="Times New Roman"/>
                <w:sz w:val="24"/>
                <w:szCs w:val="24"/>
              </w:rPr>
              <w:t>degvielas piegādātājam, kas ir definēts Eiropas Parlamenta un Padomes 2009.</w:t>
            </w:r>
            <w:r w:rsidR="00260417">
              <w:rPr>
                <w:rFonts w:ascii="Times New Roman" w:hAnsi="Times New Roman"/>
                <w:sz w:val="24"/>
                <w:szCs w:val="24"/>
              </w:rPr>
              <w:t> </w:t>
            </w:r>
            <w:r w:rsidRPr="00861969">
              <w:rPr>
                <w:rFonts w:ascii="Times New Roman" w:hAnsi="Times New Roman"/>
                <w:sz w:val="24"/>
                <w:szCs w:val="24"/>
              </w:rPr>
              <w:t>gada 23.</w:t>
            </w:r>
            <w:r w:rsidR="00260417">
              <w:rPr>
                <w:rFonts w:ascii="Times New Roman" w:hAnsi="Times New Roman"/>
                <w:sz w:val="24"/>
                <w:szCs w:val="24"/>
              </w:rPr>
              <w:t> </w:t>
            </w:r>
            <w:r w:rsidRPr="00861969">
              <w:rPr>
                <w:rFonts w:ascii="Times New Roman" w:hAnsi="Times New Roman"/>
                <w:sz w:val="24"/>
                <w:szCs w:val="24"/>
              </w:rPr>
              <w:t xml:space="preserve">aprīļa </w:t>
            </w:r>
            <w:r w:rsidR="00260417">
              <w:rPr>
                <w:rFonts w:ascii="Times New Roman" w:hAnsi="Times New Roman"/>
                <w:sz w:val="24"/>
                <w:szCs w:val="24"/>
              </w:rPr>
              <w:t>D</w:t>
            </w:r>
            <w:r w:rsidRPr="00861969">
              <w:rPr>
                <w:rFonts w:ascii="Times New Roman" w:hAnsi="Times New Roman"/>
                <w:sz w:val="24"/>
                <w:szCs w:val="24"/>
              </w:rPr>
              <w:t>irektīvā 2009/30/EK</w:t>
            </w:r>
            <w:r w:rsidR="00260417">
              <w:rPr>
                <w:rFonts w:ascii="Times New Roman" w:hAnsi="Times New Roman"/>
                <w:sz w:val="24"/>
                <w:szCs w:val="24"/>
              </w:rPr>
              <w:t>,</w:t>
            </w:r>
            <w:r w:rsidRPr="00861969">
              <w:rPr>
                <w:rFonts w:ascii="Times New Roman" w:hAnsi="Times New Roman"/>
                <w:sz w:val="24"/>
                <w:szCs w:val="24"/>
              </w:rPr>
              <w:t xml:space="preserve">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 (turpmāk – direktīva 2009/30/EK), kuras nosacījumi tiks pārņemti likumā “Par piesārņojumu” (VSS-973)</w:t>
            </w:r>
            <w:r w:rsidRPr="00861969" w:rsidR="00213BE3">
              <w:rPr>
                <w:rFonts w:ascii="Times New Roman" w:hAnsi="Times New Roman"/>
                <w:sz w:val="24"/>
                <w:szCs w:val="24"/>
              </w:rPr>
              <w:t xml:space="preserve">. </w:t>
            </w:r>
            <w:r w:rsidR="0017764A">
              <w:rPr>
                <w:rFonts w:ascii="Times New Roman" w:hAnsi="Times New Roman"/>
                <w:sz w:val="24"/>
                <w:szCs w:val="24"/>
              </w:rPr>
              <w:t>Ievērojot minēto,</w:t>
            </w:r>
            <w:r w:rsidRPr="00861969" w:rsidR="00213BE3">
              <w:rPr>
                <w:rFonts w:ascii="Times New Roman" w:hAnsi="Times New Roman"/>
                <w:sz w:val="24"/>
                <w:szCs w:val="24"/>
              </w:rPr>
              <w:t xml:space="preserve"> naudas soda apjoms un tā piemērošanas nosacījumi tiek pielīdzināti ES ETS operatoram un gaisa kuģa operatoram noteiktajiem apjomiem, lai neradītu apdraudējumu APK vienmērīgai, korektai un godīgai piemērošanai.</w:t>
            </w:r>
          </w:p>
          <w:p w:rsidR="003F064C" w:rsidP="003F064C" w14:paraId="173861AF" w14:textId="1E908C2F">
            <w:pPr>
              <w:spacing w:before="60" w:after="60"/>
              <w:rPr>
                <w:rFonts w:ascii="Times New Roman" w:hAnsi="Times New Roman"/>
                <w:sz w:val="24"/>
                <w:szCs w:val="24"/>
              </w:rPr>
            </w:pPr>
            <w:r>
              <w:rPr>
                <w:rFonts w:ascii="Times New Roman" w:hAnsi="Times New Roman"/>
                <w:sz w:val="24"/>
                <w:szCs w:val="24"/>
              </w:rPr>
              <w:t>K</w:t>
            </w:r>
            <w:r w:rsidRPr="005B1326">
              <w:rPr>
                <w:rFonts w:ascii="Times New Roman" w:hAnsi="Times New Roman"/>
                <w:sz w:val="24"/>
                <w:szCs w:val="24"/>
              </w:rPr>
              <w:t>ompetence attiecībā uz administratīv</w:t>
            </w:r>
            <w:r>
              <w:rPr>
                <w:rFonts w:ascii="Times New Roman" w:hAnsi="Times New Roman"/>
                <w:sz w:val="24"/>
                <w:szCs w:val="24"/>
              </w:rPr>
              <w:t xml:space="preserve">ās atbildības piemērošanu </w:t>
            </w:r>
            <w:r w:rsidRPr="00861969">
              <w:rPr>
                <w:rFonts w:ascii="Times New Roman" w:hAnsi="Times New Roman"/>
                <w:sz w:val="24"/>
                <w:szCs w:val="24"/>
              </w:rPr>
              <w:t>degvielas piegādātājam</w:t>
            </w:r>
            <w:r>
              <w:rPr>
                <w:rFonts w:ascii="Times New Roman" w:hAnsi="Times New Roman"/>
                <w:sz w:val="24"/>
                <w:szCs w:val="24"/>
              </w:rPr>
              <w:t xml:space="preserve"> tiek noteikta VVD.</w:t>
            </w:r>
          </w:p>
          <w:p w:rsidR="003F064C" w:rsidP="00861969" w14:paraId="6C05025C" w14:textId="77777777">
            <w:pPr>
              <w:spacing w:before="60" w:after="60"/>
              <w:rPr>
                <w:rFonts w:ascii="Times New Roman" w:hAnsi="Times New Roman"/>
                <w:sz w:val="24"/>
                <w:szCs w:val="24"/>
              </w:rPr>
            </w:pPr>
          </w:p>
          <w:p w:rsidR="003F064C" w:rsidRPr="009B0BF3" w:rsidP="009B0BF3" w14:paraId="24CE61D8" w14:textId="27077592">
            <w:pPr>
              <w:spacing w:before="60" w:after="60"/>
              <w:rPr>
                <w:rFonts w:ascii="Times New Roman" w:hAnsi="Times New Roman"/>
                <w:sz w:val="24"/>
                <w:szCs w:val="24"/>
              </w:rPr>
            </w:pPr>
            <w:r>
              <w:rPr>
                <w:rFonts w:ascii="Times New Roman" w:hAnsi="Times New Roman"/>
                <w:sz w:val="24"/>
                <w:szCs w:val="24"/>
              </w:rPr>
              <w:t xml:space="preserve">Papildus ar likumprojektu tiek svītroti APK noteiktie papildsodi ES ETS operatoram un gaisa kuģa operatoram saskaņā ar Satiksmes ministrijas iebildumu. Izvērtējot iesniegto Satiksmes ministrijas iebildumu, kā arī, </w:t>
            </w:r>
            <w:r w:rsidRPr="009B0BF3">
              <w:rPr>
                <w:rFonts w:ascii="Times New Roman" w:hAnsi="Times New Roman"/>
                <w:sz w:val="24"/>
                <w:szCs w:val="24"/>
              </w:rPr>
              <w:t>izvērtējot esošo situāciju ar ES ETS operator</w:t>
            </w:r>
            <w:r>
              <w:rPr>
                <w:rFonts w:ascii="Times New Roman" w:hAnsi="Times New Roman"/>
                <w:sz w:val="24"/>
                <w:szCs w:val="24"/>
              </w:rPr>
              <w:t xml:space="preserve">u </w:t>
            </w:r>
            <w:r w:rsidRPr="009B0BF3">
              <w:rPr>
                <w:rFonts w:ascii="Times New Roman" w:hAnsi="Times New Roman"/>
                <w:sz w:val="24"/>
                <w:szCs w:val="24"/>
              </w:rPr>
              <w:t>un gaisa kuģu operator</w:t>
            </w:r>
            <w:r>
              <w:rPr>
                <w:rFonts w:ascii="Times New Roman" w:hAnsi="Times New Roman"/>
                <w:sz w:val="24"/>
                <w:szCs w:val="24"/>
              </w:rPr>
              <w:t>u pienākumu izpildi</w:t>
            </w:r>
            <w:r w:rsidRPr="009B0BF3">
              <w:rPr>
                <w:rFonts w:ascii="Times New Roman" w:hAnsi="Times New Roman"/>
                <w:sz w:val="24"/>
                <w:szCs w:val="24"/>
              </w:rPr>
              <w:t>, ir secināms, ka ES ETS ietvaros noteikto pienākumu – izstrādāt monitoringa plānu, veikt SEG emisiju monitoringu, kā arī izstrādāt un iesniegt ikgadējo emisiju ziņojumu, neizpilde nav vērtējams kā būtisks pārkāpums. Papildus jāatzīmē, ka šo pienākumu nepildīšana nerada būtisku kaitējumu videi. Līdz ar to ir secināms, ka nav nepieciešams piemērot šobrīd APK 84. panta pirmajā daļā noteikto papildsodu par ES ETS ietvaros noteikto informācijas iesniegšanas pienākumu nepildīšanu</w:t>
            </w:r>
            <w:r w:rsidR="009B0BF3">
              <w:rPr>
                <w:rFonts w:ascii="Times New Roman" w:hAnsi="Times New Roman"/>
                <w:sz w:val="24"/>
                <w:szCs w:val="24"/>
              </w:rPr>
              <w:t xml:space="preserve">, kas paredzēja aizliegumu </w:t>
            </w:r>
            <w:r w:rsidRPr="009B0BF3" w:rsidR="009B0BF3">
              <w:rPr>
                <w:rFonts w:ascii="Times New Roman" w:hAnsi="Times New Roman"/>
                <w:sz w:val="24"/>
                <w:szCs w:val="24"/>
              </w:rPr>
              <w:t>valdes loceklim tiesības ieņemt noteiktus amatus komercsabiedrībās</w:t>
            </w:r>
            <w:r w:rsidRPr="009B0BF3">
              <w:rPr>
                <w:rFonts w:ascii="Times New Roman" w:hAnsi="Times New Roman"/>
                <w:sz w:val="24"/>
                <w:szCs w:val="24"/>
              </w:rPr>
              <w:t>.</w:t>
            </w:r>
          </w:p>
        </w:tc>
      </w:tr>
      <w:tr w14:paraId="24CE61DE" w14:textId="77777777" w:rsidTr="003D77B9">
        <w:tblPrEx>
          <w:tblW w:w="9356" w:type="dxa"/>
          <w:jc w:val="center"/>
          <w:tblCellMar>
            <w:left w:w="57" w:type="dxa"/>
            <w:right w:w="57" w:type="dxa"/>
          </w:tblCellMar>
          <w:tblLook w:val="00A0"/>
        </w:tblPrEx>
        <w:trPr>
          <w:trHeight w:val="274"/>
          <w:jc w:val="center"/>
        </w:trPr>
        <w:tc>
          <w:tcPr>
            <w:tcW w:w="250" w:type="pct"/>
          </w:tcPr>
          <w:p w:rsidR="00CB4AAB" w:rsidRPr="00E1755A" w:rsidP="00E51C74" w14:paraId="24CE61DA" w14:textId="08D48C4E">
            <w:pPr>
              <w:spacing w:before="60" w:after="60"/>
              <w:jc w:val="center"/>
              <w:rPr>
                <w:rFonts w:ascii="Times New Roman" w:hAnsi="Times New Roman"/>
                <w:sz w:val="24"/>
                <w:szCs w:val="24"/>
                <w:lang w:eastAsia="lv-LV"/>
              </w:rPr>
            </w:pPr>
            <w:r w:rsidRPr="00E1755A">
              <w:rPr>
                <w:rFonts w:ascii="Times New Roman" w:hAnsi="Times New Roman"/>
                <w:sz w:val="24"/>
                <w:szCs w:val="24"/>
                <w:lang w:eastAsia="lv-LV"/>
              </w:rPr>
              <w:t>3.</w:t>
            </w:r>
          </w:p>
        </w:tc>
        <w:tc>
          <w:tcPr>
            <w:tcW w:w="853" w:type="pct"/>
          </w:tcPr>
          <w:p w:rsidR="00CB4AAB" w:rsidRPr="00E1755A" w:rsidP="00E51C74" w14:paraId="24CE61DB" w14:textId="77777777">
            <w:pPr>
              <w:spacing w:before="60" w:after="60"/>
              <w:jc w:val="left"/>
              <w:rPr>
                <w:rFonts w:ascii="Times New Roman" w:hAnsi="Times New Roman"/>
                <w:sz w:val="24"/>
                <w:szCs w:val="24"/>
                <w:lang w:eastAsia="lv-LV"/>
              </w:rPr>
            </w:pPr>
            <w:r w:rsidRPr="00E1755A">
              <w:rPr>
                <w:rFonts w:ascii="Times New Roman" w:hAnsi="Times New Roman"/>
                <w:sz w:val="24"/>
                <w:szCs w:val="24"/>
                <w:lang w:eastAsia="lv-LV"/>
              </w:rPr>
              <w:t>Projekta izstrādē iesaistītās institūcijas</w:t>
            </w:r>
          </w:p>
        </w:tc>
        <w:tc>
          <w:tcPr>
            <w:tcW w:w="3897" w:type="pct"/>
          </w:tcPr>
          <w:p w:rsidR="00CB4AAB" w:rsidRPr="00E1755A" w:rsidP="00E51C74" w14:paraId="24CE61DC" w14:textId="29B8AD04">
            <w:pPr>
              <w:pStyle w:val="naiskr"/>
              <w:spacing w:before="60" w:after="60"/>
              <w:jc w:val="both"/>
              <w:rPr>
                <w:rFonts w:eastAsia="Calibri"/>
                <w:lang w:eastAsia="en-US"/>
              </w:rPr>
            </w:pPr>
            <w:r>
              <w:rPr>
                <w:rFonts w:eastAsia="Calibri"/>
                <w:lang w:eastAsia="en-US"/>
              </w:rPr>
              <w:t>VARAM</w:t>
            </w:r>
            <w:r w:rsidRPr="00E1755A" w:rsidR="008B5444">
              <w:rPr>
                <w:rFonts w:eastAsia="Calibri"/>
                <w:lang w:eastAsia="en-US"/>
              </w:rPr>
              <w:t>.</w:t>
            </w:r>
          </w:p>
          <w:p w:rsidR="00F07CD0" w:rsidP="00E51C74" w14:paraId="2F764D4B" w14:textId="77777777">
            <w:pPr>
              <w:pStyle w:val="naiskr"/>
              <w:spacing w:before="60" w:after="60"/>
              <w:jc w:val="both"/>
              <w:rPr>
                <w:rFonts w:eastAsia="Calibri"/>
                <w:lang w:eastAsia="en-US"/>
              </w:rPr>
            </w:pPr>
            <w:r w:rsidRPr="00E1755A">
              <w:rPr>
                <w:rFonts w:eastAsia="Calibri"/>
                <w:lang w:eastAsia="en-US"/>
              </w:rPr>
              <w:t>Likumprojekta izstrādē netika organizēta darba grupa.</w:t>
            </w:r>
          </w:p>
          <w:p w:rsidR="00851E13" w:rsidRPr="00E1755A" w:rsidP="00433AFD" w14:paraId="24CE61DD" w14:textId="373B8480">
            <w:pPr>
              <w:pStyle w:val="naiskr"/>
              <w:spacing w:before="60" w:after="60"/>
              <w:jc w:val="both"/>
              <w:rPr>
                <w:iCs/>
              </w:rPr>
            </w:pPr>
            <w:r>
              <w:rPr>
                <w:rFonts w:eastAsia="Calibri"/>
                <w:lang w:eastAsia="en-US"/>
              </w:rPr>
              <w:t>Likumprojekts ir s</w:t>
            </w:r>
            <w:r w:rsidR="00D6324D">
              <w:rPr>
                <w:rFonts w:eastAsia="Calibri"/>
                <w:lang w:eastAsia="en-US"/>
              </w:rPr>
              <w:t>as</w:t>
            </w:r>
            <w:r>
              <w:rPr>
                <w:rFonts w:eastAsia="Calibri"/>
                <w:lang w:eastAsia="en-US"/>
              </w:rPr>
              <w:t>kaņots ar</w:t>
            </w:r>
            <w:r w:rsidR="00D6324D">
              <w:rPr>
                <w:rFonts w:eastAsia="Calibri"/>
                <w:lang w:eastAsia="en-US"/>
              </w:rPr>
              <w:t xml:space="preserve"> </w:t>
            </w:r>
            <w:r>
              <w:rPr>
                <w:rFonts w:eastAsia="Calibri"/>
                <w:lang w:eastAsia="en-US"/>
              </w:rPr>
              <w:t>V</w:t>
            </w:r>
            <w:r w:rsidR="006D108D">
              <w:rPr>
                <w:rFonts w:eastAsia="Calibri"/>
                <w:lang w:eastAsia="en-US"/>
              </w:rPr>
              <w:t>VD</w:t>
            </w:r>
            <w:r>
              <w:rPr>
                <w:rFonts w:eastAsia="Calibri"/>
                <w:lang w:eastAsia="en-US"/>
              </w:rPr>
              <w:t>, Civilās aviācijas aģentūru</w:t>
            </w:r>
            <w:r w:rsidR="00433AFD">
              <w:rPr>
                <w:rFonts w:eastAsia="Calibri"/>
                <w:lang w:eastAsia="en-US"/>
              </w:rPr>
              <w:t xml:space="preserve">, </w:t>
            </w:r>
            <w:r w:rsidR="0017764A">
              <w:rPr>
                <w:rFonts w:eastAsia="Calibri"/>
                <w:lang w:eastAsia="en-US"/>
              </w:rPr>
              <w:t>VAS “</w:t>
            </w:r>
            <w:r w:rsidRPr="00433AFD" w:rsidR="00433AFD">
              <w:rPr>
                <w:rFonts w:eastAsia="Calibri"/>
                <w:lang w:eastAsia="en-US"/>
              </w:rPr>
              <w:t>Latvijas Jūras administrācij</w:t>
            </w:r>
            <w:r w:rsidR="0017764A">
              <w:rPr>
                <w:rFonts w:eastAsia="Calibri"/>
                <w:lang w:eastAsia="en-US"/>
              </w:rPr>
              <w:t>a”</w:t>
            </w:r>
            <w:r w:rsidRPr="00433AFD" w:rsidR="00433AFD">
              <w:rPr>
                <w:rFonts w:eastAsia="Calibri"/>
                <w:lang w:eastAsia="en-US"/>
              </w:rPr>
              <w:t>, Ekonomikas ministrij</w:t>
            </w:r>
            <w:r w:rsidR="00433AFD">
              <w:rPr>
                <w:rFonts w:eastAsia="Calibri"/>
                <w:lang w:eastAsia="en-US"/>
              </w:rPr>
              <w:t xml:space="preserve">u, </w:t>
            </w:r>
            <w:r w:rsidRPr="00433AFD" w:rsidR="00433AFD">
              <w:rPr>
                <w:rFonts w:eastAsia="Calibri"/>
                <w:lang w:eastAsia="en-US"/>
              </w:rPr>
              <w:t>Finanšu ministrij</w:t>
            </w:r>
            <w:r w:rsidR="00433AFD">
              <w:rPr>
                <w:rFonts w:eastAsia="Calibri"/>
                <w:lang w:eastAsia="en-US"/>
              </w:rPr>
              <w:t xml:space="preserve">u un </w:t>
            </w:r>
            <w:r w:rsidRPr="00BE108D">
              <w:rPr>
                <w:rFonts w:eastAsia="Calibri"/>
                <w:lang w:eastAsia="en-US"/>
              </w:rPr>
              <w:t>Nacionālo bruņoto spēku Jūras spēku flotiles Krasta apsardzes dienestu.</w:t>
            </w:r>
            <w:r w:rsidR="00D6324D">
              <w:rPr>
                <w:rFonts w:eastAsia="Calibri"/>
                <w:lang w:eastAsia="en-US"/>
              </w:rPr>
              <w:t xml:space="preserve"> Likumprojektu tā izstrādes stadijā saskaņoja </w:t>
            </w:r>
            <w:r w:rsidRPr="00BE108D" w:rsidR="00D6324D">
              <w:rPr>
                <w:rFonts w:eastAsia="Calibri"/>
                <w:lang w:eastAsia="en-US"/>
              </w:rPr>
              <w:t>Nacionālo bruņoto spēku Jūras spēku flotiles Krasta apsardzes dienest</w:t>
            </w:r>
            <w:r w:rsidR="00D6324D">
              <w:rPr>
                <w:rFonts w:eastAsia="Calibri"/>
                <w:lang w:eastAsia="en-US"/>
              </w:rPr>
              <w:t xml:space="preserve">s, par ko </w:t>
            </w:r>
            <w:r w:rsidR="00260417">
              <w:rPr>
                <w:rFonts w:eastAsia="Calibri"/>
                <w:lang w:eastAsia="en-US"/>
              </w:rPr>
              <w:t>2016. gada 7. oktobrī</w:t>
            </w:r>
            <w:r w:rsidR="00D6324D">
              <w:rPr>
                <w:rFonts w:eastAsia="Calibri"/>
                <w:lang w:eastAsia="en-US"/>
              </w:rPr>
              <w:t xml:space="preserve"> VARAM informēja Aizsardzības ministrij</w:t>
            </w:r>
            <w:r w:rsidR="00A460D9">
              <w:rPr>
                <w:rFonts w:eastAsia="Calibri"/>
                <w:lang w:eastAsia="en-US"/>
              </w:rPr>
              <w:t>u</w:t>
            </w:r>
            <w:r w:rsidR="00D6324D">
              <w:rPr>
                <w:rFonts w:eastAsia="Calibri"/>
                <w:lang w:eastAsia="en-US"/>
              </w:rPr>
              <w:t>.</w:t>
            </w:r>
          </w:p>
        </w:tc>
      </w:tr>
      <w:tr w14:paraId="24CE61E2" w14:textId="77777777" w:rsidTr="003D77B9">
        <w:tblPrEx>
          <w:tblW w:w="9356" w:type="dxa"/>
          <w:jc w:val="center"/>
          <w:tblCellMar>
            <w:left w:w="57" w:type="dxa"/>
            <w:right w:w="57" w:type="dxa"/>
          </w:tblCellMar>
          <w:tblLook w:val="00A0"/>
        </w:tblPrEx>
        <w:trPr>
          <w:jc w:val="center"/>
        </w:trPr>
        <w:tc>
          <w:tcPr>
            <w:tcW w:w="250" w:type="pct"/>
          </w:tcPr>
          <w:p w:rsidR="00CB4AAB" w:rsidRPr="00E1755A" w:rsidP="00E51C74" w14:paraId="24CE61DF" w14:textId="1C96DFE9">
            <w:pPr>
              <w:spacing w:before="60" w:after="60"/>
              <w:jc w:val="center"/>
              <w:rPr>
                <w:rFonts w:ascii="Times New Roman" w:hAnsi="Times New Roman"/>
                <w:sz w:val="24"/>
                <w:szCs w:val="24"/>
                <w:lang w:eastAsia="lv-LV"/>
              </w:rPr>
            </w:pPr>
            <w:r w:rsidRPr="00E1755A">
              <w:rPr>
                <w:rFonts w:ascii="Times New Roman" w:hAnsi="Times New Roman"/>
                <w:sz w:val="24"/>
                <w:szCs w:val="24"/>
                <w:lang w:eastAsia="lv-LV"/>
              </w:rPr>
              <w:t>4.</w:t>
            </w:r>
          </w:p>
        </w:tc>
        <w:tc>
          <w:tcPr>
            <w:tcW w:w="853" w:type="pct"/>
          </w:tcPr>
          <w:p w:rsidR="00CB4AAB" w:rsidRPr="00E1755A" w:rsidP="00E51C74" w14:paraId="24CE61E0" w14:textId="77777777">
            <w:pPr>
              <w:spacing w:before="60" w:after="60"/>
              <w:jc w:val="left"/>
              <w:rPr>
                <w:rFonts w:ascii="Times New Roman" w:hAnsi="Times New Roman"/>
                <w:sz w:val="24"/>
                <w:szCs w:val="24"/>
                <w:lang w:eastAsia="lv-LV"/>
              </w:rPr>
            </w:pPr>
            <w:r w:rsidRPr="00E1755A">
              <w:rPr>
                <w:rFonts w:ascii="Times New Roman" w:hAnsi="Times New Roman"/>
                <w:sz w:val="24"/>
                <w:szCs w:val="24"/>
                <w:lang w:eastAsia="lv-LV"/>
              </w:rPr>
              <w:t>Cita informācija</w:t>
            </w:r>
          </w:p>
        </w:tc>
        <w:tc>
          <w:tcPr>
            <w:tcW w:w="3897" w:type="pct"/>
          </w:tcPr>
          <w:p w:rsidR="000F4722" w:rsidRPr="00E1755A" w:rsidP="00D91686" w14:paraId="24CE61E1" w14:textId="19013A63">
            <w:pPr>
              <w:spacing w:before="60" w:after="60"/>
              <w:rPr>
                <w:rFonts w:ascii="Times New Roman" w:hAnsi="Times New Roman"/>
                <w:sz w:val="24"/>
                <w:szCs w:val="24"/>
              </w:rPr>
            </w:pPr>
            <w:r w:rsidRPr="00E1755A">
              <w:rPr>
                <w:rFonts w:ascii="Tms Rmn" w:hAnsi="Tms Rmn" w:cs="Tms Rmn"/>
                <w:color w:val="000000"/>
                <w:sz w:val="24"/>
                <w:szCs w:val="24"/>
              </w:rPr>
              <w:t>Likumprojekts</w:t>
            </w:r>
            <w:r w:rsidRPr="00E1755A" w:rsidR="009129F7">
              <w:rPr>
                <w:rFonts w:ascii="Tms Rmn" w:hAnsi="Tms Rmn" w:cs="Tms Rmn"/>
                <w:color w:val="000000"/>
                <w:sz w:val="24"/>
                <w:szCs w:val="24"/>
              </w:rPr>
              <w:t xml:space="preserve"> tik</w:t>
            </w:r>
            <w:r w:rsidRPr="00E1755A" w:rsidR="00501123">
              <w:rPr>
                <w:rFonts w:ascii="Tms Rmn" w:hAnsi="Tms Rmn" w:cs="Tms Rmn"/>
                <w:color w:val="000000"/>
                <w:sz w:val="24"/>
                <w:szCs w:val="24"/>
              </w:rPr>
              <w:t>a</w:t>
            </w:r>
            <w:r w:rsidRPr="00E1755A">
              <w:rPr>
                <w:rFonts w:ascii="Tms Rmn" w:hAnsi="Tms Rmn" w:cs="Tms Rmn"/>
                <w:color w:val="000000"/>
                <w:sz w:val="24"/>
                <w:szCs w:val="24"/>
              </w:rPr>
              <w:t xml:space="preserve"> </w:t>
            </w:r>
            <w:r w:rsidRPr="00E1755A">
              <w:rPr>
                <w:rFonts w:ascii="Tms Rmn" w:hAnsi="Tms Rmn" w:cs="Tms Rmn"/>
                <w:color w:val="000000"/>
                <w:sz w:val="24"/>
                <w:szCs w:val="24"/>
                <w:lang w:eastAsia="lv-LV"/>
              </w:rPr>
              <w:t>izskatī</w:t>
            </w:r>
            <w:r w:rsidRPr="00E1755A">
              <w:rPr>
                <w:rFonts w:ascii="Tms Rmn" w:hAnsi="Tms Rmn" w:cs="Tms Rmn"/>
                <w:color w:val="000000"/>
                <w:sz w:val="24"/>
                <w:szCs w:val="24"/>
              </w:rPr>
              <w:t>ts</w:t>
            </w:r>
            <w:r w:rsidRPr="00E1755A">
              <w:rPr>
                <w:rFonts w:ascii="Tms Rmn" w:hAnsi="Tms Rmn" w:cs="Tms Rmn"/>
                <w:color w:val="000000"/>
                <w:sz w:val="24"/>
                <w:szCs w:val="24"/>
                <w:lang w:eastAsia="lv-LV"/>
              </w:rPr>
              <w:t xml:space="preserve"> </w:t>
            </w:r>
            <w:r>
              <w:rPr>
                <w:rFonts w:ascii="Tms Rmn" w:hAnsi="Tms Rmn" w:cs="Tms Rmn"/>
                <w:color w:val="000000"/>
                <w:sz w:val="24"/>
                <w:szCs w:val="24"/>
                <w:lang w:eastAsia="lv-LV"/>
              </w:rPr>
              <w:t xml:space="preserve">un atbalstīts </w:t>
            </w:r>
            <w:r w:rsidRPr="00E1755A">
              <w:rPr>
                <w:rFonts w:ascii="Tms Rmn" w:hAnsi="Tms Rmn" w:cs="Tms Rmn"/>
                <w:color w:val="000000"/>
                <w:sz w:val="24"/>
                <w:szCs w:val="24"/>
                <w:lang w:eastAsia="lv-LV"/>
              </w:rPr>
              <w:t>Latvijas Administratīvo pārkāpumu kodeksa</w:t>
            </w:r>
            <w:r>
              <w:rPr>
                <w:rFonts w:ascii="Tms Rmn" w:hAnsi="Tms Rmn" w:cs="Tms Rmn"/>
                <w:color w:val="000000"/>
                <w:sz w:val="24"/>
                <w:szCs w:val="24"/>
                <w:lang w:eastAsia="lv-LV"/>
              </w:rPr>
              <w:t xml:space="preserve"> pastāvīgās</w:t>
            </w:r>
            <w:r w:rsidRPr="00E1755A">
              <w:rPr>
                <w:rFonts w:ascii="Tms Rmn" w:hAnsi="Tms Rmn" w:cs="Tms Rmn"/>
                <w:color w:val="000000"/>
                <w:sz w:val="24"/>
                <w:szCs w:val="24"/>
                <w:lang w:eastAsia="lv-LV"/>
              </w:rPr>
              <w:t xml:space="preserve"> darba grup</w:t>
            </w:r>
            <w:r>
              <w:rPr>
                <w:rFonts w:ascii="Tms Rmn" w:hAnsi="Tms Rmn" w:cs="Tms Rmn"/>
                <w:color w:val="000000"/>
                <w:sz w:val="24"/>
                <w:szCs w:val="24"/>
                <w:lang w:eastAsia="lv-LV"/>
              </w:rPr>
              <w:t>a</w:t>
            </w:r>
            <w:r w:rsidR="0023240D">
              <w:rPr>
                <w:rFonts w:ascii="Tms Rmn" w:hAnsi="Tms Rmn" w:cs="Tms Rmn"/>
                <w:color w:val="000000"/>
                <w:sz w:val="24"/>
                <w:szCs w:val="24"/>
                <w:lang w:eastAsia="lv-LV"/>
              </w:rPr>
              <w:t>s</w:t>
            </w:r>
            <w:r w:rsidRPr="00E1755A" w:rsidR="00501123">
              <w:rPr>
                <w:rFonts w:ascii="Tms Rmn" w:hAnsi="Tms Rmn" w:cs="Tms Rmn"/>
                <w:color w:val="000000"/>
                <w:sz w:val="24"/>
                <w:szCs w:val="24"/>
                <w:lang w:eastAsia="lv-LV"/>
              </w:rPr>
              <w:t xml:space="preserve"> 2016.</w:t>
            </w:r>
            <w:r w:rsidR="0023240D">
              <w:rPr>
                <w:rFonts w:ascii="Tms Rmn" w:hAnsi="Tms Rmn" w:cs="Tms Rmn"/>
                <w:color w:val="000000"/>
                <w:sz w:val="24"/>
                <w:szCs w:val="24"/>
                <w:lang w:eastAsia="lv-LV"/>
              </w:rPr>
              <w:t> </w:t>
            </w:r>
            <w:r w:rsidRPr="00E1755A" w:rsidR="00501123">
              <w:rPr>
                <w:rFonts w:ascii="Tms Rmn" w:hAnsi="Tms Rmn" w:cs="Tms Rmn"/>
                <w:color w:val="000000"/>
                <w:sz w:val="24"/>
                <w:szCs w:val="24"/>
                <w:lang w:eastAsia="lv-LV"/>
              </w:rPr>
              <w:t>gada 6.</w:t>
            </w:r>
            <w:r w:rsidR="0023240D">
              <w:rPr>
                <w:rFonts w:ascii="Tms Rmn" w:hAnsi="Tms Rmn" w:cs="Tms Rmn"/>
                <w:color w:val="000000"/>
                <w:sz w:val="24"/>
                <w:szCs w:val="24"/>
                <w:lang w:eastAsia="lv-LV"/>
              </w:rPr>
              <w:t> </w:t>
            </w:r>
            <w:r w:rsidRPr="00E1755A" w:rsidR="00501123">
              <w:rPr>
                <w:rFonts w:ascii="Tms Rmn" w:hAnsi="Tms Rmn" w:cs="Tms Rmn"/>
                <w:color w:val="000000"/>
                <w:sz w:val="24"/>
                <w:szCs w:val="24"/>
                <w:lang w:eastAsia="lv-LV"/>
              </w:rPr>
              <w:t>oktobr</w:t>
            </w:r>
            <w:r>
              <w:rPr>
                <w:rFonts w:ascii="Tms Rmn" w:hAnsi="Tms Rmn" w:cs="Tms Rmn"/>
                <w:color w:val="000000"/>
                <w:sz w:val="24"/>
                <w:szCs w:val="24"/>
                <w:lang w:eastAsia="lv-LV"/>
              </w:rPr>
              <w:t>a sēdē</w:t>
            </w:r>
            <w:r w:rsidRPr="00E1755A">
              <w:rPr>
                <w:rFonts w:ascii="Tms Rmn" w:hAnsi="Tms Rmn" w:cs="Tms Rmn"/>
                <w:color w:val="000000"/>
                <w:sz w:val="24"/>
                <w:szCs w:val="24"/>
              </w:rPr>
              <w:t>.</w:t>
            </w:r>
          </w:p>
        </w:tc>
      </w:tr>
    </w:tbl>
    <w:p w:rsidR="00CB4AAB" w:rsidRPr="00E1755A" w:rsidP="0034370D" w14:paraId="24CE61E3" w14:textId="77777777">
      <w:pPr>
        <w:spacing w:after="0"/>
        <w:ind w:firstLine="301"/>
        <w:jc w:val="left"/>
        <w:rPr>
          <w:rFonts w:ascii="Times New Roman" w:hAnsi="Times New Roman"/>
          <w:sz w:val="24"/>
          <w:szCs w:val="24"/>
          <w:lang w:eastAsia="lv-LV"/>
        </w:rPr>
      </w:pPr>
      <w:r w:rsidRPr="00E1755A">
        <w:rPr>
          <w:rFonts w:ascii="Times New Roman" w:hAnsi="Times New Roman"/>
          <w:sz w:val="24"/>
          <w:szCs w:val="24"/>
          <w:lang w:eastAsia="lv-LV"/>
        </w:rPr>
        <w:t>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450"/>
        <w:gridCol w:w="1634"/>
        <w:gridCol w:w="7272"/>
      </w:tblGrid>
      <w:tr w14:paraId="24CE61E5" w14:textId="77777777" w:rsidTr="003D77B9">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Ex>
        <w:trPr>
          <w:trHeight w:val="555"/>
          <w:jc w:val="center"/>
        </w:trPr>
        <w:tc>
          <w:tcPr>
            <w:tcW w:w="0" w:type="auto"/>
            <w:gridSpan w:val="3"/>
            <w:vAlign w:val="center"/>
          </w:tcPr>
          <w:p w:rsidR="00CB4AAB" w:rsidRPr="00E1755A" w:rsidP="00B63F0E" w14:paraId="24CE61E4" w14:textId="28B031C5">
            <w:pPr>
              <w:spacing w:before="60" w:after="60"/>
              <w:jc w:val="center"/>
              <w:rPr>
                <w:rFonts w:ascii="Times New Roman" w:hAnsi="Times New Roman"/>
                <w:b/>
                <w:bCs/>
                <w:sz w:val="24"/>
                <w:szCs w:val="24"/>
                <w:lang w:eastAsia="lv-LV"/>
              </w:rPr>
            </w:pPr>
            <w:r w:rsidRPr="00E1755A">
              <w:rPr>
                <w:rFonts w:ascii="Times New Roman" w:hAnsi="Times New Roman"/>
                <w:b/>
                <w:bCs/>
                <w:sz w:val="24"/>
                <w:szCs w:val="24"/>
                <w:lang w:eastAsia="lv-LV"/>
              </w:rPr>
              <w:t>II.</w:t>
            </w:r>
            <w:r w:rsidRPr="00E1755A" w:rsidR="00F1169F">
              <w:rPr>
                <w:rFonts w:ascii="Times New Roman" w:hAnsi="Times New Roman"/>
                <w:b/>
                <w:bCs/>
                <w:sz w:val="24"/>
                <w:szCs w:val="24"/>
                <w:lang w:eastAsia="lv-LV"/>
              </w:rPr>
              <w:t> </w:t>
            </w:r>
            <w:r w:rsidRPr="00E1755A">
              <w:rPr>
                <w:rFonts w:ascii="Times New Roman" w:hAnsi="Times New Roman"/>
                <w:b/>
                <w:bCs/>
                <w:sz w:val="24"/>
                <w:szCs w:val="24"/>
                <w:lang w:eastAsia="lv-LV"/>
              </w:rPr>
              <w:t>Tiesību akta projekta ietekme uz sabiedrību, tautsaimniecības attīstību un administratīvo slogu</w:t>
            </w:r>
          </w:p>
        </w:tc>
      </w:tr>
      <w:tr w14:paraId="24CE61F0" w14:textId="77777777" w:rsidTr="003D77B9">
        <w:tblPrEx>
          <w:tblW w:w="9356" w:type="dxa"/>
          <w:jc w:val="center"/>
          <w:tblCellMar>
            <w:left w:w="57" w:type="dxa"/>
            <w:right w:w="57" w:type="dxa"/>
          </w:tblCellMar>
          <w:tblLook w:val="00A0"/>
        </w:tblPrEx>
        <w:trPr>
          <w:trHeight w:val="274"/>
          <w:jc w:val="center"/>
        </w:trPr>
        <w:tc>
          <w:tcPr>
            <w:tcW w:w="250" w:type="pct"/>
          </w:tcPr>
          <w:p w:rsidR="00CB4AAB" w:rsidRPr="00E1755A" w:rsidP="00B63F0E" w14:paraId="24CE61E6" w14:textId="77777777">
            <w:pPr>
              <w:spacing w:before="60" w:after="60"/>
              <w:jc w:val="left"/>
              <w:rPr>
                <w:rFonts w:ascii="Times New Roman" w:hAnsi="Times New Roman"/>
                <w:sz w:val="24"/>
                <w:szCs w:val="24"/>
                <w:lang w:eastAsia="lv-LV"/>
              </w:rPr>
            </w:pPr>
            <w:r w:rsidRPr="00E1755A">
              <w:rPr>
                <w:rFonts w:ascii="Times New Roman" w:hAnsi="Times New Roman"/>
                <w:sz w:val="24"/>
                <w:szCs w:val="24"/>
                <w:lang w:eastAsia="lv-LV"/>
              </w:rPr>
              <w:t>1.</w:t>
            </w:r>
          </w:p>
        </w:tc>
        <w:tc>
          <w:tcPr>
            <w:tcW w:w="854" w:type="pct"/>
          </w:tcPr>
          <w:p w:rsidR="00CB4AAB" w:rsidRPr="00E1755A" w:rsidP="00B63F0E" w14:paraId="24CE61E7" w14:textId="77777777">
            <w:pPr>
              <w:spacing w:before="60" w:after="60"/>
              <w:jc w:val="left"/>
              <w:rPr>
                <w:rFonts w:ascii="Times New Roman" w:hAnsi="Times New Roman"/>
                <w:sz w:val="24"/>
                <w:szCs w:val="24"/>
                <w:lang w:eastAsia="lv-LV"/>
              </w:rPr>
            </w:pPr>
            <w:r w:rsidRPr="00E1755A">
              <w:rPr>
                <w:rFonts w:ascii="Times New Roman" w:hAnsi="Times New Roman"/>
                <w:sz w:val="24"/>
                <w:szCs w:val="24"/>
                <w:lang w:eastAsia="lv-LV"/>
              </w:rPr>
              <w:t>Sabiedrības mērķgrupas, kuras tiesiskais regulējums ietekmē vai varētu ietekmēt</w:t>
            </w:r>
          </w:p>
        </w:tc>
        <w:tc>
          <w:tcPr>
            <w:tcW w:w="3896" w:type="pct"/>
          </w:tcPr>
          <w:p w:rsidR="00CB4AAB" w:rsidRPr="00E1755A" w14:paraId="24CE61E8" w14:textId="77777777">
            <w:pPr>
              <w:pStyle w:val="naiskr"/>
              <w:spacing w:before="60" w:after="60"/>
              <w:jc w:val="both"/>
              <w:rPr>
                <w:bCs/>
                <w:u w:val="single"/>
                <w:shd w:val="clear" w:color="auto" w:fill="FFFFFF"/>
              </w:rPr>
            </w:pPr>
            <w:r w:rsidRPr="00E1755A">
              <w:rPr>
                <w:bCs/>
                <w:u w:val="single"/>
                <w:shd w:val="clear" w:color="auto" w:fill="FFFFFF"/>
              </w:rPr>
              <w:t>Likumprojekta tiesiskais regulējums ietekmē vai var ietekmēt:</w:t>
            </w:r>
          </w:p>
          <w:p w:rsidR="00BF14CB" w:rsidRPr="00E1755A" w:rsidP="005B1326" w14:paraId="337A24ED" w14:textId="2BE6CFE6">
            <w:pPr>
              <w:pStyle w:val="naiskr"/>
              <w:numPr>
                <w:ilvl w:val="0"/>
                <w:numId w:val="1"/>
              </w:numPr>
              <w:spacing w:before="60" w:after="60"/>
              <w:ind w:left="284" w:hanging="284"/>
              <w:jc w:val="both"/>
              <w:rPr>
                <w:bCs/>
                <w:shd w:val="clear" w:color="auto" w:fill="FFFFFF"/>
              </w:rPr>
            </w:pPr>
            <w:r w:rsidRPr="00E1755A">
              <w:rPr>
                <w:iCs/>
              </w:rPr>
              <w:t xml:space="preserve">ES ETS operatorus un gaisa kuģu operatorus, kā arī </w:t>
            </w:r>
            <w:r w:rsidRPr="00542BD9" w:rsidR="00542BD9">
              <w:rPr>
                <w:iCs/>
              </w:rPr>
              <w:t>regulas Nr.</w:t>
            </w:r>
            <w:r w:rsidR="00FA0C4F">
              <w:rPr>
                <w:iCs/>
              </w:rPr>
              <w:t> </w:t>
            </w:r>
            <w:r w:rsidRPr="00542BD9" w:rsidR="00542BD9">
              <w:rPr>
                <w:iCs/>
              </w:rPr>
              <w:t>2015/757 3.</w:t>
            </w:r>
            <w:r w:rsidR="00FA0C4F">
              <w:rPr>
                <w:iCs/>
              </w:rPr>
              <w:t> </w:t>
            </w:r>
            <w:r w:rsidRPr="00542BD9" w:rsidR="00542BD9">
              <w:rPr>
                <w:iCs/>
              </w:rPr>
              <w:t>panta „d” punktā minēt</w:t>
            </w:r>
            <w:r w:rsidR="00542BD9">
              <w:rPr>
                <w:iCs/>
              </w:rPr>
              <w:t>os</w:t>
            </w:r>
            <w:r w:rsidRPr="00542BD9" w:rsidR="00542BD9">
              <w:rPr>
                <w:iCs/>
              </w:rPr>
              <w:t xml:space="preserve"> uzņēmum</w:t>
            </w:r>
            <w:r w:rsidR="00542BD9">
              <w:rPr>
                <w:iCs/>
              </w:rPr>
              <w:t>us</w:t>
            </w:r>
            <w:r w:rsidRPr="00542BD9" w:rsidR="00542BD9">
              <w:rPr>
                <w:iCs/>
              </w:rPr>
              <w:t xml:space="preserve"> </w:t>
            </w:r>
            <w:r w:rsidRPr="00E1755A">
              <w:rPr>
                <w:iCs/>
              </w:rPr>
              <w:t>– attiecībā uz administratīvo atbildību par emisiju ziņojumu neiesniegšanu</w:t>
            </w:r>
            <w:r w:rsidRPr="00E1755A" w:rsidR="00501123">
              <w:rPr>
                <w:iCs/>
              </w:rPr>
              <w:t xml:space="preserve"> vai datu sagrozīšanu tajā</w:t>
            </w:r>
            <w:r w:rsidRPr="00E1755A">
              <w:rPr>
                <w:iCs/>
              </w:rPr>
              <w:t>,</w:t>
            </w:r>
            <w:r w:rsidRPr="00E1755A" w:rsidR="00501123">
              <w:rPr>
                <w:iCs/>
              </w:rPr>
              <w:t xml:space="preserve"> par</w:t>
            </w:r>
            <w:r w:rsidRPr="00E1755A">
              <w:rPr>
                <w:iCs/>
              </w:rPr>
              <w:t xml:space="preserve"> monitoringa datu sagrozīšanu vai slēpšanu;</w:t>
            </w:r>
          </w:p>
          <w:p w:rsidR="00047396" w:rsidRPr="006D108D" w:rsidP="006D108D" w14:paraId="0A2F015F" w14:textId="2B1654C2">
            <w:pPr>
              <w:pStyle w:val="naiskr"/>
              <w:numPr>
                <w:ilvl w:val="0"/>
                <w:numId w:val="1"/>
              </w:numPr>
              <w:spacing w:before="60" w:after="60"/>
              <w:ind w:left="284" w:hanging="284"/>
              <w:jc w:val="both"/>
              <w:rPr>
                <w:bCs/>
                <w:shd w:val="clear" w:color="auto" w:fill="FFFFFF"/>
              </w:rPr>
            </w:pPr>
            <w:r w:rsidRPr="006D108D">
              <w:rPr>
                <w:iCs/>
              </w:rPr>
              <w:t>V</w:t>
            </w:r>
            <w:r w:rsidRPr="006D108D" w:rsidR="006D108D">
              <w:rPr>
                <w:iCs/>
              </w:rPr>
              <w:t>VD</w:t>
            </w:r>
            <w:r w:rsidRPr="006D108D">
              <w:rPr>
                <w:iCs/>
              </w:rPr>
              <w:t xml:space="preserve"> – kompetence administratīv</w:t>
            </w:r>
            <w:r w:rsidR="00FA0C4F">
              <w:rPr>
                <w:iCs/>
              </w:rPr>
              <w:t>o pārkāpuma lietu lietvedībā</w:t>
            </w:r>
            <w:r w:rsidRPr="006D108D">
              <w:rPr>
                <w:iCs/>
              </w:rPr>
              <w:t xml:space="preserve"> attiecībā uz ES ETS operatoriem</w:t>
            </w:r>
            <w:r w:rsidRPr="006D108D" w:rsidR="00501123">
              <w:rPr>
                <w:iCs/>
              </w:rPr>
              <w:t xml:space="preserve"> (kompetence tiek saglabāta kā šobrīd noteikta APK</w:t>
            </w:r>
            <w:r w:rsidRPr="006D108D" w:rsidR="004C4E0E">
              <w:rPr>
                <w:iCs/>
              </w:rPr>
              <w:t xml:space="preserve"> 231</w:t>
            </w:r>
            <w:r w:rsidR="00FA0C4F">
              <w:rPr>
                <w:iCs/>
              </w:rPr>
              <w:t> </w:t>
            </w:r>
            <w:r w:rsidRPr="006D108D" w:rsidR="004C4E0E">
              <w:rPr>
                <w:iCs/>
              </w:rPr>
              <w:t>.pantā</w:t>
            </w:r>
            <w:r w:rsidRPr="006D108D" w:rsidR="00501123">
              <w:rPr>
                <w:iCs/>
              </w:rPr>
              <w:t>) (izskatīt administratīvo pārkāpumu lietas un uzlikt administratīvos sodus)</w:t>
            </w:r>
            <w:r w:rsidRPr="006D108D" w:rsidR="00485300">
              <w:rPr>
                <w:iCs/>
              </w:rPr>
              <w:t xml:space="preserve">, </w:t>
            </w:r>
            <w:r w:rsidRPr="006D108D" w:rsidR="006D108D">
              <w:rPr>
                <w:iCs/>
              </w:rPr>
              <w:t>attiecībā uz regulas Nr.</w:t>
            </w:r>
            <w:r w:rsidR="00FA0C4F">
              <w:rPr>
                <w:iCs/>
              </w:rPr>
              <w:t> </w:t>
            </w:r>
            <w:r w:rsidRPr="006D108D" w:rsidR="006D108D">
              <w:rPr>
                <w:iCs/>
              </w:rPr>
              <w:t>2015/757 3.</w:t>
            </w:r>
            <w:r w:rsidR="00FA0C4F">
              <w:rPr>
                <w:iCs/>
              </w:rPr>
              <w:t> </w:t>
            </w:r>
            <w:r w:rsidRPr="006D108D" w:rsidR="006D108D">
              <w:rPr>
                <w:iCs/>
              </w:rPr>
              <w:t>panta „d” punktā minētajiem uzņēmumiem (sastādīt administratīvo pārkāpumu protokolus, izskatīt sastādītos protokolus un uzlikt administratīvos sodus attiecībā regulas Nr.</w:t>
            </w:r>
            <w:r w:rsidR="00FA0C4F">
              <w:rPr>
                <w:iCs/>
              </w:rPr>
              <w:t> </w:t>
            </w:r>
            <w:r w:rsidRPr="006D108D" w:rsidR="006D108D">
              <w:rPr>
                <w:iCs/>
              </w:rPr>
              <w:t>2015/757 3.</w:t>
            </w:r>
            <w:r w:rsidR="00FA0C4F">
              <w:rPr>
                <w:iCs/>
              </w:rPr>
              <w:t> </w:t>
            </w:r>
            <w:r w:rsidRPr="006D108D" w:rsidR="006D108D">
              <w:rPr>
                <w:iCs/>
              </w:rPr>
              <w:t xml:space="preserve">panta „d” punktā minētajiem uzņēmumiem, </w:t>
            </w:r>
            <w:r w:rsidRPr="006D108D" w:rsidR="00485300">
              <w:rPr>
                <w:iCs/>
              </w:rPr>
              <w:t>kā arī attiecībā uz degvielas piegādātājiem (izskatīt administratīvo pārkāpumu lietas un uzlikt administratīvos sodus)</w:t>
            </w:r>
            <w:r w:rsidRPr="006D108D">
              <w:rPr>
                <w:iCs/>
              </w:rPr>
              <w:t>;</w:t>
            </w:r>
          </w:p>
          <w:p w:rsidR="00047396" w:rsidRPr="00E1755A" w:rsidP="005B1326" w14:paraId="0C67A83B" w14:textId="12BE502D">
            <w:pPr>
              <w:pStyle w:val="naiskr"/>
              <w:numPr>
                <w:ilvl w:val="0"/>
                <w:numId w:val="1"/>
              </w:numPr>
              <w:spacing w:before="60" w:after="60"/>
              <w:ind w:left="284" w:hanging="284"/>
              <w:jc w:val="both"/>
              <w:rPr>
                <w:bCs/>
                <w:shd w:val="clear" w:color="auto" w:fill="FFFFFF"/>
              </w:rPr>
            </w:pPr>
            <w:r w:rsidRPr="00E1755A">
              <w:rPr>
                <w:iCs/>
              </w:rPr>
              <w:t>Civilās aviācijas aģentūra</w:t>
            </w:r>
            <w:r w:rsidRPr="00E1755A" w:rsidR="00501123">
              <w:rPr>
                <w:iCs/>
              </w:rPr>
              <w:t xml:space="preserve"> </w:t>
            </w:r>
            <w:r w:rsidRPr="00E1755A">
              <w:rPr>
                <w:iCs/>
              </w:rPr>
              <w:t>– kompetence administratī</w:t>
            </w:r>
            <w:r w:rsidR="00FA0C4F">
              <w:rPr>
                <w:iCs/>
              </w:rPr>
              <w:t xml:space="preserve">vo pārkāpuma lietu lietvedībā </w:t>
            </w:r>
            <w:r w:rsidRPr="00E1755A">
              <w:rPr>
                <w:iCs/>
              </w:rPr>
              <w:t>attiecībā uz ES ETS gaisa kuģu operatoriem</w:t>
            </w:r>
            <w:r w:rsidRPr="00E1755A" w:rsidR="00501123">
              <w:rPr>
                <w:iCs/>
              </w:rPr>
              <w:t xml:space="preserve"> (izskatīt administratīvo pārkāpumu lietas un uzlikt administratīvos sodus)</w:t>
            </w:r>
            <w:r w:rsidRPr="00E1755A">
              <w:rPr>
                <w:iCs/>
              </w:rPr>
              <w:t>;</w:t>
            </w:r>
          </w:p>
          <w:p w:rsidR="00047396" w:rsidRPr="00E1755A" w:rsidP="00485300" w14:paraId="24CE61EF" w14:textId="2A167C95">
            <w:pPr>
              <w:pStyle w:val="naiskr"/>
              <w:numPr>
                <w:ilvl w:val="0"/>
                <w:numId w:val="1"/>
              </w:numPr>
              <w:spacing w:before="60" w:after="60"/>
              <w:ind w:left="284" w:hanging="284"/>
              <w:jc w:val="both"/>
              <w:rPr>
                <w:bCs/>
                <w:shd w:val="clear" w:color="auto" w:fill="FFFFFF"/>
              </w:rPr>
            </w:pPr>
            <w:r>
              <w:rPr>
                <w:iCs/>
              </w:rPr>
              <w:t xml:space="preserve">Likumā </w:t>
            </w:r>
            <w:r w:rsidR="00FA0C4F">
              <w:rPr>
                <w:iCs/>
              </w:rPr>
              <w:t>,,</w:t>
            </w:r>
            <w:r>
              <w:rPr>
                <w:iCs/>
              </w:rPr>
              <w:t>Par piesārņojumu” definēto degvielas piegādātā</w:t>
            </w:r>
            <w:r w:rsidR="006D108D">
              <w:rPr>
                <w:iCs/>
              </w:rPr>
              <w:t>j</w:t>
            </w:r>
            <w:r>
              <w:rPr>
                <w:iCs/>
              </w:rPr>
              <w:t xml:space="preserve">u – attiecībā uz </w:t>
            </w:r>
            <w:r w:rsidRPr="00E1755A">
              <w:rPr>
                <w:iCs/>
              </w:rPr>
              <w:t xml:space="preserve">administratīvo atbildību par </w:t>
            </w:r>
            <w:r>
              <w:rPr>
                <w:iCs/>
              </w:rPr>
              <w:t xml:space="preserve">ikgadējā </w:t>
            </w:r>
            <w:r w:rsidRPr="00E1755A">
              <w:rPr>
                <w:iCs/>
              </w:rPr>
              <w:t>ziņojumu neiesniegšanu</w:t>
            </w:r>
            <w:r w:rsidR="00485300">
              <w:rPr>
                <w:iCs/>
              </w:rPr>
              <w:t xml:space="preserve">. </w:t>
            </w:r>
          </w:p>
        </w:tc>
      </w:tr>
      <w:tr w14:paraId="24CE6217" w14:textId="77777777" w:rsidTr="003D77B9">
        <w:tblPrEx>
          <w:tblW w:w="9356" w:type="dxa"/>
          <w:jc w:val="center"/>
          <w:tblCellMar>
            <w:left w:w="57" w:type="dxa"/>
            <w:right w:w="57" w:type="dxa"/>
          </w:tblCellMar>
          <w:tblLook w:val="00A0"/>
        </w:tblPrEx>
        <w:trPr>
          <w:trHeight w:val="510"/>
          <w:jc w:val="center"/>
        </w:trPr>
        <w:tc>
          <w:tcPr>
            <w:tcW w:w="250" w:type="pct"/>
          </w:tcPr>
          <w:p w:rsidR="00CB4AAB" w:rsidRPr="00E1755A" w:rsidP="00B63F0E" w14:paraId="24CE61F1" w14:textId="04ABA67B">
            <w:pPr>
              <w:spacing w:before="60" w:after="60"/>
              <w:jc w:val="left"/>
              <w:rPr>
                <w:rFonts w:ascii="Times New Roman" w:hAnsi="Times New Roman"/>
                <w:sz w:val="24"/>
                <w:szCs w:val="24"/>
                <w:lang w:eastAsia="lv-LV"/>
              </w:rPr>
            </w:pPr>
            <w:r w:rsidRPr="00E1755A">
              <w:rPr>
                <w:rFonts w:ascii="Times New Roman" w:hAnsi="Times New Roman"/>
                <w:sz w:val="24"/>
                <w:szCs w:val="24"/>
                <w:lang w:eastAsia="lv-LV"/>
              </w:rPr>
              <w:t>2.</w:t>
            </w:r>
          </w:p>
        </w:tc>
        <w:tc>
          <w:tcPr>
            <w:tcW w:w="854" w:type="pct"/>
          </w:tcPr>
          <w:p w:rsidR="00CB4AAB" w:rsidRPr="00E1755A" w:rsidP="00B63F0E" w14:paraId="24CE61F2" w14:textId="77777777">
            <w:pPr>
              <w:spacing w:before="60" w:after="60"/>
              <w:jc w:val="left"/>
              <w:rPr>
                <w:rFonts w:ascii="Times New Roman" w:hAnsi="Times New Roman"/>
                <w:sz w:val="24"/>
                <w:szCs w:val="24"/>
                <w:lang w:eastAsia="lv-LV"/>
              </w:rPr>
            </w:pPr>
            <w:r w:rsidRPr="00E1755A">
              <w:rPr>
                <w:rFonts w:ascii="Times New Roman" w:hAnsi="Times New Roman"/>
                <w:sz w:val="24"/>
                <w:szCs w:val="24"/>
                <w:lang w:eastAsia="lv-LV"/>
              </w:rPr>
              <w:t>Tiesiskā regulējuma ietekme uz tautsaimniecību un administratīvo slogu</w:t>
            </w:r>
          </w:p>
        </w:tc>
        <w:tc>
          <w:tcPr>
            <w:tcW w:w="3896" w:type="pct"/>
          </w:tcPr>
          <w:p w:rsidR="00CB4AAB" w:rsidRPr="00E1755A" w14:paraId="24CE61F3" w14:textId="77777777">
            <w:pPr>
              <w:spacing w:before="60" w:after="60"/>
              <w:rPr>
                <w:rFonts w:ascii="Times New Roman" w:eastAsia="Times New Roman" w:hAnsi="Times New Roman"/>
                <w:iCs/>
                <w:sz w:val="24"/>
                <w:szCs w:val="24"/>
                <w:lang w:eastAsia="lv-LV"/>
              </w:rPr>
            </w:pPr>
            <w:r w:rsidRPr="00E1755A">
              <w:rPr>
                <w:rFonts w:ascii="Times New Roman" w:eastAsia="Times New Roman" w:hAnsi="Times New Roman"/>
                <w:iCs/>
                <w:sz w:val="24"/>
                <w:szCs w:val="24"/>
                <w:lang w:eastAsia="lv-LV"/>
              </w:rPr>
              <w:t>Likumprojekta tiesiskā regulējuma paredzamā ietekme uz administratīvo slogu:</w:t>
            </w:r>
          </w:p>
          <w:p w:rsidR="00CB4AAB" w:rsidRPr="00E1755A" w14:paraId="24CE61F4" w14:textId="53854E32">
            <w:pPr>
              <w:spacing w:before="60" w:after="60"/>
              <w:rPr>
                <w:rFonts w:ascii="Times New Roman" w:eastAsia="Times New Roman" w:hAnsi="Times New Roman"/>
                <w:i/>
                <w:iCs/>
                <w:sz w:val="24"/>
                <w:szCs w:val="24"/>
                <w:lang w:eastAsia="lv-LV"/>
              </w:rPr>
            </w:pPr>
            <w:r w:rsidRPr="00E1755A">
              <w:rPr>
                <w:rFonts w:ascii="Times New Roman" w:eastAsia="Times New Roman" w:hAnsi="Times New Roman"/>
                <w:i/>
                <w:iCs/>
                <w:sz w:val="24"/>
                <w:szCs w:val="24"/>
                <w:lang w:eastAsia="lv-LV"/>
              </w:rPr>
              <w:t xml:space="preserve">ES ETS operatoriem, gaisa kuģu operatoriem un </w:t>
            </w:r>
            <w:r w:rsidRPr="00542BD9" w:rsidR="00542BD9">
              <w:rPr>
                <w:rFonts w:ascii="Times New Roman" w:eastAsia="Times New Roman" w:hAnsi="Times New Roman"/>
                <w:i/>
                <w:iCs/>
                <w:sz w:val="24"/>
                <w:szCs w:val="24"/>
                <w:lang w:eastAsia="lv-LV"/>
              </w:rPr>
              <w:t>regulas Nr.</w:t>
            </w:r>
            <w:r w:rsidR="00FA0C4F">
              <w:rPr>
                <w:rFonts w:ascii="Times New Roman" w:eastAsia="Times New Roman" w:hAnsi="Times New Roman"/>
                <w:i/>
                <w:iCs/>
                <w:sz w:val="24"/>
                <w:szCs w:val="24"/>
                <w:lang w:eastAsia="lv-LV"/>
              </w:rPr>
              <w:t> </w:t>
            </w:r>
            <w:r w:rsidRPr="00542BD9" w:rsidR="00542BD9">
              <w:rPr>
                <w:rFonts w:ascii="Times New Roman" w:eastAsia="Times New Roman" w:hAnsi="Times New Roman"/>
                <w:i/>
                <w:iCs/>
                <w:sz w:val="24"/>
                <w:szCs w:val="24"/>
                <w:lang w:eastAsia="lv-LV"/>
              </w:rPr>
              <w:t>2015/757 3.</w:t>
            </w:r>
            <w:r w:rsidR="00FA0C4F">
              <w:rPr>
                <w:rFonts w:ascii="Times New Roman" w:eastAsia="Times New Roman" w:hAnsi="Times New Roman"/>
                <w:i/>
                <w:iCs/>
                <w:sz w:val="24"/>
                <w:szCs w:val="24"/>
                <w:lang w:eastAsia="lv-LV"/>
              </w:rPr>
              <w:t> </w:t>
            </w:r>
            <w:r w:rsidRPr="00542BD9" w:rsidR="00542BD9">
              <w:rPr>
                <w:rFonts w:ascii="Times New Roman" w:eastAsia="Times New Roman" w:hAnsi="Times New Roman"/>
                <w:i/>
                <w:iCs/>
                <w:sz w:val="24"/>
                <w:szCs w:val="24"/>
                <w:lang w:eastAsia="lv-LV"/>
              </w:rPr>
              <w:t>panta „d” punktā minētajiem uzņēmumiem</w:t>
            </w:r>
            <w:r w:rsidR="000A307A">
              <w:rPr>
                <w:rFonts w:ascii="Times New Roman" w:eastAsia="Times New Roman" w:hAnsi="Times New Roman"/>
                <w:i/>
                <w:iCs/>
                <w:sz w:val="24"/>
                <w:szCs w:val="24"/>
                <w:lang w:eastAsia="lv-LV"/>
              </w:rPr>
              <w:t xml:space="preserve">, likumā </w:t>
            </w:r>
            <w:r w:rsidR="00FA0C4F">
              <w:rPr>
                <w:rFonts w:ascii="Times New Roman" w:eastAsia="Times New Roman" w:hAnsi="Times New Roman"/>
                <w:i/>
                <w:iCs/>
                <w:sz w:val="24"/>
                <w:szCs w:val="24"/>
                <w:lang w:eastAsia="lv-LV"/>
              </w:rPr>
              <w:t>,,</w:t>
            </w:r>
            <w:r w:rsidR="000A307A">
              <w:rPr>
                <w:rFonts w:ascii="Times New Roman" w:eastAsia="Times New Roman" w:hAnsi="Times New Roman"/>
                <w:i/>
                <w:iCs/>
                <w:sz w:val="24"/>
                <w:szCs w:val="24"/>
                <w:lang w:eastAsia="lv-LV"/>
              </w:rPr>
              <w:t>Par piesārņojumu” definētajiem degvielas piegādātājiem</w:t>
            </w:r>
          </w:p>
          <w:p w:rsidR="00EA249F" w:rsidRPr="00E1755A" w:rsidP="009B0BF3" w14:paraId="24CE61FE" w14:textId="5FFCCDE4">
            <w:pPr>
              <w:spacing w:before="60" w:after="60"/>
              <w:rPr>
                <w:rFonts w:ascii="Times New Roman" w:eastAsia="Times New Roman" w:hAnsi="Times New Roman"/>
                <w:iCs/>
                <w:sz w:val="24"/>
                <w:szCs w:val="24"/>
                <w:lang w:eastAsia="lv-LV"/>
              </w:rPr>
            </w:pPr>
            <w:r w:rsidRPr="00E1755A">
              <w:rPr>
                <w:rFonts w:ascii="Times New Roman" w:eastAsia="Times New Roman" w:hAnsi="Times New Roman"/>
                <w:iCs/>
                <w:sz w:val="24"/>
                <w:szCs w:val="24"/>
                <w:lang w:eastAsia="lv-LV"/>
              </w:rPr>
              <w:t>Ietekmes uz administratīvo slogu minētajiem uzņēmumiem nav.</w:t>
            </w:r>
            <w:r w:rsidR="00962883">
              <w:rPr>
                <w:rFonts w:ascii="Times New Roman" w:eastAsia="Times New Roman" w:hAnsi="Times New Roman"/>
                <w:iCs/>
                <w:sz w:val="24"/>
                <w:szCs w:val="24"/>
                <w:lang w:eastAsia="lv-LV"/>
              </w:rPr>
              <w:t xml:space="preserve"> </w:t>
            </w:r>
            <w:r w:rsidR="00FA0C4F">
              <w:rPr>
                <w:rFonts w:ascii="Times New Roman" w:eastAsia="Times New Roman" w:hAnsi="Times New Roman"/>
                <w:iCs/>
                <w:sz w:val="24"/>
                <w:szCs w:val="24"/>
                <w:lang w:eastAsia="lv-LV"/>
              </w:rPr>
              <w:t>M</w:t>
            </w:r>
            <w:r w:rsidR="00962883">
              <w:rPr>
                <w:rFonts w:ascii="Times New Roman" w:eastAsia="Times New Roman" w:hAnsi="Times New Roman"/>
                <w:iCs/>
                <w:sz w:val="24"/>
                <w:szCs w:val="24"/>
                <w:lang w:eastAsia="lv-LV"/>
              </w:rPr>
              <w:t xml:space="preserve">inētajiem tiesību subjektiem ir primāri jāpilda savus ES un Latvijas </w:t>
            </w:r>
            <w:r w:rsidR="00FA0C4F">
              <w:rPr>
                <w:rFonts w:ascii="Times New Roman" w:eastAsia="Times New Roman" w:hAnsi="Times New Roman"/>
                <w:iCs/>
                <w:sz w:val="24"/>
                <w:szCs w:val="24"/>
                <w:lang w:eastAsia="lv-LV"/>
              </w:rPr>
              <w:t>normatīvajos aktos</w:t>
            </w:r>
            <w:r w:rsidR="00962883">
              <w:rPr>
                <w:rFonts w:ascii="Times New Roman" w:eastAsia="Times New Roman" w:hAnsi="Times New Roman"/>
                <w:iCs/>
                <w:sz w:val="24"/>
                <w:szCs w:val="24"/>
                <w:lang w:eastAsia="lv-LV"/>
              </w:rPr>
              <w:t xml:space="preserve"> noteiktos pienākumus, tādējādi nepieļaujot administratīvās atbildības iestāšanos.</w:t>
            </w:r>
          </w:p>
          <w:p w:rsidR="00D33079" w:rsidRPr="00E1755A" w:rsidP="00D33079" w14:paraId="24CE620D" w14:textId="12F4A388">
            <w:pPr>
              <w:spacing w:before="60" w:after="60"/>
              <w:ind w:firstLine="227"/>
              <w:rPr>
                <w:rFonts w:ascii="Times New Roman" w:eastAsia="Times New Roman" w:hAnsi="Times New Roman"/>
                <w:iCs/>
                <w:sz w:val="24"/>
                <w:szCs w:val="24"/>
                <w:lang w:eastAsia="lv-LV"/>
              </w:rPr>
            </w:pPr>
          </w:p>
          <w:p w:rsidR="00CB4AAB" w:rsidRPr="00E1755A" w14:paraId="24CE620E" w14:textId="77777777">
            <w:pPr>
              <w:spacing w:before="60" w:after="60"/>
              <w:rPr>
                <w:rFonts w:ascii="Times New Roman" w:eastAsia="Times New Roman" w:hAnsi="Times New Roman"/>
                <w:iCs/>
                <w:sz w:val="24"/>
                <w:szCs w:val="24"/>
                <w:lang w:eastAsia="lv-LV"/>
              </w:rPr>
            </w:pPr>
            <w:r w:rsidRPr="00E1755A">
              <w:rPr>
                <w:rFonts w:ascii="Times New Roman" w:eastAsia="Times New Roman" w:hAnsi="Times New Roman"/>
                <w:iCs/>
                <w:sz w:val="24"/>
                <w:szCs w:val="24"/>
                <w:lang w:eastAsia="lv-LV"/>
              </w:rPr>
              <w:t>Likumprojekta tiesiskā regulējuma ietekme uz uzņēmējdarbības vidi</w:t>
            </w:r>
          </w:p>
          <w:p w:rsidR="00977EA5" w:rsidRPr="00E1755A" w:rsidP="00977EA5" w14:paraId="04FD8C29" w14:textId="6E0FA818">
            <w:pPr>
              <w:spacing w:before="60" w:after="60"/>
              <w:rPr>
                <w:rFonts w:ascii="Times New Roman" w:eastAsia="Times New Roman" w:hAnsi="Times New Roman"/>
                <w:i/>
                <w:iCs/>
                <w:sz w:val="24"/>
                <w:szCs w:val="24"/>
                <w:lang w:eastAsia="lv-LV"/>
              </w:rPr>
            </w:pPr>
            <w:r w:rsidRPr="00E1755A">
              <w:rPr>
                <w:rFonts w:ascii="Times New Roman" w:eastAsia="Times New Roman" w:hAnsi="Times New Roman"/>
                <w:i/>
                <w:iCs/>
                <w:sz w:val="24"/>
                <w:szCs w:val="24"/>
                <w:lang w:eastAsia="lv-LV"/>
              </w:rPr>
              <w:t xml:space="preserve">ES ETS operatoriem, gaisa kuģu operatoriem un </w:t>
            </w:r>
            <w:r w:rsidRPr="00542BD9" w:rsidR="00542BD9">
              <w:rPr>
                <w:rFonts w:ascii="Times New Roman" w:eastAsia="Times New Roman" w:hAnsi="Times New Roman"/>
                <w:i/>
                <w:iCs/>
                <w:sz w:val="24"/>
                <w:szCs w:val="24"/>
                <w:lang w:eastAsia="lv-LV"/>
              </w:rPr>
              <w:t>regulas Nr.</w:t>
            </w:r>
            <w:r w:rsidR="00FA0C4F">
              <w:rPr>
                <w:rFonts w:ascii="Times New Roman" w:eastAsia="Times New Roman" w:hAnsi="Times New Roman"/>
                <w:i/>
                <w:iCs/>
                <w:sz w:val="24"/>
                <w:szCs w:val="24"/>
                <w:lang w:eastAsia="lv-LV"/>
              </w:rPr>
              <w:t> </w:t>
            </w:r>
            <w:r w:rsidRPr="00542BD9" w:rsidR="00542BD9">
              <w:rPr>
                <w:rFonts w:ascii="Times New Roman" w:eastAsia="Times New Roman" w:hAnsi="Times New Roman"/>
                <w:i/>
                <w:iCs/>
                <w:sz w:val="24"/>
                <w:szCs w:val="24"/>
                <w:lang w:eastAsia="lv-LV"/>
              </w:rPr>
              <w:t>2015/757 3.</w:t>
            </w:r>
            <w:r w:rsidR="00FA0C4F">
              <w:rPr>
                <w:rFonts w:ascii="Times New Roman" w:eastAsia="Times New Roman" w:hAnsi="Times New Roman"/>
                <w:i/>
                <w:iCs/>
                <w:sz w:val="24"/>
                <w:szCs w:val="24"/>
                <w:lang w:eastAsia="lv-LV"/>
              </w:rPr>
              <w:t> </w:t>
            </w:r>
            <w:r w:rsidRPr="00542BD9" w:rsidR="00542BD9">
              <w:rPr>
                <w:rFonts w:ascii="Times New Roman" w:eastAsia="Times New Roman" w:hAnsi="Times New Roman"/>
                <w:i/>
                <w:iCs/>
                <w:sz w:val="24"/>
                <w:szCs w:val="24"/>
                <w:lang w:eastAsia="lv-LV"/>
              </w:rPr>
              <w:t>panta „d” punktā minētajiem uzņēmumiem</w:t>
            </w:r>
            <w:r w:rsidR="000A307A">
              <w:rPr>
                <w:rFonts w:ascii="Times New Roman" w:eastAsia="Times New Roman" w:hAnsi="Times New Roman"/>
                <w:i/>
                <w:iCs/>
                <w:sz w:val="24"/>
                <w:szCs w:val="24"/>
                <w:lang w:eastAsia="lv-LV"/>
              </w:rPr>
              <w:t xml:space="preserve">, likumā </w:t>
            </w:r>
            <w:r w:rsidR="00FA0C4F">
              <w:rPr>
                <w:rFonts w:ascii="Times New Roman" w:eastAsia="Times New Roman" w:hAnsi="Times New Roman"/>
                <w:i/>
                <w:iCs/>
                <w:sz w:val="24"/>
                <w:szCs w:val="24"/>
                <w:lang w:eastAsia="lv-LV"/>
              </w:rPr>
              <w:t>,,</w:t>
            </w:r>
            <w:r w:rsidR="000A307A">
              <w:rPr>
                <w:rFonts w:ascii="Times New Roman" w:eastAsia="Times New Roman" w:hAnsi="Times New Roman"/>
                <w:i/>
                <w:iCs/>
                <w:sz w:val="24"/>
                <w:szCs w:val="24"/>
                <w:lang w:eastAsia="lv-LV"/>
              </w:rPr>
              <w:t>Par piesārņojumu” definētajiem degvielas piegādātājiem</w:t>
            </w:r>
          </w:p>
          <w:p w:rsidR="00977EA5" w:rsidRPr="00E1755A" w:rsidP="009B0BF3" w14:paraId="0DF6B0B4" w14:textId="3768230A">
            <w:pPr>
              <w:spacing w:before="60" w:after="60"/>
              <w:rPr>
                <w:rFonts w:ascii="Times New Roman" w:eastAsia="Times New Roman" w:hAnsi="Times New Roman"/>
                <w:iCs/>
                <w:sz w:val="24"/>
                <w:szCs w:val="24"/>
                <w:lang w:eastAsia="lv-LV"/>
              </w:rPr>
            </w:pPr>
            <w:r w:rsidRPr="00E1755A">
              <w:rPr>
                <w:rFonts w:ascii="Times New Roman" w:eastAsia="Times New Roman" w:hAnsi="Times New Roman"/>
                <w:iCs/>
                <w:sz w:val="24"/>
                <w:szCs w:val="24"/>
                <w:lang w:eastAsia="lv-LV"/>
              </w:rPr>
              <w:t xml:space="preserve">Ietekmes uz administratīvo slogu minētajiem </w:t>
            </w:r>
            <w:r w:rsidR="00FA0C4F">
              <w:rPr>
                <w:rFonts w:ascii="Times New Roman" w:eastAsia="Times New Roman" w:hAnsi="Times New Roman"/>
                <w:iCs/>
                <w:sz w:val="24"/>
                <w:szCs w:val="24"/>
                <w:lang w:eastAsia="lv-LV"/>
              </w:rPr>
              <w:t>komersantiem</w:t>
            </w:r>
            <w:r w:rsidRPr="00E1755A">
              <w:rPr>
                <w:rFonts w:ascii="Times New Roman" w:eastAsia="Times New Roman" w:hAnsi="Times New Roman"/>
                <w:iCs/>
                <w:sz w:val="24"/>
                <w:szCs w:val="24"/>
                <w:lang w:eastAsia="lv-LV"/>
              </w:rPr>
              <w:t xml:space="preserve"> nav.</w:t>
            </w:r>
          </w:p>
          <w:p w:rsidR="00501123" w:rsidRPr="00E1755A" w:rsidP="00977EA5" w14:paraId="3DD7C5CD" w14:textId="77777777">
            <w:pPr>
              <w:spacing w:before="60" w:after="60"/>
              <w:ind w:firstLine="227"/>
              <w:rPr>
                <w:rFonts w:ascii="Times New Roman" w:eastAsia="Times New Roman" w:hAnsi="Times New Roman"/>
                <w:iCs/>
                <w:sz w:val="24"/>
                <w:szCs w:val="24"/>
                <w:lang w:eastAsia="lv-LV"/>
              </w:rPr>
            </w:pPr>
          </w:p>
          <w:p w:rsidR="00977EA5" w:rsidRPr="00E1755A" w:rsidP="00F13061" w14:paraId="55DA0DF4" w14:textId="424BD153">
            <w:pPr>
              <w:spacing w:before="60" w:after="60"/>
              <w:rPr>
                <w:rFonts w:ascii="Times New Roman" w:eastAsia="Times New Roman" w:hAnsi="Times New Roman"/>
                <w:i/>
                <w:iCs/>
                <w:sz w:val="24"/>
                <w:szCs w:val="24"/>
                <w:lang w:eastAsia="lv-LV"/>
              </w:rPr>
            </w:pPr>
            <w:r w:rsidRPr="00E1755A">
              <w:rPr>
                <w:rFonts w:ascii="Times New Roman" w:eastAsia="Times New Roman" w:hAnsi="Times New Roman"/>
                <w:i/>
                <w:iCs/>
                <w:sz w:val="24"/>
                <w:szCs w:val="24"/>
                <w:lang w:eastAsia="lv-LV"/>
              </w:rPr>
              <w:t>V</w:t>
            </w:r>
            <w:r w:rsidR="006D108D">
              <w:rPr>
                <w:rFonts w:ascii="Times New Roman" w:eastAsia="Times New Roman" w:hAnsi="Times New Roman"/>
                <w:i/>
                <w:iCs/>
                <w:sz w:val="24"/>
                <w:szCs w:val="24"/>
                <w:lang w:eastAsia="lv-LV"/>
              </w:rPr>
              <w:t xml:space="preserve">VD un </w:t>
            </w:r>
            <w:r w:rsidRPr="00E1755A">
              <w:rPr>
                <w:rFonts w:ascii="Times New Roman" w:eastAsia="Times New Roman" w:hAnsi="Times New Roman"/>
                <w:i/>
                <w:iCs/>
                <w:sz w:val="24"/>
                <w:szCs w:val="24"/>
                <w:lang w:eastAsia="lv-LV"/>
              </w:rPr>
              <w:t>Civilās aviācijas aģentūrai</w:t>
            </w:r>
          </w:p>
          <w:p w:rsidR="00501123" w:rsidRPr="00E1755A" w:rsidP="009B0BF3" w14:paraId="39F72D8A" w14:textId="6110A519">
            <w:pPr>
              <w:spacing w:before="60" w:after="60"/>
              <w:rPr>
                <w:rFonts w:ascii="Times New Roman" w:eastAsia="Times New Roman" w:hAnsi="Times New Roman"/>
                <w:iCs/>
                <w:sz w:val="24"/>
                <w:szCs w:val="24"/>
                <w:lang w:eastAsia="lv-LV"/>
              </w:rPr>
            </w:pPr>
            <w:r w:rsidRPr="00E1755A">
              <w:rPr>
                <w:rFonts w:ascii="Times New Roman" w:eastAsia="Times New Roman" w:hAnsi="Times New Roman"/>
                <w:iCs/>
                <w:sz w:val="24"/>
                <w:szCs w:val="24"/>
                <w:lang w:eastAsia="lv-LV"/>
              </w:rPr>
              <w:t>Tiek plānots, ka V</w:t>
            </w:r>
            <w:r w:rsidR="006D108D">
              <w:rPr>
                <w:rFonts w:ascii="Times New Roman" w:eastAsia="Times New Roman" w:hAnsi="Times New Roman"/>
                <w:iCs/>
                <w:sz w:val="24"/>
                <w:szCs w:val="24"/>
                <w:lang w:eastAsia="lv-LV"/>
              </w:rPr>
              <w:t>VD</w:t>
            </w:r>
            <w:r w:rsidRPr="00E1755A">
              <w:rPr>
                <w:rFonts w:ascii="Times New Roman" w:eastAsia="Times New Roman" w:hAnsi="Times New Roman"/>
                <w:iCs/>
                <w:sz w:val="24"/>
                <w:szCs w:val="24"/>
                <w:lang w:eastAsia="lv-LV"/>
              </w:rPr>
              <w:t xml:space="preserve"> administratīvais slogs </w:t>
            </w:r>
            <w:r w:rsidR="006D108D">
              <w:rPr>
                <w:rFonts w:ascii="Times New Roman" w:eastAsia="Times New Roman" w:hAnsi="Times New Roman"/>
                <w:iCs/>
                <w:sz w:val="24"/>
                <w:szCs w:val="24"/>
                <w:lang w:eastAsia="lv-LV"/>
              </w:rPr>
              <w:t>palielināsies</w:t>
            </w:r>
            <w:r w:rsidRPr="00E1755A">
              <w:rPr>
                <w:rFonts w:ascii="Times New Roman" w:eastAsia="Times New Roman" w:hAnsi="Times New Roman"/>
                <w:iCs/>
                <w:sz w:val="24"/>
                <w:szCs w:val="24"/>
                <w:lang w:eastAsia="lv-LV"/>
              </w:rPr>
              <w:t>. Šobrīd APK</w:t>
            </w:r>
            <w:r w:rsidR="004C4E0E">
              <w:rPr>
                <w:rFonts w:ascii="Times New Roman" w:eastAsia="Times New Roman" w:hAnsi="Times New Roman"/>
                <w:iCs/>
                <w:sz w:val="24"/>
                <w:szCs w:val="24"/>
                <w:lang w:eastAsia="lv-LV"/>
              </w:rPr>
              <w:t xml:space="preserve"> 231.</w:t>
            </w:r>
            <w:r w:rsidR="00FA0C4F">
              <w:rPr>
                <w:rFonts w:ascii="Times New Roman" w:eastAsia="Times New Roman" w:hAnsi="Times New Roman"/>
                <w:iCs/>
                <w:sz w:val="24"/>
                <w:szCs w:val="24"/>
                <w:lang w:eastAsia="lv-LV"/>
              </w:rPr>
              <w:t> </w:t>
            </w:r>
            <w:r w:rsidR="004C4E0E">
              <w:rPr>
                <w:rFonts w:ascii="Times New Roman" w:eastAsia="Times New Roman" w:hAnsi="Times New Roman"/>
                <w:iCs/>
                <w:sz w:val="24"/>
                <w:szCs w:val="24"/>
                <w:lang w:eastAsia="lv-LV"/>
              </w:rPr>
              <w:t>pantā</w:t>
            </w:r>
            <w:r w:rsidRPr="00E1755A">
              <w:rPr>
                <w:rFonts w:ascii="Times New Roman" w:eastAsia="Times New Roman" w:hAnsi="Times New Roman"/>
                <w:iCs/>
                <w:sz w:val="24"/>
                <w:szCs w:val="24"/>
                <w:lang w:eastAsia="lv-LV"/>
              </w:rPr>
              <w:t xml:space="preserve"> ir noteikts, ka V</w:t>
            </w:r>
            <w:r w:rsidR="00FA0C4F">
              <w:rPr>
                <w:rFonts w:ascii="Times New Roman" w:eastAsia="Times New Roman" w:hAnsi="Times New Roman"/>
                <w:iCs/>
                <w:sz w:val="24"/>
                <w:szCs w:val="24"/>
                <w:lang w:eastAsia="lv-LV"/>
              </w:rPr>
              <w:t>VD</w:t>
            </w:r>
            <w:r w:rsidRPr="00E1755A">
              <w:rPr>
                <w:rFonts w:ascii="Times New Roman" w:eastAsia="Times New Roman" w:hAnsi="Times New Roman"/>
                <w:iCs/>
                <w:sz w:val="24"/>
                <w:szCs w:val="24"/>
                <w:lang w:eastAsia="lv-LV"/>
              </w:rPr>
              <w:t xml:space="preserve"> izskata arī administratīvā pārkāpuma lietas attiecībā uz gaisa kuģu operatoriem, savukārt ar likumprojektu šī kompetence tiek p</w:t>
            </w:r>
            <w:r w:rsidR="00FA0C4F">
              <w:rPr>
                <w:rFonts w:ascii="Times New Roman" w:eastAsia="Times New Roman" w:hAnsi="Times New Roman"/>
                <w:iCs/>
                <w:sz w:val="24"/>
                <w:szCs w:val="24"/>
                <w:lang w:eastAsia="lv-LV"/>
              </w:rPr>
              <w:t>iešķirta</w:t>
            </w:r>
            <w:r w:rsidRPr="00E1755A">
              <w:rPr>
                <w:rFonts w:ascii="Times New Roman" w:eastAsia="Times New Roman" w:hAnsi="Times New Roman"/>
                <w:iCs/>
                <w:sz w:val="24"/>
                <w:szCs w:val="24"/>
                <w:lang w:eastAsia="lv-LV"/>
              </w:rPr>
              <w:t xml:space="preserve"> Civilās aviācijas aģentūr</w:t>
            </w:r>
            <w:r w:rsidR="00FA0C4F">
              <w:rPr>
                <w:rFonts w:ascii="Times New Roman" w:eastAsia="Times New Roman" w:hAnsi="Times New Roman"/>
                <w:iCs/>
                <w:sz w:val="24"/>
                <w:szCs w:val="24"/>
                <w:lang w:eastAsia="lv-LV"/>
              </w:rPr>
              <w:t>ai</w:t>
            </w:r>
            <w:r w:rsidRPr="00E1755A">
              <w:rPr>
                <w:rFonts w:ascii="Times New Roman" w:eastAsia="Times New Roman" w:hAnsi="Times New Roman"/>
                <w:iCs/>
                <w:sz w:val="24"/>
                <w:szCs w:val="24"/>
                <w:lang w:eastAsia="lv-LV"/>
              </w:rPr>
              <w:t>.</w:t>
            </w:r>
            <w:r w:rsidRPr="00E1755A" w:rsidR="006D108D">
              <w:rPr>
                <w:rFonts w:ascii="Times New Roman" w:eastAsia="Times New Roman" w:hAnsi="Times New Roman"/>
                <w:iCs/>
                <w:sz w:val="24"/>
                <w:szCs w:val="24"/>
                <w:lang w:eastAsia="lv-LV"/>
              </w:rPr>
              <w:t xml:space="preserve"> Ir paredzams, ka </w:t>
            </w:r>
            <w:r w:rsidR="006D108D">
              <w:rPr>
                <w:rFonts w:ascii="Times New Roman" w:eastAsia="Times New Roman" w:hAnsi="Times New Roman"/>
                <w:iCs/>
                <w:sz w:val="24"/>
                <w:szCs w:val="24"/>
                <w:lang w:eastAsia="lv-LV"/>
              </w:rPr>
              <w:t>VVD</w:t>
            </w:r>
            <w:r w:rsidRPr="00E1755A" w:rsidR="006D108D">
              <w:rPr>
                <w:rFonts w:ascii="Times New Roman" w:eastAsia="Times New Roman" w:hAnsi="Times New Roman"/>
                <w:iCs/>
                <w:sz w:val="24"/>
                <w:szCs w:val="24"/>
                <w:lang w:eastAsia="lv-LV"/>
              </w:rPr>
              <w:t xml:space="preserve"> varētu palielināties administratīvais slogs, jo </w:t>
            </w:r>
            <w:r w:rsidR="006D108D">
              <w:rPr>
                <w:rFonts w:ascii="Times New Roman" w:eastAsia="Times New Roman" w:hAnsi="Times New Roman"/>
                <w:iCs/>
                <w:sz w:val="24"/>
                <w:szCs w:val="24"/>
                <w:lang w:eastAsia="lv-LV"/>
              </w:rPr>
              <w:t>t</w:t>
            </w:r>
            <w:r w:rsidR="00E725DA">
              <w:rPr>
                <w:rFonts w:ascii="Times New Roman" w:eastAsia="Times New Roman" w:hAnsi="Times New Roman"/>
                <w:iCs/>
                <w:sz w:val="24"/>
                <w:szCs w:val="24"/>
                <w:lang w:eastAsia="lv-LV"/>
              </w:rPr>
              <w:t>as</w:t>
            </w:r>
            <w:r w:rsidR="006D108D">
              <w:rPr>
                <w:rFonts w:ascii="Times New Roman" w:eastAsia="Times New Roman" w:hAnsi="Times New Roman"/>
                <w:iCs/>
                <w:sz w:val="24"/>
                <w:szCs w:val="24"/>
                <w:lang w:eastAsia="lv-LV"/>
              </w:rPr>
              <w:t xml:space="preserve"> </w:t>
            </w:r>
            <w:r w:rsidRPr="00E1755A" w:rsidR="006D108D">
              <w:rPr>
                <w:rFonts w:ascii="Times New Roman" w:eastAsia="Times New Roman" w:hAnsi="Times New Roman"/>
                <w:iCs/>
                <w:sz w:val="24"/>
                <w:szCs w:val="24"/>
                <w:lang w:eastAsia="lv-LV"/>
              </w:rPr>
              <w:t>tiek noteikt</w:t>
            </w:r>
            <w:r w:rsidR="00E725DA">
              <w:rPr>
                <w:rFonts w:ascii="Times New Roman" w:eastAsia="Times New Roman" w:hAnsi="Times New Roman"/>
                <w:iCs/>
                <w:sz w:val="24"/>
                <w:szCs w:val="24"/>
                <w:lang w:eastAsia="lv-LV"/>
              </w:rPr>
              <w:t>s</w:t>
            </w:r>
            <w:r w:rsidRPr="00E1755A" w:rsidR="006D108D">
              <w:rPr>
                <w:rFonts w:ascii="Times New Roman" w:eastAsia="Times New Roman" w:hAnsi="Times New Roman"/>
                <w:iCs/>
                <w:sz w:val="24"/>
                <w:szCs w:val="24"/>
                <w:lang w:eastAsia="lv-LV"/>
              </w:rPr>
              <w:t xml:space="preserve"> kā kompetentā iestāde jaunas administratīvās atbildības noteikšanai</w:t>
            </w:r>
            <w:r w:rsidR="009A664F">
              <w:rPr>
                <w:rFonts w:ascii="Times New Roman" w:eastAsia="Times New Roman" w:hAnsi="Times New Roman"/>
                <w:iCs/>
                <w:sz w:val="24"/>
                <w:szCs w:val="24"/>
                <w:lang w:eastAsia="lv-LV"/>
              </w:rPr>
              <w:t xml:space="preserve">. Attiecībā uz ietekmi uz administratīvo slogu (administratīvā atbildība </w:t>
            </w:r>
            <w:r w:rsidRPr="00962883" w:rsidR="009A664F">
              <w:rPr>
                <w:rFonts w:ascii="Times New Roman" w:eastAsia="Times New Roman" w:hAnsi="Times New Roman"/>
                <w:iCs/>
                <w:sz w:val="24"/>
                <w:szCs w:val="24"/>
                <w:lang w:eastAsia="lv-LV"/>
              </w:rPr>
              <w:t>regulas Nr.</w:t>
            </w:r>
            <w:r w:rsidR="00E725DA">
              <w:rPr>
                <w:rFonts w:ascii="Times New Roman" w:eastAsia="Times New Roman" w:hAnsi="Times New Roman"/>
                <w:iCs/>
                <w:sz w:val="24"/>
                <w:szCs w:val="24"/>
                <w:lang w:eastAsia="lv-LV"/>
              </w:rPr>
              <w:t> </w:t>
            </w:r>
            <w:r w:rsidRPr="00962883" w:rsidR="009A664F">
              <w:rPr>
                <w:rFonts w:ascii="Times New Roman" w:eastAsia="Times New Roman" w:hAnsi="Times New Roman"/>
                <w:iCs/>
                <w:sz w:val="24"/>
                <w:szCs w:val="24"/>
                <w:lang w:eastAsia="lv-LV"/>
              </w:rPr>
              <w:t>2015/757 3.</w:t>
            </w:r>
            <w:r w:rsidR="00E725DA">
              <w:rPr>
                <w:rFonts w:ascii="Times New Roman" w:eastAsia="Times New Roman" w:hAnsi="Times New Roman"/>
                <w:iCs/>
                <w:sz w:val="24"/>
                <w:szCs w:val="24"/>
                <w:lang w:eastAsia="lv-LV"/>
              </w:rPr>
              <w:t> </w:t>
            </w:r>
            <w:r w:rsidRPr="00962883" w:rsidR="009A664F">
              <w:rPr>
                <w:rFonts w:ascii="Times New Roman" w:eastAsia="Times New Roman" w:hAnsi="Times New Roman"/>
                <w:iCs/>
                <w:sz w:val="24"/>
                <w:szCs w:val="24"/>
                <w:lang w:eastAsia="lv-LV"/>
              </w:rPr>
              <w:t>panta „d” punktā minētajiem uzņēmumiem</w:t>
            </w:r>
            <w:r w:rsidR="009A664F">
              <w:rPr>
                <w:rFonts w:ascii="Times New Roman" w:eastAsia="Times New Roman" w:hAnsi="Times New Roman"/>
                <w:iCs/>
                <w:sz w:val="24"/>
                <w:szCs w:val="24"/>
                <w:lang w:eastAsia="lv-LV"/>
              </w:rPr>
              <w:t xml:space="preserve"> vai</w:t>
            </w:r>
            <w:r w:rsidRPr="00962883" w:rsidR="009A664F">
              <w:rPr>
                <w:rFonts w:ascii="Times New Roman" w:eastAsia="Times New Roman" w:hAnsi="Times New Roman"/>
                <w:iCs/>
                <w:sz w:val="24"/>
                <w:szCs w:val="24"/>
                <w:lang w:eastAsia="lv-LV"/>
              </w:rPr>
              <w:t xml:space="preserve"> likumā </w:t>
            </w:r>
            <w:r w:rsidR="00E725DA">
              <w:rPr>
                <w:rFonts w:ascii="Times New Roman" w:eastAsia="Times New Roman" w:hAnsi="Times New Roman"/>
                <w:iCs/>
                <w:sz w:val="24"/>
                <w:szCs w:val="24"/>
                <w:lang w:eastAsia="lv-LV"/>
              </w:rPr>
              <w:t>,,</w:t>
            </w:r>
            <w:r w:rsidRPr="00962883" w:rsidR="009A664F">
              <w:rPr>
                <w:rFonts w:ascii="Times New Roman" w:eastAsia="Times New Roman" w:hAnsi="Times New Roman"/>
                <w:iCs/>
                <w:sz w:val="24"/>
                <w:szCs w:val="24"/>
                <w:lang w:eastAsia="lv-LV"/>
              </w:rPr>
              <w:t>Par piesārņojumu” definētajiem degvielas piegādātājiem</w:t>
            </w:r>
            <w:r w:rsidR="009A664F">
              <w:rPr>
                <w:rFonts w:ascii="Times New Roman" w:eastAsia="Times New Roman" w:hAnsi="Times New Roman"/>
                <w:iCs/>
                <w:sz w:val="24"/>
                <w:szCs w:val="24"/>
                <w:lang w:eastAsia="lv-LV"/>
              </w:rPr>
              <w:t xml:space="preserve">) šobrīd nav iespējams noteikt, jo šie ir jauni pienākumi, kas Latvijas </w:t>
            </w:r>
            <w:r w:rsidR="00E725DA">
              <w:rPr>
                <w:rFonts w:ascii="Times New Roman" w:eastAsia="Times New Roman" w:hAnsi="Times New Roman"/>
                <w:iCs/>
                <w:sz w:val="24"/>
                <w:szCs w:val="24"/>
                <w:lang w:eastAsia="lv-LV"/>
              </w:rPr>
              <w:t>normatīvajos</w:t>
            </w:r>
            <w:r w:rsidR="005118FF">
              <w:rPr>
                <w:rFonts w:ascii="Times New Roman" w:eastAsia="Times New Roman" w:hAnsi="Times New Roman"/>
                <w:iCs/>
                <w:sz w:val="24"/>
                <w:szCs w:val="24"/>
                <w:lang w:eastAsia="lv-LV"/>
              </w:rPr>
              <w:t xml:space="preserve"> aktos</w:t>
            </w:r>
            <w:r w:rsidR="009A664F">
              <w:rPr>
                <w:rFonts w:ascii="Times New Roman" w:eastAsia="Times New Roman" w:hAnsi="Times New Roman"/>
                <w:iCs/>
                <w:sz w:val="24"/>
                <w:szCs w:val="24"/>
                <w:lang w:eastAsia="lv-LV"/>
              </w:rPr>
              <w:t xml:space="preserve"> nav vēl noteikti, līdz ar to nav iespējams paredzēt vai izvērtēt šo pienākumu neizpildes iespējamību.</w:t>
            </w:r>
          </w:p>
          <w:p w:rsidR="00F13061" w:rsidRPr="00E1755A" w:rsidP="009B0BF3" w14:paraId="2E626CA9" w14:textId="4E3D194F">
            <w:pPr>
              <w:spacing w:before="60" w:after="60"/>
              <w:rPr>
                <w:rFonts w:ascii="Times New Roman" w:eastAsia="Times New Roman" w:hAnsi="Times New Roman"/>
                <w:iCs/>
                <w:sz w:val="24"/>
                <w:szCs w:val="24"/>
                <w:lang w:eastAsia="lv-LV"/>
              </w:rPr>
            </w:pPr>
            <w:r w:rsidRPr="00E1755A">
              <w:rPr>
                <w:rFonts w:ascii="Times New Roman" w:eastAsia="Times New Roman" w:hAnsi="Times New Roman"/>
                <w:iCs/>
                <w:sz w:val="24"/>
                <w:szCs w:val="24"/>
                <w:lang w:eastAsia="lv-LV"/>
              </w:rPr>
              <w:t xml:space="preserve">Ir paredzams, ka Civilās aviācijas aģentūrai varētu palielināties administratīvais slogs, jo </w:t>
            </w:r>
            <w:r w:rsidR="006D108D">
              <w:rPr>
                <w:rFonts w:ascii="Times New Roman" w:eastAsia="Times New Roman" w:hAnsi="Times New Roman"/>
                <w:iCs/>
                <w:sz w:val="24"/>
                <w:szCs w:val="24"/>
                <w:lang w:eastAsia="lv-LV"/>
              </w:rPr>
              <w:t xml:space="preserve">tā </w:t>
            </w:r>
            <w:r w:rsidRPr="00E1755A">
              <w:rPr>
                <w:rFonts w:ascii="Times New Roman" w:eastAsia="Times New Roman" w:hAnsi="Times New Roman"/>
                <w:iCs/>
                <w:sz w:val="24"/>
                <w:szCs w:val="24"/>
                <w:lang w:eastAsia="lv-LV"/>
              </w:rPr>
              <w:t xml:space="preserve">tiek noteikta kā kompetentā iestāde </w:t>
            </w:r>
            <w:r w:rsidRPr="00E1755A" w:rsidR="009F406B">
              <w:rPr>
                <w:rFonts w:ascii="Times New Roman" w:eastAsia="Times New Roman" w:hAnsi="Times New Roman"/>
                <w:iCs/>
                <w:sz w:val="24"/>
                <w:szCs w:val="24"/>
                <w:lang w:eastAsia="lv-LV"/>
              </w:rPr>
              <w:t xml:space="preserve">jaunas </w:t>
            </w:r>
            <w:r w:rsidRPr="00E1755A">
              <w:rPr>
                <w:rFonts w:ascii="Times New Roman" w:eastAsia="Times New Roman" w:hAnsi="Times New Roman"/>
                <w:iCs/>
                <w:sz w:val="24"/>
                <w:szCs w:val="24"/>
                <w:lang w:eastAsia="lv-LV"/>
              </w:rPr>
              <w:t xml:space="preserve">administratīvās atbildības </w:t>
            </w:r>
            <w:r w:rsidRPr="00E1755A" w:rsidR="0021703B">
              <w:rPr>
                <w:rFonts w:ascii="Times New Roman" w:eastAsia="Times New Roman" w:hAnsi="Times New Roman"/>
                <w:iCs/>
                <w:sz w:val="24"/>
                <w:szCs w:val="24"/>
                <w:lang w:eastAsia="lv-LV"/>
              </w:rPr>
              <w:t>noteikšanai.</w:t>
            </w:r>
            <w:r w:rsidR="00962883">
              <w:rPr>
                <w:rFonts w:ascii="Times New Roman" w:eastAsia="Times New Roman" w:hAnsi="Times New Roman"/>
                <w:iCs/>
                <w:sz w:val="24"/>
                <w:szCs w:val="24"/>
                <w:lang w:eastAsia="lv-LV"/>
              </w:rPr>
              <w:t xml:space="preserve"> Tomēr šo iespējamo administratīvo slogu nav iespējams šobrīd noteikt, jo līdz šim Latvijas kompetentās iestādes ir veikušas visas nepieciešamās darbības un bijušas efektīvi proaktīvas, lai novērstu iespējamību, ka iestājas administratīvā atbildība ES ETS operatoriem vai gaisa kuģu operatoriem. </w:t>
            </w:r>
          </w:p>
          <w:p w:rsidR="00BF14CB" w:rsidRPr="00E1755A" w:rsidP="009B0BF3" w14:paraId="6485917E" w14:textId="79B9750F">
            <w:pPr>
              <w:spacing w:before="60" w:after="60"/>
              <w:rPr>
                <w:rFonts w:ascii="Times New Roman" w:eastAsia="Times New Roman" w:hAnsi="Times New Roman"/>
                <w:iCs/>
                <w:sz w:val="24"/>
                <w:szCs w:val="24"/>
                <w:lang w:eastAsia="lv-LV"/>
              </w:rPr>
            </w:pPr>
            <w:r w:rsidRPr="00E1755A">
              <w:rPr>
                <w:rFonts w:ascii="Times New Roman" w:eastAsia="Times New Roman" w:hAnsi="Times New Roman"/>
                <w:iCs/>
                <w:sz w:val="24"/>
                <w:szCs w:val="24"/>
                <w:lang w:eastAsia="lv-LV"/>
              </w:rPr>
              <w:t>Līdz šim administratīvie sodi par APK 84.</w:t>
            </w:r>
            <w:r w:rsidR="005118FF">
              <w:rPr>
                <w:rFonts w:ascii="Times New Roman" w:eastAsia="Times New Roman" w:hAnsi="Times New Roman"/>
                <w:iCs/>
                <w:sz w:val="24"/>
                <w:szCs w:val="24"/>
                <w:lang w:eastAsia="lv-LV"/>
              </w:rPr>
              <w:t> </w:t>
            </w:r>
            <w:r w:rsidRPr="00E1755A">
              <w:rPr>
                <w:rFonts w:ascii="Times New Roman" w:eastAsia="Times New Roman" w:hAnsi="Times New Roman"/>
                <w:iCs/>
                <w:sz w:val="24"/>
                <w:szCs w:val="24"/>
                <w:lang w:eastAsia="lv-LV"/>
              </w:rPr>
              <w:t>pantā minētajiem administratīvajiem pārkāpumiem</w:t>
            </w:r>
            <w:r w:rsidRPr="00E1755A" w:rsidR="0021703B">
              <w:rPr>
                <w:rFonts w:ascii="Times New Roman" w:eastAsia="Times New Roman" w:hAnsi="Times New Roman"/>
                <w:iCs/>
                <w:sz w:val="24"/>
                <w:szCs w:val="24"/>
                <w:lang w:eastAsia="lv-LV"/>
              </w:rPr>
              <w:t xml:space="preserve"> saistībā ar vides informācijas slēpšanu vai sagrozīšanu</w:t>
            </w:r>
            <w:r w:rsidRPr="00E1755A">
              <w:rPr>
                <w:rFonts w:ascii="Times New Roman" w:eastAsia="Times New Roman" w:hAnsi="Times New Roman"/>
                <w:iCs/>
                <w:sz w:val="24"/>
                <w:szCs w:val="24"/>
                <w:lang w:eastAsia="lv-LV"/>
              </w:rPr>
              <w:t xml:space="preserve"> nav tikuši piemēroti, un ES ETS darbībā iesaistītās institūcijas veic visas nepieciešamās darbības, lai nodrošinātu to, ka ES ETS operatori un gaisa kuģu operatori veic savus pienākumus noteiktā apjomā un termiņā. Līdz ar to nav prognozējams admini</w:t>
            </w:r>
            <w:r w:rsidR="006C631E">
              <w:rPr>
                <w:rFonts w:ascii="Times New Roman" w:eastAsia="Times New Roman" w:hAnsi="Times New Roman"/>
                <w:iCs/>
                <w:sz w:val="24"/>
                <w:szCs w:val="24"/>
                <w:lang w:eastAsia="lv-LV"/>
              </w:rPr>
              <w:t xml:space="preserve">stratīvā sloga palielinājums ar likumprojektu noteikto pienākumu īstenošanas </w:t>
            </w:r>
            <w:r w:rsidRPr="00E1755A">
              <w:rPr>
                <w:rFonts w:ascii="Times New Roman" w:eastAsia="Times New Roman" w:hAnsi="Times New Roman"/>
                <w:iCs/>
                <w:sz w:val="24"/>
                <w:szCs w:val="24"/>
                <w:lang w:eastAsia="lv-LV"/>
              </w:rPr>
              <w:t>dēļ.</w:t>
            </w:r>
          </w:p>
          <w:p w:rsidR="009F406B" w:rsidRPr="00E1755A" w:rsidP="00E51C74" w14:paraId="71FE3ACF" w14:textId="77777777">
            <w:pPr>
              <w:spacing w:before="60" w:after="60"/>
              <w:ind w:firstLine="227"/>
              <w:rPr>
                <w:rFonts w:ascii="Times New Roman" w:hAnsi="Times New Roman"/>
                <w:sz w:val="24"/>
                <w:szCs w:val="24"/>
                <w:u w:val="single"/>
              </w:rPr>
            </w:pPr>
          </w:p>
          <w:p w:rsidR="00CB4AAB" w:rsidRPr="00E1755A" w14:paraId="24CE6215" w14:textId="77777777">
            <w:pPr>
              <w:spacing w:before="60" w:after="60"/>
              <w:rPr>
                <w:rFonts w:ascii="Times New Roman" w:hAnsi="Times New Roman"/>
                <w:sz w:val="24"/>
                <w:szCs w:val="24"/>
                <w:u w:val="single"/>
              </w:rPr>
            </w:pPr>
            <w:r w:rsidRPr="00E1755A">
              <w:rPr>
                <w:rFonts w:ascii="Times New Roman" w:hAnsi="Times New Roman"/>
                <w:sz w:val="24"/>
                <w:szCs w:val="24"/>
                <w:u w:val="single"/>
              </w:rPr>
              <w:t>Likumprojekta ietekme uz Nacionālā attīstības plāna rādītājiem, mikro vai makro līmenī</w:t>
            </w:r>
          </w:p>
          <w:p w:rsidR="00F07CD0" w:rsidRPr="00E1755A" w:rsidP="009B0BF3" w14:paraId="24CE6216" w14:textId="7F84116D">
            <w:pPr>
              <w:spacing w:before="60" w:after="60"/>
              <w:rPr>
                <w:rFonts w:ascii="Times New Roman" w:hAnsi="Times New Roman"/>
                <w:sz w:val="24"/>
                <w:szCs w:val="24"/>
                <w:lang w:eastAsia="lv-LV"/>
              </w:rPr>
            </w:pPr>
            <w:r w:rsidRPr="00E1755A">
              <w:rPr>
                <w:rFonts w:ascii="Times New Roman" w:hAnsi="Times New Roman"/>
                <w:sz w:val="24"/>
                <w:szCs w:val="24"/>
              </w:rPr>
              <w:t>Likumprojekts nodrošinās Latvijas Nacionālā attīstības plāna 2014.-2020.</w:t>
            </w:r>
            <w:r w:rsidR="005118FF">
              <w:rPr>
                <w:rFonts w:ascii="Times New Roman" w:hAnsi="Times New Roman"/>
                <w:sz w:val="24"/>
                <w:szCs w:val="24"/>
              </w:rPr>
              <w:t> </w:t>
            </w:r>
            <w:r w:rsidRPr="00E1755A">
              <w:rPr>
                <w:rFonts w:ascii="Times New Roman" w:hAnsi="Times New Roman"/>
                <w:sz w:val="24"/>
                <w:szCs w:val="24"/>
              </w:rPr>
              <w:t>gadam mērķa [120] un [199] izpildi.</w:t>
            </w:r>
          </w:p>
        </w:tc>
      </w:tr>
      <w:tr w14:paraId="24CE621B" w14:textId="77777777" w:rsidTr="003D77B9">
        <w:tblPrEx>
          <w:tblW w:w="9356" w:type="dxa"/>
          <w:jc w:val="center"/>
          <w:tblCellMar>
            <w:left w:w="57" w:type="dxa"/>
            <w:right w:w="57" w:type="dxa"/>
          </w:tblCellMar>
          <w:tblLook w:val="00A0"/>
        </w:tblPrEx>
        <w:trPr>
          <w:trHeight w:val="510"/>
          <w:jc w:val="center"/>
        </w:trPr>
        <w:tc>
          <w:tcPr>
            <w:tcW w:w="250" w:type="pct"/>
          </w:tcPr>
          <w:p w:rsidR="00CB4AAB" w:rsidRPr="00E1755A" w:rsidP="00B63F0E" w14:paraId="24CE6218" w14:textId="0C7B2F2B">
            <w:pPr>
              <w:spacing w:before="60" w:after="60"/>
              <w:jc w:val="left"/>
              <w:rPr>
                <w:rFonts w:ascii="Times New Roman" w:hAnsi="Times New Roman"/>
                <w:sz w:val="24"/>
                <w:szCs w:val="24"/>
                <w:lang w:eastAsia="lv-LV"/>
              </w:rPr>
            </w:pPr>
            <w:r w:rsidRPr="00E1755A">
              <w:rPr>
                <w:rFonts w:ascii="Times New Roman" w:hAnsi="Times New Roman"/>
                <w:sz w:val="24"/>
                <w:szCs w:val="24"/>
                <w:lang w:eastAsia="lv-LV"/>
              </w:rPr>
              <w:t xml:space="preserve">3. </w:t>
            </w:r>
          </w:p>
        </w:tc>
        <w:tc>
          <w:tcPr>
            <w:tcW w:w="854" w:type="pct"/>
          </w:tcPr>
          <w:p w:rsidR="00CB4AAB" w:rsidRPr="00E1755A" w:rsidP="00B63F0E" w14:paraId="24CE6219" w14:textId="77777777">
            <w:pPr>
              <w:spacing w:before="60" w:after="60"/>
              <w:jc w:val="left"/>
              <w:rPr>
                <w:rFonts w:ascii="Times New Roman" w:hAnsi="Times New Roman"/>
                <w:sz w:val="24"/>
                <w:szCs w:val="24"/>
                <w:lang w:eastAsia="lv-LV"/>
              </w:rPr>
            </w:pPr>
            <w:r w:rsidRPr="00E1755A">
              <w:rPr>
                <w:rFonts w:ascii="Times New Roman" w:hAnsi="Times New Roman"/>
                <w:sz w:val="24"/>
                <w:szCs w:val="24"/>
                <w:lang w:eastAsia="lv-LV"/>
              </w:rPr>
              <w:t>Administratīvo izmaksu monetārs novērtējums</w:t>
            </w:r>
          </w:p>
        </w:tc>
        <w:tc>
          <w:tcPr>
            <w:tcW w:w="3896" w:type="pct"/>
          </w:tcPr>
          <w:p w:rsidR="0074243C" w:rsidRPr="00E1755A" w:rsidP="009129F7" w14:paraId="24CE621A" w14:textId="6A98DF78">
            <w:pPr>
              <w:spacing w:before="60" w:after="60"/>
              <w:ind w:firstLine="170"/>
              <w:rPr>
                <w:rFonts w:ascii="Times New Roman" w:hAnsi="Times New Roman"/>
                <w:sz w:val="24"/>
                <w:szCs w:val="24"/>
              </w:rPr>
            </w:pPr>
            <w:r w:rsidRPr="00E1755A">
              <w:rPr>
                <w:rFonts w:ascii="Times New Roman" w:hAnsi="Times New Roman"/>
                <w:sz w:val="24"/>
                <w:szCs w:val="24"/>
              </w:rPr>
              <w:t>Šobrīd netiek paredzēta likumprojektā iekļauto nosacījumu ietekme uz administratīvajām izmaksām (naudas izteiksmē)</w:t>
            </w:r>
            <w:r w:rsidRPr="00E1755A" w:rsidR="009129F7">
              <w:rPr>
                <w:rFonts w:ascii="Times New Roman" w:hAnsi="Times New Roman"/>
                <w:sz w:val="24"/>
                <w:szCs w:val="24"/>
              </w:rPr>
              <w:t>.</w:t>
            </w:r>
          </w:p>
        </w:tc>
      </w:tr>
      <w:tr w14:paraId="24CE621F" w14:textId="77777777" w:rsidTr="003D77B9">
        <w:tblPrEx>
          <w:tblW w:w="9356" w:type="dxa"/>
          <w:jc w:val="center"/>
          <w:tblCellMar>
            <w:left w:w="57" w:type="dxa"/>
            <w:right w:w="57" w:type="dxa"/>
          </w:tblCellMar>
          <w:tblLook w:val="00A0"/>
        </w:tblPrEx>
        <w:trPr>
          <w:trHeight w:val="345"/>
          <w:jc w:val="center"/>
        </w:trPr>
        <w:tc>
          <w:tcPr>
            <w:tcW w:w="250" w:type="pct"/>
          </w:tcPr>
          <w:p w:rsidR="00CB4AAB" w:rsidRPr="00E1755A" w:rsidP="00B63F0E" w14:paraId="24CE621C" w14:textId="77777777">
            <w:pPr>
              <w:spacing w:before="60" w:after="60"/>
              <w:jc w:val="left"/>
              <w:rPr>
                <w:rFonts w:ascii="Times New Roman" w:hAnsi="Times New Roman"/>
                <w:sz w:val="24"/>
                <w:szCs w:val="24"/>
                <w:lang w:eastAsia="lv-LV"/>
              </w:rPr>
            </w:pPr>
            <w:r w:rsidRPr="00E1755A">
              <w:rPr>
                <w:rFonts w:ascii="Times New Roman" w:hAnsi="Times New Roman"/>
                <w:sz w:val="24"/>
                <w:szCs w:val="24"/>
                <w:lang w:eastAsia="lv-LV"/>
              </w:rPr>
              <w:t>4.</w:t>
            </w:r>
          </w:p>
        </w:tc>
        <w:tc>
          <w:tcPr>
            <w:tcW w:w="854" w:type="pct"/>
          </w:tcPr>
          <w:p w:rsidR="00CB4AAB" w:rsidRPr="00E1755A" w:rsidP="00B63F0E" w14:paraId="24CE621D" w14:textId="77777777">
            <w:pPr>
              <w:spacing w:before="60" w:after="60"/>
              <w:jc w:val="left"/>
              <w:rPr>
                <w:rFonts w:ascii="Times New Roman" w:hAnsi="Times New Roman"/>
                <w:sz w:val="24"/>
                <w:szCs w:val="24"/>
                <w:lang w:eastAsia="lv-LV"/>
              </w:rPr>
            </w:pPr>
            <w:r w:rsidRPr="00E1755A">
              <w:rPr>
                <w:rFonts w:ascii="Times New Roman" w:hAnsi="Times New Roman"/>
                <w:sz w:val="24"/>
                <w:szCs w:val="24"/>
                <w:lang w:eastAsia="lv-LV"/>
              </w:rPr>
              <w:t>Cita informācija</w:t>
            </w:r>
          </w:p>
        </w:tc>
        <w:tc>
          <w:tcPr>
            <w:tcW w:w="3896" w:type="pct"/>
          </w:tcPr>
          <w:p w:rsidR="00CB4AAB" w:rsidRPr="00E1755A" w:rsidP="00B63F0E" w14:paraId="24CE621E" w14:textId="77777777">
            <w:pPr>
              <w:pStyle w:val="BodyTextIndent2"/>
              <w:spacing w:before="60" w:after="60" w:line="240" w:lineRule="auto"/>
              <w:ind w:left="0" w:firstLine="113"/>
              <w:jc w:val="both"/>
            </w:pPr>
            <w:r w:rsidRPr="00E1755A">
              <w:rPr>
                <w:rFonts w:eastAsia="Calibri"/>
                <w:lang w:eastAsia="en-US"/>
              </w:rPr>
              <w:t>Nav</w:t>
            </w:r>
          </w:p>
        </w:tc>
      </w:tr>
    </w:tbl>
    <w:p w:rsidR="006876EF" w:rsidRPr="006876EF" w:rsidP="006876EF" w14:paraId="744A1FEE" w14:textId="73651C04">
      <w:pPr>
        <w:shd w:val="clear" w:color="auto" w:fill="FFFFFF"/>
        <w:spacing w:after="0"/>
        <w:ind w:firstLine="301"/>
        <w:jc w:val="left"/>
        <w:rPr>
          <w:rFonts w:ascii="Times New Roman" w:eastAsia="Times New Roman" w:hAnsi="Times New Roman"/>
          <w:color w:val="414142"/>
          <w:sz w:val="24"/>
          <w:szCs w:val="24"/>
          <w:lang w:eastAsia="lv-LV"/>
        </w:rPr>
      </w:pPr>
    </w:p>
    <w:tbl>
      <w:tblPr>
        <w:tblW w:w="9356"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3134"/>
        <w:gridCol w:w="1172"/>
        <w:gridCol w:w="1544"/>
        <w:gridCol w:w="1167"/>
        <w:gridCol w:w="1172"/>
        <w:gridCol w:w="1167"/>
      </w:tblGrid>
      <w:tr w14:paraId="5D81605D" w14:textId="77777777" w:rsidTr="003D77B9">
        <w:tblPrEx>
          <w:tblW w:w="9356"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5AB7F00F" w14:textId="77777777">
            <w:pPr>
              <w:spacing w:after="0"/>
              <w:jc w:val="center"/>
              <w:rPr>
                <w:rFonts w:ascii="Times New Roman" w:eastAsia="Times New Roman" w:hAnsi="Times New Roman"/>
                <w:b/>
                <w:bCs/>
                <w:sz w:val="24"/>
                <w:szCs w:val="24"/>
                <w:lang w:eastAsia="lv-LV"/>
              </w:rPr>
            </w:pPr>
            <w:r w:rsidRPr="006876EF">
              <w:rPr>
                <w:rFonts w:ascii="Times New Roman" w:eastAsia="Times New Roman" w:hAnsi="Times New Roman"/>
                <w:b/>
                <w:bCs/>
                <w:sz w:val="24"/>
                <w:szCs w:val="24"/>
                <w:lang w:eastAsia="lv-LV"/>
              </w:rPr>
              <w:t>III. Tiesību akta projekta ietekme uz valsts budžetu un pašvaldību budžetiem</w:t>
            </w:r>
          </w:p>
        </w:tc>
      </w:tr>
      <w:tr w14:paraId="332107C4" w14:textId="77777777" w:rsidTr="003D77B9">
        <w:tblPrEx>
          <w:tblW w:w="9356" w:type="dxa"/>
          <w:jc w:val="center"/>
          <w:tblCellMar>
            <w:top w:w="30" w:type="dxa"/>
            <w:left w:w="30" w:type="dxa"/>
            <w:bottom w:w="30" w:type="dxa"/>
            <w:right w:w="30" w:type="dxa"/>
          </w:tblCellMar>
          <w:tblLook w:val="04A0"/>
        </w:tblPrEx>
        <w:trPr>
          <w:jc w:val="center"/>
        </w:trPr>
        <w:tc>
          <w:tcPr>
            <w:tcW w:w="1677" w:type="pct"/>
            <w:vMerge w:val="restar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475AC5B9" w14:textId="77777777">
            <w:pPr>
              <w:spacing w:after="0"/>
              <w:jc w:val="center"/>
              <w:rPr>
                <w:rFonts w:ascii="Times New Roman" w:eastAsia="Times New Roman" w:hAnsi="Times New Roman"/>
                <w:b/>
                <w:bCs/>
                <w:sz w:val="24"/>
                <w:szCs w:val="24"/>
                <w:lang w:eastAsia="lv-LV"/>
              </w:rPr>
            </w:pPr>
            <w:r w:rsidRPr="006876EF">
              <w:rPr>
                <w:rFonts w:ascii="Times New Roman" w:eastAsia="Times New Roman" w:hAnsi="Times New Roman"/>
                <w:b/>
                <w:bCs/>
                <w:sz w:val="24"/>
                <w:szCs w:val="24"/>
                <w:lang w:eastAsia="lv-LV"/>
              </w:rPr>
              <w:t>Rādītāji</w:t>
            </w:r>
          </w:p>
        </w:tc>
        <w:tc>
          <w:tcPr>
            <w:tcW w:w="1455"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6876EF" w:rsidRPr="006876EF" w:rsidP="00382099" w14:paraId="0060204E" w14:textId="089D814E">
            <w:pPr>
              <w:spacing w:after="0"/>
              <w:jc w:val="center"/>
              <w:rPr>
                <w:rFonts w:ascii="Times New Roman" w:eastAsia="Times New Roman" w:hAnsi="Times New Roman"/>
                <w:b/>
                <w:bCs/>
                <w:sz w:val="24"/>
                <w:szCs w:val="24"/>
                <w:lang w:eastAsia="lv-LV"/>
              </w:rPr>
            </w:pPr>
            <w:r>
              <w:rPr>
                <w:rFonts w:ascii="Times New Roman" w:hAnsi="Times New Roman"/>
                <w:b/>
                <w:sz w:val="24"/>
                <w:szCs w:val="24"/>
              </w:rPr>
              <w:t>201</w:t>
            </w:r>
            <w:r w:rsidR="00382099">
              <w:rPr>
                <w:rFonts w:ascii="Times New Roman" w:hAnsi="Times New Roman"/>
                <w:b/>
                <w:sz w:val="24"/>
                <w:szCs w:val="24"/>
              </w:rPr>
              <w:t>7</w:t>
            </w:r>
            <w:r>
              <w:rPr>
                <w:rFonts w:ascii="Times New Roman" w:hAnsi="Times New Roman"/>
                <w:b/>
                <w:sz w:val="24"/>
                <w:szCs w:val="24"/>
              </w:rPr>
              <w:t>.</w:t>
            </w:r>
            <w:r w:rsidR="005118FF">
              <w:rPr>
                <w:rFonts w:ascii="Times New Roman" w:hAnsi="Times New Roman"/>
                <w:b/>
                <w:sz w:val="24"/>
                <w:szCs w:val="24"/>
              </w:rPr>
              <w:t> </w:t>
            </w:r>
            <w:r w:rsidRPr="006876EF">
              <w:rPr>
                <w:rFonts w:ascii="Times New Roman" w:hAnsi="Times New Roman"/>
                <w:b/>
                <w:sz w:val="24"/>
                <w:szCs w:val="24"/>
              </w:rPr>
              <w:t>gads</w:t>
            </w:r>
          </w:p>
        </w:tc>
        <w:tc>
          <w:tcPr>
            <w:tcW w:w="1868" w:type="pct"/>
            <w:gridSpan w:val="3"/>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02C3F880" w14:textId="788BBC38">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Turpmākie trīs gadi (</w:t>
            </w:r>
            <w:r w:rsidRPr="006876EF">
              <w:rPr>
                <w:rFonts w:ascii="Times New Roman" w:hAnsi="Times New Roman"/>
                <w:i/>
                <w:sz w:val="24"/>
                <w:szCs w:val="24"/>
              </w:rPr>
              <w:t>euro</w:t>
            </w:r>
            <w:r w:rsidRPr="006876EF">
              <w:rPr>
                <w:rFonts w:ascii="Times New Roman" w:hAnsi="Times New Roman"/>
                <w:sz w:val="24"/>
                <w:szCs w:val="24"/>
              </w:rPr>
              <w:t>)</w:t>
            </w:r>
          </w:p>
        </w:tc>
      </w:tr>
      <w:tr w14:paraId="4BAD1D56" w14:textId="77777777" w:rsidTr="003D77B9">
        <w:tblPrEx>
          <w:tblW w:w="9356" w:type="dxa"/>
          <w:jc w:val="center"/>
          <w:tblCellMar>
            <w:top w:w="30" w:type="dxa"/>
            <w:left w:w="30" w:type="dxa"/>
            <w:bottom w:w="30" w:type="dxa"/>
            <w:right w:w="30" w:type="dxa"/>
          </w:tblCellMar>
          <w:tblLook w:val="04A0"/>
        </w:tblPrEx>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1533B413" w14:textId="77777777">
            <w:pPr>
              <w:spacing w:after="0"/>
              <w:jc w:val="left"/>
              <w:rPr>
                <w:rFonts w:ascii="Times New Roman" w:eastAsia="Times New Roman" w:hAnsi="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7B8FF43C" w14:textId="77777777">
            <w:pPr>
              <w:spacing w:after="0"/>
              <w:jc w:val="left"/>
              <w:rPr>
                <w:rFonts w:ascii="Times New Roman" w:eastAsia="Times New Roman" w:hAnsi="Times New Roman"/>
                <w:b/>
                <w:bCs/>
                <w:sz w:val="24"/>
                <w:szCs w:val="24"/>
                <w:lang w:eastAsia="lv-LV"/>
              </w:rPr>
            </w:pP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382099" w14:paraId="5C999440" w14:textId="1D7646CF">
            <w:pPr>
              <w:spacing w:after="0"/>
              <w:jc w:val="center"/>
              <w:rPr>
                <w:rFonts w:ascii="Times New Roman" w:eastAsia="Times New Roman" w:hAnsi="Times New Roman"/>
                <w:b/>
                <w:bCs/>
                <w:sz w:val="24"/>
                <w:szCs w:val="24"/>
                <w:lang w:eastAsia="lv-LV"/>
              </w:rPr>
            </w:pPr>
            <w:r>
              <w:rPr>
                <w:rFonts w:ascii="Times New Roman" w:hAnsi="Times New Roman"/>
                <w:b/>
                <w:bCs/>
                <w:sz w:val="24"/>
                <w:szCs w:val="24"/>
              </w:rPr>
              <w:t>201</w:t>
            </w:r>
            <w:r w:rsidR="00382099">
              <w:rPr>
                <w:rFonts w:ascii="Times New Roman" w:hAnsi="Times New Roman"/>
                <w:b/>
                <w:bCs/>
                <w:sz w:val="24"/>
                <w:szCs w:val="24"/>
              </w:rPr>
              <w:t>8</w:t>
            </w:r>
            <w:r>
              <w:rPr>
                <w:rFonts w:ascii="Times New Roman" w:hAnsi="Times New Roman"/>
                <w:b/>
                <w:bCs/>
                <w:sz w:val="24"/>
                <w:szCs w:val="24"/>
              </w:rPr>
              <w:t>.</w:t>
            </w:r>
            <w:r w:rsidR="005118FF">
              <w:rPr>
                <w:rFonts w:ascii="Times New Roman" w:hAnsi="Times New Roman"/>
                <w:b/>
                <w:bCs/>
                <w:sz w:val="24"/>
                <w:szCs w:val="24"/>
              </w:rPr>
              <w:t> </w:t>
            </w:r>
            <w:r w:rsidRPr="006876EF">
              <w:rPr>
                <w:rFonts w:ascii="Times New Roman" w:hAnsi="Times New Roman"/>
                <w:b/>
                <w:bCs/>
                <w:sz w:val="24"/>
                <w:szCs w:val="24"/>
              </w:rPr>
              <w:t>gads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382099" w14:paraId="0AD93372" w14:textId="5D8732E3">
            <w:pPr>
              <w:spacing w:after="0"/>
              <w:jc w:val="center"/>
              <w:rPr>
                <w:rFonts w:ascii="Times New Roman" w:eastAsia="Times New Roman" w:hAnsi="Times New Roman"/>
                <w:b/>
                <w:bCs/>
                <w:sz w:val="24"/>
                <w:szCs w:val="24"/>
                <w:lang w:eastAsia="lv-LV"/>
              </w:rPr>
            </w:pPr>
            <w:r w:rsidRPr="006876EF">
              <w:rPr>
                <w:rFonts w:ascii="Times New Roman" w:hAnsi="Times New Roman"/>
                <w:b/>
                <w:bCs/>
                <w:sz w:val="24"/>
                <w:szCs w:val="24"/>
              </w:rPr>
              <w:t>201</w:t>
            </w:r>
            <w:r w:rsidR="00382099">
              <w:rPr>
                <w:rFonts w:ascii="Times New Roman" w:hAnsi="Times New Roman"/>
                <w:b/>
                <w:bCs/>
                <w:sz w:val="24"/>
                <w:szCs w:val="24"/>
              </w:rPr>
              <w:t>9</w:t>
            </w:r>
            <w:r w:rsidRPr="006876EF">
              <w:rPr>
                <w:rFonts w:ascii="Times New Roman" w:hAnsi="Times New Roman"/>
                <w:b/>
                <w:bCs/>
                <w:sz w:val="24"/>
                <w:szCs w:val="24"/>
              </w:rPr>
              <w:t>.</w:t>
            </w:r>
            <w:r w:rsidR="005118FF">
              <w:rPr>
                <w:rFonts w:ascii="Times New Roman" w:hAnsi="Times New Roman"/>
                <w:b/>
                <w:bCs/>
                <w:sz w:val="24"/>
                <w:szCs w:val="24"/>
              </w:rPr>
              <w:t> </w:t>
            </w:r>
            <w:r w:rsidRPr="006876EF">
              <w:rPr>
                <w:rFonts w:ascii="Times New Roman" w:hAnsi="Times New Roman"/>
                <w:b/>
                <w:bCs/>
                <w:sz w:val="24"/>
                <w:szCs w:val="24"/>
              </w:rPr>
              <w:t>gads</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382099" w14:paraId="499747DF" w14:textId="26B81771">
            <w:pPr>
              <w:spacing w:after="0"/>
              <w:jc w:val="center"/>
              <w:rPr>
                <w:rFonts w:ascii="Times New Roman" w:eastAsia="Times New Roman" w:hAnsi="Times New Roman"/>
                <w:b/>
                <w:bCs/>
                <w:sz w:val="24"/>
                <w:szCs w:val="24"/>
                <w:lang w:eastAsia="lv-LV"/>
              </w:rPr>
            </w:pPr>
            <w:r w:rsidRPr="006876EF">
              <w:rPr>
                <w:rFonts w:ascii="Times New Roman" w:hAnsi="Times New Roman"/>
                <w:b/>
                <w:bCs/>
                <w:sz w:val="24"/>
                <w:szCs w:val="24"/>
              </w:rPr>
              <w:t>20</w:t>
            </w:r>
            <w:r w:rsidR="00382099">
              <w:rPr>
                <w:rFonts w:ascii="Times New Roman" w:hAnsi="Times New Roman"/>
                <w:b/>
                <w:bCs/>
                <w:sz w:val="24"/>
                <w:szCs w:val="24"/>
              </w:rPr>
              <w:t>20</w:t>
            </w:r>
            <w:r w:rsidRPr="006876EF">
              <w:rPr>
                <w:rFonts w:ascii="Times New Roman" w:hAnsi="Times New Roman"/>
                <w:b/>
                <w:bCs/>
                <w:sz w:val="24"/>
                <w:szCs w:val="24"/>
              </w:rPr>
              <w:t>.</w:t>
            </w:r>
            <w:r w:rsidR="005118FF">
              <w:rPr>
                <w:rFonts w:ascii="Times New Roman" w:hAnsi="Times New Roman"/>
                <w:b/>
                <w:bCs/>
                <w:sz w:val="24"/>
                <w:szCs w:val="24"/>
              </w:rPr>
              <w:t> </w:t>
            </w:r>
            <w:r w:rsidRPr="006876EF">
              <w:rPr>
                <w:rFonts w:ascii="Times New Roman" w:hAnsi="Times New Roman"/>
                <w:b/>
                <w:bCs/>
                <w:sz w:val="24"/>
                <w:szCs w:val="24"/>
              </w:rPr>
              <w:t>gads</w:t>
            </w:r>
          </w:p>
        </w:tc>
      </w:tr>
      <w:tr w14:paraId="150C5673" w14:textId="77777777" w:rsidTr="003D77B9">
        <w:tblPrEx>
          <w:tblW w:w="9356" w:type="dxa"/>
          <w:jc w:val="center"/>
          <w:tblCellMar>
            <w:top w:w="30" w:type="dxa"/>
            <w:left w:w="30" w:type="dxa"/>
            <w:bottom w:w="30" w:type="dxa"/>
            <w:right w:w="30" w:type="dxa"/>
          </w:tblCellMar>
          <w:tblLook w:val="04A0"/>
        </w:tblPrEx>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87660" w:rsidRPr="006876EF" w:rsidP="00787660" w14:paraId="4B4B5897" w14:textId="77777777">
            <w:pPr>
              <w:spacing w:after="0"/>
              <w:jc w:val="left"/>
              <w:rPr>
                <w:rFonts w:ascii="Times New Roman" w:eastAsia="Times New Roman" w:hAnsi="Times New Roman"/>
                <w:b/>
                <w:bCs/>
                <w:sz w:val="24"/>
                <w:szCs w:val="24"/>
                <w:lang w:eastAsia="lv-LV"/>
              </w:rPr>
            </w:pP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87660" w:rsidRPr="00787660" w:rsidP="00787660" w14:paraId="2492655C" w14:textId="55D65C56">
            <w:pPr>
              <w:spacing w:after="0"/>
              <w:jc w:val="center"/>
              <w:rPr>
                <w:rFonts w:ascii="Times New Roman" w:eastAsia="Times New Roman" w:hAnsi="Times New Roman"/>
                <w:sz w:val="24"/>
                <w:szCs w:val="24"/>
                <w:lang w:eastAsia="lv-LV"/>
              </w:rPr>
            </w:pPr>
            <w:r w:rsidRPr="00787660">
              <w:rPr>
                <w:rFonts w:ascii="Times New Roman" w:hAnsi="Times New Roman"/>
                <w:sz w:val="20"/>
                <w:szCs w:val="20"/>
                <w:lang w:eastAsia="lv-LV"/>
              </w:rPr>
              <w:t>saskaņā ar valsts budžetu kārtējam gadam</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787660" w:rsidRPr="00787660" w:rsidP="00787660" w14:paraId="1F473F5C" w14:textId="1138F63A">
            <w:pPr>
              <w:spacing w:after="0"/>
              <w:jc w:val="center"/>
              <w:rPr>
                <w:rFonts w:ascii="Times New Roman" w:eastAsia="Times New Roman" w:hAnsi="Times New Roman"/>
                <w:sz w:val="24"/>
                <w:szCs w:val="24"/>
                <w:lang w:eastAsia="lv-LV"/>
              </w:rPr>
            </w:pPr>
            <w:r w:rsidRPr="00787660">
              <w:rPr>
                <w:rFonts w:ascii="Times New Roman" w:hAnsi="Times New Roman"/>
                <w:sz w:val="20"/>
                <w:szCs w:val="20"/>
                <w:lang w:eastAsia="lv-LV"/>
              </w:rPr>
              <w:t>izmaiņas kārtējā gadā, salīdzinot ar valsts budžetu kārtējam gadam</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787660" w:rsidRPr="00787660" w:rsidP="00382099" w14:paraId="0B566419" w14:textId="7F680FE1">
            <w:pPr>
              <w:spacing w:after="0"/>
              <w:jc w:val="center"/>
              <w:rPr>
                <w:rFonts w:ascii="Times New Roman" w:eastAsia="Times New Roman" w:hAnsi="Times New Roman"/>
                <w:sz w:val="24"/>
                <w:szCs w:val="24"/>
                <w:lang w:eastAsia="lv-LV"/>
              </w:rPr>
            </w:pPr>
            <w:r w:rsidRPr="00787660">
              <w:rPr>
                <w:rFonts w:ascii="Times New Roman" w:hAnsi="Times New Roman"/>
                <w:sz w:val="20"/>
                <w:szCs w:val="20"/>
                <w:lang w:eastAsia="lv-LV"/>
              </w:rPr>
              <w:t xml:space="preserve">izmaiņas, salīdzinot ar kārtējo </w:t>
            </w:r>
            <w:r w:rsidRPr="00787660">
              <w:rPr>
                <w:rFonts w:ascii="Times New Roman" w:hAnsi="Times New Roman"/>
                <w:b/>
                <w:bCs/>
                <w:sz w:val="20"/>
                <w:szCs w:val="20"/>
                <w:lang w:eastAsia="lv-LV"/>
              </w:rPr>
              <w:t>201</w:t>
            </w:r>
            <w:r w:rsidR="00382099">
              <w:rPr>
                <w:rFonts w:ascii="Times New Roman" w:hAnsi="Times New Roman"/>
                <w:b/>
                <w:bCs/>
                <w:sz w:val="20"/>
                <w:szCs w:val="20"/>
                <w:lang w:eastAsia="lv-LV"/>
              </w:rPr>
              <w:t>7</w:t>
            </w:r>
            <w:r w:rsidRPr="00787660">
              <w:rPr>
                <w:rFonts w:ascii="Times New Roman" w:hAnsi="Times New Roman"/>
                <w:b/>
                <w:bCs/>
                <w:sz w:val="20"/>
                <w:szCs w:val="20"/>
                <w:lang w:eastAsia="lv-LV"/>
              </w:rPr>
              <w:t>.</w:t>
            </w:r>
            <w:r w:rsidR="005118FF">
              <w:rPr>
                <w:rFonts w:ascii="Times New Roman" w:hAnsi="Times New Roman"/>
                <w:b/>
                <w:bCs/>
                <w:sz w:val="20"/>
                <w:szCs w:val="20"/>
                <w:lang w:eastAsia="lv-LV"/>
              </w:rPr>
              <w:t> </w:t>
            </w:r>
            <w:r w:rsidRPr="00787660">
              <w:rPr>
                <w:rFonts w:ascii="Times New Roman" w:hAnsi="Times New Roman"/>
                <w:sz w:val="20"/>
                <w:szCs w:val="20"/>
                <w:lang w:eastAsia="lv-LV"/>
              </w:rPr>
              <w:t>gadu</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87660" w:rsidRPr="00787660" w:rsidP="00382099" w14:paraId="0C4AC4FD" w14:textId="56363607">
            <w:pPr>
              <w:spacing w:after="0"/>
              <w:jc w:val="center"/>
              <w:rPr>
                <w:rFonts w:ascii="Times New Roman" w:eastAsia="Times New Roman" w:hAnsi="Times New Roman"/>
                <w:sz w:val="24"/>
                <w:szCs w:val="24"/>
                <w:lang w:eastAsia="lv-LV"/>
              </w:rPr>
            </w:pPr>
            <w:r w:rsidRPr="00787660">
              <w:rPr>
                <w:rFonts w:ascii="Times New Roman" w:hAnsi="Times New Roman"/>
                <w:sz w:val="20"/>
                <w:szCs w:val="20"/>
                <w:lang w:eastAsia="lv-LV"/>
              </w:rPr>
              <w:t xml:space="preserve">izmaiņas, salīdzinot ar </w:t>
            </w:r>
            <w:r>
              <w:rPr>
                <w:rFonts w:ascii="Times New Roman" w:hAnsi="Times New Roman"/>
                <w:b/>
                <w:bCs/>
                <w:sz w:val="20"/>
                <w:szCs w:val="20"/>
                <w:lang w:eastAsia="lv-LV"/>
              </w:rPr>
              <w:t>201</w:t>
            </w:r>
            <w:r w:rsidR="00382099">
              <w:rPr>
                <w:rFonts w:ascii="Times New Roman" w:hAnsi="Times New Roman"/>
                <w:b/>
                <w:bCs/>
                <w:sz w:val="20"/>
                <w:szCs w:val="20"/>
                <w:lang w:eastAsia="lv-LV"/>
              </w:rPr>
              <w:t>7</w:t>
            </w:r>
            <w:r>
              <w:rPr>
                <w:rFonts w:ascii="Times New Roman" w:hAnsi="Times New Roman"/>
                <w:b/>
                <w:bCs/>
                <w:sz w:val="20"/>
                <w:szCs w:val="20"/>
                <w:lang w:eastAsia="lv-LV"/>
              </w:rPr>
              <w:t>.</w:t>
            </w:r>
            <w:r w:rsidR="005118FF">
              <w:rPr>
                <w:rFonts w:ascii="Times New Roman" w:hAnsi="Times New Roman"/>
                <w:b/>
                <w:bCs/>
                <w:sz w:val="20"/>
                <w:szCs w:val="20"/>
                <w:lang w:eastAsia="lv-LV"/>
              </w:rPr>
              <w:t> </w:t>
            </w:r>
            <w:r w:rsidRPr="00787660">
              <w:rPr>
                <w:rFonts w:ascii="Times New Roman" w:hAnsi="Times New Roman"/>
                <w:sz w:val="20"/>
                <w:szCs w:val="20"/>
                <w:lang w:eastAsia="lv-LV"/>
              </w:rPr>
              <w:t>gadu</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787660" w:rsidRPr="00787660" w:rsidP="00382099" w14:paraId="2B73D057" w14:textId="78C39E27">
            <w:pPr>
              <w:spacing w:after="0"/>
              <w:jc w:val="center"/>
              <w:rPr>
                <w:rFonts w:ascii="Times New Roman" w:eastAsia="Times New Roman" w:hAnsi="Times New Roman"/>
                <w:sz w:val="24"/>
                <w:szCs w:val="24"/>
                <w:lang w:eastAsia="lv-LV"/>
              </w:rPr>
            </w:pPr>
            <w:r w:rsidRPr="00787660">
              <w:rPr>
                <w:rFonts w:ascii="Times New Roman" w:hAnsi="Times New Roman"/>
                <w:sz w:val="20"/>
                <w:szCs w:val="20"/>
                <w:lang w:eastAsia="lv-LV"/>
              </w:rPr>
              <w:t xml:space="preserve">izmaiņas, salīdzinot ar kārtējo </w:t>
            </w:r>
            <w:r w:rsidRPr="00787660">
              <w:rPr>
                <w:rFonts w:ascii="Times New Roman" w:hAnsi="Times New Roman"/>
                <w:b/>
                <w:bCs/>
                <w:sz w:val="20"/>
                <w:szCs w:val="20"/>
                <w:lang w:eastAsia="lv-LV"/>
              </w:rPr>
              <w:t>201</w:t>
            </w:r>
            <w:r w:rsidR="00382099">
              <w:rPr>
                <w:rFonts w:ascii="Times New Roman" w:hAnsi="Times New Roman"/>
                <w:b/>
                <w:bCs/>
                <w:sz w:val="20"/>
                <w:szCs w:val="20"/>
                <w:lang w:eastAsia="lv-LV"/>
              </w:rPr>
              <w:t>7</w:t>
            </w:r>
            <w:r w:rsidRPr="00787660">
              <w:rPr>
                <w:rFonts w:ascii="Times New Roman" w:hAnsi="Times New Roman"/>
                <w:b/>
                <w:bCs/>
                <w:sz w:val="20"/>
                <w:szCs w:val="20"/>
                <w:lang w:eastAsia="lv-LV"/>
              </w:rPr>
              <w:t>.</w:t>
            </w:r>
            <w:r w:rsidR="005118FF">
              <w:rPr>
                <w:rFonts w:ascii="Times New Roman" w:hAnsi="Times New Roman"/>
                <w:b/>
                <w:bCs/>
                <w:sz w:val="20"/>
                <w:szCs w:val="20"/>
                <w:lang w:eastAsia="lv-LV"/>
              </w:rPr>
              <w:t> </w:t>
            </w:r>
            <w:r w:rsidRPr="00787660">
              <w:rPr>
                <w:rFonts w:ascii="Times New Roman" w:hAnsi="Times New Roman"/>
                <w:sz w:val="20"/>
                <w:szCs w:val="20"/>
                <w:lang w:eastAsia="lv-LV"/>
              </w:rPr>
              <w:t>gadu</w:t>
            </w:r>
          </w:p>
        </w:tc>
      </w:tr>
      <w:tr w14:paraId="6DE36AAA" w14:textId="77777777" w:rsidTr="003D77B9">
        <w:tblPrEx>
          <w:tblW w:w="9356" w:type="dxa"/>
          <w:jc w:val="center"/>
          <w:tblCellMar>
            <w:top w:w="30" w:type="dxa"/>
            <w:left w:w="30" w:type="dxa"/>
            <w:bottom w:w="30" w:type="dxa"/>
            <w:right w:w="30" w:type="dxa"/>
          </w:tblCellMar>
          <w:tblLook w:val="04A0"/>
        </w:tblPrEx>
        <w:trPr>
          <w:jc w:val="center"/>
        </w:trPr>
        <w:tc>
          <w:tcPr>
            <w:tcW w:w="1677" w:type="pct"/>
            <w:tcBorders>
              <w:top w:val="outset" w:sz="6" w:space="0" w:color="414142"/>
              <w:left w:val="outset" w:sz="6" w:space="0" w:color="414142"/>
              <w:bottom w:val="outset" w:sz="6" w:space="0" w:color="414142"/>
              <w:right w:val="outset" w:sz="6" w:space="0" w:color="414142"/>
            </w:tcBorders>
            <w:vAlign w:val="center"/>
            <w:hideMark/>
          </w:tcPr>
          <w:p w:rsidR="006876EF" w:rsidRPr="00787660" w:rsidP="00787660" w14:paraId="155D4023" w14:textId="77777777">
            <w:pPr>
              <w:spacing w:after="0"/>
              <w:jc w:val="center"/>
              <w:rPr>
                <w:rFonts w:ascii="Times New Roman" w:eastAsia="Times New Roman" w:hAnsi="Times New Roman"/>
                <w:sz w:val="20"/>
                <w:szCs w:val="20"/>
                <w:lang w:eastAsia="lv-LV"/>
              </w:rPr>
            </w:pPr>
            <w:r w:rsidRPr="00787660">
              <w:rPr>
                <w:rFonts w:ascii="Times New Roman" w:eastAsia="Times New Roman" w:hAnsi="Times New Roman"/>
                <w:sz w:val="20"/>
                <w:szCs w:val="20"/>
                <w:lang w:eastAsia="lv-LV"/>
              </w:rPr>
              <w:t>1</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6876EF" w:rsidRPr="00787660" w:rsidP="00787660" w14:paraId="357247B2" w14:textId="77777777">
            <w:pPr>
              <w:spacing w:after="0"/>
              <w:jc w:val="center"/>
              <w:rPr>
                <w:rFonts w:ascii="Times New Roman" w:eastAsia="Times New Roman" w:hAnsi="Times New Roman"/>
                <w:sz w:val="20"/>
                <w:szCs w:val="20"/>
                <w:lang w:eastAsia="lv-LV"/>
              </w:rPr>
            </w:pPr>
            <w:r w:rsidRPr="00787660">
              <w:rPr>
                <w:rFonts w:ascii="Times New Roman" w:eastAsia="Times New Roman" w:hAnsi="Times New Roman"/>
                <w:sz w:val="20"/>
                <w:szCs w:val="20"/>
                <w:lang w:eastAsia="lv-LV"/>
              </w:rPr>
              <w:t>2</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6876EF" w:rsidRPr="00787660" w:rsidP="00787660" w14:paraId="7C354E5A" w14:textId="77777777">
            <w:pPr>
              <w:spacing w:after="0"/>
              <w:jc w:val="center"/>
              <w:rPr>
                <w:rFonts w:ascii="Times New Roman" w:eastAsia="Times New Roman" w:hAnsi="Times New Roman"/>
                <w:sz w:val="20"/>
                <w:szCs w:val="20"/>
                <w:lang w:eastAsia="lv-LV"/>
              </w:rPr>
            </w:pPr>
            <w:r w:rsidRPr="00787660">
              <w:rPr>
                <w:rFonts w:ascii="Times New Roman" w:eastAsia="Times New Roman" w:hAnsi="Times New Roman"/>
                <w:sz w:val="20"/>
                <w:szCs w:val="20"/>
                <w:lang w:eastAsia="lv-LV"/>
              </w:rPr>
              <w:t>3</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787660" w:rsidP="00787660" w14:paraId="240BD8F8" w14:textId="77777777">
            <w:pPr>
              <w:spacing w:after="0"/>
              <w:jc w:val="center"/>
              <w:rPr>
                <w:rFonts w:ascii="Times New Roman" w:eastAsia="Times New Roman" w:hAnsi="Times New Roman"/>
                <w:sz w:val="20"/>
                <w:szCs w:val="20"/>
                <w:lang w:eastAsia="lv-LV"/>
              </w:rPr>
            </w:pPr>
            <w:r w:rsidRPr="00787660">
              <w:rPr>
                <w:rFonts w:ascii="Times New Roman" w:eastAsia="Times New Roman" w:hAnsi="Times New Roman"/>
                <w:sz w:val="20"/>
                <w:szCs w:val="20"/>
                <w:lang w:eastAsia="lv-LV"/>
              </w:rPr>
              <w:t>4</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6876EF" w:rsidRPr="00787660" w:rsidP="00787660" w14:paraId="758F68C0" w14:textId="77777777">
            <w:pPr>
              <w:spacing w:after="0"/>
              <w:jc w:val="center"/>
              <w:rPr>
                <w:rFonts w:ascii="Times New Roman" w:eastAsia="Times New Roman" w:hAnsi="Times New Roman"/>
                <w:sz w:val="20"/>
                <w:szCs w:val="20"/>
                <w:lang w:eastAsia="lv-LV"/>
              </w:rPr>
            </w:pPr>
            <w:r w:rsidRPr="00787660">
              <w:rPr>
                <w:rFonts w:ascii="Times New Roman" w:eastAsia="Times New Roman" w:hAnsi="Times New Roman"/>
                <w:sz w:val="20"/>
                <w:szCs w:val="20"/>
                <w:lang w:eastAsia="lv-LV"/>
              </w:rPr>
              <w:t>5</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787660" w:rsidP="00787660" w14:paraId="19B2729B" w14:textId="77777777">
            <w:pPr>
              <w:spacing w:after="0"/>
              <w:jc w:val="center"/>
              <w:rPr>
                <w:rFonts w:ascii="Times New Roman" w:eastAsia="Times New Roman" w:hAnsi="Times New Roman"/>
                <w:sz w:val="20"/>
                <w:szCs w:val="20"/>
                <w:lang w:eastAsia="lv-LV"/>
              </w:rPr>
            </w:pPr>
            <w:r w:rsidRPr="00787660">
              <w:rPr>
                <w:rFonts w:ascii="Times New Roman" w:eastAsia="Times New Roman" w:hAnsi="Times New Roman"/>
                <w:sz w:val="20"/>
                <w:szCs w:val="20"/>
                <w:lang w:eastAsia="lv-LV"/>
              </w:rPr>
              <w:t>6</w:t>
            </w:r>
          </w:p>
        </w:tc>
      </w:tr>
      <w:tr w14:paraId="1600C6BD" w14:textId="77777777" w:rsidTr="003D77B9">
        <w:tblPrEx>
          <w:tblW w:w="9356" w:type="dxa"/>
          <w:jc w:val="center"/>
          <w:tblCellMar>
            <w:top w:w="30" w:type="dxa"/>
            <w:left w:w="30" w:type="dxa"/>
            <w:bottom w:w="30" w:type="dxa"/>
            <w:right w:w="30" w:type="dxa"/>
          </w:tblCellMar>
          <w:tblLook w:val="04A0"/>
        </w:tblPrEx>
        <w:trPr>
          <w:jc w:val="center"/>
        </w:trPr>
        <w:tc>
          <w:tcPr>
            <w:tcW w:w="1677" w:type="pct"/>
            <w:tcBorders>
              <w:top w:val="outset" w:sz="6" w:space="0" w:color="414142"/>
              <w:left w:val="outset" w:sz="6" w:space="0" w:color="414142"/>
              <w:bottom w:val="outset" w:sz="6" w:space="0" w:color="414142"/>
              <w:right w:val="outset" w:sz="6" w:space="0" w:color="414142"/>
            </w:tcBorders>
            <w:hideMark/>
          </w:tcPr>
          <w:p w:rsidR="006876EF" w:rsidRPr="006876EF" w:rsidP="00787660" w14:paraId="487FEB1A" w14:textId="77777777">
            <w:pPr>
              <w:spacing w:after="0"/>
              <w:jc w:val="left"/>
              <w:rPr>
                <w:rFonts w:ascii="Times New Roman" w:eastAsia="Times New Roman" w:hAnsi="Times New Roman"/>
                <w:sz w:val="24"/>
                <w:szCs w:val="24"/>
                <w:lang w:eastAsia="lv-LV"/>
              </w:rPr>
            </w:pPr>
            <w:r w:rsidRPr="006876EF">
              <w:rPr>
                <w:rFonts w:ascii="Times New Roman" w:eastAsia="Times New Roman" w:hAnsi="Times New Roman"/>
                <w:sz w:val="24"/>
                <w:szCs w:val="24"/>
                <w:lang w:eastAsia="lv-LV"/>
              </w:rPr>
              <w:t>1. Budžeta ieņēmumi:</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6E6B1B49" w14:textId="4385BEF1">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1E02AD5E" w14:textId="467298FF">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67C1ADB6" w14:textId="51576AD3">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nav precīzi aprēķināms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0C3212A9" w14:textId="21AA0116">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nav precīzi aprēķināms</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78029450" w14:textId="11F87A11">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nav precīzi aprēķināms</w:t>
            </w:r>
          </w:p>
        </w:tc>
      </w:tr>
      <w:tr w14:paraId="511F333E" w14:textId="77777777" w:rsidTr="003D77B9">
        <w:tblPrEx>
          <w:tblW w:w="9356" w:type="dxa"/>
          <w:jc w:val="center"/>
          <w:tblCellMar>
            <w:top w:w="30" w:type="dxa"/>
            <w:left w:w="30" w:type="dxa"/>
            <w:bottom w:w="30" w:type="dxa"/>
            <w:right w:w="30" w:type="dxa"/>
          </w:tblCellMar>
          <w:tblLook w:val="04A0"/>
        </w:tblPrEx>
        <w:trPr>
          <w:jc w:val="center"/>
        </w:trPr>
        <w:tc>
          <w:tcPr>
            <w:tcW w:w="1677" w:type="pct"/>
            <w:tcBorders>
              <w:top w:val="outset" w:sz="6" w:space="0" w:color="414142"/>
              <w:left w:val="outset" w:sz="6" w:space="0" w:color="414142"/>
              <w:bottom w:val="outset" w:sz="6" w:space="0" w:color="414142"/>
              <w:right w:val="outset" w:sz="6" w:space="0" w:color="414142"/>
            </w:tcBorders>
            <w:hideMark/>
          </w:tcPr>
          <w:p w:rsidR="006876EF" w:rsidRPr="006876EF" w:rsidP="00787660" w14:paraId="36D4F5EF" w14:textId="77777777">
            <w:pPr>
              <w:spacing w:after="0"/>
              <w:jc w:val="left"/>
              <w:rPr>
                <w:rFonts w:ascii="Times New Roman" w:eastAsia="Times New Roman" w:hAnsi="Times New Roman"/>
                <w:sz w:val="24"/>
                <w:szCs w:val="24"/>
                <w:lang w:eastAsia="lv-LV"/>
              </w:rPr>
            </w:pPr>
            <w:r w:rsidRPr="006876EF">
              <w:rPr>
                <w:rFonts w:ascii="Times New Roman" w:eastAsia="Times New Roman" w:hAnsi="Times New Roman"/>
                <w:sz w:val="24"/>
                <w:szCs w:val="24"/>
                <w:lang w:eastAsia="lv-LV"/>
              </w:rPr>
              <w:t>1.1. valsts pamatbudžets, tai skaitā ieņēmumi no maksas pakalpojumiem un citi pašu ieņēmumi</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22EBB149" w14:textId="63A4BD56">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46FD00BB" w14:textId="250B3D49">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7311DD26" w14:textId="0C85F439">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nav precīzi aprēķināms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0F5DE522" w14:textId="5F0AF9D9">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nav precīzi aprēķināms</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202BF33D" w14:textId="3A49D9A7">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nav precīzi aprēķināms</w:t>
            </w:r>
          </w:p>
        </w:tc>
      </w:tr>
      <w:tr w14:paraId="49858DA7" w14:textId="77777777" w:rsidTr="003D77B9">
        <w:tblPrEx>
          <w:tblW w:w="9356" w:type="dxa"/>
          <w:jc w:val="center"/>
          <w:tblCellMar>
            <w:top w:w="30" w:type="dxa"/>
            <w:left w:w="30" w:type="dxa"/>
            <w:bottom w:w="30" w:type="dxa"/>
            <w:right w:w="30" w:type="dxa"/>
          </w:tblCellMar>
          <w:tblLook w:val="04A0"/>
        </w:tblPrEx>
        <w:trPr>
          <w:jc w:val="center"/>
        </w:trPr>
        <w:tc>
          <w:tcPr>
            <w:tcW w:w="1677" w:type="pct"/>
            <w:tcBorders>
              <w:top w:val="outset" w:sz="6" w:space="0" w:color="414142"/>
              <w:left w:val="outset" w:sz="6" w:space="0" w:color="414142"/>
              <w:bottom w:val="outset" w:sz="6" w:space="0" w:color="414142"/>
              <w:right w:val="outset" w:sz="6" w:space="0" w:color="414142"/>
            </w:tcBorders>
            <w:hideMark/>
          </w:tcPr>
          <w:p w:rsidR="006876EF" w:rsidRPr="006876EF" w:rsidP="00787660" w14:paraId="34FDA153" w14:textId="77777777">
            <w:pPr>
              <w:spacing w:after="0"/>
              <w:jc w:val="left"/>
              <w:rPr>
                <w:rFonts w:ascii="Times New Roman" w:eastAsia="Times New Roman" w:hAnsi="Times New Roman"/>
                <w:sz w:val="24"/>
                <w:szCs w:val="24"/>
                <w:lang w:eastAsia="lv-LV"/>
              </w:rPr>
            </w:pPr>
            <w:r w:rsidRPr="006876EF">
              <w:rPr>
                <w:rFonts w:ascii="Times New Roman" w:eastAsia="Times New Roman" w:hAnsi="Times New Roman"/>
                <w:sz w:val="24"/>
                <w:szCs w:val="24"/>
                <w:lang w:eastAsia="lv-LV"/>
              </w:rPr>
              <w:t>1.2. valsts speciālais 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0122B1CA" w14:textId="5BBA0E95">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2B0B548C" w14:textId="02BC16A6">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6CB7413F" w14:textId="47D19AA2">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4D4EF0AE" w14:textId="36259240">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68741CE6" w14:textId="6876E6F8">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r>
      <w:tr w14:paraId="135F3602" w14:textId="77777777" w:rsidTr="003D77B9">
        <w:tblPrEx>
          <w:tblW w:w="9356" w:type="dxa"/>
          <w:jc w:val="center"/>
          <w:tblCellMar>
            <w:top w:w="30" w:type="dxa"/>
            <w:left w:w="30" w:type="dxa"/>
            <w:bottom w:w="30" w:type="dxa"/>
            <w:right w:w="30" w:type="dxa"/>
          </w:tblCellMar>
          <w:tblLook w:val="04A0"/>
        </w:tblPrEx>
        <w:trPr>
          <w:jc w:val="center"/>
        </w:trPr>
        <w:tc>
          <w:tcPr>
            <w:tcW w:w="1677" w:type="pct"/>
            <w:tcBorders>
              <w:top w:val="outset" w:sz="6" w:space="0" w:color="414142"/>
              <w:left w:val="outset" w:sz="6" w:space="0" w:color="414142"/>
              <w:bottom w:val="outset" w:sz="6" w:space="0" w:color="414142"/>
              <w:right w:val="outset" w:sz="6" w:space="0" w:color="414142"/>
            </w:tcBorders>
            <w:hideMark/>
          </w:tcPr>
          <w:p w:rsidR="006876EF" w:rsidRPr="006876EF" w:rsidP="00787660" w14:paraId="2398214D" w14:textId="77777777">
            <w:pPr>
              <w:spacing w:after="0"/>
              <w:jc w:val="left"/>
              <w:rPr>
                <w:rFonts w:ascii="Times New Roman" w:eastAsia="Times New Roman" w:hAnsi="Times New Roman"/>
                <w:sz w:val="24"/>
                <w:szCs w:val="24"/>
                <w:lang w:eastAsia="lv-LV"/>
              </w:rPr>
            </w:pPr>
            <w:r w:rsidRPr="006876EF">
              <w:rPr>
                <w:rFonts w:ascii="Times New Roman" w:eastAsia="Times New Roman" w:hAnsi="Times New Roman"/>
                <w:sz w:val="24"/>
                <w:szCs w:val="24"/>
                <w:lang w:eastAsia="lv-LV"/>
              </w:rPr>
              <w:t>1.3. pašvaldību 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1E425473" w14:textId="78C4E95C">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71AE9292" w14:textId="774146D6">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5139E03A" w14:textId="4F262233">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345BEE35" w14:textId="5A687698">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45CE38A0" w14:textId="34879B13">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r>
      <w:tr w14:paraId="2404855E" w14:textId="77777777" w:rsidTr="003D77B9">
        <w:tblPrEx>
          <w:tblW w:w="9356" w:type="dxa"/>
          <w:jc w:val="center"/>
          <w:tblCellMar>
            <w:top w:w="30" w:type="dxa"/>
            <w:left w:w="30" w:type="dxa"/>
            <w:bottom w:w="30" w:type="dxa"/>
            <w:right w:w="30" w:type="dxa"/>
          </w:tblCellMar>
          <w:tblLook w:val="04A0"/>
        </w:tblPrEx>
        <w:trPr>
          <w:jc w:val="center"/>
        </w:trPr>
        <w:tc>
          <w:tcPr>
            <w:tcW w:w="1677" w:type="pct"/>
            <w:tcBorders>
              <w:top w:val="outset" w:sz="6" w:space="0" w:color="414142"/>
              <w:left w:val="outset" w:sz="6" w:space="0" w:color="414142"/>
              <w:bottom w:val="outset" w:sz="6" w:space="0" w:color="414142"/>
              <w:right w:val="outset" w:sz="6" w:space="0" w:color="414142"/>
            </w:tcBorders>
            <w:hideMark/>
          </w:tcPr>
          <w:p w:rsidR="006876EF" w:rsidRPr="006876EF" w:rsidP="00787660" w14:paraId="46A7A313" w14:textId="77777777">
            <w:pPr>
              <w:spacing w:after="0"/>
              <w:jc w:val="left"/>
              <w:rPr>
                <w:rFonts w:ascii="Times New Roman" w:eastAsia="Times New Roman" w:hAnsi="Times New Roman"/>
                <w:sz w:val="24"/>
                <w:szCs w:val="24"/>
                <w:lang w:eastAsia="lv-LV"/>
              </w:rPr>
            </w:pPr>
            <w:r w:rsidRPr="006876EF">
              <w:rPr>
                <w:rFonts w:ascii="Times New Roman" w:eastAsia="Times New Roman" w:hAnsi="Times New Roman"/>
                <w:sz w:val="24"/>
                <w:szCs w:val="24"/>
                <w:lang w:eastAsia="lv-LV"/>
              </w:rPr>
              <w:t>2. Budžeta izdevumi:</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2827DA28" w14:textId="384C155B">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1BE90A99" w14:textId="6871A065">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56484FCB" w14:textId="04FAE735">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2F2A1223" w14:textId="749A7AC9">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7C069810" w14:textId="5154FFB8">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r>
      <w:tr w14:paraId="6018A457" w14:textId="77777777" w:rsidTr="003D77B9">
        <w:tblPrEx>
          <w:tblW w:w="9356" w:type="dxa"/>
          <w:jc w:val="center"/>
          <w:tblCellMar>
            <w:top w:w="30" w:type="dxa"/>
            <w:left w:w="30" w:type="dxa"/>
            <w:bottom w:w="30" w:type="dxa"/>
            <w:right w:w="30" w:type="dxa"/>
          </w:tblCellMar>
          <w:tblLook w:val="04A0"/>
        </w:tblPrEx>
        <w:trPr>
          <w:jc w:val="center"/>
        </w:trPr>
        <w:tc>
          <w:tcPr>
            <w:tcW w:w="1677" w:type="pct"/>
            <w:tcBorders>
              <w:top w:val="outset" w:sz="6" w:space="0" w:color="414142"/>
              <w:left w:val="outset" w:sz="6" w:space="0" w:color="414142"/>
              <w:bottom w:val="outset" w:sz="6" w:space="0" w:color="414142"/>
              <w:right w:val="outset" w:sz="6" w:space="0" w:color="414142"/>
            </w:tcBorders>
            <w:hideMark/>
          </w:tcPr>
          <w:p w:rsidR="006876EF" w:rsidRPr="006876EF" w:rsidP="00787660" w14:paraId="5C7D1BD2" w14:textId="77777777">
            <w:pPr>
              <w:spacing w:after="0"/>
              <w:jc w:val="left"/>
              <w:rPr>
                <w:rFonts w:ascii="Times New Roman" w:eastAsia="Times New Roman" w:hAnsi="Times New Roman"/>
                <w:sz w:val="24"/>
                <w:szCs w:val="24"/>
                <w:lang w:eastAsia="lv-LV"/>
              </w:rPr>
            </w:pPr>
            <w:r w:rsidRPr="006876EF">
              <w:rPr>
                <w:rFonts w:ascii="Times New Roman" w:eastAsia="Times New Roman" w:hAnsi="Times New Roman"/>
                <w:sz w:val="24"/>
                <w:szCs w:val="24"/>
                <w:lang w:eastAsia="lv-LV"/>
              </w:rPr>
              <w:t>2.1. valsts pamatbudžets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46A13BBA" w14:textId="61FBA8B4">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327D32C0" w14:textId="75D13D55">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0810C3F9" w14:textId="28848637">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063AE13B" w14:textId="65655B7E">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1BDF49A3" w14:textId="44E30B30">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r>
      <w:tr w14:paraId="417D3B4F" w14:textId="77777777" w:rsidTr="003D77B9">
        <w:tblPrEx>
          <w:tblW w:w="9356" w:type="dxa"/>
          <w:jc w:val="center"/>
          <w:tblCellMar>
            <w:top w:w="30" w:type="dxa"/>
            <w:left w:w="30" w:type="dxa"/>
            <w:bottom w:w="30" w:type="dxa"/>
            <w:right w:w="30" w:type="dxa"/>
          </w:tblCellMar>
          <w:tblLook w:val="04A0"/>
        </w:tblPrEx>
        <w:trPr>
          <w:jc w:val="center"/>
        </w:trPr>
        <w:tc>
          <w:tcPr>
            <w:tcW w:w="1677" w:type="pct"/>
            <w:tcBorders>
              <w:top w:val="outset" w:sz="6" w:space="0" w:color="414142"/>
              <w:left w:val="outset" w:sz="6" w:space="0" w:color="414142"/>
              <w:bottom w:val="outset" w:sz="6" w:space="0" w:color="414142"/>
              <w:right w:val="outset" w:sz="6" w:space="0" w:color="414142"/>
            </w:tcBorders>
            <w:hideMark/>
          </w:tcPr>
          <w:p w:rsidR="006876EF" w:rsidRPr="006876EF" w:rsidP="00787660" w14:paraId="2C658B4D" w14:textId="77777777">
            <w:pPr>
              <w:spacing w:after="0"/>
              <w:jc w:val="left"/>
              <w:rPr>
                <w:rFonts w:ascii="Times New Roman" w:eastAsia="Times New Roman" w:hAnsi="Times New Roman"/>
                <w:sz w:val="24"/>
                <w:szCs w:val="24"/>
                <w:lang w:eastAsia="lv-LV"/>
              </w:rPr>
            </w:pPr>
            <w:r w:rsidRPr="006876EF">
              <w:rPr>
                <w:rFonts w:ascii="Times New Roman" w:eastAsia="Times New Roman" w:hAnsi="Times New Roman"/>
                <w:sz w:val="24"/>
                <w:szCs w:val="24"/>
                <w:lang w:eastAsia="lv-LV"/>
              </w:rPr>
              <w:t>2.2. valsts speciālais 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4E9DDFD0" w14:textId="425C75BA">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19A01C69" w14:textId="2A3A3822">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2E6EA690" w14:textId="7F1DBB07">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65F8A18D" w14:textId="7C73CEF4">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0E5A83C1" w14:textId="55310601">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r>
      <w:tr w14:paraId="5069CEF3" w14:textId="77777777" w:rsidTr="003D77B9">
        <w:tblPrEx>
          <w:tblW w:w="9356" w:type="dxa"/>
          <w:jc w:val="center"/>
          <w:tblCellMar>
            <w:top w:w="30" w:type="dxa"/>
            <w:left w:w="30" w:type="dxa"/>
            <w:bottom w:w="30" w:type="dxa"/>
            <w:right w:w="30" w:type="dxa"/>
          </w:tblCellMar>
          <w:tblLook w:val="04A0"/>
        </w:tblPrEx>
        <w:trPr>
          <w:jc w:val="center"/>
        </w:trPr>
        <w:tc>
          <w:tcPr>
            <w:tcW w:w="1677" w:type="pct"/>
            <w:tcBorders>
              <w:top w:val="outset" w:sz="6" w:space="0" w:color="414142"/>
              <w:left w:val="outset" w:sz="6" w:space="0" w:color="414142"/>
              <w:bottom w:val="outset" w:sz="6" w:space="0" w:color="414142"/>
              <w:right w:val="outset" w:sz="6" w:space="0" w:color="414142"/>
            </w:tcBorders>
            <w:hideMark/>
          </w:tcPr>
          <w:p w:rsidR="006876EF" w:rsidRPr="006876EF" w:rsidP="00787660" w14:paraId="7C592860" w14:textId="77777777">
            <w:pPr>
              <w:spacing w:after="0"/>
              <w:jc w:val="left"/>
              <w:rPr>
                <w:rFonts w:ascii="Times New Roman" w:eastAsia="Times New Roman" w:hAnsi="Times New Roman"/>
                <w:sz w:val="24"/>
                <w:szCs w:val="24"/>
                <w:lang w:eastAsia="lv-LV"/>
              </w:rPr>
            </w:pPr>
            <w:r w:rsidRPr="006876EF">
              <w:rPr>
                <w:rFonts w:ascii="Times New Roman" w:eastAsia="Times New Roman" w:hAnsi="Times New Roman"/>
                <w:sz w:val="24"/>
                <w:szCs w:val="24"/>
                <w:lang w:eastAsia="lv-LV"/>
              </w:rPr>
              <w:t>2.3. pašvaldību 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036EF38C" w14:textId="00E74147">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52820153" w14:textId="572DA235">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6079A138" w14:textId="329CED96">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352AD9E8" w14:textId="01D77336">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47F656B9" w14:textId="54C03ED6">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r>
      <w:tr w14:paraId="566A1D8B" w14:textId="77777777" w:rsidTr="003D77B9">
        <w:tblPrEx>
          <w:tblW w:w="9356" w:type="dxa"/>
          <w:jc w:val="center"/>
          <w:tblCellMar>
            <w:top w:w="30" w:type="dxa"/>
            <w:left w:w="30" w:type="dxa"/>
            <w:bottom w:w="30" w:type="dxa"/>
            <w:right w:w="30" w:type="dxa"/>
          </w:tblCellMar>
          <w:tblLook w:val="04A0"/>
        </w:tblPrEx>
        <w:trPr>
          <w:jc w:val="center"/>
        </w:trPr>
        <w:tc>
          <w:tcPr>
            <w:tcW w:w="1677" w:type="pct"/>
            <w:tcBorders>
              <w:top w:val="outset" w:sz="6" w:space="0" w:color="414142"/>
              <w:left w:val="outset" w:sz="6" w:space="0" w:color="414142"/>
              <w:bottom w:val="outset" w:sz="6" w:space="0" w:color="414142"/>
              <w:right w:val="outset" w:sz="6" w:space="0" w:color="414142"/>
            </w:tcBorders>
            <w:hideMark/>
          </w:tcPr>
          <w:p w:rsidR="006876EF" w:rsidRPr="006876EF" w:rsidP="00787660" w14:paraId="06350EA8" w14:textId="77777777">
            <w:pPr>
              <w:spacing w:after="0"/>
              <w:jc w:val="left"/>
              <w:rPr>
                <w:rFonts w:ascii="Times New Roman" w:eastAsia="Times New Roman" w:hAnsi="Times New Roman"/>
                <w:sz w:val="24"/>
                <w:szCs w:val="24"/>
                <w:lang w:eastAsia="lv-LV"/>
              </w:rPr>
            </w:pPr>
            <w:r w:rsidRPr="006876EF">
              <w:rPr>
                <w:rFonts w:ascii="Times New Roman" w:eastAsia="Times New Roman" w:hAnsi="Times New Roman"/>
                <w:sz w:val="24"/>
                <w:szCs w:val="24"/>
                <w:lang w:eastAsia="lv-LV"/>
              </w:rPr>
              <w:t>3. Finansiālā ietekme:</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3C7FF65C" w14:textId="09DDB381">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141AEB29" w14:textId="32A65170">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67BC3F29" w14:textId="045EEF0C">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nav precīzi aprēķināms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3BCFFBBC" w14:textId="4905584E">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nav precīzi aprēķināms</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34F92E18" w14:textId="6D1983F9">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nav precīzi aprēķināms</w:t>
            </w:r>
          </w:p>
        </w:tc>
      </w:tr>
      <w:tr w14:paraId="47A95671" w14:textId="77777777" w:rsidTr="003D77B9">
        <w:tblPrEx>
          <w:tblW w:w="9356" w:type="dxa"/>
          <w:jc w:val="center"/>
          <w:tblCellMar>
            <w:top w:w="30" w:type="dxa"/>
            <w:left w:w="30" w:type="dxa"/>
            <w:bottom w:w="30" w:type="dxa"/>
            <w:right w:w="30" w:type="dxa"/>
          </w:tblCellMar>
          <w:tblLook w:val="04A0"/>
        </w:tblPrEx>
        <w:trPr>
          <w:jc w:val="center"/>
        </w:trPr>
        <w:tc>
          <w:tcPr>
            <w:tcW w:w="1677" w:type="pct"/>
            <w:tcBorders>
              <w:top w:val="outset" w:sz="6" w:space="0" w:color="414142"/>
              <w:left w:val="outset" w:sz="6" w:space="0" w:color="414142"/>
              <w:bottom w:val="outset" w:sz="6" w:space="0" w:color="414142"/>
              <w:right w:val="outset" w:sz="6" w:space="0" w:color="414142"/>
            </w:tcBorders>
            <w:hideMark/>
          </w:tcPr>
          <w:p w:rsidR="006876EF" w:rsidRPr="006876EF" w:rsidP="00787660" w14:paraId="3FFC3AA2" w14:textId="77777777">
            <w:pPr>
              <w:spacing w:after="0"/>
              <w:jc w:val="left"/>
              <w:rPr>
                <w:rFonts w:ascii="Times New Roman" w:eastAsia="Times New Roman" w:hAnsi="Times New Roman"/>
                <w:sz w:val="24"/>
                <w:szCs w:val="24"/>
                <w:lang w:eastAsia="lv-LV"/>
              </w:rPr>
            </w:pPr>
            <w:r w:rsidRPr="006876EF">
              <w:rPr>
                <w:rFonts w:ascii="Times New Roman" w:eastAsia="Times New Roman" w:hAnsi="Times New Roman"/>
                <w:sz w:val="24"/>
                <w:szCs w:val="24"/>
                <w:lang w:eastAsia="lv-LV"/>
              </w:rPr>
              <w:t>3.1. valsts pamatbudžets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4A622A39" w14:textId="58845D84">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32FAB096" w14:textId="6A7054AE">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56554933" w14:textId="17A0824B">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nav precīzi aprēķināms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20E61A26" w14:textId="0CFEDB6C">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nav precīzi aprēķināms</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3685D782" w14:textId="01C6E497">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nav precīzi aprēķināms</w:t>
            </w:r>
          </w:p>
        </w:tc>
      </w:tr>
      <w:tr w14:paraId="7EFA9A18" w14:textId="77777777" w:rsidTr="003D77B9">
        <w:tblPrEx>
          <w:tblW w:w="9356" w:type="dxa"/>
          <w:jc w:val="center"/>
          <w:tblCellMar>
            <w:top w:w="30" w:type="dxa"/>
            <w:left w:w="30" w:type="dxa"/>
            <w:bottom w:w="30" w:type="dxa"/>
            <w:right w:w="30" w:type="dxa"/>
          </w:tblCellMar>
          <w:tblLook w:val="04A0"/>
        </w:tblPrEx>
        <w:trPr>
          <w:jc w:val="center"/>
        </w:trPr>
        <w:tc>
          <w:tcPr>
            <w:tcW w:w="1677" w:type="pct"/>
            <w:tcBorders>
              <w:top w:val="outset" w:sz="6" w:space="0" w:color="414142"/>
              <w:left w:val="outset" w:sz="6" w:space="0" w:color="414142"/>
              <w:bottom w:val="outset" w:sz="6" w:space="0" w:color="414142"/>
              <w:right w:val="outset" w:sz="6" w:space="0" w:color="414142"/>
            </w:tcBorders>
            <w:hideMark/>
          </w:tcPr>
          <w:p w:rsidR="001023CE" w:rsidRPr="006876EF" w:rsidP="00787660" w14:paraId="4665FA14" w14:textId="77777777">
            <w:pPr>
              <w:spacing w:after="0"/>
              <w:jc w:val="left"/>
              <w:rPr>
                <w:rFonts w:ascii="Times New Roman" w:eastAsia="Times New Roman" w:hAnsi="Times New Roman"/>
                <w:sz w:val="24"/>
                <w:szCs w:val="24"/>
                <w:lang w:eastAsia="lv-LV"/>
              </w:rPr>
            </w:pPr>
            <w:r w:rsidRPr="006876EF">
              <w:rPr>
                <w:rFonts w:ascii="Times New Roman" w:eastAsia="Times New Roman" w:hAnsi="Times New Roman"/>
                <w:sz w:val="24"/>
                <w:szCs w:val="24"/>
                <w:lang w:eastAsia="lv-LV"/>
              </w:rPr>
              <w:t>3.2. speciālais 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1023CE" w:rsidRPr="006876EF" w:rsidP="00787660" w14:paraId="5137A09D" w14:textId="71C0EA64">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1023CE" w:rsidRPr="006876EF" w:rsidP="00787660" w14:paraId="5E198E96" w14:textId="6F04781E">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1023CE" w:rsidRPr="006876EF" w:rsidP="00787660" w14:paraId="157FEB62" w14:textId="4561AA88">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1023CE" w:rsidRPr="006876EF" w:rsidP="00787660" w14:paraId="6775CEBD" w14:textId="4ED7F2FB">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1023CE" w:rsidRPr="006876EF" w:rsidP="00787660" w14:paraId="2D891515" w14:textId="4D915D47">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r>
      <w:tr w14:paraId="72D70F0F" w14:textId="77777777" w:rsidTr="003D77B9">
        <w:tblPrEx>
          <w:tblW w:w="9356" w:type="dxa"/>
          <w:jc w:val="center"/>
          <w:tblCellMar>
            <w:top w:w="30" w:type="dxa"/>
            <w:left w:w="30" w:type="dxa"/>
            <w:bottom w:w="30" w:type="dxa"/>
            <w:right w:w="30" w:type="dxa"/>
          </w:tblCellMar>
          <w:tblLook w:val="04A0"/>
        </w:tblPrEx>
        <w:trPr>
          <w:jc w:val="center"/>
        </w:trPr>
        <w:tc>
          <w:tcPr>
            <w:tcW w:w="1677" w:type="pct"/>
            <w:tcBorders>
              <w:top w:val="outset" w:sz="6" w:space="0" w:color="414142"/>
              <w:left w:val="outset" w:sz="6" w:space="0" w:color="414142"/>
              <w:bottom w:val="outset" w:sz="6" w:space="0" w:color="414142"/>
              <w:right w:val="outset" w:sz="6" w:space="0" w:color="414142"/>
            </w:tcBorders>
            <w:hideMark/>
          </w:tcPr>
          <w:p w:rsidR="001023CE" w:rsidRPr="006876EF" w:rsidP="00787660" w14:paraId="6EF69841" w14:textId="77777777">
            <w:pPr>
              <w:spacing w:after="0"/>
              <w:jc w:val="left"/>
              <w:rPr>
                <w:rFonts w:ascii="Times New Roman" w:eastAsia="Times New Roman" w:hAnsi="Times New Roman"/>
                <w:sz w:val="24"/>
                <w:szCs w:val="24"/>
                <w:lang w:eastAsia="lv-LV"/>
              </w:rPr>
            </w:pPr>
            <w:r w:rsidRPr="006876EF">
              <w:rPr>
                <w:rFonts w:ascii="Times New Roman" w:eastAsia="Times New Roman" w:hAnsi="Times New Roman"/>
                <w:sz w:val="24"/>
                <w:szCs w:val="24"/>
                <w:lang w:eastAsia="lv-LV"/>
              </w:rPr>
              <w:t>3.3. pašvaldību budžets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1023CE" w:rsidRPr="006876EF" w:rsidP="00787660" w14:paraId="053BFA77" w14:textId="04695FEC">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1023CE" w:rsidRPr="006876EF" w:rsidP="00787660" w14:paraId="69045CA7" w14:textId="427F3B50">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1023CE" w:rsidRPr="006876EF" w:rsidP="00787660" w14:paraId="67636010" w14:textId="5CB43B51">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1023CE" w:rsidRPr="006876EF" w:rsidP="00787660" w14:paraId="6A692724" w14:textId="09547A0E">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1023CE" w:rsidRPr="006876EF" w:rsidP="00787660" w14:paraId="5F0F8E68" w14:textId="08DB2695">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r>
      <w:tr w14:paraId="5886D0C2" w14:textId="77777777" w:rsidTr="003D77B9">
        <w:tblPrEx>
          <w:tblW w:w="9356" w:type="dxa"/>
          <w:jc w:val="center"/>
          <w:tblCellMar>
            <w:top w:w="30" w:type="dxa"/>
            <w:left w:w="30" w:type="dxa"/>
            <w:bottom w:w="30" w:type="dxa"/>
            <w:right w:w="30" w:type="dxa"/>
          </w:tblCellMar>
          <w:tblLook w:val="04A0"/>
        </w:tblPrEx>
        <w:trPr>
          <w:jc w:val="center"/>
        </w:trPr>
        <w:tc>
          <w:tcPr>
            <w:tcW w:w="1677" w:type="pct"/>
            <w:vMerge w:val="restart"/>
            <w:tcBorders>
              <w:top w:val="outset" w:sz="6" w:space="0" w:color="414142"/>
              <w:left w:val="outset" w:sz="6" w:space="0" w:color="414142"/>
              <w:bottom w:val="outset" w:sz="6" w:space="0" w:color="414142"/>
              <w:right w:val="outset" w:sz="6" w:space="0" w:color="414142"/>
            </w:tcBorders>
            <w:hideMark/>
          </w:tcPr>
          <w:p w:rsidR="006876EF" w:rsidRPr="006876EF" w:rsidP="00787660" w14:paraId="3F69A624" w14:textId="77777777">
            <w:pPr>
              <w:spacing w:after="0"/>
              <w:jc w:val="left"/>
              <w:rPr>
                <w:rFonts w:ascii="Times New Roman" w:eastAsia="Times New Roman" w:hAnsi="Times New Roman"/>
                <w:sz w:val="24"/>
                <w:szCs w:val="24"/>
                <w:lang w:eastAsia="lv-LV"/>
              </w:rPr>
            </w:pPr>
            <w:r w:rsidRPr="006876EF">
              <w:rPr>
                <w:rFonts w:ascii="Times New Roman" w:eastAsia="Times New Roman" w:hAnsi="Times New Roman"/>
                <w:sz w:val="24"/>
                <w:szCs w:val="24"/>
                <w:lang w:eastAsia="lv-LV"/>
              </w:rPr>
              <w:t>4. Finanšu līdzekļi papildu izdevumu finansēšanai (kompensējošu izdevumu samazinājumu norāda ar "+" zīmi)</w:t>
            </w:r>
          </w:p>
        </w:tc>
        <w:tc>
          <w:tcPr>
            <w:tcW w:w="628" w:type="pct"/>
            <w:vMerge w:val="restart"/>
            <w:tcBorders>
              <w:top w:val="outset" w:sz="6" w:space="0" w:color="414142"/>
              <w:left w:val="outset" w:sz="6" w:space="0" w:color="414142"/>
              <w:bottom w:val="outset" w:sz="6" w:space="0" w:color="414142"/>
              <w:right w:val="outset" w:sz="6" w:space="0" w:color="414142"/>
            </w:tcBorders>
            <w:hideMark/>
          </w:tcPr>
          <w:p w:rsidR="006876EF" w:rsidRPr="006876EF" w:rsidP="00787660" w14:paraId="531777F0" w14:textId="77777777">
            <w:pPr>
              <w:spacing w:after="0"/>
              <w:jc w:val="center"/>
              <w:rPr>
                <w:rFonts w:ascii="Times New Roman" w:eastAsia="Times New Roman" w:hAnsi="Times New Roman"/>
                <w:sz w:val="24"/>
                <w:szCs w:val="24"/>
                <w:lang w:eastAsia="lv-LV"/>
              </w:rPr>
            </w:pPr>
            <w:r w:rsidRPr="006876EF">
              <w:rPr>
                <w:rFonts w:ascii="Times New Roman" w:eastAsia="Times New Roman" w:hAnsi="Times New Roman"/>
                <w:sz w:val="24"/>
                <w:szCs w:val="24"/>
                <w:lang w:eastAsia="lv-LV"/>
              </w:rPr>
              <w:t>X</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46610941" w14:textId="73E58BCD">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13ACDF01" w14:textId="1F4F2658">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69F3DB6A" w14:textId="2B5B7DB7">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4B35583C" w14:textId="48CFF5E8">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r>
      <w:tr w14:paraId="0CC9F4D4" w14:textId="77777777" w:rsidTr="003D77B9">
        <w:tblPrEx>
          <w:tblW w:w="9356" w:type="dxa"/>
          <w:jc w:val="center"/>
          <w:tblCellMar>
            <w:top w:w="30" w:type="dxa"/>
            <w:left w:w="30" w:type="dxa"/>
            <w:bottom w:w="30" w:type="dxa"/>
            <w:right w:w="30" w:type="dxa"/>
          </w:tblCellMar>
          <w:tblLook w:val="04A0"/>
        </w:tblPrEx>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47038FF2" w14:textId="77777777">
            <w:pPr>
              <w:spacing w:after="0"/>
              <w:jc w:val="left"/>
              <w:rPr>
                <w:rFonts w:ascii="Times New Roman" w:eastAsia="Times New Roman" w:hAnsi="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6EB61F36" w14:textId="77777777">
            <w:pPr>
              <w:spacing w:after="0"/>
              <w:jc w:val="left"/>
              <w:rPr>
                <w:rFonts w:ascii="Times New Roman" w:eastAsia="Times New Roman" w:hAnsi="Times New Roman"/>
                <w:sz w:val="24"/>
                <w:szCs w:val="24"/>
                <w:lang w:eastAsia="lv-LV"/>
              </w:rPr>
            </w:pP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5BD854D3" w14:textId="09900A3B">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153B0663" w14:textId="76FB15A7">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1470AE61" w14:textId="12B1DA50">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41DE6B5F" w14:textId="3ECCB9EF">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r>
      <w:tr w14:paraId="42CD3933" w14:textId="77777777" w:rsidTr="003D77B9">
        <w:tblPrEx>
          <w:tblW w:w="9356" w:type="dxa"/>
          <w:jc w:val="center"/>
          <w:tblCellMar>
            <w:top w:w="30" w:type="dxa"/>
            <w:left w:w="30" w:type="dxa"/>
            <w:bottom w:w="30" w:type="dxa"/>
            <w:right w:w="30" w:type="dxa"/>
          </w:tblCellMar>
          <w:tblLook w:val="04A0"/>
        </w:tblPrEx>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3AC23046" w14:textId="77777777">
            <w:pPr>
              <w:spacing w:after="0"/>
              <w:jc w:val="left"/>
              <w:rPr>
                <w:rFonts w:ascii="Times New Roman" w:eastAsia="Times New Roman" w:hAnsi="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46C2BD4E" w14:textId="77777777">
            <w:pPr>
              <w:spacing w:after="0"/>
              <w:jc w:val="left"/>
              <w:rPr>
                <w:rFonts w:ascii="Times New Roman" w:eastAsia="Times New Roman" w:hAnsi="Times New Roman"/>
                <w:sz w:val="24"/>
                <w:szCs w:val="24"/>
                <w:lang w:eastAsia="lv-LV"/>
              </w:rPr>
            </w:pP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37E524F0" w14:textId="2FEF2818">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6CC6EF97" w14:textId="6AC0C3DB">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26E25CFB" w14:textId="612BABCD">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5515DD07" w14:textId="127123F9">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r>
      <w:tr w14:paraId="75B61B92" w14:textId="77777777" w:rsidTr="003D77B9">
        <w:tblPrEx>
          <w:tblW w:w="9356" w:type="dxa"/>
          <w:jc w:val="center"/>
          <w:tblCellMar>
            <w:top w:w="30" w:type="dxa"/>
            <w:left w:w="30" w:type="dxa"/>
            <w:bottom w:w="30" w:type="dxa"/>
            <w:right w:w="30" w:type="dxa"/>
          </w:tblCellMar>
          <w:tblLook w:val="04A0"/>
        </w:tblPrEx>
        <w:trPr>
          <w:jc w:val="center"/>
        </w:trPr>
        <w:tc>
          <w:tcPr>
            <w:tcW w:w="1677" w:type="pct"/>
            <w:tcBorders>
              <w:top w:val="outset" w:sz="6" w:space="0" w:color="414142"/>
              <w:left w:val="outset" w:sz="6" w:space="0" w:color="414142"/>
              <w:bottom w:val="outset" w:sz="6" w:space="0" w:color="414142"/>
              <w:right w:val="outset" w:sz="6" w:space="0" w:color="414142"/>
            </w:tcBorders>
            <w:hideMark/>
          </w:tcPr>
          <w:p w:rsidR="006876EF" w:rsidRPr="006876EF" w:rsidP="00787660" w14:paraId="56182355" w14:textId="77777777">
            <w:pPr>
              <w:spacing w:after="0"/>
              <w:jc w:val="left"/>
              <w:rPr>
                <w:rFonts w:ascii="Times New Roman" w:eastAsia="Times New Roman" w:hAnsi="Times New Roman"/>
                <w:sz w:val="24"/>
                <w:szCs w:val="24"/>
                <w:lang w:eastAsia="lv-LV"/>
              </w:rPr>
            </w:pPr>
            <w:r w:rsidRPr="006876EF">
              <w:rPr>
                <w:rFonts w:ascii="Times New Roman" w:eastAsia="Times New Roman" w:hAnsi="Times New Roman"/>
                <w:sz w:val="24"/>
                <w:szCs w:val="24"/>
                <w:lang w:eastAsia="lv-LV"/>
              </w:rPr>
              <w:t>5. Precizēta finansiālā ietekme:</w:t>
            </w:r>
          </w:p>
        </w:tc>
        <w:tc>
          <w:tcPr>
            <w:tcW w:w="628" w:type="pct"/>
            <w:vMerge w:val="restart"/>
            <w:tcBorders>
              <w:top w:val="outset" w:sz="6" w:space="0" w:color="414142"/>
              <w:left w:val="outset" w:sz="6" w:space="0" w:color="414142"/>
              <w:bottom w:val="outset" w:sz="6" w:space="0" w:color="414142"/>
              <w:right w:val="outset" w:sz="6" w:space="0" w:color="414142"/>
            </w:tcBorders>
            <w:hideMark/>
          </w:tcPr>
          <w:p w:rsidR="006876EF" w:rsidRPr="006876EF" w:rsidP="00787660" w14:paraId="77104A7E" w14:textId="77777777">
            <w:pPr>
              <w:spacing w:after="0"/>
              <w:jc w:val="center"/>
              <w:rPr>
                <w:rFonts w:ascii="Times New Roman" w:eastAsia="Times New Roman" w:hAnsi="Times New Roman"/>
                <w:sz w:val="24"/>
                <w:szCs w:val="24"/>
                <w:lang w:eastAsia="lv-LV"/>
              </w:rPr>
            </w:pPr>
            <w:r w:rsidRPr="006876EF">
              <w:rPr>
                <w:rFonts w:ascii="Times New Roman" w:eastAsia="Times New Roman" w:hAnsi="Times New Roman"/>
                <w:sz w:val="24"/>
                <w:szCs w:val="24"/>
                <w:lang w:eastAsia="lv-LV"/>
              </w:rPr>
              <w:t>X</w:t>
            </w: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4706C314" w14:textId="3508CAF1">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6976A11E" w14:textId="30D71884">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nav precīzi aprēķināms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070FE759" w14:textId="57A2FF2A">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nav precīzi aprēķināms</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082B06F2" w14:textId="2FA62E69">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nav precīzi aprēķināms</w:t>
            </w:r>
          </w:p>
        </w:tc>
      </w:tr>
      <w:tr w14:paraId="4CCBE097" w14:textId="77777777" w:rsidTr="003D77B9">
        <w:tblPrEx>
          <w:tblW w:w="9356" w:type="dxa"/>
          <w:jc w:val="center"/>
          <w:tblCellMar>
            <w:top w:w="30" w:type="dxa"/>
            <w:left w:w="30" w:type="dxa"/>
            <w:bottom w:w="30" w:type="dxa"/>
            <w:right w:w="30" w:type="dxa"/>
          </w:tblCellMar>
          <w:tblLook w:val="04A0"/>
        </w:tblPrEx>
        <w:trPr>
          <w:jc w:val="center"/>
        </w:trPr>
        <w:tc>
          <w:tcPr>
            <w:tcW w:w="1677" w:type="pct"/>
            <w:tcBorders>
              <w:top w:val="outset" w:sz="6" w:space="0" w:color="414142"/>
              <w:left w:val="outset" w:sz="6" w:space="0" w:color="414142"/>
              <w:bottom w:val="outset" w:sz="6" w:space="0" w:color="414142"/>
              <w:right w:val="outset" w:sz="6" w:space="0" w:color="414142"/>
            </w:tcBorders>
            <w:hideMark/>
          </w:tcPr>
          <w:p w:rsidR="006876EF" w:rsidRPr="006876EF" w:rsidP="00787660" w14:paraId="664CAFF1" w14:textId="77777777">
            <w:pPr>
              <w:spacing w:after="0"/>
              <w:jc w:val="left"/>
              <w:rPr>
                <w:rFonts w:ascii="Times New Roman" w:eastAsia="Times New Roman" w:hAnsi="Times New Roman"/>
                <w:sz w:val="24"/>
                <w:szCs w:val="24"/>
                <w:lang w:eastAsia="lv-LV"/>
              </w:rPr>
            </w:pPr>
            <w:r w:rsidRPr="006876EF">
              <w:rPr>
                <w:rFonts w:ascii="Times New Roman" w:eastAsia="Times New Roman" w:hAnsi="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27068CCA" w14:textId="77777777">
            <w:pPr>
              <w:spacing w:after="0"/>
              <w:jc w:val="left"/>
              <w:rPr>
                <w:rFonts w:ascii="Times New Roman" w:eastAsia="Times New Roman" w:hAnsi="Times New Roman"/>
                <w:sz w:val="24"/>
                <w:szCs w:val="24"/>
                <w:lang w:eastAsia="lv-LV"/>
              </w:rPr>
            </w:pP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4153EBDD" w14:textId="3FCDE458">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4B8C45E4" w14:textId="4D180B70">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nav precīzi aprēķināms</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5F62160A" w14:textId="57FC0932">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nav precīzi aprēķināms</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50F47225" w14:textId="583F1C0C">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nav precīzi aprēķināms</w:t>
            </w:r>
          </w:p>
        </w:tc>
      </w:tr>
      <w:tr w14:paraId="72C46F8C" w14:textId="77777777" w:rsidTr="003D77B9">
        <w:tblPrEx>
          <w:tblW w:w="9356" w:type="dxa"/>
          <w:jc w:val="center"/>
          <w:tblCellMar>
            <w:top w:w="30" w:type="dxa"/>
            <w:left w:w="30" w:type="dxa"/>
            <w:bottom w:w="30" w:type="dxa"/>
            <w:right w:w="30" w:type="dxa"/>
          </w:tblCellMar>
          <w:tblLook w:val="04A0"/>
        </w:tblPrEx>
        <w:trPr>
          <w:jc w:val="center"/>
        </w:trPr>
        <w:tc>
          <w:tcPr>
            <w:tcW w:w="1677" w:type="pct"/>
            <w:tcBorders>
              <w:top w:val="outset" w:sz="6" w:space="0" w:color="414142"/>
              <w:left w:val="outset" w:sz="6" w:space="0" w:color="414142"/>
              <w:bottom w:val="outset" w:sz="6" w:space="0" w:color="414142"/>
              <w:right w:val="outset" w:sz="6" w:space="0" w:color="414142"/>
            </w:tcBorders>
            <w:hideMark/>
          </w:tcPr>
          <w:p w:rsidR="006876EF" w:rsidRPr="006876EF" w:rsidP="00787660" w14:paraId="4473D0F4" w14:textId="77777777">
            <w:pPr>
              <w:spacing w:after="0"/>
              <w:jc w:val="left"/>
              <w:rPr>
                <w:rFonts w:ascii="Times New Roman" w:eastAsia="Times New Roman" w:hAnsi="Times New Roman"/>
                <w:sz w:val="24"/>
                <w:szCs w:val="24"/>
                <w:lang w:eastAsia="lv-LV"/>
              </w:rPr>
            </w:pPr>
            <w:r w:rsidRPr="006876EF">
              <w:rPr>
                <w:rFonts w:ascii="Times New Roman" w:eastAsia="Times New Roman" w:hAnsi="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2A240126" w14:textId="77777777">
            <w:pPr>
              <w:spacing w:after="0"/>
              <w:jc w:val="left"/>
              <w:rPr>
                <w:rFonts w:ascii="Times New Roman" w:eastAsia="Times New Roman" w:hAnsi="Times New Roman"/>
                <w:sz w:val="24"/>
                <w:szCs w:val="24"/>
                <w:lang w:eastAsia="lv-LV"/>
              </w:rPr>
            </w:pP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424CE6D8" w14:textId="1FF3A7C6">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1B40D6B8" w14:textId="5789EE8D">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217A1A0D" w14:textId="275FD9CF">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644629F4" w14:textId="0EE853D4">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r>
      <w:tr w14:paraId="62062FB5" w14:textId="77777777" w:rsidTr="003D77B9">
        <w:tblPrEx>
          <w:tblW w:w="9356" w:type="dxa"/>
          <w:jc w:val="center"/>
          <w:tblCellMar>
            <w:top w:w="30" w:type="dxa"/>
            <w:left w:w="30" w:type="dxa"/>
            <w:bottom w:w="30" w:type="dxa"/>
            <w:right w:w="30" w:type="dxa"/>
          </w:tblCellMar>
          <w:tblLook w:val="04A0"/>
        </w:tblPrEx>
        <w:trPr>
          <w:jc w:val="center"/>
        </w:trPr>
        <w:tc>
          <w:tcPr>
            <w:tcW w:w="1677" w:type="pct"/>
            <w:tcBorders>
              <w:top w:val="outset" w:sz="6" w:space="0" w:color="414142"/>
              <w:left w:val="outset" w:sz="6" w:space="0" w:color="414142"/>
              <w:bottom w:val="outset" w:sz="6" w:space="0" w:color="414142"/>
              <w:right w:val="outset" w:sz="6" w:space="0" w:color="414142"/>
            </w:tcBorders>
            <w:hideMark/>
          </w:tcPr>
          <w:p w:rsidR="006876EF" w:rsidRPr="006876EF" w:rsidP="00787660" w14:paraId="74F83C00" w14:textId="77777777">
            <w:pPr>
              <w:spacing w:after="0"/>
              <w:jc w:val="left"/>
              <w:rPr>
                <w:rFonts w:ascii="Times New Roman" w:eastAsia="Times New Roman" w:hAnsi="Times New Roman"/>
                <w:sz w:val="24"/>
                <w:szCs w:val="24"/>
                <w:lang w:eastAsia="lv-LV"/>
              </w:rPr>
            </w:pPr>
            <w:r w:rsidRPr="006876EF">
              <w:rPr>
                <w:rFonts w:ascii="Times New Roman" w:eastAsia="Times New Roman" w:hAnsi="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7222CCCD" w14:textId="77777777">
            <w:pPr>
              <w:spacing w:after="0"/>
              <w:jc w:val="left"/>
              <w:rPr>
                <w:rFonts w:ascii="Times New Roman" w:eastAsia="Times New Roman" w:hAnsi="Times New Roman"/>
                <w:sz w:val="24"/>
                <w:szCs w:val="24"/>
                <w:lang w:eastAsia="lv-LV"/>
              </w:rPr>
            </w:pPr>
          </w:p>
        </w:tc>
        <w:tc>
          <w:tcPr>
            <w:tcW w:w="827"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3C17B79A" w14:textId="54936DCB">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74EB74C5" w14:textId="78952630">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07EBA401" w14:textId="1687F5B4">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c>
          <w:tcPr>
            <w:tcW w:w="620" w:type="pc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75FF6658" w14:textId="3BC7E0E5">
            <w:pPr>
              <w:spacing w:after="0"/>
              <w:jc w:val="center"/>
              <w:rPr>
                <w:rFonts w:ascii="Times New Roman" w:eastAsia="Times New Roman" w:hAnsi="Times New Roman"/>
                <w:sz w:val="24"/>
                <w:szCs w:val="24"/>
                <w:lang w:eastAsia="lv-LV"/>
              </w:rPr>
            </w:pPr>
            <w:r w:rsidRPr="006876EF">
              <w:rPr>
                <w:rFonts w:ascii="Times New Roman" w:hAnsi="Times New Roman"/>
                <w:sz w:val="24"/>
                <w:szCs w:val="24"/>
              </w:rPr>
              <w:t>0</w:t>
            </w:r>
          </w:p>
        </w:tc>
      </w:tr>
      <w:tr w14:paraId="4F272F1B" w14:textId="77777777" w:rsidTr="003D77B9">
        <w:tblPrEx>
          <w:tblW w:w="9356" w:type="dxa"/>
          <w:jc w:val="center"/>
          <w:tblCellMar>
            <w:top w:w="30" w:type="dxa"/>
            <w:left w:w="30" w:type="dxa"/>
            <w:bottom w:w="30" w:type="dxa"/>
            <w:right w:w="30" w:type="dxa"/>
          </w:tblCellMar>
          <w:tblLook w:val="04A0"/>
        </w:tblPrEx>
        <w:trPr>
          <w:jc w:val="center"/>
        </w:trPr>
        <w:tc>
          <w:tcPr>
            <w:tcW w:w="1677" w:type="pct"/>
            <w:tcBorders>
              <w:top w:val="outset" w:sz="6" w:space="0" w:color="414142"/>
              <w:left w:val="outset" w:sz="6" w:space="0" w:color="414142"/>
              <w:bottom w:val="outset" w:sz="6" w:space="0" w:color="414142"/>
              <w:right w:val="outset" w:sz="6" w:space="0" w:color="414142"/>
            </w:tcBorders>
            <w:hideMark/>
          </w:tcPr>
          <w:p w:rsidR="006876EF" w:rsidRPr="006876EF" w:rsidP="00787660" w14:paraId="226128C5" w14:textId="77777777">
            <w:pPr>
              <w:spacing w:after="0"/>
              <w:jc w:val="left"/>
              <w:rPr>
                <w:rFonts w:ascii="Times New Roman" w:eastAsia="Times New Roman" w:hAnsi="Times New Roman"/>
                <w:sz w:val="24"/>
                <w:szCs w:val="24"/>
                <w:lang w:eastAsia="lv-LV"/>
              </w:rPr>
            </w:pPr>
            <w:r w:rsidRPr="006876EF">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3323"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0465C445" w14:textId="487C6A2C">
            <w:pPr>
              <w:spacing w:after="0"/>
              <w:jc w:val="left"/>
              <w:rPr>
                <w:rFonts w:ascii="Times New Roman" w:eastAsia="Times New Roman" w:hAnsi="Times New Roman"/>
                <w:sz w:val="24"/>
                <w:szCs w:val="24"/>
                <w:lang w:eastAsia="lv-LV"/>
              </w:rPr>
            </w:pPr>
            <w:r>
              <w:rPr>
                <w:rFonts w:ascii="Times New Roman" w:hAnsi="Times New Roman"/>
                <w:sz w:val="24"/>
                <w:szCs w:val="24"/>
              </w:rPr>
              <w:t>Projekts šo jomu neskar.</w:t>
            </w:r>
          </w:p>
        </w:tc>
      </w:tr>
      <w:tr w14:paraId="73F6828B" w14:textId="77777777" w:rsidTr="003D77B9">
        <w:tblPrEx>
          <w:tblW w:w="9356" w:type="dxa"/>
          <w:jc w:val="center"/>
          <w:tblCellMar>
            <w:top w:w="30" w:type="dxa"/>
            <w:left w:w="30" w:type="dxa"/>
            <w:bottom w:w="30" w:type="dxa"/>
            <w:right w:w="30" w:type="dxa"/>
          </w:tblCellMar>
          <w:tblLook w:val="04A0"/>
        </w:tblPrEx>
        <w:trPr>
          <w:jc w:val="center"/>
        </w:trPr>
        <w:tc>
          <w:tcPr>
            <w:tcW w:w="1677" w:type="pct"/>
            <w:tcBorders>
              <w:top w:val="outset" w:sz="6" w:space="0" w:color="414142"/>
              <w:left w:val="outset" w:sz="6" w:space="0" w:color="414142"/>
              <w:bottom w:val="outset" w:sz="6" w:space="0" w:color="414142"/>
              <w:right w:val="outset" w:sz="6" w:space="0" w:color="414142"/>
            </w:tcBorders>
            <w:hideMark/>
          </w:tcPr>
          <w:p w:rsidR="006876EF" w:rsidRPr="006876EF" w:rsidP="00787660" w14:paraId="2D4706CF" w14:textId="77777777">
            <w:pPr>
              <w:spacing w:after="0"/>
              <w:jc w:val="left"/>
              <w:rPr>
                <w:rFonts w:ascii="Times New Roman" w:eastAsia="Times New Roman" w:hAnsi="Times New Roman"/>
                <w:sz w:val="24"/>
                <w:szCs w:val="24"/>
                <w:lang w:eastAsia="lv-LV"/>
              </w:rPr>
            </w:pPr>
            <w:r w:rsidRPr="006876EF">
              <w:rPr>
                <w:rFonts w:ascii="Times New Roman" w:eastAsia="Times New Roman" w:hAnsi="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18DD1189" w14:textId="77777777">
            <w:pPr>
              <w:spacing w:after="0"/>
              <w:jc w:val="left"/>
              <w:rPr>
                <w:rFonts w:ascii="Times New Roman" w:eastAsia="Times New Roman" w:hAnsi="Times New Roman"/>
                <w:sz w:val="24"/>
                <w:szCs w:val="24"/>
                <w:lang w:eastAsia="lv-LV"/>
              </w:rPr>
            </w:pPr>
          </w:p>
        </w:tc>
      </w:tr>
      <w:tr w14:paraId="010053E0" w14:textId="77777777" w:rsidTr="003D77B9">
        <w:tblPrEx>
          <w:tblW w:w="9356" w:type="dxa"/>
          <w:jc w:val="center"/>
          <w:tblCellMar>
            <w:top w:w="30" w:type="dxa"/>
            <w:left w:w="30" w:type="dxa"/>
            <w:bottom w:w="30" w:type="dxa"/>
            <w:right w:w="30" w:type="dxa"/>
          </w:tblCellMar>
          <w:tblLook w:val="04A0"/>
        </w:tblPrEx>
        <w:trPr>
          <w:jc w:val="center"/>
        </w:trPr>
        <w:tc>
          <w:tcPr>
            <w:tcW w:w="1677" w:type="pct"/>
            <w:tcBorders>
              <w:top w:val="outset" w:sz="6" w:space="0" w:color="414142"/>
              <w:left w:val="outset" w:sz="6" w:space="0" w:color="414142"/>
              <w:bottom w:val="outset" w:sz="6" w:space="0" w:color="414142"/>
              <w:right w:val="outset" w:sz="6" w:space="0" w:color="414142"/>
            </w:tcBorders>
            <w:hideMark/>
          </w:tcPr>
          <w:p w:rsidR="006876EF" w:rsidRPr="006876EF" w:rsidP="00787660" w14:paraId="52FAFD2A" w14:textId="77777777">
            <w:pPr>
              <w:spacing w:after="0"/>
              <w:jc w:val="left"/>
              <w:rPr>
                <w:rFonts w:ascii="Times New Roman" w:eastAsia="Times New Roman" w:hAnsi="Times New Roman"/>
                <w:sz w:val="24"/>
                <w:szCs w:val="24"/>
                <w:lang w:eastAsia="lv-LV"/>
              </w:rPr>
            </w:pPr>
            <w:r w:rsidRPr="006876EF">
              <w:rPr>
                <w:rFonts w:ascii="Times New Roman" w:eastAsia="Times New Roman" w:hAnsi="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6876EF" w:rsidRPr="006876EF" w:rsidP="00787660" w14:paraId="01CF190A" w14:textId="77777777">
            <w:pPr>
              <w:spacing w:after="0"/>
              <w:jc w:val="left"/>
              <w:rPr>
                <w:rFonts w:ascii="Times New Roman" w:eastAsia="Times New Roman" w:hAnsi="Times New Roman"/>
                <w:sz w:val="24"/>
                <w:szCs w:val="24"/>
                <w:lang w:eastAsia="lv-LV"/>
              </w:rPr>
            </w:pPr>
          </w:p>
        </w:tc>
      </w:tr>
      <w:tr w14:paraId="068A0E2C" w14:textId="77777777" w:rsidTr="003D77B9">
        <w:tblPrEx>
          <w:tblW w:w="9356" w:type="dxa"/>
          <w:jc w:val="center"/>
          <w:tblCellMar>
            <w:top w:w="30" w:type="dxa"/>
            <w:left w:w="30" w:type="dxa"/>
            <w:bottom w:w="30" w:type="dxa"/>
            <w:right w:w="30" w:type="dxa"/>
          </w:tblCellMar>
          <w:tblLook w:val="04A0"/>
        </w:tblPrEx>
        <w:trPr>
          <w:trHeight w:val="555"/>
          <w:jc w:val="center"/>
        </w:trPr>
        <w:tc>
          <w:tcPr>
            <w:tcW w:w="1677" w:type="pct"/>
            <w:tcBorders>
              <w:top w:val="outset" w:sz="6" w:space="0" w:color="414142"/>
              <w:left w:val="outset" w:sz="6" w:space="0" w:color="414142"/>
              <w:bottom w:val="outset" w:sz="6" w:space="0" w:color="414142"/>
              <w:right w:val="outset" w:sz="6" w:space="0" w:color="414142"/>
            </w:tcBorders>
            <w:hideMark/>
          </w:tcPr>
          <w:p w:rsidR="006876EF" w:rsidRPr="006876EF" w:rsidP="00787660" w14:paraId="049E778C" w14:textId="77777777">
            <w:pPr>
              <w:spacing w:after="0"/>
              <w:jc w:val="left"/>
              <w:rPr>
                <w:rFonts w:ascii="Times New Roman" w:eastAsia="Times New Roman" w:hAnsi="Times New Roman"/>
                <w:sz w:val="24"/>
                <w:szCs w:val="24"/>
                <w:lang w:eastAsia="lv-LV"/>
              </w:rPr>
            </w:pPr>
            <w:r w:rsidRPr="006876EF">
              <w:rPr>
                <w:rFonts w:ascii="Times New Roman" w:eastAsia="Times New Roman" w:hAnsi="Times New Roman"/>
                <w:sz w:val="24"/>
                <w:szCs w:val="24"/>
                <w:lang w:eastAsia="lv-LV"/>
              </w:rPr>
              <w:t>7. Cita informācija</w:t>
            </w:r>
          </w:p>
        </w:tc>
        <w:tc>
          <w:tcPr>
            <w:tcW w:w="3323" w:type="pct"/>
            <w:gridSpan w:val="5"/>
            <w:tcBorders>
              <w:top w:val="outset" w:sz="6" w:space="0" w:color="414142"/>
              <w:left w:val="outset" w:sz="6" w:space="0" w:color="414142"/>
              <w:bottom w:val="outset" w:sz="6" w:space="0" w:color="414142"/>
              <w:right w:val="outset" w:sz="6" w:space="0" w:color="414142"/>
            </w:tcBorders>
            <w:hideMark/>
          </w:tcPr>
          <w:p w:rsidR="006876EF" w:rsidRPr="006876EF" w:rsidP="009B0BF3" w14:paraId="4DA1143B" w14:textId="0CD28FD2">
            <w:pPr>
              <w:pStyle w:val="naisf"/>
              <w:tabs>
                <w:tab w:val="left" w:pos="4644"/>
              </w:tabs>
              <w:spacing w:before="60" w:after="60"/>
              <w:ind w:firstLine="0"/>
            </w:pPr>
            <w:r w:rsidRPr="006876EF">
              <w:t>Ietekme uz valsts budžetu likumprojektā iekļautajiem nosacījumiem var būt attiecībā uz administratīvās atbildības iestāšanos ES ETS operatoriem un gaisa kuģu operatoriem, regulas Nr.</w:t>
            </w:r>
            <w:r w:rsidR="005118FF">
              <w:t> </w:t>
            </w:r>
            <w:r w:rsidRPr="006876EF">
              <w:t>2015/757 3.</w:t>
            </w:r>
            <w:r w:rsidR="005118FF">
              <w:t> </w:t>
            </w:r>
            <w:r w:rsidRPr="006876EF">
              <w:t>panta „d” punktā minētajiem uzņēmumiem</w:t>
            </w:r>
            <w:r w:rsidR="00485300">
              <w:t>, kā arī degvielas piegādātājiem par piegādātās degvielas aprites cikla SEG emisiju apjoma ziņošanu</w:t>
            </w:r>
            <w:r w:rsidR="00731967">
              <w:t>.</w:t>
            </w:r>
          </w:p>
          <w:p w:rsidR="006876EF" w:rsidRPr="006876EF" w:rsidP="009B0BF3" w14:paraId="37920635" w14:textId="514E9F97">
            <w:pPr>
              <w:pStyle w:val="naisf"/>
              <w:tabs>
                <w:tab w:val="left" w:pos="4644"/>
              </w:tabs>
              <w:spacing w:before="60" w:after="60"/>
              <w:ind w:firstLine="0"/>
            </w:pPr>
            <w:r w:rsidRPr="006876EF">
              <w:t xml:space="preserve">Sakarā ar to, </w:t>
            </w:r>
            <w:r w:rsidR="00A85663">
              <w:t xml:space="preserve">ka līdz šim nevienam no </w:t>
            </w:r>
            <w:r w:rsidRPr="006876EF">
              <w:t xml:space="preserve">minētajiem </w:t>
            </w:r>
            <w:r w:rsidR="00A85663">
              <w:t xml:space="preserve">tiesību subjektiem </w:t>
            </w:r>
            <w:r w:rsidRPr="006876EF">
              <w:t>nav bijis jāpiemēro administratīvā atbildība, tad nevar šobrīd aprēķināt vai prognozēt, kāda varētu būt ietekme uz valsts budžetu.</w:t>
            </w:r>
          </w:p>
          <w:p w:rsidR="006876EF" w:rsidRPr="006876EF" w:rsidP="00731967" w14:paraId="7804F2DF" w14:textId="18362878">
            <w:pPr>
              <w:pStyle w:val="naisf"/>
              <w:tabs>
                <w:tab w:val="left" w:pos="4644"/>
              </w:tabs>
              <w:spacing w:before="60" w:after="60"/>
              <w:ind w:firstLine="0"/>
            </w:pPr>
            <w:r w:rsidRPr="006876EF">
              <w:t>Līdz 2016.</w:t>
            </w:r>
            <w:r w:rsidR="005118FF">
              <w:t> </w:t>
            </w:r>
            <w:r w:rsidRPr="006876EF">
              <w:t>gada 1.</w:t>
            </w:r>
            <w:r w:rsidR="005118FF">
              <w:t> </w:t>
            </w:r>
            <w:r w:rsidRPr="006876EF">
              <w:t>oktobrim administratīvie sodi par APK 84.</w:t>
            </w:r>
            <w:r w:rsidR="005118FF">
              <w:t> </w:t>
            </w:r>
            <w:r w:rsidRPr="006876EF">
              <w:t xml:space="preserve">pantā noteiktajiem administratīvajiem pārkāpumiem nav tikuši piemēroti. Tāpēc ir secināms, ka </w:t>
            </w:r>
            <w:r w:rsidR="005118FF">
              <w:t>atbilstoši</w:t>
            </w:r>
            <w:r w:rsidRPr="006876EF">
              <w:t xml:space="preserve"> spēkā esoš</w:t>
            </w:r>
            <w:r w:rsidR="005118FF">
              <w:t>ajam</w:t>
            </w:r>
            <w:r w:rsidRPr="006876EF">
              <w:t xml:space="preserve"> normatīv</w:t>
            </w:r>
            <w:r w:rsidR="005118FF">
              <w:t>ajam</w:t>
            </w:r>
            <w:r w:rsidRPr="006876EF">
              <w:t xml:space="preserve"> regulējuma</w:t>
            </w:r>
            <w:r w:rsidR="005118FF">
              <w:t>m</w:t>
            </w:r>
            <w:r w:rsidRPr="006876EF">
              <w:t xml:space="preserve"> neviens no Latvijas ES ETS operatoriem vai gaisa kuģu operatoriem nav saukti pie administratīvās atbildības.</w:t>
            </w:r>
          </w:p>
          <w:p w:rsidR="006876EF" w:rsidP="00731967" w14:paraId="483D40EB" w14:textId="41DF5DD3">
            <w:pPr>
              <w:spacing w:before="60" w:after="60"/>
              <w:rPr>
                <w:rFonts w:ascii="Times New Roman" w:hAnsi="Times New Roman"/>
                <w:sz w:val="24"/>
                <w:szCs w:val="24"/>
              </w:rPr>
            </w:pPr>
            <w:r w:rsidRPr="006876EF">
              <w:rPr>
                <w:rFonts w:ascii="Times New Roman" w:hAnsi="Times New Roman"/>
                <w:sz w:val="24"/>
                <w:szCs w:val="24"/>
              </w:rPr>
              <w:t>Latvijai saskaņā ar regulas Nr.</w:t>
            </w:r>
            <w:r w:rsidR="005118FF">
              <w:rPr>
                <w:rFonts w:ascii="Times New Roman" w:hAnsi="Times New Roman"/>
                <w:sz w:val="24"/>
                <w:szCs w:val="24"/>
              </w:rPr>
              <w:t> </w:t>
            </w:r>
            <w:r w:rsidRPr="006876EF">
              <w:rPr>
                <w:rFonts w:ascii="Times New Roman" w:hAnsi="Times New Roman"/>
                <w:sz w:val="24"/>
                <w:szCs w:val="24"/>
              </w:rPr>
              <w:t>2015/757 20.</w:t>
            </w:r>
            <w:r w:rsidR="005118FF">
              <w:rPr>
                <w:rFonts w:ascii="Times New Roman" w:hAnsi="Times New Roman"/>
                <w:sz w:val="24"/>
                <w:szCs w:val="24"/>
              </w:rPr>
              <w:t> </w:t>
            </w:r>
            <w:r w:rsidRPr="006876EF">
              <w:rPr>
                <w:rFonts w:ascii="Times New Roman" w:hAnsi="Times New Roman"/>
                <w:sz w:val="24"/>
                <w:szCs w:val="24"/>
              </w:rPr>
              <w:t>panta 1.</w:t>
            </w:r>
            <w:r w:rsidR="005118FF">
              <w:rPr>
                <w:rFonts w:ascii="Times New Roman" w:hAnsi="Times New Roman"/>
                <w:sz w:val="24"/>
                <w:szCs w:val="24"/>
              </w:rPr>
              <w:t> </w:t>
            </w:r>
            <w:r w:rsidR="00A85663">
              <w:rPr>
                <w:rFonts w:ascii="Times New Roman" w:hAnsi="Times New Roman"/>
                <w:sz w:val="24"/>
                <w:szCs w:val="24"/>
              </w:rPr>
              <w:t xml:space="preserve">punktu </w:t>
            </w:r>
            <w:r w:rsidRPr="006876EF">
              <w:rPr>
                <w:rFonts w:ascii="Times New Roman" w:hAnsi="Times New Roman"/>
                <w:sz w:val="24"/>
                <w:szCs w:val="24"/>
              </w:rPr>
              <w:t xml:space="preserve"> jāpaziņo par pieņemtajām sankcijām Eiropas Komisijai.</w:t>
            </w:r>
          </w:p>
          <w:p w:rsidR="006F506D" w:rsidRPr="006876EF" w:rsidP="009007A4" w14:paraId="5BD7F2CA" w14:textId="1E66C8FE">
            <w:pPr>
              <w:spacing w:before="60" w:after="60"/>
              <w:rPr>
                <w:rFonts w:ascii="Times New Roman" w:eastAsia="Times New Roman" w:hAnsi="Times New Roman"/>
                <w:sz w:val="24"/>
                <w:szCs w:val="24"/>
                <w:lang w:eastAsia="lv-LV"/>
              </w:rPr>
            </w:pPr>
            <w:r w:rsidRPr="009007A4">
              <w:rPr>
                <w:rFonts w:ascii="Times New Roman" w:hAnsi="Times New Roman"/>
                <w:sz w:val="24"/>
                <w:szCs w:val="24"/>
              </w:rPr>
              <w:t>V</w:t>
            </w:r>
            <w:r>
              <w:rPr>
                <w:rFonts w:ascii="Times New Roman" w:hAnsi="Times New Roman"/>
                <w:sz w:val="24"/>
                <w:szCs w:val="24"/>
              </w:rPr>
              <w:t>VD</w:t>
            </w:r>
            <w:r w:rsidRPr="009007A4">
              <w:rPr>
                <w:rFonts w:ascii="Times New Roman" w:hAnsi="Times New Roman"/>
                <w:sz w:val="24"/>
                <w:szCs w:val="24"/>
              </w:rPr>
              <w:t xml:space="preserve"> likumprojektā noteiktās funkcijas nodrošinās pieejamo resursu ietvaros.</w:t>
            </w:r>
          </w:p>
        </w:tc>
      </w:tr>
    </w:tbl>
    <w:p w:rsidR="004F4CB2" w:rsidRPr="00E1755A" w:rsidP="001D6769" w14:paraId="24CE62D1" w14:textId="4DF9E4FD">
      <w:pPr>
        <w:spacing w:after="0"/>
        <w:rPr>
          <w:rFonts w:ascii="Times New Roman" w:hAnsi="Times New Roman"/>
          <w:b/>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68"/>
        <w:gridCol w:w="1598"/>
        <w:gridCol w:w="7290"/>
      </w:tblGrid>
      <w:tr w14:paraId="24CE62D3" w14:textId="77777777" w:rsidTr="003D77B9">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rHeight w:val="450"/>
          <w:jc w:val="center"/>
        </w:trPr>
        <w:tc>
          <w:tcPr>
            <w:tcW w:w="0" w:type="auto"/>
            <w:gridSpan w:val="3"/>
            <w:vAlign w:val="center"/>
          </w:tcPr>
          <w:p w:rsidR="00CB4AAB" w:rsidRPr="00E1755A" w:rsidP="00B63F0E" w14:paraId="24CE62D2" w14:textId="17A925FF">
            <w:pPr>
              <w:spacing w:before="60" w:after="60"/>
              <w:jc w:val="center"/>
              <w:rPr>
                <w:rFonts w:ascii="Times New Roman" w:hAnsi="Times New Roman"/>
                <w:b/>
                <w:bCs/>
                <w:sz w:val="24"/>
                <w:szCs w:val="24"/>
                <w:lang w:eastAsia="lv-LV"/>
              </w:rPr>
            </w:pPr>
            <w:r w:rsidRPr="00E1755A">
              <w:rPr>
                <w:rFonts w:ascii="Times New Roman" w:hAnsi="Times New Roman"/>
                <w:b/>
                <w:bCs/>
                <w:sz w:val="24"/>
                <w:szCs w:val="24"/>
                <w:lang w:eastAsia="lv-LV"/>
              </w:rPr>
              <w:t>IV.</w:t>
            </w:r>
            <w:r w:rsidRPr="00E1755A" w:rsidR="00D80F1B">
              <w:rPr>
                <w:rFonts w:ascii="Times New Roman" w:hAnsi="Times New Roman"/>
                <w:b/>
                <w:bCs/>
                <w:sz w:val="24"/>
                <w:szCs w:val="24"/>
                <w:lang w:eastAsia="lv-LV"/>
              </w:rPr>
              <w:t> </w:t>
            </w:r>
            <w:r w:rsidRPr="00E1755A">
              <w:rPr>
                <w:rFonts w:ascii="Times New Roman" w:hAnsi="Times New Roman"/>
                <w:b/>
                <w:bCs/>
                <w:sz w:val="24"/>
                <w:szCs w:val="24"/>
                <w:lang w:eastAsia="lv-LV"/>
              </w:rPr>
              <w:t>Tiesību akta projekta ietekme uz spēkā esošo tiesību normu sistēmu</w:t>
            </w:r>
          </w:p>
        </w:tc>
      </w:tr>
      <w:tr w14:paraId="24CE62E3" w14:textId="77777777" w:rsidTr="003D77B9">
        <w:tblPrEx>
          <w:tblW w:w="9356" w:type="dxa"/>
          <w:jc w:val="center"/>
          <w:tblCellMar>
            <w:top w:w="30" w:type="dxa"/>
            <w:left w:w="30" w:type="dxa"/>
            <w:bottom w:w="30" w:type="dxa"/>
            <w:right w:w="30" w:type="dxa"/>
          </w:tblCellMar>
          <w:tblLook w:val="00A0"/>
        </w:tblPrEx>
        <w:trPr>
          <w:jc w:val="center"/>
        </w:trPr>
        <w:tc>
          <w:tcPr>
            <w:tcW w:w="250" w:type="pct"/>
          </w:tcPr>
          <w:p w:rsidR="00CB4AAB" w:rsidRPr="00E1755A" w:rsidP="00B63F0E" w14:paraId="24CE62D4" w14:textId="77777777">
            <w:pPr>
              <w:spacing w:before="60" w:after="60"/>
              <w:jc w:val="left"/>
              <w:rPr>
                <w:rFonts w:ascii="Times New Roman" w:hAnsi="Times New Roman"/>
                <w:sz w:val="24"/>
                <w:szCs w:val="24"/>
                <w:lang w:eastAsia="lv-LV"/>
              </w:rPr>
            </w:pPr>
            <w:r w:rsidRPr="00E1755A">
              <w:rPr>
                <w:rFonts w:ascii="Times New Roman" w:hAnsi="Times New Roman"/>
                <w:sz w:val="24"/>
                <w:szCs w:val="24"/>
                <w:lang w:eastAsia="lv-LV"/>
              </w:rPr>
              <w:t>1.</w:t>
            </w:r>
          </w:p>
        </w:tc>
        <w:tc>
          <w:tcPr>
            <w:tcW w:w="854" w:type="pct"/>
          </w:tcPr>
          <w:p w:rsidR="00CB4AAB" w:rsidRPr="00E1755A" w:rsidP="00B63F0E" w14:paraId="24CE62D5" w14:textId="77777777">
            <w:pPr>
              <w:spacing w:before="60" w:after="60"/>
              <w:jc w:val="left"/>
              <w:rPr>
                <w:rFonts w:ascii="Times New Roman" w:hAnsi="Times New Roman"/>
                <w:sz w:val="24"/>
                <w:szCs w:val="24"/>
                <w:lang w:eastAsia="lv-LV"/>
              </w:rPr>
            </w:pPr>
            <w:r w:rsidRPr="00E1755A">
              <w:rPr>
                <w:rFonts w:ascii="Times New Roman" w:hAnsi="Times New Roman"/>
                <w:sz w:val="24"/>
                <w:szCs w:val="24"/>
                <w:lang w:eastAsia="lv-LV"/>
              </w:rPr>
              <w:t>Nepieciešamie saistītie tiesību aktu projekti</w:t>
            </w:r>
          </w:p>
        </w:tc>
        <w:tc>
          <w:tcPr>
            <w:tcW w:w="3896" w:type="pct"/>
          </w:tcPr>
          <w:p w:rsidR="00962883" w:rsidP="00542BD9" w14:paraId="415EE4C5" w14:textId="77777777">
            <w:pPr>
              <w:spacing w:before="60" w:after="60"/>
              <w:rPr>
                <w:rFonts w:ascii="Times New Roman" w:hAnsi="Times New Roman"/>
                <w:sz w:val="24"/>
                <w:szCs w:val="24"/>
                <w:lang w:eastAsia="lv-LV"/>
              </w:rPr>
            </w:pPr>
            <w:r w:rsidRPr="00E1755A">
              <w:rPr>
                <w:rFonts w:ascii="Times New Roman" w:hAnsi="Times New Roman"/>
                <w:sz w:val="24"/>
                <w:szCs w:val="24"/>
                <w:lang w:eastAsia="lv-LV"/>
              </w:rPr>
              <w:t xml:space="preserve">Likumprojekts ir virzāms un </w:t>
            </w:r>
            <w:r w:rsidRPr="00E1755A" w:rsidR="00D80F1B">
              <w:rPr>
                <w:rFonts w:ascii="Times New Roman" w:hAnsi="Times New Roman"/>
                <w:sz w:val="24"/>
                <w:szCs w:val="24"/>
                <w:lang w:eastAsia="lv-LV"/>
              </w:rPr>
              <w:t>izskatāms likumdošanas procesā vienlaikus</w:t>
            </w:r>
            <w:r w:rsidRPr="00E1755A">
              <w:rPr>
                <w:rFonts w:ascii="Times New Roman" w:hAnsi="Times New Roman"/>
                <w:sz w:val="24"/>
                <w:szCs w:val="24"/>
                <w:lang w:eastAsia="lv-LV"/>
              </w:rPr>
              <w:t xml:space="preserve"> ar likumprojektu „Grozījumi </w:t>
            </w:r>
            <w:r w:rsidRPr="00E1755A" w:rsidR="00F13061">
              <w:rPr>
                <w:rFonts w:ascii="Times New Roman" w:hAnsi="Times New Roman"/>
                <w:sz w:val="24"/>
                <w:szCs w:val="24"/>
                <w:lang w:eastAsia="lv-LV"/>
              </w:rPr>
              <w:t>likumā „Par piesārņojumu””</w:t>
            </w:r>
            <w:r w:rsidRPr="00E1755A" w:rsidR="009F406B">
              <w:rPr>
                <w:rFonts w:ascii="Times New Roman" w:hAnsi="Times New Roman"/>
                <w:sz w:val="24"/>
                <w:szCs w:val="24"/>
                <w:lang w:eastAsia="lv-LV"/>
              </w:rPr>
              <w:t>, jo tajā tiek noteikti</w:t>
            </w:r>
            <w:r>
              <w:rPr>
                <w:rFonts w:ascii="Times New Roman" w:hAnsi="Times New Roman"/>
                <w:sz w:val="24"/>
                <w:szCs w:val="24"/>
                <w:lang w:eastAsia="lv-LV"/>
              </w:rPr>
              <w:t>:</w:t>
            </w:r>
          </w:p>
          <w:p w:rsidR="00E60BF8" w:rsidP="00CC0663" w14:paraId="3928E680" w14:textId="04E413E7">
            <w:pPr>
              <w:pStyle w:val="ListParagraph"/>
              <w:numPr>
                <w:ilvl w:val="0"/>
                <w:numId w:val="18"/>
              </w:numPr>
              <w:spacing w:before="60" w:after="60"/>
              <w:ind w:left="284" w:hanging="284"/>
              <w:rPr>
                <w:sz w:val="24"/>
                <w:szCs w:val="24"/>
                <w:lang w:eastAsia="lv-LV"/>
              </w:rPr>
            </w:pPr>
            <w:r w:rsidRPr="00CC0663">
              <w:rPr>
                <w:sz w:val="24"/>
                <w:szCs w:val="24"/>
                <w:lang w:eastAsia="lv-LV"/>
              </w:rPr>
              <w:t>regulas Nr.2015/757 3.</w:t>
            </w:r>
            <w:r w:rsidR="00670229">
              <w:rPr>
                <w:sz w:val="24"/>
                <w:szCs w:val="24"/>
                <w:lang w:eastAsia="lv-LV"/>
              </w:rPr>
              <w:t> </w:t>
            </w:r>
            <w:r w:rsidRPr="00CC0663">
              <w:rPr>
                <w:sz w:val="24"/>
                <w:szCs w:val="24"/>
                <w:lang w:eastAsia="lv-LV"/>
              </w:rPr>
              <w:t xml:space="preserve">panta „d” punktā minēto uzņēmumu </w:t>
            </w:r>
            <w:r w:rsidRPr="00CC0663" w:rsidR="009F406B">
              <w:rPr>
                <w:sz w:val="24"/>
                <w:szCs w:val="24"/>
                <w:lang w:eastAsia="lv-LV"/>
              </w:rPr>
              <w:t xml:space="preserve">pienākumi, kā arī ir noteiktas kompetentās iestādes Latvijā </w:t>
            </w:r>
            <w:r w:rsidRPr="00CC0663">
              <w:rPr>
                <w:sz w:val="24"/>
                <w:szCs w:val="24"/>
                <w:lang w:eastAsia="lv-LV"/>
              </w:rPr>
              <w:t xml:space="preserve"> </w:t>
            </w:r>
            <w:r w:rsidRPr="00CC0663" w:rsidR="009F406B">
              <w:rPr>
                <w:sz w:val="24"/>
                <w:szCs w:val="24"/>
                <w:lang w:eastAsia="lv-LV"/>
              </w:rPr>
              <w:t xml:space="preserve">– </w:t>
            </w:r>
            <w:r w:rsidR="00800563">
              <w:rPr>
                <w:sz w:val="24"/>
                <w:szCs w:val="24"/>
                <w:lang w:eastAsia="lv-LV"/>
              </w:rPr>
              <w:t>VARAM</w:t>
            </w:r>
            <w:r w:rsidRPr="00CC0663" w:rsidR="009F406B">
              <w:rPr>
                <w:sz w:val="24"/>
                <w:szCs w:val="24"/>
                <w:lang w:eastAsia="lv-LV"/>
              </w:rPr>
              <w:t xml:space="preserve"> un </w:t>
            </w:r>
            <w:r w:rsidR="009A664F">
              <w:rPr>
                <w:sz w:val="24"/>
                <w:szCs w:val="24"/>
                <w:lang w:eastAsia="lv-LV"/>
              </w:rPr>
              <w:t>VVD</w:t>
            </w:r>
            <w:r w:rsidRPr="00CC0663" w:rsidR="009F406B">
              <w:rPr>
                <w:sz w:val="24"/>
                <w:szCs w:val="24"/>
                <w:lang w:eastAsia="lv-LV"/>
              </w:rPr>
              <w:t>, kas savas kompetences ietvaros uzrauga un kontrolē regulā Nr.</w:t>
            </w:r>
            <w:r w:rsidR="00E70E8D">
              <w:rPr>
                <w:sz w:val="24"/>
                <w:szCs w:val="24"/>
                <w:lang w:eastAsia="lv-LV"/>
              </w:rPr>
              <w:t> </w:t>
            </w:r>
            <w:r w:rsidRPr="00CC0663" w:rsidR="009F406B">
              <w:rPr>
                <w:sz w:val="24"/>
                <w:szCs w:val="24"/>
                <w:lang w:eastAsia="lv-LV"/>
              </w:rPr>
              <w:t xml:space="preserve">2015/757 </w:t>
            </w:r>
            <w:r w:rsidRPr="00CC0663">
              <w:rPr>
                <w:sz w:val="24"/>
                <w:szCs w:val="24"/>
                <w:lang w:eastAsia="lv-LV"/>
              </w:rPr>
              <w:t>regulas Nr.</w:t>
            </w:r>
            <w:r w:rsidR="00E70E8D">
              <w:rPr>
                <w:sz w:val="24"/>
                <w:szCs w:val="24"/>
                <w:lang w:eastAsia="lv-LV"/>
              </w:rPr>
              <w:t> </w:t>
            </w:r>
            <w:r w:rsidRPr="00CC0663">
              <w:rPr>
                <w:sz w:val="24"/>
                <w:szCs w:val="24"/>
                <w:lang w:eastAsia="lv-LV"/>
              </w:rPr>
              <w:t>2015/757 3.</w:t>
            </w:r>
            <w:r w:rsidR="00E70E8D">
              <w:rPr>
                <w:sz w:val="24"/>
                <w:szCs w:val="24"/>
                <w:lang w:eastAsia="lv-LV"/>
              </w:rPr>
              <w:t> </w:t>
            </w:r>
            <w:r w:rsidRPr="00CC0663">
              <w:rPr>
                <w:sz w:val="24"/>
                <w:szCs w:val="24"/>
                <w:lang w:eastAsia="lv-LV"/>
              </w:rPr>
              <w:t>panta „d” punktā minētajiem uzņēmumiem</w:t>
            </w:r>
            <w:r w:rsidRPr="00CC0663" w:rsidR="009F406B">
              <w:rPr>
                <w:sz w:val="24"/>
                <w:szCs w:val="24"/>
                <w:lang w:eastAsia="lv-LV"/>
              </w:rPr>
              <w:t xml:space="preserve"> noteikto prasību izpildi</w:t>
            </w:r>
            <w:r w:rsidR="00E70E8D">
              <w:rPr>
                <w:sz w:val="24"/>
                <w:szCs w:val="24"/>
                <w:lang w:eastAsia="lv-LV"/>
              </w:rPr>
              <w:t>;</w:t>
            </w:r>
          </w:p>
          <w:p w:rsidR="00962883" w:rsidP="009A664F" w14:paraId="01DAF915" w14:textId="77777777">
            <w:pPr>
              <w:pStyle w:val="ListParagraph"/>
              <w:numPr>
                <w:ilvl w:val="0"/>
                <w:numId w:val="18"/>
              </w:numPr>
              <w:spacing w:before="60" w:after="60"/>
              <w:ind w:left="284" w:hanging="284"/>
              <w:rPr>
                <w:sz w:val="24"/>
                <w:szCs w:val="24"/>
                <w:lang w:eastAsia="lv-LV"/>
              </w:rPr>
            </w:pPr>
            <w:r>
              <w:rPr>
                <w:sz w:val="24"/>
                <w:szCs w:val="24"/>
                <w:lang w:eastAsia="lv-LV"/>
              </w:rPr>
              <w:t xml:space="preserve">pienākumi degvielas piegādātājiem samazināt piegādātās degvielas aprites ciklā radīto SEG emisiju apjomu, nodrošināt augšposma SEG emisiju samazinājumu, kā arī sniegt ikgadējos ziņojumus par šo pienākumu izpildi, kā arī ir noteikta kompetentā iestāde Latvijā attiecībā uz šiem nosacījumiem – </w:t>
            </w:r>
            <w:r w:rsidR="009A664F">
              <w:rPr>
                <w:sz w:val="24"/>
                <w:szCs w:val="24"/>
                <w:lang w:eastAsia="lv-LV"/>
              </w:rPr>
              <w:t>VVD</w:t>
            </w:r>
            <w:r>
              <w:rPr>
                <w:sz w:val="24"/>
                <w:szCs w:val="24"/>
                <w:lang w:eastAsia="lv-LV"/>
              </w:rPr>
              <w:t>.</w:t>
            </w:r>
          </w:p>
          <w:p w:rsidR="009C3C2F" w:rsidRPr="009C3C2F" w:rsidP="00A85663" w14:paraId="24CE62E2" w14:textId="1449112B">
            <w:pPr>
              <w:spacing w:before="60" w:after="60"/>
              <w:ind w:left="174"/>
              <w:rPr>
                <w:sz w:val="24"/>
                <w:szCs w:val="24"/>
                <w:lang w:eastAsia="lv-LV"/>
              </w:rPr>
            </w:pPr>
            <w:r w:rsidRPr="00A85663">
              <w:rPr>
                <w:rFonts w:ascii="Times New Roman" w:eastAsia="Times New Roman" w:hAnsi="Times New Roman"/>
                <w:sz w:val="24"/>
                <w:szCs w:val="24"/>
                <w:lang w:eastAsia="lv-LV"/>
              </w:rPr>
              <w:t>Vienlaikus</w:t>
            </w:r>
            <w:r w:rsidRPr="00A85663">
              <w:rPr>
                <w:rFonts w:ascii="Times New Roman" w:eastAsia="Times New Roman" w:hAnsi="Times New Roman"/>
                <w:sz w:val="24"/>
                <w:szCs w:val="24"/>
                <w:lang w:eastAsia="lv-LV"/>
              </w:rPr>
              <w:t xml:space="preserve"> ar likumprojektu Ministru kabineta sēdē ir skatāms Ekonomikas ministrijas sagatavotais Ministru kabineta rīkojuma projekts “Par apropriācijas pārdali”.</w:t>
            </w:r>
          </w:p>
        </w:tc>
      </w:tr>
      <w:tr w14:paraId="24CE62E7" w14:textId="77777777" w:rsidTr="003D77B9">
        <w:tblPrEx>
          <w:tblW w:w="9356" w:type="dxa"/>
          <w:jc w:val="center"/>
          <w:tblCellMar>
            <w:top w:w="30" w:type="dxa"/>
            <w:left w:w="30" w:type="dxa"/>
            <w:bottom w:w="30" w:type="dxa"/>
            <w:right w:w="30" w:type="dxa"/>
          </w:tblCellMar>
          <w:tblLook w:val="00A0"/>
        </w:tblPrEx>
        <w:trPr>
          <w:jc w:val="center"/>
        </w:trPr>
        <w:tc>
          <w:tcPr>
            <w:tcW w:w="250" w:type="pct"/>
          </w:tcPr>
          <w:p w:rsidR="00CB4AAB" w:rsidRPr="00E1755A" w:rsidP="00B63F0E" w14:paraId="24CE62E4" w14:textId="707B33DA">
            <w:pPr>
              <w:spacing w:before="60" w:after="60"/>
              <w:jc w:val="left"/>
              <w:rPr>
                <w:rFonts w:ascii="Times New Roman" w:hAnsi="Times New Roman"/>
                <w:sz w:val="24"/>
                <w:szCs w:val="24"/>
                <w:lang w:eastAsia="lv-LV"/>
              </w:rPr>
            </w:pPr>
            <w:r w:rsidRPr="00E1755A">
              <w:rPr>
                <w:rFonts w:ascii="Times New Roman" w:hAnsi="Times New Roman"/>
                <w:sz w:val="24"/>
                <w:szCs w:val="24"/>
                <w:lang w:eastAsia="lv-LV"/>
              </w:rPr>
              <w:t>2.</w:t>
            </w:r>
          </w:p>
        </w:tc>
        <w:tc>
          <w:tcPr>
            <w:tcW w:w="854" w:type="pct"/>
          </w:tcPr>
          <w:p w:rsidR="00CB4AAB" w:rsidRPr="00E1755A" w:rsidP="00B63F0E" w14:paraId="24CE62E5" w14:textId="77777777">
            <w:pPr>
              <w:spacing w:before="60" w:after="60"/>
              <w:jc w:val="left"/>
              <w:rPr>
                <w:rFonts w:ascii="Times New Roman" w:hAnsi="Times New Roman"/>
                <w:sz w:val="24"/>
                <w:szCs w:val="24"/>
                <w:lang w:eastAsia="lv-LV"/>
              </w:rPr>
            </w:pPr>
            <w:r w:rsidRPr="00E1755A">
              <w:rPr>
                <w:rFonts w:ascii="Times New Roman" w:hAnsi="Times New Roman"/>
                <w:sz w:val="24"/>
                <w:szCs w:val="24"/>
                <w:lang w:eastAsia="lv-LV"/>
              </w:rPr>
              <w:t>Atbildīgā institūcija</w:t>
            </w:r>
          </w:p>
        </w:tc>
        <w:tc>
          <w:tcPr>
            <w:tcW w:w="3896" w:type="pct"/>
          </w:tcPr>
          <w:p w:rsidR="00CB4AAB" w:rsidRPr="00E1755A" w:rsidP="00E70E8D" w14:paraId="24CE62E6" w14:textId="1C7E5EA7">
            <w:pPr>
              <w:spacing w:before="60" w:after="60"/>
              <w:rPr>
                <w:rFonts w:ascii="Times New Roman" w:hAnsi="Times New Roman"/>
                <w:sz w:val="24"/>
                <w:szCs w:val="24"/>
                <w:lang w:eastAsia="lv-LV"/>
              </w:rPr>
            </w:pPr>
            <w:r w:rsidRPr="00E1755A">
              <w:rPr>
                <w:rFonts w:ascii="Times New Roman" w:hAnsi="Times New Roman"/>
                <w:sz w:val="24"/>
                <w:szCs w:val="24"/>
                <w:lang w:eastAsia="lv-LV"/>
              </w:rPr>
              <w:t>V</w:t>
            </w:r>
            <w:r w:rsidR="00E70E8D">
              <w:rPr>
                <w:rFonts w:ascii="Times New Roman" w:hAnsi="Times New Roman"/>
                <w:sz w:val="24"/>
                <w:szCs w:val="24"/>
                <w:lang w:eastAsia="lv-LV"/>
              </w:rPr>
              <w:t>ARAM</w:t>
            </w:r>
          </w:p>
        </w:tc>
      </w:tr>
      <w:tr w14:paraId="24CE62EB" w14:textId="77777777" w:rsidTr="003D77B9">
        <w:tblPrEx>
          <w:tblW w:w="9356" w:type="dxa"/>
          <w:jc w:val="center"/>
          <w:tblCellMar>
            <w:top w:w="30" w:type="dxa"/>
            <w:left w:w="30" w:type="dxa"/>
            <w:bottom w:w="30" w:type="dxa"/>
            <w:right w:w="30" w:type="dxa"/>
          </w:tblCellMar>
          <w:tblLook w:val="00A0"/>
        </w:tblPrEx>
        <w:trPr>
          <w:jc w:val="center"/>
        </w:trPr>
        <w:tc>
          <w:tcPr>
            <w:tcW w:w="250" w:type="pct"/>
          </w:tcPr>
          <w:p w:rsidR="00CB4AAB" w:rsidRPr="00E1755A" w:rsidP="00B63F0E" w14:paraId="24CE62E8" w14:textId="77777777">
            <w:pPr>
              <w:spacing w:before="60" w:after="60"/>
              <w:jc w:val="left"/>
              <w:rPr>
                <w:rFonts w:ascii="Times New Roman" w:hAnsi="Times New Roman"/>
                <w:sz w:val="24"/>
                <w:szCs w:val="24"/>
                <w:lang w:eastAsia="lv-LV"/>
              </w:rPr>
            </w:pPr>
            <w:r w:rsidRPr="00E1755A">
              <w:rPr>
                <w:rFonts w:ascii="Times New Roman" w:hAnsi="Times New Roman"/>
                <w:sz w:val="24"/>
                <w:szCs w:val="24"/>
                <w:lang w:eastAsia="lv-LV"/>
              </w:rPr>
              <w:t>3.</w:t>
            </w:r>
          </w:p>
        </w:tc>
        <w:tc>
          <w:tcPr>
            <w:tcW w:w="854" w:type="pct"/>
          </w:tcPr>
          <w:p w:rsidR="00CB4AAB" w:rsidRPr="00E1755A" w:rsidP="00B63F0E" w14:paraId="24CE62E9" w14:textId="77777777">
            <w:pPr>
              <w:spacing w:before="60" w:after="60"/>
              <w:jc w:val="left"/>
              <w:rPr>
                <w:rFonts w:ascii="Times New Roman" w:hAnsi="Times New Roman"/>
                <w:sz w:val="24"/>
                <w:szCs w:val="24"/>
                <w:lang w:eastAsia="lv-LV"/>
              </w:rPr>
            </w:pPr>
            <w:r w:rsidRPr="00E1755A">
              <w:rPr>
                <w:rFonts w:ascii="Times New Roman" w:hAnsi="Times New Roman"/>
                <w:sz w:val="24"/>
                <w:szCs w:val="24"/>
                <w:lang w:eastAsia="lv-LV"/>
              </w:rPr>
              <w:t>Cita informācija</w:t>
            </w:r>
          </w:p>
        </w:tc>
        <w:tc>
          <w:tcPr>
            <w:tcW w:w="3896" w:type="pct"/>
          </w:tcPr>
          <w:p w:rsidR="00CB4AAB" w:rsidRPr="00E1755A" w:rsidP="00B63F0E" w14:paraId="24CE62EA" w14:textId="3DAB77B5">
            <w:pPr>
              <w:spacing w:before="60" w:after="60"/>
              <w:jc w:val="left"/>
              <w:rPr>
                <w:rFonts w:ascii="Times New Roman" w:hAnsi="Times New Roman"/>
                <w:sz w:val="24"/>
                <w:szCs w:val="24"/>
                <w:lang w:eastAsia="lv-LV"/>
              </w:rPr>
            </w:pPr>
            <w:r w:rsidRPr="00E1755A">
              <w:rPr>
                <w:rFonts w:ascii="Times New Roman" w:hAnsi="Times New Roman"/>
                <w:sz w:val="24"/>
                <w:szCs w:val="24"/>
                <w:lang w:eastAsia="lv-LV"/>
              </w:rPr>
              <w:t>Nav</w:t>
            </w:r>
          </w:p>
        </w:tc>
      </w:tr>
    </w:tbl>
    <w:p w:rsidR="00CB4AAB" w:rsidRPr="00E1755A" w:rsidP="000A58AB" w14:paraId="24CE62EC" w14:textId="77777777">
      <w:pPr>
        <w:shd w:val="clear" w:color="auto" w:fill="FFFFFF"/>
        <w:spacing w:after="0"/>
        <w:ind w:firstLine="300"/>
        <w:jc w:val="left"/>
        <w:rPr>
          <w:rFonts w:ascii="Times New Roman" w:hAnsi="Times New Roman"/>
          <w:sz w:val="24"/>
          <w:szCs w:val="24"/>
          <w:lang w:eastAsia="lv-LV"/>
        </w:rPr>
      </w:pPr>
      <w:r w:rsidRPr="00E1755A">
        <w:rPr>
          <w:rFonts w:ascii="Times New Roman" w:hAnsi="Times New Roman"/>
          <w:sz w:val="24"/>
          <w:szCs w:val="24"/>
          <w:lang w:eastAsia="lv-LV"/>
        </w:rPr>
        <w:t>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68"/>
        <w:gridCol w:w="1598"/>
        <w:gridCol w:w="7290"/>
      </w:tblGrid>
      <w:tr w14:paraId="24CE62EE" w14:textId="77777777" w:rsidTr="003D77B9">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jc w:val="center"/>
        </w:trPr>
        <w:tc>
          <w:tcPr>
            <w:tcW w:w="5000" w:type="pct"/>
            <w:gridSpan w:val="3"/>
            <w:shd w:val="clear" w:color="auto" w:fill="FFFFFF"/>
            <w:vAlign w:val="center"/>
          </w:tcPr>
          <w:p w:rsidR="00CB4AAB" w:rsidRPr="00E1755A" w:rsidP="00B63F0E" w14:paraId="24CE62ED" w14:textId="4F236108">
            <w:pPr>
              <w:spacing w:before="60" w:after="60"/>
              <w:jc w:val="center"/>
              <w:rPr>
                <w:rFonts w:ascii="Times New Roman" w:hAnsi="Times New Roman"/>
                <w:b/>
                <w:bCs/>
                <w:sz w:val="24"/>
                <w:szCs w:val="24"/>
                <w:lang w:eastAsia="lv-LV"/>
              </w:rPr>
            </w:pPr>
            <w:r w:rsidRPr="00E1755A">
              <w:rPr>
                <w:rFonts w:ascii="Times New Roman" w:hAnsi="Times New Roman"/>
                <w:b/>
                <w:bCs/>
                <w:sz w:val="24"/>
                <w:szCs w:val="24"/>
                <w:lang w:eastAsia="lv-LV"/>
              </w:rPr>
              <w:t>V.</w:t>
            </w:r>
            <w:r w:rsidRPr="00E1755A" w:rsidR="00D80F1B">
              <w:rPr>
                <w:rFonts w:ascii="Times New Roman" w:hAnsi="Times New Roman"/>
                <w:b/>
                <w:bCs/>
                <w:sz w:val="24"/>
                <w:szCs w:val="24"/>
                <w:lang w:eastAsia="lv-LV"/>
              </w:rPr>
              <w:t> </w:t>
            </w:r>
            <w:r w:rsidRPr="00E1755A">
              <w:rPr>
                <w:rFonts w:ascii="Times New Roman" w:hAnsi="Times New Roman"/>
                <w:b/>
                <w:bCs/>
                <w:sz w:val="24"/>
                <w:szCs w:val="24"/>
                <w:lang w:eastAsia="lv-LV"/>
              </w:rPr>
              <w:t>Tiesību akta projekta atbilstība Latvijas Republikas starptautiskajām saistībām</w:t>
            </w:r>
          </w:p>
        </w:tc>
      </w:tr>
      <w:tr w14:paraId="24CE62F8" w14:textId="77777777" w:rsidTr="003D77B9">
        <w:tblPrEx>
          <w:tblW w:w="9356" w:type="dxa"/>
          <w:jc w:val="center"/>
          <w:tblCellMar>
            <w:top w:w="30" w:type="dxa"/>
            <w:left w:w="30" w:type="dxa"/>
            <w:bottom w:w="30" w:type="dxa"/>
            <w:right w:w="30" w:type="dxa"/>
          </w:tblCellMar>
          <w:tblLook w:val="00A0"/>
        </w:tblPrEx>
        <w:trPr>
          <w:jc w:val="center"/>
        </w:trPr>
        <w:tc>
          <w:tcPr>
            <w:tcW w:w="250" w:type="pct"/>
            <w:shd w:val="clear" w:color="auto" w:fill="FFFFFF"/>
          </w:tcPr>
          <w:p w:rsidR="00CB4AAB" w:rsidRPr="00E1755A" w:rsidP="00B63F0E" w14:paraId="24CE62EF" w14:textId="77777777">
            <w:pPr>
              <w:spacing w:before="60" w:after="60"/>
              <w:jc w:val="left"/>
              <w:rPr>
                <w:rFonts w:ascii="Times New Roman" w:hAnsi="Times New Roman"/>
                <w:sz w:val="24"/>
                <w:szCs w:val="24"/>
                <w:lang w:eastAsia="lv-LV"/>
              </w:rPr>
            </w:pPr>
            <w:r w:rsidRPr="00E1755A">
              <w:rPr>
                <w:rFonts w:ascii="Times New Roman" w:hAnsi="Times New Roman"/>
                <w:sz w:val="24"/>
                <w:szCs w:val="24"/>
                <w:lang w:eastAsia="lv-LV"/>
              </w:rPr>
              <w:t>1.</w:t>
            </w:r>
          </w:p>
        </w:tc>
        <w:tc>
          <w:tcPr>
            <w:tcW w:w="854" w:type="pct"/>
            <w:shd w:val="clear" w:color="auto" w:fill="FFFFFF"/>
          </w:tcPr>
          <w:p w:rsidR="00CB4AAB" w:rsidRPr="00E1755A" w:rsidP="00B63F0E" w14:paraId="24CE62F0" w14:textId="77777777">
            <w:pPr>
              <w:spacing w:before="60" w:after="60"/>
              <w:jc w:val="left"/>
              <w:rPr>
                <w:rFonts w:ascii="Times New Roman" w:hAnsi="Times New Roman"/>
                <w:sz w:val="24"/>
                <w:szCs w:val="24"/>
                <w:lang w:eastAsia="lv-LV"/>
              </w:rPr>
            </w:pPr>
            <w:r w:rsidRPr="00E1755A">
              <w:rPr>
                <w:rFonts w:ascii="Times New Roman" w:hAnsi="Times New Roman"/>
                <w:sz w:val="24"/>
                <w:szCs w:val="24"/>
                <w:lang w:eastAsia="lv-LV"/>
              </w:rPr>
              <w:t>Saistības pret Eiropas Savienību</w:t>
            </w:r>
          </w:p>
        </w:tc>
        <w:tc>
          <w:tcPr>
            <w:tcW w:w="3896" w:type="pct"/>
            <w:shd w:val="clear" w:color="auto" w:fill="FFFFFF"/>
          </w:tcPr>
          <w:p w:rsidR="00CB4AAB" w:rsidRPr="00E1755A" w:rsidP="00B63F0E" w14:paraId="24CE62F1" w14:textId="69301792">
            <w:pPr>
              <w:autoSpaceDE w:val="0"/>
              <w:autoSpaceDN w:val="0"/>
              <w:adjustRightInd w:val="0"/>
              <w:spacing w:before="60" w:after="60"/>
              <w:ind w:firstLine="256"/>
              <w:rPr>
                <w:rFonts w:ascii="Times New Roman" w:hAnsi="Times New Roman"/>
                <w:sz w:val="24"/>
                <w:szCs w:val="24"/>
              </w:rPr>
            </w:pPr>
            <w:r w:rsidRPr="00E1755A">
              <w:rPr>
                <w:rFonts w:ascii="Times New Roman" w:hAnsi="Times New Roman"/>
                <w:sz w:val="24"/>
                <w:szCs w:val="24"/>
              </w:rPr>
              <w:t>Likumprojekts sagatavots, ievērojot šādu</w:t>
            </w:r>
            <w:r w:rsidR="00271791">
              <w:rPr>
                <w:rFonts w:ascii="Times New Roman" w:hAnsi="Times New Roman"/>
                <w:sz w:val="24"/>
                <w:szCs w:val="24"/>
              </w:rPr>
              <w:t>s</w:t>
            </w:r>
            <w:r w:rsidR="00A85663">
              <w:rPr>
                <w:rFonts w:ascii="Times New Roman" w:hAnsi="Times New Roman"/>
                <w:sz w:val="24"/>
                <w:szCs w:val="24"/>
              </w:rPr>
              <w:t xml:space="preserve"> ES</w:t>
            </w:r>
            <w:r w:rsidRPr="00E1755A">
              <w:rPr>
                <w:rFonts w:ascii="Times New Roman" w:hAnsi="Times New Roman"/>
                <w:sz w:val="24"/>
                <w:szCs w:val="24"/>
              </w:rPr>
              <w:t xml:space="preserve"> tiesību aktu</w:t>
            </w:r>
            <w:r w:rsidR="00271791">
              <w:rPr>
                <w:rFonts w:ascii="Times New Roman" w:hAnsi="Times New Roman"/>
                <w:sz w:val="24"/>
                <w:szCs w:val="24"/>
              </w:rPr>
              <w:t>s</w:t>
            </w:r>
            <w:r w:rsidRPr="00E1755A">
              <w:rPr>
                <w:rFonts w:ascii="Times New Roman" w:hAnsi="Times New Roman"/>
                <w:sz w:val="24"/>
                <w:szCs w:val="24"/>
              </w:rPr>
              <w:t>:</w:t>
            </w:r>
          </w:p>
          <w:p w:rsidR="009F406B" w:rsidRPr="00E1755A" w:rsidP="00BC0518" w14:paraId="7BC5EAD4" w14:textId="42EADF75">
            <w:pPr>
              <w:pStyle w:val="ListParagraph"/>
              <w:autoSpaceDE w:val="0"/>
              <w:autoSpaceDN w:val="0"/>
              <w:adjustRightInd w:val="0"/>
              <w:spacing w:before="60" w:after="60"/>
              <w:ind w:left="32" w:firstLine="0"/>
              <w:contextualSpacing w:val="0"/>
              <w:rPr>
                <w:sz w:val="24"/>
                <w:szCs w:val="24"/>
              </w:rPr>
            </w:pPr>
            <w:r>
              <w:rPr>
                <w:sz w:val="24"/>
                <w:szCs w:val="24"/>
              </w:rPr>
              <w:t>1. </w:t>
            </w:r>
            <w:r w:rsidRPr="00E1755A">
              <w:rPr>
                <w:sz w:val="24"/>
                <w:szCs w:val="24"/>
              </w:rPr>
              <w:t>Eiropas Parlamenta un Padomes 2003.</w:t>
            </w:r>
            <w:r>
              <w:rPr>
                <w:sz w:val="24"/>
                <w:szCs w:val="24"/>
              </w:rPr>
              <w:t> </w:t>
            </w:r>
            <w:r w:rsidRPr="00E1755A">
              <w:rPr>
                <w:sz w:val="24"/>
                <w:szCs w:val="24"/>
              </w:rPr>
              <w:t>gada 13.</w:t>
            </w:r>
            <w:r>
              <w:rPr>
                <w:sz w:val="24"/>
                <w:szCs w:val="24"/>
              </w:rPr>
              <w:t> </w:t>
            </w:r>
            <w:r w:rsidRPr="00E1755A">
              <w:rPr>
                <w:sz w:val="24"/>
                <w:szCs w:val="24"/>
              </w:rPr>
              <w:t>oktobra Direktīv</w:t>
            </w:r>
            <w:r>
              <w:rPr>
                <w:sz w:val="24"/>
                <w:szCs w:val="24"/>
              </w:rPr>
              <w:t>u</w:t>
            </w:r>
            <w:r w:rsidRPr="00E1755A">
              <w:rPr>
                <w:sz w:val="24"/>
                <w:szCs w:val="24"/>
              </w:rPr>
              <w:t xml:space="preserve"> Nr.</w:t>
            </w:r>
            <w:r w:rsidR="00EB19AA">
              <w:rPr>
                <w:sz w:val="24"/>
                <w:szCs w:val="24"/>
              </w:rPr>
              <w:t> </w:t>
            </w:r>
            <w:r w:rsidRPr="00E1755A">
              <w:rPr>
                <w:sz w:val="24"/>
                <w:szCs w:val="24"/>
              </w:rPr>
              <w:t xml:space="preserve">2003/87/EK, </w:t>
            </w:r>
            <w:r w:rsidRPr="00BE50EF" w:rsidR="00BE50EF">
              <w:rPr>
                <w:sz w:val="24"/>
                <w:szCs w:val="24"/>
              </w:rPr>
              <w:t>ar kuru nosaka sistēmu siltumnīcas efektu izraisošo gāzu emisijas kvotu tirdzniecībai Kopienā un groza Padomes Direktīvu 96/61/EK</w:t>
            </w:r>
            <w:r w:rsidRPr="00E1755A">
              <w:rPr>
                <w:rFonts w:eastAsia="EUAlbertina-Bold-Identity-H"/>
                <w:sz w:val="24"/>
                <w:szCs w:val="24"/>
              </w:rPr>
              <w:t>;</w:t>
            </w:r>
          </w:p>
          <w:p w:rsidR="00742725" w:rsidP="00BC0518" w14:paraId="0BE90406" w14:textId="604B22BB">
            <w:pPr>
              <w:pStyle w:val="ListParagraph"/>
              <w:autoSpaceDE w:val="0"/>
              <w:autoSpaceDN w:val="0"/>
              <w:adjustRightInd w:val="0"/>
              <w:spacing w:before="60" w:after="60"/>
              <w:ind w:left="32" w:firstLine="0"/>
              <w:contextualSpacing w:val="0"/>
              <w:rPr>
                <w:sz w:val="24"/>
                <w:szCs w:val="24"/>
                <w:lang w:eastAsia="lv-LV"/>
              </w:rPr>
            </w:pPr>
            <w:r>
              <w:rPr>
                <w:sz w:val="24"/>
                <w:szCs w:val="24"/>
              </w:rPr>
              <w:t>2. </w:t>
            </w:r>
            <w:r w:rsidR="00271791">
              <w:rPr>
                <w:sz w:val="24"/>
                <w:szCs w:val="24"/>
              </w:rPr>
              <w:t>R</w:t>
            </w:r>
            <w:r w:rsidRPr="00271791" w:rsidR="00271791">
              <w:rPr>
                <w:sz w:val="24"/>
                <w:szCs w:val="24"/>
              </w:rPr>
              <w:t>egul</w:t>
            </w:r>
            <w:r>
              <w:rPr>
                <w:sz w:val="24"/>
                <w:szCs w:val="24"/>
              </w:rPr>
              <w:t>u</w:t>
            </w:r>
            <w:r w:rsidRPr="00271791" w:rsidR="00271791">
              <w:rPr>
                <w:sz w:val="24"/>
                <w:szCs w:val="24"/>
              </w:rPr>
              <w:t xml:space="preserve"> Nr.</w:t>
            </w:r>
            <w:r>
              <w:rPr>
                <w:sz w:val="24"/>
                <w:szCs w:val="24"/>
              </w:rPr>
              <w:t> </w:t>
            </w:r>
            <w:r w:rsidRPr="00271791" w:rsidR="00271791">
              <w:rPr>
                <w:sz w:val="24"/>
                <w:szCs w:val="24"/>
              </w:rPr>
              <w:t>2015/757</w:t>
            </w:r>
            <w:r>
              <w:rPr>
                <w:sz w:val="24"/>
                <w:szCs w:val="24"/>
              </w:rPr>
              <w:t>;</w:t>
            </w:r>
          </w:p>
          <w:p w:rsidR="00D53361" w:rsidRPr="00E1755A" w:rsidP="00BC0518" w14:paraId="24CE62F7" w14:textId="3D803C9F">
            <w:pPr>
              <w:pStyle w:val="ListParagraph"/>
              <w:autoSpaceDE w:val="0"/>
              <w:autoSpaceDN w:val="0"/>
              <w:adjustRightInd w:val="0"/>
              <w:spacing w:before="60" w:after="60"/>
              <w:ind w:left="32" w:firstLine="0"/>
              <w:contextualSpacing w:val="0"/>
              <w:rPr>
                <w:sz w:val="24"/>
                <w:szCs w:val="24"/>
                <w:lang w:eastAsia="lv-LV"/>
              </w:rPr>
            </w:pPr>
            <w:r>
              <w:rPr>
                <w:sz w:val="24"/>
                <w:szCs w:val="24"/>
              </w:rPr>
              <w:t>3. </w:t>
            </w:r>
            <w:r w:rsidR="00742725">
              <w:rPr>
                <w:sz w:val="24"/>
                <w:szCs w:val="24"/>
              </w:rPr>
              <w:t>Direktīv</w:t>
            </w:r>
            <w:r>
              <w:rPr>
                <w:sz w:val="24"/>
                <w:szCs w:val="24"/>
              </w:rPr>
              <w:t>u</w:t>
            </w:r>
            <w:r w:rsidR="00742725">
              <w:rPr>
                <w:sz w:val="24"/>
                <w:szCs w:val="24"/>
              </w:rPr>
              <w:t xml:space="preserve"> Nr.</w:t>
            </w:r>
            <w:r>
              <w:rPr>
                <w:sz w:val="24"/>
                <w:szCs w:val="24"/>
              </w:rPr>
              <w:t> </w:t>
            </w:r>
            <w:r w:rsidR="00742725">
              <w:rPr>
                <w:sz w:val="24"/>
                <w:szCs w:val="24"/>
              </w:rPr>
              <w:t>2015/652</w:t>
            </w:r>
            <w:r w:rsidR="00271791">
              <w:rPr>
                <w:sz w:val="24"/>
                <w:szCs w:val="24"/>
              </w:rPr>
              <w:t>.</w:t>
            </w:r>
          </w:p>
        </w:tc>
      </w:tr>
      <w:tr w14:paraId="24CE6302" w14:textId="77777777" w:rsidTr="003D77B9">
        <w:tblPrEx>
          <w:tblW w:w="9356" w:type="dxa"/>
          <w:jc w:val="center"/>
          <w:tblCellMar>
            <w:top w:w="30" w:type="dxa"/>
            <w:left w:w="30" w:type="dxa"/>
            <w:bottom w:w="30" w:type="dxa"/>
            <w:right w:w="30" w:type="dxa"/>
          </w:tblCellMar>
          <w:tblLook w:val="00A0"/>
        </w:tblPrEx>
        <w:trPr>
          <w:jc w:val="center"/>
        </w:trPr>
        <w:tc>
          <w:tcPr>
            <w:tcW w:w="250" w:type="pct"/>
            <w:shd w:val="clear" w:color="auto" w:fill="FFFFFF"/>
          </w:tcPr>
          <w:p w:rsidR="00CB4AAB" w:rsidRPr="00E1755A" w:rsidP="00B63F0E" w14:paraId="24CE62F9" w14:textId="054C0BDC">
            <w:pPr>
              <w:spacing w:before="60" w:after="60"/>
              <w:jc w:val="left"/>
              <w:rPr>
                <w:rFonts w:ascii="Times New Roman" w:hAnsi="Times New Roman"/>
                <w:sz w:val="24"/>
                <w:szCs w:val="24"/>
                <w:lang w:eastAsia="lv-LV"/>
              </w:rPr>
            </w:pPr>
            <w:r w:rsidRPr="00E1755A">
              <w:rPr>
                <w:rFonts w:ascii="Times New Roman" w:hAnsi="Times New Roman"/>
                <w:sz w:val="24"/>
                <w:szCs w:val="24"/>
                <w:lang w:eastAsia="lv-LV"/>
              </w:rPr>
              <w:t>2.</w:t>
            </w:r>
          </w:p>
        </w:tc>
        <w:tc>
          <w:tcPr>
            <w:tcW w:w="854" w:type="pct"/>
            <w:shd w:val="clear" w:color="auto" w:fill="FFFFFF"/>
          </w:tcPr>
          <w:p w:rsidR="00CB4AAB" w:rsidRPr="00E1755A" w:rsidP="00B63F0E" w14:paraId="24CE62FA" w14:textId="77777777">
            <w:pPr>
              <w:spacing w:before="60" w:after="60"/>
              <w:jc w:val="left"/>
              <w:rPr>
                <w:rFonts w:ascii="Times New Roman" w:hAnsi="Times New Roman"/>
                <w:sz w:val="24"/>
                <w:szCs w:val="24"/>
                <w:lang w:eastAsia="lv-LV"/>
              </w:rPr>
            </w:pPr>
            <w:r w:rsidRPr="00E1755A">
              <w:rPr>
                <w:rFonts w:ascii="Times New Roman" w:hAnsi="Times New Roman"/>
                <w:sz w:val="24"/>
                <w:szCs w:val="24"/>
                <w:lang w:eastAsia="lv-LV"/>
              </w:rPr>
              <w:t>Citas starptautiskās saistības</w:t>
            </w:r>
          </w:p>
        </w:tc>
        <w:tc>
          <w:tcPr>
            <w:tcW w:w="3896" w:type="pct"/>
            <w:shd w:val="clear" w:color="auto" w:fill="FFFFFF"/>
          </w:tcPr>
          <w:p w:rsidR="004B2CB9" w:rsidRPr="00E1755A" w:rsidP="000022EA" w14:paraId="24CE6301" w14:textId="35E12486">
            <w:pPr>
              <w:spacing w:before="60" w:after="60"/>
              <w:rPr>
                <w:color w:val="1F497D"/>
                <w:sz w:val="24"/>
                <w:szCs w:val="24"/>
              </w:rPr>
            </w:pPr>
            <w:r w:rsidRPr="00E1755A">
              <w:rPr>
                <w:rFonts w:ascii="Times New Roman" w:eastAsia="Times New Roman" w:hAnsi="Times New Roman"/>
                <w:sz w:val="24"/>
                <w:szCs w:val="24"/>
              </w:rPr>
              <w:t>Projekts šo jomu neskar.</w:t>
            </w:r>
          </w:p>
        </w:tc>
      </w:tr>
      <w:tr w14:paraId="24CE6306" w14:textId="77777777" w:rsidTr="003D77B9">
        <w:tblPrEx>
          <w:tblW w:w="9356" w:type="dxa"/>
          <w:jc w:val="center"/>
          <w:tblCellMar>
            <w:top w:w="30" w:type="dxa"/>
            <w:left w:w="30" w:type="dxa"/>
            <w:bottom w:w="30" w:type="dxa"/>
            <w:right w:w="30" w:type="dxa"/>
          </w:tblCellMar>
          <w:tblLook w:val="00A0"/>
        </w:tblPrEx>
        <w:trPr>
          <w:jc w:val="center"/>
        </w:trPr>
        <w:tc>
          <w:tcPr>
            <w:tcW w:w="250" w:type="pct"/>
            <w:shd w:val="clear" w:color="auto" w:fill="FFFFFF"/>
          </w:tcPr>
          <w:p w:rsidR="00CB4AAB" w:rsidRPr="00E1755A" w:rsidP="00B63F0E" w14:paraId="24CE6303" w14:textId="77777777">
            <w:pPr>
              <w:spacing w:before="60" w:after="60"/>
              <w:jc w:val="left"/>
              <w:rPr>
                <w:rFonts w:ascii="Times New Roman" w:hAnsi="Times New Roman"/>
                <w:sz w:val="24"/>
                <w:szCs w:val="24"/>
                <w:lang w:eastAsia="lv-LV"/>
              </w:rPr>
            </w:pPr>
            <w:r w:rsidRPr="00E1755A">
              <w:rPr>
                <w:rFonts w:ascii="Times New Roman" w:hAnsi="Times New Roman"/>
                <w:sz w:val="24"/>
                <w:szCs w:val="24"/>
                <w:lang w:eastAsia="lv-LV"/>
              </w:rPr>
              <w:t>3.</w:t>
            </w:r>
          </w:p>
        </w:tc>
        <w:tc>
          <w:tcPr>
            <w:tcW w:w="854" w:type="pct"/>
            <w:shd w:val="clear" w:color="auto" w:fill="FFFFFF"/>
          </w:tcPr>
          <w:p w:rsidR="00CB4AAB" w:rsidRPr="00E1755A" w:rsidP="00B63F0E" w14:paraId="24CE6304" w14:textId="77777777">
            <w:pPr>
              <w:spacing w:before="60" w:after="60"/>
              <w:jc w:val="left"/>
              <w:rPr>
                <w:rFonts w:ascii="Times New Roman" w:hAnsi="Times New Roman"/>
                <w:sz w:val="24"/>
                <w:szCs w:val="24"/>
                <w:lang w:eastAsia="lv-LV"/>
              </w:rPr>
            </w:pPr>
            <w:r w:rsidRPr="00E1755A">
              <w:rPr>
                <w:rFonts w:ascii="Times New Roman" w:hAnsi="Times New Roman"/>
                <w:sz w:val="24"/>
                <w:szCs w:val="24"/>
                <w:lang w:eastAsia="lv-LV"/>
              </w:rPr>
              <w:t>Cita informācija</w:t>
            </w:r>
          </w:p>
        </w:tc>
        <w:tc>
          <w:tcPr>
            <w:tcW w:w="3896" w:type="pct"/>
            <w:shd w:val="clear" w:color="auto" w:fill="FFFFFF"/>
          </w:tcPr>
          <w:p w:rsidR="00CB4AAB" w:rsidRPr="00E1755A" w:rsidP="00142CF5" w14:paraId="24CE6305" w14:textId="657957F7">
            <w:pPr>
              <w:spacing w:before="60" w:after="60"/>
              <w:rPr>
                <w:rFonts w:ascii="Times New Roman" w:hAnsi="Times New Roman"/>
                <w:b/>
                <w:sz w:val="24"/>
                <w:szCs w:val="24"/>
                <w:lang w:eastAsia="lv-LV"/>
              </w:rPr>
            </w:pPr>
            <w:r w:rsidRPr="00E1755A">
              <w:rPr>
                <w:rFonts w:ascii="Times New Roman" w:hAnsi="Times New Roman"/>
                <w:sz w:val="24"/>
                <w:szCs w:val="24"/>
                <w:lang w:eastAsia="lv-LV"/>
              </w:rPr>
              <w:t>Nav</w:t>
            </w:r>
          </w:p>
        </w:tc>
      </w:tr>
    </w:tbl>
    <w:p w:rsidR="00CB4AAB" w:rsidRPr="00E1755A" w:rsidP="00F122F9" w14:paraId="24CE6307" w14:textId="77777777">
      <w:pPr>
        <w:spacing w:after="0"/>
        <w:jc w:val="left"/>
        <w:rPr>
          <w:rFonts w:ascii="Times New Roman" w:hAnsi="Times New Roman"/>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97"/>
        <w:gridCol w:w="2724"/>
        <w:gridCol w:w="1953"/>
        <w:gridCol w:w="2982"/>
      </w:tblGrid>
      <w:tr w14:paraId="24CE630A" w14:textId="77777777" w:rsidTr="009B0BF3">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Ex>
        <w:trPr>
          <w:trHeight w:val="284"/>
          <w:jc w:val="center"/>
        </w:trPr>
        <w:tc>
          <w:tcPr>
            <w:tcW w:w="9356" w:type="dxa"/>
            <w:gridSpan w:val="4"/>
          </w:tcPr>
          <w:p w:rsidR="00CB4AAB" w:rsidRPr="00E1755A" w:rsidP="00E51C74" w14:paraId="24CE6308" w14:textId="0CE5ED13">
            <w:pPr>
              <w:spacing w:before="60" w:after="60"/>
              <w:jc w:val="center"/>
              <w:rPr>
                <w:rFonts w:ascii="Times New Roman" w:hAnsi="Times New Roman"/>
                <w:b/>
                <w:sz w:val="24"/>
                <w:szCs w:val="24"/>
              </w:rPr>
            </w:pPr>
            <w:r w:rsidRPr="00E1755A">
              <w:rPr>
                <w:rFonts w:ascii="Times New Roman" w:hAnsi="Times New Roman"/>
                <w:b/>
                <w:sz w:val="24"/>
                <w:szCs w:val="24"/>
              </w:rPr>
              <w:t>1.</w:t>
            </w:r>
            <w:r w:rsidRPr="00E1755A" w:rsidR="00D80F1B">
              <w:rPr>
                <w:rFonts w:ascii="Times New Roman" w:hAnsi="Times New Roman"/>
                <w:b/>
                <w:sz w:val="24"/>
                <w:szCs w:val="24"/>
              </w:rPr>
              <w:t> </w:t>
            </w:r>
            <w:r w:rsidRPr="00E1755A">
              <w:rPr>
                <w:rFonts w:ascii="Times New Roman" w:hAnsi="Times New Roman"/>
                <w:b/>
                <w:sz w:val="24"/>
                <w:szCs w:val="24"/>
              </w:rPr>
              <w:t>tabula</w:t>
            </w:r>
          </w:p>
          <w:p w:rsidR="00CB4AAB" w:rsidRPr="00E1755A" w:rsidP="00E51C74" w14:paraId="24CE6309" w14:textId="77777777">
            <w:pPr>
              <w:spacing w:before="60" w:after="60"/>
              <w:ind w:left="57"/>
              <w:jc w:val="center"/>
              <w:rPr>
                <w:rFonts w:ascii="Times New Roman" w:hAnsi="Times New Roman"/>
                <w:sz w:val="24"/>
                <w:szCs w:val="24"/>
              </w:rPr>
            </w:pPr>
            <w:r w:rsidRPr="00E1755A">
              <w:rPr>
                <w:rFonts w:ascii="Times New Roman" w:hAnsi="Times New Roman"/>
                <w:b/>
                <w:sz w:val="24"/>
                <w:szCs w:val="24"/>
              </w:rPr>
              <w:t>Tiesību akta projekta atbilstība ES tiesību aktiem</w:t>
            </w:r>
          </w:p>
        </w:tc>
      </w:tr>
      <w:tr w14:paraId="655AC646" w14:textId="77777777" w:rsidTr="009B0BF3">
        <w:tblPrEx>
          <w:tblW w:w="9356" w:type="dxa"/>
          <w:jc w:val="center"/>
          <w:tblLayout w:type="fixed"/>
          <w:tblCellMar>
            <w:left w:w="28" w:type="dxa"/>
            <w:right w:w="28" w:type="dxa"/>
          </w:tblCellMar>
          <w:tblLook w:val="0000"/>
        </w:tblPrEx>
        <w:trPr>
          <w:trHeight w:val="284"/>
          <w:jc w:val="center"/>
        </w:trPr>
        <w:tc>
          <w:tcPr>
            <w:tcW w:w="1697" w:type="dxa"/>
          </w:tcPr>
          <w:p w:rsidR="009F406B" w:rsidRPr="00E1755A" w:rsidP="00E1755A" w14:paraId="33E1044D" w14:textId="77777777">
            <w:pPr>
              <w:spacing w:after="0"/>
              <w:rPr>
                <w:rFonts w:ascii="Times New Roman" w:hAnsi="Times New Roman"/>
                <w:sz w:val="24"/>
                <w:szCs w:val="24"/>
              </w:rPr>
            </w:pPr>
            <w:r w:rsidRPr="00E1755A">
              <w:rPr>
                <w:rFonts w:ascii="Times New Roman" w:hAnsi="Times New Roman"/>
                <w:sz w:val="24"/>
                <w:szCs w:val="24"/>
              </w:rPr>
              <w:t>Attiecīgā Eiropas Savienības tiesību akta datums, numurs un nosaukums</w:t>
            </w:r>
          </w:p>
        </w:tc>
        <w:tc>
          <w:tcPr>
            <w:tcW w:w="7659" w:type="dxa"/>
            <w:gridSpan w:val="3"/>
            <w:vAlign w:val="center"/>
          </w:tcPr>
          <w:p w:rsidR="009F406B" w:rsidRPr="003D77B9" w:rsidP="003D77B9" w14:paraId="5A6EBD23" w14:textId="6C05F464">
            <w:pPr>
              <w:autoSpaceDE w:val="0"/>
              <w:autoSpaceDN w:val="0"/>
              <w:adjustRightInd w:val="0"/>
              <w:spacing w:after="0"/>
              <w:rPr>
                <w:rFonts w:ascii="Times New Roman" w:hAnsi="Times New Roman"/>
                <w:b/>
                <w:sz w:val="24"/>
                <w:szCs w:val="24"/>
                <w:shd w:val="clear" w:color="auto" w:fill="FFFFFF"/>
              </w:rPr>
            </w:pPr>
            <w:r w:rsidRPr="003D77B9">
              <w:rPr>
                <w:rFonts w:ascii="Times New Roman" w:hAnsi="Times New Roman"/>
                <w:b/>
                <w:sz w:val="24"/>
                <w:szCs w:val="24"/>
              </w:rPr>
              <w:t>Eiropas Parlamenta un Padomes 2003.</w:t>
            </w:r>
            <w:r w:rsidR="00E70E8D">
              <w:rPr>
                <w:rFonts w:ascii="Times New Roman" w:hAnsi="Times New Roman"/>
                <w:b/>
                <w:sz w:val="24"/>
                <w:szCs w:val="24"/>
              </w:rPr>
              <w:t> </w:t>
            </w:r>
            <w:r w:rsidRPr="003D77B9">
              <w:rPr>
                <w:rFonts w:ascii="Times New Roman" w:hAnsi="Times New Roman"/>
                <w:b/>
                <w:sz w:val="24"/>
                <w:szCs w:val="24"/>
              </w:rPr>
              <w:t>gada 13.</w:t>
            </w:r>
            <w:r w:rsidR="00E70E8D">
              <w:rPr>
                <w:rFonts w:ascii="Times New Roman" w:hAnsi="Times New Roman"/>
                <w:b/>
                <w:sz w:val="24"/>
                <w:szCs w:val="24"/>
              </w:rPr>
              <w:t> </w:t>
            </w:r>
            <w:r w:rsidRPr="003D77B9">
              <w:rPr>
                <w:rFonts w:ascii="Times New Roman" w:hAnsi="Times New Roman"/>
                <w:b/>
                <w:sz w:val="24"/>
                <w:szCs w:val="24"/>
              </w:rPr>
              <w:t>oktobra Direktīva Nr.</w:t>
            </w:r>
            <w:r w:rsidR="00E70E8D">
              <w:rPr>
                <w:rFonts w:ascii="Times New Roman" w:hAnsi="Times New Roman"/>
                <w:b/>
                <w:sz w:val="24"/>
                <w:szCs w:val="24"/>
              </w:rPr>
              <w:t> </w:t>
            </w:r>
            <w:r w:rsidRPr="003D77B9">
              <w:rPr>
                <w:rFonts w:ascii="Times New Roman" w:hAnsi="Times New Roman"/>
                <w:b/>
                <w:sz w:val="24"/>
                <w:szCs w:val="24"/>
              </w:rPr>
              <w:t>2003/87/EK, ar kuru nosaka sistēmu siltumnīcas efektu izraisošo gāzu emisijas kvotu tirdzniecībai Kopienā un groza Padomes Direktīvu 96/61/EK;</w:t>
            </w:r>
          </w:p>
        </w:tc>
      </w:tr>
      <w:tr w14:paraId="4633E492" w14:textId="77777777" w:rsidTr="009B0BF3">
        <w:tblPrEx>
          <w:tblW w:w="9356" w:type="dxa"/>
          <w:jc w:val="center"/>
          <w:tblLayout w:type="fixed"/>
          <w:tblCellMar>
            <w:left w:w="28" w:type="dxa"/>
            <w:right w:w="28" w:type="dxa"/>
          </w:tblCellMar>
          <w:tblLook w:val="0000"/>
        </w:tblPrEx>
        <w:trPr>
          <w:trHeight w:val="284"/>
          <w:jc w:val="center"/>
        </w:trPr>
        <w:tc>
          <w:tcPr>
            <w:tcW w:w="1697" w:type="dxa"/>
            <w:vAlign w:val="center"/>
          </w:tcPr>
          <w:p w:rsidR="009F406B" w:rsidRPr="00A919BD" w:rsidP="00E1755A" w14:paraId="66754E1C" w14:textId="77777777">
            <w:pPr>
              <w:spacing w:after="0"/>
              <w:jc w:val="center"/>
              <w:rPr>
                <w:rFonts w:ascii="Times New Roman" w:hAnsi="Times New Roman"/>
                <w:sz w:val="20"/>
                <w:szCs w:val="20"/>
              </w:rPr>
            </w:pPr>
            <w:r w:rsidRPr="00A919BD">
              <w:rPr>
                <w:rFonts w:ascii="Times New Roman" w:hAnsi="Times New Roman"/>
                <w:sz w:val="20"/>
                <w:szCs w:val="20"/>
              </w:rPr>
              <w:t>A</w:t>
            </w:r>
          </w:p>
        </w:tc>
        <w:tc>
          <w:tcPr>
            <w:tcW w:w="2724" w:type="dxa"/>
            <w:vAlign w:val="center"/>
          </w:tcPr>
          <w:p w:rsidR="009F406B" w:rsidRPr="00A919BD" w:rsidP="00E1755A" w14:paraId="3D426A7A" w14:textId="77777777">
            <w:pPr>
              <w:spacing w:after="0"/>
              <w:ind w:left="57"/>
              <w:jc w:val="center"/>
              <w:rPr>
                <w:rFonts w:ascii="Times New Roman" w:hAnsi="Times New Roman"/>
                <w:sz w:val="20"/>
                <w:szCs w:val="20"/>
              </w:rPr>
            </w:pPr>
            <w:r w:rsidRPr="00A919BD">
              <w:rPr>
                <w:rFonts w:ascii="Times New Roman" w:hAnsi="Times New Roman"/>
                <w:sz w:val="20"/>
                <w:szCs w:val="20"/>
              </w:rPr>
              <w:t>B</w:t>
            </w:r>
          </w:p>
        </w:tc>
        <w:tc>
          <w:tcPr>
            <w:tcW w:w="1953" w:type="dxa"/>
            <w:vAlign w:val="center"/>
          </w:tcPr>
          <w:p w:rsidR="009F406B" w:rsidRPr="00A919BD" w:rsidP="00E1755A" w14:paraId="37FBB026" w14:textId="77777777">
            <w:pPr>
              <w:spacing w:after="0"/>
              <w:ind w:left="57"/>
              <w:jc w:val="center"/>
              <w:rPr>
                <w:rFonts w:ascii="Times New Roman" w:hAnsi="Times New Roman"/>
                <w:sz w:val="20"/>
                <w:szCs w:val="20"/>
              </w:rPr>
            </w:pPr>
            <w:r w:rsidRPr="00A919BD">
              <w:rPr>
                <w:rFonts w:ascii="Times New Roman" w:hAnsi="Times New Roman"/>
                <w:sz w:val="20"/>
                <w:szCs w:val="20"/>
              </w:rPr>
              <w:t>C</w:t>
            </w:r>
          </w:p>
        </w:tc>
        <w:tc>
          <w:tcPr>
            <w:tcW w:w="2982" w:type="dxa"/>
            <w:vAlign w:val="center"/>
          </w:tcPr>
          <w:p w:rsidR="009F406B" w:rsidRPr="00A919BD" w:rsidP="00E1755A" w14:paraId="4DA175E0" w14:textId="77777777">
            <w:pPr>
              <w:spacing w:after="0"/>
              <w:ind w:left="57"/>
              <w:jc w:val="center"/>
              <w:rPr>
                <w:rFonts w:ascii="Times New Roman" w:hAnsi="Times New Roman"/>
                <w:sz w:val="20"/>
                <w:szCs w:val="20"/>
              </w:rPr>
            </w:pPr>
            <w:r w:rsidRPr="00A919BD">
              <w:rPr>
                <w:rFonts w:ascii="Times New Roman" w:hAnsi="Times New Roman"/>
                <w:sz w:val="20"/>
                <w:szCs w:val="20"/>
              </w:rPr>
              <w:t>D</w:t>
            </w:r>
          </w:p>
        </w:tc>
      </w:tr>
      <w:tr w14:paraId="0EC2DB0B" w14:textId="77777777" w:rsidTr="009B0BF3">
        <w:tblPrEx>
          <w:tblW w:w="9356" w:type="dxa"/>
          <w:jc w:val="center"/>
          <w:tblLayout w:type="fixed"/>
          <w:tblCellMar>
            <w:left w:w="28" w:type="dxa"/>
            <w:right w:w="28" w:type="dxa"/>
          </w:tblCellMar>
          <w:tblLook w:val="0000"/>
        </w:tblPrEx>
        <w:trPr>
          <w:trHeight w:val="284"/>
          <w:jc w:val="center"/>
        </w:trPr>
        <w:tc>
          <w:tcPr>
            <w:tcW w:w="1697" w:type="dxa"/>
          </w:tcPr>
          <w:p w:rsidR="009F406B" w:rsidRPr="00A919BD" w:rsidP="00E1755A" w14:paraId="4FD498D8" w14:textId="77777777">
            <w:pPr>
              <w:spacing w:after="0"/>
              <w:rPr>
                <w:rFonts w:ascii="Times New Roman" w:hAnsi="Times New Roman"/>
                <w:spacing w:val="-3"/>
              </w:rPr>
            </w:pPr>
            <w:r w:rsidRPr="00A919BD">
              <w:rPr>
                <w:rFonts w:ascii="Times New Roman" w:hAnsi="Times New Roman"/>
                <w:spacing w:val="-3"/>
              </w:rPr>
              <w:t>Attiecīgā ES tiesību akta panta numurs (uzskaitot katru tiesību akta vienību – pantu, daļu, punktu, apakšpunktu)</w:t>
            </w:r>
          </w:p>
        </w:tc>
        <w:tc>
          <w:tcPr>
            <w:tcW w:w="2724" w:type="dxa"/>
          </w:tcPr>
          <w:p w:rsidR="009F406B" w:rsidRPr="00A919BD" w:rsidP="00E1755A" w14:paraId="29F86E36" w14:textId="77777777">
            <w:pPr>
              <w:spacing w:after="0"/>
              <w:ind w:left="57"/>
              <w:rPr>
                <w:rFonts w:ascii="Times New Roman" w:hAnsi="Times New Roman"/>
                <w:spacing w:val="-3"/>
              </w:rPr>
            </w:pPr>
            <w:r w:rsidRPr="00A919BD">
              <w:rPr>
                <w:rFonts w:ascii="Times New Roman" w:hAnsi="Times New Roman"/>
                <w:spacing w:val="-3"/>
              </w:rPr>
              <w:t>Projekta vienība, kas pārņem vai ievieš katru šīs tabulas A ailē minēto ES tiesību akta vienību, vai tiesību akts, kur attiecīgā ES tiesību akta vienība pārņemta vai ieviesta</w:t>
            </w:r>
          </w:p>
        </w:tc>
        <w:tc>
          <w:tcPr>
            <w:tcW w:w="1953" w:type="dxa"/>
          </w:tcPr>
          <w:p w:rsidR="009F406B" w:rsidRPr="00A919BD" w:rsidP="00E1755A" w14:paraId="3AA8DBFE" w14:textId="77777777">
            <w:pPr>
              <w:spacing w:after="0"/>
              <w:ind w:left="57"/>
              <w:rPr>
                <w:rFonts w:ascii="Times New Roman" w:hAnsi="Times New Roman"/>
                <w:spacing w:val="-3"/>
              </w:rPr>
            </w:pPr>
            <w:r w:rsidRPr="00A919BD">
              <w:rPr>
                <w:rFonts w:ascii="Times New Roman" w:hAnsi="Times New Roman"/>
                <w:spacing w:val="-3"/>
              </w:rPr>
              <w:t>Informācija par to, vai šīs tabulas A ailē minētās ES tiesību akta vienības tiek pārņemtas vai ieviestas pilnībā vai daļēji.</w:t>
            </w:r>
          </w:p>
          <w:p w:rsidR="009F406B" w:rsidRPr="00A919BD" w:rsidP="00E1755A" w14:paraId="7B0C78F6" w14:textId="77777777">
            <w:pPr>
              <w:spacing w:after="0"/>
              <w:ind w:left="57"/>
              <w:rPr>
                <w:rFonts w:ascii="Times New Roman" w:hAnsi="Times New Roman"/>
                <w:spacing w:val="-3"/>
              </w:rPr>
            </w:pPr>
            <w:r w:rsidRPr="00A919BD">
              <w:rPr>
                <w:rFonts w:ascii="Times New Roman" w:hAnsi="Times New Roman"/>
                <w:spacing w:val="-3"/>
              </w:rPr>
              <w:t>Ja attiecīgā ES tiesību akta vienība tiek pārņemta vai ieviesta daļēji, sniedz attiecīgu skaidrojumu, kā arī precīzi norāda, kad un kādā veidā ES tiesību akta vienība tiks pārņemta vai ieviesta pilnībā.</w:t>
            </w:r>
          </w:p>
          <w:p w:rsidR="009F406B" w:rsidRPr="00A919BD" w:rsidP="00E1755A" w14:paraId="28895F78" w14:textId="77777777">
            <w:pPr>
              <w:spacing w:after="0"/>
              <w:ind w:left="57"/>
              <w:rPr>
                <w:rFonts w:ascii="Times New Roman" w:hAnsi="Times New Roman"/>
                <w:spacing w:val="-3"/>
              </w:rPr>
            </w:pPr>
            <w:r w:rsidRPr="00A919BD">
              <w:rPr>
                <w:rFonts w:ascii="Times New Roman" w:hAnsi="Times New Roman"/>
                <w:spacing w:val="-3"/>
              </w:rPr>
              <w:t>Norāda institūciju, kas ir atbildīga par šo saistību izpildi pilnībā</w:t>
            </w:r>
          </w:p>
        </w:tc>
        <w:tc>
          <w:tcPr>
            <w:tcW w:w="2982" w:type="dxa"/>
          </w:tcPr>
          <w:p w:rsidR="009F406B" w:rsidRPr="00A919BD" w:rsidP="00E1755A" w14:paraId="392039DD" w14:textId="77777777">
            <w:pPr>
              <w:spacing w:after="0"/>
              <w:ind w:left="57"/>
              <w:rPr>
                <w:rFonts w:ascii="Times New Roman" w:hAnsi="Times New Roman"/>
              </w:rPr>
            </w:pPr>
            <w:r w:rsidRPr="00A919BD">
              <w:rPr>
                <w:rFonts w:ascii="Times New Roman" w:hAnsi="Times New Roman"/>
                <w:spacing w:val="-3"/>
              </w:rPr>
              <w:t xml:space="preserve">Informācija par to, vai šīs </w:t>
            </w:r>
            <w:r w:rsidRPr="00A919BD">
              <w:rPr>
                <w:rFonts w:ascii="Times New Roman" w:hAnsi="Times New Roman"/>
              </w:rPr>
              <w:t>tabulas B ailē minētās projekta vienības paredz stingrākas prasības nekā šīs tabulas A ailē minētās ES tiesību akta vienības.</w:t>
            </w:r>
          </w:p>
          <w:p w:rsidR="009F406B" w:rsidRPr="00A919BD" w:rsidP="00E1755A" w14:paraId="2458A0C3" w14:textId="77777777">
            <w:pPr>
              <w:spacing w:after="0"/>
              <w:ind w:left="57"/>
              <w:rPr>
                <w:rFonts w:ascii="Times New Roman" w:hAnsi="Times New Roman"/>
              </w:rPr>
            </w:pPr>
            <w:r w:rsidRPr="00A919BD">
              <w:rPr>
                <w:rFonts w:ascii="Times New Roman" w:hAnsi="Times New Roman"/>
              </w:rPr>
              <w:t>Ja projekts satur stingrākas prasības nekā attiecīgais ES tiesību akts, norāda pamatojumu un samērīgumu.</w:t>
            </w:r>
          </w:p>
          <w:p w:rsidR="009F406B" w:rsidRPr="00A919BD" w:rsidP="00E1755A" w14:paraId="771C2BA2" w14:textId="77777777">
            <w:pPr>
              <w:spacing w:after="0"/>
              <w:ind w:left="57"/>
              <w:rPr>
                <w:rFonts w:ascii="Times New Roman" w:hAnsi="Times New Roman"/>
                <w:spacing w:val="-3"/>
              </w:rPr>
            </w:pPr>
            <w:r w:rsidRPr="00A919BD">
              <w:rPr>
                <w:rFonts w:ascii="Times New Roman" w:hAnsi="Times New Roman"/>
              </w:rPr>
              <w:t>Norāda iespējamās alternatīvas (t.sk. alternatīvas, kas neparedz tiesiskā regulējuma izstrādi) – kādos gadījumos būtu iespējams izvairīties no stingrāku prasību</w:t>
            </w:r>
            <w:r w:rsidRPr="00A919BD">
              <w:rPr>
                <w:rFonts w:ascii="Times New Roman" w:hAnsi="Times New Roman"/>
                <w:spacing w:val="-3"/>
              </w:rPr>
              <w:t xml:space="preserve"> noteikšanas, nekā paredzēts attiecīgajos ES tiesību aktos</w:t>
            </w:r>
          </w:p>
        </w:tc>
      </w:tr>
      <w:tr w14:paraId="01D50566" w14:textId="77777777" w:rsidTr="009B0BF3">
        <w:tblPrEx>
          <w:tblW w:w="9356" w:type="dxa"/>
          <w:jc w:val="center"/>
          <w:tblLayout w:type="fixed"/>
          <w:tblCellMar>
            <w:left w:w="28" w:type="dxa"/>
            <w:right w:w="28" w:type="dxa"/>
          </w:tblCellMar>
          <w:tblLook w:val="0000"/>
        </w:tblPrEx>
        <w:trPr>
          <w:trHeight w:val="284"/>
          <w:jc w:val="center"/>
        </w:trPr>
        <w:tc>
          <w:tcPr>
            <w:tcW w:w="1697" w:type="dxa"/>
            <w:shd w:val="clear" w:color="auto" w:fill="auto"/>
            <w:vAlign w:val="center"/>
          </w:tcPr>
          <w:p w:rsidR="009B0BF3" w:rsidRPr="009B0BF3" w:rsidP="00922F2B" w14:paraId="187E2C38" w14:textId="5C64E016">
            <w:pPr>
              <w:spacing w:before="60" w:after="60"/>
              <w:rPr>
                <w:rFonts w:ascii="Times New Roman" w:hAnsi="Times New Roman"/>
                <w:sz w:val="24"/>
                <w:szCs w:val="24"/>
              </w:rPr>
            </w:pPr>
            <w:r w:rsidRPr="009B0BF3">
              <w:rPr>
                <w:rFonts w:ascii="Times New Roman" w:hAnsi="Times New Roman"/>
                <w:sz w:val="24"/>
                <w:szCs w:val="24"/>
              </w:rPr>
              <w:t>16. panta 1. punkts</w:t>
            </w:r>
          </w:p>
        </w:tc>
        <w:tc>
          <w:tcPr>
            <w:tcW w:w="2724" w:type="dxa"/>
            <w:shd w:val="clear" w:color="auto" w:fill="auto"/>
            <w:vAlign w:val="center"/>
          </w:tcPr>
          <w:p w:rsidR="009B0BF3" w:rsidRPr="009B0BF3" w14:paraId="3B73164B" w14:textId="0D406DE4">
            <w:pPr>
              <w:spacing w:before="60" w:after="60"/>
              <w:rPr>
                <w:rFonts w:ascii="Times New Roman" w:hAnsi="Times New Roman"/>
                <w:sz w:val="24"/>
                <w:szCs w:val="24"/>
              </w:rPr>
            </w:pPr>
            <w:r w:rsidRPr="009B0BF3">
              <w:rPr>
                <w:rFonts w:ascii="Times New Roman" w:hAnsi="Times New Roman"/>
                <w:sz w:val="24"/>
                <w:szCs w:val="24"/>
              </w:rPr>
              <w:t>Likumprojekta 2. pantā izteiktā Administratīvā pārkāpuma kodeksa 88.</w:t>
            </w:r>
            <w:r w:rsidRPr="009B0BF3">
              <w:rPr>
                <w:rFonts w:ascii="Times New Roman" w:hAnsi="Times New Roman"/>
                <w:sz w:val="24"/>
                <w:szCs w:val="24"/>
                <w:vertAlign w:val="superscript"/>
              </w:rPr>
              <w:t>11</w:t>
            </w:r>
            <w:r w:rsidRPr="009B0BF3">
              <w:rPr>
                <w:rFonts w:ascii="Times New Roman" w:hAnsi="Times New Roman"/>
                <w:sz w:val="24"/>
                <w:szCs w:val="24"/>
              </w:rPr>
              <w:t> panta pirmā un otrā daļa</w:t>
            </w:r>
          </w:p>
        </w:tc>
        <w:tc>
          <w:tcPr>
            <w:tcW w:w="1953" w:type="dxa"/>
            <w:shd w:val="clear" w:color="auto" w:fill="auto"/>
            <w:vAlign w:val="center"/>
          </w:tcPr>
          <w:p w:rsidR="009B0BF3" w:rsidRPr="009B0BF3" w:rsidP="00922F2B" w14:paraId="492B0CB1" w14:textId="19FBD9D8">
            <w:pPr>
              <w:spacing w:before="60" w:after="60"/>
              <w:rPr>
                <w:rFonts w:ascii="Times New Roman" w:hAnsi="Times New Roman"/>
                <w:sz w:val="24"/>
                <w:szCs w:val="24"/>
                <w:highlight w:val="yellow"/>
              </w:rPr>
            </w:pPr>
            <w:r w:rsidRPr="009B0BF3">
              <w:rPr>
                <w:rFonts w:ascii="Times New Roman" w:hAnsi="Times New Roman"/>
                <w:sz w:val="24"/>
                <w:szCs w:val="24"/>
              </w:rPr>
              <w:t>pārņemts pilnībā</w:t>
            </w:r>
          </w:p>
        </w:tc>
        <w:tc>
          <w:tcPr>
            <w:tcW w:w="2982" w:type="dxa"/>
            <w:shd w:val="clear" w:color="auto" w:fill="auto"/>
            <w:vAlign w:val="center"/>
          </w:tcPr>
          <w:p w:rsidR="009B0BF3" w:rsidRPr="009B0BF3" w:rsidP="00922F2B" w14:paraId="1392CD27" w14:textId="6DE0E0A6">
            <w:pPr>
              <w:pStyle w:val="naisc"/>
              <w:spacing w:before="60" w:after="60"/>
              <w:jc w:val="both"/>
              <w:rPr>
                <w:highlight w:val="yellow"/>
              </w:rPr>
            </w:pPr>
            <w:r w:rsidRPr="009B0BF3">
              <w:t>netiek pārņemts paredzot stingrākas vai mazāk stingras prasības</w:t>
            </w:r>
          </w:p>
        </w:tc>
      </w:tr>
      <w:tr w14:paraId="24CE6312" w14:textId="77777777" w:rsidTr="009B0BF3">
        <w:tblPrEx>
          <w:tblW w:w="9356" w:type="dxa"/>
          <w:jc w:val="center"/>
          <w:tblLayout w:type="fixed"/>
          <w:tblCellMar>
            <w:left w:w="28" w:type="dxa"/>
            <w:right w:w="28" w:type="dxa"/>
          </w:tblCellMar>
          <w:tblLook w:val="0000"/>
        </w:tblPrEx>
        <w:trPr>
          <w:trHeight w:val="284"/>
          <w:jc w:val="center"/>
        </w:trPr>
        <w:tc>
          <w:tcPr>
            <w:tcW w:w="1697" w:type="dxa"/>
          </w:tcPr>
          <w:p w:rsidR="00CB4AAB" w:rsidRPr="00E1755A" w:rsidP="00E1755A" w14:paraId="24CE630B" w14:textId="77777777">
            <w:pPr>
              <w:spacing w:after="0"/>
              <w:rPr>
                <w:rFonts w:ascii="Times New Roman" w:hAnsi="Times New Roman"/>
                <w:sz w:val="24"/>
                <w:szCs w:val="24"/>
              </w:rPr>
            </w:pPr>
            <w:r w:rsidRPr="00E1755A">
              <w:rPr>
                <w:rFonts w:ascii="Times New Roman" w:hAnsi="Times New Roman"/>
                <w:sz w:val="24"/>
                <w:szCs w:val="24"/>
              </w:rPr>
              <w:t>Attiecīgā Eiropas Savienības tiesību akta datums, numurs un nosaukums</w:t>
            </w:r>
          </w:p>
        </w:tc>
        <w:tc>
          <w:tcPr>
            <w:tcW w:w="7659" w:type="dxa"/>
            <w:gridSpan w:val="3"/>
            <w:vAlign w:val="center"/>
          </w:tcPr>
          <w:p w:rsidR="00CB4AAB" w:rsidRPr="00E1755A" w:rsidP="00E1755A" w14:paraId="24CE6311" w14:textId="0FE03CF5">
            <w:pPr>
              <w:pStyle w:val="ListParagraph"/>
              <w:autoSpaceDE w:val="0"/>
              <w:autoSpaceDN w:val="0"/>
              <w:adjustRightInd w:val="0"/>
              <w:spacing w:after="0"/>
              <w:ind w:left="284" w:firstLine="0"/>
              <w:contextualSpacing w:val="0"/>
              <w:rPr>
                <w:b/>
                <w:sz w:val="24"/>
                <w:szCs w:val="24"/>
                <w:shd w:val="clear" w:color="auto" w:fill="FFFFFF"/>
              </w:rPr>
            </w:pPr>
            <w:r w:rsidRPr="00E1755A">
              <w:rPr>
                <w:b/>
                <w:sz w:val="24"/>
                <w:szCs w:val="24"/>
              </w:rPr>
              <w:t>Eiropas Parlamenta un Padomes 2015.</w:t>
            </w:r>
            <w:r w:rsidRPr="00E1755A" w:rsidR="00D80F1B">
              <w:rPr>
                <w:b/>
                <w:sz w:val="24"/>
                <w:szCs w:val="24"/>
              </w:rPr>
              <w:t> </w:t>
            </w:r>
            <w:r w:rsidRPr="00E1755A">
              <w:rPr>
                <w:b/>
                <w:sz w:val="24"/>
                <w:szCs w:val="24"/>
              </w:rPr>
              <w:t>gada 29.</w:t>
            </w:r>
            <w:r w:rsidRPr="00E1755A" w:rsidR="00D80F1B">
              <w:rPr>
                <w:b/>
                <w:sz w:val="24"/>
                <w:szCs w:val="24"/>
              </w:rPr>
              <w:t> </w:t>
            </w:r>
            <w:r w:rsidRPr="00E1755A">
              <w:rPr>
                <w:b/>
                <w:sz w:val="24"/>
                <w:szCs w:val="24"/>
              </w:rPr>
              <w:t xml:space="preserve">aprīļa </w:t>
            </w:r>
            <w:r w:rsidRPr="00E1755A" w:rsidR="00D80F1B">
              <w:rPr>
                <w:b/>
                <w:sz w:val="24"/>
                <w:szCs w:val="24"/>
              </w:rPr>
              <w:t>R</w:t>
            </w:r>
            <w:r w:rsidRPr="00E1755A">
              <w:rPr>
                <w:b/>
                <w:sz w:val="24"/>
                <w:szCs w:val="24"/>
              </w:rPr>
              <w:t>egula Nr.</w:t>
            </w:r>
            <w:r w:rsidRPr="00E1755A" w:rsidR="00D80F1B">
              <w:rPr>
                <w:b/>
                <w:sz w:val="24"/>
                <w:szCs w:val="24"/>
              </w:rPr>
              <w:t> </w:t>
            </w:r>
            <w:r w:rsidRPr="00E1755A">
              <w:rPr>
                <w:b/>
                <w:sz w:val="24"/>
                <w:szCs w:val="24"/>
              </w:rPr>
              <w:t>2015/757 par jūras transporta oglekļa dioksīda emisiju monitoringu, ziņošanu un verifikāciju un ar ko groza Direktīvu 2009/16/EK</w:t>
            </w:r>
          </w:p>
        </w:tc>
      </w:tr>
      <w:tr w14:paraId="24CE6317" w14:textId="77777777" w:rsidTr="009B0BF3">
        <w:tblPrEx>
          <w:tblW w:w="9356" w:type="dxa"/>
          <w:jc w:val="center"/>
          <w:tblLayout w:type="fixed"/>
          <w:tblCellMar>
            <w:left w:w="28" w:type="dxa"/>
            <w:right w:w="28" w:type="dxa"/>
          </w:tblCellMar>
          <w:tblLook w:val="0000"/>
        </w:tblPrEx>
        <w:trPr>
          <w:trHeight w:val="284"/>
          <w:jc w:val="center"/>
        </w:trPr>
        <w:tc>
          <w:tcPr>
            <w:tcW w:w="1697" w:type="dxa"/>
            <w:vAlign w:val="center"/>
          </w:tcPr>
          <w:p w:rsidR="00F07CD0" w:rsidRPr="00A919BD" w:rsidP="00E1755A" w14:paraId="24CE6313" w14:textId="77777777">
            <w:pPr>
              <w:spacing w:after="0"/>
              <w:jc w:val="center"/>
              <w:rPr>
                <w:rFonts w:ascii="Times New Roman" w:hAnsi="Times New Roman"/>
                <w:sz w:val="20"/>
                <w:szCs w:val="20"/>
              </w:rPr>
            </w:pPr>
            <w:r w:rsidRPr="00A919BD">
              <w:rPr>
                <w:rFonts w:ascii="Times New Roman" w:hAnsi="Times New Roman"/>
                <w:sz w:val="20"/>
                <w:szCs w:val="20"/>
              </w:rPr>
              <w:t>A</w:t>
            </w:r>
          </w:p>
        </w:tc>
        <w:tc>
          <w:tcPr>
            <w:tcW w:w="2724" w:type="dxa"/>
            <w:vAlign w:val="center"/>
          </w:tcPr>
          <w:p w:rsidR="00F07CD0" w:rsidRPr="00A919BD" w:rsidP="00E1755A" w14:paraId="24CE6314" w14:textId="77777777">
            <w:pPr>
              <w:spacing w:after="0"/>
              <w:ind w:left="57"/>
              <w:jc w:val="center"/>
              <w:rPr>
                <w:rFonts w:ascii="Times New Roman" w:hAnsi="Times New Roman"/>
                <w:sz w:val="20"/>
                <w:szCs w:val="20"/>
              </w:rPr>
            </w:pPr>
            <w:r w:rsidRPr="00A919BD">
              <w:rPr>
                <w:rFonts w:ascii="Times New Roman" w:hAnsi="Times New Roman"/>
                <w:sz w:val="20"/>
                <w:szCs w:val="20"/>
              </w:rPr>
              <w:t>B</w:t>
            </w:r>
          </w:p>
        </w:tc>
        <w:tc>
          <w:tcPr>
            <w:tcW w:w="1953" w:type="dxa"/>
            <w:vAlign w:val="center"/>
          </w:tcPr>
          <w:p w:rsidR="00F07CD0" w:rsidRPr="00A919BD" w:rsidP="00E1755A" w14:paraId="24CE6315" w14:textId="77777777">
            <w:pPr>
              <w:spacing w:after="0"/>
              <w:ind w:left="57"/>
              <w:jc w:val="center"/>
              <w:rPr>
                <w:rFonts w:ascii="Times New Roman" w:hAnsi="Times New Roman"/>
                <w:sz w:val="20"/>
                <w:szCs w:val="20"/>
              </w:rPr>
            </w:pPr>
            <w:r w:rsidRPr="00A919BD">
              <w:rPr>
                <w:rFonts w:ascii="Times New Roman" w:hAnsi="Times New Roman"/>
                <w:sz w:val="20"/>
                <w:szCs w:val="20"/>
              </w:rPr>
              <w:t>C</w:t>
            </w:r>
          </w:p>
        </w:tc>
        <w:tc>
          <w:tcPr>
            <w:tcW w:w="2982" w:type="dxa"/>
            <w:vAlign w:val="center"/>
          </w:tcPr>
          <w:p w:rsidR="00F07CD0" w:rsidRPr="00A919BD" w:rsidP="00E1755A" w14:paraId="24CE6316" w14:textId="77777777">
            <w:pPr>
              <w:spacing w:after="0"/>
              <w:ind w:left="57"/>
              <w:jc w:val="center"/>
              <w:rPr>
                <w:rFonts w:ascii="Times New Roman" w:hAnsi="Times New Roman"/>
                <w:sz w:val="20"/>
                <w:szCs w:val="20"/>
              </w:rPr>
            </w:pPr>
            <w:r w:rsidRPr="00A919BD">
              <w:rPr>
                <w:rFonts w:ascii="Times New Roman" w:hAnsi="Times New Roman"/>
                <w:sz w:val="20"/>
                <w:szCs w:val="20"/>
              </w:rPr>
              <w:t>D</w:t>
            </w:r>
          </w:p>
        </w:tc>
      </w:tr>
      <w:tr w14:paraId="24CE66C8" w14:textId="77777777" w:rsidTr="009B0BF3">
        <w:tblPrEx>
          <w:tblW w:w="9356" w:type="dxa"/>
          <w:jc w:val="center"/>
          <w:tblLayout w:type="fixed"/>
          <w:tblCellMar>
            <w:left w:w="28" w:type="dxa"/>
            <w:right w:w="28" w:type="dxa"/>
          </w:tblCellMar>
          <w:tblLook w:val="0000"/>
        </w:tblPrEx>
        <w:trPr>
          <w:trHeight w:val="284"/>
          <w:jc w:val="center"/>
        </w:trPr>
        <w:tc>
          <w:tcPr>
            <w:tcW w:w="1697" w:type="dxa"/>
            <w:shd w:val="clear" w:color="auto" w:fill="auto"/>
            <w:vAlign w:val="center"/>
          </w:tcPr>
          <w:p w:rsidR="009B0BF3" w:rsidRPr="00E1755A" w:rsidP="00E51C74" w14:paraId="24CE66C4" w14:textId="5F18427A">
            <w:pPr>
              <w:spacing w:before="60" w:after="60"/>
              <w:rPr>
                <w:rFonts w:ascii="Times New Roman" w:hAnsi="Times New Roman"/>
                <w:sz w:val="24"/>
                <w:szCs w:val="24"/>
              </w:rPr>
            </w:pPr>
            <w:r w:rsidRPr="00E1755A">
              <w:rPr>
                <w:rFonts w:ascii="Times New Roman" w:hAnsi="Times New Roman"/>
                <w:sz w:val="24"/>
                <w:szCs w:val="24"/>
              </w:rPr>
              <w:t>20.</w:t>
            </w:r>
            <w:r>
              <w:rPr>
                <w:rFonts w:ascii="Times New Roman" w:hAnsi="Times New Roman"/>
                <w:sz w:val="24"/>
                <w:szCs w:val="24"/>
              </w:rPr>
              <w:t> </w:t>
            </w:r>
            <w:r w:rsidRPr="00E1755A">
              <w:rPr>
                <w:rFonts w:ascii="Times New Roman" w:hAnsi="Times New Roman"/>
                <w:sz w:val="24"/>
                <w:szCs w:val="24"/>
              </w:rPr>
              <w:t>panta 1.</w:t>
            </w:r>
            <w:r>
              <w:rPr>
                <w:rFonts w:ascii="Times New Roman" w:hAnsi="Times New Roman"/>
                <w:sz w:val="24"/>
                <w:szCs w:val="24"/>
              </w:rPr>
              <w:t> </w:t>
            </w:r>
            <w:r w:rsidRPr="00E1755A">
              <w:rPr>
                <w:rFonts w:ascii="Times New Roman" w:hAnsi="Times New Roman"/>
                <w:sz w:val="24"/>
                <w:szCs w:val="24"/>
              </w:rPr>
              <w:t>punkts</w:t>
            </w:r>
          </w:p>
        </w:tc>
        <w:tc>
          <w:tcPr>
            <w:tcW w:w="2724" w:type="dxa"/>
            <w:shd w:val="clear" w:color="auto" w:fill="auto"/>
            <w:vAlign w:val="center"/>
          </w:tcPr>
          <w:p w:rsidR="009B0BF3" w:rsidRPr="00E1755A" w:rsidP="00E51C74" w14:paraId="24CE66C5" w14:textId="7BC489E2">
            <w:pPr>
              <w:spacing w:before="60" w:after="60"/>
              <w:rPr>
                <w:rFonts w:ascii="Times New Roman" w:hAnsi="Times New Roman"/>
                <w:sz w:val="24"/>
                <w:szCs w:val="24"/>
              </w:rPr>
            </w:pPr>
            <w:r w:rsidRPr="00E1755A">
              <w:rPr>
                <w:rFonts w:ascii="Times New Roman" w:hAnsi="Times New Roman"/>
                <w:sz w:val="24"/>
                <w:szCs w:val="24"/>
              </w:rPr>
              <w:t>Likumprojekta 2.</w:t>
            </w:r>
            <w:r>
              <w:rPr>
                <w:rFonts w:ascii="Times New Roman" w:hAnsi="Times New Roman"/>
                <w:sz w:val="24"/>
                <w:szCs w:val="24"/>
              </w:rPr>
              <w:t> </w:t>
            </w:r>
            <w:r w:rsidRPr="00E1755A">
              <w:rPr>
                <w:rFonts w:ascii="Times New Roman" w:hAnsi="Times New Roman"/>
                <w:sz w:val="24"/>
                <w:szCs w:val="24"/>
              </w:rPr>
              <w:t>pantā izteiktā Administratīvā pārkāpuma kodeksa 88.</w:t>
            </w:r>
            <w:r w:rsidRPr="00E1755A">
              <w:rPr>
                <w:rFonts w:ascii="Times New Roman" w:hAnsi="Times New Roman"/>
                <w:sz w:val="24"/>
                <w:szCs w:val="24"/>
                <w:vertAlign w:val="superscript"/>
              </w:rPr>
              <w:t>11</w:t>
            </w:r>
            <w:r>
              <w:rPr>
                <w:rFonts w:ascii="Times New Roman" w:hAnsi="Times New Roman"/>
                <w:sz w:val="24"/>
                <w:szCs w:val="24"/>
              </w:rPr>
              <w:t> </w:t>
            </w:r>
            <w:r w:rsidRPr="00E1755A">
              <w:rPr>
                <w:rFonts w:ascii="Times New Roman" w:hAnsi="Times New Roman"/>
                <w:sz w:val="24"/>
                <w:szCs w:val="24"/>
              </w:rPr>
              <w:t>panta trešā daļa</w:t>
            </w:r>
          </w:p>
        </w:tc>
        <w:tc>
          <w:tcPr>
            <w:tcW w:w="1953" w:type="dxa"/>
            <w:shd w:val="clear" w:color="auto" w:fill="auto"/>
            <w:vAlign w:val="center"/>
          </w:tcPr>
          <w:p w:rsidR="009B0BF3" w:rsidRPr="00E1755A" w:rsidP="00E51C74" w14:paraId="24CE66C6" w14:textId="0208191C">
            <w:pPr>
              <w:spacing w:before="60" w:after="60"/>
              <w:rPr>
                <w:rFonts w:ascii="Times New Roman" w:hAnsi="Times New Roman"/>
                <w:sz w:val="24"/>
                <w:szCs w:val="24"/>
              </w:rPr>
            </w:pPr>
            <w:r w:rsidRPr="0048109D">
              <w:rPr>
                <w:rFonts w:ascii="Times New Roman" w:hAnsi="Times New Roman"/>
                <w:sz w:val="24"/>
                <w:szCs w:val="24"/>
              </w:rPr>
              <w:t>pārņemts pilnībā</w:t>
            </w:r>
          </w:p>
        </w:tc>
        <w:tc>
          <w:tcPr>
            <w:tcW w:w="2982" w:type="dxa"/>
            <w:shd w:val="clear" w:color="auto" w:fill="auto"/>
            <w:vAlign w:val="center"/>
          </w:tcPr>
          <w:p w:rsidR="009B0BF3" w:rsidRPr="00E1755A" w:rsidP="00E51C74" w14:paraId="24CE66C7" w14:textId="0BB7FABA">
            <w:pPr>
              <w:pStyle w:val="naisc"/>
              <w:spacing w:before="60" w:after="60"/>
              <w:jc w:val="both"/>
            </w:pPr>
            <w:r w:rsidRPr="0048109D">
              <w:t>netiek pārņemts paredzot stingrākas vai mazāk stingras prasības</w:t>
            </w:r>
          </w:p>
        </w:tc>
      </w:tr>
      <w:tr w14:paraId="4293D207" w14:textId="77777777" w:rsidTr="009B0BF3">
        <w:tblPrEx>
          <w:tblW w:w="9356" w:type="dxa"/>
          <w:jc w:val="center"/>
          <w:tblLayout w:type="fixed"/>
          <w:tblCellMar>
            <w:left w:w="28" w:type="dxa"/>
            <w:right w:w="28" w:type="dxa"/>
          </w:tblCellMar>
          <w:tblLook w:val="0000"/>
        </w:tblPrEx>
        <w:trPr>
          <w:trHeight w:val="284"/>
          <w:jc w:val="center"/>
        </w:trPr>
        <w:tc>
          <w:tcPr>
            <w:tcW w:w="1697" w:type="dxa"/>
          </w:tcPr>
          <w:p w:rsidR="00742725" w:rsidRPr="00E1755A" w:rsidP="002B4E4D" w14:paraId="5C478C35" w14:textId="77777777">
            <w:pPr>
              <w:spacing w:after="0"/>
              <w:rPr>
                <w:rFonts w:ascii="Times New Roman" w:hAnsi="Times New Roman"/>
                <w:sz w:val="24"/>
                <w:szCs w:val="24"/>
              </w:rPr>
            </w:pPr>
            <w:r w:rsidRPr="00E1755A">
              <w:rPr>
                <w:rFonts w:ascii="Times New Roman" w:hAnsi="Times New Roman"/>
                <w:sz w:val="24"/>
                <w:szCs w:val="24"/>
              </w:rPr>
              <w:t>Attiecīgā Eiropas Savienības tiesību akta datums, numurs un nosaukums</w:t>
            </w:r>
          </w:p>
        </w:tc>
        <w:tc>
          <w:tcPr>
            <w:tcW w:w="7659" w:type="dxa"/>
            <w:gridSpan w:val="3"/>
            <w:vAlign w:val="center"/>
          </w:tcPr>
          <w:p w:rsidR="00742725" w:rsidRPr="00E1755A" w:rsidP="002B4E4D" w14:paraId="3FDAA90B" w14:textId="6C936426">
            <w:pPr>
              <w:pStyle w:val="ListParagraph"/>
              <w:autoSpaceDE w:val="0"/>
              <w:autoSpaceDN w:val="0"/>
              <w:adjustRightInd w:val="0"/>
              <w:spacing w:after="0"/>
              <w:ind w:left="284" w:firstLine="0"/>
              <w:contextualSpacing w:val="0"/>
              <w:rPr>
                <w:b/>
                <w:sz w:val="24"/>
                <w:szCs w:val="24"/>
                <w:shd w:val="clear" w:color="auto" w:fill="FFFFFF"/>
              </w:rPr>
            </w:pPr>
            <w:r w:rsidRPr="00742725">
              <w:rPr>
                <w:b/>
                <w:sz w:val="24"/>
                <w:szCs w:val="24"/>
              </w:rPr>
              <w:t>Eiropas Padomes 2015.</w:t>
            </w:r>
            <w:r w:rsidR="00E70E8D">
              <w:rPr>
                <w:b/>
                <w:sz w:val="24"/>
                <w:szCs w:val="24"/>
              </w:rPr>
              <w:t> </w:t>
            </w:r>
            <w:r w:rsidRPr="00742725">
              <w:rPr>
                <w:b/>
                <w:sz w:val="24"/>
                <w:szCs w:val="24"/>
              </w:rPr>
              <w:t>gada 20.</w:t>
            </w:r>
            <w:r w:rsidR="00E70E8D">
              <w:rPr>
                <w:b/>
                <w:sz w:val="24"/>
                <w:szCs w:val="24"/>
              </w:rPr>
              <w:t> </w:t>
            </w:r>
            <w:r w:rsidRPr="00742725">
              <w:rPr>
                <w:b/>
                <w:sz w:val="24"/>
                <w:szCs w:val="24"/>
              </w:rPr>
              <w:t>aprīļa direktīvas Nr</w:t>
            </w:r>
            <w:r w:rsidR="00E70E8D">
              <w:rPr>
                <w:b/>
                <w:sz w:val="24"/>
                <w:szCs w:val="24"/>
              </w:rPr>
              <w:t> </w:t>
            </w:r>
            <w:r w:rsidRPr="00742725">
              <w:rPr>
                <w:b/>
                <w:sz w:val="24"/>
                <w:szCs w:val="24"/>
              </w:rPr>
              <w:t>.2015/652, ar ko nosaka aprēķina metodes un ziņošanas prasības, ievērojot Eiropas Parlamenta un Padomes Direktīvu 98/70/EK, attiecībā uz benzīna un dīzeļdegvielu kvalitāti</w:t>
            </w:r>
          </w:p>
        </w:tc>
      </w:tr>
      <w:tr w14:paraId="7F845D9A" w14:textId="77777777" w:rsidTr="009B0BF3">
        <w:tblPrEx>
          <w:tblW w:w="9356" w:type="dxa"/>
          <w:jc w:val="center"/>
          <w:tblLayout w:type="fixed"/>
          <w:tblCellMar>
            <w:left w:w="28" w:type="dxa"/>
            <w:right w:w="28" w:type="dxa"/>
          </w:tblCellMar>
          <w:tblLook w:val="0000"/>
        </w:tblPrEx>
        <w:trPr>
          <w:trHeight w:val="284"/>
          <w:jc w:val="center"/>
        </w:trPr>
        <w:tc>
          <w:tcPr>
            <w:tcW w:w="1697" w:type="dxa"/>
            <w:vAlign w:val="center"/>
          </w:tcPr>
          <w:p w:rsidR="00742725" w:rsidRPr="00E1755A" w:rsidP="002B4E4D" w14:paraId="3BED37E0" w14:textId="77777777">
            <w:pPr>
              <w:spacing w:after="0"/>
              <w:jc w:val="center"/>
              <w:rPr>
                <w:rFonts w:ascii="Times New Roman" w:hAnsi="Times New Roman"/>
                <w:sz w:val="24"/>
                <w:szCs w:val="24"/>
              </w:rPr>
            </w:pPr>
            <w:r w:rsidRPr="00E1755A">
              <w:rPr>
                <w:rFonts w:ascii="Times New Roman" w:hAnsi="Times New Roman"/>
                <w:sz w:val="24"/>
                <w:szCs w:val="24"/>
              </w:rPr>
              <w:t>A</w:t>
            </w:r>
          </w:p>
        </w:tc>
        <w:tc>
          <w:tcPr>
            <w:tcW w:w="2724" w:type="dxa"/>
            <w:vAlign w:val="center"/>
          </w:tcPr>
          <w:p w:rsidR="00742725" w:rsidRPr="00E1755A" w:rsidP="002B4E4D" w14:paraId="16856458" w14:textId="77777777">
            <w:pPr>
              <w:spacing w:after="0"/>
              <w:ind w:left="57"/>
              <w:jc w:val="center"/>
              <w:rPr>
                <w:rFonts w:ascii="Times New Roman" w:hAnsi="Times New Roman"/>
                <w:sz w:val="24"/>
                <w:szCs w:val="24"/>
              </w:rPr>
            </w:pPr>
            <w:r w:rsidRPr="00E1755A">
              <w:rPr>
                <w:rFonts w:ascii="Times New Roman" w:hAnsi="Times New Roman"/>
                <w:sz w:val="24"/>
                <w:szCs w:val="24"/>
              </w:rPr>
              <w:t>B</w:t>
            </w:r>
          </w:p>
        </w:tc>
        <w:tc>
          <w:tcPr>
            <w:tcW w:w="1953" w:type="dxa"/>
            <w:vAlign w:val="center"/>
          </w:tcPr>
          <w:p w:rsidR="00742725" w:rsidRPr="00E1755A" w:rsidP="002B4E4D" w14:paraId="166740E3" w14:textId="77777777">
            <w:pPr>
              <w:spacing w:after="0"/>
              <w:ind w:left="57"/>
              <w:jc w:val="center"/>
              <w:rPr>
                <w:rFonts w:ascii="Times New Roman" w:hAnsi="Times New Roman"/>
                <w:sz w:val="24"/>
                <w:szCs w:val="24"/>
              </w:rPr>
            </w:pPr>
            <w:r w:rsidRPr="00E1755A">
              <w:rPr>
                <w:rFonts w:ascii="Times New Roman" w:hAnsi="Times New Roman"/>
                <w:sz w:val="24"/>
                <w:szCs w:val="24"/>
              </w:rPr>
              <w:t>C</w:t>
            </w:r>
          </w:p>
        </w:tc>
        <w:tc>
          <w:tcPr>
            <w:tcW w:w="2982" w:type="dxa"/>
            <w:vAlign w:val="center"/>
          </w:tcPr>
          <w:p w:rsidR="00742725" w:rsidRPr="00E1755A" w:rsidP="002B4E4D" w14:paraId="123111CB" w14:textId="77777777">
            <w:pPr>
              <w:spacing w:after="0"/>
              <w:ind w:left="57"/>
              <w:jc w:val="center"/>
              <w:rPr>
                <w:rFonts w:ascii="Times New Roman" w:hAnsi="Times New Roman"/>
                <w:sz w:val="24"/>
                <w:szCs w:val="24"/>
              </w:rPr>
            </w:pPr>
            <w:r w:rsidRPr="00E1755A">
              <w:rPr>
                <w:rFonts w:ascii="Times New Roman" w:hAnsi="Times New Roman"/>
                <w:sz w:val="24"/>
                <w:szCs w:val="24"/>
              </w:rPr>
              <w:t>D</w:t>
            </w:r>
          </w:p>
        </w:tc>
      </w:tr>
      <w:tr w14:paraId="24C376B1" w14:textId="77777777" w:rsidTr="009B0BF3">
        <w:tblPrEx>
          <w:tblW w:w="9356" w:type="dxa"/>
          <w:jc w:val="center"/>
          <w:tblLayout w:type="fixed"/>
          <w:tblCellMar>
            <w:left w:w="28" w:type="dxa"/>
            <w:right w:w="28" w:type="dxa"/>
          </w:tblCellMar>
          <w:tblLook w:val="0000"/>
        </w:tblPrEx>
        <w:trPr>
          <w:trHeight w:val="284"/>
          <w:jc w:val="center"/>
        </w:trPr>
        <w:tc>
          <w:tcPr>
            <w:tcW w:w="1697" w:type="dxa"/>
          </w:tcPr>
          <w:p w:rsidR="009B0BF3" w:rsidRPr="00E1755A" w:rsidP="002B4E4D" w14:paraId="1407DA61" w14:textId="7E2C4928">
            <w:pPr>
              <w:spacing w:after="0"/>
              <w:rPr>
                <w:rFonts w:ascii="Times New Roman" w:hAnsi="Times New Roman"/>
                <w:spacing w:val="-3"/>
                <w:sz w:val="24"/>
                <w:szCs w:val="24"/>
              </w:rPr>
            </w:pPr>
            <w:r>
              <w:rPr>
                <w:rFonts w:ascii="Times New Roman" w:hAnsi="Times New Roman"/>
                <w:spacing w:val="-3"/>
                <w:sz w:val="24"/>
                <w:szCs w:val="24"/>
              </w:rPr>
              <w:t>6. pants</w:t>
            </w:r>
          </w:p>
        </w:tc>
        <w:tc>
          <w:tcPr>
            <w:tcW w:w="2724" w:type="dxa"/>
          </w:tcPr>
          <w:p w:rsidR="009B0BF3" w:rsidRPr="00E1755A" w:rsidP="00861969" w14:paraId="0C51716A" w14:textId="6D75F226">
            <w:pPr>
              <w:spacing w:after="0"/>
              <w:ind w:left="57"/>
              <w:rPr>
                <w:rFonts w:ascii="Times New Roman" w:hAnsi="Times New Roman"/>
                <w:spacing w:val="-3"/>
                <w:sz w:val="24"/>
                <w:szCs w:val="24"/>
              </w:rPr>
            </w:pPr>
            <w:r w:rsidRPr="00E1755A">
              <w:rPr>
                <w:rFonts w:ascii="Times New Roman" w:hAnsi="Times New Roman"/>
                <w:sz w:val="24"/>
                <w:szCs w:val="24"/>
              </w:rPr>
              <w:t>Likumprojekta 2.</w:t>
            </w:r>
            <w:r>
              <w:rPr>
                <w:rFonts w:ascii="Times New Roman" w:hAnsi="Times New Roman"/>
                <w:sz w:val="24"/>
                <w:szCs w:val="24"/>
              </w:rPr>
              <w:t> </w:t>
            </w:r>
            <w:r w:rsidRPr="00E1755A">
              <w:rPr>
                <w:rFonts w:ascii="Times New Roman" w:hAnsi="Times New Roman"/>
                <w:sz w:val="24"/>
                <w:szCs w:val="24"/>
              </w:rPr>
              <w:t>pantā izteiktā Administratīvā pārkāpuma kodeksa 88.</w:t>
            </w:r>
            <w:r w:rsidRPr="00E1755A">
              <w:rPr>
                <w:rFonts w:ascii="Times New Roman" w:hAnsi="Times New Roman"/>
                <w:sz w:val="24"/>
                <w:szCs w:val="24"/>
                <w:vertAlign w:val="superscript"/>
              </w:rPr>
              <w:t>11</w:t>
            </w:r>
            <w:r>
              <w:rPr>
                <w:rFonts w:ascii="Times New Roman" w:hAnsi="Times New Roman"/>
                <w:sz w:val="24"/>
                <w:szCs w:val="24"/>
              </w:rPr>
              <w:t xml:space="preserve"> panta ceturtā </w:t>
            </w:r>
            <w:r w:rsidRPr="00E1755A">
              <w:rPr>
                <w:rFonts w:ascii="Times New Roman" w:hAnsi="Times New Roman"/>
                <w:sz w:val="24"/>
                <w:szCs w:val="24"/>
              </w:rPr>
              <w:t>daļa</w:t>
            </w:r>
          </w:p>
        </w:tc>
        <w:tc>
          <w:tcPr>
            <w:tcW w:w="1953" w:type="dxa"/>
            <w:vAlign w:val="center"/>
          </w:tcPr>
          <w:p w:rsidR="009B0BF3" w:rsidRPr="00E1755A" w:rsidP="002B4E4D" w14:paraId="7DD3A478" w14:textId="4FDE9D0D">
            <w:pPr>
              <w:spacing w:after="0"/>
              <w:ind w:left="57"/>
              <w:rPr>
                <w:rFonts w:ascii="Times New Roman" w:hAnsi="Times New Roman"/>
                <w:spacing w:val="-3"/>
                <w:sz w:val="24"/>
                <w:szCs w:val="24"/>
              </w:rPr>
            </w:pPr>
            <w:r w:rsidRPr="0048109D">
              <w:rPr>
                <w:rFonts w:ascii="Times New Roman" w:hAnsi="Times New Roman"/>
                <w:sz w:val="24"/>
                <w:szCs w:val="24"/>
              </w:rPr>
              <w:t>pārņemts pilnībā</w:t>
            </w:r>
          </w:p>
        </w:tc>
        <w:tc>
          <w:tcPr>
            <w:tcW w:w="2982" w:type="dxa"/>
            <w:vAlign w:val="center"/>
          </w:tcPr>
          <w:p w:rsidR="009B0BF3" w:rsidRPr="00E1755A" w:rsidP="002B4E4D" w14:paraId="31BC6D8D" w14:textId="2A3BD800">
            <w:pPr>
              <w:spacing w:after="0"/>
              <w:ind w:left="57"/>
              <w:rPr>
                <w:rFonts w:ascii="Times New Roman" w:hAnsi="Times New Roman"/>
                <w:spacing w:val="-3"/>
                <w:sz w:val="24"/>
                <w:szCs w:val="24"/>
              </w:rPr>
            </w:pPr>
            <w:r w:rsidRPr="0048109D">
              <w:rPr>
                <w:rFonts w:ascii="Times New Roman" w:hAnsi="Times New Roman"/>
                <w:sz w:val="24"/>
                <w:szCs w:val="24"/>
              </w:rPr>
              <w:t>netiek pārņemts paredzot stingrākas vai mazāk stingras prasības</w:t>
            </w:r>
          </w:p>
        </w:tc>
      </w:tr>
      <w:tr w14:paraId="24CE66CC" w14:textId="77777777" w:rsidTr="009B0BF3">
        <w:tblPrEx>
          <w:tblW w:w="9356" w:type="dxa"/>
          <w:jc w:val="center"/>
          <w:tblLayout w:type="fixed"/>
          <w:tblCellMar>
            <w:left w:w="28" w:type="dxa"/>
            <w:right w:w="28" w:type="dxa"/>
          </w:tblCellMar>
          <w:tblLook w:val="0000"/>
        </w:tblPrEx>
        <w:trPr>
          <w:trHeight w:val="284"/>
          <w:jc w:val="center"/>
        </w:trPr>
        <w:tc>
          <w:tcPr>
            <w:tcW w:w="1697" w:type="dxa"/>
          </w:tcPr>
          <w:p w:rsidR="00CB4AAB" w:rsidRPr="00E1755A" w:rsidP="00E51C74" w14:paraId="24CE66C9" w14:textId="77777777">
            <w:pPr>
              <w:pStyle w:val="naisc"/>
              <w:spacing w:before="60" w:after="60"/>
              <w:jc w:val="left"/>
            </w:pPr>
            <w:r w:rsidRPr="00E1755A">
              <w:t>Kā ir izmantota ES tiesību aktā paredzētā rīcības brīvība dalībvalstij pārņemt vai ieviest noteiktas ES tiesību akta normas?</w:t>
            </w:r>
          </w:p>
          <w:p w:rsidR="00CB4AAB" w:rsidRPr="00E1755A" w:rsidP="00E51C74" w14:paraId="24CE66CA" w14:textId="77777777">
            <w:pPr>
              <w:spacing w:before="60" w:after="60"/>
              <w:ind w:left="57"/>
              <w:jc w:val="left"/>
              <w:rPr>
                <w:rFonts w:ascii="Times New Roman" w:hAnsi="Times New Roman"/>
                <w:sz w:val="24"/>
                <w:szCs w:val="24"/>
              </w:rPr>
            </w:pPr>
            <w:r w:rsidRPr="00E1755A">
              <w:rPr>
                <w:rFonts w:ascii="Times New Roman" w:hAnsi="Times New Roman"/>
                <w:sz w:val="24"/>
                <w:szCs w:val="24"/>
              </w:rPr>
              <w:t>Kādēļ?</w:t>
            </w:r>
            <w:r w:rsidRPr="00E1755A">
              <w:rPr>
                <w:rFonts w:ascii="Times New Roman" w:hAnsi="Times New Roman"/>
                <w:sz w:val="24"/>
                <w:szCs w:val="24"/>
              </w:rPr>
              <w:tab/>
            </w:r>
          </w:p>
        </w:tc>
        <w:tc>
          <w:tcPr>
            <w:tcW w:w="7659" w:type="dxa"/>
            <w:gridSpan w:val="3"/>
          </w:tcPr>
          <w:p w:rsidR="00CB4AAB" w:rsidP="00E51C74" w14:paraId="4565B3C8" w14:textId="77777777">
            <w:pPr>
              <w:pStyle w:val="naisc"/>
              <w:spacing w:before="60" w:after="60"/>
              <w:jc w:val="both"/>
            </w:pPr>
            <w:r w:rsidRPr="00E1755A">
              <w:t>Projekts šo jomu nes</w:t>
            </w:r>
            <w:r w:rsidRPr="00E1755A" w:rsidR="0018092B">
              <w:t>kar.</w:t>
            </w:r>
          </w:p>
          <w:p w:rsidR="00742725" w:rsidRPr="00E1755A" w:rsidP="00E51C74" w14:paraId="24CE66CB" w14:textId="75AEC4A4">
            <w:pPr>
              <w:pStyle w:val="naisc"/>
              <w:spacing w:before="60" w:after="60"/>
              <w:jc w:val="both"/>
            </w:pPr>
          </w:p>
        </w:tc>
      </w:tr>
      <w:tr w14:paraId="24CE66CF" w14:textId="77777777" w:rsidTr="009B0BF3">
        <w:tblPrEx>
          <w:tblW w:w="9356" w:type="dxa"/>
          <w:jc w:val="center"/>
          <w:tblLayout w:type="fixed"/>
          <w:tblCellMar>
            <w:left w:w="28" w:type="dxa"/>
            <w:right w:w="28" w:type="dxa"/>
          </w:tblCellMar>
          <w:tblLook w:val="0000"/>
        </w:tblPrEx>
        <w:trPr>
          <w:trHeight w:val="284"/>
          <w:jc w:val="center"/>
        </w:trPr>
        <w:tc>
          <w:tcPr>
            <w:tcW w:w="1697" w:type="dxa"/>
          </w:tcPr>
          <w:p w:rsidR="00CB4AAB" w:rsidRPr="00E1755A" w:rsidP="00E51C74" w14:paraId="24CE66CD" w14:textId="77777777">
            <w:pPr>
              <w:spacing w:before="60" w:after="60"/>
              <w:ind w:left="57"/>
              <w:jc w:val="left"/>
              <w:rPr>
                <w:rFonts w:ascii="Times New Roman" w:hAnsi="Times New Roman"/>
                <w:sz w:val="24"/>
                <w:szCs w:val="24"/>
              </w:rPr>
            </w:pPr>
            <w:r w:rsidRPr="00E1755A">
              <w:rPr>
                <w:rFonts w:ascii="Times New Roman" w:hAnsi="Times New Roman"/>
                <w:sz w:val="24"/>
                <w:szCs w:val="24"/>
              </w:rP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7659" w:type="dxa"/>
            <w:gridSpan w:val="3"/>
          </w:tcPr>
          <w:p w:rsidR="00CB4AAB" w:rsidRPr="00E1755A" w:rsidP="00E51C74" w14:paraId="24CE66CE" w14:textId="77777777">
            <w:pPr>
              <w:pStyle w:val="naisc"/>
              <w:spacing w:before="60" w:after="60"/>
              <w:jc w:val="both"/>
            </w:pPr>
            <w:r w:rsidRPr="00E1755A">
              <w:t xml:space="preserve">Projekts šo jomu </w:t>
            </w:r>
            <w:r w:rsidRPr="00E1755A" w:rsidR="0018092B">
              <w:t>neskar.</w:t>
            </w:r>
          </w:p>
        </w:tc>
      </w:tr>
      <w:tr w14:paraId="24CE66D2" w14:textId="77777777" w:rsidTr="009B0BF3">
        <w:tblPrEx>
          <w:tblW w:w="9356" w:type="dxa"/>
          <w:jc w:val="center"/>
          <w:tblLayout w:type="fixed"/>
          <w:tblCellMar>
            <w:left w:w="28" w:type="dxa"/>
            <w:right w:w="28" w:type="dxa"/>
          </w:tblCellMar>
          <w:tblLook w:val="0000"/>
        </w:tblPrEx>
        <w:trPr>
          <w:trHeight w:val="284"/>
          <w:jc w:val="center"/>
        </w:trPr>
        <w:tc>
          <w:tcPr>
            <w:tcW w:w="1697" w:type="dxa"/>
          </w:tcPr>
          <w:p w:rsidR="00CB4AAB" w:rsidRPr="00E1755A" w:rsidP="00E51C74" w14:paraId="24CE66D0" w14:textId="77777777">
            <w:pPr>
              <w:spacing w:before="60" w:after="60"/>
              <w:ind w:left="57"/>
              <w:rPr>
                <w:rFonts w:ascii="Times New Roman" w:hAnsi="Times New Roman"/>
                <w:sz w:val="24"/>
                <w:szCs w:val="24"/>
              </w:rPr>
            </w:pPr>
            <w:r w:rsidRPr="00E1755A">
              <w:rPr>
                <w:rFonts w:ascii="Times New Roman" w:hAnsi="Times New Roman"/>
                <w:sz w:val="24"/>
                <w:szCs w:val="24"/>
              </w:rPr>
              <w:t>Cita informācija</w:t>
            </w:r>
          </w:p>
        </w:tc>
        <w:tc>
          <w:tcPr>
            <w:tcW w:w="7659" w:type="dxa"/>
            <w:gridSpan w:val="3"/>
          </w:tcPr>
          <w:p w:rsidR="00CB4AAB" w:rsidRPr="00E1755A" w:rsidP="00E51C74" w14:paraId="24CE66D1" w14:textId="71D70F66">
            <w:pPr>
              <w:pStyle w:val="naisc"/>
              <w:spacing w:before="60" w:after="60"/>
              <w:ind w:firstLine="266"/>
              <w:jc w:val="both"/>
            </w:pPr>
            <w:r w:rsidRPr="00E1755A">
              <w:rPr>
                <w:iCs/>
              </w:rPr>
              <w:t>Nav</w:t>
            </w:r>
          </w:p>
        </w:tc>
      </w:tr>
      <w:tr w14:paraId="24CE66D6" w14:textId="77777777" w:rsidTr="009B0BF3">
        <w:tblPrEx>
          <w:tblW w:w="9356" w:type="dxa"/>
          <w:jc w:val="center"/>
          <w:tblLayout w:type="fixed"/>
          <w:tblCellMar>
            <w:left w:w="28" w:type="dxa"/>
            <w:right w:w="28" w:type="dxa"/>
          </w:tblCellMar>
          <w:tblLook w:val="0000"/>
        </w:tblPrEx>
        <w:trPr>
          <w:trHeight w:val="284"/>
          <w:jc w:val="center"/>
        </w:trPr>
        <w:tc>
          <w:tcPr>
            <w:tcW w:w="9356" w:type="dxa"/>
            <w:gridSpan w:val="4"/>
            <w:tcBorders>
              <w:bottom w:val="single" w:sz="4" w:space="0" w:color="auto"/>
            </w:tcBorders>
          </w:tcPr>
          <w:p w:rsidR="00CB4AAB" w:rsidRPr="00E1755A" w:rsidP="00E51C74" w14:paraId="24CE66D3" w14:textId="0CA69CF3">
            <w:pPr>
              <w:pStyle w:val="naisc"/>
              <w:spacing w:before="60" w:after="60"/>
              <w:ind w:firstLine="266"/>
              <w:rPr>
                <w:b/>
              </w:rPr>
            </w:pPr>
            <w:r w:rsidRPr="00E1755A">
              <w:rPr>
                <w:b/>
              </w:rPr>
              <w:t>2.</w:t>
            </w:r>
            <w:r w:rsidRPr="00E1755A" w:rsidR="00D80F1B">
              <w:rPr>
                <w:b/>
              </w:rPr>
              <w:t> </w:t>
            </w:r>
            <w:r w:rsidRPr="00E1755A">
              <w:rPr>
                <w:b/>
              </w:rPr>
              <w:t>tabula</w:t>
            </w:r>
          </w:p>
          <w:p w:rsidR="00CB4AAB" w:rsidRPr="00E1755A" w:rsidP="00E51C74" w14:paraId="24CE66D4" w14:textId="77777777">
            <w:pPr>
              <w:pStyle w:val="naisc"/>
              <w:spacing w:before="60" w:after="60"/>
              <w:ind w:firstLine="266"/>
              <w:rPr>
                <w:b/>
              </w:rPr>
            </w:pPr>
            <w:r w:rsidRPr="00E1755A">
              <w:rPr>
                <w:b/>
              </w:rPr>
              <w:t>Ar tiesību akta projektu izpildītās vai uzņemtās saistības, kas izriet no starptautiskajiem tiesību aktiem vai starptautiskas institūcijas vai organizācijas dokumentiem.</w:t>
            </w:r>
          </w:p>
          <w:p w:rsidR="00CB4AAB" w:rsidRPr="00E1755A" w:rsidP="00E51C74" w14:paraId="24CE66D5" w14:textId="77777777">
            <w:pPr>
              <w:pStyle w:val="naisc"/>
              <w:spacing w:before="60" w:after="60"/>
              <w:ind w:firstLine="266"/>
              <w:rPr>
                <w:i/>
              </w:rPr>
            </w:pPr>
            <w:r w:rsidRPr="00E1755A">
              <w:rPr>
                <w:b/>
              </w:rPr>
              <w:t>Pasākumi šo saistību izpildei</w:t>
            </w:r>
          </w:p>
        </w:tc>
      </w:tr>
      <w:tr w14:paraId="24CE66D8" w14:textId="77777777" w:rsidTr="009B0BF3">
        <w:tblPrEx>
          <w:tblW w:w="9356" w:type="dxa"/>
          <w:jc w:val="center"/>
          <w:tblLayout w:type="fixed"/>
          <w:tblCellMar>
            <w:left w:w="28" w:type="dxa"/>
            <w:right w:w="28" w:type="dxa"/>
          </w:tblCellMar>
          <w:tblLook w:val="0000"/>
        </w:tblPrEx>
        <w:trPr>
          <w:trHeight w:val="284"/>
          <w:jc w:val="center"/>
        </w:trPr>
        <w:tc>
          <w:tcPr>
            <w:tcW w:w="9356" w:type="dxa"/>
            <w:gridSpan w:val="4"/>
          </w:tcPr>
          <w:p w:rsidR="00CB4AAB" w:rsidRPr="00E1755A" w:rsidP="00E51C74" w14:paraId="24CE66D7" w14:textId="6EDFD00B">
            <w:pPr>
              <w:pStyle w:val="naisc"/>
              <w:spacing w:before="60" w:after="60"/>
              <w:ind w:firstLine="266"/>
              <w:jc w:val="both"/>
            </w:pPr>
            <w:r w:rsidRPr="00E1755A">
              <w:t>Projekts šo jomu neskar</w:t>
            </w:r>
            <w:r w:rsidRPr="00E1755A" w:rsidR="00D80F1B">
              <w:t>.</w:t>
            </w:r>
          </w:p>
        </w:tc>
      </w:tr>
    </w:tbl>
    <w:p w:rsidR="00F07CD0" w:rsidRPr="00E1755A" w:rsidP="005E117D" w14:paraId="24CE66D9" w14:textId="77777777">
      <w:pPr>
        <w:shd w:val="clear" w:color="auto" w:fill="FFFFFF"/>
        <w:spacing w:after="0"/>
        <w:jc w:val="left"/>
        <w:rPr>
          <w:rFonts w:ascii="Times New Roman" w:hAnsi="Times New Roman"/>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67"/>
        <w:gridCol w:w="2287"/>
        <w:gridCol w:w="6602"/>
      </w:tblGrid>
      <w:tr w14:paraId="24CE66DB" w14:textId="77777777" w:rsidTr="003D77B9">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rHeight w:val="420"/>
          <w:jc w:val="center"/>
        </w:trPr>
        <w:tc>
          <w:tcPr>
            <w:tcW w:w="0" w:type="auto"/>
            <w:gridSpan w:val="3"/>
            <w:vAlign w:val="center"/>
          </w:tcPr>
          <w:p w:rsidR="00CB4AAB" w:rsidRPr="00E1755A" w:rsidP="00B63F0E" w14:paraId="24CE66DA" w14:textId="5B612052">
            <w:pPr>
              <w:pStyle w:val="tvhtml"/>
              <w:spacing w:before="60" w:beforeAutospacing="0" w:after="60" w:afterAutospacing="0"/>
              <w:jc w:val="center"/>
              <w:rPr>
                <w:b/>
                <w:bCs/>
              </w:rPr>
            </w:pPr>
            <w:r w:rsidRPr="00E1755A">
              <w:rPr>
                <w:b/>
                <w:bCs/>
              </w:rPr>
              <w:t>VI.</w:t>
            </w:r>
            <w:r w:rsidRPr="00E1755A" w:rsidR="00D80F1B">
              <w:rPr>
                <w:b/>
                <w:bCs/>
              </w:rPr>
              <w:t> </w:t>
            </w:r>
            <w:r w:rsidRPr="00E1755A">
              <w:rPr>
                <w:b/>
                <w:bCs/>
              </w:rPr>
              <w:t>Sabiedrības līdzdalība un komunikācijas aktivitātes</w:t>
            </w:r>
          </w:p>
        </w:tc>
      </w:tr>
      <w:tr w14:paraId="24CE66DF" w14:textId="77777777" w:rsidTr="003D77B9">
        <w:tblPrEx>
          <w:tblW w:w="9356" w:type="dxa"/>
          <w:jc w:val="center"/>
          <w:tblCellMar>
            <w:top w:w="30" w:type="dxa"/>
            <w:left w:w="30" w:type="dxa"/>
            <w:bottom w:w="30" w:type="dxa"/>
            <w:right w:w="30" w:type="dxa"/>
          </w:tblCellMar>
          <w:tblLook w:val="00A0"/>
        </w:tblPrEx>
        <w:trPr>
          <w:trHeight w:val="540"/>
          <w:jc w:val="center"/>
        </w:trPr>
        <w:tc>
          <w:tcPr>
            <w:tcW w:w="250" w:type="pct"/>
          </w:tcPr>
          <w:p w:rsidR="00CB4AAB" w:rsidRPr="00E1755A" w:rsidP="00B63F0E" w14:paraId="24CE66DC" w14:textId="77777777">
            <w:pPr>
              <w:spacing w:before="60" w:after="60"/>
              <w:rPr>
                <w:rFonts w:ascii="Times New Roman" w:hAnsi="Times New Roman"/>
                <w:sz w:val="24"/>
                <w:szCs w:val="24"/>
              </w:rPr>
            </w:pPr>
            <w:r w:rsidRPr="00E1755A">
              <w:rPr>
                <w:rFonts w:ascii="Times New Roman" w:hAnsi="Times New Roman"/>
                <w:sz w:val="24"/>
                <w:szCs w:val="24"/>
              </w:rPr>
              <w:t>1.</w:t>
            </w:r>
          </w:p>
        </w:tc>
        <w:tc>
          <w:tcPr>
            <w:tcW w:w="1222" w:type="pct"/>
          </w:tcPr>
          <w:p w:rsidR="00CB4AAB" w:rsidRPr="00E1755A" w:rsidP="00B63F0E" w14:paraId="24CE66DD" w14:textId="77777777">
            <w:pPr>
              <w:spacing w:before="60" w:after="60"/>
              <w:rPr>
                <w:rFonts w:ascii="Times New Roman" w:hAnsi="Times New Roman"/>
                <w:sz w:val="24"/>
                <w:szCs w:val="24"/>
              </w:rPr>
            </w:pPr>
            <w:r w:rsidRPr="00E1755A">
              <w:rPr>
                <w:rFonts w:ascii="Times New Roman" w:hAnsi="Times New Roman"/>
                <w:sz w:val="24"/>
                <w:szCs w:val="24"/>
              </w:rPr>
              <w:t>Plānotās sabiedrības līdzdalības un komunikācijas aktivitātes saistībā ar projektu</w:t>
            </w:r>
          </w:p>
        </w:tc>
        <w:tc>
          <w:tcPr>
            <w:tcW w:w="3528" w:type="pct"/>
          </w:tcPr>
          <w:p w:rsidR="00742725" w:rsidRPr="00E1755A" w:rsidP="00861969" w14:paraId="24CE66DE" w14:textId="2A1415FF">
            <w:pPr>
              <w:pStyle w:val="naiskr"/>
              <w:spacing w:before="60" w:after="60"/>
              <w:jc w:val="both"/>
            </w:pPr>
            <w:r w:rsidRPr="00E1755A">
              <w:t>Saskaņā ar Ministru kabineta 2009.</w:t>
            </w:r>
            <w:r w:rsidR="005118FF">
              <w:t> </w:t>
            </w:r>
            <w:r w:rsidRPr="00E1755A">
              <w:t>gada 25.</w:t>
            </w:r>
            <w:r w:rsidR="005118FF">
              <w:t> </w:t>
            </w:r>
            <w:r w:rsidRPr="00E1755A">
              <w:t>augusta noteikumu Nr.</w:t>
            </w:r>
            <w:r w:rsidR="005118FF">
              <w:t> </w:t>
            </w:r>
            <w:r w:rsidRPr="00E1755A">
              <w:t>970 „Sabiedrības līdzdalības kārtība attīstības plānošanas procesā” 7.4.</w:t>
            </w:r>
            <w:r w:rsidRPr="00E1755A">
              <w:rPr>
                <w:vertAlign w:val="superscript"/>
              </w:rPr>
              <w:t>1</w:t>
            </w:r>
            <w:r w:rsidR="005118FF">
              <w:rPr>
                <w:vertAlign w:val="superscript"/>
              </w:rPr>
              <w:t> </w:t>
            </w:r>
            <w:r w:rsidRPr="00E1755A">
              <w:t xml:space="preserve">apakšpunktu sabiedrības pārstāvji ir aicināti līdzdarboties, rakstiski </w:t>
            </w:r>
            <w:r w:rsidRPr="00E1755A" w:rsidR="0034168A">
              <w:t>sniedzot viedokli par likum</w:t>
            </w:r>
            <w:r w:rsidRPr="00E1755A">
              <w:t>projektu tā izstrādes stadijā. Sabiedrības pārstāvji ir informēti par iespēju līdzdarboties, publicējot paziņoju</w:t>
            </w:r>
            <w:r w:rsidRPr="00E1755A" w:rsidR="0034168A">
              <w:t>mu par līdzdalības procesu V</w:t>
            </w:r>
            <w:r>
              <w:t>ARAM</w:t>
            </w:r>
            <w:r w:rsidR="00C00431">
              <w:t xml:space="preserve"> </w:t>
            </w:r>
            <w:r w:rsidR="00EB19AA">
              <w:t>tīmekļ</w:t>
            </w:r>
            <w:r w:rsidRPr="00E1755A">
              <w:t>vietnē.</w:t>
            </w:r>
          </w:p>
        </w:tc>
      </w:tr>
      <w:tr w14:paraId="24CE66E3" w14:textId="77777777" w:rsidTr="003D77B9">
        <w:tblPrEx>
          <w:tblW w:w="9356" w:type="dxa"/>
          <w:jc w:val="center"/>
          <w:tblCellMar>
            <w:top w:w="30" w:type="dxa"/>
            <w:left w:w="30" w:type="dxa"/>
            <w:bottom w:w="30" w:type="dxa"/>
            <w:right w:w="30" w:type="dxa"/>
          </w:tblCellMar>
          <w:tblLook w:val="00A0"/>
        </w:tblPrEx>
        <w:trPr>
          <w:trHeight w:val="330"/>
          <w:jc w:val="center"/>
        </w:trPr>
        <w:tc>
          <w:tcPr>
            <w:tcW w:w="250" w:type="pct"/>
          </w:tcPr>
          <w:p w:rsidR="00CB4AAB" w:rsidRPr="00E1755A" w:rsidP="00B63F0E" w14:paraId="24CE66E0" w14:textId="77777777">
            <w:pPr>
              <w:spacing w:before="60" w:after="60"/>
              <w:rPr>
                <w:rFonts w:ascii="Times New Roman" w:hAnsi="Times New Roman"/>
                <w:sz w:val="24"/>
                <w:szCs w:val="24"/>
              </w:rPr>
            </w:pPr>
            <w:r w:rsidRPr="00E1755A">
              <w:rPr>
                <w:rFonts w:ascii="Times New Roman" w:hAnsi="Times New Roman"/>
                <w:sz w:val="24"/>
                <w:szCs w:val="24"/>
              </w:rPr>
              <w:t>2.</w:t>
            </w:r>
          </w:p>
        </w:tc>
        <w:tc>
          <w:tcPr>
            <w:tcW w:w="1222" w:type="pct"/>
          </w:tcPr>
          <w:p w:rsidR="00CB4AAB" w:rsidRPr="00E1755A" w:rsidP="00B63F0E" w14:paraId="24CE66E1" w14:textId="77777777">
            <w:pPr>
              <w:spacing w:before="60" w:after="60"/>
              <w:rPr>
                <w:rFonts w:ascii="Times New Roman" w:hAnsi="Times New Roman"/>
                <w:sz w:val="24"/>
                <w:szCs w:val="24"/>
              </w:rPr>
            </w:pPr>
            <w:r w:rsidRPr="00E1755A">
              <w:rPr>
                <w:rFonts w:ascii="Times New Roman" w:hAnsi="Times New Roman"/>
                <w:sz w:val="24"/>
                <w:szCs w:val="24"/>
              </w:rPr>
              <w:t>Sabiedrības līdzdalība projekta izstrādē</w:t>
            </w:r>
          </w:p>
        </w:tc>
        <w:tc>
          <w:tcPr>
            <w:tcW w:w="3528" w:type="pct"/>
          </w:tcPr>
          <w:p w:rsidR="00CB4AAB" w:rsidRPr="00E1755A" w:rsidP="00106E78" w14:paraId="24CE66E2" w14:textId="3E499606">
            <w:pPr>
              <w:spacing w:before="60" w:after="60"/>
              <w:rPr>
                <w:rFonts w:ascii="Times New Roman" w:hAnsi="Times New Roman"/>
                <w:sz w:val="24"/>
                <w:szCs w:val="24"/>
              </w:rPr>
            </w:pPr>
            <w:r w:rsidRPr="00E1755A">
              <w:rPr>
                <w:rFonts w:ascii="Times New Roman" w:hAnsi="Times New Roman"/>
                <w:sz w:val="24"/>
                <w:szCs w:val="24"/>
              </w:rPr>
              <w:t xml:space="preserve">Likumprojekts publicēts </w:t>
            </w:r>
            <w:r w:rsidR="00106E78">
              <w:rPr>
                <w:rFonts w:ascii="Times New Roman" w:hAnsi="Times New Roman"/>
                <w:sz w:val="24"/>
                <w:szCs w:val="24"/>
              </w:rPr>
              <w:t>VARAM</w:t>
            </w:r>
            <w:r w:rsidR="00EB19AA">
              <w:rPr>
                <w:rFonts w:ascii="Times New Roman" w:hAnsi="Times New Roman"/>
                <w:sz w:val="24"/>
                <w:szCs w:val="24"/>
              </w:rPr>
              <w:t xml:space="preserve"> tīmekļ</w:t>
            </w:r>
            <w:r w:rsidRPr="00E1755A">
              <w:rPr>
                <w:rFonts w:ascii="Times New Roman" w:hAnsi="Times New Roman"/>
                <w:sz w:val="24"/>
                <w:szCs w:val="24"/>
              </w:rPr>
              <w:t>vietnē</w:t>
            </w:r>
            <w:r w:rsidRPr="00E1755A" w:rsidR="0034168A">
              <w:rPr>
                <w:rFonts w:ascii="Times New Roman" w:hAnsi="Times New Roman"/>
                <w:sz w:val="24"/>
                <w:szCs w:val="24"/>
              </w:rPr>
              <w:t xml:space="preserve"> 2016.</w:t>
            </w:r>
            <w:r w:rsidRPr="00E1755A" w:rsidR="009129F7">
              <w:rPr>
                <w:rFonts w:ascii="Times New Roman" w:hAnsi="Times New Roman"/>
                <w:sz w:val="24"/>
                <w:szCs w:val="24"/>
              </w:rPr>
              <w:t>gada</w:t>
            </w:r>
            <w:r w:rsidRPr="00E1755A" w:rsidR="0034168A">
              <w:rPr>
                <w:rFonts w:ascii="Times New Roman" w:hAnsi="Times New Roman"/>
                <w:sz w:val="24"/>
                <w:szCs w:val="24"/>
              </w:rPr>
              <w:t> 13.septembrī.</w:t>
            </w:r>
          </w:p>
        </w:tc>
      </w:tr>
      <w:tr w14:paraId="24CE66E7" w14:textId="77777777" w:rsidTr="003D77B9">
        <w:tblPrEx>
          <w:tblW w:w="9356" w:type="dxa"/>
          <w:jc w:val="center"/>
          <w:tblCellMar>
            <w:top w:w="30" w:type="dxa"/>
            <w:left w:w="30" w:type="dxa"/>
            <w:bottom w:w="30" w:type="dxa"/>
            <w:right w:w="30" w:type="dxa"/>
          </w:tblCellMar>
          <w:tblLook w:val="00A0"/>
        </w:tblPrEx>
        <w:trPr>
          <w:trHeight w:val="465"/>
          <w:jc w:val="center"/>
        </w:trPr>
        <w:tc>
          <w:tcPr>
            <w:tcW w:w="250" w:type="pct"/>
          </w:tcPr>
          <w:p w:rsidR="00CB4AAB" w:rsidRPr="00E1755A" w:rsidP="00B63F0E" w14:paraId="24CE66E4" w14:textId="77777777">
            <w:pPr>
              <w:spacing w:before="60" w:after="60"/>
              <w:rPr>
                <w:rFonts w:ascii="Times New Roman" w:hAnsi="Times New Roman"/>
                <w:sz w:val="24"/>
                <w:szCs w:val="24"/>
              </w:rPr>
            </w:pPr>
            <w:r w:rsidRPr="00E1755A">
              <w:rPr>
                <w:rFonts w:ascii="Times New Roman" w:hAnsi="Times New Roman"/>
                <w:sz w:val="24"/>
                <w:szCs w:val="24"/>
              </w:rPr>
              <w:t>3.</w:t>
            </w:r>
          </w:p>
        </w:tc>
        <w:tc>
          <w:tcPr>
            <w:tcW w:w="1222" w:type="pct"/>
          </w:tcPr>
          <w:p w:rsidR="00CB4AAB" w:rsidRPr="00E1755A" w:rsidP="00B63F0E" w14:paraId="24CE66E5" w14:textId="77777777">
            <w:pPr>
              <w:spacing w:before="60" w:after="60"/>
              <w:rPr>
                <w:rFonts w:ascii="Times New Roman" w:hAnsi="Times New Roman"/>
                <w:sz w:val="24"/>
                <w:szCs w:val="24"/>
              </w:rPr>
            </w:pPr>
            <w:r w:rsidRPr="00E1755A">
              <w:rPr>
                <w:rFonts w:ascii="Times New Roman" w:hAnsi="Times New Roman"/>
                <w:sz w:val="24"/>
                <w:szCs w:val="24"/>
              </w:rPr>
              <w:t>Sabiedrības līdzdalības rezultāti</w:t>
            </w:r>
          </w:p>
        </w:tc>
        <w:tc>
          <w:tcPr>
            <w:tcW w:w="3528" w:type="pct"/>
          </w:tcPr>
          <w:p w:rsidR="009B0BF3" w:rsidRPr="00E1755A" w:rsidP="00B63F0E" w14:paraId="24CE66E6" w14:textId="66C520BA">
            <w:pPr>
              <w:spacing w:before="60" w:after="60"/>
              <w:rPr>
                <w:rFonts w:ascii="Times New Roman" w:hAnsi="Times New Roman"/>
                <w:sz w:val="24"/>
                <w:szCs w:val="24"/>
              </w:rPr>
            </w:pPr>
            <w:r w:rsidRPr="00EB19AA">
              <w:rPr>
                <w:rFonts w:ascii="Times New Roman" w:hAnsi="Times New Roman"/>
                <w:sz w:val="24"/>
                <w:szCs w:val="24"/>
              </w:rPr>
              <w:t>Sabiedrības komentāri par likumprojektu nav saņemti.</w:t>
            </w:r>
          </w:p>
        </w:tc>
      </w:tr>
      <w:tr w14:paraId="24CE66EB" w14:textId="77777777" w:rsidTr="003D77B9">
        <w:tblPrEx>
          <w:tblW w:w="9356" w:type="dxa"/>
          <w:jc w:val="center"/>
          <w:tblCellMar>
            <w:top w:w="30" w:type="dxa"/>
            <w:left w:w="30" w:type="dxa"/>
            <w:bottom w:w="30" w:type="dxa"/>
            <w:right w:w="30" w:type="dxa"/>
          </w:tblCellMar>
          <w:tblLook w:val="00A0"/>
        </w:tblPrEx>
        <w:trPr>
          <w:trHeight w:val="465"/>
          <w:jc w:val="center"/>
        </w:trPr>
        <w:tc>
          <w:tcPr>
            <w:tcW w:w="250" w:type="pct"/>
          </w:tcPr>
          <w:p w:rsidR="00CB4AAB" w:rsidRPr="00E1755A" w:rsidP="00B63F0E" w14:paraId="24CE66E8" w14:textId="77777777">
            <w:pPr>
              <w:spacing w:before="60" w:after="60"/>
              <w:rPr>
                <w:rFonts w:ascii="Times New Roman" w:hAnsi="Times New Roman"/>
                <w:sz w:val="24"/>
                <w:szCs w:val="24"/>
              </w:rPr>
            </w:pPr>
            <w:r w:rsidRPr="00E1755A">
              <w:rPr>
                <w:rFonts w:ascii="Times New Roman" w:hAnsi="Times New Roman"/>
                <w:sz w:val="24"/>
                <w:szCs w:val="24"/>
              </w:rPr>
              <w:t>4.</w:t>
            </w:r>
          </w:p>
        </w:tc>
        <w:tc>
          <w:tcPr>
            <w:tcW w:w="1222" w:type="pct"/>
          </w:tcPr>
          <w:p w:rsidR="00CB4AAB" w:rsidRPr="00E1755A" w:rsidP="00B63F0E" w14:paraId="24CE66E9" w14:textId="77777777">
            <w:pPr>
              <w:spacing w:before="60" w:after="60"/>
              <w:rPr>
                <w:rFonts w:ascii="Times New Roman" w:hAnsi="Times New Roman"/>
                <w:sz w:val="24"/>
                <w:szCs w:val="24"/>
              </w:rPr>
            </w:pPr>
            <w:r w:rsidRPr="00E1755A">
              <w:rPr>
                <w:rFonts w:ascii="Times New Roman" w:hAnsi="Times New Roman"/>
                <w:sz w:val="24"/>
                <w:szCs w:val="24"/>
              </w:rPr>
              <w:t>Cita informācija</w:t>
            </w:r>
          </w:p>
        </w:tc>
        <w:tc>
          <w:tcPr>
            <w:tcW w:w="3528" w:type="pct"/>
          </w:tcPr>
          <w:p w:rsidR="00CB4AAB" w:rsidRPr="00E1755A" w:rsidP="00B63F0E" w14:paraId="24CE66EA" w14:textId="77777777">
            <w:pPr>
              <w:pStyle w:val="tvhtml"/>
              <w:spacing w:before="60" w:beforeAutospacing="0" w:after="60" w:afterAutospacing="0"/>
            </w:pPr>
            <w:r w:rsidRPr="00E1755A">
              <w:t>Nav</w:t>
            </w:r>
          </w:p>
        </w:tc>
      </w:tr>
    </w:tbl>
    <w:p w:rsidR="00CB4AAB" w:rsidRPr="00E1755A" w:rsidP="00E01818" w14:paraId="24CE66EC" w14:textId="77777777">
      <w:pPr>
        <w:shd w:val="clear" w:color="auto" w:fill="FFFFFF"/>
        <w:spacing w:after="0"/>
        <w:ind w:firstLine="335"/>
        <w:jc w:val="left"/>
        <w:rPr>
          <w:rFonts w:ascii="Times New Roman" w:hAnsi="Times New Roman"/>
          <w:sz w:val="24"/>
          <w:szCs w:val="24"/>
          <w:lang w:eastAsia="lv-LV"/>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67"/>
        <w:gridCol w:w="2287"/>
        <w:gridCol w:w="6602"/>
      </w:tblGrid>
      <w:tr w14:paraId="24CE66EE" w14:textId="77777777" w:rsidTr="003D77B9">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rHeight w:val="375"/>
          <w:jc w:val="center"/>
        </w:trPr>
        <w:tc>
          <w:tcPr>
            <w:tcW w:w="0" w:type="auto"/>
            <w:gridSpan w:val="3"/>
            <w:vAlign w:val="center"/>
          </w:tcPr>
          <w:p w:rsidR="00CB4AAB" w:rsidRPr="00E1755A" w:rsidP="00B63F0E" w14:paraId="24CE66ED" w14:textId="60D78ED1">
            <w:pPr>
              <w:spacing w:before="60" w:after="60"/>
              <w:jc w:val="center"/>
              <w:rPr>
                <w:rFonts w:ascii="Times New Roman" w:hAnsi="Times New Roman"/>
                <w:b/>
                <w:bCs/>
                <w:sz w:val="24"/>
                <w:szCs w:val="24"/>
                <w:lang w:eastAsia="lv-LV"/>
              </w:rPr>
            </w:pPr>
            <w:r w:rsidRPr="00E1755A">
              <w:rPr>
                <w:rFonts w:ascii="Times New Roman" w:hAnsi="Times New Roman"/>
                <w:b/>
                <w:bCs/>
                <w:sz w:val="24"/>
                <w:szCs w:val="24"/>
                <w:lang w:eastAsia="lv-LV"/>
              </w:rPr>
              <w:t>VII.</w:t>
            </w:r>
            <w:r w:rsidR="00E70E8D">
              <w:rPr>
                <w:rFonts w:ascii="Times New Roman" w:hAnsi="Times New Roman"/>
                <w:b/>
                <w:bCs/>
                <w:sz w:val="24"/>
                <w:szCs w:val="24"/>
                <w:lang w:eastAsia="lv-LV"/>
              </w:rPr>
              <w:t> </w:t>
            </w:r>
            <w:r w:rsidRPr="00E1755A">
              <w:rPr>
                <w:rFonts w:ascii="Times New Roman" w:hAnsi="Times New Roman"/>
                <w:b/>
                <w:bCs/>
                <w:sz w:val="24"/>
                <w:szCs w:val="24"/>
                <w:lang w:eastAsia="lv-LV"/>
              </w:rPr>
              <w:t>Tiesību akta projekta izpildes nodrošināšana un tās ietekme uz institūcijām</w:t>
            </w:r>
          </w:p>
        </w:tc>
      </w:tr>
      <w:tr w14:paraId="24CE670B" w14:textId="77777777" w:rsidTr="003D77B9">
        <w:tblPrEx>
          <w:tblW w:w="9356" w:type="dxa"/>
          <w:jc w:val="center"/>
          <w:tblCellMar>
            <w:top w:w="30" w:type="dxa"/>
            <w:left w:w="30" w:type="dxa"/>
            <w:bottom w:w="30" w:type="dxa"/>
            <w:right w:w="30" w:type="dxa"/>
          </w:tblCellMar>
          <w:tblLook w:val="00A0"/>
        </w:tblPrEx>
        <w:trPr>
          <w:trHeight w:val="420"/>
          <w:jc w:val="center"/>
        </w:trPr>
        <w:tc>
          <w:tcPr>
            <w:tcW w:w="250" w:type="pct"/>
          </w:tcPr>
          <w:p w:rsidR="00CB4AAB" w:rsidRPr="00E1755A" w:rsidP="00B63F0E" w14:paraId="24CE66EF" w14:textId="77777777">
            <w:pPr>
              <w:spacing w:before="60" w:after="60"/>
              <w:jc w:val="left"/>
              <w:rPr>
                <w:rFonts w:ascii="Times New Roman" w:hAnsi="Times New Roman"/>
                <w:sz w:val="24"/>
                <w:szCs w:val="24"/>
                <w:lang w:eastAsia="lv-LV"/>
              </w:rPr>
            </w:pPr>
            <w:r w:rsidRPr="00E1755A">
              <w:rPr>
                <w:rFonts w:ascii="Times New Roman" w:hAnsi="Times New Roman"/>
                <w:sz w:val="24"/>
                <w:szCs w:val="24"/>
                <w:lang w:eastAsia="lv-LV"/>
              </w:rPr>
              <w:t>1.</w:t>
            </w:r>
          </w:p>
        </w:tc>
        <w:tc>
          <w:tcPr>
            <w:tcW w:w="1222" w:type="pct"/>
          </w:tcPr>
          <w:p w:rsidR="00CB4AAB" w:rsidRPr="00E1755A" w:rsidP="00B63F0E" w14:paraId="24CE66F0" w14:textId="77777777">
            <w:pPr>
              <w:spacing w:before="60" w:after="60"/>
              <w:jc w:val="left"/>
              <w:rPr>
                <w:rFonts w:ascii="Times New Roman" w:hAnsi="Times New Roman"/>
                <w:sz w:val="24"/>
                <w:szCs w:val="24"/>
                <w:lang w:eastAsia="lv-LV"/>
              </w:rPr>
            </w:pPr>
            <w:r w:rsidRPr="00E1755A">
              <w:rPr>
                <w:rFonts w:ascii="Times New Roman" w:hAnsi="Times New Roman"/>
                <w:sz w:val="24"/>
                <w:szCs w:val="24"/>
                <w:lang w:eastAsia="lv-LV"/>
              </w:rPr>
              <w:t>Projekta izpildē iesaistītās institūcijas</w:t>
            </w:r>
          </w:p>
        </w:tc>
        <w:tc>
          <w:tcPr>
            <w:tcW w:w="3528" w:type="pct"/>
          </w:tcPr>
          <w:p w:rsidR="004134E1" w:rsidRPr="00E1755A" w:rsidP="004134E1" w14:paraId="5EF2A1FD" w14:textId="055B6385">
            <w:pPr>
              <w:pStyle w:val="naisnod"/>
              <w:spacing w:before="40" w:after="40"/>
              <w:jc w:val="both"/>
              <w:rPr>
                <w:b w:val="0"/>
              </w:rPr>
            </w:pPr>
            <w:r w:rsidRPr="00E1755A">
              <w:rPr>
                <w:b w:val="0"/>
              </w:rPr>
              <w:t>V</w:t>
            </w:r>
            <w:r w:rsidR="009A664F">
              <w:rPr>
                <w:b w:val="0"/>
              </w:rPr>
              <w:t>VD</w:t>
            </w:r>
            <w:r w:rsidRPr="00E1755A" w:rsidR="0034168A">
              <w:rPr>
                <w:b w:val="0"/>
              </w:rPr>
              <w:t>;</w:t>
            </w:r>
          </w:p>
          <w:p w:rsidR="004134E1" w:rsidRPr="00E1755A" w:rsidP="009A664F" w14:paraId="24CE670A" w14:textId="4A1F30EF">
            <w:pPr>
              <w:pStyle w:val="naisnod"/>
              <w:spacing w:before="40" w:after="40"/>
              <w:jc w:val="both"/>
              <w:rPr>
                <w:b w:val="0"/>
              </w:rPr>
            </w:pPr>
            <w:r w:rsidRPr="00E1755A">
              <w:rPr>
                <w:b w:val="0"/>
              </w:rPr>
              <w:t>Civilās aviācijas aģentūra</w:t>
            </w:r>
            <w:r w:rsidR="009A664F">
              <w:rPr>
                <w:b w:val="0"/>
              </w:rPr>
              <w:t>.</w:t>
            </w:r>
          </w:p>
        </w:tc>
      </w:tr>
      <w:tr w14:paraId="24CE6713" w14:textId="77777777" w:rsidTr="003D77B9">
        <w:tblPrEx>
          <w:tblW w:w="9356" w:type="dxa"/>
          <w:jc w:val="center"/>
          <w:tblCellMar>
            <w:top w:w="30" w:type="dxa"/>
            <w:left w:w="30" w:type="dxa"/>
            <w:bottom w:w="30" w:type="dxa"/>
            <w:right w:w="30" w:type="dxa"/>
          </w:tblCellMar>
          <w:tblLook w:val="00A0"/>
        </w:tblPrEx>
        <w:trPr>
          <w:trHeight w:val="450"/>
          <w:jc w:val="center"/>
        </w:trPr>
        <w:tc>
          <w:tcPr>
            <w:tcW w:w="250" w:type="pct"/>
          </w:tcPr>
          <w:p w:rsidR="00CB4AAB" w:rsidRPr="00E1755A" w:rsidP="00B63F0E" w14:paraId="24CE670C" w14:textId="2AFC5CB1">
            <w:pPr>
              <w:spacing w:before="60" w:after="60"/>
              <w:jc w:val="left"/>
              <w:rPr>
                <w:rFonts w:ascii="Times New Roman" w:hAnsi="Times New Roman"/>
                <w:sz w:val="24"/>
                <w:szCs w:val="24"/>
                <w:lang w:eastAsia="lv-LV"/>
              </w:rPr>
            </w:pPr>
            <w:r w:rsidRPr="00E1755A">
              <w:rPr>
                <w:rFonts w:ascii="Times New Roman" w:hAnsi="Times New Roman"/>
                <w:sz w:val="24"/>
                <w:szCs w:val="24"/>
                <w:lang w:eastAsia="lv-LV"/>
              </w:rPr>
              <w:t>2.</w:t>
            </w:r>
          </w:p>
        </w:tc>
        <w:tc>
          <w:tcPr>
            <w:tcW w:w="1222" w:type="pct"/>
          </w:tcPr>
          <w:p w:rsidR="00CB4AAB" w:rsidRPr="00E1755A" w:rsidP="00B63F0E" w14:paraId="24CE670D" w14:textId="77777777">
            <w:pPr>
              <w:spacing w:before="60" w:after="60"/>
              <w:jc w:val="left"/>
              <w:rPr>
                <w:rFonts w:ascii="Times New Roman" w:hAnsi="Times New Roman"/>
                <w:sz w:val="24"/>
                <w:szCs w:val="24"/>
                <w:lang w:eastAsia="lv-LV"/>
              </w:rPr>
            </w:pPr>
            <w:r w:rsidRPr="00E1755A">
              <w:rPr>
                <w:rFonts w:ascii="Times New Roman" w:hAnsi="Times New Roman"/>
                <w:sz w:val="24"/>
                <w:szCs w:val="24"/>
                <w:lang w:eastAsia="lv-LV"/>
              </w:rPr>
              <w:t>Projekta izpildes ietekme uz pārvaldes funkcijām un institucionālo struktūru.</w:t>
            </w:r>
          </w:p>
          <w:p w:rsidR="00CB4AAB" w:rsidRPr="00E1755A" w:rsidP="00B63F0E" w14:paraId="24CE670E" w14:textId="77777777">
            <w:pPr>
              <w:spacing w:before="60" w:after="60"/>
              <w:jc w:val="left"/>
              <w:rPr>
                <w:rFonts w:ascii="Times New Roman" w:hAnsi="Times New Roman"/>
                <w:sz w:val="24"/>
                <w:szCs w:val="24"/>
                <w:lang w:eastAsia="lv-LV"/>
              </w:rPr>
            </w:pPr>
            <w:r w:rsidRPr="00E1755A">
              <w:rPr>
                <w:rFonts w:ascii="Times New Roman" w:hAnsi="Times New Roman"/>
                <w:sz w:val="24"/>
                <w:szCs w:val="24"/>
                <w:lang w:eastAsia="lv-LV"/>
              </w:rPr>
              <w:t>Jaunu institūciju izveide, esošu institūciju likvidācija vai reorganizācija, to ietekme uz institūcijas cilvēkresursiem</w:t>
            </w:r>
          </w:p>
        </w:tc>
        <w:tc>
          <w:tcPr>
            <w:tcW w:w="3528" w:type="pct"/>
          </w:tcPr>
          <w:p w:rsidR="00C23BC0" w:rsidRPr="00E1755A" w:rsidP="00B63F0E" w14:paraId="24CE670F" w14:textId="77777777">
            <w:pPr>
              <w:spacing w:before="60" w:after="60"/>
              <w:rPr>
                <w:rFonts w:ascii="Times New Roman" w:hAnsi="Times New Roman"/>
                <w:sz w:val="24"/>
                <w:szCs w:val="24"/>
              </w:rPr>
            </w:pPr>
            <w:r w:rsidRPr="00E1755A">
              <w:rPr>
                <w:rFonts w:ascii="Times New Roman" w:hAnsi="Times New Roman"/>
                <w:sz w:val="24"/>
                <w:szCs w:val="24"/>
              </w:rPr>
              <w:t xml:space="preserve">Likumprojektā iekļautie nosacījumi </w:t>
            </w:r>
            <w:r w:rsidRPr="00E1755A" w:rsidR="00DB3854">
              <w:rPr>
                <w:rFonts w:ascii="Times New Roman" w:hAnsi="Times New Roman"/>
                <w:sz w:val="24"/>
                <w:szCs w:val="24"/>
              </w:rPr>
              <w:t>var radīt ietekmi uz pārvaldes funkcijām, tomēr tas neietekmēs institucionālo sistēmu.</w:t>
            </w:r>
          </w:p>
          <w:p w:rsidR="00CB4AAB" w:rsidRPr="00E1755A" w:rsidP="00B63F0E" w14:paraId="24CE6711" w14:textId="77777777">
            <w:pPr>
              <w:spacing w:before="60" w:after="60"/>
              <w:rPr>
                <w:rFonts w:ascii="Times New Roman" w:hAnsi="Times New Roman"/>
                <w:sz w:val="24"/>
                <w:szCs w:val="24"/>
              </w:rPr>
            </w:pPr>
            <w:r w:rsidRPr="00E1755A">
              <w:rPr>
                <w:rFonts w:ascii="Times New Roman" w:hAnsi="Times New Roman"/>
                <w:sz w:val="24"/>
                <w:szCs w:val="24"/>
              </w:rPr>
              <w:t>Likumprojektā iekļauto nosacījumu izpildei nav nepieciešams veidot jaunas institūcijas, likvidēt vai reorganizēt esošās institūcijas.</w:t>
            </w:r>
          </w:p>
          <w:p w:rsidR="00C34B19" w:rsidRPr="00E1755A" w:rsidP="009129F7" w14:paraId="24CE6712" w14:textId="064E871A">
            <w:pPr>
              <w:spacing w:before="60" w:after="60"/>
              <w:rPr>
                <w:rFonts w:ascii="Times New Roman" w:hAnsi="Times New Roman"/>
                <w:sz w:val="24"/>
                <w:szCs w:val="24"/>
              </w:rPr>
            </w:pPr>
            <w:r w:rsidRPr="00E1755A">
              <w:rPr>
                <w:rFonts w:ascii="Times New Roman" w:hAnsi="Times New Roman"/>
                <w:sz w:val="24"/>
                <w:szCs w:val="24"/>
              </w:rPr>
              <w:t xml:space="preserve">Likumprojekta izpildē iesaistītās </w:t>
            </w:r>
            <w:r w:rsidRPr="00E1755A" w:rsidR="009129F7">
              <w:rPr>
                <w:rFonts w:ascii="Times New Roman" w:hAnsi="Times New Roman"/>
                <w:sz w:val="24"/>
                <w:szCs w:val="24"/>
              </w:rPr>
              <w:t xml:space="preserve">institūcijas </w:t>
            </w:r>
            <w:r w:rsidRPr="00E1755A">
              <w:rPr>
                <w:rFonts w:ascii="Times New Roman" w:hAnsi="Times New Roman"/>
                <w:sz w:val="24"/>
                <w:szCs w:val="24"/>
              </w:rPr>
              <w:t>likumprojektā iekļautos pasākumu nodrošinās piešķirto valsts budžeta līdzekļu ietvaros.</w:t>
            </w:r>
          </w:p>
        </w:tc>
      </w:tr>
      <w:tr w14:paraId="24CE6717" w14:textId="77777777" w:rsidTr="003D77B9">
        <w:tblPrEx>
          <w:tblW w:w="9356" w:type="dxa"/>
          <w:jc w:val="center"/>
          <w:tblCellMar>
            <w:top w:w="30" w:type="dxa"/>
            <w:left w:w="30" w:type="dxa"/>
            <w:bottom w:w="30" w:type="dxa"/>
            <w:right w:w="30" w:type="dxa"/>
          </w:tblCellMar>
          <w:tblLook w:val="00A0"/>
        </w:tblPrEx>
        <w:trPr>
          <w:trHeight w:val="390"/>
          <w:jc w:val="center"/>
        </w:trPr>
        <w:tc>
          <w:tcPr>
            <w:tcW w:w="250" w:type="pct"/>
          </w:tcPr>
          <w:p w:rsidR="00CB4AAB" w:rsidRPr="00E1755A" w:rsidP="00B63F0E" w14:paraId="24CE6714" w14:textId="77777777">
            <w:pPr>
              <w:spacing w:before="60" w:after="60"/>
              <w:jc w:val="left"/>
              <w:rPr>
                <w:rFonts w:ascii="Times New Roman" w:hAnsi="Times New Roman"/>
                <w:sz w:val="24"/>
                <w:szCs w:val="24"/>
              </w:rPr>
            </w:pPr>
            <w:r w:rsidRPr="00E1755A">
              <w:rPr>
                <w:rFonts w:ascii="Times New Roman" w:hAnsi="Times New Roman"/>
                <w:sz w:val="24"/>
                <w:szCs w:val="24"/>
              </w:rPr>
              <w:t>3.</w:t>
            </w:r>
          </w:p>
        </w:tc>
        <w:tc>
          <w:tcPr>
            <w:tcW w:w="1222" w:type="pct"/>
          </w:tcPr>
          <w:p w:rsidR="00CB4AAB" w:rsidRPr="00E1755A" w:rsidP="00B63F0E" w14:paraId="24CE6715" w14:textId="77777777">
            <w:pPr>
              <w:spacing w:before="60" w:after="60"/>
              <w:jc w:val="left"/>
              <w:rPr>
                <w:rFonts w:ascii="Times New Roman" w:hAnsi="Times New Roman"/>
                <w:sz w:val="24"/>
                <w:szCs w:val="24"/>
              </w:rPr>
            </w:pPr>
            <w:r w:rsidRPr="00E1755A">
              <w:rPr>
                <w:rFonts w:ascii="Times New Roman" w:hAnsi="Times New Roman"/>
                <w:sz w:val="24"/>
                <w:szCs w:val="24"/>
              </w:rPr>
              <w:t>Cita informācija</w:t>
            </w:r>
          </w:p>
        </w:tc>
        <w:tc>
          <w:tcPr>
            <w:tcW w:w="3528" w:type="pct"/>
          </w:tcPr>
          <w:p w:rsidR="00CB4AAB" w:rsidRPr="00E1755A" w:rsidP="00B63F0E" w14:paraId="24CE6716" w14:textId="77777777">
            <w:pPr>
              <w:spacing w:before="60" w:after="60"/>
              <w:jc w:val="left"/>
              <w:rPr>
                <w:rFonts w:ascii="Times New Roman" w:hAnsi="Times New Roman"/>
                <w:sz w:val="24"/>
                <w:szCs w:val="24"/>
              </w:rPr>
            </w:pPr>
            <w:r w:rsidRPr="00E1755A">
              <w:rPr>
                <w:rFonts w:ascii="Times New Roman" w:hAnsi="Times New Roman"/>
                <w:sz w:val="24"/>
                <w:szCs w:val="24"/>
              </w:rPr>
              <w:t>Nav</w:t>
            </w:r>
          </w:p>
        </w:tc>
      </w:tr>
    </w:tbl>
    <w:p w:rsidR="00F122F9" w:rsidP="009B0BF3" w14:paraId="24CE6718" w14:textId="77777777">
      <w:pPr>
        <w:shd w:val="clear" w:color="auto" w:fill="FFFFFF"/>
        <w:spacing w:after="0"/>
        <w:rPr>
          <w:rFonts w:ascii="Times New Roman" w:hAnsi="Times New Roman"/>
          <w:sz w:val="24"/>
          <w:szCs w:val="24"/>
        </w:rPr>
      </w:pPr>
    </w:p>
    <w:p w:rsidR="003D77B9" w:rsidP="009B0BF3" w14:paraId="29E5D434" w14:textId="77777777">
      <w:pPr>
        <w:shd w:val="clear" w:color="auto" w:fill="FFFFFF"/>
        <w:spacing w:after="0"/>
        <w:rPr>
          <w:rFonts w:ascii="Times New Roman" w:hAnsi="Times New Roman"/>
          <w:sz w:val="24"/>
          <w:szCs w:val="24"/>
        </w:rPr>
      </w:pPr>
    </w:p>
    <w:p w:rsidR="00A919BD" w:rsidRPr="00D010A9" w:rsidP="009B0BF3" w14:paraId="553DF801" w14:textId="77777777">
      <w:pPr>
        <w:shd w:val="clear" w:color="auto" w:fill="FFFFFF"/>
        <w:spacing w:after="0"/>
        <w:rPr>
          <w:rFonts w:ascii="Times New Roman" w:hAnsi="Times New Roman"/>
          <w:sz w:val="24"/>
          <w:szCs w:val="24"/>
        </w:rPr>
      </w:pPr>
    </w:p>
    <w:p w:rsidR="0076017C" w:rsidRPr="007D08CA" w:rsidP="009B0BF3" w14:paraId="202A7A33" w14:textId="626D1FA2">
      <w:pPr>
        <w:pStyle w:val="tabula"/>
        <w:tabs>
          <w:tab w:val="clear" w:pos="5954"/>
          <w:tab w:val="left" w:pos="7513"/>
        </w:tabs>
        <w:jc w:val="both"/>
        <w:rPr>
          <w:rFonts w:ascii="Times New Roman" w:hAnsi="Times New Roman"/>
          <w:sz w:val="24"/>
          <w:szCs w:val="24"/>
        </w:rPr>
      </w:pPr>
      <w:r w:rsidRPr="007D08CA">
        <w:rPr>
          <w:rFonts w:ascii="Times New Roman" w:hAnsi="Times New Roman"/>
          <w:sz w:val="24"/>
          <w:szCs w:val="24"/>
        </w:rPr>
        <w:t>Vides aizsardzības un</w:t>
      </w:r>
      <w:r w:rsidRPr="007D08CA" w:rsidR="009A664F">
        <w:rPr>
          <w:rFonts w:ascii="Times New Roman" w:hAnsi="Times New Roman"/>
          <w:sz w:val="24"/>
          <w:szCs w:val="24"/>
        </w:rPr>
        <w:t xml:space="preserve"> </w:t>
      </w:r>
      <w:r w:rsidRPr="007D08CA">
        <w:rPr>
          <w:rFonts w:ascii="Times New Roman" w:hAnsi="Times New Roman"/>
          <w:sz w:val="24"/>
          <w:szCs w:val="24"/>
        </w:rPr>
        <w:t>reģionālās attīstības ministrs</w:t>
      </w:r>
      <w:r w:rsidRPr="007D08CA" w:rsidR="005118FF">
        <w:rPr>
          <w:rFonts w:ascii="Times New Roman" w:hAnsi="Times New Roman"/>
          <w:sz w:val="24"/>
          <w:szCs w:val="24"/>
        </w:rPr>
        <w:t xml:space="preserve">                          Kaspars </w:t>
      </w:r>
      <w:r w:rsidRPr="007D08CA">
        <w:rPr>
          <w:rFonts w:ascii="Times New Roman" w:hAnsi="Times New Roman"/>
          <w:sz w:val="24"/>
          <w:szCs w:val="24"/>
        </w:rPr>
        <w:t>Gerhards</w:t>
      </w:r>
    </w:p>
    <w:p w:rsidR="0076017C" w:rsidRPr="007D08CA" w:rsidP="009B0BF3" w14:paraId="189EB804" w14:textId="77777777">
      <w:pPr>
        <w:tabs>
          <w:tab w:val="left" w:pos="5954"/>
          <w:tab w:val="left" w:pos="6804"/>
        </w:tabs>
        <w:spacing w:after="0"/>
        <w:rPr>
          <w:rFonts w:ascii="Times New Roman" w:hAnsi="Times New Roman"/>
          <w:sz w:val="24"/>
          <w:szCs w:val="24"/>
        </w:rPr>
      </w:pPr>
    </w:p>
    <w:p w:rsidR="00A919BD" w:rsidRPr="007D08CA" w:rsidP="009B0BF3" w14:paraId="4560247E" w14:textId="77777777">
      <w:pPr>
        <w:tabs>
          <w:tab w:val="left" w:pos="5954"/>
          <w:tab w:val="left" w:pos="6804"/>
        </w:tabs>
        <w:spacing w:after="0"/>
        <w:rPr>
          <w:rFonts w:ascii="Times New Roman" w:hAnsi="Times New Roman"/>
          <w:sz w:val="24"/>
          <w:szCs w:val="24"/>
        </w:rPr>
      </w:pPr>
    </w:p>
    <w:p w:rsidR="00A919BD" w:rsidRPr="007D08CA" w:rsidP="009B0BF3" w14:paraId="1464BF5B" w14:textId="77777777">
      <w:pPr>
        <w:tabs>
          <w:tab w:val="left" w:pos="5954"/>
          <w:tab w:val="left" w:pos="6804"/>
        </w:tabs>
        <w:spacing w:after="0"/>
        <w:rPr>
          <w:rFonts w:ascii="Times New Roman" w:hAnsi="Times New Roman"/>
          <w:sz w:val="24"/>
          <w:szCs w:val="24"/>
        </w:rPr>
      </w:pPr>
    </w:p>
    <w:p w:rsidR="009B0BF3" w:rsidRPr="007D08CA" w:rsidP="009B0BF3" w14:paraId="1ECF0C2A" w14:textId="77777777">
      <w:pPr>
        <w:tabs>
          <w:tab w:val="left" w:pos="5954"/>
          <w:tab w:val="left" w:pos="6804"/>
        </w:tabs>
        <w:spacing w:after="0"/>
        <w:rPr>
          <w:rFonts w:ascii="Times New Roman" w:hAnsi="Times New Roman"/>
          <w:sz w:val="24"/>
          <w:szCs w:val="24"/>
        </w:rPr>
      </w:pPr>
    </w:p>
    <w:p w:rsidR="0076017C" w:rsidRPr="007D08CA" w:rsidP="009B0BF3" w14:paraId="59A8EB89" w14:textId="175B7BC9">
      <w:pPr>
        <w:tabs>
          <w:tab w:val="left" w:pos="7655"/>
          <w:tab w:val="right" w:pos="9072"/>
        </w:tabs>
        <w:spacing w:after="0"/>
        <w:rPr>
          <w:rFonts w:ascii="Times New Roman" w:hAnsi="Times New Roman"/>
          <w:sz w:val="24"/>
          <w:szCs w:val="24"/>
        </w:rPr>
      </w:pPr>
      <w:r w:rsidRPr="007D08CA">
        <w:rPr>
          <w:rFonts w:ascii="Times New Roman" w:hAnsi="Times New Roman"/>
          <w:sz w:val="24"/>
          <w:szCs w:val="24"/>
        </w:rPr>
        <w:t>Vides aizsardzības un</w:t>
      </w:r>
      <w:r w:rsidRPr="007D08CA" w:rsidR="009A664F">
        <w:rPr>
          <w:rFonts w:ascii="Times New Roman" w:hAnsi="Times New Roman"/>
          <w:sz w:val="24"/>
          <w:szCs w:val="24"/>
        </w:rPr>
        <w:t xml:space="preserve"> </w:t>
      </w:r>
      <w:r w:rsidRPr="007D08CA">
        <w:rPr>
          <w:rFonts w:ascii="Times New Roman" w:hAnsi="Times New Roman"/>
          <w:sz w:val="24"/>
          <w:szCs w:val="24"/>
        </w:rPr>
        <w:t>reģionālās attīstības ministrijas</w:t>
      </w:r>
    </w:p>
    <w:p w:rsidR="0076017C" w:rsidRPr="007D08CA" w:rsidP="009B0BF3" w14:paraId="4060D284" w14:textId="3B6ED638">
      <w:pPr>
        <w:tabs>
          <w:tab w:val="left" w:pos="7655"/>
          <w:tab w:val="right" w:pos="9072"/>
        </w:tabs>
        <w:spacing w:after="0"/>
        <w:rPr>
          <w:rFonts w:ascii="Times New Roman" w:hAnsi="Times New Roman"/>
          <w:sz w:val="24"/>
          <w:szCs w:val="24"/>
        </w:rPr>
      </w:pPr>
      <w:r w:rsidRPr="007D08CA">
        <w:rPr>
          <w:rFonts w:ascii="Times New Roman" w:hAnsi="Times New Roman"/>
          <w:sz w:val="24"/>
          <w:szCs w:val="24"/>
        </w:rPr>
        <w:t>valsts sekretārs</w:t>
      </w:r>
      <w:r w:rsidRPr="007D08CA" w:rsidR="005118FF">
        <w:rPr>
          <w:rFonts w:ascii="Times New Roman" w:hAnsi="Times New Roman"/>
          <w:sz w:val="24"/>
          <w:szCs w:val="24"/>
        </w:rPr>
        <w:t xml:space="preserve">                                                                                    Rinalds </w:t>
      </w:r>
      <w:r w:rsidRPr="007D08CA">
        <w:rPr>
          <w:rFonts w:ascii="Times New Roman" w:hAnsi="Times New Roman"/>
          <w:sz w:val="24"/>
          <w:szCs w:val="24"/>
        </w:rPr>
        <w:t>Muciņš</w:t>
      </w:r>
    </w:p>
    <w:p w:rsidR="0034168A" w:rsidRPr="007D08CA" w:rsidP="009B0BF3" w14:paraId="7CB76605" w14:textId="77777777">
      <w:pPr>
        <w:pStyle w:val="tabula"/>
        <w:tabs>
          <w:tab w:val="right" w:pos="9072"/>
        </w:tabs>
        <w:rPr>
          <w:rFonts w:ascii="Times New Roman" w:hAnsi="Times New Roman"/>
          <w:sz w:val="24"/>
          <w:szCs w:val="24"/>
        </w:rPr>
      </w:pPr>
    </w:p>
    <w:p w:rsidR="009A664F" w:rsidRPr="007D08CA" w:rsidP="009B0BF3" w14:paraId="44A61EFD" w14:textId="77777777">
      <w:pPr>
        <w:pStyle w:val="tabula"/>
        <w:tabs>
          <w:tab w:val="right" w:pos="9072"/>
        </w:tabs>
        <w:rPr>
          <w:rFonts w:ascii="Times New Roman" w:hAnsi="Times New Roman"/>
          <w:sz w:val="24"/>
          <w:szCs w:val="24"/>
        </w:rPr>
      </w:pPr>
    </w:p>
    <w:p w:rsidR="009A664F" w:rsidRPr="007D08CA" w:rsidP="009B0BF3" w14:paraId="57866003" w14:textId="77777777">
      <w:pPr>
        <w:pStyle w:val="tabula"/>
        <w:tabs>
          <w:tab w:val="right" w:pos="9072"/>
        </w:tabs>
        <w:rPr>
          <w:rFonts w:ascii="Times New Roman" w:hAnsi="Times New Roman"/>
          <w:sz w:val="24"/>
          <w:szCs w:val="24"/>
        </w:rPr>
      </w:pPr>
      <w:bookmarkStart w:id="0" w:name="_GoBack"/>
      <w:bookmarkEnd w:id="0"/>
    </w:p>
    <w:p w:rsidR="00A919BD" w:rsidRPr="007D08CA" w:rsidP="009B0BF3" w14:paraId="01F8F53B" w14:textId="77777777">
      <w:pPr>
        <w:pStyle w:val="tabula"/>
        <w:tabs>
          <w:tab w:val="right" w:pos="9072"/>
        </w:tabs>
        <w:rPr>
          <w:rFonts w:ascii="Times New Roman" w:hAnsi="Times New Roman"/>
          <w:sz w:val="24"/>
          <w:szCs w:val="24"/>
        </w:rPr>
      </w:pPr>
    </w:p>
    <w:p w:rsidR="00A919BD" w:rsidRPr="007D08CA" w:rsidP="009B0BF3" w14:paraId="46E492E1" w14:textId="77777777">
      <w:pPr>
        <w:pStyle w:val="tabula"/>
        <w:tabs>
          <w:tab w:val="right" w:pos="9072"/>
        </w:tabs>
        <w:rPr>
          <w:rFonts w:ascii="Times New Roman" w:hAnsi="Times New Roman"/>
          <w:sz w:val="24"/>
          <w:szCs w:val="24"/>
        </w:rPr>
      </w:pPr>
    </w:p>
    <w:p w:rsidR="00A919BD" w:rsidP="009B0BF3" w14:paraId="49E38F4B" w14:textId="77777777">
      <w:pPr>
        <w:pStyle w:val="tabula"/>
        <w:tabs>
          <w:tab w:val="right" w:pos="9072"/>
        </w:tabs>
        <w:rPr>
          <w:rFonts w:ascii="Times New Roman" w:hAnsi="Times New Roman"/>
          <w:sz w:val="8"/>
          <w:szCs w:val="8"/>
        </w:rPr>
      </w:pPr>
    </w:p>
    <w:p w:rsidR="00A919BD" w:rsidP="009B0BF3" w14:paraId="39FCFAA7" w14:textId="77777777">
      <w:pPr>
        <w:pStyle w:val="tabula"/>
        <w:tabs>
          <w:tab w:val="right" w:pos="9072"/>
        </w:tabs>
        <w:rPr>
          <w:rFonts w:ascii="Times New Roman" w:hAnsi="Times New Roman"/>
          <w:sz w:val="8"/>
          <w:szCs w:val="8"/>
        </w:rPr>
      </w:pPr>
    </w:p>
    <w:p w:rsidR="00A919BD" w:rsidP="009B0BF3" w14:paraId="39289A4E" w14:textId="77777777">
      <w:pPr>
        <w:pStyle w:val="tabula"/>
        <w:tabs>
          <w:tab w:val="right" w:pos="9072"/>
        </w:tabs>
        <w:rPr>
          <w:rFonts w:ascii="Times New Roman" w:hAnsi="Times New Roman"/>
          <w:sz w:val="8"/>
          <w:szCs w:val="8"/>
        </w:rPr>
      </w:pPr>
    </w:p>
    <w:p w:rsidR="00A919BD" w:rsidP="009B0BF3" w14:paraId="65B480AB" w14:textId="77777777">
      <w:pPr>
        <w:pStyle w:val="tabula"/>
        <w:tabs>
          <w:tab w:val="right" w:pos="9072"/>
        </w:tabs>
        <w:rPr>
          <w:rFonts w:ascii="Times New Roman" w:hAnsi="Times New Roman"/>
          <w:sz w:val="8"/>
          <w:szCs w:val="8"/>
        </w:rPr>
      </w:pPr>
    </w:p>
    <w:p w:rsidR="00A919BD" w:rsidP="009B0BF3" w14:paraId="58B91442" w14:textId="77777777">
      <w:pPr>
        <w:pStyle w:val="tabula"/>
        <w:tabs>
          <w:tab w:val="right" w:pos="9072"/>
        </w:tabs>
        <w:rPr>
          <w:rFonts w:ascii="Times New Roman" w:hAnsi="Times New Roman"/>
          <w:sz w:val="8"/>
          <w:szCs w:val="8"/>
        </w:rPr>
      </w:pPr>
    </w:p>
    <w:p w:rsidR="00A919BD" w:rsidP="009B0BF3" w14:paraId="4F4B16A5" w14:textId="77777777">
      <w:pPr>
        <w:pStyle w:val="tabula"/>
        <w:tabs>
          <w:tab w:val="right" w:pos="9072"/>
        </w:tabs>
        <w:rPr>
          <w:rFonts w:ascii="Times New Roman" w:hAnsi="Times New Roman"/>
          <w:sz w:val="8"/>
          <w:szCs w:val="8"/>
        </w:rPr>
      </w:pPr>
    </w:p>
    <w:p w:rsidR="00A919BD" w:rsidP="009B0BF3" w14:paraId="0EB09CA6" w14:textId="77777777">
      <w:pPr>
        <w:pStyle w:val="tabula"/>
        <w:tabs>
          <w:tab w:val="right" w:pos="9072"/>
        </w:tabs>
        <w:rPr>
          <w:rFonts w:ascii="Times New Roman" w:hAnsi="Times New Roman"/>
          <w:sz w:val="8"/>
          <w:szCs w:val="8"/>
        </w:rPr>
      </w:pPr>
    </w:p>
    <w:p w:rsidR="00A919BD" w:rsidP="009B0BF3" w14:paraId="28764494" w14:textId="77777777">
      <w:pPr>
        <w:pStyle w:val="tabula"/>
        <w:tabs>
          <w:tab w:val="right" w:pos="9072"/>
        </w:tabs>
        <w:rPr>
          <w:rFonts w:ascii="Times New Roman" w:hAnsi="Times New Roman"/>
          <w:sz w:val="8"/>
          <w:szCs w:val="8"/>
        </w:rPr>
      </w:pPr>
    </w:p>
    <w:p w:rsidR="00A919BD" w:rsidP="009B0BF3" w14:paraId="5C31A50D" w14:textId="77777777">
      <w:pPr>
        <w:pStyle w:val="tabula"/>
        <w:tabs>
          <w:tab w:val="right" w:pos="9072"/>
        </w:tabs>
        <w:rPr>
          <w:rFonts w:ascii="Times New Roman" w:hAnsi="Times New Roman"/>
          <w:sz w:val="8"/>
          <w:szCs w:val="8"/>
        </w:rPr>
      </w:pPr>
    </w:p>
    <w:p w:rsidR="00A919BD" w:rsidP="009B0BF3" w14:paraId="7795C1E8" w14:textId="77777777">
      <w:pPr>
        <w:pStyle w:val="tabula"/>
        <w:tabs>
          <w:tab w:val="right" w:pos="9072"/>
        </w:tabs>
        <w:rPr>
          <w:rFonts w:ascii="Times New Roman" w:hAnsi="Times New Roman"/>
          <w:sz w:val="8"/>
          <w:szCs w:val="8"/>
        </w:rPr>
      </w:pPr>
    </w:p>
    <w:p w:rsidR="00A919BD" w:rsidP="009B0BF3" w14:paraId="473CC77C" w14:textId="77777777">
      <w:pPr>
        <w:pStyle w:val="tabula"/>
        <w:tabs>
          <w:tab w:val="right" w:pos="9072"/>
        </w:tabs>
        <w:rPr>
          <w:rFonts w:ascii="Times New Roman" w:hAnsi="Times New Roman"/>
          <w:sz w:val="8"/>
          <w:szCs w:val="8"/>
        </w:rPr>
      </w:pPr>
    </w:p>
    <w:p w:rsidR="00A919BD" w:rsidP="009B0BF3" w14:paraId="780DC7C5" w14:textId="77777777">
      <w:pPr>
        <w:pStyle w:val="tabula"/>
        <w:tabs>
          <w:tab w:val="right" w:pos="9072"/>
        </w:tabs>
        <w:rPr>
          <w:rFonts w:ascii="Times New Roman" w:hAnsi="Times New Roman"/>
          <w:sz w:val="8"/>
          <w:szCs w:val="8"/>
        </w:rPr>
      </w:pPr>
    </w:p>
    <w:p w:rsidR="00A919BD" w:rsidP="009B0BF3" w14:paraId="690095DF" w14:textId="77777777">
      <w:pPr>
        <w:pStyle w:val="tabula"/>
        <w:tabs>
          <w:tab w:val="right" w:pos="9072"/>
        </w:tabs>
        <w:rPr>
          <w:rFonts w:ascii="Times New Roman" w:hAnsi="Times New Roman"/>
          <w:sz w:val="8"/>
          <w:szCs w:val="8"/>
        </w:rPr>
      </w:pPr>
    </w:p>
    <w:p w:rsidR="00A919BD" w:rsidP="009B0BF3" w14:paraId="56827031" w14:textId="77777777">
      <w:pPr>
        <w:pStyle w:val="tabula"/>
        <w:tabs>
          <w:tab w:val="right" w:pos="9072"/>
        </w:tabs>
        <w:rPr>
          <w:rFonts w:ascii="Times New Roman" w:hAnsi="Times New Roman"/>
          <w:sz w:val="8"/>
          <w:szCs w:val="8"/>
        </w:rPr>
      </w:pPr>
    </w:p>
    <w:p w:rsidR="00A919BD" w:rsidP="009B0BF3" w14:paraId="6516DC05" w14:textId="77777777">
      <w:pPr>
        <w:pStyle w:val="tabula"/>
        <w:tabs>
          <w:tab w:val="right" w:pos="9072"/>
        </w:tabs>
        <w:rPr>
          <w:rFonts w:ascii="Times New Roman" w:hAnsi="Times New Roman"/>
          <w:sz w:val="8"/>
          <w:szCs w:val="8"/>
        </w:rPr>
      </w:pPr>
    </w:p>
    <w:p w:rsidR="00A919BD" w:rsidP="009B0BF3" w14:paraId="39038BF3" w14:textId="77777777">
      <w:pPr>
        <w:pStyle w:val="tabula"/>
        <w:tabs>
          <w:tab w:val="right" w:pos="9072"/>
        </w:tabs>
        <w:rPr>
          <w:rFonts w:ascii="Times New Roman" w:hAnsi="Times New Roman"/>
          <w:sz w:val="8"/>
          <w:szCs w:val="8"/>
        </w:rPr>
      </w:pPr>
    </w:p>
    <w:p w:rsidR="00A919BD" w:rsidP="009B0BF3" w14:paraId="581CC4D7" w14:textId="77777777">
      <w:pPr>
        <w:pStyle w:val="tabula"/>
        <w:tabs>
          <w:tab w:val="right" w:pos="9072"/>
        </w:tabs>
        <w:rPr>
          <w:rFonts w:ascii="Times New Roman" w:hAnsi="Times New Roman"/>
          <w:sz w:val="8"/>
          <w:szCs w:val="8"/>
        </w:rPr>
      </w:pPr>
    </w:p>
    <w:p w:rsidR="00A919BD" w:rsidP="009B0BF3" w14:paraId="62B84498" w14:textId="77777777">
      <w:pPr>
        <w:pStyle w:val="tabula"/>
        <w:tabs>
          <w:tab w:val="right" w:pos="9072"/>
        </w:tabs>
        <w:rPr>
          <w:rFonts w:ascii="Times New Roman" w:hAnsi="Times New Roman"/>
          <w:sz w:val="8"/>
          <w:szCs w:val="8"/>
        </w:rPr>
      </w:pPr>
    </w:p>
    <w:p w:rsidR="00A919BD" w:rsidP="009B0BF3" w14:paraId="522C68EA" w14:textId="77777777">
      <w:pPr>
        <w:pStyle w:val="tabula"/>
        <w:tabs>
          <w:tab w:val="right" w:pos="9072"/>
        </w:tabs>
        <w:rPr>
          <w:rFonts w:ascii="Times New Roman" w:hAnsi="Times New Roman"/>
          <w:sz w:val="8"/>
          <w:szCs w:val="8"/>
        </w:rPr>
      </w:pPr>
    </w:p>
    <w:p w:rsidR="00A919BD" w:rsidP="009B0BF3" w14:paraId="0CC1AFDA" w14:textId="77777777">
      <w:pPr>
        <w:pStyle w:val="tabula"/>
        <w:tabs>
          <w:tab w:val="right" w:pos="9072"/>
        </w:tabs>
        <w:rPr>
          <w:rFonts w:ascii="Times New Roman" w:hAnsi="Times New Roman"/>
          <w:sz w:val="8"/>
          <w:szCs w:val="8"/>
        </w:rPr>
      </w:pPr>
    </w:p>
    <w:p w:rsidR="00A919BD" w:rsidP="009B0BF3" w14:paraId="7D8405AC" w14:textId="77777777">
      <w:pPr>
        <w:pStyle w:val="tabula"/>
        <w:tabs>
          <w:tab w:val="right" w:pos="9072"/>
        </w:tabs>
        <w:rPr>
          <w:rFonts w:ascii="Times New Roman" w:hAnsi="Times New Roman"/>
          <w:sz w:val="8"/>
          <w:szCs w:val="8"/>
        </w:rPr>
      </w:pPr>
    </w:p>
    <w:p w:rsidR="00A919BD" w:rsidP="009B0BF3" w14:paraId="4CDAA2A0" w14:textId="77777777">
      <w:pPr>
        <w:pStyle w:val="tabula"/>
        <w:tabs>
          <w:tab w:val="right" w:pos="9072"/>
        </w:tabs>
        <w:rPr>
          <w:rFonts w:ascii="Times New Roman" w:hAnsi="Times New Roman"/>
          <w:sz w:val="8"/>
          <w:szCs w:val="8"/>
        </w:rPr>
      </w:pPr>
    </w:p>
    <w:p w:rsidR="00A919BD" w:rsidP="009B0BF3" w14:paraId="7A9DB9CD" w14:textId="77777777">
      <w:pPr>
        <w:pStyle w:val="tabula"/>
        <w:tabs>
          <w:tab w:val="right" w:pos="9072"/>
        </w:tabs>
        <w:rPr>
          <w:rFonts w:ascii="Times New Roman" w:hAnsi="Times New Roman"/>
          <w:sz w:val="8"/>
          <w:szCs w:val="8"/>
        </w:rPr>
      </w:pPr>
    </w:p>
    <w:p w:rsidR="00A919BD" w:rsidP="009B0BF3" w14:paraId="0FEDD9F9" w14:textId="77777777">
      <w:pPr>
        <w:pStyle w:val="tabula"/>
        <w:tabs>
          <w:tab w:val="right" w:pos="9072"/>
        </w:tabs>
        <w:rPr>
          <w:rFonts w:ascii="Times New Roman" w:hAnsi="Times New Roman"/>
          <w:sz w:val="8"/>
          <w:szCs w:val="8"/>
        </w:rPr>
      </w:pPr>
    </w:p>
    <w:p w:rsidR="00A919BD" w:rsidP="009B0BF3" w14:paraId="32CFD989" w14:textId="77777777">
      <w:pPr>
        <w:pStyle w:val="tabula"/>
        <w:tabs>
          <w:tab w:val="right" w:pos="9072"/>
        </w:tabs>
        <w:rPr>
          <w:rFonts w:ascii="Times New Roman" w:hAnsi="Times New Roman"/>
          <w:sz w:val="8"/>
          <w:szCs w:val="8"/>
        </w:rPr>
      </w:pPr>
    </w:p>
    <w:p w:rsidR="00A919BD" w:rsidP="009B0BF3" w14:paraId="6AD91976" w14:textId="77777777">
      <w:pPr>
        <w:pStyle w:val="tabula"/>
        <w:tabs>
          <w:tab w:val="right" w:pos="9072"/>
        </w:tabs>
        <w:rPr>
          <w:rFonts w:ascii="Times New Roman" w:hAnsi="Times New Roman"/>
          <w:sz w:val="8"/>
          <w:szCs w:val="8"/>
        </w:rPr>
      </w:pPr>
    </w:p>
    <w:p w:rsidR="00A919BD" w:rsidP="009B0BF3" w14:paraId="25B2A2A7" w14:textId="77777777">
      <w:pPr>
        <w:pStyle w:val="tabula"/>
        <w:tabs>
          <w:tab w:val="right" w:pos="9072"/>
        </w:tabs>
        <w:rPr>
          <w:rFonts w:ascii="Times New Roman" w:hAnsi="Times New Roman"/>
          <w:sz w:val="8"/>
          <w:szCs w:val="8"/>
        </w:rPr>
      </w:pPr>
    </w:p>
    <w:p w:rsidR="00A919BD" w:rsidP="009B0BF3" w14:paraId="5116B1F7" w14:textId="77777777">
      <w:pPr>
        <w:pStyle w:val="tabula"/>
        <w:tabs>
          <w:tab w:val="right" w:pos="9072"/>
        </w:tabs>
        <w:rPr>
          <w:rFonts w:ascii="Times New Roman" w:hAnsi="Times New Roman"/>
          <w:sz w:val="8"/>
          <w:szCs w:val="8"/>
        </w:rPr>
      </w:pPr>
    </w:p>
    <w:p w:rsidR="00A919BD" w:rsidP="009B0BF3" w14:paraId="6EB62DA4" w14:textId="77777777">
      <w:pPr>
        <w:pStyle w:val="tabula"/>
        <w:tabs>
          <w:tab w:val="right" w:pos="9072"/>
        </w:tabs>
        <w:rPr>
          <w:rFonts w:ascii="Times New Roman" w:hAnsi="Times New Roman"/>
          <w:sz w:val="8"/>
          <w:szCs w:val="8"/>
        </w:rPr>
      </w:pPr>
    </w:p>
    <w:p w:rsidR="00A919BD" w:rsidP="009B0BF3" w14:paraId="01BDB099" w14:textId="77777777">
      <w:pPr>
        <w:pStyle w:val="tabula"/>
        <w:tabs>
          <w:tab w:val="right" w:pos="9072"/>
        </w:tabs>
        <w:rPr>
          <w:rFonts w:ascii="Times New Roman" w:hAnsi="Times New Roman"/>
          <w:sz w:val="8"/>
          <w:szCs w:val="8"/>
        </w:rPr>
      </w:pPr>
    </w:p>
    <w:p w:rsidR="00A919BD" w:rsidP="009B0BF3" w14:paraId="652C9B2C" w14:textId="77777777">
      <w:pPr>
        <w:pStyle w:val="tabula"/>
        <w:tabs>
          <w:tab w:val="right" w:pos="9072"/>
        </w:tabs>
        <w:rPr>
          <w:rFonts w:ascii="Times New Roman" w:hAnsi="Times New Roman"/>
          <w:sz w:val="8"/>
          <w:szCs w:val="8"/>
        </w:rPr>
      </w:pPr>
    </w:p>
    <w:p w:rsidR="00A919BD" w:rsidP="009B0BF3" w14:paraId="7B49CCA9" w14:textId="77777777">
      <w:pPr>
        <w:pStyle w:val="tabula"/>
        <w:tabs>
          <w:tab w:val="right" w:pos="9072"/>
        </w:tabs>
        <w:rPr>
          <w:rFonts w:ascii="Times New Roman" w:hAnsi="Times New Roman"/>
          <w:sz w:val="8"/>
          <w:szCs w:val="8"/>
        </w:rPr>
      </w:pPr>
    </w:p>
    <w:p w:rsidR="00A919BD" w:rsidP="009B0BF3" w14:paraId="593D72E4" w14:textId="77777777">
      <w:pPr>
        <w:pStyle w:val="tabula"/>
        <w:tabs>
          <w:tab w:val="right" w:pos="9072"/>
        </w:tabs>
        <w:rPr>
          <w:rFonts w:ascii="Times New Roman" w:hAnsi="Times New Roman"/>
          <w:sz w:val="8"/>
          <w:szCs w:val="8"/>
        </w:rPr>
      </w:pPr>
    </w:p>
    <w:p w:rsidR="00A919BD" w:rsidP="009B0BF3" w14:paraId="256D8CA4" w14:textId="77777777">
      <w:pPr>
        <w:pStyle w:val="tabula"/>
        <w:tabs>
          <w:tab w:val="right" w:pos="9072"/>
        </w:tabs>
        <w:rPr>
          <w:rFonts w:ascii="Times New Roman" w:hAnsi="Times New Roman"/>
          <w:sz w:val="8"/>
          <w:szCs w:val="8"/>
        </w:rPr>
      </w:pPr>
    </w:p>
    <w:p w:rsidR="00A919BD" w:rsidP="009B0BF3" w14:paraId="76B9340F" w14:textId="77777777">
      <w:pPr>
        <w:pStyle w:val="tabula"/>
        <w:tabs>
          <w:tab w:val="right" w:pos="9072"/>
        </w:tabs>
        <w:rPr>
          <w:rFonts w:ascii="Times New Roman" w:hAnsi="Times New Roman"/>
          <w:sz w:val="8"/>
          <w:szCs w:val="8"/>
        </w:rPr>
      </w:pPr>
    </w:p>
    <w:p w:rsidR="00A919BD" w:rsidP="009B0BF3" w14:paraId="3A0F2467" w14:textId="77777777">
      <w:pPr>
        <w:pStyle w:val="tabula"/>
        <w:tabs>
          <w:tab w:val="right" w:pos="9072"/>
        </w:tabs>
        <w:rPr>
          <w:rFonts w:ascii="Times New Roman" w:hAnsi="Times New Roman"/>
          <w:sz w:val="8"/>
          <w:szCs w:val="8"/>
        </w:rPr>
      </w:pPr>
    </w:p>
    <w:p w:rsidR="00A919BD" w:rsidP="009B0BF3" w14:paraId="71F44E1E" w14:textId="77777777">
      <w:pPr>
        <w:pStyle w:val="tabula"/>
        <w:tabs>
          <w:tab w:val="right" w:pos="9072"/>
        </w:tabs>
        <w:rPr>
          <w:rFonts w:ascii="Times New Roman" w:hAnsi="Times New Roman"/>
          <w:sz w:val="8"/>
          <w:szCs w:val="8"/>
        </w:rPr>
      </w:pPr>
    </w:p>
    <w:p w:rsidR="00A919BD" w:rsidP="009B0BF3" w14:paraId="4465D8C6" w14:textId="77777777">
      <w:pPr>
        <w:pStyle w:val="tabula"/>
        <w:tabs>
          <w:tab w:val="right" w:pos="9072"/>
        </w:tabs>
        <w:rPr>
          <w:rFonts w:ascii="Times New Roman" w:hAnsi="Times New Roman"/>
          <w:sz w:val="8"/>
          <w:szCs w:val="8"/>
        </w:rPr>
      </w:pPr>
    </w:p>
    <w:p w:rsidR="00A919BD" w:rsidP="009B0BF3" w14:paraId="1239F1C9" w14:textId="77777777">
      <w:pPr>
        <w:pStyle w:val="tabula"/>
        <w:tabs>
          <w:tab w:val="right" w:pos="9072"/>
        </w:tabs>
        <w:rPr>
          <w:rFonts w:ascii="Times New Roman" w:hAnsi="Times New Roman"/>
          <w:sz w:val="8"/>
          <w:szCs w:val="8"/>
        </w:rPr>
      </w:pPr>
    </w:p>
    <w:p w:rsidR="00A919BD" w:rsidP="009B0BF3" w14:paraId="53FD54EE" w14:textId="77777777">
      <w:pPr>
        <w:pStyle w:val="tabula"/>
        <w:tabs>
          <w:tab w:val="right" w:pos="9072"/>
        </w:tabs>
        <w:rPr>
          <w:rFonts w:ascii="Times New Roman" w:hAnsi="Times New Roman"/>
          <w:sz w:val="8"/>
          <w:szCs w:val="8"/>
        </w:rPr>
      </w:pPr>
    </w:p>
    <w:p w:rsidR="00A919BD" w:rsidP="009B0BF3" w14:paraId="38B00F0B" w14:textId="77777777">
      <w:pPr>
        <w:pStyle w:val="tabula"/>
        <w:tabs>
          <w:tab w:val="right" w:pos="9072"/>
        </w:tabs>
        <w:rPr>
          <w:rFonts w:ascii="Times New Roman" w:hAnsi="Times New Roman"/>
          <w:sz w:val="8"/>
          <w:szCs w:val="8"/>
        </w:rPr>
      </w:pPr>
    </w:p>
    <w:p w:rsidR="003D77B9" w:rsidP="009B0BF3" w14:paraId="47EB1DC7" w14:textId="77777777">
      <w:pPr>
        <w:pStyle w:val="tabula"/>
        <w:tabs>
          <w:tab w:val="right" w:pos="9072"/>
        </w:tabs>
        <w:rPr>
          <w:rFonts w:ascii="Times New Roman" w:hAnsi="Times New Roman"/>
          <w:sz w:val="8"/>
          <w:szCs w:val="8"/>
        </w:rPr>
      </w:pPr>
    </w:p>
    <w:p w:rsidR="00FD58D0" w:rsidRPr="009B0BF3" w:rsidP="009B0BF3" w14:paraId="24CE677C" w14:textId="46EDED37">
      <w:pPr>
        <w:pStyle w:val="naisf"/>
        <w:tabs>
          <w:tab w:val="left" w:pos="6840"/>
        </w:tabs>
        <w:spacing w:before="0" w:after="0"/>
        <w:ind w:firstLine="0"/>
        <w:rPr>
          <w:sz w:val="18"/>
          <w:szCs w:val="18"/>
        </w:rPr>
      </w:pPr>
      <w:r w:rsidRPr="009B0BF3">
        <w:rPr>
          <w:sz w:val="18"/>
          <w:szCs w:val="18"/>
        </w:rPr>
        <w:t>Rimša</w:t>
      </w:r>
      <w:r w:rsidRPr="009B0BF3" w:rsidR="00281AA7">
        <w:rPr>
          <w:sz w:val="18"/>
          <w:szCs w:val="18"/>
        </w:rPr>
        <w:t xml:space="preserve"> </w:t>
      </w:r>
      <w:r w:rsidRPr="009B0BF3">
        <w:rPr>
          <w:sz w:val="18"/>
          <w:szCs w:val="18"/>
        </w:rPr>
        <w:t xml:space="preserve">67026512, </w:t>
      </w:r>
      <w:r w:rsidRPr="009B0BF3">
        <w:rPr>
          <w:sz w:val="18"/>
          <w:szCs w:val="18"/>
        </w:rPr>
        <w:t>26380127</w:t>
      </w:r>
    </w:p>
    <w:p w:rsidR="003B57C7" w:rsidRPr="00E1755A" w:rsidP="009B0BF3" w14:paraId="71A231E0" w14:textId="5040EE3E">
      <w:pPr>
        <w:pStyle w:val="naisf"/>
        <w:tabs>
          <w:tab w:val="left" w:pos="6840"/>
        </w:tabs>
        <w:spacing w:before="0" w:after="0"/>
        <w:ind w:firstLine="0"/>
        <w:rPr>
          <w:rStyle w:val="Hyperlink"/>
          <w:color w:val="auto"/>
        </w:rPr>
      </w:pPr>
      <w:r>
        <w:fldChar w:fldCharType="begin"/>
      </w:r>
      <w:r>
        <w:instrText xml:space="preserve"> HYPERLINK "mailto:Helena.Rimsa@varam.gov.lv" </w:instrText>
      </w:r>
      <w:r>
        <w:fldChar w:fldCharType="separate"/>
      </w:r>
      <w:r w:rsidRPr="009B0BF3" w:rsidR="00CB4AAB">
        <w:rPr>
          <w:rStyle w:val="Hyperlink"/>
          <w:color w:val="auto"/>
          <w:sz w:val="18"/>
          <w:szCs w:val="18"/>
        </w:rPr>
        <w:t>Helena.Rimsa@varam.gov.lv</w:t>
      </w:r>
      <w:r>
        <w:fldChar w:fldCharType="end"/>
      </w:r>
    </w:p>
    <w:sectPr w:rsidSect="00BC0518">
      <w:headerReference w:type="default" r:id="rId6"/>
      <w:footerReference w:type="default" r:id="rId7"/>
      <w:footerReference w:type="first" r:id="rId8"/>
      <w:pgSz w:w="11906" w:h="16838" w:code="9"/>
      <w:pgMar w:top="1418" w:right="1134" w:bottom="1134" w:left="170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8CA" w:rsidRPr="004D7C36" w:rsidP="00C61BFB" w14:paraId="24CE6784" w14:textId="77777777">
    <w:pPr>
      <w:spacing w:after="0"/>
      <w:rPr>
        <w:rFonts w:ascii="Times New Roman" w:hAnsi="Times New Roman"/>
        <w:sz w:val="8"/>
        <w:szCs w:val="8"/>
      </w:rPr>
    </w:pPr>
  </w:p>
  <w:p w:rsidR="007D08CA" w:rsidRPr="003D11B0" w:rsidP="006D108D" w14:paraId="24CE6785" w14:textId="4290E276">
    <w:pPr>
      <w:spacing w:after="0"/>
      <w:rPr>
        <w:rFonts w:ascii="Times New Roman" w:hAnsi="Times New Roman"/>
        <w:sz w:val="20"/>
        <w:szCs w:val="20"/>
      </w:rPr>
    </w:pPr>
    <w:r w:rsidRPr="003D11B0">
      <w:rPr>
        <w:rFonts w:ascii="Times New Roman" w:hAnsi="Times New Roman"/>
        <w:sz w:val="20"/>
        <w:szCs w:val="20"/>
      </w:rPr>
      <w:fldChar w:fldCharType="begin"/>
    </w:r>
    <w:r w:rsidRPr="003D11B0">
      <w:rPr>
        <w:rFonts w:ascii="Times New Roman" w:hAnsi="Times New Roman"/>
        <w:sz w:val="20"/>
        <w:szCs w:val="20"/>
      </w:rPr>
      <w:instrText xml:space="preserve"> FILENAME   \* MERGEFORMAT </w:instrText>
    </w:r>
    <w:r w:rsidRPr="003D11B0">
      <w:rPr>
        <w:rFonts w:ascii="Times New Roman" w:hAnsi="Times New Roman"/>
        <w:sz w:val="20"/>
        <w:szCs w:val="20"/>
      </w:rPr>
      <w:fldChar w:fldCharType="separate"/>
    </w:r>
    <w:r w:rsidRPr="003D11B0">
      <w:rPr>
        <w:rFonts w:ascii="Times New Roman" w:hAnsi="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8CA" w:rsidRPr="004D7C36" w:rsidP="004D7C36" w14:paraId="24CE6786" w14:textId="77777777">
    <w:pPr>
      <w:spacing w:after="0"/>
      <w:rPr>
        <w:rFonts w:ascii="Times New Roman" w:hAnsi="Times New Roman"/>
        <w:sz w:val="8"/>
        <w:szCs w:val="8"/>
      </w:rPr>
    </w:pPr>
  </w:p>
  <w:p w:rsidR="007D08CA" w:rsidRPr="003D11B0" w:rsidP="004D7C36" w14:paraId="24CE6787" w14:textId="51A2BA66">
    <w:pPr>
      <w:spacing w:after="0"/>
      <w:rPr>
        <w:rFonts w:ascii="Times New Roman" w:hAnsi="Times New Roman"/>
        <w:sz w:val="20"/>
        <w:szCs w:val="20"/>
      </w:rPr>
    </w:pPr>
    <w:r w:rsidRPr="003D11B0">
      <w:rPr>
        <w:rFonts w:ascii="Times New Roman" w:hAnsi="Times New Roman"/>
        <w:sz w:val="20"/>
        <w:szCs w:val="20"/>
      </w:rPr>
      <w:fldChar w:fldCharType="begin"/>
    </w:r>
    <w:r w:rsidRPr="003D11B0">
      <w:rPr>
        <w:rFonts w:ascii="Times New Roman" w:hAnsi="Times New Roman"/>
        <w:sz w:val="20"/>
        <w:szCs w:val="20"/>
      </w:rPr>
      <w:instrText xml:space="preserve"> FILENAME   \* MERGEFORMAT </w:instrText>
    </w:r>
    <w:r w:rsidRPr="003D11B0">
      <w:rPr>
        <w:rFonts w:ascii="Times New Roman" w:hAnsi="Times New Roman"/>
        <w:sz w:val="20"/>
        <w:szCs w:val="20"/>
      </w:rPr>
      <w:fldChar w:fldCharType="separate"/>
    </w:r>
    <w:r w:rsidRPr="003D11B0">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D08CA" w:rsidP="004D7C36" w14:paraId="20BEB6B4" w14:textId="77777777">
      <w:pPr>
        <w:spacing w:after="0"/>
      </w:pPr>
      <w:r>
        <w:separator/>
      </w:r>
    </w:p>
  </w:footnote>
  <w:footnote w:type="continuationSeparator" w:id="1">
    <w:p w:rsidR="007D08CA" w:rsidP="004D7C36" w14:paraId="2C53A91E" w14:textId="77777777">
      <w:pPr>
        <w:spacing w:after="0"/>
      </w:pPr>
      <w:r>
        <w:continuationSeparator/>
      </w:r>
    </w:p>
  </w:footnote>
  <w:footnote w:type="continuationNotice" w:id="2">
    <w:p w:rsidR="007D08CA" w14:paraId="2AB5FBF3" w14:textId="77777777">
      <w:pPr>
        <w:spacing w:after="0"/>
      </w:pPr>
    </w:p>
  </w:footnote>
  <w:footnote w:id="3">
    <w:p w:rsidR="007D08CA" w:rsidRPr="00861969" w14:paraId="62889C28" w14:textId="7BC2AA3A">
      <w:pPr>
        <w:pStyle w:val="FootnoteText"/>
        <w:rPr>
          <w:sz w:val="18"/>
          <w:szCs w:val="18"/>
        </w:rPr>
      </w:pPr>
      <w:r w:rsidRPr="00861969">
        <w:rPr>
          <w:rStyle w:val="FootnoteReference"/>
          <w:sz w:val="18"/>
          <w:szCs w:val="18"/>
        </w:rPr>
        <w:footnoteRef/>
      </w:r>
      <w:r>
        <w:rPr>
          <w:sz w:val="18"/>
          <w:szCs w:val="18"/>
        </w:rPr>
        <w:t> I</w:t>
      </w:r>
      <w:r w:rsidRPr="00861969">
        <w:rPr>
          <w:sz w:val="18"/>
          <w:szCs w:val="18"/>
        </w:rPr>
        <w:t>zņemot karakuģ</w:t>
      </w:r>
      <w:r>
        <w:rPr>
          <w:sz w:val="18"/>
          <w:szCs w:val="18"/>
        </w:rPr>
        <w:t>us</w:t>
      </w:r>
      <w:r w:rsidRPr="00861969">
        <w:rPr>
          <w:sz w:val="18"/>
          <w:szCs w:val="18"/>
        </w:rPr>
        <w:t>, jūras spēku palīgkuģ</w:t>
      </w:r>
      <w:r>
        <w:rPr>
          <w:sz w:val="18"/>
          <w:szCs w:val="18"/>
        </w:rPr>
        <w:t>us</w:t>
      </w:r>
      <w:r w:rsidRPr="00861969">
        <w:rPr>
          <w:sz w:val="18"/>
          <w:szCs w:val="18"/>
        </w:rPr>
        <w:t>, zvejas un zivju apstrādes kuģ</w:t>
      </w:r>
      <w:r>
        <w:rPr>
          <w:sz w:val="18"/>
          <w:szCs w:val="18"/>
        </w:rPr>
        <w:t>us</w:t>
      </w:r>
      <w:r w:rsidRPr="00861969">
        <w:rPr>
          <w:sz w:val="18"/>
          <w:szCs w:val="18"/>
        </w:rPr>
        <w:t>, vienkāršas konstrukcijas koka kuģ</w:t>
      </w:r>
      <w:r>
        <w:rPr>
          <w:sz w:val="18"/>
          <w:szCs w:val="18"/>
        </w:rPr>
        <w:t>us, kuģus</w:t>
      </w:r>
      <w:r w:rsidRPr="00861969">
        <w:rPr>
          <w:sz w:val="18"/>
          <w:szCs w:val="18"/>
        </w:rPr>
        <w:t>, kuru kustību nenodrošina mehāniski līdze</w:t>
      </w:r>
      <w:r>
        <w:rPr>
          <w:sz w:val="18"/>
          <w:szCs w:val="18"/>
        </w:rPr>
        <w:t>kļi, vai nekomerciāli izmantotos valsts dienesta kuģus.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08CA" w14:paraId="24CE6782" w14:textId="77777777">
    <w:pPr>
      <w:pStyle w:val="Header"/>
      <w:jc w:val="center"/>
    </w:pPr>
    <w:r>
      <w:fldChar w:fldCharType="begin"/>
    </w:r>
    <w:r>
      <w:instrText xml:space="preserve"> PAGE   \* MERGEFORMAT </w:instrText>
    </w:r>
    <w:r>
      <w:fldChar w:fldCharType="separate"/>
    </w:r>
    <w:r w:rsidR="005E183B">
      <w:rPr>
        <w:noProof/>
      </w:rPr>
      <w:t>14</w:t>
    </w:r>
    <w:r>
      <w:rPr>
        <w:noProof/>
      </w:rPr>
      <w:fldChar w:fldCharType="end"/>
    </w:r>
  </w:p>
  <w:p w:rsidR="007D08CA" w14:paraId="24CE67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A83C6C"/>
    <w:multiLevelType w:val="hybridMultilevel"/>
    <w:tmpl w:val="9B3013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A37EA9"/>
    <w:multiLevelType w:val="hybridMultilevel"/>
    <w:tmpl w:val="F2508D6E"/>
    <w:lvl w:ilvl="0">
      <w:start w:val="1"/>
      <w:numFmt w:val="bullet"/>
      <w:lvlText w:val=""/>
      <w:lvlJc w:val="left"/>
      <w:pPr>
        <w:ind w:left="947" w:hanging="360"/>
      </w:pPr>
      <w:rPr>
        <w:rFonts w:ascii="Symbol" w:hAnsi="Symbol" w:hint="default"/>
      </w:rPr>
    </w:lvl>
    <w:lvl w:ilvl="1" w:tentative="1">
      <w:start w:val="1"/>
      <w:numFmt w:val="bullet"/>
      <w:lvlText w:val="o"/>
      <w:lvlJc w:val="left"/>
      <w:pPr>
        <w:ind w:left="1667" w:hanging="360"/>
      </w:pPr>
      <w:rPr>
        <w:rFonts w:ascii="Courier New" w:hAnsi="Courier New" w:cs="Courier New"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cs="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cs="Courier New" w:hint="default"/>
      </w:rPr>
    </w:lvl>
    <w:lvl w:ilvl="8" w:tentative="1">
      <w:start w:val="1"/>
      <w:numFmt w:val="bullet"/>
      <w:lvlText w:val=""/>
      <w:lvlJc w:val="left"/>
      <w:pPr>
        <w:ind w:left="6707" w:hanging="360"/>
      </w:pPr>
      <w:rPr>
        <w:rFonts w:ascii="Wingdings" w:hAnsi="Wingdings" w:hint="default"/>
      </w:rPr>
    </w:lvl>
  </w:abstractNum>
  <w:abstractNum w:abstractNumId="2">
    <w:nsid w:val="184364E6"/>
    <w:multiLevelType w:val="hybridMultilevel"/>
    <w:tmpl w:val="3642CC28"/>
    <w:lvl w:ilvl="0">
      <w:start w:val="1"/>
      <w:numFmt w:val="bullet"/>
      <w:lvlText w:val=""/>
      <w:lvlJc w:val="left"/>
      <w:pPr>
        <w:ind w:left="948" w:hanging="360"/>
      </w:pPr>
      <w:rPr>
        <w:rFonts w:ascii="Symbol" w:hAnsi="Symbol" w:hint="default"/>
      </w:rPr>
    </w:lvl>
    <w:lvl w:ilvl="1" w:tentative="1">
      <w:start w:val="1"/>
      <w:numFmt w:val="bullet"/>
      <w:lvlText w:val="o"/>
      <w:lvlJc w:val="left"/>
      <w:pPr>
        <w:ind w:left="1668" w:hanging="360"/>
      </w:pPr>
      <w:rPr>
        <w:rFonts w:ascii="Courier New" w:hAnsi="Courier New" w:cs="Courier New" w:hint="default"/>
      </w:rPr>
    </w:lvl>
    <w:lvl w:ilvl="2" w:tentative="1">
      <w:start w:val="1"/>
      <w:numFmt w:val="bullet"/>
      <w:lvlText w:val=""/>
      <w:lvlJc w:val="left"/>
      <w:pPr>
        <w:ind w:left="2388" w:hanging="360"/>
      </w:pPr>
      <w:rPr>
        <w:rFonts w:ascii="Wingdings" w:hAnsi="Wingdings" w:hint="default"/>
      </w:rPr>
    </w:lvl>
    <w:lvl w:ilvl="3" w:tentative="1">
      <w:start w:val="1"/>
      <w:numFmt w:val="bullet"/>
      <w:lvlText w:val=""/>
      <w:lvlJc w:val="left"/>
      <w:pPr>
        <w:ind w:left="3108" w:hanging="360"/>
      </w:pPr>
      <w:rPr>
        <w:rFonts w:ascii="Symbol" w:hAnsi="Symbol" w:hint="default"/>
      </w:rPr>
    </w:lvl>
    <w:lvl w:ilvl="4" w:tentative="1">
      <w:start w:val="1"/>
      <w:numFmt w:val="bullet"/>
      <w:lvlText w:val="o"/>
      <w:lvlJc w:val="left"/>
      <w:pPr>
        <w:ind w:left="3828" w:hanging="360"/>
      </w:pPr>
      <w:rPr>
        <w:rFonts w:ascii="Courier New" w:hAnsi="Courier New" w:cs="Courier New" w:hint="default"/>
      </w:rPr>
    </w:lvl>
    <w:lvl w:ilvl="5" w:tentative="1">
      <w:start w:val="1"/>
      <w:numFmt w:val="bullet"/>
      <w:lvlText w:val=""/>
      <w:lvlJc w:val="left"/>
      <w:pPr>
        <w:ind w:left="4548" w:hanging="360"/>
      </w:pPr>
      <w:rPr>
        <w:rFonts w:ascii="Wingdings" w:hAnsi="Wingdings" w:hint="default"/>
      </w:rPr>
    </w:lvl>
    <w:lvl w:ilvl="6" w:tentative="1">
      <w:start w:val="1"/>
      <w:numFmt w:val="bullet"/>
      <w:lvlText w:val=""/>
      <w:lvlJc w:val="left"/>
      <w:pPr>
        <w:ind w:left="5268" w:hanging="360"/>
      </w:pPr>
      <w:rPr>
        <w:rFonts w:ascii="Symbol" w:hAnsi="Symbol" w:hint="default"/>
      </w:rPr>
    </w:lvl>
    <w:lvl w:ilvl="7" w:tentative="1">
      <w:start w:val="1"/>
      <w:numFmt w:val="bullet"/>
      <w:lvlText w:val="o"/>
      <w:lvlJc w:val="left"/>
      <w:pPr>
        <w:ind w:left="5988" w:hanging="360"/>
      </w:pPr>
      <w:rPr>
        <w:rFonts w:ascii="Courier New" w:hAnsi="Courier New" w:cs="Courier New" w:hint="default"/>
      </w:rPr>
    </w:lvl>
    <w:lvl w:ilvl="8" w:tentative="1">
      <w:start w:val="1"/>
      <w:numFmt w:val="bullet"/>
      <w:lvlText w:val=""/>
      <w:lvlJc w:val="left"/>
      <w:pPr>
        <w:ind w:left="6708" w:hanging="360"/>
      </w:pPr>
      <w:rPr>
        <w:rFonts w:ascii="Wingdings" w:hAnsi="Wingdings" w:hint="default"/>
      </w:rPr>
    </w:lvl>
  </w:abstractNum>
  <w:abstractNum w:abstractNumId="3">
    <w:nsid w:val="1B400F5D"/>
    <w:multiLevelType w:val="hybridMultilevel"/>
    <w:tmpl w:val="06D473D4"/>
    <w:lvl w:ilvl="0">
      <w:start w:val="1"/>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CB74205"/>
    <w:multiLevelType w:val="hybridMultilevel"/>
    <w:tmpl w:val="165413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1D18645E"/>
    <w:multiLevelType w:val="hybridMultilevel"/>
    <w:tmpl w:val="6FF6BFBA"/>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6E36699"/>
    <w:multiLevelType w:val="hybridMultilevel"/>
    <w:tmpl w:val="815620D6"/>
    <w:lvl w:ilvl="0">
      <w:start w:val="1"/>
      <w:numFmt w:val="bullet"/>
      <w:lvlText w:val=""/>
      <w:lvlJc w:val="left"/>
      <w:pPr>
        <w:ind w:left="587" w:hanging="360"/>
      </w:pPr>
      <w:rPr>
        <w:rFonts w:ascii="Symbol" w:hAnsi="Symbol" w:hint="default"/>
      </w:rPr>
    </w:lvl>
    <w:lvl w:ilvl="1" w:tentative="1">
      <w:start w:val="1"/>
      <w:numFmt w:val="bullet"/>
      <w:lvlText w:val="o"/>
      <w:lvlJc w:val="left"/>
      <w:pPr>
        <w:ind w:left="1307" w:hanging="360"/>
      </w:pPr>
      <w:rPr>
        <w:rFonts w:ascii="Courier New" w:hAnsi="Courier New" w:cs="Courier New" w:hint="default"/>
      </w:rPr>
    </w:lvl>
    <w:lvl w:ilvl="2" w:tentative="1">
      <w:start w:val="1"/>
      <w:numFmt w:val="bullet"/>
      <w:lvlText w:val=""/>
      <w:lvlJc w:val="left"/>
      <w:pPr>
        <w:ind w:left="2027" w:hanging="360"/>
      </w:pPr>
      <w:rPr>
        <w:rFonts w:ascii="Wingdings" w:hAnsi="Wingdings" w:hint="default"/>
      </w:rPr>
    </w:lvl>
    <w:lvl w:ilvl="3" w:tentative="1">
      <w:start w:val="1"/>
      <w:numFmt w:val="bullet"/>
      <w:lvlText w:val=""/>
      <w:lvlJc w:val="left"/>
      <w:pPr>
        <w:ind w:left="2747" w:hanging="360"/>
      </w:pPr>
      <w:rPr>
        <w:rFonts w:ascii="Symbol" w:hAnsi="Symbol" w:hint="default"/>
      </w:rPr>
    </w:lvl>
    <w:lvl w:ilvl="4" w:tentative="1">
      <w:start w:val="1"/>
      <w:numFmt w:val="bullet"/>
      <w:lvlText w:val="o"/>
      <w:lvlJc w:val="left"/>
      <w:pPr>
        <w:ind w:left="3467" w:hanging="360"/>
      </w:pPr>
      <w:rPr>
        <w:rFonts w:ascii="Courier New" w:hAnsi="Courier New" w:cs="Courier New" w:hint="default"/>
      </w:rPr>
    </w:lvl>
    <w:lvl w:ilvl="5" w:tentative="1">
      <w:start w:val="1"/>
      <w:numFmt w:val="bullet"/>
      <w:lvlText w:val=""/>
      <w:lvlJc w:val="left"/>
      <w:pPr>
        <w:ind w:left="4187" w:hanging="360"/>
      </w:pPr>
      <w:rPr>
        <w:rFonts w:ascii="Wingdings" w:hAnsi="Wingdings" w:hint="default"/>
      </w:rPr>
    </w:lvl>
    <w:lvl w:ilvl="6" w:tentative="1">
      <w:start w:val="1"/>
      <w:numFmt w:val="bullet"/>
      <w:lvlText w:val=""/>
      <w:lvlJc w:val="left"/>
      <w:pPr>
        <w:ind w:left="4907" w:hanging="360"/>
      </w:pPr>
      <w:rPr>
        <w:rFonts w:ascii="Symbol" w:hAnsi="Symbol" w:hint="default"/>
      </w:rPr>
    </w:lvl>
    <w:lvl w:ilvl="7" w:tentative="1">
      <w:start w:val="1"/>
      <w:numFmt w:val="bullet"/>
      <w:lvlText w:val="o"/>
      <w:lvlJc w:val="left"/>
      <w:pPr>
        <w:ind w:left="5627" w:hanging="360"/>
      </w:pPr>
      <w:rPr>
        <w:rFonts w:ascii="Courier New" w:hAnsi="Courier New" w:cs="Courier New" w:hint="default"/>
      </w:rPr>
    </w:lvl>
    <w:lvl w:ilvl="8" w:tentative="1">
      <w:start w:val="1"/>
      <w:numFmt w:val="bullet"/>
      <w:lvlText w:val=""/>
      <w:lvlJc w:val="left"/>
      <w:pPr>
        <w:ind w:left="6347" w:hanging="360"/>
      </w:pPr>
      <w:rPr>
        <w:rFonts w:ascii="Wingdings" w:hAnsi="Wingdings" w:hint="default"/>
      </w:rPr>
    </w:lvl>
  </w:abstractNum>
  <w:abstractNum w:abstractNumId="7">
    <w:nsid w:val="3AC42F0D"/>
    <w:multiLevelType w:val="hybridMultilevel"/>
    <w:tmpl w:val="748EFBC0"/>
    <w:lvl w:ilvl="0">
      <w:start w:val="1"/>
      <w:numFmt w:val="bullet"/>
      <w:lvlText w:val=""/>
      <w:lvlJc w:val="left"/>
      <w:pPr>
        <w:ind w:left="587" w:hanging="360"/>
      </w:pPr>
      <w:rPr>
        <w:rFonts w:ascii="Symbol" w:hAnsi="Symbol" w:hint="default"/>
      </w:rPr>
    </w:lvl>
    <w:lvl w:ilvl="1" w:tentative="1">
      <w:start w:val="1"/>
      <w:numFmt w:val="bullet"/>
      <w:lvlText w:val="o"/>
      <w:lvlJc w:val="left"/>
      <w:pPr>
        <w:ind w:left="1307" w:hanging="360"/>
      </w:pPr>
      <w:rPr>
        <w:rFonts w:ascii="Courier New" w:hAnsi="Courier New" w:cs="Courier New" w:hint="default"/>
      </w:rPr>
    </w:lvl>
    <w:lvl w:ilvl="2" w:tentative="1">
      <w:start w:val="1"/>
      <w:numFmt w:val="bullet"/>
      <w:lvlText w:val=""/>
      <w:lvlJc w:val="left"/>
      <w:pPr>
        <w:ind w:left="2027" w:hanging="360"/>
      </w:pPr>
      <w:rPr>
        <w:rFonts w:ascii="Wingdings" w:hAnsi="Wingdings" w:hint="default"/>
      </w:rPr>
    </w:lvl>
    <w:lvl w:ilvl="3" w:tentative="1">
      <w:start w:val="1"/>
      <w:numFmt w:val="bullet"/>
      <w:lvlText w:val=""/>
      <w:lvlJc w:val="left"/>
      <w:pPr>
        <w:ind w:left="2747" w:hanging="360"/>
      </w:pPr>
      <w:rPr>
        <w:rFonts w:ascii="Symbol" w:hAnsi="Symbol" w:hint="default"/>
      </w:rPr>
    </w:lvl>
    <w:lvl w:ilvl="4" w:tentative="1">
      <w:start w:val="1"/>
      <w:numFmt w:val="bullet"/>
      <w:lvlText w:val="o"/>
      <w:lvlJc w:val="left"/>
      <w:pPr>
        <w:ind w:left="3467" w:hanging="360"/>
      </w:pPr>
      <w:rPr>
        <w:rFonts w:ascii="Courier New" w:hAnsi="Courier New" w:cs="Courier New" w:hint="default"/>
      </w:rPr>
    </w:lvl>
    <w:lvl w:ilvl="5" w:tentative="1">
      <w:start w:val="1"/>
      <w:numFmt w:val="bullet"/>
      <w:lvlText w:val=""/>
      <w:lvlJc w:val="left"/>
      <w:pPr>
        <w:ind w:left="4187" w:hanging="360"/>
      </w:pPr>
      <w:rPr>
        <w:rFonts w:ascii="Wingdings" w:hAnsi="Wingdings" w:hint="default"/>
      </w:rPr>
    </w:lvl>
    <w:lvl w:ilvl="6" w:tentative="1">
      <w:start w:val="1"/>
      <w:numFmt w:val="bullet"/>
      <w:lvlText w:val=""/>
      <w:lvlJc w:val="left"/>
      <w:pPr>
        <w:ind w:left="4907" w:hanging="360"/>
      </w:pPr>
      <w:rPr>
        <w:rFonts w:ascii="Symbol" w:hAnsi="Symbol" w:hint="default"/>
      </w:rPr>
    </w:lvl>
    <w:lvl w:ilvl="7" w:tentative="1">
      <w:start w:val="1"/>
      <w:numFmt w:val="bullet"/>
      <w:lvlText w:val="o"/>
      <w:lvlJc w:val="left"/>
      <w:pPr>
        <w:ind w:left="5627" w:hanging="360"/>
      </w:pPr>
      <w:rPr>
        <w:rFonts w:ascii="Courier New" w:hAnsi="Courier New" w:cs="Courier New" w:hint="default"/>
      </w:rPr>
    </w:lvl>
    <w:lvl w:ilvl="8" w:tentative="1">
      <w:start w:val="1"/>
      <w:numFmt w:val="bullet"/>
      <w:lvlText w:val=""/>
      <w:lvlJc w:val="left"/>
      <w:pPr>
        <w:ind w:left="6347" w:hanging="360"/>
      </w:pPr>
      <w:rPr>
        <w:rFonts w:ascii="Wingdings" w:hAnsi="Wingdings" w:hint="default"/>
      </w:rPr>
    </w:lvl>
  </w:abstractNum>
  <w:abstractNum w:abstractNumId="8">
    <w:nsid w:val="3EB0279C"/>
    <w:multiLevelType w:val="hybridMultilevel"/>
    <w:tmpl w:val="1CCE603A"/>
    <w:lvl w:ilvl="0">
      <w:start w:val="1"/>
      <w:numFmt w:val="bullet"/>
      <w:lvlText w:val=""/>
      <w:lvlJc w:val="left"/>
      <w:pPr>
        <w:ind w:left="947" w:hanging="360"/>
      </w:pPr>
      <w:rPr>
        <w:rFonts w:ascii="Symbol" w:hAnsi="Symbol" w:hint="default"/>
      </w:rPr>
    </w:lvl>
    <w:lvl w:ilvl="1">
      <w:start w:val="5"/>
      <w:numFmt w:val="bullet"/>
      <w:lvlText w:val="-"/>
      <w:lvlJc w:val="left"/>
      <w:pPr>
        <w:ind w:left="1667" w:hanging="360"/>
      </w:pPr>
      <w:rPr>
        <w:rFonts w:ascii="Times New Roman" w:eastAsia="Times New Roman" w:hAnsi="Times New Roman"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hint="default"/>
      </w:rPr>
    </w:lvl>
    <w:lvl w:ilvl="8" w:tentative="1">
      <w:start w:val="1"/>
      <w:numFmt w:val="bullet"/>
      <w:lvlText w:val=""/>
      <w:lvlJc w:val="left"/>
      <w:pPr>
        <w:ind w:left="6707" w:hanging="360"/>
      </w:pPr>
      <w:rPr>
        <w:rFonts w:ascii="Wingdings" w:hAnsi="Wingdings" w:hint="default"/>
      </w:rPr>
    </w:lvl>
  </w:abstractNum>
  <w:abstractNum w:abstractNumId="9">
    <w:nsid w:val="4E58453A"/>
    <w:multiLevelType w:val="hybridMultilevel"/>
    <w:tmpl w:val="ECDAFB2C"/>
    <w:lvl w:ilvl="0">
      <w:start w:val="1"/>
      <w:numFmt w:val="bullet"/>
      <w:lvlText w:val=""/>
      <w:lvlJc w:val="left"/>
      <w:pPr>
        <w:ind w:left="948" w:hanging="360"/>
      </w:pPr>
      <w:rPr>
        <w:rFonts w:ascii="Symbol" w:hAnsi="Symbol" w:hint="default"/>
      </w:rPr>
    </w:lvl>
    <w:lvl w:ilvl="1" w:tentative="1">
      <w:start w:val="1"/>
      <w:numFmt w:val="bullet"/>
      <w:lvlText w:val="o"/>
      <w:lvlJc w:val="left"/>
      <w:pPr>
        <w:ind w:left="1668" w:hanging="360"/>
      </w:pPr>
      <w:rPr>
        <w:rFonts w:ascii="Courier New" w:hAnsi="Courier New" w:cs="Courier New" w:hint="default"/>
      </w:rPr>
    </w:lvl>
    <w:lvl w:ilvl="2" w:tentative="1">
      <w:start w:val="1"/>
      <w:numFmt w:val="bullet"/>
      <w:lvlText w:val=""/>
      <w:lvlJc w:val="left"/>
      <w:pPr>
        <w:ind w:left="2388" w:hanging="360"/>
      </w:pPr>
      <w:rPr>
        <w:rFonts w:ascii="Wingdings" w:hAnsi="Wingdings" w:hint="default"/>
      </w:rPr>
    </w:lvl>
    <w:lvl w:ilvl="3" w:tentative="1">
      <w:start w:val="1"/>
      <w:numFmt w:val="bullet"/>
      <w:lvlText w:val=""/>
      <w:lvlJc w:val="left"/>
      <w:pPr>
        <w:ind w:left="3108" w:hanging="360"/>
      </w:pPr>
      <w:rPr>
        <w:rFonts w:ascii="Symbol" w:hAnsi="Symbol" w:hint="default"/>
      </w:rPr>
    </w:lvl>
    <w:lvl w:ilvl="4" w:tentative="1">
      <w:start w:val="1"/>
      <w:numFmt w:val="bullet"/>
      <w:lvlText w:val="o"/>
      <w:lvlJc w:val="left"/>
      <w:pPr>
        <w:ind w:left="3828" w:hanging="360"/>
      </w:pPr>
      <w:rPr>
        <w:rFonts w:ascii="Courier New" w:hAnsi="Courier New" w:cs="Courier New" w:hint="default"/>
      </w:rPr>
    </w:lvl>
    <w:lvl w:ilvl="5" w:tentative="1">
      <w:start w:val="1"/>
      <w:numFmt w:val="bullet"/>
      <w:lvlText w:val=""/>
      <w:lvlJc w:val="left"/>
      <w:pPr>
        <w:ind w:left="4548" w:hanging="360"/>
      </w:pPr>
      <w:rPr>
        <w:rFonts w:ascii="Wingdings" w:hAnsi="Wingdings" w:hint="default"/>
      </w:rPr>
    </w:lvl>
    <w:lvl w:ilvl="6" w:tentative="1">
      <w:start w:val="1"/>
      <w:numFmt w:val="bullet"/>
      <w:lvlText w:val=""/>
      <w:lvlJc w:val="left"/>
      <w:pPr>
        <w:ind w:left="5268" w:hanging="360"/>
      </w:pPr>
      <w:rPr>
        <w:rFonts w:ascii="Symbol" w:hAnsi="Symbol" w:hint="default"/>
      </w:rPr>
    </w:lvl>
    <w:lvl w:ilvl="7" w:tentative="1">
      <w:start w:val="1"/>
      <w:numFmt w:val="bullet"/>
      <w:lvlText w:val="o"/>
      <w:lvlJc w:val="left"/>
      <w:pPr>
        <w:ind w:left="5988" w:hanging="360"/>
      </w:pPr>
      <w:rPr>
        <w:rFonts w:ascii="Courier New" w:hAnsi="Courier New" w:cs="Courier New" w:hint="default"/>
      </w:rPr>
    </w:lvl>
    <w:lvl w:ilvl="8" w:tentative="1">
      <w:start w:val="1"/>
      <w:numFmt w:val="bullet"/>
      <w:lvlText w:val=""/>
      <w:lvlJc w:val="left"/>
      <w:pPr>
        <w:ind w:left="6708" w:hanging="360"/>
      </w:pPr>
      <w:rPr>
        <w:rFonts w:ascii="Wingdings" w:hAnsi="Wingdings" w:hint="default"/>
      </w:rPr>
    </w:lvl>
  </w:abstractNum>
  <w:abstractNum w:abstractNumId="10">
    <w:nsid w:val="51FB6389"/>
    <w:multiLevelType w:val="hybridMultilevel"/>
    <w:tmpl w:val="FBFEEC76"/>
    <w:lvl w:ilvl="0">
      <w:start w:val="5"/>
      <w:numFmt w:val="bullet"/>
      <w:lvlText w:val="-"/>
      <w:lvlJc w:val="left"/>
      <w:pPr>
        <w:ind w:left="587" w:hanging="360"/>
      </w:pPr>
      <w:rPr>
        <w:rFonts w:ascii="Times New Roman" w:eastAsia="Times New Roman" w:hAnsi="Times New Roman" w:hint="default"/>
      </w:rPr>
    </w:lvl>
    <w:lvl w:ilvl="1" w:tentative="1">
      <w:start w:val="1"/>
      <w:numFmt w:val="bullet"/>
      <w:lvlText w:val="o"/>
      <w:lvlJc w:val="left"/>
      <w:pPr>
        <w:ind w:left="1307" w:hanging="360"/>
      </w:pPr>
      <w:rPr>
        <w:rFonts w:ascii="Courier New" w:hAnsi="Courier New" w:hint="default"/>
      </w:rPr>
    </w:lvl>
    <w:lvl w:ilvl="2" w:tentative="1">
      <w:start w:val="1"/>
      <w:numFmt w:val="bullet"/>
      <w:lvlText w:val=""/>
      <w:lvlJc w:val="left"/>
      <w:pPr>
        <w:ind w:left="2027" w:hanging="360"/>
      </w:pPr>
      <w:rPr>
        <w:rFonts w:ascii="Wingdings" w:hAnsi="Wingdings" w:hint="default"/>
      </w:rPr>
    </w:lvl>
    <w:lvl w:ilvl="3" w:tentative="1">
      <w:start w:val="1"/>
      <w:numFmt w:val="bullet"/>
      <w:lvlText w:val=""/>
      <w:lvlJc w:val="left"/>
      <w:pPr>
        <w:ind w:left="2747" w:hanging="360"/>
      </w:pPr>
      <w:rPr>
        <w:rFonts w:ascii="Symbol" w:hAnsi="Symbol" w:hint="default"/>
      </w:rPr>
    </w:lvl>
    <w:lvl w:ilvl="4" w:tentative="1">
      <w:start w:val="1"/>
      <w:numFmt w:val="bullet"/>
      <w:lvlText w:val="o"/>
      <w:lvlJc w:val="left"/>
      <w:pPr>
        <w:ind w:left="3467" w:hanging="360"/>
      </w:pPr>
      <w:rPr>
        <w:rFonts w:ascii="Courier New" w:hAnsi="Courier New" w:hint="default"/>
      </w:rPr>
    </w:lvl>
    <w:lvl w:ilvl="5" w:tentative="1">
      <w:start w:val="1"/>
      <w:numFmt w:val="bullet"/>
      <w:lvlText w:val=""/>
      <w:lvlJc w:val="left"/>
      <w:pPr>
        <w:ind w:left="4187" w:hanging="360"/>
      </w:pPr>
      <w:rPr>
        <w:rFonts w:ascii="Wingdings" w:hAnsi="Wingdings" w:hint="default"/>
      </w:rPr>
    </w:lvl>
    <w:lvl w:ilvl="6" w:tentative="1">
      <w:start w:val="1"/>
      <w:numFmt w:val="bullet"/>
      <w:lvlText w:val=""/>
      <w:lvlJc w:val="left"/>
      <w:pPr>
        <w:ind w:left="4907" w:hanging="360"/>
      </w:pPr>
      <w:rPr>
        <w:rFonts w:ascii="Symbol" w:hAnsi="Symbol" w:hint="default"/>
      </w:rPr>
    </w:lvl>
    <w:lvl w:ilvl="7" w:tentative="1">
      <w:start w:val="1"/>
      <w:numFmt w:val="bullet"/>
      <w:lvlText w:val="o"/>
      <w:lvlJc w:val="left"/>
      <w:pPr>
        <w:ind w:left="5627" w:hanging="360"/>
      </w:pPr>
      <w:rPr>
        <w:rFonts w:ascii="Courier New" w:hAnsi="Courier New" w:hint="default"/>
      </w:rPr>
    </w:lvl>
    <w:lvl w:ilvl="8" w:tentative="1">
      <w:start w:val="1"/>
      <w:numFmt w:val="bullet"/>
      <w:lvlText w:val=""/>
      <w:lvlJc w:val="left"/>
      <w:pPr>
        <w:ind w:left="6347" w:hanging="360"/>
      </w:pPr>
      <w:rPr>
        <w:rFonts w:ascii="Wingdings" w:hAnsi="Wingdings" w:hint="default"/>
      </w:rPr>
    </w:lvl>
  </w:abstractNum>
  <w:abstractNum w:abstractNumId="11">
    <w:nsid w:val="5C8F119A"/>
    <w:multiLevelType w:val="hybridMultilevel"/>
    <w:tmpl w:val="9F925556"/>
    <w:lvl w:ilvl="0">
      <w:start w:val="1"/>
      <w:numFmt w:val="decimal"/>
      <w:lvlText w:val="%1)"/>
      <w:lvlJc w:val="left"/>
      <w:pPr>
        <w:ind w:left="616" w:hanging="360"/>
      </w:pPr>
      <w:rPr>
        <w:rFonts w:eastAsia="Times New Roman" w:cs="Times New Roman" w:hint="default"/>
        <w:sz w:val="22"/>
        <w:szCs w:val="22"/>
      </w:rPr>
    </w:lvl>
    <w:lvl w:ilvl="1" w:tentative="1">
      <w:start w:val="1"/>
      <w:numFmt w:val="lowerLetter"/>
      <w:lvlText w:val="%2."/>
      <w:lvlJc w:val="left"/>
      <w:pPr>
        <w:ind w:left="1336" w:hanging="360"/>
      </w:pPr>
      <w:rPr>
        <w:rFonts w:cs="Times New Roman"/>
      </w:rPr>
    </w:lvl>
    <w:lvl w:ilvl="2" w:tentative="1">
      <w:start w:val="1"/>
      <w:numFmt w:val="lowerRoman"/>
      <w:lvlText w:val="%3."/>
      <w:lvlJc w:val="right"/>
      <w:pPr>
        <w:ind w:left="2056" w:hanging="180"/>
      </w:pPr>
      <w:rPr>
        <w:rFonts w:cs="Times New Roman"/>
      </w:rPr>
    </w:lvl>
    <w:lvl w:ilvl="3" w:tentative="1">
      <w:start w:val="1"/>
      <w:numFmt w:val="decimal"/>
      <w:lvlText w:val="%4."/>
      <w:lvlJc w:val="left"/>
      <w:pPr>
        <w:ind w:left="2776" w:hanging="360"/>
      </w:pPr>
      <w:rPr>
        <w:rFonts w:cs="Times New Roman"/>
      </w:rPr>
    </w:lvl>
    <w:lvl w:ilvl="4" w:tentative="1">
      <w:start w:val="1"/>
      <w:numFmt w:val="lowerLetter"/>
      <w:lvlText w:val="%5."/>
      <w:lvlJc w:val="left"/>
      <w:pPr>
        <w:ind w:left="3496" w:hanging="360"/>
      </w:pPr>
      <w:rPr>
        <w:rFonts w:cs="Times New Roman"/>
      </w:rPr>
    </w:lvl>
    <w:lvl w:ilvl="5" w:tentative="1">
      <w:start w:val="1"/>
      <w:numFmt w:val="lowerRoman"/>
      <w:lvlText w:val="%6."/>
      <w:lvlJc w:val="right"/>
      <w:pPr>
        <w:ind w:left="4216" w:hanging="180"/>
      </w:pPr>
      <w:rPr>
        <w:rFonts w:cs="Times New Roman"/>
      </w:rPr>
    </w:lvl>
    <w:lvl w:ilvl="6" w:tentative="1">
      <w:start w:val="1"/>
      <w:numFmt w:val="decimal"/>
      <w:lvlText w:val="%7."/>
      <w:lvlJc w:val="left"/>
      <w:pPr>
        <w:ind w:left="4936" w:hanging="360"/>
      </w:pPr>
      <w:rPr>
        <w:rFonts w:cs="Times New Roman"/>
      </w:rPr>
    </w:lvl>
    <w:lvl w:ilvl="7" w:tentative="1">
      <w:start w:val="1"/>
      <w:numFmt w:val="lowerLetter"/>
      <w:lvlText w:val="%8."/>
      <w:lvlJc w:val="left"/>
      <w:pPr>
        <w:ind w:left="5656" w:hanging="360"/>
      </w:pPr>
      <w:rPr>
        <w:rFonts w:cs="Times New Roman"/>
      </w:rPr>
    </w:lvl>
    <w:lvl w:ilvl="8" w:tentative="1">
      <w:start w:val="1"/>
      <w:numFmt w:val="lowerRoman"/>
      <w:lvlText w:val="%9."/>
      <w:lvlJc w:val="right"/>
      <w:pPr>
        <w:ind w:left="6376" w:hanging="180"/>
      </w:pPr>
      <w:rPr>
        <w:rFonts w:cs="Times New Roman"/>
      </w:rPr>
    </w:lvl>
  </w:abstractNum>
  <w:abstractNum w:abstractNumId="12">
    <w:nsid w:val="5ED32202"/>
    <w:multiLevelType w:val="hybridMultilevel"/>
    <w:tmpl w:val="B8E48524"/>
    <w:lvl w:ilvl="0">
      <w:start w:val="1"/>
      <w:numFmt w:val="bullet"/>
      <w:lvlText w:val=""/>
      <w:lvlJc w:val="left"/>
      <w:pPr>
        <w:ind w:left="947" w:hanging="360"/>
      </w:pPr>
      <w:rPr>
        <w:rFonts w:ascii="Symbol" w:hAnsi="Symbol" w:hint="default"/>
      </w:rPr>
    </w:lvl>
    <w:lvl w:ilvl="1" w:tentative="1">
      <w:start w:val="1"/>
      <w:numFmt w:val="bullet"/>
      <w:lvlText w:val="o"/>
      <w:lvlJc w:val="left"/>
      <w:pPr>
        <w:ind w:left="1667" w:hanging="360"/>
      </w:pPr>
      <w:rPr>
        <w:rFonts w:ascii="Courier New" w:hAnsi="Courier New"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hint="default"/>
      </w:rPr>
    </w:lvl>
    <w:lvl w:ilvl="8" w:tentative="1">
      <w:start w:val="1"/>
      <w:numFmt w:val="bullet"/>
      <w:lvlText w:val=""/>
      <w:lvlJc w:val="left"/>
      <w:pPr>
        <w:ind w:left="6707" w:hanging="360"/>
      </w:pPr>
      <w:rPr>
        <w:rFonts w:ascii="Wingdings" w:hAnsi="Wingdings" w:hint="default"/>
      </w:rPr>
    </w:lvl>
  </w:abstractNum>
  <w:abstractNum w:abstractNumId="13">
    <w:nsid w:val="5F3A70CB"/>
    <w:multiLevelType w:val="hybridMultilevel"/>
    <w:tmpl w:val="792C0C9E"/>
    <w:lvl w:ilvl="0">
      <w:start w:val="0"/>
      <w:numFmt w:val="bullet"/>
      <w:lvlText w:val="-"/>
      <w:lvlJc w:val="left"/>
      <w:pPr>
        <w:ind w:left="587" w:hanging="360"/>
      </w:pPr>
      <w:rPr>
        <w:rFonts w:ascii="Times New Roman" w:eastAsia="Times New Roman" w:hAnsi="Times New Roman" w:cs="Times New Roman" w:hint="default"/>
      </w:rPr>
    </w:lvl>
    <w:lvl w:ilvl="1" w:tentative="1">
      <w:start w:val="1"/>
      <w:numFmt w:val="bullet"/>
      <w:lvlText w:val="o"/>
      <w:lvlJc w:val="left"/>
      <w:pPr>
        <w:ind w:left="1307" w:hanging="360"/>
      </w:pPr>
      <w:rPr>
        <w:rFonts w:ascii="Courier New" w:hAnsi="Courier New" w:cs="Courier New" w:hint="default"/>
      </w:rPr>
    </w:lvl>
    <w:lvl w:ilvl="2" w:tentative="1">
      <w:start w:val="1"/>
      <w:numFmt w:val="bullet"/>
      <w:lvlText w:val=""/>
      <w:lvlJc w:val="left"/>
      <w:pPr>
        <w:ind w:left="2027" w:hanging="360"/>
      </w:pPr>
      <w:rPr>
        <w:rFonts w:ascii="Wingdings" w:hAnsi="Wingdings" w:hint="default"/>
      </w:rPr>
    </w:lvl>
    <w:lvl w:ilvl="3" w:tentative="1">
      <w:start w:val="1"/>
      <w:numFmt w:val="bullet"/>
      <w:lvlText w:val=""/>
      <w:lvlJc w:val="left"/>
      <w:pPr>
        <w:ind w:left="2747" w:hanging="360"/>
      </w:pPr>
      <w:rPr>
        <w:rFonts w:ascii="Symbol" w:hAnsi="Symbol" w:hint="default"/>
      </w:rPr>
    </w:lvl>
    <w:lvl w:ilvl="4" w:tentative="1">
      <w:start w:val="1"/>
      <w:numFmt w:val="bullet"/>
      <w:lvlText w:val="o"/>
      <w:lvlJc w:val="left"/>
      <w:pPr>
        <w:ind w:left="3467" w:hanging="360"/>
      </w:pPr>
      <w:rPr>
        <w:rFonts w:ascii="Courier New" w:hAnsi="Courier New" w:cs="Courier New" w:hint="default"/>
      </w:rPr>
    </w:lvl>
    <w:lvl w:ilvl="5" w:tentative="1">
      <w:start w:val="1"/>
      <w:numFmt w:val="bullet"/>
      <w:lvlText w:val=""/>
      <w:lvlJc w:val="left"/>
      <w:pPr>
        <w:ind w:left="4187" w:hanging="360"/>
      </w:pPr>
      <w:rPr>
        <w:rFonts w:ascii="Wingdings" w:hAnsi="Wingdings" w:hint="default"/>
      </w:rPr>
    </w:lvl>
    <w:lvl w:ilvl="6" w:tentative="1">
      <w:start w:val="1"/>
      <w:numFmt w:val="bullet"/>
      <w:lvlText w:val=""/>
      <w:lvlJc w:val="left"/>
      <w:pPr>
        <w:ind w:left="4907" w:hanging="360"/>
      </w:pPr>
      <w:rPr>
        <w:rFonts w:ascii="Symbol" w:hAnsi="Symbol" w:hint="default"/>
      </w:rPr>
    </w:lvl>
    <w:lvl w:ilvl="7" w:tentative="1">
      <w:start w:val="1"/>
      <w:numFmt w:val="bullet"/>
      <w:lvlText w:val="o"/>
      <w:lvlJc w:val="left"/>
      <w:pPr>
        <w:ind w:left="5627" w:hanging="360"/>
      </w:pPr>
      <w:rPr>
        <w:rFonts w:ascii="Courier New" w:hAnsi="Courier New" w:cs="Courier New" w:hint="default"/>
      </w:rPr>
    </w:lvl>
    <w:lvl w:ilvl="8" w:tentative="1">
      <w:start w:val="1"/>
      <w:numFmt w:val="bullet"/>
      <w:lvlText w:val=""/>
      <w:lvlJc w:val="left"/>
      <w:pPr>
        <w:ind w:left="6347" w:hanging="360"/>
      </w:pPr>
      <w:rPr>
        <w:rFonts w:ascii="Wingdings" w:hAnsi="Wingdings" w:hint="default"/>
      </w:rPr>
    </w:lvl>
  </w:abstractNum>
  <w:abstractNum w:abstractNumId="14">
    <w:nsid w:val="60142C52"/>
    <w:multiLevelType w:val="hybridMultilevel"/>
    <w:tmpl w:val="09BCB2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36850E7"/>
    <w:multiLevelType w:val="hybridMultilevel"/>
    <w:tmpl w:val="EC540292"/>
    <w:lvl w:ilvl="0">
      <w:start w:val="1"/>
      <w:numFmt w:val="bullet"/>
      <w:lvlText w:val=""/>
      <w:lvlJc w:val="left"/>
      <w:pPr>
        <w:ind w:left="587" w:hanging="360"/>
      </w:pPr>
      <w:rPr>
        <w:rFonts w:ascii="Symbol" w:hAnsi="Symbol" w:hint="default"/>
      </w:rPr>
    </w:lvl>
    <w:lvl w:ilvl="1" w:tentative="1">
      <w:start w:val="1"/>
      <w:numFmt w:val="bullet"/>
      <w:lvlText w:val="o"/>
      <w:lvlJc w:val="left"/>
      <w:pPr>
        <w:ind w:left="1307" w:hanging="360"/>
      </w:pPr>
      <w:rPr>
        <w:rFonts w:ascii="Courier New" w:hAnsi="Courier New" w:cs="Courier New" w:hint="default"/>
      </w:rPr>
    </w:lvl>
    <w:lvl w:ilvl="2" w:tentative="1">
      <w:start w:val="1"/>
      <w:numFmt w:val="bullet"/>
      <w:lvlText w:val=""/>
      <w:lvlJc w:val="left"/>
      <w:pPr>
        <w:ind w:left="2027" w:hanging="360"/>
      </w:pPr>
      <w:rPr>
        <w:rFonts w:ascii="Wingdings" w:hAnsi="Wingdings" w:hint="default"/>
      </w:rPr>
    </w:lvl>
    <w:lvl w:ilvl="3" w:tentative="1">
      <w:start w:val="1"/>
      <w:numFmt w:val="bullet"/>
      <w:lvlText w:val=""/>
      <w:lvlJc w:val="left"/>
      <w:pPr>
        <w:ind w:left="2747" w:hanging="360"/>
      </w:pPr>
      <w:rPr>
        <w:rFonts w:ascii="Symbol" w:hAnsi="Symbol" w:hint="default"/>
      </w:rPr>
    </w:lvl>
    <w:lvl w:ilvl="4" w:tentative="1">
      <w:start w:val="1"/>
      <w:numFmt w:val="bullet"/>
      <w:lvlText w:val="o"/>
      <w:lvlJc w:val="left"/>
      <w:pPr>
        <w:ind w:left="3467" w:hanging="360"/>
      </w:pPr>
      <w:rPr>
        <w:rFonts w:ascii="Courier New" w:hAnsi="Courier New" w:cs="Courier New" w:hint="default"/>
      </w:rPr>
    </w:lvl>
    <w:lvl w:ilvl="5" w:tentative="1">
      <w:start w:val="1"/>
      <w:numFmt w:val="bullet"/>
      <w:lvlText w:val=""/>
      <w:lvlJc w:val="left"/>
      <w:pPr>
        <w:ind w:left="4187" w:hanging="360"/>
      </w:pPr>
      <w:rPr>
        <w:rFonts w:ascii="Wingdings" w:hAnsi="Wingdings" w:hint="default"/>
      </w:rPr>
    </w:lvl>
    <w:lvl w:ilvl="6" w:tentative="1">
      <w:start w:val="1"/>
      <w:numFmt w:val="bullet"/>
      <w:lvlText w:val=""/>
      <w:lvlJc w:val="left"/>
      <w:pPr>
        <w:ind w:left="4907" w:hanging="360"/>
      </w:pPr>
      <w:rPr>
        <w:rFonts w:ascii="Symbol" w:hAnsi="Symbol" w:hint="default"/>
      </w:rPr>
    </w:lvl>
    <w:lvl w:ilvl="7" w:tentative="1">
      <w:start w:val="1"/>
      <w:numFmt w:val="bullet"/>
      <w:lvlText w:val="o"/>
      <w:lvlJc w:val="left"/>
      <w:pPr>
        <w:ind w:left="5627" w:hanging="360"/>
      </w:pPr>
      <w:rPr>
        <w:rFonts w:ascii="Courier New" w:hAnsi="Courier New" w:cs="Courier New" w:hint="default"/>
      </w:rPr>
    </w:lvl>
    <w:lvl w:ilvl="8" w:tentative="1">
      <w:start w:val="1"/>
      <w:numFmt w:val="bullet"/>
      <w:lvlText w:val=""/>
      <w:lvlJc w:val="left"/>
      <w:pPr>
        <w:ind w:left="6347" w:hanging="360"/>
      </w:pPr>
      <w:rPr>
        <w:rFonts w:ascii="Wingdings" w:hAnsi="Wingdings" w:hint="default"/>
      </w:rPr>
    </w:lvl>
  </w:abstractNum>
  <w:abstractNum w:abstractNumId="16">
    <w:nsid w:val="6B5452AD"/>
    <w:multiLevelType w:val="hybridMultilevel"/>
    <w:tmpl w:val="D584BE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FD43D62"/>
    <w:multiLevelType w:val="hybridMultilevel"/>
    <w:tmpl w:val="18CCAF70"/>
    <w:lvl w:ilvl="0">
      <w:start w:val="1"/>
      <w:numFmt w:val="bullet"/>
      <w:lvlText w:val=""/>
      <w:lvlJc w:val="left"/>
      <w:pPr>
        <w:ind w:left="587" w:hanging="360"/>
      </w:pPr>
      <w:rPr>
        <w:rFonts w:ascii="Symbol" w:hAnsi="Symbol" w:hint="default"/>
      </w:rPr>
    </w:lvl>
    <w:lvl w:ilvl="1" w:tentative="1">
      <w:start w:val="1"/>
      <w:numFmt w:val="bullet"/>
      <w:lvlText w:val="o"/>
      <w:lvlJc w:val="left"/>
      <w:pPr>
        <w:ind w:left="1307" w:hanging="360"/>
      </w:pPr>
      <w:rPr>
        <w:rFonts w:ascii="Courier New" w:hAnsi="Courier New" w:hint="default"/>
      </w:rPr>
    </w:lvl>
    <w:lvl w:ilvl="2" w:tentative="1">
      <w:start w:val="1"/>
      <w:numFmt w:val="bullet"/>
      <w:lvlText w:val=""/>
      <w:lvlJc w:val="left"/>
      <w:pPr>
        <w:ind w:left="2027" w:hanging="360"/>
      </w:pPr>
      <w:rPr>
        <w:rFonts w:ascii="Wingdings" w:hAnsi="Wingdings" w:hint="default"/>
      </w:rPr>
    </w:lvl>
    <w:lvl w:ilvl="3" w:tentative="1">
      <w:start w:val="1"/>
      <w:numFmt w:val="bullet"/>
      <w:lvlText w:val=""/>
      <w:lvlJc w:val="left"/>
      <w:pPr>
        <w:ind w:left="2747" w:hanging="360"/>
      </w:pPr>
      <w:rPr>
        <w:rFonts w:ascii="Symbol" w:hAnsi="Symbol" w:hint="default"/>
      </w:rPr>
    </w:lvl>
    <w:lvl w:ilvl="4" w:tentative="1">
      <w:start w:val="1"/>
      <w:numFmt w:val="bullet"/>
      <w:lvlText w:val="o"/>
      <w:lvlJc w:val="left"/>
      <w:pPr>
        <w:ind w:left="3467" w:hanging="360"/>
      </w:pPr>
      <w:rPr>
        <w:rFonts w:ascii="Courier New" w:hAnsi="Courier New" w:hint="default"/>
      </w:rPr>
    </w:lvl>
    <w:lvl w:ilvl="5" w:tentative="1">
      <w:start w:val="1"/>
      <w:numFmt w:val="bullet"/>
      <w:lvlText w:val=""/>
      <w:lvlJc w:val="left"/>
      <w:pPr>
        <w:ind w:left="4187" w:hanging="360"/>
      </w:pPr>
      <w:rPr>
        <w:rFonts w:ascii="Wingdings" w:hAnsi="Wingdings" w:hint="default"/>
      </w:rPr>
    </w:lvl>
    <w:lvl w:ilvl="6" w:tentative="1">
      <w:start w:val="1"/>
      <w:numFmt w:val="bullet"/>
      <w:lvlText w:val=""/>
      <w:lvlJc w:val="left"/>
      <w:pPr>
        <w:ind w:left="4907" w:hanging="360"/>
      </w:pPr>
      <w:rPr>
        <w:rFonts w:ascii="Symbol" w:hAnsi="Symbol" w:hint="default"/>
      </w:rPr>
    </w:lvl>
    <w:lvl w:ilvl="7" w:tentative="1">
      <w:start w:val="1"/>
      <w:numFmt w:val="bullet"/>
      <w:lvlText w:val="o"/>
      <w:lvlJc w:val="left"/>
      <w:pPr>
        <w:ind w:left="5627" w:hanging="360"/>
      </w:pPr>
      <w:rPr>
        <w:rFonts w:ascii="Courier New" w:hAnsi="Courier New" w:hint="default"/>
      </w:rPr>
    </w:lvl>
    <w:lvl w:ilvl="8" w:tentative="1">
      <w:start w:val="1"/>
      <w:numFmt w:val="bullet"/>
      <w:lvlText w:val=""/>
      <w:lvlJc w:val="left"/>
      <w:pPr>
        <w:ind w:left="6347" w:hanging="360"/>
      </w:pPr>
      <w:rPr>
        <w:rFonts w:ascii="Wingdings" w:hAnsi="Wingdings" w:hint="default"/>
      </w:rPr>
    </w:lvl>
  </w:abstractNum>
  <w:num w:numId="1">
    <w:abstractNumId w:val="12"/>
  </w:num>
  <w:num w:numId="2">
    <w:abstractNumId w:val="8"/>
  </w:num>
  <w:num w:numId="3">
    <w:abstractNumId w:val="10"/>
  </w:num>
  <w:num w:numId="4">
    <w:abstractNumId w:val="11"/>
  </w:num>
  <w:num w:numId="5">
    <w:abstractNumId w:val="4"/>
  </w:num>
  <w:num w:numId="6">
    <w:abstractNumId w:val="0"/>
  </w:num>
  <w:num w:numId="7">
    <w:abstractNumId w:val="1"/>
  </w:num>
  <w:num w:numId="8">
    <w:abstractNumId w:val="5"/>
  </w:num>
  <w:num w:numId="9">
    <w:abstractNumId w:val="14"/>
  </w:num>
  <w:num w:numId="10">
    <w:abstractNumId w:val="17"/>
  </w:num>
  <w:num w:numId="11">
    <w:abstractNumId w:val="16"/>
  </w:num>
  <w:num w:numId="12">
    <w:abstractNumId w:val="13"/>
  </w:num>
  <w:num w:numId="13">
    <w:abstractNumId w:val="9"/>
  </w:num>
  <w:num w:numId="14">
    <w:abstractNumId w:val="2"/>
  </w:num>
  <w:num w:numId="15">
    <w:abstractNumId w:val="15"/>
  </w:num>
  <w:num w:numId="16">
    <w:abstractNumId w:val="7"/>
  </w:num>
  <w:num w:numId="17">
    <w:abstractNumId w:val="6"/>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drawingGridHorizontalSpacing w:val="110"/>
  <w:displayHorizontalDrawingGridEvery w:val="2"/>
  <w:displayVerticalDrawingGridEvery w:val="2"/>
  <w:doNotShadeFormData/>
  <w:characterSpacingControl w:val="doNotCompress"/>
  <w:footnotePr>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CD"/>
    <w:rsid w:val="000022EA"/>
    <w:rsid w:val="00002CE1"/>
    <w:rsid w:val="0000357E"/>
    <w:rsid w:val="00003841"/>
    <w:rsid w:val="00005263"/>
    <w:rsid w:val="0000734C"/>
    <w:rsid w:val="00010007"/>
    <w:rsid w:val="00014DB3"/>
    <w:rsid w:val="0001568C"/>
    <w:rsid w:val="000204BD"/>
    <w:rsid w:val="00021F25"/>
    <w:rsid w:val="00023908"/>
    <w:rsid w:val="00023CCB"/>
    <w:rsid w:val="00026472"/>
    <w:rsid w:val="00027F43"/>
    <w:rsid w:val="0003736E"/>
    <w:rsid w:val="0003767B"/>
    <w:rsid w:val="00040330"/>
    <w:rsid w:val="0004253C"/>
    <w:rsid w:val="00044DC8"/>
    <w:rsid w:val="0004521E"/>
    <w:rsid w:val="00045D4D"/>
    <w:rsid w:val="00047396"/>
    <w:rsid w:val="00054B73"/>
    <w:rsid w:val="00056F61"/>
    <w:rsid w:val="000576A2"/>
    <w:rsid w:val="00057819"/>
    <w:rsid w:val="0005794B"/>
    <w:rsid w:val="00060163"/>
    <w:rsid w:val="0006049C"/>
    <w:rsid w:val="0006345C"/>
    <w:rsid w:val="00063EC8"/>
    <w:rsid w:val="000658E9"/>
    <w:rsid w:val="000678F5"/>
    <w:rsid w:val="000731AD"/>
    <w:rsid w:val="00075007"/>
    <w:rsid w:val="00075A31"/>
    <w:rsid w:val="00077E67"/>
    <w:rsid w:val="0008176E"/>
    <w:rsid w:val="00081A58"/>
    <w:rsid w:val="00085C58"/>
    <w:rsid w:val="00085EF0"/>
    <w:rsid w:val="00087398"/>
    <w:rsid w:val="00087922"/>
    <w:rsid w:val="000900A6"/>
    <w:rsid w:val="00090A98"/>
    <w:rsid w:val="00090B46"/>
    <w:rsid w:val="00090B58"/>
    <w:rsid w:val="00092875"/>
    <w:rsid w:val="00095EE4"/>
    <w:rsid w:val="000A307A"/>
    <w:rsid w:val="000A355C"/>
    <w:rsid w:val="000A5328"/>
    <w:rsid w:val="000A58A3"/>
    <w:rsid w:val="000A58AB"/>
    <w:rsid w:val="000A6199"/>
    <w:rsid w:val="000A7304"/>
    <w:rsid w:val="000B00B7"/>
    <w:rsid w:val="000B34B9"/>
    <w:rsid w:val="000B4B09"/>
    <w:rsid w:val="000B51AB"/>
    <w:rsid w:val="000B5B7B"/>
    <w:rsid w:val="000C3537"/>
    <w:rsid w:val="000C3F9F"/>
    <w:rsid w:val="000C5291"/>
    <w:rsid w:val="000D0AD8"/>
    <w:rsid w:val="000D2F76"/>
    <w:rsid w:val="000D481C"/>
    <w:rsid w:val="000D4A73"/>
    <w:rsid w:val="000E002A"/>
    <w:rsid w:val="000E05CA"/>
    <w:rsid w:val="000E21B2"/>
    <w:rsid w:val="000E2B45"/>
    <w:rsid w:val="000E5A34"/>
    <w:rsid w:val="000E6416"/>
    <w:rsid w:val="000E73F7"/>
    <w:rsid w:val="000F09DB"/>
    <w:rsid w:val="000F14C9"/>
    <w:rsid w:val="000F4722"/>
    <w:rsid w:val="000F4FD7"/>
    <w:rsid w:val="000F513E"/>
    <w:rsid w:val="000F7B41"/>
    <w:rsid w:val="001023CE"/>
    <w:rsid w:val="0010256C"/>
    <w:rsid w:val="00104A4D"/>
    <w:rsid w:val="00104D1D"/>
    <w:rsid w:val="00104E7D"/>
    <w:rsid w:val="00106528"/>
    <w:rsid w:val="00106E78"/>
    <w:rsid w:val="00107093"/>
    <w:rsid w:val="00122EF5"/>
    <w:rsid w:val="00127EA7"/>
    <w:rsid w:val="001344FB"/>
    <w:rsid w:val="00136D56"/>
    <w:rsid w:val="00137AEB"/>
    <w:rsid w:val="00137D4F"/>
    <w:rsid w:val="001424BB"/>
    <w:rsid w:val="00142CF5"/>
    <w:rsid w:val="00145C8C"/>
    <w:rsid w:val="001473AE"/>
    <w:rsid w:val="001524D8"/>
    <w:rsid w:val="00157133"/>
    <w:rsid w:val="00157710"/>
    <w:rsid w:val="001604B9"/>
    <w:rsid w:val="00160970"/>
    <w:rsid w:val="00161F22"/>
    <w:rsid w:val="0016323A"/>
    <w:rsid w:val="00165328"/>
    <w:rsid w:val="001654C5"/>
    <w:rsid w:val="00167E1C"/>
    <w:rsid w:val="001707E7"/>
    <w:rsid w:val="00176A72"/>
    <w:rsid w:val="0017764A"/>
    <w:rsid w:val="0018092B"/>
    <w:rsid w:val="001811C2"/>
    <w:rsid w:val="0018158A"/>
    <w:rsid w:val="001849BF"/>
    <w:rsid w:val="001872D0"/>
    <w:rsid w:val="00191AD3"/>
    <w:rsid w:val="0019220E"/>
    <w:rsid w:val="001926BF"/>
    <w:rsid w:val="00192C85"/>
    <w:rsid w:val="00194048"/>
    <w:rsid w:val="00196651"/>
    <w:rsid w:val="001B0A68"/>
    <w:rsid w:val="001C098C"/>
    <w:rsid w:val="001C288A"/>
    <w:rsid w:val="001C37E7"/>
    <w:rsid w:val="001D32BA"/>
    <w:rsid w:val="001D5A67"/>
    <w:rsid w:val="001D6769"/>
    <w:rsid w:val="001D6E29"/>
    <w:rsid w:val="001D70DB"/>
    <w:rsid w:val="001F16CF"/>
    <w:rsid w:val="002011A8"/>
    <w:rsid w:val="00201F24"/>
    <w:rsid w:val="00202C94"/>
    <w:rsid w:val="002044F6"/>
    <w:rsid w:val="00205F15"/>
    <w:rsid w:val="00206DFD"/>
    <w:rsid w:val="00212A4F"/>
    <w:rsid w:val="00213BE3"/>
    <w:rsid w:val="00214180"/>
    <w:rsid w:val="00215ACA"/>
    <w:rsid w:val="0021703B"/>
    <w:rsid w:val="00217609"/>
    <w:rsid w:val="00217FC8"/>
    <w:rsid w:val="00220870"/>
    <w:rsid w:val="00220BB7"/>
    <w:rsid w:val="002214F7"/>
    <w:rsid w:val="00223978"/>
    <w:rsid w:val="00230AF7"/>
    <w:rsid w:val="0023240D"/>
    <w:rsid w:val="002326CD"/>
    <w:rsid w:val="00233691"/>
    <w:rsid w:val="00233F94"/>
    <w:rsid w:val="002372A4"/>
    <w:rsid w:val="002407E2"/>
    <w:rsid w:val="002459DA"/>
    <w:rsid w:val="00255EBC"/>
    <w:rsid w:val="00260417"/>
    <w:rsid w:val="002608F1"/>
    <w:rsid w:val="0026240C"/>
    <w:rsid w:val="00271791"/>
    <w:rsid w:val="00277222"/>
    <w:rsid w:val="00277367"/>
    <w:rsid w:val="002803ED"/>
    <w:rsid w:val="00280F08"/>
    <w:rsid w:val="00281AA7"/>
    <w:rsid w:val="0028217A"/>
    <w:rsid w:val="00284C5D"/>
    <w:rsid w:val="00287C4C"/>
    <w:rsid w:val="002937C4"/>
    <w:rsid w:val="00294A2F"/>
    <w:rsid w:val="00297634"/>
    <w:rsid w:val="002A06D2"/>
    <w:rsid w:val="002B034D"/>
    <w:rsid w:val="002B168D"/>
    <w:rsid w:val="002B1701"/>
    <w:rsid w:val="002B3E8E"/>
    <w:rsid w:val="002B4E4D"/>
    <w:rsid w:val="002C4331"/>
    <w:rsid w:val="002C453A"/>
    <w:rsid w:val="002C6DBC"/>
    <w:rsid w:val="002C7797"/>
    <w:rsid w:val="002D2368"/>
    <w:rsid w:val="002D2B3E"/>
    <w:rsid w:val="002D4D53"/>
    <w:rsid w:val="002D5E34"/>
    <w:rsid w:val="002E4B3E"/>
    <w:rsid w:val="002E5386"/>
    <w:rsid w:val="002E599C"/>
    <w:rsid w:val="002E5FF2"/>
    <w:rsid w:val="002F0C8F"/>
    <w:rsid w:val="002F30BB"/>
    <w:rsid w:val="002F38D0"/>
    <w:rsid w:val="00307433"/>
    <w:rsid w:val="003162E4"/>
    <w:rsid w:val="00317EFB"/>
    <w:rsid w:val="0032070E"/>
    <w:rsid w:val="00322017"/>
    <w:rsid w:val="0032396A"/>
    <w:rsid w:val="00333FAA"/>
    <w:rsid w:val="00336675"/>
    <w:rsid w:val="0034168A"/>
    <w:rsid w:val="0034323C"/>
    <w:rsid w:val="0034370D"/>
    <w:rsid w:val="00344B08"/>
    <w:rsid w:val="00351AAB"/>
    <w:rsid w:val="00356575"/>
    <w:rsid w:val="0035716E"/>
    <w:rsid w:val="0036017A"/>
    <w:rsid w:val="00362787"/>
    <w:rsid w:val="00374001"/>
    <w:rsid w:val="00375924"/>
    <w:rsid w:val="00380243"/>
    <w:rsid w:val="00382099"/>
    <w:rsid w:val="00383D36"/>
    <w:rsid w:val="00385016"/>
    <w:rsid w:val="003859B6"/>
    <w:rsid w:val="00386AE8"/>
    <w:rsid w:val="003878E1"/>
    <w:rsid w:val="00391B99"/>
    <w:rsid w:val="00392A8F"/>
    <w:rsid w:val="003A057F"/>
    <w:rsid w:val="003A7EFE"/>
    <w:rsid w:val="003B57C7"/>
    <w:rsid w:val="003B6E58"/>
    <w:rsid w:val="003C4D52"/>
    <w:rsid w:val="003D11B0"/>
    <w:rsid w:val="003D2099"/>
    <w:rsid w:val="003D3065"/>
    <w:rsid w:val="003D4EB3"/>
    <w:rsid w:val="003D77B9"/>
    <w:rsid w:val="003E4275"/>
    <w:rsid w:val="003E4EB2"/>
    <w:rsid w:val="003E7EBE"/>
    <w:rsid w:val="003F064C"/>
    <w:rsid w:val="003F0CD3"/>
    <w:rsid w:val="003F5D80"/>
    <w:rsid w:val="00404329"/>
    <w:rsid w:val="004050B7"/>
    <w:rsid w:val="00406107"/>
    <w:rsid w:val="00406B06"/>
    <w:rsid w:val="00410902"/>
    <w:rsid w:val="00410CDD"/>
    <w:rsid w:val="004134E1"/>
    <w:rsid w:val="00417E2B"/>
    <w:rsid w:val="00420408"/>
    <w:rsid w:val="00421A79"/>
    <w:rsid w:val="00422921"/>
    <w:rsid w:val="00424F34"/>
    <w:rsid w:val="00430CCF"/>
    <w:rsid w:val="004313BC"/>
    <w:rsid w:val="00432216"/>
    <w:rsid w:val="004338E5"/>
    <w:rsid w:val="00433AFD"/>
    <w:rsid w:val="00435471"/>
    <w:rsid w:val="004367B2"/>
    <w:rsid w:val="0044078B"/>
    <w:rsid w:val="00442FF8"/>
    <w:rsid w:val="0044629A"/>
    <w:rsid w:val="00450746"/>
    <w:rsid w:val="00451F24"/>
    <w:rsid w:val="00452056"/>
    <w:rsid w:val="004525F5"/>
    <w:rsid w:val="004550F6"/>
    <w:rsid w:val="0045551E"/>
    <w:rsid w:val="004561F3"/>
    <w:rsid w:val="00456D95"/>
    <w:rsid w:val="00462E52"/>
    <w:rsid w:val="00462ED9"/>
    <w:rsid w:val="00463B8C"/>
    <w:rsid w:val="00465C67"/>
    <w:rsid w:val="00467527"/>
    <w:rsid w:val="004679AD"/>
    <w:rsid w:val="00471D1C"/>
    <w:rsid w:val="004726B9"/>
    <w:rsid w:val="00475B65"/>
    <w:rsid w:val="004765E0"/>
    <w:rsid w:val="00477910"/>
    <w:rsid w:val="0048109D"/>
    <w:rsid w:val="00481B53"/>
    <w:rsid w:val="00482BA0"/>
    <w:rsid w:val="00482F95"/>
    <w:rsid w:val="00483329"/>
    <w:rsid w:val="004844FA"/>
    <w:rsid w:val="00485300"/>
    <w:rsid w:val="0049563D"/>
    <w:rsid w:val="00495C34"/>
    <w:rsid w:val="004A4A64"/>
    <w:rsid w:val="004A550A"/>
    <w:rsid w:val="004B29DD"/>
    <w:rsid w:val="004B2CB9"/>
    <w:rsid w:val="004B374F"/>
    <w:rsid w:val="004B4856"/>
    <w:rsid w:val="004B5C27"/>
    <w:rsid w:val="004B6CB6"/>
    <w:rsid w:val="004C1C0E"/>
    <w:rsid w:val="004C43F7"/>
    <w:rsid w:val="004C49D6"/>
    <w:rsid w:val="004C4E0E"/>
    <w:rsid w:val="004C732B"/>
    <w:rsid w:val="004D397A"/>
    <w:rsid w:val="004D7C36"/>
    <w:rsid w:val="004E186B"/>
    <w:rsid w:val="004E72BB"/>
    <w:rsid w:val="004E77BF"/>
    <w:rsid w:val="004F0372"/>
    <w:rsid w:val="004F18C0"/>
    <w:rsid w:val="004F20B9"/>
    <w:rsid w:val="004F2C02"/>
    <w:rsid w:val="004F2CB3"/>
    <w:rsid w:val="004F3B23"/>
    <w:rsid w:val="004F4CB2"/>
    <w:rsid w:val="00501123"/>
    <w:rsid w:val="0050347B"/>
    <w:rsid w:val="00503B07"/>
    <w:rsid w:val="00506393"/>
    <w:rsid w:val="005118FF"/>
    <w:rsid w:val="00515421"/>
    <w:rsid w:val="00516C6F"/>
    <w:rsid w:val="0051728B"/>
    <w:rsid w:val="0052604F"/>
    <w:rsid w:val="005275EB"/>
    <w:rsid w:val="0053015F"/>
    <w:rsid w:val="005403CC"/>
    <w:rsid w:val="0054093C"/>
    <w:rsid w:val="00542BD9"/>
    <w:rsid w:val="00542D64"/>
    <w:rsid w:val="00544E66"/>
    <w:rsid w:val="005461CC"/>
    <w:rsid w:val="00551016"/>
    <w:rsid w:val="00552B20"/>
    <w:rsid w:val="005532AD"/>
    <w:rsid w:val="0055418D"/>
    <w:rsid w:val="00556AAA"/>
    <w:rsid w:val="00556CDE"/>
    <w:rsid w:val="0056339A"/>
    <w:rsid w:val="00563802"/>
    <w:rsid w:val="0056592D"/>
    <w:rsid w:val="00566D01"/>
    <w:rsid w:val="005702CB"/>
    <w:rsid w:val="00571CFF"/>
    <w:rsid w:val="00572C7E"/>
    <w:rsid w:val="0057422E"/>
    <w:rsid w:val="00574736"/>
    <w:rsid w:val="0057646F"/>
    <w:rsid w:val="005764D9"/>
    <w:rsid w:val="0057701F"/>
    <w:rsid w:val="005804F8"/>
    <w:rsid w:val="00583512"/>
    <w:rsid w:val="00590493"/>
    <w:rsid w:val="00594397"/>
    <w:rsid w:val="00595B59"/>
    <w:rsid w:val="00597D88"/>
    <w:rsid w:val="005A0323"/>
    <w:rsid w:val="005A110D"/>
    <w:rsid w:val="005B1274"/>
    <w:rsid w:val="005B1326"/>
    <w:rsid w:val="005B1694"/>
    <w:rsid w:val="005B2FED"/>
    <w:rsid w:val="005B32B4"/>
    <w:rsid w:val="005B331F"/>
    <w:rsid w:val="005C5937"/>
    <w:rsid w:val="005D0338"/>
    <w:rsid w:val="005D13EB"/>
    <w:rsid w:val="005D628E"/>
    <w:rsid w:val="005E0FFC"/>
    <w:rsid w:val="005E117D"/>
    <w:rsid w:val="005E1415"/>
    <w:rsid w:val="005E183B"/>
    <w:rsid w:val="005F0098"/>
    <w:rsid w:val="005F16C8"/>
    <w:rsid w:val="005F1AD2"/>
    <w:rsid w:val="005F2936"/>
    <w:rsid w:val="005F2FD8"/>
    <w:rsid w:val="005F7788"/>
    <w:rsid w:val="00600452"/>
    <w:rsid w:val="00602636"/>
    <w:rsid w:val="006037C3"/>
    <w:rsid w:val="00604DCA"/>
    <w:rsid w:val="00605916"/>
    <w:rsid w:val="00607786"/>
    <w:rsid w:val="00613285"/>
    <w:rsid w:val="00620FA6"/>
    <w:rsid w:val="00622195"/>
    <w:rsid w:val="006249BD"/>
    <w:rsid w:val="00624E24"/>
    <w:rsid w:val="00625772"/>
    <w:rsid w:val="006317BF"/>
    <w:rsid w:val="00631816"/>
    <w:rsid w:val="00634911"/>
    <w:rsid w:val="00634A03"/>
    <w:rsid w:val="00643958"/>
    <w:rsid w:val="006447B7"/>
    <w:rsid w:val="00644ECE"/>
    <w:rsid w:val="00651E6F"/>
    <w:rsid w:val="00653212"/>
    <w:rsid w:val="006601A5"/>
    <w:rsid w:val="00660684"/>
    <w:rsid w:val="00662161"/>
    <w:rsid w:val="0066267E"/>
    <w:rsid w:val="006627F8"/>
    <w:rsid w:val="00663998"/>
    <w:rsid w:val="00665626"/>
    <w:rsid w:val="00670229"/>
    <w:rsid w:val="00671F04"/>
    <w:rsid w:val="0067238A"/>
    <w:rsid w:val="00672E7D"/>
    <w:rsid w:val="00674310"/>
    <w:rsid w:val="006760E9"/>
    <w:rsid w:val="006762E7"/>
    <w:rsid w:val="006768F2"/>
    <w:rsid w:val="006769BE"/>
    <w:rsid w:val="006826AF"/>
    <w:rsid w:val="00682846"/>
    <w:rsid w:val="00682AE5"/>
    <w:rsid w:val="00683765"/>
    <w:rsid w:val="00687104"/>
    <w:rsid w:val="006876EF"/>
    <w:rsid w:val="006877F1"/>
    <w:rsid w:val="00687DA1"/>
    <w:rsid w:val="0069177C"/>
    <w:rsid w:val="006952F9"/>
    <w:rsid w:val="006A0F48"/>
    <w:rsid w:val="006A25FA"/>
    <w:rsid w:val="006A32CD"/>
    <w:rsid w:val="006B2C34"/>
    <w:rsid w:val="006B5AED"/>
    <w:rsid w:val="006B6658"/>
    <w:rsid w:val="006C1C03"/>
    <w:rsid w:val="006C4161"/>
    <w:rsid w:val="006C5400"/>
    <w:rsid w:val="006C631E"/>
    <w:rsid w:val="006D108D"/>
    <w:rsid w:val="006D654B"/>
    <w:rsid w:val="006E0736"/>
    <w:rsid w:val="006E0B4A"/>
    <w:rsid w:val="006E43C7"/>
    <w:rsid w:val="006E58C0"/>
    <w:rsid w:val="006F1A15"/>
    <w:rsid w:val="006F2CEE"/>
    <w:rsid w:val="006F506D"/>
    <w:rsid w:val="006F7387"/>
    <w:rsid w:val="00700D2E"/>
    <w:rsid w:val="00702158"/>
    <w:rsid w:val="00712302"/>
    <w:rsid w:val="0071517C"/>
    <w:rsid w:val="00717B51"/>
    <w:rsid w:val="00717D42"/>
    <w:rsid w:val="0072372D"/>
    <w:rsid w:val="00723B69"/>
    <w:rsid w:val="007241FD"/>
    <w:rsid w:val="007266B0"/>
    <w:rsid w:val="00727BBA"/>
    <w:rsid w:val="00731967"/>
    <w:rsid w:val="00741C87"/>
    <w:rsid w:val="00741CA1"/>
    <w:rsid w:val="007420F7"/>
    <w:rsid w:val="0074243C"/>
    <w:rsid w:val="00742725"/>
    <w:rsid w:val="00742CA3"/>
    <w:rsid w:val="00742F0B"/>
    <w:rsid w:val="00743CB3"/>
    <w:rsid w:val="00744BF9"/>
    <w:rsid w:val="007458AE"/>
    <w:rsid w:val="0074752B"/>
    <w:rsid w:val="00750422"/>
    <w:rsid w:val="0076017C"/>
    <w:rsid w:val="00760A92"/>
    <w:rsid w:val="00760A9F"/>
    <w:rsid w:val="00760F89"/>
    <w:rsid w:val="007618BB"/>
    <w:rsid w:val="007643DF"/>
    <w:rsid w:val="00766075"/>
    <w:rsid w:val="0076657B"/>
    <w:rsid w:val="00766E7D"/>
    <w:rsid w:val="007707F1"/>
    <w:rsid w:val="00770980"/>
    <w:rsid w:val="00771393"/>
    <w:rsid w:val="0077404F"/>
    <w:rsid w:val="00776A44"/>
    <w:rsid w:val="0077762C"/>
    <w:rsid w:val="00777ECE"/>
    <w:rsid w:val="0078297A"/>
    <w:rsid w:val="00782C59"/>
    <w:rsid w:val="00785ED0"/>
    <w:rsid w:val="007874A2"/>
    <w:rsid w:val="00787660"/>
    <w:rsid w:val="007916EA"/>
    <w:rsid w:val="00791C34"/>
    <w:rsid w:val="007A1002"/>
    <w:rsid w:val="007A3107"/>
    <w:rsid w:val="007A3B64"/>
    <w:rsid w:val="007A44F4"/>
    <w:rsid w:val="007A519C"/>
    <w:rsid w:val="007A60EA"/>
    <w:rsid w:val="007B1AC9"/>
    <w:rsid w:val="007C27C0"/>
    <w:rsid w:val="007C56FC"/>
    <w:rsid w:val="007C582C"/>
    <w:rsid w:val="007D0181"/>
    <w:rsid w:val="007D081F"/>
    <w:rsid w:val="007D08CA"/>
    <w:rsid w:val="007D2850"/>
    <w:rsid w:val="007E3F68"/>
    <w:rsid w:val="007E432A"/>
    <w:rsid w:val="007F73EC"/>
    <w:rsid w:val="007F74DA"/>
    <w:rsid w:val="0080011A"/>
    <w:rsid w:val="00800563"/>
    <w:rsid w:val="00801DA7"/>
    <w:rsid w:val="00805918"/>
    <w:rsid w:val="008121FE"/>
    <w:rsid w:val="008148E0"/>
    <w:rsid w:val="00815F14"/>
    <w:rsid w:val="00816F2F"/>
    <w:rsid w:val="00824CFF"/>
    <w:rsid w:val="0082656B"/>
    <w:rsid w:val="008265CF"/>
    <w:rsid w:val="00827BB8"/>
    <w:rsid w:val="008350E4"/>
    <w:rsid w:val="00840C2F"/>
    <w:rsid w:val="0084262E"/>
    <w:rsid w:val="00842C83"/>
    <w:rsid w:val="00843510"/>
    <w:rsid w:val="00851E13"/>
    <w:rsid w:val="00854A1E"/>
    <w:rsid w:val="00854E93"/>
    <w:rsid w:val="00855B55"/>
    <w:rsid w:val="008563DF"/>
    <w:rsid w:val="00861969"/>
    <w:rsid w:val="00861996"/>
    <w:rsid w:val="00865B7C"/>
    <w:rsid w:val="00870977"/>
    <w:rsid w:val="0087220F"/>
    <w:rsid w:val="008724A9"/>
    <w:rsid w:val="00874A3E"/>
    <w:rsid w:val="00875362"/>
    <w:rsid w:val="00875B6C"/>
    <w:rsid w:val="00876FD1"/>
    <w:rsid w:val="00882CDB"/>
    <w:rsid w:val="0088482E"/>
    <w:rsid w:val="0088536E"/>
    <w:rsid w:val="00887248"/>
    <w:rsid w:val="00890902"/>
    <w:rsid w:val="008949BE"/>
    <w:rsid w:val="00895CBA"/>
    <w:rsid w:val="00897B19"/>
    <w:rsid w:val="008A09A1"/>
    <w:rsid w:val="008A1C5C"/>
    <w:rsid w:val="008A4B7F"/>
    <w:rsid w:val="008A7FB8"/>
    <w:rsid w:val="008B16AB"/>
    <w:rsid w:val="008B369D"/>
    <w:rsid w:val="008B5444"/>
    <w:rsid w:val="008C1CCE"/>
    <w:rsid w:val="008C2970"/>
    <w:rsid w:val="008C49C1"/>
    <w:rsid w:val="008D0FA1"/>
    <w:rsid w:val="008D1DB4"/>
    <w:rsid w:val="008D4729"/>
    <w:rsid w:val="008E181D"/>
    <w:rsid w:val="008E2048"/>
    <w:rsid w:val="008E2339"/>
    <w:rsid w:val="008F0837"/>
    <w:rsid w:val="008F184D"/>
    <w:rsid w:val="008F43FF"/>
    <w:rsid w:val="008F652A"/>
    <w:rsid w:val="008F7A3D"/>
    <w:rsid w:val="008F7C2E"/>
    <w:rsid w:val="008F7F73"/>
    <w:rsid w:val="009007A4"/>
    <w:rsid w:val="00906338"/>
    <w:rsid w:val="009067AA"/>
    <w:rsid w:val="00907F32"/>
    <w:rsid w:val="009118FD"/>
    <w:rsid w:val="00912060"/>
    <w:rsid w:val="009129F7"/>
    <w:rsid w:val="00914539"/>
    <w:rsid w:val="0092014D"/>
    <w:rsid w:val="009216D3"/>
    <w:rsid w:val="00922F2B"/>
    <w:rsid w:val="00927641"/>
    <w:rsid w:val="00927C4D"/>
    <w:rsid w:val="009335AE"/>
    <w:rsid w:val="00933785"/>
    <w:rsid w:val="00934850"/>
    <w:rsid w:val="00935F0F"/>
    <w:rsid w:val="0094491A"/>
    <w:rsid w:val="00950CE7"/>
    <w:rsid w:val="00955789"/>
    <w:rsid w:val="00956FF4"/>
    <w:rsid w:val="009618CD"/>
    <w:rsid w:val="0096225F"/>
    <w:rsid w:val="00962883"/>
    <w:rsid w:val="00965793"/>
    <w:rsid w:val="00965DA4"/>
    <w:rsid w:val="00970497"/>
    <w:rsid w:val="009731CE"/>
    <w:rsid w:val="009735A9"/>
    <w:rsid w:val="009756E1"/>
    <w:rsid w:val="00976EF1"/>
    <w:rsid w:val="00977EA5"/>
    <w:rsid w:val="00980EE6"/>
    <w:rsid w:val="00982FEC"/>
    <w:rsid w:val="00983DE2"/>
    <w:rsid w:val="009844A2"/>
    <w:rsid w:val="009846E7"/>
    <w:rsid w:val="00984958"/>
    <w:rsid w:val="009864E1"/>
    <w:rsid w:val="0098768A"/>
    <w:rsid w:val="00987D4D"/>
    <w:rsid w:val="009909FE"/>
    <w:rsid w:val="00995ACA"/>
    <w:rsid w:val="009A0D70"/>
    <w:rsid w:val="009A22CD"/>
    <w:rsid w:val="009A664F"/>
    <w:rsid w:val="009B0263"/>
    <w:rsid w:val="009B0BF3"/>
    <w:rsid w:val="009C3C2F"/>
    <w:rsid w:val="009C76C6"/>
    <w:rsid w:val="009D192D"/>
    <w:rsid w:val="009E2FE7"/>
    <w:rsid w:val="009E394F"/>
    <w:rsid w:val="009E76FB"/>
    <w:rsid w:val="009E7A63"/>
    <w:rsid w:val="009F04E7"/>
    <w:rsid w:val="009F1438"/>
    <w:rsid w:val="009F26D0"/>
    <w:rsid w:val="009F406B"/>
    <w:rsid w:val="009F7EAD"/>
    <w:rsid w:val="00A041F4"/>
    <w:rsid w:val="00A07EB9"/>
    <w:rsid w:val="00A11276"/>
    <w:rsid w:val="00A13006"/>
    <w:rsid w:val="00A153E5"/>
    <w:rsid w:val="00A162A2"/>
    <w:rsid w:val="00A16417"/>
    <w:rsid w:val="00A170DE"/>
    <w:rsid w:val="00A21A17"/>
    <w:rsid w:val="00A22586"/>
    <w:rsid w:val="00A251E6"/>
    <w:rsid w:val="00A267A9"/>
    <w:rsid w:val="00A30524"/>
    <w:rsid w:val="00A32E15"/>
    <w:rsid w:val="00A415E2"/>
    <w:rsid w:val="00A4200E"/>
    <w:rsid w:val="00A42CA7"/>
    <w:rsid w:val="00A43A1F"/>
    <w:rsid w:val="00A4434D"/>
    <w:rsid w:val="00A44DEE"/>
    <w:rsid w:val="00A45982"/>
    <w:rsid w:val="00A460D9"/>
    <w:rsid w:val="00A46330"/>
    <w:rsid w:val="00A47534"/>
    <w:rsid w:val="00A50C8D"/>
    <w:rsid w:val="00A56BFB"/>
    <w:rsid w:val="00A630B7"/>
    <w:rsid w:val="00A6520F"/>
    <w:rsid w:val="00A65A19"/>
    <w:rsid w:val="00A7409E"/>
    <w:rsid w:val="00A74BE4"/>
    <w:rsid w:val="00A75432"/>
    <w:rsid w:val="00A77DFF"/>
    <w:rsid w:val="00A801B7"/>
    <w:rsid w:val="00A80527"/>
    <w:rsid w:val="00A81984"/>
    <w:rsid w:val="00A82961"/>
    <w:rsid w:val="00A837EC"/>
    <w:rsid w:val="00A85663"/>
    <w:rsid w:val="00A85AC2"/>
    <w:rsid w:val="00A8634F"/>
    <w:rsid w:val="00A9076C"/>
    <w:rsid w:val="00A915AC"/>
    <w:rsid w:val="00A919BD"/>
    <w:rsid w:val="00A91A6D"/>
    <w:rsid w:val="00A93CAD"/>
    <w:rsid w:val="00A964C7"/>
    <w:rsid w:val="00A964CA"/>
    <w:rsid w:val="00AA1A32"/>
    <w:rsid w:val="00AA2746"/>
    <w:rsid w:val="00AA3A63"/>
    <w:rsid w:val="00AA588C"/>
    <w:rsid w:val="00AA73AA"/>
    <w:rsid w:val="00AA78FF"/>
    <w:rsid w:val="00AB259C"/>
    <w:rsid w:val="00AB295A"/>
    <w:rsid w:val="00AB3576"/>
    <w:rsid w:val="00AB6D62"/>
    <w:rsid w:val="00AB77DE"/>
    <w:rsid w:val="00AC2DCE"/>
    <w:rsid w:val="00AC4125"/>
    <w:rsid w:val="00AC4AC7"/>
    <w:rsid w:val="00AC4ED9"/>
    <w:rsid w:val="00AC73FF"/>
    <w:rsid w:val="00AD02CB"/>
    <w:rsid w:val="00AD12A9"/>
    <w:rsid w:val="00AD24F4"/>
    <w:rsid w:val="00AD31C8"/>
    <w:rsid w:val="00AD43BF"/>
    <w:rsid w:val="00AD50B6"/>
    <w:rsid w:val="00AD64AC"/>
    <w:rsid w:val="00AD6C3A"/>
    <w:rsid w:val="00AD7E93"/>
    <w:rsid w:val="00AE301B"/>
    <w:rsid w:val="00AE5847"/>
    <w:rsid w:val="00AE76FC"/>
    <w:rsid w:val="00AF4DD3"/>
    <w:rsid w:val="00AF6864"/>
    <w:rsid w:val="00B05A7D"/>
    <w:rsid w:val="00B13E47"/>
    <w:rsid w:val="00B20CFF"/>
    <w:rsid w:val="00B21A42"/>
    <w:rsid w:val="00B22D26"/>
    <w:rsid w:val="00B303CC"/>
    <w:rsid w:val="00B40457"/>
    <w:rsid w:val="00B442BC"/>
    <w:rsid w:val="00B4475D"/>
    <w:rsid w:val="00B4619D"/>
    <w:rsid w:val="00B50C19"/>
    <w:rsid w:val="00B55B88"/>
    <w:rsid w:val="00B563C3"/>
    <w:rsid w:val="00B609FF"/>
    <w:rsid w:val="00B60BE6"/>
    <w:rsid w:val="00B6142B"/>
    <w:rsid w:val="00B63F0E"/>
    <w:rsid w:val="00B66836"/>
    <w:rsid w:val="00B669C9"/>
    <w:rsid w:val="00B72256"/>
    <w:rsid w:val="00B73564"/>
    <w:rsid w:val="00B75965"/>
    <w:rsid w:val="00B828AF"/>
    <w:rsid w:val="00B861EA"/>
    <w:rsid w:val="00B90CE9"/>
    <w:rsid w:val="00BA0BFE"/>
    <w:rsid w:val="00BA24F0"/>
    <w:rsid w:val="00BA4011"/>
    <w:rsid w:val="00BA4CAF"/>
    <w:rsid w:val="00BA589E"/>
    <w:rsid w:val="00BA644B"/>
    <w:rsid w:val="00BB0A2E"/>
    <w:rsid w:val="00BB0EE1"/>
    <w:rsid w:val="00BB0F8B"/>
    <w:rsid w:val="00BB2497"/>
    <w:rsid w:val="00BB49FA"/>
    <w:rsid w:val="00BB4BB8"/>
    <w:rsid w:val="00BB785C"/>
    <w:rsid w:val="00BC0518"/>
    <w:rsid w:val="00BC0C61"/>
    <w:rsid w:val="00BC2EF0"/>
    <w:rsid w:val="00BC3B5B"/>
    <w:rsid w:val="00BD3094"/>
    <w:rsid w:val="00BD491E"/>
    <w:rsid w:val="00BE108D"/>
    <w:rsid w:val="00BE50EF"/>
    <w:rsid w:val="00BF07A2"/>
    <w:rsid w:val="00BF14CB"/>
    <w:rsid w:val="00BF2382"/>
    <w:rsid w:val="00BF305D"/>
    <w:rsid w:val="00BF3945"/>
    <w:rsid w:val="00BF7184"/>
    <w:rsid w:val="00BF7554"/>
    <w:rsid w:val="00C00431"/>
    <w:rsid w:val="00C00CDA"/>
    <w:rsid w:val="00C066AE"/>
    <w:rsid w:val="00C066C0"/>
    <w:rsid w:val="00C117E3"/>
    <w:rsid w:val="00C12ADD"/>
    <w:rsid w:val="00C16C56"/>
    <w:rsid w:val="00C203EB"/>
    <w:rsid w:val="00C23BC0"/>
    <w:rsid w:val="00C23FA8"/>
    <w:rsid w:val="00C26FF7"/>
    <w:rsid w:val="00C319AC"/>
    <w:rsid w:val="00C319EF"/>
    <w:rsid w:val="00C34B19"/>
    <w:rsid w:val="00C35630"/>
    <w:rsid w:val="00C3729F"/>
    <w:rsid w:val="00C40886"/>
    <w:rsid w:val="00C42B66"/>
    <w:rsid w:val="00C44C03"/>
    <w:rsid w:val="00C5006D"/>
    <w:rsid w:val="00C55881"/>
    <w:rsid w:val="00C55AE2"/>
    <w:rsid w:val="00C572AE"/>
    <w:rsid w:val="00C61BFB"/>
    <w:rsid w:val="00C63262"/>
    <w:rsid w:val="00C63EF2"/>
    <w:rsid w:val="00C715D5"/>
    <w:rsid w:val="00C71EAF"/>
    <w:rsid w:val="00C72650"/>
    <w:rsid w:val="00C72D81"/>
    <w:rsid w:val="00C7654B"/>
    <w:rsid w:val="00C82F50"/>
    <w:rsid w:val="00C83ABF"/>
    <w:rsid w:val="00C85246"/>
    <w:rsid w:val="00C855B1"/>
    <w:rsid w:val="00C975E5"/>
    <w:rsid w:val="00CA002C"/>
    <w:rsid w:val="00CA5158"/>
    <w:rsid w:val="00CA6A84"/>
    <w:rsid w:val="00CB4AAB"/>
    <w:rsid w:val="00CB5F51"/>
    <w:rsid w:val="00CC0663"/>
    <w:rsid w:val="00CC0981"/>
    <w:rsid w:val="00CC3B6A"/>
    <w:rsid w:val="00CC4056"/>
    <w:rsid w:val="00CC51F3"/>
    <w:rsid w:val="00CD1677"/>
    <w:rsid w:val="00CD5D36"/>
    <w:rsid w:val="00CD6F84"/>
    <w:rsid w:val="00CD7286"/>
    <w:rsid w:val="00CE0479"/>
    <w:rsid w:val="00CE4AB2"/>
    <w:rsid w:val="00CF4796"/>
    <w:rsid w:val="00CF48C9"/>
    <w:rsid w:val="00CF61E7"/>
    <w:rsid w:val="00CF61F9"/>
    <w:rsid w:val="00CF6CD7"/>
    <w:rsid w:val="00CF6F28"/>
    <w:rsid w:val="00D010A9"/>
    <w:rsid w:val="00D03CF2"/>
    <w:rsid w:val="00D04122"/>
    <w:rsid w:val="00D04125"/>
    <w:rsid w:val="00D127C1"/>
    <w:rsid w:val="00D138F8"/>
    <w:rsid w:val="00D15EC4"/>
    <w:rsid w:val="00D216F7"/>
    <w:rsid w:val="00D22B05"/>
    <w:rsid w:val="00D2479E"/>
    <w:rsid w:val="00D24D7B"/>
    <w:rsid w:val="00D26E10"/>
    <w:rsid w:val="00D27DF2"/>
    <w:rsid w:val="00D318B7"/>
    <w:rsid w:val="00D32751"/>
    <w:rsid w:val="00D33079"/>
    <w:rsid w:val="00D35F20"/>
    <w:rsid w:val="00D36CD7"/>
    <w:rsid w:val="00D36FC9"/>
    <w:rsid w:val="00D4117F"/>
    <w:rsid w:val="00D4628F"/>
    <w:rsid w:val="00D5153C"/>
    <w:rsid w:val="00D51FCE"/>
    <w:rsid w:val="00D53361"/>
    <w:rsid w:val="00D53B1A"/>
    <w:rsid w:val="00D55671"/>
    <w:rsid w:val="00D557B2"/>
    <w:rsid w:val="00D563BF"/>
    <w:rsid w:val="00D56C78"/>
    <w:rsid w:val="00D62584"/>
    <w:rsid w:val="00D62B27"/>
    <w:rsid w:val="00D6324D"/>
    <w:rsid w:val="00D65268"/>
    <w:rsid w:val="00D716DA"/>
    <w:rsid w:val="00D747A6"/>
    <w:rsid w:val="00D80F1B"/>
    <w:rsid w:val="00D832EB"/>
    <w:rsid w:val="00D83518"/>
    <w:rsid w:val="00D85002"/>
    <w:rsid w:val="00D8537B"/>
    <w:rsid w:val="00D877F3"/>
    <w:rsid w:val="00D9122C"/>
    <w:rsid w:val="00D91686"/>
    <w:rsid w:val="00D9400F"/>
    <w:rsid w:val="00D96CAC"/>
    <w:rsid w:val="00D97EC9"/>
    <w:rsid w:val="00DA33FD"/>
    <w:rsid w:val="00DA5789"/>
    <w:rsid w:val="00DB029F"/>
    <w:rsid w:val="00DB0AE9"/>
    <w:rsid w:val="00DB0F41"/>
    <w:rsid w:val="00DB1104"/>
    <w:rsid w:val="00DB3189"/>
    <w:rsid w:val="00DB3854"/>
    <w:rsid w:val="00DB64CD"/>
    <w:rsid w:val="00DB68EA"/>
    <w:rsid w:val="00DC0546"/>
    <w:rsid w:val="00DC346E"/>
    <w:rsid w:val="00DC3DC9"/>
    <w:rsid w:val="00DC6D6D"/>
    <w:rsid w:val="00DD05D6"/>
    <w:rsid w:val="00DD12A3"/>
    <w:rsid w:val="00DD5EB6"/>
    <w:rsid w:val="00DE680F"/>
    <w:rsid w:val="00DE799C"/>
    <w:rsid w:val="00DF1F7E"/>
    <w:rsid w:val="00DF1FA9"/>
    <w:rsid w:val="00DF5F32"/>
    <w:rsid w:val="00E0091A"/>
    <w:rsid w:val="00E01818"/>
    <w:rsid w:val="00E02D15"/>
    <w:rsid w:val="00E11204"/>
    <w:rsid w:val="00E1755A"/>
    <w:rsid w:val="00E20332"/>
    <w:rsid w:val="00E30085"/>
    <w:rsid w:val="00E303E7"/>
    <w:rsid w:val="00E31185"/>
    <w:rsid w:val="00E31C26"/>
    <w:rsid w:val="00E33009"/>
    <w:rsid w:val="00E35628"/>
    <w:rsid w:val="00E40A2E"/>
    <w:rsid w:val="00E42D90"/>
    <w:rsid w:val="00E43F9B"/>
    <w:rsid w:val="00E50093"/>
    <w:rsid w:val="00E51C74"/>
    <w:rsid w:val="00E52366"/>
    <w:rsid w:val="00E52517"/>
    <w:rsid w:val="00E52F14"/>
    <w:rsid w:val="00E56113"/>
    <w:rsid w:val="00E56319"/>
    <w:rsid w:val="00E572C9"/>
    <w:rsid w:val="00E57372"/>
    <w:rsid w:val="00E60BF8"/>
    <w:rsid w:val="00E61CD7"/>
    <w:rsid w:val="00E62321"/>
    <w:rsid w:val="00E636B5"/>
    <w:rsid w:val="00E6633C"/>
    <w:rsid w:val="00E70E8D"/>
    <w:rsid w:val="00E71286"/>
    <w:rsid w:val="00E725DA"/>
    <w:rsid w:val="00E72719"/>
    <w:rsid w:val="00E727A2"/>
    <w:rsid w:val="00E73B1A"/>
    <w:rsid w:val="00E76263"/>
    <w:rsid w:val="00E8263E"/>
    <w:rsid w:val="00E83003"/>
    <w:rsid w:val="00E8529B"/>
    <w:rsid w:val="00E961F4"/>
    <w:rsid w:val="00EA11DB"/>
    <w:rsid w:val="00EA17EB"/>
    <w:rsid w:val="00EA249F"/>
    <w:rsid w:val="00EB19AA"/>
    <w:rsid w:val="00EC268C"/>
    <w:rsid w:val="00EC4A98"/>
    <w:rsid w:val="00EC53BE"/>
    <w:rsid w:val="00EC60F1"/>
    <w:rsid w:val="00EC6B91"/>
    <w:rsid w:val="00ED1223"/>
    <w:rsid w:val="00ED4A2A"/>
    <w:rsid w:val="00EE1096"/>
    <w:rsid w:val="00EE2278"/>
    <w:rsid w:val="00EE407D"/>
    <w:rsid w:val="00EF23FC"/>
    <w:rsid w:val="00EF536D"/>
    <w:rsid w:val="00EF64BE"/>
    <w:rsid w:val="00F00469"/>
    <w:rsid w:val="00F04692"/>
    <w:rsid w:val="00F05E39"/>
    <w:rsid w:val="00F07CD0"/>
    <w:rsid w:val="00F1169F"/>
    <w:rsid w:val="00F122F9"/>
    <w:rsid w:val="00F13061"/>
    <w:rsid w:val="00F1355F"/>
    <w:rsid w:val="00F1498A"/>
    <w:rsid w:val="00F21E41"/>
    <w:rsid w:val="00F236F4"/>
    <w:rsid w:val="00F2457F"/>
    <w:rsid w:val="00F25417"/>
    <w:rsid w:val="00F315C4"/>
    <w:rsid w:val="00F33BAB"/>
    <w:rsid w:val="00F34AF3"/>
    <w:rsid w:val="00F3654E"/>
    <w:rsid w:val="00F37BCF"/>
    <w:rsid w:val="00F424CC"/>
    <w:rsid w:val="00F5041C"/>
    <w:rsid w:val="00F5054D"/>
    <w:rsid w:val="00F506FE"/>
    <w:rsid w:val="00F5156C"/>
    <w:rsid w:val="00F55468"/>
    <w:rsid w:val="00F55A53"/>
    <w:rsid w:val="00F622C9"/>
    <w:rsid w:val="00F62D9A"/>
    <w:rsid w:val="00F66214"/>
    <w:rsid w:val="00F6742E"/>
    <w:rsid w:val="00F67711"/>
    <w:rsid w:val="00F70677"/>
    <w:rsid w:val="00F72515"/>
    <w:rsid w:val="00F7266B"/>
    <w:rsid w:val="00F73385"/>
    <w:rsid w:val="00F73670"/>
    <w:rsid w:val="00F763D2"/>
    <w:rsid w:val="00F772BF"/>
    <w:rsid w:val="00F80A7A"/>
    <w:rsid w:val="00F8131A"/>
    <w:rsid w:val="00F8213A"/>
    <w:rsid w:val="00F82469"/>
    <w:rsid w:val="00F8482A"/>
    <w:rsid w:val="00F93018"/>
    <w:rsid w:val="00FA0A11"/>
    <w:rsid w:val="00FA0C4F"/>
    <w:rsid w:val="00FA23D4"/>
    <w:rsid w:val="00FA27BC"/>
    <w:rsid w:val="00FA2BD1"/>
    <w:rsid w:val="00FA412C"/>
    <w:rsid w:val="00FA4857"/>
    <w:rsid w:val="00FA4C8A"/>
    <w:rsid w:val="00FB0DBE"/>
    <w:rsid w:val="00FB2B94"/>
    <w:rsid w:val="00FB512D"/>
    <w:rsid w:val="00FC1019"/>
    <w:rsid w:val="00FC1363"/>
    <w:rsid w:val="00FC2A3F"/>
    <w:rsid w:val="00FC63E0"/>
    <w:rsid w:val="00FD3ABC"/>
    <w:rsid w:val="00FD58D0"/>
    <w:rsid w:val="00FD6516"/>
    <w:rsid w:val="00FE1F8C"/>
    <w:rsid w:val="00FE2FBE"/>
    <w:rsid w:val="00FE7DE5"/>
    <w:rsid w:val="00FF098F"/>
    <w:rsid w:val="00FF4929"/>
    <w:rsid w:val="00FF54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33C5E061-4086-4D15-8023-BCCBDF7A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96A"/>
    <w:pPr>
      <w:spacing w:after="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A32CD"/>
    <w:rPr>
      <w:rFonts w:cs="Times New Roman"/>
    </w:rPr>
  </w:style>
  <w:style w:type="paragraph" w:customStyle="1" w:styleId="labojumupamats">
    <w:name w:val="labojumu_pamats"/>
    <w:basedOn w:val="Normal"/>
    <w:uiPriority w:val="99"/>
    <w:rsid w:val="006A32CD"/>
    <w:pPr>
      <w:spacing w:before="100" w:beforeAutospacing="1" w:after="100" w:afterAutospacing="1"/>
      <w:jc w:val="left"/>
    </w:pPr>
    <w:rPr>
      <w:rFonts w:ascii="Times New Roman" w:eastAsia="Times New Roman" w:hAnsi="Times New Roman"/>
      <w:sz w:val="24"/>
      <w:szCs w:val="24"/>
      <w:lang w:eastAsia="lv-LV"/>
    </w:rPr>
  </w:style>
  <w:style w:type="character" w:styleId="Hyperlink">
    <w:name w:val="Hyperlink"/>
    <w:basedOn w:val="DefaultParagraphFont"/>
    <w:uiPriority w:val="99"/>
    <w:rsid w:val="006A32CD"/>
    <w:rPr>
      <w:rFonts w:cs="Times New Roman"/>
      <w:color w:val="0000FF"/>
      <w:u w:val="single"/>
    </w:rPr>
  </w:style>
  <w:style w:type="paragraph" w:customStyle="1" w:styleId="tvhtml">
    <w:name w:val="tv_html"/>
    <w:basedOn w:val="Normal"/>
    <w:rsid w:val="006A32CD"/>
    <w:pPr>
      <w:spacing w:before="100" w:beforeAutospacing="1" w:after="100" w:afterAutospacing="1"/>
      <w:jc w:val="left"/>
    </w:pPr>
    <w:rPr>
      <w:rFonts w:ascii="Times New Roman" w:eastAsia="Times New Roman" w:hAnsi="Times New Roman"/>
      <w:sz w:val="24"/>
      <w:szCs w:val="24"/>
      <w:lang w:eastAsia="lv-LV"/>
    </w:rPr>
  </w:style>
  <w:style w:type="paragraph" w:customStyle="1" w:styleId="naiskr">
    <w:name w:val="naiskr"/>
    <w:basedOn w:val="Normal"/>
    <w:uiPriority w:val="99"/>
    <w:rsid w:val="00E57372"/>
    <w:pPr>
      <w:spacing w:before="75" w:after="75"/>
      <w:jc w:val="left"/>
    </w:pPr>
    <w:rPr>
      <w:rFonts w:ascii="Times New Roman" w:eastAsia="Times New Roman" w:hAnsi="Times New Roman"/>
      <w:sz w:val="24"/>
      <w:szCs w:val="24"/>
      <w:lang w:eastAsia="lv-LV"/>
    </w:rPr>
  </w:style>
  <w:style w:type="character" w:customStyle="1" w:styleId="apple-style-span">
    <w:name w:val="apple-style-span"/>
    <w:uiPriority w:val="99"/>
    <w:rsid w:val="00E57372"/>
  </w:style>
  <w:style w:type="paragraph" w:styleId="BodyTextIndent2">
    <w:name w:val="Body Text Indent 2"/>
    <w:basedOn w:val="Normal"/>
    <w:link w:val="BodyTextIndent2Char"/>
    <w:uiPriority w:val="99"/>
    <w:rsid w:val="00E57372"/>
    <w:pPr>
      <w:spacing w:line="480" w:lineRule="auto"/>
      <w:ind w:left="283"/>
      <w:jc w:val="left"/>
    </w:pPr>
    <w:rPr>
      <w:rFonts w:ascii="Times New Roman" w:eastAsia="Times New Roman" w:hAnsi="Times New Roman"/>
      <w:sz w:val="24"/>
      <w:szCs w:val="24"/>
      <w:lang w:eastAsia="lv-LV"/>
    </w:rPr>
  </w:style>
  <w:style w:type="character" w:customStyle="1" w:styleId="BodyTextIndent2Char">
    <w:name w:val="Body Text Indent 2 Char"/>
    <w:basedOn w:val="DefaultParagraphFont"/>
    <w:link w:val="BodyTextIndent2"/>
    <w:uiPriority w:val="99"/>
    <w:locked/>
    <w:rsid w:val="00E57372"/>
    <w:rPr>
      <w:rFonts w:ascii="Times New Roman" w:hAnsi="Times New Roman" w:cs="Times New Roman"/>
      <w:sz w:val="24"/>
      <w:szCs w:val="24"/>
      <w:lang w:eastAsia="lv-LV"/>
    </w:rPr>
  </w:style>
  <w:style w:type="paragraph" w:customStyle="1" w:styleId="naisf">
    <w:name w:val="naisf"/>
    <w:basedOn w:val="Normal"/>
    <w:uiPriority w:val="99"/>
    <w:rsid w:val="00E57372"/>
    <w:pPr>
      <w:spacing w:before="75" w:after="75"/>
      <w:ind w:firstLine="375"/>
    </w:pPr>
    <w:rPr>
      <w:rFonts w:ascii="Times New Roman" w:eastAsia="Times New Roman" w:hAnsi="Times New Roman"/>
      <w:sz w:val="24"/>
      <w:szCs w:val="24"/>
      <w:lang w:eastAsia="lv-LV"/>
    </w:rPr>
  </w:style>
  <w:style w:type="paragraph" w:styleId="Header">
    <w:name w:val="header"/>
    <w:basedOn w:val="Normal"/>
    <w:link w:val="Head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locked/>
    <w:rsid w:val="00E57372"/>
    <w:rPr>
      <w:rFonts w:ascii="Times New Roman" w:hAnsi="Times New Roman" w:cs="Times New Roman"/>
      <w:sz w:val="24"/>
      <w:szCs w:val="24"/>
      <w:lang w:eastAsia="lv-LV"/>
    </w:rPr>
  </w:style>
  <w:style w:type="character" w:styleId="PageNumber">
    <w:name w:val="page number"/>
    <w:basedOn w:val="DefaultParagraphFont"/>
    <w:uiPriority w:val="99"/>
    <w:rsid w:val="00E57372"/>
    <w:rPr>
      <w:rFonts w:cs="Times New Roman"/>
    </w:rPr>
  </w:style>
  <w:style w:type="paragraph" w:customStyle="1" w:styleId="naisnod">
    <w:name w:val="naisnod"/>
    <w:basedOn w:val="Normal"/>
    <w:uiPriority w:val="99"/>
    <w:rsid w:val="00E57372"/>
    <w:pPr>
      <w:spacing w:before="150" w:after="150"/>
      <w:jc w:val="center"/>
    </w:pPr>
    <w:rPr>
      <w:rFonts w:ascii="Times New Roman" w:eastAsia="Times New Roman" w:hAnsi="Times New Roman"/>
      <w:b/>
      <w:bCs/>
      <w:sz w:val="24"/>
      <w:szCs w:val="24"/>
      <w:lang w:eastAsia="lv-LV"/>
    </w:rPr>
  </w:style>
  <w:style w:type="paragraph" w:customStyle="1" w:styleId="naislab">
    <w:name w:val="naislab"/>
    <w:basedOn w:val="Normal"/>
    <w:uiPriority w:val="99"/>
    <w:rsid w:val="00E57372"/>
    <w:pPr>
      <w:spacing w:before="75" w:after="75"/>
      <w:jc w:val="right"/>
    </w:pPr>
    <w:rPr>
      <w:rFonts w:ascii="Times New Roman" w:eastAsia="Times New Roman" w:hAnsi="Times New Roman"/>
      <w:sz w:val="24"/>
      <w:szCs w:val="24"/>
      <w:lang w:eastAsia="lv-LV"/>
    </w:rPr>
  </w:style>
  <w:style w:type="paragraph" w:customStyle="1" w:styleId="naisc">
    <w:name w:val="naisc"/>
    <w:basedOn w:val="Normal"/>
    <w:uiPriority w:val="99"/>
    <w:rsid w:val="00E57372"/>
    <w:pPr>
      <w:spacing w:before="75" w:after="75"/>
      <w:jc w:val="center"/>
    </w:pPr>
    <w:rPr>
      <w:rFonts w:ascii="Times New Roman" w:eastAsia="Times New Roman" w:hAnsi="Times New Roman"/>
      <w:sz w:val="24"/>
      <w:szCs w:val="24"/>
      <w:lang w:eastAsia="lv-LV"/>
    </w:rPr>
  </w:style>
  <w:style w:type="character" w:customStyle="1" w:styleId="th1">
    <w:name w:val="th1"/>
    <w:basedOn w:val="DefaultParagraphFont"/>
    <w:uiPriority w:val="99"/>
    <w:rsid w:val="00E57372"/>
    <w:rPr>
      <w:rFonts w:cs="Times New Roman"/>
      <w:b/>
      <w:bCs/>
      <w:color w:val="333333"/>
    </w:rPr>
  </w:style>
  <w:style w:type="character" w:styleId="CommentReference">
    <w:name w:val="annotation reference"/>
    <w:basedOn w:val="DefaultParagraphFont"/>
    <w:uiPriority w:val="99"/>
    <w:semiHidden/>
    <w:rsid w:val="00E57372"/>
    <w:rPr>
      <w:rFonts w:cs="Times New Roman"/>
      <w:sz w:val="16"/>
      <w:szCs w:val="16"/>
    </w:rPr>
  </w:style>
  <w:style w:type="paragraph" w:styleId="CommentText">
    <w:name w:val="annotation text"/>
    <w:basedOn w:val="Normal"/>
    <w:link w:val="CommentTextChar"/>
    <w:uiPriority w:val="99"/>
    <w:semiHidden/>
    <w:rsid w:val="00E57372"/>
    <w:pPr>
      <w:spacing w:after="0"/>
      <w:jc w:val="left"/>
    </w:pPr>
    <w:rPr>
      <w:rFonts w:ascii="Times New Roman" w:eastAsia="Times New Roman" w:hAnsi="Times New Roman"/>
      <w:sz w:val="20"/>
      <w:szCs w:val="20"/>
      <w:lang w:eastAsia="lv-LV"/>
    </w:rPr>
  </w:style>
  <w:style w:type="character" w:customStyle="1" w:styleId="CommentTextChar">
    <w:name w:val="Comment Text Char"/>
    <w:basedOn w:val="DefaultParagraphFont"/>
    <w:link w:val="CommentText"/>
    <w:uiPriority w:val="99"/>
    <w:semiHidden/>
    <w:locked/>
    <w:rsid w:val="00E57372"/>
    <w:rPr>
      <w:rFonts w:ascii="Times New Roman" w:hAnsi="Times New Roman" w:cs="Times New Roman"/>
      <w:sz w:val="20"/>
      <w:szCs w:val="20"/>
      <w:lang w:eastAsia="lv-LV"/>
    </w:rPr>
  </w:style>
  <w:style w:type="paragraph" w:styleId="BalloonText">
    <w:name w:val="Balloon Text"/>
    <w:basedOn w:val="Normal"/>
    <w:link w:val="BalloonTextChar"/>
    <w:uiPriority w:val="99"/>
    <w:semiHidden/>
    <w:rsid w:val="00E57372"/>
    <w:pPr>
      <w:spacing w:after="0"/>
      <w:jc w:val="left"/>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locked/>
    <w:rsid w:val="00E57372"/>
    <w:rPr>
      <w:rFonts w:ascii="Tahoma" w:hAnsi="Tahoma" w:cs="Tahoma"/>
      <w:sz w:val="16"/>
      <w:szCs w:val="16"/>
      <w:lang w:eastAsia="lv-LV"/>
    </w:rPr>
  </w:style>
  <w:style w:type="table" w:styleId="TableGrid">
    <w:name w:val="Table Grid"/>
    <w:basedOn w:val="TableNormal"/>
    <w:uiPriority w:val="99"/>
    <w:rsid w:val="00E5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qFormat/>
    <w:rsid w:val="00E57372"/>
    <w:pPr>
      <w:spacing w:after="0"/>
      <w:jc w:val="left"/>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locked/>
    <w:rsid w:val="00E57372"/>
    <w:rPr>
      <w:rFonts w:ascii="Times New Roman" w:hAnsi="Times New Roman" w:cs="Times New Roman"/>
      <w:sz w:val="20"/>
      <w:szCs w:val="20"/>
      <w:lang w:eastAsia="lv-LV"/>
    </w:rPr>
  </w:style>
  <w:style w:type="character" w:styleId="FootnoteReference">
    <w:name w:val="footnote reference"/>
    <w:basedOn w:val="DefaultParagraphFont"/>
    <w:link w:val="FootnoteRefernece"/>
    <w:uiPriority w:val="99"/>
    <w:qFormat/>
    <w:rsid w:val="00E57372"/>
    <w:rPr>
      <w:rFonts w:cs="Times New Roman"/>
      <w:vertAlign w:val="superscript"/>
    </w:rPr>
  </w:style>
  <w:style w:type="paragraph" w:styleId="CommentSubject">
    <w:name w:val="annotation subject"/>
    <w:basedOn w:val="CommentText"/>
    <w:next w:val="CommentText"/>
    <w:link w:val="CommentSubjectChar"/>
    <w:uiPriority w:val="99"/>
    <w:semiHidden/>
    <w:rsid w:val="00E57372"/>
    <w:rPr>
      <w:b/>
      <w:bCs/>
    </w:rPr>
  </w:style>
  <w:style w:type="character" w:customStyle="1" w:styleId="CommentSubjectChar">
    <w:name w:val="Comment Subject Char"/>
    <w:basedOn w:val="CommentTextChar"/>
    <w:link w:val="CommentSubject"/>
    <w:uiPriority w:val="99"/>
    <w:semiHidden/>
    <w:locked/>
    <w:rsid w:val="00E57372"/>
    <w:rPr>
      <w:rFonts w:ascii="Times New Roman" w:hAnsi="Times New Roman" w:cs="Times New Roman"/>
      <w:b/>
      <w:bCs/>
      <w:sz w:val="20"/>
      <w:szCs w:val="20"/>
      <w:lang w:eastAsia="lv-LV"/>
    </w:rPr>
  </w:style>
  <w:style w:type="paragraph" w:styleId="Footer">
    <w:name w:val="footer"/>
    <w:basedOn w:val="Normal"/>
    <w:link w:val="Foot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locked/>
    <w:rsid w:val="00E57372"/>
    <w:rPr>
      <w:rFonts w:ascii="Times New Roman" w:hAnsi="Times New Roman" w:cs="Times New Roman"/>
      <w:sz w:val="24"/>
      <w:szCs w:val="24"/>
      <w:lang w:eastAsia="lv-LV"/>
    </w:rPr>
  </w:style>
  <w:style w:type="paragraph" w:styleId="DocumentMap">
    <w:name w:val="Document Map"/>
    <w:basedOn w:val="Normal"/>
    <w:link w:val="DocumentMapChar"/>
    <w:uiPriority w:val="99"/>
    <w:semiHidden/>
    <w:rsid w:val="00E57372"/>
    <w:pPr>
      <w:shd w:val="clear" w:color="auto" w:fill="000080"/>
      <w:spacing w:after="0"/>
      <w:jc w:val="left"/>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locked/>
    <w:rsid w:val="00E57372"/>
    <w:rPr>
      <w:rFonts w:ascii="Tahoma" w:hAnsi="Tahoma" w:cs="Tahoma"/>
      <w:sz w:val="20"/>
      <w:szCs w:val="20"/>
      <w:shd w:val="clear" w:color="auto" w:fill="000080"/>
      <w:lang w:eastAsia="lv-LV"/>
    </w:rPr>
  </w:style>
  <w:style w:type="paragraph" w:styleId="ListParagraph">
    <w:name w:val="List Paragraph"/>
    <w:basedOn w:val="Normal"/>
    <w:uiPriority w:val="34"/>
    <w:qFormat/>
    <w:rsid w:val="00E57372"/>
    <w:pPr>
      <w:ind w:left="720" w:firstLine="720"/>
      <w:contextualSpacing/>
    </w:pPr>
    <w:rPr>
      <w:rFonts w:ascii="Times New Roman" w:eastAsia="Times New Roman" w:hAnsi="Times New Roman"/>
      <w:sz w:val="28"/>
      <w:szCs w:val="20"/>
    </w:rPr>
  </w:style>
  <w:style w:type="paragraph" w:styleId="BodyText2">
    <w:name w:val="Body Text 2"/>
    <w:basedOn w:val="Normal"/>
    <w:link w:val="BodyText2Char"/>
    <w:uiPriority w:val="99"/>
    <w:rsid w:val="00E57372"/>
    <w:pPr>
      <w:widowControl w:val="0"/>
      <w:adjustRightInd w:val="0"/>
      <w:spacing w:after="0" w:line="360" w:lineRule="atLeast"/>
      <w:jc w:val="center"/>
      <w:textAlignment w:val="baseline"/>
    </w:pPr>
    <w:rPr>
      <w:rFonts w:ascii="Times New Roman" w:eastAsia="Times New Roman" w:hAnsi="Times New Roman"/>
      <w:b/>
      <w:bCs/>
      <w:sz w:val="28"/>
      <w:szCs w:val="28"/>
    </w:rPr>
  </w:style>
  <w:style w:type="character" w:customStyle="1" w:styleId="BodyText2Char">
    <w:name w:val="Body Text 2 Char"/>
    <w:basedOn w:val="DefaultParagraphFont"/>
    <w:link w:val="BodyText2"/>
    <w:uiPriority w:val="99"/>
    <w:locked/>
    <w:rsid w:val="00E57372"/>
    <w:rPr>
      <w:rFonts w:ascii="Times New Roman" w:hAnsi="Times New Roman" w:cs="Times New Roman"/>
      <w:b/>
      <w:bCs/>
      <w:sz w:val="28"/>
      <w:szCs w:val="28"/>
    </w:rPr>
  </w:style>
  <w:style w:type="paragraph" w:customStyle="1" w:styleId="Default">
    <w:name w:val="Default"/>
    <w:uiPriority w:val="99"/>
    <w:rsid w:val="00E57372"/>
    <w:pPr>
      <w:autoSpaceDE w:val="0"/>
      <w:autoSpaceDN w:val="0"/>
      <w:adjustRightInd w:val="0"/>
    </w:pPr>
    <w:rPr>
      <w:rFonts w:ascii="Arial" w:eastAsia="Times New Roman" w:hAnsi="Arial" w:cs="Arial"/>
      <w:color w:val="000000"/>
      <w:sz w:val="24"/>
      <w:szCs w:val="24"/>
    </w:rPr>
  </w:style>
  <w:style w:type="paragraph" w:styleId="HTMLPreformatted">
    <w:name w:val="HTML Preformatted"/>
    <w:basedOn w:val="Normal"/>
    <w:link w:val="HTMLPreformattedChar"/>
    <w:uiPriority w:val="99"/>
    <w:rsid w:val="00E5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locked/>
    <w:rsid w:val="00E57372"/>
    <w:rPr>
      <w:rFonts w:ascii="Courier New" w:hAnsi="Courier New" w:cs="Courier New"/>
      <w:sz w:val="20"/>
      <w:szCs w:val="20"/>
      <w:lang w:eastAsia="lv-LV"/>
    </w:rPr>
  </w:style>
  <w:style w:type="paragraph" w:styleId="BodyTextIndent">
    <w:name w:val="Body Text Indent"/>
    <w:basedOn w:val="Normal"/>
    <w:link w:val="BodyTextIndentChar"/>
    <w:uiPriority w:val="99"/>
    <w:rsid w:val="00E57372"/>
    <w:pPr>
      <w:ind w:left="283"/>
      <w:jc w:val="left"/>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locked/>
    <w:rsid w:val="00E57372"/>
    <w:rPr>
      <w:rFonts w:ascii="Times New Roman" w:hAnsi="Times New Roman" w:cs="Times New Roman"/>
      <w:sz w:val="24"/>
      <w:szCs w:val="24"/>
      <w:lang w:eastAsia="lv-LV"/>
    </w:rPr>
  </w:style>
  <w:style w:type="paragraph" w:customStyle="1" w:styleId="tvhtmlmktable">
    <w:name w:val="tv_html mk_table"/>
    <w:basedOn w:val="Normal"/>
    <w:uiPriority w:val="99"/>
    <w:rsid w:val="00E57372"/>
    <w:pPr>
      <w:spacing w:before="100" w:beforeAutospacing="1" w:after="100" w:afterAutospacing="1"/>
      <w:jc w:val="left"/>
    </w:pPr>
    <w:rPr>
      <w:rFonts w:ascii="Verdana" w:eastAsia="Times New Roman" w:hAnsi="Verdana"/>
      <w:sz w:val="12"/>
      <w:szCs w:val="12"/>
      <w:lang w:eastAsia="lv-LV"/>
    </w:rPr>
  </w:style>
  <w:style w:type="paragraph" w:styleId="Revision">
    <w:name w:val="Revision"/>
    <w:hidden/>
    <w:uiPriority w:val="99"/>
    <w:semiHidden/>
    <w:rsid w:val="00E57372"/>
    <w:rPr>
      <w:rFonts w:ascii="Times New Roman" w:eastAsia="Times New Roman" w:hAnsi="Times New Roman"/>
      <w:sz w:val="24"/>
      <w:szCs w:val="24"/>
    </w:rPr>
  </w:style>
  <w:style w:type="paragraph" w:customStyle="1" w:styleId="b">
    <w:name w:val="b"/>
    <w:basedOn w:val="Normal"/>
    <w:uiPriority w:val="99"/>
    <w:rsid w:val="00E57372"/>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h2">
    <w:name w:val="h2"/>
    <w:basedOn w:val="Normal"/>
    <w:uiPriority w:val="99"/>
    <w:rsid w:val="00DB68EA"/>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bdc">
    <w:name w:val="bdc"/>
    <w:basedOn w:val="Normal"/>
    <w:uiPriority w:val="99"/>
    <w:rsid w:val="00912060"/>
    <w:pPr>
      <w:spacing w:before="100" w:beforeAutospacing="1" w:after="100" w:afterAutospacing="1"/>
      <w:jc w:val="left"/>
    </w:pPr>
    <w:rPr>
      <w:rFonts w:ascii="Times New Roman" w:eastAsia="Times New Roman" w:hAnsi="Times New Roman"/>
      <w:b/>
      <w:bCs/>
      <w:sz w:val="24"/>
      <w:szCs w:val="24"/>
      <w:lang w:eastAsia="lv-LV"/>
    </w:rPr>
  </w:style>
  <w:style w:type="character" w:styleId="Strong">
    <w:name w:val="Strong"/>
    <w:uiPriority w:val="22"/>
    <w:qFormat/>
    <w:locked/>
    <w:rsid w:val="00AA78FF"/>
    <w:rPr>
      <w:b/>
      <w:bCs/>
    </w:rPr>
  </w:style>
  <w:style w:type="character" w:styleId="PlaceholderText">
    <w:name w:val="Placeholder Text"/>
    <w:basedOn w:val="DefaultParagraphFont"/>
    <w:uiPriority w:val="99"/>
    <w:semiHidden/>
    <w:rsid w:val="00167E1C"/>
    <w:rPr>
      <w:color w:val="808080"/>
    </w:rPr>
  </w:style>
  <w:style w:type="paragraph" w:customStyle="1" w:styleId="FootnoteRefernece">
    <w:name w:val="Footnote Refernece"/>
    <w:aliases w:val="-E Fußnotenzeichen,E,E FNZ,Footnotes refss,Odwołanie przypisu,Ref,de nota al pie,ftref"/>
    <w:basedOn w:val="Normal"/>
    <w:next w:val="Normal"/>
    <w:link w:val="FootnoteReference"/>
    <w:uiPriority w:val="99"/>
    <w:rsid w:val="00C16C56"/>
    <w:pPr>
      <w:spacing w:after="160" w:line="240" w:lineRule="exact"/>
      <w:textAlignment w:val="baseline"/>
    </w:pPr>
    <w:rPr>
      <w:vertAlign w:val="superscript"/>
      <w:lang w:eastAsia="lv-LV"/>
    </w:rPr>
  </w:style>
  <w:style w:type="character" w:customStyle="1" w:styleId="NormalIPChar">
    <w:name w:val="Normal _IP Char"/>
    <w:basedOn w:val="DefaultParagraphFont"/>
    <w:link w:val="NormalIP"/>
    <w:uiPriority w:val="99"/>
    <w:locked/>
    <w:rsid w:val="004B2CB9"/>
  </w:style>
  <w:style w:type="paragraph" w:customStyle="1" w:styleId="NormalIP">
    <w:name w:val="Normal _IP"/>
    <w:basedOn w:val="Normal"/>
    <w:link w:val="NormalIPChar"/>
    <w:uiPriority w:val="99"/>
    <w:rsid w:val="004B2CB9"/>
    <w:pPr>
      <w:spacing w:before="80" w:after="80"/>
    </w:pPr>
    <w:rPr>
      <w:lang w:eastAsia="lv-LV"/>
    </w:rPr>
  </w:style>
  <w:style w:type="paragraph" w:customStyle="1" w:styleId="tabula">
    <w:name w:val="tabula"/>
    <w:basedOn w:val="Normal"/>
    <w:rsid w:val="0034168A"/>
    <w:pPr>
      <w:tabs>
        <w:tab w:val="left" w:pos="5954"/>
      </w:tabs>
      <w:spacing w:after="0"/>
      <w:jc w:val="left"/>
    </w:pPr>
    <w:rPr>
      <w:rFonts w:ascii="Arial" w:eastAsia="Times New Roman" w:hAnsi="Arial"/>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C03CD-4F1D-47C8-9047-F1F399C1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5015</Words>
  <Characters>28588</Characters>
  <Application>Microsoft Office Word</Application>
  <DocSecurity>0</DocSecurity>
  <Lines>238</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Administratīvo pārkāpumu kodeksā” sākotnējās ietekmes novērtējuma ziņojums (anotācija)</vt:lpstr>
      <vt:lpstr>Likumprojekta „Grozījumi Administratīvo pārkāpumu kodeksā” sākotnējās ietekmes novērtējuma ziņojums (anotācija)</vt:lpstr>
    </vt:vector>
  </TitlesOfParts>
  <Manager>Helena.Rimsa@varam.gov.lv</Manager>
  <Company>Vides aizsardzības un reģionālās attīstības ministrija</Company>
  <LinksUpToDate>false</LinksUpToDate>
  <CharactersWithSpaces>33536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Administratīvo pārkāpumu kodeksā” sākotnējās ietekmes novērtējuma ziņojums (anotācija)</dc:title>
  <dc:subject>anotācija likumprojektam</dc:subject>
  <dc:creator>Helena Rimsa</dc:creator>
  <dc:description>H.Rimša, 67026512, Helena.Rimsa@varam.gov.lv</dc:description>
  <cp:lastModifiedBy>Marta Ošleja</cp:lastModifiedBy>
  <cp:revision>49</cp:revision>
  <cp:lastPrinted>2016-02-11T13:52:00Z</cp:lastPrinted>
  <dcterms:created xsi:type="dcterms:W3CDTF">2017-05-08T21:19:00Z</dcterms:created>
  <dcterms:modified xsi:type="dcterms:W3CDTF">2017-07-25T14:08:00Z</dcterms:modified>
  <cp:category>Vides politika</cp:category>
</cp:coreProperties>
</file>