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FB250" w14:textId="25C598CB" w:rsidR="00F51B01" w:rsidRPr="00901DF6" w:rsidRDefault="00901DF6" w:rsidP="00203D8F">
      <w:pPr>
        <w:jc w:val="center"/>
        <w:rPr>
          <w:b/>
          <w:iCs/>
          <w:sz w:val="28"/>
          <w:szCs w:val="28"/>
        </w:rPr>
      </w:pPr>
      <w:r w:rsidRPr="00901DF6">
        <w:rPr>
          <w:b/>
          <w:sz w:val="28"/>
          <w:szCs w:val="28"/>
        </w:rPr>
        <w:t>Noteikumu projekts</w:t>
      </w:r>
      <w:r w:rsidRPr="00687B15">
        <w:t xml:space="preserve"> </w:t>
      </w:r>
      <w:r w:rsidR="009267EC">
        <w:rPr>
          <w:b/>
          <w:iCs/>
          <w:sz w:val="28"/>
          <w:szCs w:val="28"/>
        </w:rPr>
        <w:t>“</w:t>
      </w:r>
      <w:r w:rsidR="00F51B01">
        <w:rPr>
          <w:b/>
          <w:iCs/>
          <w:sz w:val="28"/>
          <w:szCs w:val="28"/>
        </w:rPr>
        <w:t>Grozījums</w:t>
      </w:r>
      <w:r w:rsidR="00F51B01" w:rsidRPr="00F51B01">
        <w:rPr>
          <w:b/>
          <w:iCs/>
          <w:sz w:val="28"/>
          <w:szCs w:val="28"/>
        </w:rPr>
        <w:t xml:space="preserve"> Ministru kabineta 2017. gada</w:t>
      </w:r>
      <w:r w:rsidR="000C3F26">
        <w:rPr>
          <w:b/>
          <w:iCs/>
          <w:sz w:val="28"/>
          <w:szCs w:val="28"/>
        </w:rPr>
        <w:t xml:space="preserve"> 17. janvāra noteikumos Nr. 35 “</w:t>
      </w:r>
      <w:r w:rsidR="00F51B01" w:rsidRPr="00F51B0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Zemes pārskatā iekļaujamās informācijas sagatavošanas kārtība</w:t>
      </w:r>
      <w:r w:rsidR="000C3F26">
        <w:rPr>
          <w:b/>
          <w:iCs/>
          <w:sz w:val="28"/>
          <w:szCs w:val="28"/>
        </w:rPr>
        <w:t>”</w:t>
      </w:r>
      <w:r w:rsidR="009267EC">
        <w:rPr>
          <w:b/>
          <w:iCs/>
          <w:sz w:val="28"/>
          <w:szCs w:val="28"/>
        </w:rPr>
        <w:t>”</w:t>
      </w:r>
      <w:r>
        <w:rPr>
          <w:b/>
          <w:iCs/>
          <w:sz w:val="28"/>
          <w:szCs w:val="28"/>
        </w:rPr>
        <w:t xml:space="preserve"> </w:t>
      </w:r>
      <w:r w:rsidR="00F51B01" w:rsidRPr="00F51B01">
        <w:rPr>
          <w:rFonts w:eastAsiaTheme="minorHAnsi"/>
          <w:b/>
          <w:sz w:val="28"/>
          <w:szCs w:val="28"/>
          <w:lang w:eastAsia="en-US"/>
        </w:rPr>
        <w:t>sākotnējās ietekmes novērtējuma ziņojums (anotācija)</w:t>
      </w:r>
    </w:p>
    <w:p w14:paraId="4FA87CEE" w14:textId="77777777" w:rsidR="00B80C0C" w:rsidRDefault="00B80C0C" w:rsidP="00B80C0C">
      <w:pPr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49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057"/>
        <w:gridCol w:w="6520"/>
      </w:tblGrid>
      <w:tr w:rsidR="00B80C0C" w14:paraId="2311610B" w14:textId="77777777" w:rsidTr="006C0156"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9673" w14:textId="77777777" w:rsidR="00B80C0C" w:rsidRDefault="00B80C0C" w:rsidP="00C25D74">
            <w:pPr>
              <w:pStyle w:val="naisnod"/>
              <w:spacing w:before="0" w:after="0" w:line="276" w:lineRule="auto"/>
              <w:ind w:right="-80"/>
            </w:pPr>
            <w:r>
              <w:t>I. Tiesību akta projekta izstrādes nepieciešamība</w:t>
            </w:r>
          </w:p>
        </w:tc>
      </w:tr>
      <w:tr w:rsidR="00B80C0C" w14:paraId="6CC0465B" w14:textId="77777777" w:rsidTr="006C0156">
        <w:trPr>
          <w:trHeight w:val="6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9D5D" w14:textId="77777777" w:rsidR="00B80C0C" w:rsidRDefault="00B80C0C" w:rsidP="00C25D74">
            <w:pPr>
              <w:pStyle w:val="naiskr"/>
              <w:spacing w:before="0" w:after="0" w:line="276" w:lineRule="auto"/>
              <w:ind w:right="-80"/>
              <w:jc w:val="center"/>
            </w:pPr>
            <w: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E5BB" w14:textId="77777777" w:rsidR="00B80C0C" w:rsidRDefault="00B80C0C" w:rsidP="002533ED">
            <w:pPr>
              <w:pStyle w:val="naiskr"/>
              <w:spacing w:before="0" w:after="0" w:line="276" w:lineRule="auto"/>
              <w:ind w:right="-80"/>
            </w:pPr>
            <w:r>
              <w:t>Pamatojums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14F9" w14:textId="2883763E" w:rsidR="00B80C0C" w:rsidRDefault="00C46B91" w:rsidP="00687B15">
            <w:pPr>
              <w:ind w:left="142" w:right="141"/>
              <w:jc w:val="both"/>
            </w:pPr>
            <w:r w:rsidRPr="00687B15">
              <w:t xml:space="preserve">Noteikumu projekts </w:t>
            </w:r>
            <w:r w:rsidR="00687B15">
              <w:t>“</w:t>
            </w:r>
            <w:r w:rsidR="00687B15" w:rsidRPr="00687B15">
              <w:t xml:space="preserve">Grozījums </w:t>
            </w:r>
            <w:r w:rsidR="00687B15">
              <w:t>Ministru</w:t>
            </w:r>
            <w:r w:rsidR="00687B15" w:rsidRPr="00687B15">
              <w:rPr>
                <w:iCs/>
              </w:rPr>
              <w:t xml:space="preserve"> kabineta 2017. gada</w:t>
            </w:r>
            <w:r w:rsidR="00687B15">
              <w:rPr>
                <w:iCs/>
              </w:rPr>
              <w:t xml:space="preserve"> 17. janvāra noteikumos Nr. 35 “</w:t>
            </w:r>
            <w:r w:rsidR="00687B15" w:rsidRPr="00687B15">
              <w:rPr>
                <w:rFonts w:eastAsiaTheme="minorHAnsi"/>
                <w:bCs/>
                <w:shd w:val="clear" w:color="auto" w:fill="FFFFFF"/>
                <w:lang w:eastAsia="en-US"/>
              </w:rPr>
              <w:t>Zemes pārskatā iekļaujamās informācijas sagatavošanas kārtība</w:t>
            </w:r>
            <w:r w:rsidR="00687B15">
              <w:rPr>
                <w:iCs/>
              </w:rPr>
              <w:t>””</w:t>
            </w:r>
            <w:r w:rsidR="00687B15">
              <w:t xml:space="preserve"> (turpmāk – noteikumu projekts) </w:t>
            </w:r>
            <w:r>
              <w:t xml:space="preserve">izstrādāts pēc </w:t>
            </w:r>
            <w:r w:rsidR="00F51B01">
              <w:t>Vides aizsardzības un reģionālās attīstības ministrijas</w:t>
            </w:r>
            <w:r w:rsidR="00687B15">
              <w:t xml:space="preserve"> (turpmāk – VARAM)</w:t>
            </w:r>
            <w:r w:rsidR="00F51B01">
              <w:t xml:space="preserve"> iniciatīva</w:t>
            </w:r>
            <w:r w:rsidR="00687B15">
              <w:t>s</w:t>
            </w:r>
            <w:r w:rsidR="00F51B01">
              <w:t>.</w:t>
            </w:r>
          </w:p>
        </w:tc>
      </w:tr>
      <w:tr w:rsidR="00B80C0C" w14:paraId="7E369021" w14:textId="77777777" w:rsidTr="006C0156">
        <w:trPr>
          <w:trHeight w:val="6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1037" w14:textId="77777777" w:rsidR="00B80C0C" w:rsidRDefault="00B80C0C" w:rsidP="00C25D74">
            <w:pPr>
              <w:pStyle w:val="naiskr"/>
              <w:spacing w:before="0" w:after="0" w:line="276" w:lineRule="auto"/>
              <w:ind w:right="-80"/>
              <w:jc w:val="center"/>
            </w:pPr>
            <w: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CAE5" w14:textId="77777777" w:rsidR="00B80C0C" w:rsidRPr="00544D6E" w:rsidRDefault="00F51B01" w:rsidP="00C916C0">
            <w:r w:rsidRPr="00F51B01">
              <w:t>Pašreizējā situācija un problēmas, kuru risināšanai tiesību akta projekts izstrādāts, tiesiskā regulējuma mērķis un būtība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A6E1" w14:textId="1F62BE00" w:rsidR="00687B15" w:rsidRDefault="00687B15" w:rsidP="002E2836">
            <w:pPr>
              <w:ind w:left="142" w:right="142"/>
              <w:jc w:val="both"/>
              <w:rPr>
                <w:iCs/>
              </w:rPr>
            </w:pPr>
            <w:r>
              <w:rPr>
                <w:rFonts w:eastAsiaTheme="minorHAnsi"/>
                <w:bCs/>
                <w:lang w:eastAsia="en-US"/>
              </w:rPr>
              <w:t xml:space="preserve">Pašlaik Ministru kabineta </w:t>
            </w:r>
            <w:r w:rsidRPr="00687B15">
              <w:rPr>
                <w:iCs/>
              </w:rPr>
              <w:t>2017. gada</w:t>
            </w:r>
            <w:r>
              <w:rPr>
                <w:iCs/>
              </w:rPr>
              <w:t xml:space="preserve"> 17. janvāra noteikumu Nr.35 “</w:t>
            </w:r>
            <w:r w:rsidRPr="00687B15">
              <w:rPr>
                <w:rFonts w:eastAsiaTheme="minorHAnsi"/>
                <w:bCs/>
                <w:shd w:val="clear" w:color="auto" w:fill="FFFFFF"/>
                <w:lang w:eastAsia="en-US"/>
              </w:rPr>
              <w:t>Zemes pārskatā iekļaujamās informācijas sagatavošanas kārtība</w:t>
            </w:r>
            <w:r>
              <w:rPr>
                <w:iCs/>
              </w:rPr>
              <w:t xml:space="preserve">” </w:t>
            </w:r>
            <w:r w:rsidR="00DE3477">
              <w:rPr>
                <w:iCs/>
              </w:rPr>
              <w:t>6.</w:t>
            </w:r>
            <w:r>
              <w:rPr>
                <w:iCs/>
              </w:rPr>
              <w:t xml:space="preserve">punkts nosaka, ka institūcijas </w:t>
            </w:r>
            <w:r w:rsidR="00203D8F">
              <w:rPr>
                <w:iCs/>
              </w:rPr>
              <w:t>z</w:t>
            </w:r>
            <w:r>
              <w:rPr>
                <w:iCs/>
              </w:rPr>
              <w:t>emes pārskata sagatavošanai nepieciešamos datus iesniedz, izmantojot Valsts reģionālās attīstības aģentūras datņu pārsūtīšanas protokola (</w:t>
            </w:r>
            <w:proofErr w:type="spellStart"/>
            <w:r w:rsidRPr="00DE3477">
              <w:rPr>
                <w:i/>
                <w:iCs/>
              </w:rPr>
              <w:t>File</w:t>
            </w:r>
            <w:proofErr w:type="spellEnd"/>
            <w:r w:rsidRPr="00DE3477">
              <w:rPr>
                <w:i/>
                <w:iCs/>
              </w:rPr>
              <w:t xml:space="preserve"> </w:t>
            </w:r>
            <w:proofErr w:type="spellStart"/>
            <w:r w:rsidRPr="00DE3477">
              <w:rPr>
                <w:i/>
                <w:iCs/>
              </w:rPr>
              <w:t>Transfer</w:t>
            </w:r>
            <w:proofErr w:type="spellEnd"/>
            <w:r w:rsidRPr="00DE3477">
              <w:rPr>
                <w:i/>
                <w:iCs/>
              </w:rPr>
              <w:t xml:space="preserve"> </w:t>
            </w:r>
            <w:proofErr w:type="spellStart"/>
            <w:r w:rsidRPr="00DE3477">
              <w:rPr>
                <w:i/>
                <w:iCs/>
              </w:rPr>
              <w:t>Protocol</w:t>
            </w:r>
            <w:proofErr w:type="spellEnd"/>
            <w:r>
              <w:rPr>
                <w:iCs/>
              </w:rPr>
              <w:t xml:space="preserve">) serveri.  </w:t>
            </w:r>
          </w:p>
          <w:p w14:paraId="06B4F0F7" w14:textId="77777777" w:rsidR="00687B15" w:rsidRDefault="001B079C" w:rsidP="00687B15">
            <w:pPr>
              <w:ind w:left="142" w:right="142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P</w:t>
            </w:r>
            <w:r w:rsidR="00687B15">
              <w:rPr>
                <w:rFonts w:eastAsiaTheme="minorHAnsi" w:cstheme="minorBidi"/>
                <w:lang w:eastAsia="en-US"/>
              </w:rPr>
              <w:t xml:space="preserve">rodukcijas vidē darbību ir uzsācis VARAM izstrādātais un </w:t>
            </w:r>
            <w:r w:rsidR="00687B15" w:rsidRPr="002533ED">
              <w:rPr>
                <w:rFonts w:eastAsiaTheme="minorHAnsi" w:cstheme="minorBidi"/>
                <w:lang w:eastAsia="en-US"/>
              </w:rPr>
              <w:t>pārraudzībā eso</w:t>
            </w:r>
            <w:r w:rsidR="00A1617C">
              <w:rPr>
                <w:rFonts w:eastAsiaTheme="minorHAnsi" w:cstheme="minorBidi"/>
                <w:lang w:eastAsia="en-US"/>
              </w:rPr>
              <w:t>šais</w:t>
            </w:r>
            <w:r w:rsidR="00687B15">
              <w:rPr>
                <w:rFonts w:eastAsiaTheme="minorHAnsi" w:cstheme="minorBidi"/>
                <w:lang w:eastAsia="en-US"/>
              </w:rPr>
              <w:t xml:space="preserve"> Latvijas Atvērto datu portāls</w:t>
            </w:r>
            <w:r w:rsidR="00687B15" w:rsidRPr="002533ED">
              <w:rPr>
                <w:rFonts w:eastAsiaTheme="minorHAnsi" w:cstheme="minorBidi"/>
                <w:lang w:eastAsia="en-US"/>
              </w:rPr>
              <w:t xml:space="preserve"> (tīmekļvietnes adrese: </w:t>
            </w:r>
            <w:hyperlink r:id="rId7" w:history="1">
              <w:r w:rsidR="00687B15" w:rsidRPr="009E5AA1">
                <w:rPr>
                  <w:rFonts w:eastAsiaTheme="minorHAnsi" w:cstheme="minorBidi"/>
                  <w:u w:val="single"/>
                  <w:lang w:eastAsia="en-US"/>
                </w:rPr>
                <w:t>https://data.gov.lv</w:t>
              </w:r>
            </w:hyperlink>
            <w:r w:rsidR="00687B15" w:rsidRPr="009E5AA1">
              <w:rPr>
                <w:rFonts w:eastAsiaTheme="minorHAnsi" w:cstheme="minorBidi"/>
                <w:lang w:eastAsia="en-US"/>
              </w:rPr>
              <w:t>)</w:t>
            </w:r>
            <w:r w:rsidR="00A1617C" w:rsidRPr="009E5AA1">
              <w:rPr>
                <w:rFonts w:eastAsiaTheme="minorHAnsi" w:cstheme="minorBidi"/>
                <w:lang w:eastAsia="en-US"/>
              </w:rPr>
              <w:t xml:space="preserve"> </w:t>
            </w:r>
            <w:r w:rsidR="00A1617C">
              <w:rPr>
                <w:rFonts w:eastAsiaTheme="minorHAnsi" w:cstheme="minorBidi"/>
                <w:lang w:eastAsia="en-US"/>
              </w:rPr>
              <w:t>(turpmāk – Atvērto datu portāls)</w:t>
            </w:r>
            <w:r w:rsidR="00687B15" w:rsidRPr="002533ED">
              <w:rPr>
                <w:rFonts w:eastAsiaTheme="minorHAnsi" w:cstheme="minorBidi"/>
                <w:lang w:eastAsia="en-US"/>
              </w:rPr>
              <w:t>.</w:t>
            </w:r>
          </w:p>
          <w:p w14:paraId="668CE46F" w14:textId="25B90E6D" w:rsidR="002533ED" w:rsidRPr="002533ED" w:rsidRDefault="00B95741" w:rsidP="002E2836">
            <w:pPr>
              <w:ind w:left="142" w:right="142"/>
              <w:jc w:val="both"/>
              <w:rPr>
                <w:rFonts w:eastAsiaTheme="minorHAnsi"/>
                <w:lang w:eastAsia="en-US"/>
              </w:rPr>
            </w:pPr>
            <w:r w:rsidRPr="002533ED">
              <w:rPr>
                <w:rFonts w:eastAsiaTheme="minorHAnsi"/>
                <w:lang w:eastAsia="en-US"/>
              </w:rPr>
              <w:t xml:space="preserve">Atvērto datu </w:t>
            </w:r>
            <w:r>
              <w:rPr>
                <w:rFonts w:eastAsiaTheme="minorHAnsi"/>
                <w:lang w:eastAsia="en-US"/>
              </w:rPr>
              <w:t xml:space="preserve">portāla mērķis ir nodrošināt </w:t>
            </w:r>
            <w:r w:rsidR="00141B8D">
              <w:rPr>
                <w:rFonts w:eastAsiaTheme="minorHAnsi"/>
                <w:lang w:eastAsia="en-US"/>
              </w:rPr>
              <w:t>tīmekļ</w:t>
            </w:r>
            <w:r>
              <w:rPr>
                <w:rFonts w:eastAsiaTheme="minorHAnsi"/>
                <w:lang w:eastAsia="en-US"/>
              </w:rPr>
              <w:t xml:space="preserve">vietni, kurā </w:t>
            </w:r>
            <w:r w:rsidRPr="002533ED">
              <w:rPr>
                <w:rFonts w:eastAsiaTheme="minorHAnsi"/>
                <w:lang w:eastAsia="en-US"/>
              </w:rPr>
              <w:t>valsts iestāde</w:t>
            </w:r>
            <w:r>
              <w:rPr>
                <w:rFonts w:eastAsiaTheme="minorHAnsi"/>
                <w:lang w:eastAsia="en-US"/>
              </w:rPr>
              <w:t>s</w:t>
            </w:r>
            <w:r w:rsidRPr="002533ED">
              <w:rPr>
                <w:rFonts w:eastAsiaTheme="minorHAnsi"/>
                <w:lang w:eastAsia="en-US"/>
              </w:rPr>
              <w:t xml:space="preserve"> </w:t>
            </w:r>
            <w:r w:rsidR="00A1617C">
              <w:rPr>
                <w:rFonts w:eastAsiaTheme="minorHAnsi"/>
                <w:lang w:eastAsia="en-US"/>
              </w:rPr>
              <w:t>var publicēt i</w:t>
            </w:r>
            <w:r>
              <w:rPr>
                <w:rFonts w:eastAsiaTheme="minorHAnsi"/>
                <w:lang w:eastAsia="en-US"/>
              </w:rPr>
              <w:t>nformāciju</w:t>
            </w:r>
            <w:r w:rsidRPr="002533ED">
              <w:rPr>
                <w:rFonts w:eastAsiaTheme="minorHAnsi"/>
                <w:lang w:eastAsia="en-US"/>
              </w:rPr>
              <w:t xml:space="preserve">, piemēram, </w:t>
            </w:r>
            <w:r>
              <w:rPr>
                <w:rFonts w:eastAsiaTheme="minorHAnsi"/>
                <w:lang w:eastAsia="en-US"/>
              </w:rPr>
              <w:t xml:space="preserve">no </w:t>
            </w:r>
            <w:r w:rsidRPr="002533ED">
              <w:rPr>
                <w:rFonts w:eastAsiaTheme="minorHAnsi"/>
                <w:lang w:eastAsia="en-US"/>
              </w:rPr>
              <w:t>publiskiem reģistriem un valsts informācijas sistēmu publiskajām daļām, pētīj</w:t>
            </w:r>
            <w:r>
              <w:rPr>
                <w:rFonts w:eastAsiaTheme="minorHAnsi"/>
                <w:lang w:eastAsia="en-US"/>
              </w:rPr>
              <w:t xml:space="preserve">umiem, </w:t>
            </w:r>
            <w:r w:rsidR="00547A9F">
              <w:rPr>
                <w:rFonts w:eastAsiaTheme="minorHAnsi"/>
                <w:lang w:eastAsia="en-US"/>
              </w:rPr>
              <w:t xml:space="preserve">kā arī </w:t>
            </w:r>
            <w:r w:rsidR="00A1617C">
              <w:rPr>
                <w:rFonts w:eastAsiaTheme="minorHAnsi"/>
                <w:lang w:eastAsia="en-US"/>
              </w:rPr>
              <w:t>dažāda veida statistik</w:t>
            </w:r>
            <w:r w:rsidR="00547A9F">
              <w:rPr>
                <w:rFonts w:eastAsiaTheme="minorHAnsi"/>
                <w:lang w:eastAsia="en-US"/>
              </w:rPr>
              <w:t xml:space="preserve">u, tabulas </w:t>
            </w:r>
            <w:r>
              <w:rPr>
                <w:rFonts w:eastAsiaTheme="minorHAnsi"/>
                <w:lang w:eastAsia="en-US"/>
              </w:rPr>
              <w:t>utt., lai nodotu informāciju</w:t>
            </w:r>
            <w:r w:rsidRPr="002533ED">
              <w:rPr>
                <w:rFonts w:eastAsiaTheme="minorHAnsi"/>
                <w:lang w:eastAsia="en-US"/>
              </w:rPr>
              <w:t xml:space="preserve"> sabiedrībai </w:t>
            </w:r>
            <w:r>
              <w:rPr>
                <w:rFonts w:eastAsiaTheme="minorHAnsi"/>
                <w:lang w:eastAsia="en-US"/>
              </w:rPr>
              <w:t>tādā formā, lai</w:t>
            </w:r>
            <w:r w:rsidRPr="002533ED">
              <w:rPr>
                <w:lang w:eastAsia="en-US"/>
              </w:rPr>
              <w:t xml:space="preserve"> to varētu lejupielādēt, apstrādāt un izmantot, piemēram, jaunu </w:t>
            </w:r>
            <w:r>
              <w:rPr>
                <w:lang w:eastAsia="en-US"/>
              </w:rPr>
              <w:t>pētījumu un pakalpojumu izveidē</w:t>
            </w:r>
            <w:r w:rsidRPr="002533ED">
              <w:rPr>
                <w:rFonts w:eastAsiaTheme="minorHAnsi"/>
                <w:lang w:eastAsia="en-US"/>
              </w:rPr>
              <w:t>. </w:t>
            </w:r>
            <w:r w:rsidR="00141B8D">
              <w:rPr>
                <w:rFonts w:eastAsiaTheme="minorHAnsi"/>
                <w:lang w:eastAsia="en-US"/>
              </w:rPr>
              <w:t>Atbilstoši</w:t>
            </w:r>
            <w:r w:rsidR="00DE3477">
              <w:rPr>
                <w:rFonts w:eastAsiaTheme="minorHAnsi"/>
                <w:lang w:eastAsia="en-US"/>
              </w:rPr>
              <w:t xml:space="preserve"> </w:t>
            </w:r>
            <w:r w:rsidR="00DE148C">
              <w:rPr>
                <w:rFonts w:eastAsiaTheme="minorHAnsi"/>
                <w:lang w:eastAsia="en-US"/>
              </w:rPr>
              <w:t xml:space="preserve">Informācijas atklātības likuma </w:t>
            </w:r>
            <w:proofErr w:type="gramStart"/>
            <w:r w:rsidR="00DE148C">
              <w:rPr>
                <w:rFonts w:eastAsiaTheme="minorHAnsi"/>
                <w:lang w:eastAsia="en-US"/>
              </w:rPr>
              <w:t>1.panta</w:t>
            </w:r>
            <w:proofErr w:type="gramEnd"/>
            <w:r w:rsidR="00DE148C">
              <w:rPr>
                <w:rFonts w:eastAsiaTheme="minorHAnsi"/>
                <w:lang w:eastAsia="en-US"/>
              </w:rPr>
              <w:t xml:space="preserve"> 6.punktam</w:t>
            </w:r>
            <w:r w:rsidR="00141B8D">
              <w:rPr>
                <w:rFonts w:eastAsiaTheme="minorHAnsi"/>
                <w:lang w:eastAsia="en-US"/>
              </w:rPr>
              <w:t xml:space="preserve"> a</w:t>
            </w:r>
            <w:r w:rsidR="002533ED" w:rsidRPr="002533ED">
              <w:rPr>
                <w:rFonts w:eastAsiaTheme="minorHAnsi"/>
                <w:bCs/>
                <w:lang w:eastAsia="en-US"/>
              </w:rPr>
              <w:t>tvērtie dati</w:t>
            </w:r>
            <w:r w:rsidR="00547A9F">
              <w:rPr>
                <w:rFonts w:eastAsiaTheme="minorHAnsi"/>
                <w:lang w:eastAsia="en-US"/>
              </w:rPr>
              <w:t xml:space="preserve"> ir </w:t>
            </w:r>
            <w:r w:rsidR="002533ED" w:rsidRPr="002533ED">
              <w:rPr>
                <w:rFonts w:eastAsiaTheme="minorHAnsi"/>
                <w:lang w:eastAsia="en-US"/>
              </w:rPr>
              <w:t>brīvi pieeja</w:t>
            </w:r>
            <w:r w:rsidR="00035EBB">
              <w:rPr>
                <w:rFonts w:eastAsiaTheme="minorHAnsi"/>
                <w:lang w:eastAsia="en-US"/>
              </w:rPr>
              <w:t xml:space="preserve">ma bezmaksas informācija bez atkārtotas </w:t>
            </w:r>
            <w:r w:rsidR="002533ED" w:rsidRPr="002533ED">
              <w:rPr>
                <w:rFonts w:eastAsiaTheme="minorHAnsi"/>
                <w:lang w:eastAsia="en-US"/>
              </w:rPr>
              <w:t>izmantošanas ierobežojumiem, kuru var rediģēt un automatizēti apstrādāt ar brīv</w:t>
            </w:r>
            <w:r w:rsidR="00141B8D">
              <w:rPr>
                <w:rFonts w:eastAsiaTheme="minorHAnsi"/>
                <w:lang w:eastAsia="en-US"/>
              </w:rPr>
              <w:t>i pieejamām lietojumprogrammām</w:t>
            </w:r>
            <w:r w:rsidR="002533ED" w:rsidRPr="002533ED">
              <w:rPr>
                <w:rFonts w:eastAsiaTheme="minorHAnsi"/>
                <w:lang w:eastAsia="en-US"/>
              </w:rPr>
              <w:t xml:space="preserve">. </w:t>
            </w:r>
          </w:p>
          <w:p w14:paraId="462452B6" w14:textId="6E6F1AF0" w:rsidR="002533ED" w:rsidRPr="00141B8D" w:rsidRDefault="00A96DE1" w:rsidP="00141B8D">
            <w:pPr>
              <w:ind w:left="142" w:right="142"/>
              <w:jc w:val="both"/>
              <w:rPr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Zemes pārskats</w:t>
            </w:r>
            <w:r w:rsidRPr="002533ED">
              <w:rPr>
                <w:rFonts w:eastAsiaTheme="minorHAnsi" w:cstheme="minorBidi"/>
                <w:lang w:eastAsia="en-US"/>
              </w:rPr>
              <w:t xml:space="preserve"> ir </w:t>
            </w:r>
            <w:r w:rsidR="00547A9F">
              <w:rPr>
                <w:rFonts w:eastAsiaTheme="minorHAnsi" w:cstheme="minorBidi"/>
                <w:lang w:eastAsia="en-US"/>
              </w:rPr>
              <w:t xml:space="preserve">apkopota </w:t>
            </w:r>
            <w:r w:rsidRPr="002533ED">
              <w:rPr>
                <w:rFonts w:eastAsiaTheme="minorHAnsi" w:cstheme="minorBidi"/>
                <w:lang w:eastAsia="en-US"/>
              </w:rPr>
              <w:t>vispārpieejama informācij</w:t>
            </w:r>
            <w:r>
              <w:rPr>
                <w:rFonts w:eastAsiaTheme="minorHAnsi" w:cstheme="minorBidi"/>
                <w:lang w:eastAsia="en-US"/>
              </w:rPr>
              <w:t>a</w:t>
            </w:r>
            <w:r w:rsidR="00547A9F">
              <w:rPr>
                <w:rFonts w:eastAsiaTheme="minorHAnsi" w:cstheme="minorBidi"/>
                <w:lang w:eastAsia="en-US"/>
              </w:rPr>
              <w:t xml:space="preserve"> par zemes izmantošanu</w:t>
            </w:r>
            <w:r>
              <w:rPr>
                <w:rFonts w:eastAsiaTheme="minorHAnsi" w:cstheme="minorBidi"/>
                <w:lang w:eastAsia="en-US"/>
              </w:rPr>
              <w:t xml:space="preserve">, kas ir noderīga sabiedrībai un </w:t>
            </w:r>
            <w:r w:rsidR="004A5CC6">
              <w:rPr>
                <w:rFonts w:eastAsiaTheme="minorHAnsi" w:cstheme="minorBidi"/>
                <w:lang w:eastAsia="en-US"/>
              </w:rPr>
              <w:t xml:space="preserve">kurai </w:t>
            </w:r>
            <w:r>
              <w:rPr>
                <w:rFonts w:eastAsiaTheme="minorHAnsi" w:cstheme="minorBidi"/>
                <w:lang w:eastAsia="en-US"/>
              </w:rPr>
              <w:t>jābūt</w:t>
            </w:r>
            <w:r w:rsidR="00547A9F">
              <w:rPr>
                <w:rFonts w:eastAsiaTheme="minorHAnsi" w:cstheme="minorBidi"/>
                <w:lang w:eastAsia="en-US"/>
              </w:rPr>
              <w:t xml:space="preserve"> pieejama</w:t>
            </w:r>
            <w:r w:rsidR="004A5CC6">
              <w:rPr>
                <w:rFonts w:eastAsiaTheme="minorHAnsi" w:cstheme="minorBidi"/>
                <w:lang w:eastAsia="en-US"/>
              </w:rPr>
              <w:t>i</w:t>
            </w:r>
            <w:r w:rsidRPr="002533ED">
              <w:rPr>
                <w:rFonts w:eastAsiaTheme="minorHAnsi" w:cstheme="minorBidi"/>
                <w:lang w:eastAsia="en-US"/>
              </w:rPr>
              <w:t xml:space="preserve"> ikvienam</w:t>
            </w:r>
            <w:r>
              <w:rPr>
                <w:rFonts w:eastAsiaTheme="minorHAnsi" w:cstheme="minorBidi"/>
                <w:lang w:eastAsia="en-US"/>
              </w:rPr>
              <w:t>, līdz ar to i</w:t>
            </w:r>
            <w:r w:rsidR="00141B8D">
              <w:rPr>
                <w:lang w:eastAsia="en-US"/>
              </w:rPr>
              <w:t xml:space="preserve">nstitūciju sniegtie </w:t>
            </w:r>
            <w:r w:rsidR="004A5CC6">
              <w:rPr>
                <w:lang w:eastAsia="en-US"/>
              </w:rPr>
              <w:t>z</w:t>
            </w:r>
            <w:r w:rsidR="00141B8D">
              <w:rPr>
                <w:lang w:eastAsia="en-US"/>
              </w:rPr>
              <w:t>emes pārskata sagatavošanai nepieciešamie dati ir pielīdzināmi atv</w:t>
            </w:r>
            <w:r>
              <w:rPr>
                <w:lang w:eastAsia="en-US"/>
              </w:rPr>
              <w:t>ērtajiem datiem. N</w:t>
            </w:r>
            <w:r w:rsidR="002533ED" w:rsidRPr="002533ED">
              <w:rPr>
                <w:rFonts w:eastAsiaTheme="minorHAnsi" w:cstheme="minorBidi"/>
                <w:lang w:eastAsia="en-US"/>
              </w:rPr>
              <w:t xml:space="preserve">oteikumu projekts </w:t>
            </w:r>
            <w:r w:rsidR="00141B8D">
              <w:rPr>
                <w:rFonts w:eastAsiaTheme="minorHAnsi" w:cstheme="minorBidi"/>
                <w:lang w:eastAsia="en-US"/>
              </w:rPr>
              <w:t xml:space="preserve">nosaka </w:t>
            </w:r>
            <w:r>
              <w:rPr>
                <w:rFonts w:eastAsiaTheme="minorHAnsi" w:cstheme="minorBidi"/>
                <w:lang w:eastAsia="en-US"/>
              </w:rPr>
              <w:t xml:space="preserve">jaunu </w:t>
            </w:r>
            <w:r w:rsidR="004A5CC6">
              <w:rPr>
                <w:rFonts w:eastAsiaTheme="minorHAnsi" w:cstheme="minorBidi"/>
                <w:lang w:eastAsia="en-US"/>
              </w:rPr>
              <w:t xml:space="preserve">un efektīvāku </w:t>
            </w:r>
            <w:r>
              <w:rPr>
                <w:rFonts w:eastAsiaTheme="minorHAnsi" w:cstheme="minorBidi"/>
                <w:lang w:eastAsia="en-US"/>
              </w:rPr>
              <w:t xml:space="preserve">datu iesniegšanas kārtību – institūcijām </w:t>
            </w:r>
            <w:r w:rsidR="002533ED" w:rsidRPr="002533ED">
              <w:rPr>
                <w:rFonts w:eastAsiaTheme="minorHAnsi" w:cstheme="minorBidi"/>
                <w:lang w:eastAsia="en-US"/>
              </w:rPr>
              <w:t>zemes pārskata sagatavo</w:t>
            </w:r>
            <w:r>
              <w:rPr>
                <w:rFonts w:eastAsiaTheme="minorHAnsi" w:cstheme="minorBidi"/>
                <w:lang w:eastAsia="en-US"/>
              </w:rPr>
              <w:t>šanai nepieciešamā informācija ir jāiesniedz Atvērto datu portālā.</w:t>
            </w:r>
            <w:r w:rsidR="002533ED" w:rsidRPr="002533ED">
              <w:rPr>
                <w:rFonts w:eastAsiaTheme="minorHAnsi" w:cstheme="minorBidi"/>
                <w:lang w:eastAsia="en-US"/>
              </w:rPr>
              <w:t xml:space="preserve"> </w:t>
            </w:r>
          </w:p>
          <w:p w14:paraId="7A85E888" w14:textId="77777777" w:rsidR="00B80C0C" w:rsidRDefault="00B80C0C" w:rsidP="00A96DE1">
            <w:pPr>
              <w:ind w:left="142" w:right="142"/>
              <w:jc w:val="both"/>
            </w:pPr>
          </w:p>
        </w:tc>
      </w:tr>
      <w:tr w:rsidR="00B80C0C" w14:paraId="6EA73BD7" w14:textId="77777777" w:rsidTr="006C0156">
        <w:trPr>
          <w:trHeight w:val="7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4365" w14:textId="77777777" w:rsidR="00B80C0C" w:rsidRDefault="00B80C0C" w:rsidP="00C25D74">
            <w:pPr>
              <w:pStyle w:val="naiskr"/>
              <w:spacing w:before="0" w:after="0" w:line="276" w:lineRule="auto"/>
              <w:ind w:right="-80"/>
              <w:jc w:val="center"/>
            </w:pPr>
            <w: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217A" w14:textId="77777777" w:rsidR="00B80C0C" w:rsidRDefault="00F51B01" w:rsidP="00C25D74">
            <w:pPr>
              <w:pStyle w:val="naiskr"/>
              <w:spacing w:before="0" w:after="0" w:line="276" w:lineRule="auto"/>
              <w:ind w:left="80" w:right="-80"/>
            </w:pPr>
            <w:r>
              <w:t>Projekta izstrādē iesaistītās institūcijas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3078" w14:textId="37694892" w:rsidR="00B80C0C" w:rsidRPr="00C916C0" w:rsidRDefault="00D667C9" w:rsidP="00DE3477">
            <w:pPr>
              <w:pStyle w:val="FootnoteText"/>
              <w:ind w:right="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VARAM</w:t>
            </w:r>
            <w:r w:rsidR="00F51B01" w:rsidRPr="00C916C0">
              <w:rPr>
                <w:sz w:val="24"/>
                <w:szCs w:val="24"/>
              </w:rPr>
              <w:t>, Valsts reģionālās attīstības aģentūra.</w:t>
            </w:r>
          </w:p>
        </w:tc>
      </w:tr>
      <w:tr w:rsidR="00B80C0C" w14:paraId="1D54CBDF" w14:textId="77777777" w:rsidTr="006C0156">
        <w:trPr>
          <w:trHeight w:val="4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958D" w14:textId="77777777" w:rsidR="00B80C0C" w:rsidRDefault="00B80C0C" w:rsidP="00C25D74">
            <w:pPr>
              <w:pStyle w:val="naiskr"/>
              <w:spacing w:before="0" w:after="0" w:line="276" w:lineRule="auto"/>
              <w:ind w:right="-80"/>
              <w:jc w:val="center"/>
            </w:pPr>
            <w: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122D" w14:textId="77777777" w:rsidR="00B80C0C" w:rsidRDefault="00F51B01" w:rsidP="002533ED">
            <w:pPr>
              <w:pStyle w:val="naiskr"/>
              <w:spacing w:before="0" w:after="0" w:line="276" w:lineRule="auto"/>
              <w:ind w:right="-80"/>
            </w:pPr>
            <w:r>
              <w:t>Cita informācija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48D" w14:textId="77777777" w:rsidR="00B80C0C" w:rsidRDefault="00F51B01" w:rsidP="00544D6E">
            <w:pPr>
              <w:pStyle w:val="naiskr"/>
              <w:spacing w:before="0" w:after="0"/>
              <w:ind w:right="164"/>
              <w:jc w:val="both"/>
            </w:pPr>
            <w:r w:rsidRPr="00B80C0C">
              <w:t>Nav.</w:t>
            </w:r>
          </w:p>
        </w:tc>
      </w:tr>
    </w:tbl>
    <w:tbl>
      <w:tblPr>
        <w:tblW w:w="5422" w:type="pct"/>
        <w:tblInd w:w="-39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"/>
        <w:gridCol w:w="3342"/>
        <w:gridCol w:w="6156"/>
      </w:tblGrid>
      <w:tr w:rsidR="00B80C0C" w:rsidRPr="0074456C" w14:paraId="6C227AEC" w14:textId="77777777" w:rsidTr="00C916C0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1DED39" w14:textId="77777777" w:rsidR="00B80C0C" w:rsidRPr="0074456C" w:rsidRDefault="00B80C0C" w:rsidP="00C25D7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74456C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B80C0C" w:rsidRPr="0074456C" w14:paraId="66C930F6" w14:textId="77777777" w:rsidTr="00C916C0">
        <w:trPr>
          <w:trHeight w:val="465"/>
        </w:trPr>
        <w:tc>
          <w:tcPr>
            <w:tcW w:w="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D29A10" w14:textId="77777777" w:rsidR="00B80C0C" w:rsidRPr="00CA4290" w:rsidRDefault="00B80C0C" w:rsidP="00F51B01">
            <w:pPr>
              <w:jc w:val="center"/>
            </w:pPr>
            <w:r w:rsidRPr="00CA4290">
              <w:lastRenderedPageBreak/>
              <w:t>1.</w:t>
            </w:r>
          </w:p>
        </w:tc>
        <w:tc>
          <w:tcPr>
            <w:tcW w:w="1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6D01B4" w14:textId="77777777" w:rsidR="00B80C0C" w:rsidRPr="0074456C" w:rsidRDefault="00B80C0C" w:rsidP="006C0156">
            <w:r w:rsidRPr="0074456C">
              <w:t>Sabiedrības mērķgrupas, kuras tiesiskais regulējums ietekmē vai varētu ietekmēt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E6F81B" w14:textId="138CD427" w:rsidR="00B80C0C" w:rsidRPr="0074456C" w:rsidRDefault="00F51B01">
            <w:pPr>
              <w:pStyle w:val="CommentText"/>
              <w:ind w:left="29" w:right="114"/>
              <w:jc w:val="both"/>
            </w:pPr>
            <w:r w:rsidRPr="00F51B01">
              <w:rPr>
                <w:rFonts w:eastAsiaTheme="minorHAnsi"/>
                <w:sz w:val="24"/>
                <w:szCs w:val="24"/>
                <w:lang w:eastAsia="en-US"/>
              </w:rPr>
              <w:t>Lauku atbalsta dienests, Tiesu administrācija, Valsts augu aizsardzības dienests, Valsts meža dienests, Valsts zemes dienests, valsts sabiedrība ar ierobežotu atbildību “Zemkopības mi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nistrijas nekustamie īpašumi”, </w:t>
            </w:r>
            <w:r w:rsidRPr="00F51B01">
              <w:rPr>
                <w:rFonts w:eastAsiaTheme="minorHAnsi"/>
                <w:sz w:val="24"/>
                <w:szCs w:val="24"/>
                <w:lang w:eastAsia="en-US"/>
              </w:rPr>
              <w:t>valsts sabiedrība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ar ierobežotu atbildību</w:t>
            </w:r>
            <w:r w:rsidRPr="00F51B01">
              <w:rPr>
                <w:rFonts w:eastAsiaTheme="minorHAnsi"/>
                <w:sz w:val="24"/>
                <w:szCs w:val="24"/>
                <w:lang w:eastAsia="en-US"/>
              </w:rPr>
              <w:t xml:space="preserve"> “Latvijas Vides, ģeoloģijas un meteoroloģijas centrs”,</w:t>
            </w:r>
            <w:r>
              <w:t xml:space="preserve"> </w:t>
            </w:r>
            <w:r w:rsidR="004A5CC6">
              <w:rPr>
                <w:sz w:val="24"/>
                <w:szCs w:val="24"/>
              </w:rPr>
              <w:t>VARAM</w:t>
            </w:r>
            <w:r w:rsidRPr="00F51B01">
              <w:rPr>
                <w:rFonts w:eastAsiaTheme="minorHAnsi"/>
                <w:sz w:val="24"/>
                <w:szCs w:val="24"/>
                <w:lang w:eastAsia="en-US"/>
              </w:rPr>
              <w:t xml:space="preserve"> un Valsts reģionālās attīstības aģentūra.</w:t>
            </w:r>
          </w:p>
        </w:tc>
      </w:tr>
      <w:tr w:rsidR="00B80C0C" w:rsidRPr="0074456C" w14:paraId="71215C77" w14:textId="77777777" w:rsidTr="00C916C0">
        <w:trPr>
          <w:trHeight w:val="510"/>
        </w:trPr>
        <w:tc>
          <w:tcPr>
            <w:tcW w:w="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684687" w14:textId="77777777" w:rsidR="00B80C0C" w:rsidRPr="00CA4290" w:rsidRDefault="00B80C0C" w:rsidP="00F51B01">
            <w:pPr>
              <w:jc w:val="center"/>
            </w:pPr>
            <w:r w:rsidRPr="00CA4290">
              <w:t>2.</w:t>
            </w:r>
          </w:p>
        </w:tc>
        <w:tc>
          <w:tcPr>
            <w:tcW w:w="1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6677DD" w14:textId="77777777" w:rsidR="00B80C0C" w:rsidRPr="0074456C" w:rsidRDefault="00B80C0C" w:rsidP="006C0156">
            <w:r w:rsidRPr="0074456C">
              <w:t>Tiesiskā regulējuma ietekme uz tautsaimniecību un administratīvo slogu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115CC8" w14:textId="77777777" w:rsidR="00B80C0C" w:rsidRPr="0074456C" w:rsidRDefault="00F51B01" w:rsidP="00C25D74">
            <w:r w:rsidRPr="008041F0">
              <w:rPr>
                <w:shd w:val="clear" w:color="auto" w:fill="FFFFFF"/>
              </w:rPr>
              <w:t>Tiesību akta projekts šo jomu neskar</w:t>
            </w:r>
            <w:r>
              <w:rPr>
                <w:shd w:val="clear" w:color="auto" w:fill="FFFFFF"/>
              </w:rPr>
              <w:t>.</w:t>
            </w:r>
          </w:p>
        </w:tc>
      </w:tr>
      <w:tr w:rsidR="00B80C0C" w:rsidRPr="0074456C" w14:paraId="20E0AB13" w14:textId="77777777" w:rsidTr="00C916C0">
        <w:trPr>
          <w:trHeight w:val="510"/>
        </w:trPr>
        <w:tc>
          <w:tcPr>
            <w:tcW w:w="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E52C28" w14:textId="77777777" w:rsidR="00B80C0C" w:rsidRPr="00CA4290" w:rsidRDefault="00B80C0C" w:rsidP="00F51B01">
            <w:pPr>
              <w:jc w:val="center"/>
            </w:pPr>
            <w:r w:rsidRPr="00CA4290">
              <w:t>3.</w:t>
            </w:r>
          </w:p>
        </w:tc>
        <w:tc>
          <w:tcPr>
            <w:tcW w:w="1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DBB5CD" w14:textId="77777777" w:rsidR="00B80C0C" w:rsidRPr="0074456C" w:rsidRDefault="00B80C0C" w:rsidP="006C0156">
            <w:r w:rsidRPr="0074456C">
              <w:t>Administratīvo izmaksu monetārs novērtējums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DA46F4" w14:textId="77777777" w:rsidR="00B80C0C" w:rsidRPr="0074456C" w:rsidRDefault="00F51B01" w:rsidP="00C25D74">
            <w:r w:rsidRPr="008041F0">
              <w:rPr>
                <w:shd w:val="clear" w:color="auto" w:fill="FFFFFF"/>
              </w:rPr>
              <w:t>Tiesību akta projekts šo jomu neskar</w:t>
            </w:r>
            <w:r>
              <w:rPr>
                <w:shd w:val="clear" w:color="auto" w:fill="FFFFFF"/>
              </w:rPr>
              <w:t>.</w:t>
            </w:r>
          </w:p>
        </w:tc>
      </w:tr>
      <w:tr w:rsidR="00B80C0C" w:rsidRPr="0074456C" w14:paraId="1320B682" w14:textId="77777777" w:rsidTr="00C916C0">
        <w:trPr>
          <w:trHeight w:val="345"/>
        </w:trPr>
        <w:tc>
          <w:tcPr>
            <w:tcW w:w="3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0FC6BA" w14:textId="77777777" w:rsidR="00B80C0C" w:rsidRPr="00CA4290" w:rsidRDefault="00B80C0C" w:rsidP="00F51B01">
            <w:pPr>
              <w:jc w:val="center"/>
            </w:pPr>
            <w:r w:rsidRPr="00CA4290">
              <w:t>4.</w:t>
            </w:r>
          </w:p>
        </w:tc>
        <w:tc>
          <w:tcPr>
            <w:tcW w:w="16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47AAB6" w14:textId="77777777" w:rsidR="00B80C0C" w:rsidRPr="0074456C" w:rsidRDefault="00B80C0C" w:rsidP="006C0156">
            <w:r w:rsidRPr="0074456C">
              <w:t>Cita informācija</w:t>
            </w:r>
          </w:p>
        </w:tc>
        <w:tc>
          <w:tcPr>
            <w:tcW w:w="30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6CB321" w14:textId="77777777" w:rsidR="00B80C0C" w:rsidRPr="0074456C" w:rsidRDefault="00B80C0C" w:rsidP="00C25D74">
            <w:pPr>
              <w:spacing w:before="100" w:beforeAutospacing="1" w:after="100" w:afterAutospacing="1" w:line="293" w:lineRule="atLeast"/>
            </w:pPr>
            <w:r w:rsidRPr="0074456C">
              <w:t>Nav</w:t>
            </w:r>
            <w:r>
              <w:t>.</w:t>
            </w:r>
          </w:p>
        </w:tc>
      </w:tr>
    </w:tbl>
    <w:p w14:paraId="69065192" w14:textId="77777777" w:rsidR="00B80C0C" w:rsidRDefault="00B80C0C" w:rsidP="00B80C0C">
      <w:pPr>
        <w:pStyle w:val="NormalWeb"/>
        <w:spacing w:before="0" w:beforeAutospacing="0" w:after="0" w:afterAutospacing="0"/>
      </w:pPr>
    </w:p>
    <w:p w14:paraId="32743EA8" w14:textId="77777777" w:rsidR="00B80C0C" w:rsidRDefault="00B80C0C" w:rsidP="00B80C0C">
      <w:pPr>
        <w:pStyle w:val="NormalWeb"/>
        <w:spacing w:before="0" w:beforeAutospacing="0" w:after="0" w:afterAutospacing="0"/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B80C0C" w:rsidRPr="00655F87" w14:paraId="4DF5B84C" w14:textId="77777777" w:rsidTr="00F51B01">
        <w:trPr>
          <w:trHeight w:val="360"/>
        </w:trPr>
        <w:tc>
          <w:tcPr>
            <w:tcW w:w="5000" w:type="pct"/>
            <w:hideMark/>
          </w:tcPr>
          <w:p w14:paraId="30948D19" w14:textId="77777777" w:rsidR="00B80C0C" w:rsidRPr="00655F87" w:rsidRDefault="00B80C0C" w:rsidP="00C25D74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655F87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B80C0C" w:rsidRPr="00655F87" w14:paraId="70D42490" w14:textId="77777777" w:rsidTr="00F51B01">
        <w:trPr>
          <w:trHeight w:val="360"/>
        </w:trPr>
        <w:tc>
          <w:tcPr>
            <w:tcW w:w="5000" w:type="pct"/>
          </w:tcPr>
          <w:p w14:paraId="66AC08A2" w14:textId="77777777" w:rsidR="00B80C0C" w:rsidRPr="00655F87" w:rsidRDefault="00F51B01" w:rsidP="00C25D74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8041F0">
              <w:rPr>
                <w:shd w:val="clear" w:color="auto" w:fill="FFFFFF"/>
              </w:rPr>
              <w:t>Tiesību akta projekts šo jomu neskar</w:t>
            </w:r>
            <w:r>
              <w:rPr>
                <w:shd w:val="clear" w:color="auto" w:fill="FFFFFF"/>
              </w:rPr>
              <w:t>.</w:t>
            </w:r>
          </w:p>
        </w:tc>
      </w:tr>
    </w:tbl>
    <w:p w14:paraId="158B8FDE" w14:textId="77777777" w:rsidR="00B80C0C" w:rsidRDefault="00B80C0C" w:rsidP="00B80C0C">
      <w:pPr>
        <w:pStyle w:val="NormalWeb"/>
        <w:spacing w:before="0" w:beforeAutospacing="0" w:after="0" w:afterAutospacing="0"/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B80C0C" w14:paraId="71E8FA3A" w14:textId="77777777" w:rsidTr="00F51B01">
        <w:trPr>
          <w:trHeight w:val="441"/>
        </w:trPr>
        <w:tc>
          <w:tcPr>
            <w:tcW w:w="10065" w:type="dxa"/>
          </w:tcPr>
          <w:p w14:paraId="261AEC53" w14:textId="77777777" w:rsidR="00B80C0C" w:rsidRDefault="00B80C0C" w:rsidP="00C25D7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414142"/>
              </w:rPr>
              <w:t>IV. Tiesību akta projekta ietekme uz spēkā esošo tiesību normu sistēmu</w:t>
            </w:r>
          </w:p>
        </w:tc>
      </w:tr>
      <w:tr w:rsidR="00B80C0C" w14:paraId="1C89D68C" w14:textId="77777777" w:rsidTr="00F51B01">
        <w:trPr>
          <w:trHeight w:val="405"/>
        </w:trPr>
        <w:tc>
          <w:tcPr>
            <w:tcW w:w="10065" w:type="dxa"/>
          </w:tcPr>
          <w:p w14:paraId="11D46741" w14:textId="77777777" w:rsidR="00B80C0C" w:rsidRDefault="00F51B01" w:rsidP="00C25D74">
            <w:pPr>
              <w:pStyle w:val="NormalWeb"/>
              <w:spacing w:before="0" w:beforeAutospacing="0" w:after="0" w:afterAutospacing="0"/>
              <w:jc w:val="center"/>
            </w:pPr>
            <w:r w:rsidRPr="008041F0">
              <w:rPr>
                <w:shd w:val="clear" w:color="auto" w:fill="FFFFFF"/>
              </w:rPr>
              <w:t>Tiesību akta projekts šo jomu neskar</w:t>
            </w:r>
            <w:r>
              <w:rPr>
                <w:shd w:val="clear" w:color="auto" w:fill="FFFFFF"/>
              </w:rPr>
              <w:t>.</w:t>
            </w:r>
          </w:p>
        </w:tc>
      </w:tr>
    </w:tbl>
    <w:p w14:paraId="6EF87998" w14:textId="77777777" w:rsidR="00B80C0C" w:rsidRDefault="00B80C0C" w:rsidP="00B80C0C">
      <w:pPr>
        <w:pStyle w:val="NormalWeb"/>
        <w:spacing w:before="0" w:beforeAutospacing="0" w:after="0" w:afterAutospacing="0"/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B80C0C" w14:paraId="3052DD0B" w14:textId="77777777" w:rsidTr="00F51B01">
        <w:trPr>
          <w:trHeight w:val="416"/>
        </w:trPr>
        <w:tc>
          <w:tcPr>
            <w:tcW w:w="10065" w:type="dxa"/>
          </w:tcPr>
          <w:p w14:paraId="4D5DBA06" w14:textId="77777777" w:rsidR="00B80C0C" w:rsidRDefault="00B80C0C" w:rsidP="00C25D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414142"/>
              </w:rPr>
            </w:pPr>
            <w:r>
              <w:rPr>
                <w:b/>
                <w:bCs/>
                <w:color w:val="414142"/>
              </w:rPr>
              <w:t>V. Tiesību akta projekta atbilstība Latvijas Republikas starptautiskajām saistībām</w:t>
            </w:r>
          </w:p>
          <w:p w14:paraId="1FB6511F" w14:textId="77777777" w:rsidR="00C916C0" w:rsidRDefault="00C916C0" w:rsidP="00C25D74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C916C0" w14:paraId="135BFB45" w14:textId="77777777" w:rsidTr="00F51B01">
        <w:trPr>
          <w:trHeight w:val="416"/>
        </w:trPr>
        <w:tc>
          <w:tcPr>
            <w:tcW w:w="10065" w:type="dxa"/>
          </w:tcPr>
          <w:p w14:paraId="75F6AD1C" w14:textId="77777777" w:rsidR="00C916C0" w:rsidRDefault="00C916C0" w:rsidP="00C25D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414142"/>
              </w:rPr>
            </w:pPr>
            <w:r w:rsidRPr="008041F0">
              <w:rPr>
                <w:shd w:val="clear" w:color="auto" w:fill="FFFFFF"/>
              </w:rPr>
              <w:t>Tiesību akta projekts šo jomu neskar</w:t>
            </w:r>
            <w:r>
              <w:rPr>
                <w:shd w:val="clear" w:color="auto" w:fill="FFFFFF"/>
              </w:rPr>
              <w:t>.</w:t>
            </w:r>
          </w:p>
        </w:tc>
      </w:tr>
    </w:tbl>
    <w:p w14:paraId="4AC32F5A" w14:textId="77777777" w:rsidR="00B80C0C" w:rsidRDefault="00B80C0C" w:rsidP="00B80C0C">
      <w:pPr>
        <w:pStyle w:val="NormalWeb"/>
        <w:spacing w:before="0" w:beforeAutospacing="0" w:after="0" w:afterAutospacing="0"/>
      </w:pPr>
    </w:p>
    <w:p w14:paraId="3CFC6CC2" w14:textId="77777777" w:rsidR="00B80C0C" w:rsidRDefault="00B80C0C" w:rsidP="00B80C0C">
      <w:pPr>
        <w:pStyle w:val="NormalWeb"/>
        <w:spacing w:before="0" w:beforeAutospacing="0" w:after="0" w:afterAutospacing="0"/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B80C0C" w14:paraId="01F857BE" w14:textId="77777777" w:rsidTr="00F51B01">
        <w:trPr>
          <w:trHeight w:val="404"/>
        </w:trPr>
        <w:tc>
          <w:tcPr>
            <w:tcW w:w="10065" w:type="dxa"/>
          </w:tcPr>
          <w:p w14:paraId="3AE518E2" w14:textId="77777777" w:rsidR="00B80C0C" w:rsidRDefault="00B80C0C" w:rsidP="00C25D7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414142"/>
              </w:rPr>
              <w:t>VI. Sabiedrības līdzdalība un komunikācijas aktivitātes</w:t>
            </w:r>
          </w:p>
        </w:tc>
      </w:tr>
    </w:tbl>
    <w:p w14:paraId="2F4ACBFF" w14:textId="77777777" w:rsidR="00B80C0C" w:rsidRDefault="00B80C0C" w:rsidP="00B80C0C">
      <w:pPr>
        <w:pStyle w:val="NormalWeb"/>
        <w:spacing w:before="0" w:beforeAutospacing="0" w:after="0" w:afterAutospacing="0"/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323"/>
        <w:gridCol w:w="7088"/>
      </w:tblGrid>
      <w:tr w:rsidR="00C916C0" w:rsidRPr="008041F0" w14:paraId="15948325" w14:textId="77777777" w:rsidTr="00DE3477">
        <w:trPr>
          <w:trHeight w:val="553"/>
        </w:trPr>
        <w:tc>
          <w:tcPr>
            <w:tcW w:w="3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0C36A" w14:textId="77777777" w:rsidR="00C916C0" w:rsidRPr="008041F0" w:rsidRDefault="00C916C0" w:rsidP="00167246">
            <w:pPr>
              <w:jc w:val="center"/>
            </w:pPr>
            <w:r w:rsidRPr="008041F0">
              <w:t> 1.</w:t>
            </w:r>
          </w:p>
        </w:tc>
        <w:tc>
          <w:tcPr>
            <w:tcW w:w="1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98D1" w14:textId="316669EC" w:rsidR="00C916C0" w:rsidRPr="008041F0" w:rsidRDefault="00DE3477" w:rsidP="006C0156">
            <w:r>
              <w:t>Plānotās sabiedrības līdzdalības un komunikācijas aktivitātes saistībā ar projektu</w:t>
            </w:r>
          </w:p>
        </w:tc>
        <w:tc>
          <w:tcPr>
            <w:tcW w:w="3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6590" w14:textId="40FA54EE" w:rsidR="00C916C0" w:rsidRPr="008041F0" w:rsidRDefault="00C916C0" w:rsidP="00167246">
            <w:pPr>
              <w:jc w:val="both"/>
            </w:pPr>
            <w:r w:rsidRPr="008041F0">
              <w:t xml:space="preserve">Noteikumu projekts pirms izsludināšanas Valsts sekretāru sanāksmē publicēts </w:t>
            </w:r>
            <w:r w:rsidR="00D667C9">
              <w:t>VARAM</w:t>
            </w:r>
            <w:r w:rsidRPr="008041F0">
              <w:t xml:space="preserve"> tīmekļvietnē </w:t>
            </w:r>
            <w:hyperlink r:id="rId8" w:history="1">
              <w:r w:rsidRPr="008041F0">
                <w:rPr>
                  <w:u w:val="single"/>
                </w:rPr>
                <w:t>www.varam.gov.lv</w:t>
              </w:r>
            </w:hyperlink>
            <w:r w:rsidRPr="008041F0">
              <w:t xml:space="preserve">. </w:t>
            </w:r>
          </w:p>
          <w:p w14:paraId="4EC924C5" w14:textId="77777777" w:rsidR="00C916C0" w:rsidRPr="008041F0" w:rsidRDefault="00C916C0" w:rsidP="00167246">
            <w:pPr>
              <w:jc w:val="both"/>
            </w:pPr>
          </w:p>
        </w:tc>
      </w:tr>
      <w:tr w:rsidR="00C916C0" w:rsidRPr="008041F0" w14:paraId="49E8EA0A" w14:textId="77777777" w:rsidTr="00DE3477">
        <w:trPr>
          <w:trHeight w:val="339"/>
        </w:trPr>
        <w:tc>
          <w:tcPr>
            <w:tcW w:w="3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D34B" w14:textId="77777777" w:rsidR="00C916C0" w:rsidRPr="008041F0" w:rsidRDefault="00C916C0" w:rsidP="00167246">
            <w:pPr>
              <w:jc w:val="center"/>
            </w:pPr>
            <w:r w:rsidRPr="008041F0">
              <w:t> 2.</w:t>
            </w:r>
          </w:p>
        </w:tc>
        <w:tc>
          <w:tcPr>
            <w:tcW w:w="1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CE91" w14:textId="77777777" w:rsidR="00C916C0" w:rsidRPr="008041F0" w:rsidRDefault="00C916C0" w:rsidP="006C0156">
            <w:r w:rsidRPr="008041F0">
              <w:t>Sabiedrības līdzdalība projekta izstrādē</w:t>
            </w:r>
          </w:p>
        </w:tc>
        <w:tc>
          <w:tcPr>
            <w:tcW w:w="3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8749" w14:textId="5E991244" w:rsidR="00C916C0" w:rsidRPr="00C916C0" w:rsidRDefault="00C916C0">
            <w:pPr>
              <w:jc w:val="both"/>
            </w:pPr>
            <w:r w:rsidRPr="00C916C0">
              <w:t>Saskaņā ar Ministru kabineta 2009. gada 25. augusta noteikumu Nr. 970 “Sabiedrības līdzdalības kārtība attīstības plānošanas procesā” 7.4.</w:t>
            </w:r>
            <w:r w:rsidRPr="00C916C0">
              <w:rPr>
                <w:vertAlign w:val="superscript"/>
              </w:rPr>
              <w:t>1</w:t>
            </w:r>
            <w:r w:rsidRPr="00C916C0">
              <w:t xml:space="preserve"> apakšpunktu sabiedrības pārstāvji aicināti līdzdarboties, rakstiski sniedzot viedokli par noteikumu projektu tā izstrādes stadijā. Sabiedrības pārstāvjiem ir iespēja iepazīties</w:t>
            </w:r>
            <w:r w:rsidR="004A5CC6">
              <w:t xml:space="preserve"> VARAM</w:t>
            </w:r>
            <w:r w:rsidRPr="00C916C0">
              <w:t xml:space="preserve"> tīmekļvietnē </w:t>
            </w:r>
            <w:hyperlink r:id="rId9" w:history="1">
              <w:r w:rsidRPr="00C916C0">
                <w:rPr>
                  <w:u w:val="single"/>
                </w:rPr>
                <w:t>www.varam.gov.lv</w:t>
              </w:r>
            </w:hyperlink>
            <w:r w:rsidRPr="00C916C0">
              <w:t xml:space="preserve"> ar publicēto paziņojumu par noteikumu projektu.</w:t>
            </w:r>
          </w:p>
        </w:tc>
      </w:tr>
      <w:tr w:rsidR="00C916C0" w:rsidRPr="008041F0" w14:paraId="477704DA" w14:textId="77777777" w:rsidTr="00DE3477">
        <w:trPr>
          <w:trHeight w:val="375"/>
        </w:trPr>
        <w:tc>
          <w:tcPr>
            <w:tcW w:w="3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587A" w14:textId="77777777" w:rsidR="00C916C0" w:rsidRPr="008041F0" w:rsidRDefault="00C916C0" w:rsidP="00167246">
            <w:pPr>
              <w:jc w:val="center"/>
            </w:pPr>
            <w:r w:rsidRPr="008041F0">
              <w:t> 3.</w:t>
            </w:r>
          </w:p>
        </w:tc>
        <w:tc>
          <w:tcPr>
            <w:tcW w:w="1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07CE" w14:textId="77777777" w:rsidR="00C916C0" w:rsidRPr="008041F0" w:rsidRDefault="00C916C0" w:rsidP="006C0156">
            <w:r w:rsidRPr="008041F0">
              <w:t>Sabiedrības līdzdalības rezultāti</w:t>
            </w:r>
          </w:p>
        </w:tc>
        <w:tc>
          <w:tcPr>
            <w:tcW w:w="3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2840" w14:textId="77777777" w:rsidR="00C916C0" w:rsidRPr="008041F0" w:rsidRDefault="00C916C0" w:rsidP="00167246">
            <w:pPr>
              <w:jc w:val="both"/>
            </w:pPr>
            <w:r w:rsidRPr="008041F0">
              <w:t>Nav</w:t>
            </w:r>
            <w:r w:rsidR="00F41DFB">
              <w:t>.</w:t>
            </w:r>
          </w:p>
        </w:tc>
      </w:tr>
      <w:tr w:rsidR="00DE148C" w:rsidRPr="008041F0" w14:paraId="3DB20068" w14:textId="77777777" w:rsidTr="00DE3477">
        <w:trPr>
          <w:trHeight w:val="397"/>
        </w:trPr>
        <w:tc>
          <w:tcPr>
            <w:tcW w:w="3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04B9" w14:textId="0F216CCD" w:rsidR="00DE148C" w:rsidRPr="008041F0" w:rsidRDefault="00DE148C" w:rsidP="00167246">
            <w:pPr>
              <w:jc w:val="center"/>
            </w:pPr>
            <w:r w:rsidRPr="008041F0">
              <w:t> </w:t>
            </w:r>
            <w:r w:rsidR="00DE3477">
              <w:t>4</w:t>
            </w:r>
            <w:r w:rsidRPr="008041F0">
              <w:t>.</w:t>
            </w:r>
          </w:p>
        </w:tc>
        <w:tc>
          <w:tcPr>
            <w:tcW w:w="11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0BC4" w14:textId="1424EDCB" w:rsidR="00DE148C" w:rsidRPr="008041F0" w:rsidRDefault="00DE148C" w:rsidP="006C0156">
            <w:r w:rsidRPr="008041F0">
              <w:t>Cita informācija</w:t>
            </w:r>
          </w:p>
        </w:tc>
        <w:tc>
          <w:tcPr>
            <w:tcW w:w="3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40E3" w14:textId="474AF4A3" w:rsidR="00DE148C" w:rsidRPr="008041F0" w:rsidRDefault="00DE148C" w:rsidP="00167246">
            <w:pPr>
              <w:jc w:val="both"/>
            </w:pPr>
            <w:r w:rsidRPr="008041F0">
              <w:t>Nav</w:t>
            </w:r>
          </w:p>
        </w:tc>
      </w:tr>
    </w:tbl>
    <w:p w14:paraId="029E80A5" w14:textId="77777777" w:rsidR="00261D5A" w:rsidRDefault="00261D5A" w:rsidP="00B80C0C">
      <w:pPr>
        <w:pStyle w:val="NormalWeb"/>
        <w:spacing w:before="0" w:beforeAutospacing="0" w:after="0" w:afterAutospacing="0"/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633"/>
        <w:gridCol w:w="5864"/>
      </w:tblGrid>
      <w:tr w:rsidR="00B80C0C" w14:paraId="17C1FFF7" w14:textId="77777777" w:rsidTr="00C916C0">
        <w:trPr>
          <w:trHeight w:val="371"/>
          <w:jc w:val="center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E63A" w14:textId="77777777" w:rsidR="00B80C0C" w:rsidRDefault="00B80C0C" w:rsidP="00C25D74">
            <w:pPr>
              <w:pStyle w:val="naisnod"/>
              <w:spacing w:before="0" w:after="0" w:line="276" w:lineRule="auto"/>
              <w:ind w:left="57" w:right="57"/>
            </w:pPr>
            <w:r>
              <w:t>VII. Tiesību akta projekta izpildes nodrošināšana un tās ietekme uz institūcijām</w:t>
            </w:r>
          </w:p>
        </w:tc>
      </w:tr>
      <w:tr w:rsidR="00B80C0C" w14:paraId="5CBC6C71" w14:textId="77777777" w:rsidTr="00C916C0">
        <w:trPr>
          <w:trHeight w:val="42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5663" w14:textId="77777777" w:rsidR="00B80C0C" w:rsidRDefault="00B80C0C" w:rsidP="00C25D74">
            <w:pPr>
              <w:pStyle w:val="naisnod"/>
              <w:spacing w:before="0" w:after="0" w:line="276" w:lineRule="auto"/>
              <w:ind w:left="57" w:right="57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DB85" w14:textId="77777777" w:rsidR="00B80C0C" w:rsidRDefault="00B80C0C" w:rsidP="00C25D74">
            <w:pPr>
              <w:pStyle w:val="naisf"/>
              <w:spacing w:before="0" w:after="0"/>
              <w:ind w:left="57" w:right="57" w:firstLine="0"/>
              <w:jc w:val="left"/>
            </w:pPr>
            <w:r>
              <w:t xml:space="preserve">Projekta izpildē iesaistītās institūcijas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6910" w14:textId="695257F6" w:rsidR="00B80C0C" w:rsidRPr="00F51B01" w:rsidRDefault="00D667C9" w:rsidP="00C25D74">
            <w:pPr>
              <w:pStyle w:val="naisnod"/>
              <w:spacing w:before="0" w:after="0"/>
              <w:ind w:left="57" w:right="152"/>
              <w:jc w:val="both"/>
              <w:rPr>
                <w:b w:val="0"/>
              </w:rPr>
            </w:pPr>
            <w:r>
              <w:rPr>
                <w:b w:val="0"/>
              </w:rPr>
              <w:t>VARAM</w:t>
            </w:r>
            <w:r w:rsidR="00F51B01" w:rsidRPr="00F51B01">
              <w:rPr>
                <w:b w:val="0"/>
              </w:rPr>
              <w:t>, Valsts reģionālās attīstības aģentūra.</w:t>
            </w:r>
          </w:p>
        </w:tc>
      </w:tr>
      <w:tr w:rsidR="00B80C0C" w14:paraId="64592A69" w14:textId="77777777" w:rsidTr="00C916C0">
        <w:trPr>
          <w:trHeight w:val="46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1EE4" w14:textId="77777777" w:rsidR="00B80C0C" w:rsidRDefault="00B80C0C" w:rsidP="00C25D74">
            <w:pPr>
              <w:pStyle w:val="naisnod"/>
              <w:spacing w:before="0" w:after="0" w:line="276" w:lineRule="auto"/>
              <w:ind w:left="57" w:right="57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E39F" w14:textId="17055582" w:rsidR="00B80C0C" w:rsidRDefault="00B80C0C" w:rsidP="00C25D74">
            <w:pPr>
              <w:pStyle w:val="naisf"/>
              <w:spacing w:before="0" w:after="0"/>
              <w:ind w:left="57" w:right="57" w:firstLine="0"/>
              <w:jc w:val="left"/>
            </w:pPr>
            <w:r>
              <w:t>Projekta izpildes ietekme uz pārvaldes funkcijām un institucionālo struktūru. Jaunu institūciju izveide, esošo institūciju likvidācija vai reorganizācija, to ietekme uz institūcijas cilvēkresursiem</w:t>
            </w:r>
            <w:r w:rsidR="00203D8F">
              <w:t xml:space="preserve">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3FF2" w14:textId="42AE073C" w:rsidR="00B80C0C" w:rsidRPr="00F51B01" w:rsidRDefault="00203D8F">
            <w:pPr>
              <w:pStyle w:val="naisnod"/>
              <w:spacing w:before="0" w:after="0"/>
              <w:ind w:left="57" w:right="152"/>
              <w:jc w:val="both"/>
              <w:rPr>
                <w:b w:val="0"/>
              </w:rPr>
            </w:pPr>
            <w:r>
              <w:rPr>
                <w:b w:val="0"/>
              </w:rPr>
              <w:t xml:space="preserve">Noteikumu projekta </w:t>
            </w:r>
            <w:r w:rsidRPr="005F6294">
              <w:rPr>
                <w:rFonts w:eastAsia="Calibri"/>
                <w:b w:val="0"/>
                <w:iCs/>
                <w:lang w:eastAsia="en-US"/>
              </w:rPr>
              <w:t xml:space="preserve">īstenošana tiks veikta esošo cilvēkresursu ietvaros. Saistībā ar </w:t>
            </w:r>
            <w:r w:rsidR="004A5CC6">
              <w:rPr>
                <w:rFonts w:eastAsia="Calibri"/>
                <w:b w:val="0"/>
                <w:iCs/>
                <w:lang w:eastAsia="en-US"/>
              </w:rPr>
              <w:t>noteikumu projekta</w:t>
            </w:r>
            <w:r w:rsidRPr="005F6294">
              <w:rPr>
                <w:rFonts w:eastAsia="Calibri"/>
                <w:b w:val="0"/>
                <w:iCs/>
                <w:lang w:eastAsia="en-US"/>
              </w:rPr>
              <w:t xml:space="preserve"> izpildi nebūs nepieciešams veidot jaunas institūcijas vai likvidēt, reorganizēt esošās.</w:t>
            </w:r>
            <w:r>
              <w:rPr>
                <w:rFonts w:eastAsia="Calibri"/>
                <w:b w:val="0"/>
                <w:iCs/>
                <w:lang w:eastAsia="en-US"/>
              </w:rPr>
              <w:t xml:space="preserve"> </w:t>
            </w:r>
          </w:p>
        </w:tc>
      </w:tr>
      <w:tr w:rsidR="00B80C0C" w14:paraId="558BA4A1" w14:textId="77777777" w:rsidTr="00C916C0">
        <w:trPr>
          <w:trHeight w:val="47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5F4" w14:textId="77777777" w:rsidR="00B80C0C" w:rsidRDefault="00B80C0C" w:rsidP="00C25D74">
            <w:pPr>
              <w:pStyle w:val="naiskr"/>
              <w:spacing w:before="0" w:after="0" w:line="276" w:lineRule="auto"/>
              <w:ind w:left="57" w:right="57"/>
              <w:jc w:val="center"/>
            </w:pPr>
            <w:r>
              <w:t>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7C7D" w14:textId="77777777" w:rsidR="00B80C0C" w:rsidRDefault="00B80C0C" w:rsidP="00C25D74">
            <w:pPr>
              <w:pStyle w:val="naiskr"/>
              <w:spacing w:before="0" w:after="0" w:line="276" w:lineRule="auto"/>
              <w:ind w:left="57" w:right="57"/>
            </w:pPr>
            <w:r>
              <w:t>Cita informācija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A200" w14:textId="77777777" w:rsidR="00B80C0C" w:rsidRDefault="00B80C0C" w:rsidP="00C25D74">
            <w:pPr>
              <w:pStyle w:val="naiskr"/>
              <w:spacing w:before="0" w:after="0" w:line="276" w:lineRule="auto"/>
              <w:ind w:left="57" w:right="152"/>
            </w:pPr>
            <w:r>
              <w:t>Nav.</w:t>
            </w:r>
          </w:p>
        </w:tc>
      </w:tr>
    </w:tbl>
    <w:p w14:paraId="69378B07" w14:textId="77777777" w:rsidR="00B80C0C" w:rsidRDefault="00B80C0C" w:rsidP="00B80C0C">
      <w:pPr>
        <w:jc w:val="both"/>
        <w:rPr>
          <w:sz w:val="26"/>
          <w:szCs w:val="26"/>
        </w:rPr>
      </w:pPr>
    </w:p>
    <w:p w14:paraId="12DD83E2" w14:textId="77777777" w:rsidR="00B80C0C" w:rsidRDefault="00B80C0C" w:rsidP="00B80C0C">
      <w:pPr>
        <w:jc w:val="both"/>
        <w:rPr>
          <w:sz w:val="26"/>
          <w:szCs w:val="26"/>
        </w:rPr>
      </w:pPr>
    </w:p>
    <w:p w14:paraId="57191DA3" w14:textId="77777777" w:rsidR="00B80C0C" w:rsidRPr="00DE3477" w:rsidRDefault="00B80C0C" w:rsidP="00B80C0C">
      <w:pPr>
        <w:jc w:val="both"/>
      </w:pPr>
      <w:r w:rsidRPr="00DE3477">
        <w:t>Vides aizsardzības un reģionālās</w:t>
      </w:r>
    </w:p>
    <w:p w14:paraId="7992DA51" w14:textId="29586CAE" w:rsidR="00B80C0C" w:rsidRPr="00DE3477" w:rsidRDefault="00B80C0C" w:rsidP="00DE3477">
      <w:pPr>
        <w:tabs>
          <w:tab w:val="left" w:pos="7620"/>
          <w:tab w:val="left" w:pos="7770"/>
          <w:tab w:val="left" w:pos="7965"/>
        </w:tabs>
        <w:jc w:val="both"/>
      </w:pPr>
      <w:r w:rsidRPr="00DE3477">
        <w:t>attīstības ministrs</w:t>
      </w:r>
      <w:r w:rsidR="004A5CC6" w:rsidRPr="004A5CC6">
        <w:t xml:space="preserve"> </w:t>
      </w:r>
      <w:r w:rsidRPr="00DE3477">
        <w:t>Kaspars Gerhards</w:t>
      </w:r>
      <w:r w:rsidR="004A5CC6">
        <w:tab/>
      </w:r>
      <w:r w:rsidR="004A5CC6" w:rsidRPr="002C0C15">
        <w:t>Kaspars Gerhards</w:t>
      </w:r>
      <w:r w:rsidR="004A5CC6">
        <w:tab/>
      </w:r>
      <w:r w:rsidR="004A5CC6">
        <w:tab/>
      </w:r>
    </w:p>
    <w:p w14:paraId="11CE490B" w14:textId="77777777" w:rsidR="00B80C0C" w:rsidRPr="00DE3477" w:rsidRDefault="00B80C0C" w:rsidP="00B80C0C">
      <w:pPr>
        <w:tabs>
          <w:tab w:val="left" w:pos="5610"/>
        </w:tabs>
      </w:pPr>
    </w:p>
    <w:p w14:paraId="31D4E8F7" w14:textId="77777777" w:rsidR="00B80C0C" w:rsidRPr="00DE3477" w:rsidRDefault="00B80C0C" w:rsidP="00B80C0C">
      <w:pPr>
        <w:tabs>
          <w:tab w:val="left" w:pos="5610"/>
        </w:tabs>
      </w:pPr>
    </w:p>
    <w:p w14:paraId="4FFA0786" w14:textId="77777777" w:rsidR="00B80C0C" w:rsidRPr="00DE3477" w:rsidRDefault="00B80C0C" w:rsidP="00B80C0C">
      <w:pPr>
        <w:tabs>
          <w:tab w:val="left" w:pos="5610"/>
        </w:tabs>
      </w:pPr>
    </w:p>
    <w:p w14:paraId="45FF7792" w14:textId="77777777" w:rsidR="00B80C0C" w:rsidRPr="00DE3477" w:rsidRDefault="00B80C0C" w:rsidP="00B80C0C">
      <w:pPr>
        <w:tabs>
          <w:tab w:val="left" w:pos="5610"/>
        </w:tabs>
      </w:pPr>
    </w:p>
    <w:p w14:paraId="749AF859" w14:textId="77777777" w:rsidR="00B80C0C" w:rsidRPr="00DE3477" w:rsidRDefault="00B80C0C" w:rsidP="00B80C0C">
      <w:pPr>
        <w:tabs>
          <w:tab w:val="left" w:pos="5610"/>
        </w:tabs>
      </w:pPr>
      <w:r w:rsidRPr="00DE3477">
        <w:t>Vides aizsardzības un reģionālās</w:t>
      </w:r>
    </w:p>
    <w:p w14:paraId="78366624" w14:textId="0C84C335" w:rsidR="00B80C0C" w:rsidRPr="00DE3477" w:rsidRDefault="00B80C0C" w:rsidP="00DE3477">
      <w:pPr>
        <w:tabs>
          <w:tab w:val="left" w:pos="5610"/>
          <w:tab w:val="left" w:pos="7620"/>
        </w:tabs>
      </w:pPr>
      <w:r w:rsidRPr="00DE3477">
        <w:t xml:space="preserve">attīstības ministrijas valsts sekretārs </w:t>
      </w:r>
      <w:r w:rsidRPr="00DE3477">
        <w:tab/>
      </w:r>
      <w:r w:rsidR="00E56C0E" w:rsidRPr="004A5CC6">
        <w:t xml:space="preserve"> </w:t>
      </w:r>
      <w:r w:rsidR="00E56C0E">
        <w:tab/>
      </w:r>
      <w:r w:rsidR="00E56C0E" w:rsidRPr="002C0C15">
        <w:t>Rinalds Muciņš</w:t>
      </w:r>
    </w:p>
    <w:p w14:paraId="59F95E00" w14:textId="77777777" w:rsidR="00B80C0C" w:rsidRDefault="00B80C0C" w:rsidP="00B80C0C">
      <w:pPr>
        <w:ind w:right="283"/>
        <w:jc w:val="both"/>
        <w:rPr>
          <w:sz w:val="26"/>
          <w:szCs w:val="26"/>
        </w:rPr>
      </w:pPr>
    </w:p>
    <w:p w14:paraId="4E9807A2" w14:textId="77777777" w:rsidR="00B80C0C" w:rsidRDefault="00B80C0C" w:rsidP="00B80C0C">
      <w:pPr>
        <w:ind w:right="283"/>
        <w:jc w:val="both"/>
        <w:rPr>
          <w:sz w:val="20"/>
          <w:szCs w:val="20"/>
        </w:rPr>
      </w:pPr>
    </w:p>
    <w:p w14:paraId="39699F54" w14:textId="77777777" w:rsidR="00B80C0C" w:rsidRDefault="00B80C0C" w:rsidP="00B80C0C">
      <w:pPr>
        <w:ind w:right="283"/>
        <w:jc w:val="both"/>
        <w:rPr>
          <w:sz w:val="20"/>
          <w:szCs w:val="20"/>
        </w:rPr>
      </w:pPr>
    </w:p>
    <w:p w14:paraId="24122C50" w14:textId="77777777" w:rsidR="00B80C0C" w:rsidRDefault="00B80C0C" w:rsidP="00B80C0C">
      <w:pPr>
        <w:ind w:right="283"/>
        <w:jc w:val="both"/>
        <w:rPr>
          <w:sz w:val="20"/>
          <w:szCs w:val="20"/>
        </w:rPr>
      </w:pPr>
    </w:p>
    <w:p w14:paraId="683AC7E3" w14:textId="77777777" w:rsidR="00B80C0C" w:rsidRDefault="00B80C0C" w:rsidP="00B80C0C">
      <w:pPr>
        <w:ind w:right="283"/>
        <w:jc w:val="both"/>
        <w:rPr>
          <w:sz w:val="20"/>
          <w:szCs w:val="20"/>
        </w:rPr>
      </w:pPr>
    </w:p>
    <w:p w14:paraId="32132C9A" w14:textId="77777777" w:rsidR="00B80C0C" w:rsidRDefault="00B80C0C" w:rsidP="00B80C0C">
      <w:pPr>
        <w:ind w:right="283"/>
        <w:jc w:val="both"/>
        <w:rPr>
          <w:sz w:val="20"/>
          <w:szCs w:val="20"/>
        </w:rPr>
      </w:pPr>
    </w:p>
    <w:p w14:paraId="24A2E152" w14:textId="77777777" w:rsidR="00B80C0C" w:rsidRDefault="00B80C0C" w:rsidP="00B80C0C">
      <w:pPr>
        <w:ind w:right="283"/>
        <w:jc w:val="both"/>
        <w:rPr>
          <w:sz w:val="20"/>
          <w:szCs w:val="20"/>
        </w:rPr>
      </w:pPr>
    </w:p>
    <w:p w14:paraId="17AAC44F" w14:textId="77777777" w:rsidR="009267EC" w:rsidRDefault="009267EC" w:rsidP="00B80C0C">
      <w:pPr>
        <w:ind w:right="283"/>
        <w:jc w:val="both"/>
        <w:rPr>
          <w:sz w:val="20"/>
          <w:szCs w:val="20"/>
        </w:rPr>
      </w:pPr>
    </w:p>
    <w:p w14:paraId="0D39C30C" w14:textId="77777777" w:rsidR="009267EC" w:rsidRDefault="009267EC" w:rsidP="00B80C0C">
      <w:pPr>
        <w:ind w:right="283"/>
        <w:jc w:val="both"/>
        <w:rPr>
          <w:sz w:val="20"/>
          <w:szCs w:val="20"/>
        </w:rPr>
      </w:pPr>
    </w:p>
    <w:p w14:paraId="7BFC6D9C" w14:textId="77777777" w:rsidR="00B80C0C" w:rsidRDefault="00B80C0C" w:rsidP="00B80C0C">
      <w:pPr>
        <w:ind w:right="283"/>
        <w:jc w:val="both"/>
        <w:rPr>
          <w:sz w:val="20"/>
          <w:szCs w:val="20"/>
        </w:rPr>
      </w:pPr>
    </w:p>
    <w:p w14:paraId="1E05FA1A" w14:textId="77777777" w:rsidR="00B80C0C" w:rsidRDefault="00B80C0C" w:rsidP="00B80C0C">
      <w:pPr>
        <w:ind w:right="283"/>
        <w:jc w:val="both"/>
        <w:rPr>
          <w:sz w:val="20"/>
          <w:szCs w:val="20"/>
        </w:rPr>
      </w:pPr>
    </w:p>
    <w:p w14:paraId="665877CF" w14:textId="77777777" w:rsidR="00B80C0C" w:rsidRPr="009267EC" w:rsidRDefault="00F41DFB" w:rsidP="00B80C0C">
      <w:pPr>
        <w:ind w:right="283"/>
        <w:jc w:val="both"/>
        <w:rPr>
          <w:sz w:val="20"/>
          <w:szCs w:val="20"/>
        </w:rPr>
      </w:pPr>
      <w:r w:rsidRPr="009267EC">
        <w:rPr>
          <w:sz w:val="20"/>
          <w:szCs w:val="20"/>
        </w:rPr>
        <w:t>Priedīte 67026924</w:t>
      </w:r>
    </w:p>
    <w:p w14:paraId="6AF91B29" w14:textId="77777777" w:rsidR="00B80C0C" w:rsidRPr="009267EC" w:rsidRDefault="005276DB" w:rsidP="00B80C0C">
      <w:pPr>
        <w:ind w:right="283"/>
        <w:jc w:val="both"/>
        <w:rPr>
          <w:sz w:val="20"/>
          <w:szCs w:val="20"/>
        </w:rPr>
      </w:pPr>
      <w:hyperlink r:id="rId10" w:history="1">
        <w:r w:rsidR="00F84018" w:rsidRPr="009267EC">
          <w:rPr>
            <w:rStyle w:val="Hyperlink"/>
            <w:sz w:val="20"/>
            <w:szCs w:val="20"/>
          </w:rPr>
          <w:t>renate.priedite@varam.gov.lv</w:t>
        </w:r>
      </w:hyperlink>
    </w:p>
    <w:p w14:paraId="7193E15D" w14:textId="77777777" w:rsidR="00B80C0C" w:rsidRDefault="00B80C0C" w:rsidP="00B80C0C"/>
    <w:p w14:paraId="51399529" w14:textId="77777777" w:rsidR="00B80C0C" w:rsidRDefault="00B80C0C" w:rsidP="00B80C0C"/>
    <w:p w14:paraId="291C20C9" w14:textId="77777777" w:rsidR="00220C20" w:rsidRDefault="005276DB"/>
    <w:sectPr w:rsidR="00220C20" w:rsidSect="0054118B">
      <w:footerReference w:type="default" r:id="rId11"/>
      <w:pgSz w:w="11906" w:h="16838"/>
      <w:pgMar w:top="1701" w:right="1418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505317" w15:done="0"/>
  <w15:commentEx w15:paraId="67904EC7" w15:done="0"/>
  <w15:commentEx w15:paraId="262B15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82D42" w14:textId="77777777" w:rsidR="005276DB" w:rsidRDefault="005276DB">
      <w:r>
        <w:separator/>
      </w:r>
    </w:p>
  </w:endnote>
  <w:endnote w:type="continuationSeparator" w:id="0">
    <w:p w14:paraId="0FE40BE0" w14:textId="77777777" w:rsidR="005276DB" w:rsidRDefault="0052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72F75" w14:textId="77777777" w:rsidR="009267EC" w:rsidRPr="009267EC" w:rsidRDefault="00DB05EF" w:rsidP="00901DF6">
    <w:pPr>
      <w:jc w:val="both"/>
      <w:rPr>
        <w:b/>
        <w:iCs/>
        <w:sz w:val="28"/>
        <w:szCs w:val="28"/>
      </w:rPr>
    </w:pPr>
    <w:r w:rsidRPr="00DB05EF">
      <w:rPr>
        <w:rFonts w:eastAsiaTheme="minorHAnsi"/>
        <w:sz w:val="20"/>
        <w:szCs w:val="20"/>
        <w:lang w:val="en-US" w:eastAsia="en-US"/>
      </w:rPr>
      <w:t>VARAMnot_</w:t>
    </w:r>
    <w:r w:rsidR="000C3F26">
      <w:rPr>
        <w:rFonts w:eastAsiaTheme="minorHAnsi"/>
        <w:sz w:val="20"/>
        <w:szCs w:val="20"/>
        <w:lang w:val="en-US" w:eastAsia="en-US"/>
      </w:rPr>
      <w:t>26</w:t>
    </w:r>
    <w:r>
      <w:rPr>
        <w:rFonts w:eastAsiaTheme="minorHAnsi"/>
        <w:sz w:val="20"/>
        <w:szCs w:val="20"/>
        <w:lang w:val="en-US" w:eastAsia="en-US"/>
      </w:rPr>
      <w:t>09</w:t>
    </w:r>
    <w:r w:rsidR="009267EC">
      <w:rPr>
        <w:rFonts w:eastAsiaTheme="minorHAnsi"/>
        <w:sz w:val="20"/>
        <w:szCs w:val="20"/>
        <w:lang w:val="en-US" w:eastAsia="en-US"/>
      </w:rPr>
      <w:t>17</w:t>
    </w:r>
    <w:r w:rsidR="00901DF6">
      <w:rPr>
        <w:rFonts w:eastAsiaTheme="minorHAnsi"/>
        <w:sz w:val="20"/>
        <w:szCs w:val="20"/>
        <w:lang w:val="en-US" w:eastAsia="en-US"/>
      </w:rPr>
      <w:t xml:space="preserve">_Noteikumu </w:t>
    </w:r>
    <w:proofErr w:type="spellStart"/>
    <w:r w:rsidR="00901DF6">
      <w:rPr>
        <w:rFonts w:eastAsiaTheme="minorHAnsi"/>
        <w:sz w:val="20"/>
        <w:szCs w:val="20"/>
        <w:lang w:val="en-US" w:eastAsia="en-US"/>
      </w:rPr>
      <w:t>projekts</w:t>
    </w:r>
    <w:proofErr w:type="spellEnd"/>
    <w:r w:rsidR="00901DF6">
      <w:rPr>
        <w:rFonts w:eastAsiaTheme="minorHAnsi"/>
        <w:sz w:val="20"/>
        <w:szCs w:val="20"/>
        <w:lang w:val="en-US" w:eastAsia="en-US"/>
      </w:rPr>
      <w:t xml:space="preserve"> </w:t>
    </w:r>
    <w:r w:rsidR="009267EC" w:rsidRPr="009267EC">
      <w:rPr>
        <w:iCs/>
        <w:sz w:val="20"/>
        <w:szCs w:val="20"/>
      </w:rPr>
      <w:t>“Grozījums Ministru kabineta 2017. gada</w:t>
    </w:r>
    <w:r w:rsidR="000C3F26">
      <w:rPr>
        <w:iCs/>
        <w:sz w:val="20"/>
        <w:szCs w:val="20"/>
      </w:rPr>
      <w:t xml:space="preserve"> 17. janvāra noteikumos Nr. 35 “</w:t>
    </w:r>
    <w:r w:rsidR="009267EC" w:rsidRPr="009267EC">
      <w:rPr>
        <w:rFonts w:eastAsiaTheme="minorHAnsi"/>
        <w:bCs/>
        <w:sz w:val="20"/>
        <w:szCs w:val="20"/>
        <w:shd w:val="clear" w:color="auto" w:fill="FFFFFF"/>
        <w:lang w:eastAsia="en-US"/>
      </w:rPr>
      <w:t>Zemes pārskatā iekļaujamās informācijas sagatavošanas kārtība</w:t>
    </w:r>
    <w:r w:rsidR="009267EC">
      <w:rPr>
        <w:iCs/>
        <w:sz w:val="20"/>
        <w:szCs w:val="20"/>
      </w:rPr>
      <w:t>”</w:t>
    </w:r>
    <w:r w:rsidR="009267EC" w:rsidRPr="009267EC">
      <w:rPr>
        <w:iCs/>
        <w:sz w:val="20"/>
        <w:szCs w:val="20"/>
      </w:rPr>
      <w:t xml:space="preserve">” </w:t>
    </w:r>
    <w:r w:rsidR="009267EC" w:rsidRPr="009267EC">
      <w:rPr>
        <w:rFonts w:eastAsiaTheme="minorHAnsi"/>
        <w:sz w:val="20"/>
        <w:szCs w:val="20"/>
        <w:lang w:eastAsia="en-US"/>
      </w:rPr>
      <w:t>sākotnējās ietekmes novērtējuma ziņojums (anotācija)</w:t>
    </w:r>
  </w:p>
  <w:p w14:paraId="3A448FF1" w14:textId="77777777" w:rsidR="00DB05EF" w:rsidRPr="009267EC" w:rsidRDefault="00DB05EF" w:rsidP="00DB05EF">
    <w:pPr>
      <w:tabs>
        <w:tab w:val="center" w:pos="4320"/>
        <w:tab w:val="right" w:pos="8640"/>
      </w:tabs>
      <w:jc w:val="both"/>
      <w:rPr>
        <w:rFonts w:eastAsiaTheme="minorHAnsi"/>
        <w:sz w:val="20"/>
        <w:szCs w:val="20"/>
        <w:lang w:eastAsia="en-US"/>
      </w:rPr>
    </w:pPr>
  </w:p>
  <w:p w14:paraId="7352F4BA" w14:textId="77777777" w:rsidR="00CA4290" w:rsidRDefault="007142FA" w:rsidP="000E06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221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E2F41" w14:textId="77777777" w:rsidR="005276DB" w:rsidRDefault="005276DB">
      <w:r>
        <w:separator/>
      </w:r>
    </w:p>
  </w:footnote>
  <w:footnote w:type="continuationSeparator" w:id="0">
    <w:p w14:paraId="524D150A" w14:textId="77777777" w:rsidR="005276DB" w:rsidRDefault="005276D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js Puhovs">
    <w15:presenceInfo w15:providerId="AD" w15:userId="S-1-5-21-1177238915-1417001333-839522115-12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0C"/>
    <w:rsid w:val="00035476"/>
    <w:rsid w:val="00035EBB"/>
    <w:rsid w:val="000C3F26"/>
    <w:rsid w:val="00131668"/>
    <w:rsid w:val="00141B8D"/>
    <w:rsid w:val="001B079C"/>
    <w:rsid w:val="00203D8F"/>
    <w:rsid w:val="00241A36"/>
    <w:rsid w:val="002533ED"/>
    <w:rsid w:val="00261D5A"/>
    <w:rsid w:val="002954B5"/>
    <w:rsid w:val="002C7238"/>
    <w:rsid w:val="002E2836"/>
    <w:rsid w:val="00410FD0"/>
    <w:rsid w:val="004321BB"/>
    <w:rsid w:val="004A5CC6"/>
    <w:rsid w:val="005276DB"/>
    <w:rsid w:val="00544D6E"/>
    <w:rsid w:val="00547A9F"/>
    <w:rsid w:val="005D140E"/>
    <w:rsid w:val="00687B15"/>
    <w:rsid w:val="006C0156"/>
    <w:rsid w:val="006C067C"/>
    <w:rsid w:val="006F15FA"/>
    <w:rsid w:val="007142FA"/>
    <w:rsid w:val="00732E7F"/>
    <w:rsid w:val="007A2FB6"/>
    <w:rsid w:val="008E2730"/>
    <w:rsid w:val="00901DF6"/>
    <w:rsid w:val="009267EC"/>
    <w:rsid w:val="009B2212"/>
    <w:rsid w:val="009E3BE1"/>
    <w:rsid w:val="009E5AA1"/>
    <w:rsid w:val="00A005BE"/>
    <w:rsid w:val="00A1617C"/>
    <w:rsid w:val="00A54519"/>
    <w:rsid w:val="00A96DE1"/>
    <w:rsid w:val="00B80C0C"/>
    <w:rsid w:val="00B95741"/>
    <w:rsid w:val="00C46B91"/>
    <w:rsid w:val="00C916C0"/>
    <w:rsid w:val="00D667C9"/>
    <w:rsid w:val="00DB05EF"/>
    <w:rsid w:val="00DE148C"/>
    <w:rsid w:val="00DE3477"/>
    <w:rsid w:val="00E434D1"/>
    <w:rsid w:val="00E56C0E"/>
    <w:rsid w:val="00F41DFB"/>
    <w:rsid w:val="00F51B01"/>
    <w:rsid w:val="00F84018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F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0C0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80C0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B80C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C0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naisnod">
    <w:name w:val="naisnod"/>
    <w:basedOn w:val="Normal"/>
    <w:rsid w:val="00B80C0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80C0C"/>
    <w:pPr>
      <w:spacing w:before="75" w:after="75"/>
    </w:pPr>
  </w:style>
  <w:style w:type="paragraph" w:customStyle="1" w:styleId="naisf">
    <w:name w:val="naisf"/>
    <w:basedOn w:val="Normal"/>
    <w:rsid w:val="00B80C0C"/>
    <w:pPr>
      <w:spacing w:before="75" w:after="75"/>
      <w:ind w:firstLine="375"/>
      <w:jc w:val="both"/>
    </w:pPr>
  </w:style>
  <w:style w:type="paragraph" w:customStyle="1" w:styleId="tv2131">
    <w:name w:val="tv2131"/>
    <w:basedOn w:val="Normal"/>
    <w:rsid w:val="00B80C0C"/>
    <w:pPr>
      <w:spacing w:line="360" w:lineRule="auto"/>
      <w:ind w:firstLine="300"/>
    </w:pPr>
    <w:rPr>
      <w:color w:val="41414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C0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B80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C0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apple-converted-space">
    <w:name w:val="apple-converted-space"/>
    <w:basedOn w:val="DefaultParagraphFont"/>
    <w:rsid w:val="00B80C0C"/>
  </w:style>
  <w:style w:type="table" w:styleId="TableGrid">
    <w:name w:val="Table Grid"/>
    <w:basedOn w:val="TableNormal"/>
    <w:uiPriority w:val="39"/>
    <w:rsid w:val="00B80C0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1B0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01"/>
    <w:rPr>
      <w:rFonts w:ascii="Tahoma" w:eastAsia="Times New Roman" w:hAnsi="Tahoma" w:cs="Tahoma"/>
      <w:sz w:val="16"/>
      <w:szCs w:val="16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B0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5E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54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D8F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0C0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B80C0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B80C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C0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naisnod">
    <w:name w:val="naisnod"/>
    <w:basedOn w:val="Normal"/>
    <w:rsid w:val="00B80C0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B80C0C"/>
    <w:pPr>
      <w:spacing w:before="75" w:after="75"/>
    </w:pPr>
  </w:style>
  <w:style w:type="paragraph" w:customStyle="1" w:styleId="naisf">
    <w:name w:val="naisf"/>
    <w:basedOn w:val="Normal"/>
    <w:rsid w:val="00B80C0C"/>
    <w:pPr>
      <w:spacing w:before="75" w:after="75"/>
      <w:ind w:firstLine="375"/>
      <w:jc w:val="both"/>
    </w:pPr>
  </w:style>
  <w:style w:type="paragraph" w:customStyle="1" w:styleId="tv2131">
    <w:name w:val="tv2131"/>
    <w:basedOn w:val="Normal"/>
    <w:rsid w:val="00B80C0C"/>
    <w:pPr>
      <w:spacing w:line="360" w:lineRule="auto"/>
      <w:ind w:firstLine="300"/>
    </w:pPr>
    <w:rPr>
      <w:color w:val="41414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C0C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B80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C0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apple-converted-space">
    <w:name w:val="apple-converted-space"/>
    <w:basedOn w:val="DefaultParagraphFont"/>
    <w:rsid w:val="00B80C0C"/>
  </w:style>
  <w:style w:type="table" w:styleId="TableGrid">
    <w:name w:val="Table Grid"/>
    <w:basedOn w:val="TableNormal"/>
    <w:uiPriority w:val="39"/>
    <w:rsid w:val="00B80C0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1B0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01"/>
    <w:rPr>
      <w:rFonts w:ascii="Tahoma" w:eastAsia="Times New Roman" w:hAnsi="Tahoma" w:cs="Tahoma"/>
      <w:sz w:val="16"/>
      <w:szCs w:val="16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B0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5E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54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D8F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renate.priedite@vara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am.gov.lv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3385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2017. gada 17. janvāra noteikumos Nr. 35 "Zemes pārskatā iekļaujamās informācijas sagatavošanas kārtība"</vt:lpstr>
    </vt:vector>
  </TitlesOfParts>
  <Company>Vides aizsardzības un reģionālās attīstības ministrija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17. janvāra noteikumos Nr. 35 "Zemes pārskatā iekļaujamās informācijas sagatavošanas kārtība"</dc:title>
  <dc:subject>Anotācija</dc:subject>
  <dc:creator>Renāte Priedīte</dc:creator>
  <dc:description>67026924, renate.priedite@varam.gov.lv</dc:description>
  <cp:lastModifiedBy>Jekaterina Borovika</cp:lastModifiedBy>
  <cp:revision>2</cp:revision>
  <cp:lastPrinted>2017-09-26T12:42:00Z</cp:lastPrinted>
  <dcterms:created xsi:type="dcterms:W3CDTF">2017-10-03T09:58:00Z</dcterms:created>
  <dcterms:modified xsi:type="dcterms:W3CDTF">2017-10-03T09:58:00Z</dcterms:modified>
</cp:coreProperties>
</file>