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BE5D30" w:rsidP="002248FE" w14:paraId="49B1733A" w14:textId="77777777">
      <w:pPr>
        <w:spacing w:before="0" w:after="0"/>
        <w:jc w:val="right"/>
        <w:rPr>
          <w:rFonts w:ascii="Times New Roman" w:eastAsia="Times New Roman" w:hAnsi="Times New Roman" w:cs="Times New Roman"/>
          <w:sz w:val="28"/>
          <w:szCs w:val="28"/>
          <w:lang w:eastAsia="lv-LV"/>
        </w:rPr>
      </w:pPr>
      <w:r w:rsidRPr="00BE5D30">
        <w:rPr>
          <w:rFonts w:ascii="Times New Roman" w:eastAsia="Times New Roman" w:hAnsi="Times New Roman" w:cs="Times New Roman"/>
          <w:sz w:val="28"/>
          <w:szCs w:val="28"/>
          <w:lang w:eastAsia="lv-LV"/>
        </w:rPr>
        <w:t xml:space="preserve">Pielikums </w:t>
      </w:r>
    </w:p>
    <w:p w:rsidR="00B44C2C" w:rsidRPr="00BE5D30" w:rsidP="002248FE" w14:paraId="379E4EFD" w14:textId="77777777">
      <w:pPr>
        <w:spacing w:before="0" w:after="0"/>
        <w:jc w:val="right"/>
        <w:rPr>
          <w:rFonts w:ascii="Times New Roman" w:eastAsia="Times New Roman" w:hAnsi="Times New Roman" w:cs="Times New Roman"/>
          <w:sz w:val="28"/>
          <w:szCs w:val="28"/>
          <w:lang w:eastAsia="lv-LV"/>
        </w:rPr>
      </w:pPr>
      <w:r w:rsidRPr="00BE5D30">
        <w:rPr>
          <w:rFonts w:ascii="Times New Roman" w:eastAsia="Times New Roman" w:hAnsi="Times New Roman" w:cs="Times New Roman"/>
          <w:sz w:val="28"/>
          <w:szCs w:val="28"/>
          <w:lang w:eastAsia="lv-LV"/>
        </w:rPr>
        <w:t>Ministru kabineta</w:t>
      </w:r>
    </w:p>
    <w:p w:rsidR="00B44C2C" w:rsidRPr="00BE5D30" w:rsidP="002248FE" w14:paraId="4F490E5C" w14:textId="2A1174EA">
      <w:pPr>
        <w:spacing w:before="0" w:after="0"/>
        <w:jc w:val="right"/>
        <w:rPr>
          <w:rFonts w:ascii="Times New Roman" w:eastAsia="Times New Roman" w:hAnsi="Times New Roman" w:cs="Times New Roman"/>
          <w:sz w:val="28"/>
          <w:szCs w:val="28"/>
          <w:lang w:eastAsia="lv-LV"/>
        </w:rPr>
      </w:pPr>
      <w:r w:rsidRPr="00BE5D30">
        <w:rPr>
          <w:rFonts w:ascii="Times New Roman" w:eastAsia="Times New Roman" w:hAnsi="Times New Roman" w:cs="Times New Roman"/>
          <w:sz w:val="28"/>
          <w:szCs w:val="28"/>
          <w:lang w:eastAsia="lv-LV"/>
        </w:rPr>
        <w:t xml:space="preserve"> 201</w:t>
      </w:r>
      <w:r w:rsidRPr="00BE5D30" w:rsidR="00C71FDA">
        <w:rPr>
          <w:rFonts w:ascii="Times New Roman" w:eastAsia="Times New Roman" w:hAnsi="Times New Roman" w:cs="Times New Roman"/>
          <w:sz w:val="28"/>
          <w:szCs w:val="28"/>
          <w:lang w:eastAsia="lv-LV"/>
        </w:rPr>
        <w:t>7</w:t>
      </w:r>
      <w:r w:rsidRPr="00BE5D30">
        <w:rPr>
          <w:rFonts w:ascii="Times New Roman" w:eastAsia="Times New Roman" w:hAnsi="Times New Roman" w:cs="Times New Roman"/>
          <w:sz w:val="28"/>
          <w:szCs w:val="28"/>
          <w:lang w:eastAsia="lv-LV"/>
        </w:rPr>
        <w:t>. gada   </w:t>
      </w:r>
      <w:r w:rsidRPr="00BE5D30" w:rsidR="009B5A61">
        <w:rPr>
          <w:rFonts w:ascii="Times New Roman" w:eastAsia="Times New Roman" w:hAnsi="Times New Roman" w:cs="Times New Roman"/>
          <w:sz w:val="28"/>
          <w:szCs w:val="28"/>
          <w:lang w:eastAsia="lv-LV"/>
        </w:rPr>
        <w:t>_______</w:t>
      </w:r>
      <w:r w:rsidRPr="00BE5D30">
        <w:rPr>
          <w:rFonts w:ascii="Times New Roman" w:eastAsia="Times New Roman" w:hAnsi="Times New Roman" w:cs="Times New Roman"/>
          <w:sz w:val="28"/>
          <w:szCs w:val="28"/>
          <w:lang w:eastAsia="lv-LV"/>
        </w:rPr>
        <w:t> rīkojumam Nr.  </w:t>
      </w:r>
      <w:r w:rsidRPr="00BE5D30" w:rsidR="009B5A61">
        <w:rPr>
          <w:rFonts w:ascii="Times New Roman" w:eastAsia="Times New Roman" w:hAnsi="Times New Roman" w:cs="Times New Roman"/>
          <w:sz w:val="28"/>
          <w:szCs w:val="28"/>
          <w:lang w:eastAsia="lv-LV"/>
        </w:rPr>
        <w:t>____</w:t>
      </w:r>
      <w:r w:rsidRPr="00BE5D30">
        <w:rPr>
          <w:rFonts w:ascii="Times New Roman" w:eastAsia="Times New Roman" w:hAnsi="Times New Roman" w:cs="Times New Roman"/>
          <w:sz w:val="28"/>
          <w:szCs w:val="28"/>
          <w:lang w:eastAsia="lv-LV"/>
        </w:rPr>
        <w:t>   </w:t>
      </w:r>
    </w:p>
    <w:p w:rsidR="00AD2A37" w:rsidRPr="00BE5D30" w:rsidP="002248FE" w14:paraId="40B8C014" w14:textId="77777777">
      <w:pPr>
        <w:pStyle w:val="VPBody"/>
        <w:jc w:val="right"/>
        <w:rPr>
          <w:sz w:val="28"/>
          <w:szCs w:val="28"/>
        </w:rPr>
      </w:pPr>
    </w:p>
    <w:p w:rsidR="00903540" w:rsidRPr="00BE5D30" w:rsidP="002248FE" w14:paraId="574753A7" w14:textId="77777777">
      <w:pPr>
        <w:pStyle w:val="VPBody"/>
        <w:spacing w:before="0" w:after="60"/>
        <w:jc w:val="center"/>
        <w:rPr>
          <w:b/>
          <w:sz w:val="28"/>
          <w:szCs w:val="28"/>
        </w:rPr>
      </w:pPr>
      <w:r w:rsidRPr="00BE5D30">
        <w:rPr>
          <w:b/>
          <w:sz w:val="28"/>
          <w:szCs w:val="28"/>
        </w:rPr>
        <w:t xml:space="preserve">Tiesu medicīnas ekspertīzes un izpētes procesu optimizācija un attīstība </w:t>
      </w:r>
    </w:p>
    <w:p w:rsidR="00B44C2C" w:rsidRPr="00BE5D30" w:rsidP="002248FE" w14:paraId="42A91D88" w14:textId="66610628">
      <w:pPr>
        <w:pStyle w:val="VPBody"/>
        <w:spacing w:before="0" w:after="60"/>
        <w:jc w:val="center"/>
        <w:rPr>
          <w:b/>
          <w:sz w:val="28"/>
          <w:szCs w:val="28"/>
        </w:rPr>
      </w:pPr>
      <w:r w:rsidRPr="00BE5D30">
        <w:rPr>
          <w:b/>
          <w:sz w:val="28"/>
          <w:szCs w:val="28"/>
        </w:rPr>
        <w:t>p</w:t>
      </w:r>
      <w:r w:rsidRPr="00BE5D30">
        <w:rPr>
          <w:b/>
          <w:sz w:val="28"/>
          <w:szCs w:val="28"/>
        </w:rPr>
        <w:t>rojekta apraksts (kopsavilkums)</w:t>
      </w:r>
    </w:p>
    <w:p w:rsidR="00AD2A37" w:rsidRPr="00BE5D30" w:rsidP="002248FE" w14:paraId="6CDEB45C" w14:textId="77777777">
      <w:pPr>
        <w:pStyle w:val="VPBody"/>
        <w:spacing w:before="0" w:after="60"/>
        <w:rPr>
          <w:sz w:val="28"/>
          <w:szCs w:val="28"/>
        </w:rPr>
      </w:pPr>
    </w:p>
    <w:p w:rsidR="00903540" w:rsidRPr="00BE5D30" w:rsidP="002248FE" w14:paraId="24CEDB1F" w14:textId="48533C14">
      <w:pPr>
        <w:pStyle w:val="VPBody"/>
        <w:rPr>
          <w:sz w:val="28"/>
          <w:szCs w:val="28"/>
        </w:rPr>
      </w:pPr>
      <w:bookmarkStart w:id="0" w:name="_Toc435687094"/>
      <w:bookmarkStart w:id="1" w:name="_Toc435687095"/>
      <w:bookmarkStart w:id="2" w:name="_Toc435687096"/>
      <w:bookmarkEnd w:id="0"/>
      <w:bookmarkEnd w:id="1"/>
      <w:bookmarkEnd w:id="2"/>
      <w:r w:rsidRPr="00BE5D30">
        <w:rPr>
          <w:sz w:val="28"/>
          <w:szCs w:val="28"/>
        </w:rPr>
        <w:t xml:space="preserve">Projekta “Tiesu medicīnas ekspertīzes un izpētes procesu optimizācija un attīstība” virsmērķis ir nodrošināt efektīvu tiesu medicīnas ekspertīzes un izpētes procesu ar elektronisku ekspertīžu un izpētes informācijas sistēmas atbalstu, tā pārejot no papīra formāta dokumentu aprites un klātienes vizītēm uz elektronisku dokumentu saņemšanas, apstrādes un glabāšanas formu, nodrošinot datu automatizētu nodošanu procesā iesaistītajām pusēm un procesā radīto datu </w:t>
      </w:r>
      <w:r w:rsidRPr="00BE5D30" w:rsidR="001D79BA">
        <w:rPr>
          <w:sz w:val="28"/>
          <w:szCs w:val="28"/>
        </w:rPr>
        <w:t xml:space="preserve">nodošanu </w:t>
      </w:r>
      <w:r w:rsidRPr="00BE5D30">
        <w:rPr>
          <w:sz w:val="28"/>
          <w:szCs w:val="28"/>
        </w:rPr>
        <w:t>atkalizmantošan</w:t>
      </w:r>
      <w:r w:rsidRPr="00BE5D30" w:rsidR="001D79BA">
        <w:rPr>
          <w:sz w:val="28"/>
          <w:szCs w:val="28"/>
        </w:rPr>
        <w:t>ai</w:t>
      </w:r>
      <w:r w:rsidRPr="00BE5D30">
        <w:rPr>
          <w:sz w:val="28"/>
          <w:szCs w:val="28"/>
        </w:rPr>
        <w:t>.</w:t>
      </w:r>
    </w:p>
    <w:p w:rsidR="00903540" w:rsidRPr="00BE5D30" w:rsidP="002248FE" w14:paraId="2EB8F347" w14:textId="4AFE26FA">
      <w:pPr>
        <w:pStyle w:val="VPBody"/>
        <w:rPr>
          <w:b/>
          <w:sz w:val="28"/>
          <w:szCs w:val="28"/>
        </w:rPr>
      </w:pPr>
      <w:r w:rsidRPr="00BE5D30">
        <w:rPr>
          <w:b/>
          <w:sz w:val="28"/>
          <w:szCs w:val="28"/>
        </w:rPr>
        <w:t>Projekta mērķi:</w:t>
      </w:r>
    </w:p>
    <w:p w:rsidR="00903540" w:rsidRPr="00BE5D30" w:rsidP="002248FE" w14:paraId="0859BB6B" w14:textId="77777777">
      <w:pPr>
        <w:pStyle w:val="VPBody"/>
        <w:numPr>
          <w:ilvl w:val="0"/>
          <w:numId w:val="8"/>
        </w:numPr>
        <w:rPr>
          <w:sz w:val="28"/>
          <w:szCs w:val="28"/>
        </w:rPr>
      </w:pPr>
      <w:r w:rsidRPr="00BE5D30">
        <w:rPr>
          <w:sz w:val="28"/>
          <w:szCs w:val="28"/>
        </w:rPr>
        <w:t xml:space="preserve">Nodrošināt tiesu medicīniskās ekspertīzes un izpētes </w:t>
      </w:r>
      <w:r w:rsidRPr="00BE5D30">
        <w:rPr>
          <w:b/>
          <w:sz w:val="28"/>
          <w:szCs w:val="28"/>
        </w:rPr>
        <w:t>procesa datu un rezultātu izsekojamību</w:t>
      </w:r>
      <w:r w:rsidRPr="00BE5D30">
        <w:rPr>
          <w:sz w:val="28"/>
          <w:szCs w:val="28"/>
        </w:rPr>
        <w:t xml:space="preserve"> elektroniskā formā – atteikties no papīra reģistrācijas žurnāliem un uzturēt datus strukturētā formā.</w:t>
      </w:r>
    </w:p>
    <w:p w:rsidR="00903540" w:rsidRPr="00BE5D30" w:rsidP="002248FE" w14:paraId="7577BC6D" w14:textId="77777777">
      <w:pPr>
        <w:pStyle w:val="VPBody"/>
        <w:numPr>
          <w:ilvl w:val="0"/>
          <w:numId w:val="8"/>
        </w:numPr>
        <w:rPr>
          <w:sz w:val="28"/>
          <w:szCs w:val="28"/>
        </w:rPr>
      </w:pPr>
      <w:r w:rsidRPr="00BE5D30">
        <w:rPr>
          <w:sz w:val="28"/>
          <w:szCs w:val="28"/>
        </w:rPr>
        <w:t xml:space="preserve">Nodrošināt </w:t>
      </w:r>
      <w:r w:rsidRPr="00BE5D30">
        <w:rPr>
          <w:b/>
          <w:sz w:val="28"/>
          <w:szCs w:val="28"/>
        </w:rPr>
        <w:t>elektronisku procesa gala rezultāta nodošanu adresātam</w:t>
      </w:r>
      <w:r w:rsidRPr="00BE5D30">
        <w:rPr>
          <w:sz w:val="28"/>
          <w:szCs w:val="28"/>
        </w:rPr>
        <w:t>, izmantojot oficiālo elektronisko adresi vai starpsistēmu saskarnes, veicinot efektīvāku starpnozaru procesu.</w:t>
      </w:r>
    </w:p>
    <w:p w:rsidR="00903540" w:rsidRPr="00BE5D30" w:rsidP="002248FE" w14:paraId="0D84A985" w14:textId="6B7B295E">
      <w:pPr>
        <w:pStyle w:val="VPBody"/>
        <w:numPr>
          <w:ilvl w:val="0"/>
          <w:numId w:val="8"/>
        </w:numPr>
        <w:rPr>
          <w:sz w:val="28"/>
          <w:szCs w:val="28"/>
        </w:rPr>
      </w:pPr>
      <w:r w:rsidRPr="00BE5D30">
        <w:rPr>
          <w:sz w:val="28"/>
          <w:szCs w:val="28"/>
        </w:rPr>
        <w:t xml:space="preserve">Nodrošināt procesā radīto </w:t>
      </w:r>
      <w:r w:rsidRPr="00BE5D30">
        <w:rPr>
          <w:b/>
          <w:sz w:val="28"/>
          <w:szCs w:val="28"/>
        </w:rPr>
        <w:t>datu</w:t>
      </w:r>
      <w:r w:rsidRPr="00BE5D30" w:rsidR="004B4FD7">
        <w:rPr>
          <w:b/>
          <w:sz w:val="28"/>
          <w:szCs w:val="28"/>
        </w:rPr>
        <w:t xml:space="preserve"> kopu sagatavošanu</w:t>
      </w:r>
      <w:r w:rsidRPr="00BE5D30">
        <w:rPr>
          <w:b/>
          <w:sz w:val="28"/>
          <w:szCs w:val="28"/>
        </w:rPr>
        <w:t xml:space="preserve"> atkalizmantošan</w:t>
      </w:r>
      <w:r w:rsidRPr="00BE5D30" w:rsidR="004B4FD7">
        <w:rPr>
          <w:b/>
          <w:sz w:val="28"/>
          <w:szCs w:val="28"/>
        </w:rPr>
        <w:t>ai</w:t>
      </w:r>
      <w:r w:rsidRPr="00BE5D30">
        <w:rPr>
          <w:sz w:val="28"/>
          <w:szCs w:val="28"/>
        </w:rPr>
        <w:t>.</w:t>
      </w:r>
    </w:p>
    <w:p w:rsidR="00903540" w:rsidRPr="00BE5D30" w:rsidP="002248FE" w14:paraId="356819FA" w14:textId="142B362D">
      <w:pPr>
        <w:overflowPunct w:val="0"/>
        <w:autoSpaceDE w:val="0"/>
        <w:autoSpaceDN w:val="0"/>
        <w:spacing w:before="120" w:after="120"/>
        <w:jc w:val="both"/>
        <w:textAlignment w:val="baseline"/>
        <w:rPr>
          <w:rFonts w:ascii="Times New Roman" w:eastAsia="Times New Roman" w:hAnsi="Times New Roman" w:cs="Times New Roman"/>
          <w:b/>
          <w:sz w:val="28"/>
          <w:szCs w:val="28"/>
          <w:u w:val="single"/>
          <w:lang w:eastAsia="lv-LV"/>
        </w:rPr>
      </w:pPr>
      <w:r w:rsidRPr="00BE5D30">
        <w:rPr>
          <w:rFonts w:ascii="Times New Roman" w:eastAsia="Times New Roman" w:hAnsi="Times New Roman" w:cs="Times New Roman"/>
          <w:b/>
          <w:sz w:val="28"/>
          <w:szCs w:val="28"/>
          <w:u w:val="single"/>
          <w:lang w:eastAsia="lv-LV"/>
        </w:rPr>
        <w:t>Darbības</w:t>
      </w:r>
      <w:r w:rsidRPr="00BE5D30">
        <w:rPr>
          <w:rFonts w:ascii="Times New Roman" w:hAnsi="Times New Roman" w:cs="Times New Roman"/>
          <w:b/>
          <w:sz w:val="28"/>
          <w:szCs w:val="28"/>
          <w:u w:val="single"/>
        </w:rPr>
        <w:t xml:space="preserve"> pr</w:t>
      </w:r>
      <w:r w:rsidR="00367195">
        <w:rPr>
          <w:rFonts w:ascii="Times New Roman" w:eastAsia="Times New Roman" w:hAnsi="Times New Roman" w:cs="Times New Roman"/>
          <w:b/>
          <w:sz w:val="28"/>
          <w:szCs w:val="28"/>
          <w:u w:val="single"/>
          <w:lang w:eastAsia="lv-LV"/>
        </w:rPr>
        <w:t>ojekta mērķu sasniegšanai</w:t>
      </w:r>
      <w:r w:rsidRPr="00BE5D30">
        <w:rPr>
          <w:rFonts w:ascii="Times New Roman" w:eastAsia="Times New Roman" w:hAnsi="Times New Roman" w:cs="Times New Roman"/>
          <w:b/>
          <w:sz w:val="28"/>
          <w:szCs w:val="28"/>
          <w:u w:val="single"/>
          <w:lang w:eastAsia="lv-LV"/>
        </w:rPr>
        <w:t xml:space="preserve">: </w:t>
      </w:r>
    </w:p>
    <w:p w:rsidR="00903540" w:rsidRPr="00BE5D30" w:rsidP="002248FE" w14:paraId="75B94A4F" w14:textId="15C3D480">
      <w:pPr>
        <w:pStyle w:val="VPBody"/>
        <w:numPr>
          <w:ilvl w:val="0"/>
          <w:numId w:val="13"/>
        </w:numPr>
        <w:rPr>
          <w:sz w:val="28"/>
          <w:szCs w:val="28"/>
        </w:rPr>
      </w:pPr>
      <w:r w:rsidRPr="00BE5D30">
        <w:rPr>
          <w:sz w:val="28"/>
          <w:szCs w:val="28"/>
        </w:rPr>
        <w:t>Tiks elektroniski atbalstīts tiesu medicīniskās ekspertīzes process un ar to saistītie procesi, izstrādājot un ieviešot Tiesu medicīniskās ekspertīzes informācijas sistēmu (</w:t>
      </w:r>
      <w:r w:rsidR="008A5422">
        <w:rPr>
          <w:sz w:val="28"/>
          <w:szCs w:val="28"/>
        </w:rPr>
        <w:t xml:space="preserve">turpmāk - </w:t>
      </w:r>
      <w:r w:rsidRPr="00BE5D30">
        <w:rPr>
          <w:sz w:val="28"/>
          <w:szCs w:val="28"/>
        </w:rPr>
        <w:t>TME IS).</w:t>
      </w:r>
    </w:p>
    <w:p w:rsidR="00903540" w:rsidRPr="00BE5D30" w:rsidP="002248FE" w14:paraId="6064A545" w14:textId="77777777">
      <w:pPr>
        <w:pStyle w:val="VPBody"/>
        <w:ind w:left="360"/>
        <w:rPr>
          <w:sz w:val="28"/>
          <w:szCs w:val="28"/>
        </w:rPr>
      </w:pPr>
      <w:r w:rsidRPr="00BE5D30">
        <w:rPr>
          <w:sz w:val="28"/>
          <w:szCs w:val="28"/>
        </w:rPr>
        <w:t>TME IS sastāvēs no moduļiem:</w:t>
      </w:r>
    </w:p>
    <w:p w:rsidR="00903540" w:rsidRPr="00BE5D30" w:rsidP="002248FE" w14:paraId="1025298D" w14:textId="73D4E47F">
      <w:pPr>
        <w:pStyle w:val="VPBody"/>
        <w:tabs>
          <w:tab w:val="clear" w:pos="0"/>
          <w:tab w:val="left" w:pos="567"/>
        </w:tabs>
        <w:ind w:left="720"/>
        <w:rPr>
          <w:sz w:val="28"/>
          <w:szCs w:val="28"/>
        </w:rPr>
      </w:pPr>
      <w:r w:rsidRPr="00BE5D30">
        <w:rPr>
          <w:sz w:val="28"/>
          <w:szCs w:val="28"/>
        </w:rPr>
        <w:t xml:space="preserve">1) </w:t>
      </w:r>
      <w:r w:rsidRPr="00BE5D30">
        <w:rPr>
          <w:sz w:val="28"/>
          <w:szCs w:val="28"/>
        </w:rPr>
        <w:t>Ekspertīzes un izpētes katalogs (t.sk., ekspertīzes kartiņas izveide, automatizēta datu pārņemšana no ārējām sistēmām, procesa plūsmas ierosināšana, informācijas izgūšana vadības lēmumiem);</w:t>
      </w:r>
    </w:p>
    <w:p w:rsidR="00903540" w:rsidRPr="00BE5D30" w:rsidP="002248FE" w14:paraId="7CB7C5C2" w14:textId="77777777">
      <w:pPr>
        <w:pStyle w:val="VPBody"/>
        <w:tabs>
          <w:tab w:val="clear" w:pos="0"/>
          <w:tab w:val="left" w:pos="567"/>
        </w:tabs>
        <w:ind w:left="644"/>
        <w:rPr>
          <w:sz w:val="28"/>
          <w:szCs w:val="28"/>
        </w:rPr>
      </w:pPr>
      <w:r w:rsidRPr="00BE5D30">
        <w:rPr>
          <w:sz w:val="28"/>
          <w:szCs w:val="28"/>
        </w:rPr>
        <w:t>2) Ekspertīzes modulis;</w:t>
      </w:r>
    </w:p>
    <w:p w:rsidR="00903540" w:rsidRPr="00BE5D30" w:rsidP="002248FE" w14:paraId="312AA4E1" w14:textId="5CA26E3E">
      <w:pPr>
        <w:pStyle w:val="VPBody"/>
        <w:tabs>
          <w:tab w:val="clear" w:pos="0"/>
          <w:tab w:val="left" w:pos="567"/>
        </w:tabs>
        <w:ind w:left="644"/>
        <w:rPr>
          <w:sz w:val="28"/>
          <w:szCs w:val="28"/>
        </w:rPr>
      </w:pPr>
      <w:r>
        <w:rPr>
          <w:sz w:val="28"/>
          <w:szCs w:val="28"/>
        </w:rPr>
        <w:t>3) Laboratoriju modulis;</w:t>
      </w:r>
    </w:p>
    <w:p w:rsidR="00903540" w:rsidRPr="00BE5D30" w:rsidP="002248FE" w14:paraId="4C0419E3" w14:textId="77777777">
      <w:pPr>
        <w:pStyle w:val="VPBody"/>
        <w:tabs>
          <w:tab w:val="clear" w:pos="0"/>
          <w:tab w:val="left" w:pos="567"/>
        </w:tabs>
        <w:ind w:left="644"/>
        <w:rPr>
          <w:sz w:val="28"/>
          <w:szCs w:val="28"/>
        </w:rPr>
      </w:pPr>
      <w:r w:rsidRPr="00BE5D30">
        <w:rPr>
          <w:sz w:val="28"/>
          <w:szCs w:val="28"/>
        </w:rPr>
        <w:t>3) Atskaišu modulis;</w:t>
      </w:r>
    </w:p>
    <w:p w:rsidR="00903540" w:rsidRPr="00BE5D30" w:rsidP="002248FE" w14:paraId="5462049D" w14:textId="77777777">
      <w:pPr>
        <w:pStyle w:val="VPBody"/>
        <w:tabs>
          <w:tab w:val="clear" w:pos="0"/>
          <w:tab w:val="left" w:pos="567"/>
        </w:tabs>
        <w:ind w:left="644"/>
        <w:rPr>
          <w:sz w:val="28"/>
          <w:szCs w:val="28"/>
        </w:rPr>
      </w:pPr>
      <w:r w:rsidRPr="00BE5D30">
        <w:rPr>
          <w:sz w:val="28"/>
          <w:szCs w:val="28"/>
        </w:rPr>
        <w:t xml:space="preserve">4) Administrēšanas modulis (lietotāju tiesību un klasifikatoru pārvaldība) </w:t>
      </w:r>
    </w:p>
    <w:p w:rsidR="00903540" w:rsidRPr="00BE5D30" w:rsidP="002248FE" w14:paraId="4F57CB22" w14:textId="4712A456">
      <w:pPr>
        <w:pStyle w:val="VPBody"/>
        <w:numPr>
          <w:ilvl w:val="0"/>
          <w:numId w:val="13"/>
        </w:numPr>
        <w:rPr>
          <w:sz w:val="28"/>
          <w:szCs w:val="28"/>
        </w:rPr>
      </w:pPr>
      <w:r w:rsidRPr="00BE5D30">
        <w:rPr>
          <w:sz w:val="28"/>
          <w:szCs w:val="28"/>
        </w:rPr>
        <w:t>TME IS</w:t>
      </w:r>
      <w:r w:rsidR="00657D44">
        <w:rPr>
          <w:sz w:val="28"/>
          <w:szCs w:val="28"/>
        </w:rPr>
        <w:t xml:space="preserve"> automatizēti</w:t>
      </w:r>
      <w:r w:rsidRPr="00BE5D30">
        <w:rPr>
          <w:sz w:val="28"/>
          <w:szCs w:val="28"/>
        </w:rPr>
        <w:t xml:space="preserve"> izgūs: </w:t>
      </w:r>
    </w:p>
    <w:p w:rsidR="00903540" w:rsidRPr="00BE5D30" w:rsidP="002248FE" w14:paraId="7618B7DB" w14:textId="20AE5F5D">
      <w:pPr>
        <w:pStyle w:val="VPBody"/>
        <w:tabs>
          <w:tab w:val="clear" w:pos="0"/>
        </w:tabs>
        <w:ind w:left="720"/>
        <w:rPr>
          <w:sz w:val="28"/>
          <w:szCs w:val="28"/>
        </w:rPr>
      </w:pPr>
      <w:r w:rsidRPr="00BE5D30">
        <w:rPr>
          <w:sz w:val="28"/>
          <w:szCs w:val="28"/>
        </w:rPr>
        <w:t>1) Adrešu reģistra datus.</w:t>
      </w:r>
    </w:p>
    <w:p w:rsidR="00903540" w:rsidP="002248FE" w14:paraId="2D524AF7" w14:textId="25E1DDF6">
      <w:pPr>
        <w:pStyle w:val="VPBody"/>
        <w:tabs>
          <w:tab w:val="clear" w:pos="0"/>
        </w:tabs>
        <w:ind w:left="720"/>
        <w:rPr>
          <w:sz w:val="28"/>
          <w:szCs w:val="28"/>
        </w:rPr>
      </w:pPr>
      <w:r w:rsidRPr="00BE5D30">
        <w:rPr>
          <w:sz w:val="28"/>
          <w:szCs w:val="28"/>
        </w:rPr>
        <w:t xml:space="preserve">2) </w:t>
      </w:r>
      <w:r w:rsidRPr="00BE5D30">
        <w:rPr>
          <w:bCs w:val="0"/>
          <w:sz w:val="28"/>
          <w:szCs w:val="28"/>
        </w:rPr>
        <w:t>Vienotās veselības nozares elektroniskās informācijas sistēmas (</w:t>
      </w:r>
      <w:r w:rsidRPr="00BE5D30" w:rsidR="004B4FD7">
        <w:rPr>
          <w:bCs w:val="0"/>
          <w:sz w:val="28"/>
          <w:szCs w:val="28"/>
        </w:rPr>
        <w:t xml:space="preserve">turpmāk - </w:t>
      </w:r>
      <w:r w:rsidRPr="00BE5D30">
        <w:rPr>
          <w:bCs w:val="0"/>
          <w:sz w:val="28"/>
          <w:szCs w:val="28"/>
        </w:rPr>
        <w:t xml:space="preserve">VVIS) </w:t>
      </w:r>
      <w:r w:rsidRPr="00BE5D30">
        <w:rPr>
          <w:sz w:val="28"/>
          <w:szCs w:val="28"/>
        </w:rPr>
        <w:t>ārstniecības iestāžu klasifikatoru, ārstniecības personu klasifikatoru, SSK-10 klasifikatoru.</w:t>
      </w:r>
    </w:p>
    <w:p w:rsidR="00657D44" w:rsidRPr="00657D44" w:rsidP="002248FE" w14:paraId="4E86D52D" w14:textId="585ABB02">
      <w:pPr>
        <w:pStyle w:val="VPBody"/>
        <w:tabs>
          <w:tab w:val="clear" w:pos="0"/>
        </w:tabs>
        <w:ind w:left="720"/>
        <w:rPr>
          <w:bCs w:val="0"/>
          <w:sz w:val="28"/>
          <w:szCs w:val="28"/>
        </w:rPr>
      </w:pPr>
      <w:r w:rsidRPr="00657D44">
        <w:rPr>
          <w:bCs w:val="0"/>
          <w:sz w:val="28"/>
          <w:szCs w:val="28"/>
        </w:rPr>
        <w:t xml:space="preserve">3) </w:t>
      </w:r>
      <w:r w:rsidRPr="001C325C">
        <w:rPr>
          <w:bCs w:val="0"/>
          <w:sz w:val="28"/>
          <w:szCs w:val="28"/>
        </w:rPr>
        <w:t xml:space="preserve">Fiziskas personu datu komplektu no </w:t>
      </w:r>
      <w:r>
        <w:rPr>
          <w:bCs w:val="0"/>
          <w:sz w:val="28"/>
          <w:szCs w:val="28"/>
        </w:rPr>
        <w:t>Iedzīvotāju reģistra,</w:t>
      </w:r>
    </w:p>
    <w:p w:rsidR="00903540" w:rsidRPr="00BE5D30" w:rsidP="002248FE" w14:paraId="4912A9B1" w14:textId="75963FD5">
      <w:pPr>
        <w:pStyle w:val="VPBody"/>
        <w:numPr>
          <w:ilvl w:val="0"/>
          <w:numId w:val="13"/>
        </w:numPr>
        <w:rPr>
          <w:sz w:val="28"/>
          <w:szCs w:val="28"/>
        </w:rPr>
      </w:pPr>
      <w:r w:rsidRPr="00BE5D30">
        <w:rPr>
          <w:sz w:val="28"/>
          <w:szCs w:val="28"/>
        </w:rPr>
        <w:t xml:space="preserve">No TME IS Atskaišu moduļa datiem tiks izveidotas publicējamo datu kopas koplietošanas datu portālam. </w:t>
      </w:r>
    </w:p>
    <w:p w:rsidR="00903540" w:rsidRPr="00BE5D30" w:rsidP="002248FE" w14:paraId="6C04BB79" w14:textId="201BC97D">
      <w:pPr>
        <w:pStyle w:val="VPBody"/>
        <w:numPr>
          <w:ilvl w:val="0"/>
          <w:numId w:val="13"/>
        </w:numPr>
        <w:rPr>
          <w:sz w:val="28"/>
          <w:szCs w:val="28"/>
        </w:rPr>
      </w:pPr>
      <w:r w:rsidRPr="00BE5D30">
        <w:rPr>
          <w:sz w:val="28"/>
          <w:szCs w:val="28"/>
        </w:rPr>
        <w:t>Tiks izveidota saskarne Medicīniskās apliecības par nāves cēloni nodošanai VVIS.</w:t>
      </w:r>
    </w:p>
    <w:p w:rsidR="00903540" w:rsidRPr="00BE5D30" w:rsidP="002248FE" w14:paraId="0C98F870" w14:textId="650D84AB">
      <w:pPr>
        <w:pStyle w:val="VPBody"/>
        <w:numPr>
          <w:ilvl w:val="0"/>
          <w:numId w:val="13"/>
        </w:numPr>
        <w:rPr>
          <w:sz w:val="28"/>
          <w:szCs w:val="28"/>
        </w:rPr>
      </w:pPr>
      <w:r w:rsidRPr="00BE5D30">
        <w:rPr>
          <w:sz w:val="28"/>
          <w:szCs w:val="28"/>
        </w:rPr>
        <w:t>Tiks izveidota saskarne TME IS datu apmaiņai ar Kriminālprocesa informācijas sistēmu.</w:t>
      </w:r>
    </w:p>
    <w:p w:rsidR="00903540" w:rsidRPr="00BE5D30" w:rsidP="002248FE" w14:paraId="637F8E51"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8"/>
          <w:szCs w:val="28"/>
          <w:u w:val="single"/>
        </w:rPr>
      </w:pPr>
    </w:p>
    <w:p w:rsidR="00903540" w:rsidRPr="00BE5D30" w:rsidP="002248FE" w14:paraId="2F83AB05"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8"/>
          <w:szCs w:val="28"/>
          <w:u w:val="single"/>
        </w:rPr>
      </w:pPr>
      <w:r w:rsidRPr="00BE5D30">
        <w:rPr>
          <w:rFonts w:ascii="Times New Roman" w:eastAsia="MS Mincho" w:hAnsi="Times New Roman" w:cs="Times New Roman"/>
          <w:b/>
          <w:bCs/>
          <w:sz w:val="28"/>
          <w:szCs w:val="28"/>
          <w:u w:val="single"/>
        </w:rPr>
        <w:t>Projekta rezultāta rādītāji:</w:t>
      </w:r>
    </w:p>
    <w:p w:rsidR="00903540" w:rsidRPr="00BE5D30" w:rsidP="002248FE" w14:paraId="6944A060" w14:textId="4C0A7255">
      <w:pPr>
        <w:pStyle w:val="VPBody"/>
        <w:rPr>
          <w:sz w:val="28"/>
          <w:szCs w:val="28"/>
        </w:rPr>
      </w:pPr>
    </w:p>
    <w:tbl>
      <w:tblPr>
        <w:tblStyle w:val="TableGrid"/>
        <w:tblW w:w="9612" w:type="dxa"/>
        <w:tblInd w:w="-113" w:type="dxa"/>
        <w:tblLook w:val="04A0"/>
      </w:tblPr>
      <w:tblGrid>
        <w:gridCol w:w="788"/>
        <w:gridCol w:w="2593"/>
        <w:gridCol w:w="1554"/>
        <w:gridCol w:w="1321"/>
        <w:gridCol w:w="1678"/>
        <w:gridCol w:w="1678"/>
      </w:tblGrid>
      <w:tr w14:paraId="5C0199DD" w14:textId="77777777" w:rsidTr="00367195">
        <w:tblPrEx>
          <w:tblW w:w="9612" w:type="dxa"/>
          <w:tblInd w:w="-113" w:type="dxa"/>
          <w:tblLook w:val="04A0"/>
        </w:tblPrEx>
        <w:tc>
          <w:tcPr>
            <w:tcW w:w="788" w:type="dxa"/>
          </w:tcPr>
          <w:p w:rsidR="00903540" w:rsidRPr="00BE5D30" w:rsidP="002248FE" w14:paraId="08C9809C" w14:textId="77777777">
            <w:pPr>
              <w:pStyle w:val="VPBody"/>
              <w:spacing w:before="0" w:after="0"/>
              <w:jc w:val="center"/>
              <w:rPr>
                <w:sz w:val="28"/>
                <w:szCs w:val="28"/>
              </w:rPr>
            </w:pPr>
          </w:p>
        </w:tc>
        <w:tc>
          <w:tcPr>
            <w:tcW w:w="2593" w:type="dxa"/>
            <w:vAlign w:val="center"/>
          </w:tcPr>
          <w:p w:rsidR="00903540" w:rsidRPr="00BE5D30" w:rsidP="002248FE" w14:paraId="35578C35" w14:textId="77777777">
            <w:pPr>
              <w:pStyle w:val="VPBody"/>
              <w:spacing w:before="0" w:after="0"/>
              <w:jc w:val="center"/>
              <w:rPr>
                <w:sz w:val="28"/>
                <w:szCs w:val="28"/>
              </w:rPr>
            </w:pPr>
            <w:r w:rsidRPr="00BE5D30">
              <w:rPr>
                <w:sz w:val="28"/>
                <w:szCs w:val="28"/>
              </w:rPr>
              <w:t>Rezultāta rādītājs</w:t>
            </w:r>
          </w:p>
        </w:tc>
        <w:tc>
          <w:tcPr>
            <w:tcW w:w="1554" w:type="dxa"/>
            <w:vAlign w:val="center"/>
          </w:tcPr>
          <w:p w:rsidR="00903540" w:rsidRPr="00BE5D30" w:rsidP="002248FE" w14:paraId="7AAA952F" w14:textId="77777777">
            <w:pPr>
              <w:pStyle w:val="VPBody"/>
              <w:spacing w:before="0" w:after="0"/>
              <w:jc w:val="center"/>
              <w:rPr>
                <w:sz w:val="28"/>
                <w:szCs w:val="28"/>
              </w:rPr>
            </w:pPr>
            <w:r w:rsidRPr="00BE5D30">
              <w:rPr>
                <w:sz w:val="28"/>
                <w:szCs w:val="28"/>
              </w:rPr>
              <w:t>Mērvienība</w:t>
            </w:r>
          </w:p>
        </w:tc>
        <w:tc>
          <w:tcPr>
            <w:tcW w:w="1321" w:type="dxa"/>
            <w:vAlign w:val="center"/>
          </w:tcPr>
          <w:p w:rsidR="00903540" w:rsidRPr="00BE5D30" w:rsidP="002248FE" w14:paraId="7D2A144C" w14:textId="77777777">
            <w:pPr>
              <w:pStyle w:val="VPBody"/>
              <w:spacing w:before="0" w:after="0"/>
              <w:jc w:val="center"/>
              <w:rPr>
                <w:sz w:val="28"/>
                <w:szCs w:val="28"/>
              </w:rPr>
            </w:pPr>
            <w:r w:rsidRPr="00BE5D30">
              <w:rPr>
                <w:sz w:val="28"/>
                <w:szCs w:val="28"/>
              </w:rPr>
              <w:t>Sākotnējā vērtība</w:t>
            </w:r>
          </w:p>
        </w:tc>
        <w:tc>
          <w:tcPr>
            <w:tcW w:w="1678" w:type="dxa"/>
            <w:vAlign w:val="center"/>
          </w:tcPr>
          <w:p w:rsidR="00903540" w:rsidRPr="00BE5D30" w:rsidP="002248FE" w14:paraId="52599AEC" w14:textId="157B67E4">
            <w:pPr>
              <w:pStyle w:val="VPBody"/>
              <w:spacing w:before="0" w:after="0"/>
              <w:jc w:val="center"/>
              <w:rPr>
                <w:sz w:val="28"/>
                <w:szCs w:val="28"/>
              </w:rPr>
            </w:pPr>
            <w:r>
              <w:rPr>
                <w:sz w:val="28"/>
                <w:szCs w:val="28"/>
              </w:rPr>
              <w:t>Sasniedzamā</w:t>
            </w:r>
            <w:r w:rsidRPr="00BE5D30">
              <w:rPr>
                <w:sz w:val="28"/>
                <w:szCs w:val="28"/>
              </w:rPr>
              <w:t xml:space="preserve"> vērtība 2 gadus pēc projekta beigām</w:t>
            </w:r>
          </w:p>
        </w:tc>
        <w:tc>
          <w:tcPr>
            <w:tcW w:w="1678" w:type="dxa"/>
          </w:tcPr>
          <w:p w:rsidR="00903540" w:rsidRPr="00BE5D30" w:rsidP="002248FE" w14:paraId="52993E8D" w14:textId="77777777">
            <w:pPr>
              <w:pStyle w:val="VPBody"/>
              <w:spacing w:before="0" w:after="0"/>
              <w:jc w:val="center"/>
              <w:rPr>
                <w:sz w:val="28"/>
                <w:szCs w:val="28"/>
              </w:rPr>
            </w:pPr>
            <w:r w:rsidRPr="00BE5D30">
              <w:rPr>
                <w:sz w:val="28"/>
                <w:szCs w:val="28"/>
              </w:rPr>
              <w:t>Sasniedzamā vērtība 3 gadus pēc projekta beigām</w:t>
            </w:r>
          </w:p>
        </w:tc>
      </w:tr>
      <w:tr w14:paraId="02284945" w14:textId="77777777" w:rsidTr="00367195">
        <w:tblPrEx>
          <w:tblW w:w="9612" w:type="dxa"/>
          <w:tblInd w:w="-113" w:type="dxa"/>
          <w:tblLook w:val="04A0"/>
        </w:tblPrEx>
        <w:tc>
          <w:tcPr>
            <w:tcW w:w="788" w:type="dxa"/>
          </w:tcPr>
          <w:p w:rsidR="00903540" w:rsidRPr="00BE5D30" w:rsidP="00367195" w14:paraId="447889AD" w14:textId="77777777">
            <w:pPr>
              <w:pStyle w:val="VPBody"/>
              <w:numPr>
                <w:ilvl w:val="0"/>
                <w:numId w:val="11"/>
              </w:numPr>
              <w:spacing w:before="0" w:after="0"/>
              <w:jc w:val="left"/>
              <w:rPr>
                <w:sz w:val="28"/>
                <w:szCs w:val="28"/>
              </w:rPr>
            </w:pPr>
          </w:p>
        </w:tc>
        <w:tc>
          <w:tcPr>
            <w:tcW w:w="2593" w:type="dxa"/>
          </w:tcPr>
          <w:p w:rsidR="00903540" w:rsidRPr="00BE5D30" w:rsidP="002248FE" w14:paraId="5F469C3F" w14:textId="77777777">
            <w:pPr>
              <w:pStyle w:val="VPBody"/>
              <w:spacing w:before="0" w:after="0"/>
              <w:rPr>
                <w:sz w:val="28"/>
                <w:szCs w:val="28"/>
              </w:rPr>
            </w:pPr>
            <w:r w:rsidRPr="00BE5D30">
              <w:rPr>
                <w:sz w:val="28"/>
                <w:szCs w:val="28"/>
              </w:rPr>
              <w:t>Elektroniski ekspertīzes atzinumi</w:t>
            </w:r>
          </w:p>
        </w:tc>
        <w:tc>
          <w:tcPr>
            <w:tcW w:w="1554" w:type="dxa"/>
          </w:tcPr>
          <w:p w:rsidR="00903540" w:rsidRPr="00BE5D30" w:rsidP="002248FE" w14:paraId="32E4F408" w14:textId="77777777">
            <w:pPr>
              <w:pStyle w:val="VPBody"/>
              <w:spacing w:before="0" w:after="0"/>
              <w:rPr>
                <w:sz w:val="28"/>
                <w:szCs w:val="28"/>
              </w:rPr>
            </w:pPr>
            <w:r w:rsidRPr="00BE5D30">
              <w:rPr>
                <w:sz w:val="28"/>
                <w:szCs w:val="28"/>
              </w:rPr>
              <w:t>%</w:t>
            </w:r>
          </w:p>
        </w:tc>
        <w:tc>
          <w:tcPr>
            <w:tcW w:w="1321" w:type="dxa"/>
          </w:tcPr>
          <w:p w:rsidR="00903540" w:rsidRPr="00BE5D30" w:rsidP="002248FE" w14:paraId="147293E7" w14:textId="77777777">
            <w:pPr>
              <w:pStyle w:val="VPBody"/>
              <w:spacing w:before="0" w:after="0"/>
              <w:rPr>
                <w:sz w:val="28"/>
                <w:szCs w:val="28"/>
              </w:rPr>
            </w:pPr>
            <w:r w:rsidRPr="00BE5D30">
              <w:rPr>
                <w:sz w:val="28"/>
                <w:szCs w:val="28"/>
              </w:rPr>
              <w:t>0</w:t>
            </w:r>
          </w:p>
        </w:tc>
        <w:tc>
          <w:tcPr>
            <w:tcW w:w="1678" w:type="dxa"/>
          </w:tcPr>
          <w:p w:rsidR="00903540" w:rsidRPr="00BE5D30" w:rsidP="002248FE" w14:paraId="0AA0B2DA" w14:textId="77777777">
            <w:pPr>
              <w:pStyle w:val="VPBody"/>
              <w:spacing w:before="0" w:after="0"/>
              <w:rPr>
                <w:sz w:val="28"/>
                <w:szCs w:val="28"/>
              </w:rPr>
            </w:pPr>
            <w:r w:rsidRPr="00BE5D30">
              <w:rPr>
                <w:sz w:val="28"/>
                <w:szCs w:val="28"/>
              </w:rPr>
              <w:t>100%</w:t>
            </w:r>
          </w:p>
        </w:tc>
        <w:tc>
          <w:tcPr>
            <w:tcW w:w="1678" w:type="dxa"/>
          </w:tcPr>
          <w:p w:rsidR="00903540" w:rsidRPr="00BE5D30" w:rsidP="002248FE" w14:paraId="51FA15EF" w14:textId="77777777">
            <w:pPr>
              <w:pStyle w:val="VPBody"/>
              <w:spacing w:before="0" w:after="0"/>
              <w:rPr>
                <w:sz w:val="28"/>
                <w:szCs w:val="28"/>
              </w:rPr>
            </w:pPr>
            <w:r w:rsidRPr="00BE5D30">
              <w:rPr>
                <w:sz w:val="28"/>
                <w:szCs w:val="28"/>
              </w:rPr>
              <w:t>100%</w:t>
            </w:r>
          </w:p>
        </w:tc>
      </w:tr>
      <w:tr w14:paraId="16849819" w14:textId="77777777" w:rsidTr="00367195">
        <w:tblPrEx>
          <w:tblW w:w="9612" w:type="dxa"/>
          <w:tblInd w:w="-113" w:type="dxa"/>
          <w:tblLook w:val="04A0"/>
        </w:tblPrEx>
        <w:tc>
          <w:tcPr>
            <w:tcW w:w="788" w:type="dxa"/>
          </w:tcPr>
          <w:p w:rsidR="00903540" w:rsidRPr="00BE5D30" w:rsidP="00367195" w14:paraId="5E8F8E91" w14:textId="540DDDD5">
            <w:pPr>
              <w:pStyle w:val="VPBody"/>
              <w:numPr>
                <w:ilvl w:val="0"/>
                <w:numId w:val="11"/>
              </w:numPr>
              <w:spacing w:before="0" w:after="0"/>
              <w:jc w:val="left"/>
              <w:rPr>
                <w:sz w:val="28"/>
                <w:szCs w:val="28"/>
              </w:rPr>
            </w:pPr>
          </w:p>
        </w:tc>
        <w:tc>
          <w:tcPr>
            <w:tcW w:w="2593" w:type="dxa"/>
          </w:tcPr>
          <w:p w:rsidR="00903540" w:rsidRPr="00BE5D30" w:rsidP="002248FE" w14:paraId="445D3ADA" w14:textId="77777777">
            <w:pPr>
              <w:pStyle w:val="VPBody"/>
              <w:spacing w:before="0" w:after="0"/>
              <w:rPr>
                <w:sz w:val="28"/>
                <w:szCs w:val="28"/>
                <w:highlight w:val="yellow"/>
              </w:rPr>
            </w:pPr>
            <w:r w:rsidRPr="00BE5D30">
              <w:rPr>
                <w:sz w:val="28"/>
                <w:szCs w:val="28"/>
              </w:rPr>
              <w:t>Procesa virzītāja (tiesībsargājošo iestāžu) klātienes apmeklējumu īpatsvara samazinājums*.</w:t>
            </w:r>
          </w:p>
        </w:tc>
        <w:tc>
          <w:tcPr>
            <w:tcW w:w="1554" w:type="dxa"/>
          </w:tcPr>
          <w:p w:rsidR="00903540" w:rsidRPr="00BE5D30" w:rsidP="002248FE" w14:paraId="47A7966F" w14:textId="77777777">
            <w:pPr>
              <w:pStyle w:val="VPBody"/>
              <w:spacing w:before="0" w:after="0"/>
              <w:rPr>
                <w:sz w:val="28"/>
                <w:szCs w:val="28"/>
              </w:rPr>
            </w:pPr>
            <w:r w:rsidRPr="00BE5D30">
              <w:rPr>
                <w:sz w:val="28"/>
                <w:szCs w:val="28"/>
              </w:rPr>
              <w:t>%</w:t>
            </w:r>
          </w:p>
        </w:tc>
        <w:tc>
          <w:tcPr>
            <w:tcW w:w="1321" w:type="dxa"/>
          </w:tcPr>
          <w:p w:rsidR="00903540" w:rsidRPr="00BE5D30" w:rsidP="002248FE" w14:paraId="034306FB" w14:textId="77777777">
            <w:pPr>
              <w:pStyle w:val="VPBody"/>
              <w:spacing w:before="0" w:after="0"/>
              <w:rPr>
                <w:sz w:val="28"/>
                <w:szCs w:val="28"/>
              </w:rPr>
            </w:pPr>
            <w:r w:rsidRPr="00BE5D30">
              <w:rPr>
                <w:sz w:val="28"/>
                <w:szCs w:val="28"/>
              </w:rPr>
              <w:t>100%</w:t>
            </w:r>
          </w:p>
        </w:tc>
        <w:tc>
          <w:tcPr>
            <w:tcW w:w="1678" w:type="dxa"/>
          </w:tcPr>
          <w:p w:rsidR="00903540" w:rsidRPr="00BE5D30" w:rsidP="002248FE" w14:paraId="3D6F78D1" w14:textId="77777777">
            <w:pPr>
              <w:pStyle w:val="VPBody"/>
              <w:spacing w:before="0" w:after="0"/>
              <w:rPr>
                <w:sz w:val="28"/>
                <w:szCs w:val="28"/>
              </w:rPr>
            </w:pPr>
            <w:r w:rsidRPr="00BE5D30">
              <w:rPr>
                <w:sz w:val="28"/>
                <w:szCs w:val="28"/>
              </w:rPr>
              <w:t>84%</w:t>
            </w:r>
          </w:p>
        </w:tc>
        <w:tc>
          <w:tcPr>
            <w:tcW w:w="1678" w:type="dxa"/>
          </w:tcPr>
          <w:p w:rsidR="00903540" w:rsidRPr="00BE5D30" w:rsidP="002248FE" w14:paraId="787AB527" w14:textId="77777777">
            <w:pPr>
              <w:pStyle w:val="VPBody"/>
              <w:spacing w:before="0" w:after="0"/>
              <w:rPr>
                <w:sz w:val="28"/>
                <w:szCs w:val="28"/>
              </w:rPr>
            </w:pPr>
            <w:r w:rsidRPr="00BE5D30">
              <w:rPr>
                <w:sz w:val="28"/>
                <w:szCs w:val="28"/>
              </w:rPr>
              <w:t>70%</w:t>
            </w:r>
          </w:p>
        </w:tc>
      </w:tr>
      <w:tr w14:paraId="0C05C68E" w14:textId="77777777" w:rsidTr="00367195">
        <w:tblPrEx>
          <w:tblW w:w="9612" w:type="dxa"/>
          <w:tblInd w:w="-113" w:type="dxa"/>
          <w:tblLook w:val="04A0"/>
        </w:tblPrEx>
        <w:tc>
          <w:tcPr>
            <w:tcW w:w="788" w:type="dxa"/>
          </w:tcPr>
          <w:p w:rsidR="00903540" w:rsidRPr="00BE5D30" w:rsidP="002248FE" w14:paraId="77CBC587" w14:textId="77777777">
            <w:pPr>
              <w:pStyle w:val="VPBody"/>
              <w:numPr>
                <w:ilvl w:val="0"/>
                <w:numId w:val="11"/>
              </w:numPr>
              <w:spacing w:before="0" w:after="0"/>
              <w:rPr>
                <w:sz w:val="28"/>
                <w:szCs w:val="28"/>
              </w:rPr>
            </w:pPr>
          </w:p>
        </w:tc>
        <w:tc>
          <w:tcPr>
            <w:tcW w:w="2593" w:type="dxa"/>
          </w:tcPr>
          <w:p w:rsidR="00903540" w:rsidRPr="00BE5D30" w:rsidP="002248FE" w14:paraId="5F65D310" w14:textId="77777777">
            <w:pPr>
              <w:pStyle w:val="VPBody"/>
              <w:spacing w:before="0" w:after="0"/>
              <w:rPr>
                <w:sz w:val="28"/>
                <w:szCs w:val="28"/>
              </w:rPr>
            </w:pPr>
            <w:r w:rsidRPr="00BE5D30">
              <w:rPr>
                <w:sz w:val="28"/>
                <w:szCs w:val="28"/>
              </w:rPr>
              <w:t xml:space="preserve">Fiziskas personas dati, ko satur ārējie reģistri un sistēmas, tiek iegūti automātiski (bez manuāla pieprasījuma/ apstrādes) </w:t>
            </w:r>
          </w:p>
        </w:tc>
        <w:tc>
          <w:tcPr>
            <w:tcW w:w="1554" w:type="dxa"/>
          </w:tcPr>
          <w:p w:rsidR="00903540" w:rsidRPr="00BE5D30" w:rsidP="002248FE" w14:paraId="605EF2F0" w14:textId="77777777">
            <w:pPr>
              <w:pStyle w:val="VPBody"/>
              <w:spacing w:before="0" w:after="0"/>
              <w:rPr>
                <w:sz w:val="28"/>
                <w:szCs w:val="28"/>
              </w:rPr>
            </w:pPr>
            <w:r w:rsidRPr="00BE5D30">
              <w:rPr>
                <w:sz w:val="28"/>
                <w:szCs w:val="28"/>
              </w:rPr>
              <w:t>%</w:t>
            </w:r>
          </w:p>
        </w:tc>
        <w:tc>
          <w:tcPr>
            <w:tcW w:w="1321" w:type="dxa"/>
          </w:tcPr>
          <w:p w:rsidR="00903540" w:rsidRPr="00BE5D30" w:rsidP="002248FE" w14:paraId="359AD122" w14:textId="77777777">
            <w:pPr>
              <w:pStyle w:val="VPBody"/>
              <w:spacing w:before="0" w:after="0"/>
              <w:rPr>
                <w:sz w:val="28"/>
                <w:szCs w:val="28"/>
              </w:rPr>
            </w:pPr>
            <w:r w:rsidRPr="00BE5D30">
              <w:rPr>
                <w:sz w:val="28"/>
                <w:szCs w:val="28"/>
              </w:rPr>
              <w:t>0</w:t>
            </w:r>
          </w:p>
        </w:tc>
        <w:tc>
          <w:tcPr>
            <w:tcW w:w="1678" w:type="dxa"/>
          </w:tcPr>
          <w:p w:rsidR="00903540" w:rsidRPr="00BE5D30" w:rsidP="002248FE" w14:paraId="0F55C711" w14:textId="77777777">
            <w:pPr>
              <w:pStyle w:val="VPBody"/>
              <w:spacing w:before="0" w:after="0"/>
              <w:rPr>
                <w:sz w:val="28"/>
                <w:szCs w:val="28"/>
              </w:rPr>
            </w:pPr>
            <w:r w:rsidRPr="00BE5D30">
              <w:rPr>
                <w:sz w:val="28"/>
                <w:szCs w:val="28"/>
              </w:rPr>
              <w:t>70%</w:t>
            </w:r>
          </w:p>
        </w:tc>
        <w:tc>
          <w:tcPr>
            <w:tcW w:w="1678" w:type="dxa"/>
          </w:tcPr>
          <w:p w:rsidR="00903540" w:rsidRPr="00BE5D30" w:rsidP="002248FE" w14:paraId="68C2961D" w14:textId="77777777">
            <w:pPr>
              <w:pStyle w:val="VPBody"/>
              <w:spacing w:before="0" w:after="0"/>
              <w:rPr>
                <w:sz w:val="28"/>
                <w:szCs w:val="28"/>
              </w:rPr>
            </w:pPr>
            <w:r w:rsidRPr="00BE5D30">
              <w:rPr>
                <w:sz w:val="28"/>
                <w:szCs w:val="28"/>
              </w:rPr>
              <w:t>90%</w:t>
            </w:r>
          </w:p>
        </w:tc>
      </w:tr>
      <w:tr w14:paraId="71F53684" w14:textId="77777777" w:rsidTr="00367195">
        <w:tblPrEx>
          <w:tblW w:w="9612" w:type="dxa"/>
          <w:tblInd w:w="-113" w:type="dxa"/>
          <w:tblLook w:val="04A0"/>
        </w:tblPrEx>
        <w:tc>
          <w:tcPr>
            <w:tcW w:w="788" w:type="dxa"/>
          </w:tcPr>
          <w:p w:rsidR="00903540" w:rsidRPr="00BE5D30" w:rsidP="00367195" w14:paraId="549EFE44" w14:textId="77777777">
            <w:pPr>
              <w:pStyle w:val="VPBody"/>
              <w:numPr>
                <w:ilvl w:val="0"/>
                <w:numId w:val="11"/>
              </w:numPr>
              <w:tabs>
                <w:tab w:val="left" w:pos="397"/>
              </w:tabs>
              <w:spacing w:before="0" w:after="0"/>
              <w:jc w:val="left"/>
              <w:rPr>
                <w:sz w:val="28"/>
                <w:szCs w:val="28"/>
              </w:rPr>
            </w:pPr>
          </w:p>
        </w:tc>
        <w:tc>
          <w:tcPr>
            <w:tcW w:w="2593" w:type="dxa"/>
          </w:tcPr>
          <w:p w:rsidR="00903540" w:rsidRPr="00BE5D30" w:rsidP="002248FE" w14:paraId="728D57E2" w14:textId="3A4D597D">
            <w:pPr>
              <w:pStyle w:val="VPBody"/>
              <w:spacing w:before="0" w:after="0"/>
              <w:rPr>
                <w:sz w:val="28"/>
                <w:szCs w:val="28"/>
              </w:rPr>
            </w:pPr>
            <w:r w:rsidRPr="00BE5D30">
              <w:rPr>
                <w:sz w:val="28"/>
                <w:szCs w:val="28"/>
              </w:rPr>
              <w:t xml:space="preserve">Medicīniskās ekspertīzes un izpētes procesa izsekojamība bez papīra žurnāliem un novērsta metadatu vairākkārtēja atkārtota manuāla ievadīšana medicīniskās </w:t>
            </w:r>
            <w:r w:rsidRPr="00BE5D30">
              <w:rPr>
                <w:sz w:val="28"/>
                <w:szCs w:val="28"/>
              </w:rPr>
              <w:t>ekspertīzes dokumentos</w:t>
            </w:r>
          </w:p>
        </w:tc>
        <w:tc>
          <w:tcPr>
            <w:tcW w:w="1554" w:type="dxa"/>
          </w:tcPr>
          <w:p w:rsidR="00903540" w:rsidRPr="00BE5D30" w:rsidP="002248FE" w14:paraId="3371697F" w14:textId="77777777">
            <w:pPr>
              <w:pStyle w:val="VPBody"/>
              <w:spacing w:before="0" w:after="0"/>
              <w:rPr>
                <w:sz w:val="28"/>
                <w:szCs w:val="28"/>
              </w:rPr>
            </w:pPr>
            <w:r w:rsidRPr="00BE5D30">
              <w:rPr>
                <w:sz w:val="28"/>
                <w:szCs w:val="28"/>
              </w:rPr>
              <w:t>%</w:t>
            </w:r>
          </w:p>
        </w:tc>
        <w:tc>
          <w:tcPr>
            <w:tcW w:w="1321" w:type="dxa"/>
          </w:tcPr>
          <w:p w:rsidR="00903540" w:rsidRPr="00BE5D30" w:rsidP="002248FE" w14:paraId="20E8F24C" w14:textId="77777777">
            <w:pPr>
              <w:pStyle w:val="VPBody"/>
              <w:spacing w:before="0" w:after="0"/>
              <w:rPr>
                <w:sz w:val="28"/>
                <w:szCs w:val="28"/>
              </w:rPr>
            </w:pPr>
            <w:r w:rsidRPr="00BE5D30">
              <w:rPr>
                <w:sz w:val="28"/>
                <w:szCs w:val="28"/>
              </w:rPr>
              <w:t>0</w:t>
            </w:r>
          </w:p>
        </w:tc>
        <w:tc>
          <w:tcPr>
            <w:tcW w:w="1678" w:type="dxa"/>
          </w:tcPr>
          <w:p w:rsidR="00903540" w:rsidRPr="00BE5D30" w:rsidP="002248FE" w14:paraId="23A41A30" w14:textId="77777777">
            <w:pPr>
              <w:pStyle w:val="VPBody"/>
              <w:spacing w:before="0" w:after="0"/>
              <w:rPr>
                <w:sz w:val="28"/>
                <w:szCs w:val="28"/>
              </w:rPr>
            </w:pPr>
            <w:r w:rsidRPr="00BE5D30">
              <w:rPr>
                <w:sz w:val="28"/>
                <w:szCs w:val="28"/>
              </w:rPr>
              <w:t>100%</w:t>
            </w:r>
          </w:p>
        </w:tc>
        <w:tc>
          <w:tcPr>
            <w:tcW w:w="1678" w:type="dxa"/>
          </w:tcPr>
          <w:p w:rsidR="00903540" w:rsidRPr="00BE5D30" w:rsidP="002248FE" w14:paraId="698D6F56" w14:textId="77777777">
            <w:pPr>
              <w:pStyle w:val="VPBody"/>
              <w:spacing w:before="0" w:after="0"/>
              <w:rPr>
                <w:sz w:val="28"/>
                <w:szCs w:val="28"/>
              </w:rPr>
            </w:pPr>
            <w:r w:rsidRPr="00BE5D30">
              <w:rPr>
                <w:sz w:val="28"/>
                <w:szCs w:val="28"/>
              </w:rPr>
              <w:t>100%</w:t>
            </w:r>
          </w:p>
        </w:tc>
      </w:tr>
      <w:tr w14:paraId="6D50C296" w14:textId="77777777" w:rsidTr="00367195">
        <w:tblPrEx>
          <w:tblW w:w="9612" w:type="dxa"/>
          <w:tblInd w:w="-113" w:type="dxa"/>
          <w:tblLook w:val="04A0"/>
        </w:tblPrEx>
        <w:tc>
          <w:tcPr>
            <w:tcW w:w="788" w:type="dxa"/>
          </w:tcPr>
          <w:p w:rsidR="00903540" w:rsidRPr="00BE5D30" w:rsidP="002248FE" w14:paraId="673964F4" w14:textId="77777777">
            <w:pPr>
              <w:pStyle w:val="VPBody"/>
              <w:numPr>
                <w:ilvl w:val="0"/>
                <w:numId w:val="11"/>
              </w:numPr>
              <w:spacing w:before="0" w:after="0"/>
              <w:rPr>
                <w:sz w:val="28"/>
                <w:szCs w:val="28"/>
              </w:rPr>
            </w:pPr>
          </w:p>
        </w:tc>
        <w:tc>
          <w:tcPr>
            <w:tcW w:w="2593" w:type="dxa"/>
          </w:tcPr>
          <w:p w:rsidR="00903540" w:rsidRPr="00BE5D30" w:rsidP="002248FE" w14:paraId="1FE2E059" w14:textId="77777777">
            <w:pPr>
              <w:pStyle w:val="VPBody"/>
              <w:spacing w:before="0" w:after="0"/>
              <w:rPr>
                <w:sz w:val="28"/>
                <w:szCs w:val="28"/>
              </w:rPr>
            </w:pPr>
            <w:r w:rsidRPr="00BE5D30">
              <w:rPr>
                <w:sz w:val="28"/>
                <w:szCs w:val="28"/>
              </w:rPr>
              <w:t xml:space="preserve">Samazinās medicīniskās ekspertīzes (mirušo personu) veikšanas laikietilpība** </w:t>
            </w:r>
          </w:p>
        </w:tc>
        <w:tc>
          <w:tcPr>
            <w:tcW w:w="1554" w:type="dxa"/>
          </w:tcPr>
          <w:p w:rsidR="00903540" w:rsidRPr="00BE5D30" w:rsidP="002248FE" w14:paraId="5DC58BE6" w14:textId="77777777">
            <w:pPr>
              <w:pStyle w:val="VPBody"/>
              <w:spacing w:before="0" w:after="0"/>
              <w:rPr>
                <w:sz w:val="28"/>
                <w:szCs w:val="28"/>
              </w:rPr>
            </w:pPr>
            <w:r w:rsidRPr="00BE5D30">
              <w:rPr>
                <w:sz w:val="28"/>
                <w:szCs w:val="28"/>
              </w:rPr>
              <w:t>% no gadījumiem</w:t>
            </w:r>
          </w:p>
        </w:tc>
        <w:tc>
          <w:tcPr>
            <w:tcW w:w="1321" w:type="dxa"/>
          </w:tcPr>
          <w:p w:rsidR="00903540" w:rsidRPr="00BE5D30" w:rsidP="002248FE" w14:paraId="7E94E106" w14:textId="77777777">
            <w:pPr>
              <w:pStyle w:val="VPBody"/>
              <w:spacing w:before="0" w:after="0"/>
              <w:rPr>
                <w:sz w:val="28"/>
                <w:szCs w:val="28"/>
              </w:rPr>
            </w:pPr>
            <w:r w:rsidRPr="00BE5D30">
              <w:rPr>
                <w:sz w:val="28"/>
                <w:szCs w:val="28"/>
              </w:rPr>
              <w:t>0</w:t>
            </w:r>
          </w:p>
        </w:tc>
        <w:tc>
          <w:tcPr>
            <w:tcW w:w="1678" w:type="dxa"/>
          </w:tcPr>
          <w:p w:rsidR="00903540" w:rsidRPr="00BE5D30" w:rsidP="002248FE" w14:paraId="3089A7A7" w14:textId="77777777">
            <w:pPr>
              <w:pStyle w:val="VPBody"/>
              <w:spacing w:before="0" w:after="0"/>
              <w:rPr>
                <w:sz w:val="28"/>
                <w:szCs w:val="28"/>
              </w:rPr>
            </w:pPr>
            <w:r w:rsidRPr="00BE5D30">
              <w:rPr>
                <w:sz w:val="28"/>
                <w:szCs w:val="28"/>
              </w:rPr>
              <w:t>50%</w:t>
            </w:r>
          </w:p>
        </w:tc>
        <w:tc>
          <w:tcPr>
            <w:tcW w:w="1678" w:type="dxa"/>
          </w:tcPr>
          <w:p w:rsidR="00903540" w:rsidRPr="00BE5D30" w:rsidP="002248FE" w14:paraId="2BF190E7" w14:textId="77777777">
            <w:pPr>
              <w:pStyle w:val="VPBody"/>
              <w:spacing w:before="0" w:after="0"/>
              <w:rPr>
                <w:sz w:val="28"/>
                <w:szCs w:val="28"/>
              </w:rPr>
            </w:pPr>
            <w:r w:rsidRPr="00BE5D30">
              <w:rPr>
                <w:sz w:val="28"/>
                <w:szCs w:val="28"/>
              </w:rPr>
              <w:t>50%</w:t>
            </w:r>
          </w:p>
        </w:tc>
      </w:tr>
    </w:tbl>
    <w:p w:rsidR="00903540" w:rsidRPr="00BE5D30" w:rsidP="002248FE" w14:paraId="4E45D812" w14:textId="77777777">
      <w:pPr>
        <w:pStyle w:val="VPMessage"/>
        <w:jc w:val="both"/>
        <w:rPr>
          <w:rFonts w:cs="Times New Roman"/>
          <w:b w:val="0"/>
          <w:i w:val="0"/>
          <w:sz w:val="28"/>
          <w:szCs w:val="28"/>
        </w:rPr>
      </w:pPr>
      <w:r w:rsidRPr="00BE5D30">
        <w:rPr>
          <w:rFonts w:cs="Times New Roman"/>
          <w:b w:val="0"/>
          <w:i w:val="0"/>
          <w:sz w:val="28"/>
          <w:szCs w:val="28"/>
        </w:rPr>
        <w:t>*procesa virzītāju klātienes apmeklējumi samazināsies dzīvo personu ekspertīzēm, kas rezultējas tikai ar ekspertīzes atzinumu un procesa virzītājam nav nepieciešams saņemt atpakaļ ekspertīzei nodoto materiālu.</w:t>
      </w:r>
    </w:p>
    <w:p w:rsidR="00903540" w:rsidRPr="00BE5D30" w:rsidP="002248FE" w14:paraId="687F13D0" w14:textId="2009B497">
      <w:pPr>
        <w:pStyle w:val="VPMessage"/>
        <w:jc w:val="both"/>
        <w:rPr>
          <w:rFonts w:cs="Times New Roman"/>
          <w:b w:val="0"/>
          <w:i w:val="0"/>
          <w:sz w:val="28"/>
          <w:szCs w:val="28"/>
        </w:rPr>
      </w:pPr>
      <w:r w:rsidRPr="00BE5D30">
        <w:rPr>
          <w:rFonts w:cs="Times New Roman"/>
          <w:b w:val="0"/>
          <w:i w:val="0"/>
          <w:sz w:val="28"/>
          <w:szCs w:val="28"/>
        </w:rPr>
        <w:t xml:space="preserve">** uz nosūtījumu un izpētes rezultātu elektroniskas aprites rēķina starp </w:t>
      </w:r>
      <w:r w:rsidRPr="00BE5D30" w:rsidR="00D85B65">
        <w:rPr>
          <w:rFonts w:cs="Times New Roman"/>
          <w:b w:val="0"/>
          <w:i w:val="0"/>
          <w:sz w:val="28"/>
          <w:szCs w:val="28"/>
        </w:rPr>
        <w:t xml:space="preserve">Valsts tiesu medicīnas ekspertīzes centra (turpmāk – </w:t>
      </w:r>
      <w:r w:rsidRPr="00BE5D30">
        <w:rPr>
          <w:rFonts w:cs="Times New Roman"/>
          <w:b w:val="0"/>
          <w:i w:val="0"/>
          <w:sz w:val="28"/>
          <w:szCs w:val="28"/>
        </w:rPr>
        <w:t>VTMEC</w:t>
      </w:r>
      <w:r w:rsidRPr="00BE5D30" w:rsidR="00D85B65">
        <w:rPr>
          <w:rFonts w:cs="Times New Roman"/>
          <w:b w:val="0"/>
          <w:i w:val="0"/>
          <w:sz w:val="28"/>
          <w:szCs w:val="28"/>
        </w:rPr>
        <w:t>)</w:t>
      </w:r>
      <w:r w:rsidRPr="00BE5D30">
        <w:rPr>
          <w:rFonts w:cs="Times New Roman"/>
          <w:b w:val="0"/>
          <w:i w:val="0"/>
          <w:sz w:val="28"/>
          <w:szCs w:val="28"/>
        </w:rPr>
        <w:t xml:space="preserve"> reģionālajām nodaļām un laboratorijām.</w:t>
      </w:r>
    </w:p>
    <w:p w:rsidR="00903540" w:rsidRPr="00BE5D30" w:rsidP="002248FE" w14:paraId="6E27F444" w14:textId="77777777">
      <w:pPr>
        <w:spacing w:before="120"/>
        <w:ind w:left="720" w:hanging="360"/>
        <w:jc w:val="both"/>
        <w:rPr>
          <w:rFonts w:ascii="Times New Roman" w:hAnsi="Times New Roman" w:cs="Times New Roman"/>
          <w:color w:val="2F5496" w:themeColor="accent5" w:themeShade="BF"/>
          <w:sz w:val="28"/>
          <w:szCs w:val="28"/>
        </w:rPr>
      </w:pPr>
    </w:p>
    <w:p w:rsidR="00903540" w:rsidRPr="00BE5D30" w:rsidP="002248FE" w14:paraId="0DD2CF84" w14:textId="77777777">
      <w:pPr>
        <w:overflowPunct w:val="0"/>
        <w:autoSpaceDE w:val="0"/>
        <w:autoSpaceDN w:val="0"/>
        <w:adjustRightInd w:val="0"/>
        <w:spacing w:before="120" w:after="120"/>
        <w:jc w:val="both"/>
        <w:textAlignment w:val="baseline"/>
        <w:rPr>
          <w:rFonts w:ascii="Times New Roman" w:eastAsia="MS Mincho" w:hAnsi="Times New Roman" w:cs="Times New Roman"/>
          <w:b/>
          <w:bCs/>
          <w:sz w:val="28"/>
          <w:szCs w:val="28"/>
          <w:u w:val="single"/>
        </w:rPr>
      </w:pPr>
      <w:r w:rsidRPr="00BE5D30">
        <w:rPr>
          <w:rFonts w:ascii="Times New Roman" w:eastAsia="MS Mincho" w:hAnsi="Times New Roman" w:cs="Times New Roman"/>
          <w:b/>
          <w:bCs/>
          <w:sz w:val="28"/>
          <w:szCs w:val="28"/>
          <w:u w:val="single"/>
        </w:rPr>
        <w:t>Projekta iznākuma rādītāji:</w:t>
      </w:r>
    </w:p>
    <w:p w:rsidR="00903540" w:rsidRPr="00BE5D30" w:rsidP="002248FE" w14:paraId="6B6FA356" w14:textId="77777777">
      <w:pPr>
        <w:spacing w:before="120"/>
        <w:ind w:left="720" w:hanging="360"/>
        <w:jc w:val="both"/>
        <w:rPr>
          <w:rFonts w:ascii="Times New Roman" w:hAnsi="Times New Roman" w:cs="Times New Roman"/>
          <w:i/>
          <w:color w:val="2F5496" w:themeColor="accent5" w:themeShade="BF"/>
          <w:sz w:val="28"/>
          <w:szCs w:val="28"/>
        </w:rPr>
      </w:pPr>
    </w:p>
    <w:tbl>
      <w:tblPr>
        <w:tblStyle w:val="TableGrid"/>
        <w:tblW w:w="5000" w:type="pct"/>
        <w:tblLook w:val="04A0"/>
      </w:tblPr>
      <w:tblGrid>
        <w:gridCol w:w="356"/>
        <w:gridCol w:w="3691"/>
        <w:gridCol w:w="1507"/>
        <w:gridCol w:w="1817"/>
        <w:gridCol w:w="1690"/>
      </w:tblGrid>
      <w:tr w14:paraId="13DD08DE" w14:textId="77777777" w:rsidTr="006318A3">
        <w:tblPrEx>
          <w:tblW w:w="5000" w:type="pct"/>
          <w:tblLook w:val="04A0"/>
        </w:tblPrEx>
        <w:tc>
          <w:tcPr>
            <w:tcW w:w="221" w:type="pct"/>
          </w:tcPr>
          <w:p w:rsidR="00903540" w:rsidRPr="00BE5D30" w:rsidP="002248FE" w14:paraId="34DA16C6" w14:textId="77777777">
            <w:pPr>
              <w:tabs>
                <w:tab w:val="left" w:pos="0"/>
              </w:tabs>
              <w:spacing w:before="0" w:after="0"/>
              <w:jc w:val="both"/>
              <w:rPr>
                <w:rFonts w:ascii="Times New Roman" w:hAnsi="Times New Roman" w:cs="Times New Roman"/>
                <w:bCs/>
                <w:sz w:val="28"/>
                <w:szCs w:val="28"/>
              </w:rPr>
            </w:pPr>
          </w:p>
        </w:tc>
        <w:tc>
          <w:tcPr>
            <w:tcW w:w="2068" w:type="pct"/>
            <w:vAlign w:val="center"/>
          </w:tcPr>
          <w:p w:rsidR="00903540" w:rsidRPr="00BE5D30" w:rsidP="002248FE" w14:paraId="2DA87F93"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Iznākuma rādītājs</w:t>
            </w:r>
          </w:p>
        </w:tc>
        <w:tc>
          <w:tcPr>
            <w:tcW w:w="720" w:type="pct"/>
            <w:vAlign w:val="center"/>
          </w:tcPr>
          <w:p w:rsidR="00903540" w:rsidRPr="00BE5D30" w:rsidP="002248FE" w14:paraId="3432F57B"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Mērvienība</w:t>
            </w:r>
          </w:p>
        </w:tc>
        <w:tc>
          <w:tcPr>
            <w:tcW w:w="1030" w:type="pct"/>
            <w:vAlign w:val="center"/>
          </w:tcPr>
          <w:p w:rsidR="00903540" w:rsidRPr="00BE5D30" w:rsidP="002248FE" w14:paraId="220049AD"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Starpvērtība (2 gadi pēc projekta sākuma)</w:t>
            </w:r>
          </w:p>
        </w:tc>
        <w:tc>
          <w:tcPr>
            <w:tcW w:w="960" w:type="pct"/>
            <w:vAlign w:val="center"/>
          </w:tcPr>
          <w:p w:rsidR="00903540" w:rsidRPr="00BE5D30" w:rsidP="002248FE" w14:paraId="00172B19"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Sasniedzamā vērtība projekta beigās</w:t>
            </w:r>
          </w:p>
        </w:tc>
      </w:tr>
      <w:tr w14:paraId="5FC01C3E" w14:textId="77777777" w:rsidTr="006318A3">
        <w:tblPrEx>
          <w:tblW w:w="5000" w:type="pct"/>
          <w:tblLook w:val="04A0"/>
        </w:tblPrEx>
        <w:tc>
          <w:tcPr>
            <w:tcW w:w="221" w:type="pct"/>
          </w:tcPr>
          <w:p w:rsidR="00903540" w:rsidRPr="00BE5D30" w:rsidP="002248FE" w14:paraId="21A9FBA0"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1</w:t>
            </w:r>
          </w:p>
        </w:tc>
        <w:tc>
          <w:tcPr>
            <w:tcW w:w="2068" w:type="pct"/>
          </w:tcPr>
          <w:p w:rsidR="00903540" w:rsidRPr="00BE5D30" w:rsidP="002248FE" w14:paraId="1126FB7E"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Pilnveidots tiesu medicīniskās ekspertīzes process un ar to saistītie procesi</w:t>
            </w:r>
          </w:p>
        </w:tc>
        <w:tc>
          <w:tcPr>
            <w:tcW w:w="720" w:type="pct"/>
          </w:tcPr>
          <w:p w:rsidR="00903540" w:rsidRPr="00BE5D30" w:rsidP="002248FE" w14:paraId="1F8AD449"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Skaits</w:t>
            </w:r>
          </w:p>
        </w:tc>
        <w:tc>
          <w:tcPr>
            <w:tcW w:w="1030" w:type="pct"/>
          </w:tcPr>
          <w:p w:rsidR="00903540" w:rsidRPr="00BE5D30" w:rsidP="002248FE" w14:paraId="2BFEC13F"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1</w:t>
            </w:r>
          </w:p>
        </w:tc>
        <w:tc>
          <w:tcPr>
            <w:tcW w:w="960" w:type="pct"/>
          </w:tcPr>
          <w:p w:rsidR="00903540" w:rsidRPr="00BE5D30" w:rsidP="002248FE" w14:paraId="674867B9"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3</w:t>
            </w:r>
          </w:p>
        </w:tc>
      </w:tr>
      <w:tr w14:paraId="51E315AA" w14:textId="77777777" w:rsidTr="006318A3">
        <w:tblPrEx>
          <w:tblW w:w="5000" w:type="pct"/>
          <w:tblLook w:val="04A0"/>
        </w:tblPrEx>
        <w:tc>
          <w:tcPr>
            <w:tcW w:w="221" w:type="pct"/>
          </w:tcPr>
          <w:p w:rsidR="00903540" w:rsidRPr="00BE5D30" w:rsidP="002248FE" w14:paraId="68084FE9"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2</w:t>
            </w:r>
          </w:p>
        </w:tc>
        <w:tc>
          <w:tcPr>
            <w:tcW w:w="2068" w:type="pct"/>
          </w:tcPr>
          <w:p w:rsidR="00903540" w:rsidRPr="00BE5D30" w:rsidP="002248FE" w14:paraId="21EE923C"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Izveidota Tiesu medicīniskās ekspertīzes informācijas sistēma</w:t>
            </w:r>
          </w:p>
        </w:tc>
        <w:tc>
          <w:tcPr>
            <w:tcW w:w="720" w:type="pct"/>
          </w:tcPr>
          <w:p w:rsidR="00903540" w:rsidRPr="00BE5D30" w:rsidP="002248FE" w14:paraId="586CD38C"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Skaits</w:t>
            </w:r>
          </w:p>
        </w:tc>
        <w:tc>
          <w:tcPr>
            <w:tcW w:w="1030" w:type="pct"/>
          </w:tcPr>
          <w:p w:rsidR="00903540" w:rsidRPr="00BE5D30" w:rsidP="002248FE" w14:paraId="61FC9433"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0</w:t>
            </w:r>
          </w:p>
        </w:tc>
        <w:tc>
          <w:tcPr>
            <w:tcW w:w="960" w:type="pct"/>
          </w:tcPr>
          <w:p w:rsidR="00903540" w:rsidRPr="00BE5D30" w:rsidP="002248FE" w14:paraId="31CE4969"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1</w:t>
            </w:r>
          </w:p>
        </w:tc>
      </w:tr>
      <w:tr w14:paraId="63182E43" w14:textId="77777777" w:rsidTr="006318A3">
        <w:tblPrEx>
          <w:tblW w:w="5000" w:type="pct"/>
          <w:tblLook w:val="04A0"/>
        </w:tblPrEx>
        <w:tc>
          <w:tcPr>
            <w:tcW w:w="221" w:type="pct"/>
          </w:tcPr>
          <w:p w:rsidR="00903540" w:rsidRPr="00BE5D30" w:rsidP="002248FE" w14:paraId="0FC2F067"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3</w:t>
            </w:r>
          </w:p>
        </w:tc>
        <w:tc>
          <w:tcPr>
            <w:tcW w:w="2068" w:type="pct"/>
          </w:tcPr>
          <w:p w:rsidR="00903540" w:rsidRPr="00BE5D30" w:rsidP="002248FE" w14:paraId="448D6A7F"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Izveidotas datu apmaiņas saskarnes</w:t>
            </w:r>
          </w:p>
        </w:tc>
        <w:tc>
          <w:tcPr>
            <w:tcW w:w="720" w:type="pct"/>
          </w:tcPr>
          <w:p w:rsidR="00903540" w:rsidRPr="00BE5D30" w:rsidP="002248FE" w14:paraId="003B6421"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Skaits</w:t>
            </w:r>
          </w:p>
        </w:tc>
        <w:tc>
          <w:tcPr>
            <w:tcW w:w="1030" w:type="pct"/>
          </w:tcPr>
          <w:p w:rsidR="00903540" w:rsidRPr="00BE5D30" w:rsidP="002248FE" w14:paraId="017CFF3D"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1</w:t>
            </w:r>
          </w:p>
        </w:tc>
        <w:tc>
          <w:tcPr>
            <w:tcW w:w="960" w:type="pct"/>
          </w:tcPr>
          <w:p w:rsidR="00903540" w:rsidRPr="00BE5D30" w:rsidP="002248FE" w14:paraId="335871F2"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2</w:t>
            </w:r>
          </w:p>
        </w:tc>
      </w:tr>
      <w:tr w14:paraId="34BCE206" w14:textId="77777777" w:rsidTr="006318A3">
        <w:tblPrEx>
          <w:tblW w:w="5000" w:type="pct"/>
          <w:tblLook w:val="04A0"/>
        </w:tblPrEx>
        <w:tc>
          <w:tcPr>
            <w:tcW w:w="221" w:type="pct"/>
          </w:tcPr>
          <w:p w:rsidR="00903540" w:rsidRPr="00BE5D30" w:rsidP="002248FE" w14:paraId="31B39B3B"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4</w:t>
            </w:r>
          </w:p>
        </w:tc>
        <w:tc>
          <w:tcPr>
            <w:tcW w:w="2068" w:type="pct"/>
          </w:tcPr>
          <w:p w:rsidR="00903540" w:rsidRPr="00BE5D30" w:rsidP="002248FE" w14:paraId="5256E692"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Izveidotas publicētās datu kopas</w:t>
            </w:r>
          </w:p>
        </w:tc>
        <w:tc>
          <w:tcPr>
            <w:tcW w:w="720" w:type="pct"/>
          </w:tcPr>
          <w:p w:rsidR="00903540" w:rsidRPr="00BE5D30" w:rsidP="002248FE" w14:paraId="6AD85B75" w14:textId="77777777">
            <w:pPr>
              <w:tabs>
                <w:tab w:val="left" w:pos="0"/>
              </w:tabs>
              <w:spacing w:before="0" w:after="0"/>
              <w:jc w:val="both"/>
              <w:rPr>
                <w:rFonts w:ascii="Times New Roman" w:hAnsi="Times New Roman" w:cs="Times New Roman"/>
                <w:bCs/>
                <w:sz w:val="28"/>
                <w:szCs w:val="28"/>
              </w:rPr>
            </w:pPr>
            <w:r w:rsidRPr="00BE5D30">
              <w:rPr>
                <w:rFonts w:ascii="Times New Roman" w:hAnsi="Times New Roman" w:cs="Times New Roman"/>
                <w:bCs/>
                <w:sz w:val="28"/>
                <w:szCs w:val="28"/>
              </w:rPr>
              <w:t>Skaits</w:t>
            </w:r>
          </w:p>
        </w:tc>
        <w:tc>
          <w:tcPr>
            <w:tcW w:w="1030" w:type="pct"/>
          </w:tcPr>
          <w:p w:rsidR="00903540" w:rsidRPr="00BE5D30" w:rsidP="002248FE" w14:paraId="09399157" w14:textId="77777777">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0</w:t>
            </w:r>
          </w:p>
        </w:tc>
        <w:tc>
          <w:tcPr>
            <w:tcW w:w="960" w:type="pct"/>
          </w:tcPr>
          <w:p w:rsidR="00903540" w:rsidRPr="00BE5D30" w:rsidP="002248FE" w14:paraId="00897793" w14:textId="5A09972B">
            <w:pPr>
              <w:tabs>
                <w:tab w:val="left" w:pos="0"/>
              </w:tabs>
              <w:spacing w:before="0" w:after="0"/>
              <w:jc w:val="center"/>
              <w:rPr>
                <w:rFonts w:ascii="Times New Roman" w:hAnsi="Times New Roman" w:cs="Times New Roman"/>
                <w:bCs/>
                <w:sz w:val="28"/>
                <w:szCs w:val="28"/>
              </w:rPr>
            </w:pPr>
            <w:r w:rsidRPr="00BE5D30">
              <w:rPr>
                <w:rFonts w:ascii="Times New Roman" w:hAnsi="Times New Roman" w:cs="Times New Roman"/>
                <w:bCs/>
                <w:sz w:val="28"/>
                <w:szCs w:val="28"/>
              </w:rPr>
              <w:t>4</w:t>
            </w:r>
          </w:p>
        </w:tc>
      </w:tr>
    </w:tbl>
    <w:p w:rsidR="00903540" w:rsidRPr="00BE5D30" w:rsidP="002248FE" w14:paraId="4D37CCAF" w14:textId="77777777">
      <w:pPr>
        <w:spacing w:before="120"/>
        <w:jc w:val="both"/>
        <w:rPr>
          <w:rFonts w:ascii="Times New Roman" w:hAnsi="Times New Roman" w:cs="Times New Roman"/>
          <w:i/>
          <w:color w:val="2F5496" w:themeColor="accent5" w:themeShade="BF"/>
          <w:sz w:val="28"/>
          <w:szCs w:val="28"/>
        </w:rPr>
      </w:pPr>
    </w:p>
    <w:p w:rsidR="004B4FD7" w:rsidRPr="00BE5D30" w:rsidP="002248FE" w14:paraId="673780B8" w14:textId="77777777">
      <w:pPr>
        <w:spacing w:before="120"/>
        <w:ind w:hanging="11"/>
        <w:jc w:val="both"/>
        <w:rPr>
          <w:rFonts w:ascii="Times New Roman" w:hAnsi="Times New Roman" w:cs="Times New Roman"/>
          <w:i/>
          <w:iCs/>
          <w:sz w:val="28"/>
          <w:szCs w:val="28"/>
        </w:rPr>
      </w:pPr>
      <w:r w:rsidRPr="00BE5D30">
        <w:rPr>
          <w:rFonts w:ascii="Times New Roman" w:hAnsi="Times New Roman" w:cs="Times New Roman"/>
          <w:sz w:val="28"/>
          <w:szCs w:val="28"/>
        </w:rPr>
        <w:t xml:space="preserve">Projekta finansējuma </w:t>
      </w:r>
      <w:r w:rsidRPr="00BE5D30">
        <w:rPr>
          <w:rFonts w:ascii="Times New Roman" w:hAnsi="Times New Roman" w:cs="Times New Roman"/>
          <w:sz w:val="28"/>
          <w:szCs w:val="28"/>
        </w:rPr>
        <w:t xml:space="preserve">kopējais </w:t>
      </w:r>
      <w:r w:rsidRPr="00BE5D30">
        <w:rPr>
          <w:rFonts w:ascii="Times New Roman" w:hAnsi="Times New Roman" w:cs="Times New Roman"/>
          <w:sz w:val="28"/>
          <w:szCs w:val="28"/>
        </w:rPr>
        <w:t xml:space="preserve">apjoms ir 300 000 </w:t>
      </w:r>
      <w:r w:rsidRPr="00BE5D30">
        <w:rPr>
          <w:rFonts w:ascii="Times New Roman" w:hAnsi="Times New Roman" w:cs="Times New Roman"/>
          <w:i/>
          <w:iCs/>
          <w:sz w:val="28"/>
          <w:szCs w:val="28"/>
        </w:rPr>
        <w:t xml:space="preserve">euro. </w:t>
      </w:r>
    </w:p>
    <w:p w:rsidR="00903540" w:rsidRPr="00BE5D30" w:rsidP="002248FE" w14:paraId="70B42602" w14:textId="016F9385">
      <w:pPr>
        <w:spacing w:before="120"/>
        <w:ind w:hanging="11"/>
        <w:jc w:val="both"/>
        <w:rPr>
          <w:rFonts w:ascii="Times New Roman" w:hAnsi="Times New Roman" w:cs="Times New Roman"/>
          <w:i/>
          <w:color w:val="2F5496" w:themeColor="accent5" w:themeShade="BF"/>
          <w:sz w:val="28"/>
          <w:szCs w:val="28"/>
        </w:rPr>
      </w:pPr>
      <w:r w:rsidRPr="00BE5D30">
        <w:rPr>
          <w:rFonts w:ascii="Times New Roman" w:hAnsi="Times New Roman" w:cs="Times New Roman"/>
          <w:sz w:val="28"/>
          <w:szCs w:val="28"/>
        </w:rPr>
        <w:t>Projektu plānots īstenot 24 mēnešu laikā.</w:t>
      </w:r>
    </w:p>
    <w:p w:rsidR="00903540" w:rsidRPr="00BE5D30" w:rsidP="002248FE" w14:paraId="4A23075F" w14:textId="77777777">
      <w:pPr>
        <w:spacing w:before="120"/>
        <w:ind w:left="720" w:hanging="360"/>
        <w:jc w:val="both"/>
        <w:rPr>
          <w:rFonts w:ascii="Times New Roman" w:hAnsi="Times New Roman" w:cs="Times New Roman"/>
          <w:i/>
          <w:color w:val="2F5496" w:themeColor="accent5" w:themeShade="BF"/>
          <w:sz w:val="28"/>
          <w:szCs w:val="28"/>
        </w:rPr>
      </w:pPr>
    </w:p>
    <w:p w:rsidR="00903540" w:rsidRPr="00BE5D30" w:rsidP="002248FE" w14:paraId="3CDEB00A" w14:textId="3E766683">
      <w:pPr>
        <w:tabs>
          <w:tab w:val="left" w:pos="0"/>
        </w:tabs>
        <w:jc w:val="both"/>
        <w:rPr>
          <w:rFonts w:ascii="Times New Roman" w:eastAsia="MS Mincho" w:hAnsi="Times New Roman" w:cs="Times New Roman"/>
          <w:b/>
          <w:bCs/>
          <w:sz w:val="28"/>
          <w:szCs w:val="28"/>
          <w:u w:val="single"/>
        </w:rPr>
      </w:pPr>
      <w:r w:rsidRPr="00BE5D30">
        <w:rPr>
          <w:rFonts w:ascii="Times New Roman" w:eastAsia="MS Mincho" w:hAnsi="Times New Roman" w:cs="Times New Roman"/>
          <w:b/>
          <w:bCs/>
          <w:sz w:val="28"/>
          <w:szCs w:val="28"/>
          <w:u w:val="single"/>
        </w:rPr>
        <w:t xml:space="preserve">Saistība ar iepriekšējā plānošanas perioda projektiem, projekta lietderība un ieguldījums </w:t>
      </w:r>
      <w:r w:rsidRPr="00BE5D30" w:rsidR="00D85B65">
        <w:rPr>
          <w:rFonts w:ascii="Times New Roman" w:eastAsia="MS Mincho" w:hAnsi="Times New Roman" w:cs="Times New Roman"/>
          <w:b/>
          <w:bCs/>
          <w:sz w:val="28"/>
          <w:szCs w:val="28"/>
          <w:u w:val="single"/>
        </w:rPr>
        <w:t>specifiskā atbalsta mērķa</w:t>
      </w:r>
      <w:r w:rsidRPr="00BE5D30">
        <w:rPr>
          <w:rFonts w:ascii="Times New Roman" w:eastAsia="MS Mincho" w:hAnsi="Times New Roman" w:cs="Times New Roman"/>
          <w:b/>
          <w:bCs/>
          <w:sz w:val="28"/>
          <w:szCs w:val="28"/>
          <w:u w:val="single"/>
        </w:rPr>
        <w:t xml:space="preserve"> rezultāta rādītājos:</w:t>
      </w:r>
    </w:p>
    <w:p w:rsidR="00903540" w:rsidRPr="00BE5D30" w:rsidP="002248FE" w14:paraId="46143205" w14:textId="77777777">
      <w:pPr>
        <w:pStyle w:val="VPBody"/>
        <w:rPr>
          <w:i/>
          <w:color w:val="4472C4" w:themeColor="accent5"/>
          <w:sz w:val="28"/>
          <w:szCs w:val="28"/>
        </w:rPr>
      </w:pPr>
    </w:p>
    <w:p w:rsidR="00903540" w:rsidRPr="00BE5D30" w:rsidP="002248FE" w14:paraId="0FCFC11C" w14:textId="1618B316">
      <w:pPr>
        <w:autoSpaceDE w:val="0"/>
        <w:autoSpaceDN w:val="0"/>
        <w:adjustRightInd w:val="0"/>
        <w:spacing w:before="0" w:after="0"/>
        <w:jc w:val="both"/>
        <w:rPr>
          <w:rFonts w:ascii="Times New Roman" w:hAnsi="Times New Roman" w:cs="Times New Roman"/>
          <w:color w:val="000000"/>
          <w:sz w:val="28"/>
          <w:szCs w:val="28"/>
        </w:rPr>
      </w:pPr>
      <w:r w:rsidRPr="00BE5D30">
        <w:rPr>
          <w:rFonts w:ascii="Times New Roman" w:hAnsi="Times New Roman" w:cs="Times New Roman"/>
          <w:color w:val="000000"/>
          <w:sz w:val="28"/>
          <w:szCs w:val="28"/>
        </w:rPr>
        <w:t xml:space="preserve">VTMEC procesu elektronizācijai vai informācijas sistēmu izstrādei iepriekšējā plānošanas periodā nav tikušas piešķirtas nedz </w:t>
      </w:r>
      <w:r w:rsidRPr="00BE5D30" w:rsidR="006B7A0D">
        <w:rPr>
          <w:rFonts w:ascii="Times New Roman" w:hAnsi="Times New Roman" w:cs="Times New Roman"/>
          <w:color w:val="000000"/>
          <w:sz w:val="28"/>
          <w:szCs w:val="28"/>
        </w:rPr>
        <w:t>Eiropas Savienības</w:t>
      </w:r>
      <w:r w:rsidRPr="00BE5D30">
        <w:rPr>
          <w:rFonts w:ascii="Times New Roman" w:hAnsi="Times New Roman" w:cs="Times New Roman"/>
          <w:color w:val="000000"/>
          <w:sz w:val="28"/>
          <w:szCs w:val="28"/>
        </w:rPr>
        <w:t xml:space="preserve"> struktūrfondu, nedz valsts budžeta investīcijas. </w:t>
      </w:r>
    </w:p>
    <w:p w:rsidR="00903540" w:rsidRPr="00BE5D30" w:rsidP="002248FE" w14:paraId="30301A1A" w14:textId="368DFFD9">
      <w:pPr>
        <w:pStyle w:val="VPBody"/>
        <w:rPr>
          <w:rFonts w:eastAsia="Calibri"/>
          <w:sz w:val="28"/>
          <w:szCs w:val="28"/>
        </w:rPr>
      </w:pPr>
      <w:r w:rsidRPr="00BE5D30">
        <w:rPr>
          <w:rFonts w:eastAsia="Calibri"/>
          <w:sz w:val="28"/>
          <w:szCs w:val="28"/>
        </w:rPr>
        <w:t xml:space="preserve">Optimizējot un elektronizējot VTMEC procesus, tiks sniegts ieguldījums </w:t>
      </w:r>
      <w:r w:rsidRPr="00BE5D30" w:rsidR="006B7A0D">
        <w:rPr>
          <w:rFonts w:eastAsia="Calibri"/>
          <w:sz w:val="28"/>
          <w:szCs w:val="28"/>
        </w:rPr>
        <w:t>specifiskā atbalsta mērķa</w:t>
      </w:r>
      <w:r w:rsidRPr="00BE5D30">
        <w:rPr>
          <w:rFonts w:eastAsia="Calibri"/>
          <w:sz w:val="28"/>
          <w:szCs w:val="28"/>
        </w:rPr>
        <w:t xml:space="preserve"> 2.2.1. „</w:t>
      </w:r>
      <w:r w:rsidRPr="00BE5D30">
        <w:rPr>
          <w:rFonts w:eastAsia="Calibri"/>
          <w:i/>
          <w:sz w:val="28"/>
          <w:szCs w:val="28"/>
        </w:rPr>
        <w:t>Nodrošināt publisko datu atkalizmantošanas pieaugumu un efektīvu publiskās pārvaldes un privātā sektora mijiedarbību</w:t>
      </w:r>
      <w:r w:rsidRPr="00BE5D30">
        <w:rPr>
          <w:rFonts w:eastAsia="Calibri"/>
          <w:sz w:val="28"/>
          <w:szCs w:val="28"/>
        </w:rPr>
        <w:t>” sasniegšanā, projekta rezultātā nodrošinot efektīvu starpnozaru datu apmaiņu, uzsākot iekļaušanos e-lietas risinājumos un e-veselības sistēmā</w:t>
      </w:r>
      <w:r w:rsidRPr="00BE5D30" w:rsidR="00694866">
        <w:rPr>
          <w:rFonts w:eastAsia="Calibri"/>
          <w:sz w:val="28"/>
          <w:szCs w:val="28"/>
        </w:rPr>
        <w:t xml:space="preserve">, kas </w:t>
      </w:r>
      <w:r w:rsidRPr="00BE5D30" w:rsidR="00694866">
        <w:rPr>
          <w:sz w:val="28"/>
          <w:szCs w:val="28"/>
        </w:rPr>
        <w:t>izveidota Eiropas Savienības struktūrfondu un Kohēzijas fonda 2007.–2013.gada plānošanas perioda darbības programmas “Infrastruktūra un pakalpojumi” papildinājuma 3.2.2.1.1.apakšaktivitātes “Informācijas sistēmu un elektronisko pakalpojumu attīstība” projektu ietvaros</w:t>
      </w:r>
      <w:r w:rsidRPr="00BE5D30">
        <w:rPr>
          <w:rFonts w:eastAsia="Calibri"/>
          <w:sz w:val="28"/>
          <w:szCs w:val="28"/>
        </w:rPr>
        <w:t xml:space="preserve">, </w:t>
      </w:r>
      <w:r w:rsidRPr="00BE5D30" w:rsidR="00694866">
        <w:rPr>
          <w:rFonts w:eastAsia="Calibri"/>
          <w:sz w:val="28"/>
          <w:szCs w:val="28"/>
        </w:rPr>
        <w:t xml:space="preserve">kā arī VTMEC </w:t>
      </w:r>
      <w:r w:rsidRPr="00BE5D30">
        <w:rPr>
          <w:rFonts w:eastAsia="Calibri"/>
          <w:sz w:val="28"/>
          <w:szCs w:val="28"/>
        </w:rPr>
        <w:t>veidojot unikālu datu kopas, kas nododama valsts pārvaldes datu portālam.</w:t>
      </w:r>
    </w:p>
    <w:p w:rsidR="00903540" w:rsidRPr="00BE5D30" w:rsidP="002248FE" w14:paraId="4066237F" w14:textId="77777777">
      <w:pPr>
        <w:pStyle w:val="VPBody"/>
        <w:rPr>
          <w:rFonts w:eastAsia="Calibri"/>
          <w:sz w:val="28"/>
          <w:szCs w:val="28"/>
        </w:rPr>
      </w:pPr>
      <w:r w:rsidRPr="00BE5D30">
        <w:rPr>
          <w:rFonts w:eastAsia="Calibri"/>
          <w:sz w:val="28"/>
          <w:szCs w:val="28"/>
        </w:rPr>
        <w:t xml:space="preserve">Projekta izmaksu un ieguvumu analīze atspoguļo VTMEC </w:t>
      </w:r>
      <w:r w:rsidRPr="00BE5D30">
        <w:rPr>
          <w:color w:val="000000"/>
          <w:sz w:val="28"/>
          <w:szCs w:val="28"/>
        </w:rPr>
        <w:t xml:space="preserve">procesu optimizācijā veikto investīciju ieguldījumu finansiālo atdevi, sasniedzot </w:t>
      </w:r>
      <w:r w:rsidRPr="00BE5D30">
        <w:rPr>
          <w:rFonts w:eastAsia="Calibri"/>
          <w:sz w:val="28"/>
          <w:szCs w:val="28"/>
        </w:rPr>
        <w:t xml:space="preserve">VTMEC projekta rezultatīvos rādītājus. </w:t>
      </w:r>
    </w:p>
    <w:p w:rsidR="00550F55" w:rsidRPr="00BE5D30" w:rsidP="002248FE" w14:paraId="327F9B98" w14:textId="77777777">
      <w:pPr>
        <w:suppressAutoHyphens/>
        <w:spacing w:before="0" w:after="0"/>
        <w:jc w:val="both"/>
        <w:rPr>
          <w:rFonts w:ascii="Times New Roman" w:eastAsia="Times New Roman" w:hAnsi="Times New Roman" w:cs="Times New Roman"/>
          <w:sz w:val="28"/>
          <w:szCs w:val="28"/>
          <w:lang w:eastAsia="zh-CN"/>
        </w:rPr>
      </w:pPr>
      <w:r w:rsidRPr="00BE5D30">
        <w:rPr>
          <w:rFonts w:ascii="Times New Roman" w:eastAsia="Times New Roman" w:hAnsi="Times New Roman" w:cs="Times New Roman"/>
          <w:color w:val="000000"/>
          <w:sz w:val="28"/>
          <w:szCs w:val="28"/>
          <w:u w:val="single"/>
          <w:lang w:eastAsia="zh-CN"/>
        </w:rPr>
        <w:t>Finanšu un sociālekonomiskās analīzes ietvaros iegūtā i</w:t>
      </w:r>
      <w:r w:rsidRPr="00BE5D30">
        <w:rPr>
          <w:rFonts w:ascii="Times New Roman" w:eastAsia="Times New Roman" w:hAnsi="Times New Roman" w:cs="Times New Roman"/>
          <w:sz w:val="28"/>
          <w:szCs w:val="28"/>
          <w:lang w:eastAsia="zh-CN"/>
        </w:rPr>
        <w:t>eguvumu un izmaksu attiecība ir 13.17%, kas norāda, ka projekta laikā radītie ieguvumi pārsniedz izmaksas un liecina, ka projekts ir ar augstu pievienoto vērtību.</w:t>
      </w:r>
    </w:p>
    <w:p w:rsidR="00903540" w:rsidRPr="00BE5D30" w:rsidP="002248FE" w14:paraId="5D2FC5D8" w14:textId="29EECB55">
      <w:pPr>
        <w:autoSpaceDE w:val="0"/>
        <w:autoSpaceDN w:val="0"/>
        <w:adjustRightInd w:val="0"/>
        <w:jc w:val="both"/>
        <w:rPr>
          <w:rFonts w:ascii="Times New Roman" w:hAnsi="Times New Roman" w:cs="Times New Roman"/>
          <w:color w:val="000000"/>
          <w:sz w:val="28"/>
          <w:szCs w:val="28"/>
        </w:rPr>
      </w:pPr>
      <w:r w:rsidRPr="00BE5D30">
        <w:rPr>
          <w:rFonts w:ascii="Times New Roman" w:hAnsi="Times New Roman" w:cs="Times New Roman"/>
          <w:color w:val="000000"/>
          <w:sz w:val="28"/>
          <w:szCs w:val="28"/>
        </w:rPr>
        <w:t>Indikatīvais s</w:t>
      </w:r>
      <w:r w:rsidRPr="00BE5D30">
        <w:rPr>
          <w:rFonts w:ascii="Times New Roman" w:hAnsi="Times New Roman" w:cs="Times New Roman"/>
          <w:color w:val="000000"/>
          <w:sz w:val="28"/>
          <w:szCs w:val="28"/>
        </w:rPr>
        <w:t>ociālekonomisk</w:t>
      </w:r>
      <w:r w:rsidRPr="00BE5D30">
        <w:rPr>
          <w:rFonts w:ascii="Times New Roman" w:hAnsi="Times New Roman" w:cs="Times New Roman"/>
          <w:color w:val="000000"/>
          <w:sz w:val="28"/>
          <w:szCs w:val="28"/>
        </w:rPr>
        <w:t>o</w:t>
      </w:r>
      <w:r w:rsidRPr="00BE5D30">
        <w:rPr>
          <w:rFonts w:ascii="Times New Roman" w:hAnsi="Times New Roman" w:cs="Times New Roman"/>
          <w:color w:val="000000"/>
          <w:sz w:val="28"/>
          <w:szCs w:val="28"/>
        </w:rPr>
        <w:t xml:space="preserve"> un finanšu ieguvum</w:t>
      </w:r>
      <w:r w:rsidRPr="00BE5D30">
        <w:rPr>
          <w:rFonts w:ascii="Times New Roman" w:hAnsi="Times New Roman" w:cs="Times New Roman"/>
          <w:color w:val="000000"/>
          <w:sz w:val="28"/>
          <w:szCs w:val="28"/>
        </w:rPr>
        <w:t>u</w:t>
      </w:r>
      <w:r w:rsidRPr="00BE5D30">
        <w:rPr>
          <w:rFonts w:ascii="Times New Roman" w:hAnsi="Times New Roman" w:cs="Times New Roman"/>
          <w:color w:val="000000"/>
          <w:sz w:val="28"/>
          <w:szCs w:val="28"/>
        </w:rPr>
        <w:t xml:space="preserve"> aprēķins vienam gadam</w:t>
      </w:r>
      <w:r w:rsidRPr="00BE5D30">
        <w:rPr>
          <w:rFonts w:ascii="Times New Roman" w:hAnsi="Times New Roman" w:cs="Times New Roman"/>
          <w:color w:val="000000"/>
          <w:sz w:val="28"/>
          <w:szCs w:val="28"/>
        </w:rPr>
        <w:t>:</w:t>
      </w:r>
    </w:p>
    <w:tbl>
      <w:tblPr>
        <w:tblStyle w:val="TableGrid"/>
        <w:tblW w:w="9606" w:type="dxa"/>
        <w:tblLayout w:type="fixed"/>
        <w:tblLook w:val="04A0"/>
      </w:tblPr>
      <w:tblGrid>
        <w:gridCol w:w="817"/>
        <w:gridCol w:w="3544"/>
        <w:gridCol w:w="1134"/>
        <w:gridCol w:w="1417"/>
        <w:gridCol w:w="2694"/>
      </w:tblGrid>
      <w:tr w14:paraId="5A1F683B" w14:textId="77777777" w:rsidTr="006318A3">
        <w:tblPrEx>
          <w:tblW w:w="9606" w:type="dxa"/>
          <w:tblLayout w:type="fixed"/>
          <w:tblLook w:val="04A0"/>
        </w:tblPrEx>
        <w:tc>
          <w:tcPr>
            <w:tcW w:w="817" w:type="dxa"/>
          </w:tcPr>
          <w:p w:rsidR="00903540" w:rsidRPr="00BE5D30" w:rsidP="002248FE" w14:paraId="0CC5D3A7" w14:textId="77777777">
            <w:pPr>
              <w:pStyle w:val="Default"/>
              <w:spacing w:before="60"/>
              <w:contextualSpacing/>
              <w:jc w:val="center"/>
              <w:rPr>
                <w:b/>
                <w:sz w:val="28"/>
                <w:szCs w:val="28"/>
              </w:rPr>
            </w:pPr>
            <w:r w:rsidRPr="00BE5D30">
              <w:rPr>
                <w:b/>
                <w:sz w:val="28"/>
                <w:szCs w:val="28"/>
              </w:rPr>
              <w:t>Nr.p.k.</w:t>
            </w:r>
          </w:p>
        </w:tc>
        <w:tc>
          <w:tcPr>
            <w:tcW w:w="3544" w:type="dxa"/>
          </w:tcPr>
          <w:p w:rsidR="00903540" w:rsidRPr="00BE5D30" w:rsidP="002248FE" w14:paraId="1C555B87" w14:textId="77777777">
            <w:pPr>
              <w:pStyle w:val="Default"/>
              <w:spacing w:before="60"/>
              <w:contextualSpacing/>
              <w:jc w:val="center"/>
              <w:rPr>
                <w:b/>
                <w:sz w:val="28"/>
                <w:szCs w:val="28"/>
              </w:rPr>
            </w:pPr>
            <w:r w:rsidRPr="00BE5D30">
              <w:rPr>
                <w:b/>
                <w:sz w:val="28"/>
                <w:szCs w:val="28"/>
              </w:rPr>
              <w:t>Ieguvumi/Pieņēmumi</w:t>
            </w:r>
          </w:p>
        </w:tc>
        <w:tc>
          <w:tcPr>
            <w:tcW w:w="1134" w:type="dxa"/>
          </w:tcPr>
          <w:p w:rsidR="00903540" w:rsidRPr="00BE5D30" w:rsidP="002248FE" w14:paraId="11A503D1" w14:textId="77777777">
            <w:pPr>
              <w:pStyle w:val="Default"/>
              <w:spacing w:before="60"/>
              <w:contextualSpacing/>
              <w:jc w:val="center"/>
              <w:rPr>
                <w:b/>
                <w:sz w:val="28"/>
                <w:szCs w:val="28"/>
              </w:rPr>
            </w:pPr>
            <w:r w:rsidRPr="00BE5D30">
              <w:rPr>
                <w:b/>
                <w:sz w:val="28"/>
                <w:szCs w:val="28"/>
              </w:rPr>
              <w:t>Aprēķins</w:t>
            </w:r>
          </w:p>
        </w:tc>
        <w:tc>
          <w:tcPr>
            <w:tcW w:w="1417" w:type="dxa"/>
          </w:tcPr>
          <w:p w:rsidR="00903540" w:rsidRPr="00BE5D30" w:rsidP="002248FE" w14:paraId="02901E21" w14:textId="6ADB1F1F">
            <w:pPr>
              <w:pStyle w:val="Default"/>
              <w:spacing w:before="60"/>
              <w:contextualSpacing/>
              <w:jc w:val="center"/>
              <w:rPr>
                <w:b/>
                <w:sz w:val="28"/>
                <w:szCs w:val="28"/>
              </w:rPr>
            </w:pPr>
            <w:r w:rsidRPr="00BE5D30">
              <w:rPr>
                <w:b/>
                <w:sz w:val="28"/>
                <w:szCs w:val="28"/>
              </w:rPr>
              <w:t xml:space="preserve">Ieguvuma ekvivalents naudas izteiksmē, </w:t>
            </w:r>
            <w:r w:rsidRPr="00BE5D30" w:rsidR="00AC4E87">
              <w:rPr>
                <w:b/>
                <w:i/>
                <w:sz w:val="28"/>
                <w:szCs w:val="28"/>
              </w:rPr>
              <w:t>euro</w:t>
            </w:r>
            <w:r w:rsidRPr="00BE5D30">
              <w:rPr>
                <w:b/>
                <w:sz w:val="28"/>
                <w:szCs w:val="28"/>
              </w:rPr>
              <w:t xml:space="preserve"> gadā</w:t>
            </w:r>
          </w:p>
        </w:tc>
        <w:tc>
          <w:tcPr>
            <w:tcW w:w="2694" w:type="dxa"/>
          </w:tcPr>
          <w:p w:rsidR="00903540" w:rsidRPr="00BE5D30" w:rsidP="002248FE" w14:paraId="6DE08A1D" w14:textId="77777777">
            <w:pPr>
              <w:pStyle w:val="Default"/>
              <w:spacing w:before="60"/>
              <w:contextualSpacing/>
              <w:jc w:val="center"/>
              <w:rPr>
                <w:b/>
                <w:sz w:val="28"/>
                <w:szCs w:val="28"/>
              </w:rPr>
            </w:pPr>
            <w:r w:rsidRPr="00BE5D30">
              <w:rPr>
                <w:b/>
                <w:sz w:val="28"/>
                <w:szCs w:val="28"/>
              </w:rPr>
              <w:t>Komentāri</w:t>
            </w:r>
          </w:p>
        </w:tc>
      </w:tr>
      <w:tr w14:paraId="364117CD" w14:textId="77777777" w:rsidTr="006318A3">
        <w:tblPrEx>
          <w:tblW w:w="9606" w:type="dxa"/>
          <w:tblLayout w:type="fixed"/>
          <w:tblLook w:val="04A0"/>
        </w:tblPrEx>
        <w:trPr>
          <w:trHeight w:val="616"/>
        </w:trPr>
        <w:tc>
          <w:tcPr>
            <w:tcW w:w="817" w:type="dxa"/>
            <w:shd w:val="clear" w:color="auto" w:fill="E7E6E6" w:themeFill="background2"/>
          </w:tcPr>
          <w:p w:rsidR="00903540" w:rsidRPr="00BE5D30" w:rsidP="002248FE" w14:paraId="01EE8D5C" w14:textId="77777777">
            <w:pPr>
              <w:pStyle w:val="Default"/>
              <w:numPr>
                <w:ilvl w:val="0"/>
                <w:numId w:val="12"/>
              </w:numPr>
              <w:spacing w:before="60"/>
              <w:contextualSpacing/>
              <w:jc w:val="both"/>
              <w:rPr>
                <w:b/>
                <w:sz w:val="28"/>
                <w:szCs w:val="28"/>
              </w:rPr>
            </w:pPr>
          </w:p>
        </w:tc>
        <w:tc>
          <w:tcPr>
            <w:tcW w:w="4678" w:type="dxa"/>
            <w:gridSpan w:val="2"/>
            <w:shd w:val="clear" w:color="auto" w:fill="E7E6E6" w:themeFill="background2"/>
          </w:tcPr>
          <w:p w:rsidR="00903540" w:rsidRPr="00BE5D30" w:rsidP="002248FE" w14:paraId="37B1A171" w14:textId="57AFA01F">
            <w:pPr>
              <w:pStyle w:val="Default"/>
              <w:spacing w:before="60"/>
              <w:contextualSpacing/>
              <w:jc w:val="both"/>
              <w:rPr>
                <w:b/>
                <w:sz w:val="28"/>
                <w:szCs w:val="28"/>
              </w:rPr>
            </w:pPr>
            <w:r w:rsidRPr="00BE5D30">
              <w:rPr>
                <w:b/>
                <w:sz w:val="28"/>
                <w:szCs w:val="28"/>
              </w:rPr>
              <w:t xml:space="preserve">Ieguvums no procesa virzītāja (tiesībsargājošo iestāžu) klātienes vizīšu samazinājuma, </w:t>
            </w:r>
            <w:r w:rsidRPr="00BE5D30" w:rsidR="00AC4E87">
              <w:rPr>
                <w:b/>
                <w:i/>
                <w:sz w:val="28"/>
                <w:szCs w:val="28"/>
              </w:rPr>
              <w:t>euro</w:t>
            </w:r>
          </w:p>
        </w:tc>
        <w:tc>
          <w:tcPr>
            <w:tcW w:w="1417" w:type="dxa"/>
            <w:shd w:val="clear" w:color="auto" w:fill="E7E6E6" w:themeFill="background2"/>
          </w:tcPr>
          <w:p w:rsidR="00903540" w:rsidRPr="00BE5D30" w:rsidP="002248FE" w14:paraId="348B4D89" w14:textId="77777777">
            <w:pPr>
              <w:pStyle w:val="Default"/>
              <w:spacing w:before="60"/>
              <w:contextualSpacing/>
              <w:jc w:val="both"/>
              <w:rPr>
                <w:b/>
                <w:sz w:val="28"/>
                <w:szCs w:val="28"/>
              </w:rPr>
            </w:pPr>
            <w:r w:rsidRPr="00BE5D30">
              <w:rPr>
                <w:b/>
                <w:sz w:val="28"/>
                <w:szCs w:val="28"/>
              </w:rPr>
              <w:t>141370</w:t>
            </w:r>
          </w:p>
        </w:tc>
        <w:tc>
          <w:tcPr>
            <w:tcW w:w="2694" w:type="dxa"/>
            <w:vMerge w:val="restart"/>
            <w:shd w:val="clear" w:color="auto" w:fill="E7E6E6" w:themeFill="background2"/>
          </w:tcPr>
          <w:p w:rsidR="00903540" w:rsidRPr="00BE5D30" w:rsidP="002248FE" w14:paraId="5F2A574F" w14:textId="77777777">
            <w:pPr>
              <w:pStyle w:val="Default"/>
              <w:spacing w:before="60"/>
              <w:contextualSpacing/>
              <w:jc w:val="both"/>
              <w:rPr>
                <w:sz w:val="28"/>
                <w:szCs w:val="28"/>
              </w:rPr>
            </w:pPr>
            <w:r w:rsidRPr="00BE5D30">
              <w:rPr>
                <w:sz w:val="28"/>
                <w:szCs w:val="28"/>
              </w:rPr>
              <w:t>Izmaksas samazinās pakāpeniski un veidojas sekojoši ietaupījumi:</w:t>
            </w:r>
          </w:p>
          <w:p w:rsidR="00903540" w:rsidRPr="00BE5D30" w:rsidP="002248FE" w14:paraId="76646A08" w14:textId="6B3EFAA2">
            <w:pPr>
              <w:pStyle w:val="Default"/>
              <w:numPr>
                <w:ilvl w:val="0"/>
                <w:numId w:val="10"/>
              </w:numPr>
              <w:spacing w:before="60"/>
              <w:ind w:left="176" w:hanging="142"/>
              <w:contextualSpacing/>
              <w:jc w:val="both"/>
              <w:rPr>
                <w:sz w:val="28"/>
                <w:szCs w:val="28"/>
              </w:rPr>
            </w:pPr>
            <w:r w:rsidRPr="00BE5D30">
              <w:rPr>
                <w:sz w:val="28"/>
                <w:szCs w:val="28"/>
              </w:rPr>
              <w:t xml:space="preserve">pēc TME IS ieviešanas, 2020. un 2021. gadā veidojas ietaupījums 16% apmērā. jeb </w:t>
            </w:r>
            <w:r w:rsidRPr="00BE5D30" w:rsidR="00AC4E87">
              <w:rPr>
                <w:i/>
                <w:sz w:val="28"/>
                <w:szCs w:val="28"/>
              </w:rPr>
              <w:t>euro</w:t>
            </w:r>
            <w:r w:rsidRPr="00BE5D30">
              <w:rPr>
                <w:sz w:val="28"/>
                <w:szCs w:val="28"/>
              </w:rPr>
              <w:t xml:space="preserve"> 22619;</w:t>
            </w:r>
          </w:p>
          <w:p w:rsidR="00903540" w:rsidRPr="00BE5D30" w:rsidP="002248FE" w14:paraId="0544AA2C" w14:textId="35CF665F">
            <w:pPr>
              <w:pStyle w:val="Default"/>
              <w:numPr>
                <w:ilvl w:val="0"/>
                <w:numId w:val="10"/>
              </w:numPr>
              <w:spacing w:before="60"/>
              <w:ind w:left="176" w:hanging="142"/>
              <w:contextualSpacing/>
              <w:jc w:val="both"/>
              <w:rPr>
                <w:sz w:val="28"/>
                <w:szCs w:val="28"/>
              </w:rPr>
            </w:pPr>
            <w:r w:rsidRPr="00BE5D30">
              <w:rPr>
                <w:sz w:val="28"/>
                <w:szCs w:val="28"/>
              </w:rPr>
              <w:t xml:space="preserve">2022.gadā un pārējos gados veidojas 30% jeb </w:t>
            </w:r>
            <w:r w:rsidRPr="00BE5D30" w:rsidR="00AC4E87">
              <w:rPr>
                <w:i/>
                <w:sz w:val="28"/>
                <w:szCs w:val="28"/>
              </w:rPr>
              <w:t>euro</w:t>
            </w:r>
            <w:r w:rsidRPr="00BE5D30">
              <w:rPr>
                <w:sz w:val="28"/>
                <w:szCs w:val="28"/>
              </w:rPr>
              <w:t xml:space="preserve"> 42411 ietaupījums.</w:t>
            </w:r>
          </w:p>
        </w:tc>
      </w:tr>
      <w:tr w14:paraId="35E71E4A" w14:textId="77777777" w:rsidTr="006318A3">
        <w:tblPrEx>
          <w:tblW w:w="9606" w:type="dxa"/>
          <w:tblLayout w:type="fixed"/>
          <w:tblLook w:val="04A0"/>
        </w:tblPrEx>
        <w:trPr>
          <w:trHeight w:val="772"/>
        </w:trPr>
        <w:tc>
          <w:tcPr>
            <w:tcW w:w="817" w:type="dxa"/>
          </w:tcPr>
          <w:p w:rsidR="00903540" w:rsidRPr="00BE5D30" w:rsidP="002248FE" w14:paraId="7A3AE7B0" w14:textId="77777777">
            <w:pPr>
              <w:pStyle w:val="Default"/>
              <w:spacing w:before="60"/>
              <w:contextualSpacing/>
              <w:jc w:val="both"/>
              <w:rPr>
                <w:sz w:val="28"/>
                <w:szCs w:val="28"/>
              </w:rPr>
            </w:pPr>
          </w:p>
        </w:tc>
        <w:tc>
          <w:tcPr>
            <w:tcW w:w="3544" w:type="dxa"/>
          </w:tcPr>
          <w:p w:rsidR="00903540" w:rsidRPr="00BE5D30" w:rsidP="002248FE" w14:paraId="40D7516F" w14:textId="77777777">
            <w:pPr>
              <w:pStyle w:val="Default"/>
              <w:spacing w:before="60"/>
              <w:contextualSpacing/>
              <w:jc w:val="both"/>
              <w:rPr>
                <w:sz w:val="28"/>
                <w:szCs w:val="28"/>
              </w:rPr>
            </w:pPr>
            <w:r w:rsidRPr="00BE5D30">
              <w:rPr>
                <w:sz w:val="28"/>
                <w:szCs w:val="28"/>
              </w:rPr>
              <w:t xml:space="preserve">Tiesu medicīnisko ekspertīžu skaits kriminālprocesa, civilprocesa un administratīvā procesa ietvaros </w:t>
            </w:r>
          </w:p>
        </w:tc>
        <w:tc>
          <w:tcPr>
            <w:tcW w:w="1134" w:type="dxa"/>
          </w:tcPr>
          <w:p w:rsidR="00903540" w:rsidRPr="00BE5D30" w:rsidP="002248FE" w14:paraId="1F5BEAF7" w14:textId="77777777">
            <w:pPr>
              <w:pStyle w:val="Default"/>
              <w:spacing w:before="60"/>
              <w:contextualSpacing/>
              <w:jc w:val="both"/>
              <w:rPr>
                <w:sz w:val="28"/>
                <w:szCs w:val="28"/>
              </w:rPr>
            </w:pPr>
            <w:r w:rsidRPr="00BE5D30">
              <w:rPr>
                <w:sz w:val="28"/>
                <w:szCs w:val="28"/>
              </w:rPr>
              <w:t xml:space="preserve">11940 </w:t>
            </w:r>
          </w:p>
        </w:tc>
        <w:tc>
          <w:tcPr>
            <w:tcW w:w="1417" w:type="dxa"/>
          </w:tcPr>
          <w:p w:rsidR="00903540" w:rsidRPr="00BE5D30" w:rsidP="002248FE" w14:paraId="2451BED4" w14:textId="77777777">
            <w:pPr>
              <w:pStyle w:val="Default"/>
              <w:spacing w:before="60"/>
              <w:contextualSpacing/>
              <w:jc w:val="both"/>
              <w:rPr>
                <w:sz w:val="28"/>
                <w:szCs w:val="28"/>
              </w:rPr>
            </w:pPr>
          </w:p>
        </w:tc>
        <w:tc>
          <w:tcPr>
            <w:tcW w:w="2694" w:type="dxa"/>
            <w:vMerge/>
          </w:tcPr>
          <w:p w:rsidR="00903540" w:rsidRPr="00BE5D30" w:rsidP="002248FE" w14:paraId="6F128E39" w14:textId="77777777">
            <w:pPr>
              <w:pStyle w:val="Default"/>
              <w:spacing w:before="60"/>
              <w:contextualSpacing/>
              <w:jc w:val="both"/>
              <w:rPr>
                <w:sz w:val="28"/>
                <w:szCs w:val="28"/>
              </w:rPr>
            </w:pPr>
          </w:p>
        </w:tc>
      </w:tr>
      <w:tr w14:paraId="31F1EA00" w14:textId="77777777" w:rsidTr="006318A3">
        <w:tblPrEx>
          <w:tblW w:w="9606" w:type="dxa"/>
          <w:tblLayout w:type="fixed"/>
          <w:tblLook w:val="04A0"/>
        </w:tblPrEx>
        <w:tc>
          <w:tcPr>
            <w:tcW w:w="817" w:type="dxa"/>
          </w:tcPr>
          <w:p w:rsidR="00903540" w:rsidRPr="00BE5D30" w:rsidP="002248FE" w14:paraId="7E81C0D7" w14:textId="77777777">
            <w:pPr>
              <w:pStyle w:val="Default"/>
              <w:spacing w:before="60"/>
              <w:contextualSpacing/>
              <w:jc w:val="both"/>
              <w:rPr>
                <w:sz w:val="28"/>
                <w:szCs w:val="28"/>
              </w:rPr>
            </w:pPr>
          </w:p>
        </w:tc>
        <w:tc>
          <w:tcPr>
            <w:tcW w:w="3544" w:type="dxa"/>
          </w:tcPr>
          <w:p w:rsidR="00903540" w:rsidRPr="00BE5D30" w:rsidP="002248FE" w14:paraId="52CFEEA4" w14:textId="7E714428">
            <w:pPr>
              <w:spacing w:before="60" w:after="0"/>
              <w:contextualSpacing/>
              <w:jc w:val="both"/>
              <w:rPr>
                <w:rFonts w:ascii="Times New Roman" w:hAnsi="Times New Roman" w:cs="Times New Roman"/>
                <w:sz w:val="28"/>
                <w:szCs w:val="28"/>
              </w:rPr>
            </w:pPr>
            <w:r w:rsidRPr="00BE5D30">
              <w:rPr>
                <w:rFonts w:ascii="Times New Roman" w:hAnsi="Times New Roman" w:cs="Times New Roman"/>
                <w:sz w:val="28"/>
                <w:szCs w:val="28"/>
              </w:rPr>
              <w:t>Klātienes apmeklējumos</w:t>
            </w:r>
            <w:r w:rsidRPr="00BE5D30">
              <w:rPr>
                <w:rFonts w:ascii="Times New Roman" w:eastAsia="PMingLiU" w:hAnsi="Times New Roman" w:cs="Times New Roman"/>
                <w:sz w:val="28"/>
                <w:szCs w:val="28"/>
              </w:rPr>
              <w:t xml:space="preserve"> </w:t>
            </w:r>
            <w:r w:rsidRPr="00BE5D30">
              <w:rPr>
                <w:rFonts w:ascii="Times New Roman" w:eastAsia="PMingLiU" w:hAnsi="Times New Roman" w:cs="Times New Roman"/>
                <w:color w:val="000000"/>
                <w:sz w:val="28"/>
                <w:szCs w:val="28"/>
              </w:rPr>
              <w:t xml:space="preserve">iesaistīto </w:t>
            </w:r>
            <w:r w:rsidRPr="00BE5D30">
              <w:rPr>
                <w:rFonts w:ascii="Times New Roman" w:hAnsi="Times New Roman" w:cs="Times New Roman"/>
                <w:sz w:val="28"/>
                <w:szCs w:val="28"/>
              </w:rPr>
              <w:t xml:space="preserve">darbinieku mēneša vidējā bruto alga, </w:t>
            </w:r>
            <w:r w:rsidRPr="00BE5D30" w:rsidR="00AC4E87">
              <w:rPr>
                <w:rFonts w:ascii="Times New Roman" w:hAnsi="Times New Roman" w:cs="Times New Roman"/>
                <w:i/>
                <w:sz w:val="28"/>
                <w:szCs w:val="28"/>
              </w:rPr>
              <w:t>euro</w:t>
            </w:r>
          </w:p>
        </w:tc>
        <w:tc>
          <w:tcPr>
            <w:tcW w:w="1134" w:type="dxa"/>
          </w:tcPr>
          <w:p w:rsidR="00903540" w:rsidRPr="00BE5D30" w:rsidP="002248FE" w14:paraId="0E02F135" w14:textId="77777777">
            <w:pPr>
              <w:pStyle w:val="Default"/>
              <w:spacing w:before="60"/>
              <w:contextualSpacing/>
              <w:jc w:val="both"/>
              <w:rPr>
                <w:sz w:val="28"/>
                <w:szCs w:val="28"/>
              </w:rPr>
            </w:pPr>
            <w:r w:rsidRPr="00BE5D30">
              <w:rPr>
                <w:sz w:val="28"/>
                <w:szCs w:val="28"/>
              </w:rPr>
              <w:t>805</w:t>
            </w:r>
          </w:p>
        </w:tc>
        <w:tc>
          <w:tcPr>
            <w:tcW w:w="1417" w:type="dxa"/>
          </w:tcPr>
          <w:p w:rsidR="00903540" w:rsidRPr="00BE5D30" w:rsidP="002248FE" w14:paraId="21EC39C0" w14:textId="77777777">
            <w:pPr>
              <w:pStyle w:val="Default"/>
              <w:spacing w:before="60"/>
              <w:contextualSpacing/>
              <w:jc w:val="both"/>
              <w:rPr>
                <w:sz w:val="28"/>
                <w:szCs w:val="28"/>
              </w:rPr>
            </w:pPr>
          </w:p>
        </w:tc>
        <w:tc>
          <w:tcPr>
            <w:tcW w:w="2694" w:type="dxa"/>
            <w:vMerge/>
          </w:tcPr>
          <w:p w:rsidR="00903540" w:rsidRPr="00BE5D30" w:rsidP="002248FE" w14:paraId="7E7036C4" w14:textId="77777777">
            <w:pPr>
              <w:pStyle w:val="Default"/>
              <w:spacing w:before="60"/>
              <w:contextualSpacing/>
              <w:jc w:val="both"/>
              <w:rPr>
                <w:sz w:val="28"/>
                <w:szCs w:val="28"/>
              </w:rPr>
            </w:pPr>
          </w:p>
        </w:tc>
      </w:tr>
      <w:tr w14:paraId="2B62DF66" w14:textId="77777777" w:rsidTr="006318A3">
        <w:tblPrEx>
          <w:tblW w:w="9606" w:type="dxa"/>
          <w:tblLayout w:type="fixed"/>
          <w:tblLook w:val="04A0"/>
        </w:tblPrEx>
        <w:tc>
          <w:tcPr>
            <w:tcW w:w="817" w:type="dxa"/>
          </w:tcPr>
          <w:p w:rsidR="00903540" w:rsidRPr="00BE5D30" w:rsidP="002248FE" w14:paraId="28AAD1F3" w14:textId="77777777">
            <w:pPr>
              <w:pStyle w:val="Default"/>
              <w:spacing w:before="60"/>
              <w:contextualSpacing/>
              <w:jc w:val="both"/>
              <w:rPr>
                <w:sz w:val="28"/>
                <w:szCs w:val="28"/>
              </w:rPr>
            </w:pPr>
          </w:p>
        </w:tc>
        <w:tc>
          <w:tcPr>
            <w:tcW w:w="3544" w:type="dxa"/>
          </w:tcPr>
          <w:p w:rsidR="00903540" w:rsidRPr="00BE5D30" w:rsidP="002248FE" w14:paraId="3C4529D9" w14:textId="65DFBCDE">
            <w:pPr>
              <w:spacing w:before="60" w:after="0"/>
              <w:contextualSpacing/>
              <w:jc w:val="both"/>
              <w:rPr>
                <w:rFonts w:ascii="Times New Roman" w:hAnsi="Times New Roman" w:cs="Times New Roman"/>
                <w:sz w:val="28"/>
                <w:szCs w:val="28"/>
              </w:rPr>
            </w:pPr>
            <w:r w:rsidRPr="00BE5D30">
              <w:rPr>
                <w:rFonts w:ascii="Times New Roman" w:hAnsi="Times New Roman" w:cs="Times New Roman"/>
                <w:sz w:val="28"/>
                <w:szCs w:val="28"/>
              </w:rPr>
              <w:t>Klātienes apmeklējumos</w:t>
            </w:r>
            <w:r w:rsidRPr="00BE5D30">
              <w:rPr>
                <w:rFonts w:ascii="Times New Roman" w:eastAsia="PMingLiU" w:hAnsi="Times New Roman" w:cs="Times New Roman"/>
                <w:sz w:val="28"/>
                <w:szCs w:val="28"/>
              </w:rPr>
              <w:t xml:space="preserve"> </w:t>
            </w:r>
            <w:r w:rsidRPr="00BE5D30">
              <w:rPr>
                <w:rFonts w:ascii="Times New Roman" w:eastAsia="PMingLiU" w:hAnsi="Times New Roman" w:cs="Times New Roman"/>
                <w:color w:val="000000"/>
                <w:sz w:val="28"/>
                <w:szCs w:val="28"/>
              </w:rPr>
              <w:t xml:space="preserve">iesaistīto darbinieku </w:t>
            </w:r>
            <w:r w:rsidRPr="00BE5D30">
              <w:rPr>
                <w:rFonts w:ascii="Times New Roman" w:hAnsi="Times New Roman" w:cs="Times New Roman"/>
                <w:sz w:val="28"/>
                <w:szCs w:val="28"/>
              </w:rPr>
              <w:t xml:space="preserve">mēneša vidējā darba devēja valsts sociālās apdrošināšanas obligātās iemaksa, </w:t>
            </w:r>
            <w:r w:rsidRPr="00BE5D30" w:rsidR="00AC4E87">
              <w:rPr>
                <w:rFonts w:ascii="Times New Roman" w:hAnsi="Times New Roman" w:cs="Times New Roman"/>
                <w:i/>
                <w:sz w:val="28"/>
                <w:szCs w:val="28"/>
              </w:rPr>
              <w:t>euro</w:t>
            </w:r>
          </w:p>
        </w:tc>
        <w:tc>
          <w:tcPr>
            <w:tcW w:w="1134" w:type="dxa"/>
          </w:tcPr>
          <w:p w:rsidR="00903540" w:rsidRPr="00BE5D30" w:rsidP="002248FE" w14:paraId="44634A1D" w14:textId="77777777">
            <w:pPr>
              <w:pStyle w:val="Default"/>
              <w:spacing w:before="60"/>
              <w:contextualSpacing/>
              <w:jc w:val="both"/>
              <w:rPr>
                <w:sz w:val="28"/>
                <w:szCs w:val="28"/>
              </w:rPr>
            </w:pPr>
            <w:r w:rsidRPr="00BE5D30">
              <w:rPr>
                <w:sz w:val="28"/>
                <w:szCs w:val="28"/>
              </w:rPr>
              <w:t>190</w:t>
            </w:r>
          </w:p>
        </w:tc>
        <w:tc>
          <w:tcPr>
            <w:tcW w:w="1417" w:type="dxa"/>
          </w:tcPr>
          <w:p w:rsidR="00903540" w:rsidRPr="00BE5D30" w:rsidP="002248FE" w14:paraId="301F2409" w14:textId="77777777">
            <w:pPr>
              <w:pStyle w:val="Default"/>
              <w:spacing w:before="60"/>
              <w:contextualSpacing/>
              <w:jc w:val="both"/>
              <w:rPr>
                <w:sz w:val="28"/>
                <w:szCs w:val="28"/>
              </w:rPr>
            </w:pPr>
          </w:p>
        </w:tc>
        <w:tc>
          <w:tcPr>
            <w:tcW w:w="2694" w:type="dxa"/>
            <w:vMerge/>
          </w:tcPr>
          <w:p w:rsidR="00903540" w:rsidRPr="00BE5D30" w:rsidP="002248FE" w14:paraId="35B63D85" w14:textId="77777777">
            <w:pPr>
              <w:pStyle w:val="Default"/>
              <w:spacing w:before="60"/>
              <w:contextualSpacing/>
              <w:jc w:val="both"/>
              <w:rPr>
                <w:sz w:val="28"/>
                <w:szCs w:val="28"/>
              </w:rPr>
            </w:pPr>
          </w:p>
        </w:tc>
      </w:tr>
      <w:tr w14:paraId="03FF308D" w14:textId="77777777" w:rsidTr="006318A3">
        <w:tblPrEx>
          <w:tblW w:w="9606" w:type="dxa"/>
          <w:tblLayout w:type="fixed"/>
          <w:tblLook w:val="04A0"/>
        </w:tblPrEx>
        <w:tc>
          <w:tcPr>
            <w:tcW w:w="817" w:type="dxa"/>
          </w:tcPr>
          <w:p w:rsidR="00903540" w:rsidRPr="00BE5D30" w:rsidP="002248FE" w14:paraId="0B211BDB" w14:textId="77777777">
            <w:pPr>
              <w:pStyle w:val="Default"/>
              <w:spacing w:before="60"/>
              <w:contextualSpacing/>
              <w:jc w:val="both"/>
              <w:rPr>
                <w:sz w:val="28"/>
                <w:szCs w:val="28"/>
              </w:rPr>
            </w:pPr>
          </w:p>
        </w:tc>
        <w:tc>
          <w:tcPr>
            <w:tcW w:w="3544" w:type="dxa"/>
          </w:tcPr>
          <w:p w:rsidR="00903540" w:rsidRPr="00BE5D30" w:rsidP="002248FE" w14:paraId="10366532"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Patēriņš klātienes vizītēm 1 ekspertīzes ietvaros, stundas</w:t>
            </w:r>
          </w:p>
        </w:tc>
        <w:tc>
          <w:tcPr>
            <w:tcW w:w="1134" w:type="dxa"/>
          </w:tcPr>
          <w:p w:rsidR="00903540" w:rsidRPr="00BE5D30" w:rsidP="002248FE" w14:paraId="11D4F154" w14:textId="77777777">
            <w:pPr>
              <w:pStyle w:val="Default"/>
              <w:spacing w:before="60"/>
              <w:contextualSpacing/>
              <w:jc w:val="both"/>
              <w:rPr>
                <w:sz w:val="28"/>
                <w:szCs w:val="28"/>
              </w:rPr>
            </w:pPr>
            <w:r w:rsidRPr="00BE5D30">
              <w:rPr>
                <w:sz w:val="28"/>
                <w:szCs w:val="28"/>
              </w:rPr>
              <w:t>2</w:t>
            </w:r>
          </w:p>
        </w:tc>
        <w:tc>
          <w:tcPr>
            <w:tcW w:w="1417" w:type="dxa"/>
          </w:tcPr>
          <w:p w:rsidR="00903540" w:rsidRPr="00BE5D30" w:rsidP="002248FE" w14:paraId="313AE5E7" w14:textId="77777777">
            <w:pPr>
              <w:pStyle w:val="Default"/>
              <w:spacing w:before="60"/>
              <w:contextualSpacing/>
              <w:jc w:val="both"/>
              <w:rPr>
                <w:sz w:val="28"/>
                <w:szCs w:val="28"/>
              </w:rPr>
            </w:pPr>
          </w:p>
        </w:tc>
        <w:tc>
          <w:tcPr>
            <w:tcW w:w="2694" w:type="dxa"/>
            <w:vMerge/>
          </w:tcPr>
          <w:p w:rsidR="00903540" w:rsidRPr="00BE5D30" w:rsidP="002248FE" w14:paraId="3B92A636" w14:textId="77777777">
            <w:pPr>
              <w:pStyle w:val="Default"/>
              <w:spacing w:before="60"/>
              <w:contextualSpacing/>
              <w:jc w:val="both"/>
              <w:rPr>
                <w:sz w:val="28"/>
                <w:szCs w:val="28"/>
              </w:rPr>
            </w:pPr>
          </w:p>
        </w:tc>
      </w:tr>
      <w:tr w14:paraId="008F8C58" w14:textId="77777777" w:rsidTr="006318A3">
        <w:tblPrEx>
          <w:tblW w:w="9606" w:type="dxa"/>
          <w:tblLayout w:type="fixed"/>
          <w:tblLook w:val="04A0"/>
        </w:tblPrEx>
        <w:tc>
          <w:tcPr>
            <w:tcW w:w="817" w:type="dxa"/>
          </w:tcPr>
          <w:p w:rsidR="00903540" w:rsidRPr="00BE5D30" w:rsidP="002248FE" w14:paraId="6FF636E9" w14:textId="77777777">
            <w:pPr>
              <w:pStyle w:val="Default"/>
              <w:spacing w:before="60"/>
              <w:contextualSpacing/>
              <w:jc w:val="both"/>
              <w:rPr>
                <w:sz w:val="28"/>
                <w:szCs w:val="28"/>
              </w:rPr>
            </w:pPr>
          </w:p>
        </w:tc>
        <w:tc>
          <w:tcPr>
            <w:tcW w:w="3544" w:type="dxa"/>
          </w:tcPr>
          <w:p w:rsidR="00903540" w:rsidRPr="00BE5D30" w:rsidP="002248FE" w14:paraId="53A5707F"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Mēnešu skaits gadā</w:t>
            </w:r>
          </w:p>
        </w:tc>
        <w:tc>
          <w:tcPr>
            <w:tcW w:w="1134" w:type="dxa"/>
          </w:tcPr>
          <w:p w:rsidR="00903540" w:rsidRPr="00BE5D30" w:rsidP="002248FE" w14:paraId="0CD988B0" w14:textId="77777777">
            <w:pPr>
              <w:pStyle w:val="Default"/>
              <w:spacing w:before="60"/>
              <w:contextualSpacing/>
              <w:jc w:val="both"/>
              <w:rPr>
                <w:sz w:val="28"/>
                <w:szCs w:val="28"/>
              </w:rPr>
            </w:pPr>
            <w:r w:rsidRPr="00BE5D30">
              <w:rPr>
                <w:sz w:val="28"/>
                <w:szCs w:val="28"/>
              </w:rPr>
              <w:t>12</w:t>
            </w:r>
          </w:p>
        </w:tc>
        <w:tc>
          <w:tcPr>
            <w:tcW w:w="1417" w:type="dxa"/>
          </w:tcPr>
          <w:p w:rsidR="00903540" w:rsidRPr="00BE5D30" w:rsidP="002248FE" w14:paraId="105D8588" w14:textId="77777777">
            <w:pPr>
              <w:pStyle w:val="Default"/>
              <w:spacing w:before="60"/>
              <w:contextualSpacing/>
              <w:jc w:val="both"/>
              <w:rPr>
                <w:sz w:val="28"/>
                <w:szCs w:val="28"/>
              </w:rPr>
            </w:pPr>
          </w:p>
        </w:tc>
        <w:tc>
          <w:tcPr>
            <w:tcW w:w="2694" w:type="dxa"/>
            <w:vMerge/>
          </w:tcPr>
          <w:p w:rsidR="00903540" w:rsidRPr="00BE5D30" w:rsidP="002248FE" w14:paraId="6ED871B8" w14:textId="77777777">
            <w:pPr>
              <w:pStyle w:val="Default"/>
              <w:spacing w:before="60"/>
              <w:contextualSpacing/>
              <w:jc w:val="both"/>
              <w:rPr>
                <w:sz w:val="28"/>
                <w:szCs w:val="28"/>
              </w:rPr>
            </w:pPr>
          </w:p>
        </w:tc>
      </w:tr>
      <w:tr w14:paraId="6A1017F5" w14:textId="77777777" w:rsidTr="006318A3">
        <w:tblPrEx>
          <w:tblW w:w="9606" w:type="dxa"/>
          <w:tblLayout w:type="fixed"/>
          <w:tblLook w:val="04A0"/>
        </w:tblPrEx>
        <w:tc>
          <w:tcPr>
            <w:tcW w:w="817" w:type="dxa"/>
          </w:tcPr>
          <w:p w:rsidR="00903540" w:rsidRPr="00BE5D30" w:rsidP="002248FE" w14:paraId="1E07C00C" w14:textId="77777777">
            <w:pPr>
              <w:pStyle w:val="Default"/>
              <w:spacing w:before="60"/>
              <w:contextualSpacing/>
              <w:jc w:val="both"/>
              <w:rPr>
                <w:sz w:val="28"/>
                <w:szCs w:val="28"/>
              </w:rPr>
            </w:pPr>
          </w:p>
        </w:tc>
        <w:tc>
          <w:tcPr>
            <w:tcW w:w="3544" w:type="dxa"/>
          </w:tcPr>
          <w:p w:rsidR="00903540" w:rsidRPr="00BE5D30" w:rsidP="002248FE" w14:paraId="2A5F490E"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Stundu skaits gadā</w:t>
            </w:r>
          </w:p>
        </w:tc>
        <w:tc>
          <w:tcPr>
            <w:tcW w:w="1134" w:type="dxa"/>
          </w:tcPr>
          <w:p w:rsidR="00903540" w:rsidRPr="00BE5D30" w:rsidP="002248FE" w14:paraId="24826203" w14:textId="77777777">
            <w:pPr>
              <w:pStyle w:val="Default"/>
              <w:spacing w:before="60"/>
              <w:contextualSpacing/>
              <w:jc w:val="both"/>
              <w:rPr>
                <w:sz w:val="28"/>
                <w:szCs w:val="28"/>
              </w:rPr>
            </w:pPr>
            <w:r w:rsidRPr="00BE5D30">
              <w:rPr>
                <w:sz w:val="28"/>
                <w:szCs w:val="28"/>
              </w:rPr>
              <w:t>2018</w:t>
            </w:r>
          </w:p>
        </w:tc>
        <w:tc>
          <w:tcPr>
            <w:tcW w:w="1417" w:type="dxa"/>
          </w:tcPr>
          <w:p w:rsidR="00903540" w:rsidRPr="00BE5D30" w:rsidP="002248FE" w14:paraId="38F6C699" w14:textId="77777777">
            <w:pPr>
              <w:pStyle w:val="Default"/>
              <w:spacing w:before="60"/>
              <w:contextualSpacing/>
              <w:jc w:val="both"/>
              <w:rPr>
                <w:sz w:val="28"/>
                <w:szCs w:val="28"/>
              </w:rPr>
            </w:pPr>
          </w:p>
        </w:tc>
        <w:tc>
          <w:tcPr>
            <w:tcW w:w="2694" w:type="dxa"/>
            <w:vMerge/>
          </w:tcPr>
          <w:p w:rsidR="00903540" w:rsidRPr="00BE5D30" w:rsidP="002248FE" w14:paraId="6E2DB1EF" w14:textId="77777777">
            <w:pPr>
              <w:pStyle w:val="Default"/>
              <w:spacing w:before="60"/>
              <w:contextualSpacing/>
              <w:jc w:val="both"/>
              <w:rPr>
                <w:sz w:val="28"/>
                <w:szCs w:val="28"/>
              </w:rPr>
            </w:pPr>
          </w:p>
        </w:tc>
      </w:tr>
      <w:tr w14:paraId="5F3A9684" w14:textId="77777777" w:rsidTr="006318A3">
        <w:tblPrEx>
          <w:tblW w:w="9606" w:type="dxa"/>
          <w:tblLayout w:type="fixed"/>
          <w:tblLook w:val="04A0"/>
        </w:tblPrEx>
        <w:tc>
          <w:tcPr>
            <w:tcW w:w="817" w:type="dxa"/>
            <w:shd w:val="clear" w:color="auto" w:fill="E7E6E6" w:themeFill="background2"/>
          </w:tcPr>
          <w:p w:rsidR="00903540" w:rsidRPr="00BE5D30" w:rsidP="002248FE" w14:paraId="0673EED8" w14:textId="77777777">
            <w:pPr>
              <w:pStyle w:val="Default"/>
              <w:numPr>
                <w:ilvl w:val="0"/>
                <w:numId w:val="12"/>
              </w:numPr>
              <w:spacing w:before="60"/>
              <w:contextualSpacing/>
              <w:jc w:val="both"/>
              <w:rPr>
                <w:b/>
                <w:sz w:val="28"/>
                <w:szCs w:val="28"/>
              </w:rPr>
            </w:pPr>
          </w:p>
        </w:tc>
        <w:tc>
          <w:tcPr>
            <w:tcW w:w="4678" w:type="dxa"/>
            <w:gridSpan w:val="2"/>
            <w:shd w:val="clear" w:color="auto" w:fill="E7E6E6" w:themeFill="background2"/>
          </w:tcPr>
          <w:p w:rsidR="00903540" w:rsidRPr="00BE5D30" w:rsidP="002248FE" w14:paraId="289E89F8" w14:textId="41D3AEB2">
            <w:pPr>
              <w:pStyle w:val="Default"/>
              <w:spacing w:before="60"/>
              <w:contextualSpacing/>
              <w:jc w:val="both"/>
              <w:rPr>
                <w:b/>
                <w:sz w:val="28"/>
                <w:szCs w:val="28"/>
              </w:rPr>
            </w:pPr>
            <w:r w:rsidRPr="00BE5D30">
              <w:rPr>
                <w:b/>
                <w:sz w:val="28"/>
                <w:szCs w:val="28"/>
              </w:rPr>
              <w:t>Ieguvums no automātiskas</w:t>
            </w:r>
            <w:r w:rsidRPr="00BE5D30" w:rsidR="00AC4E87">
              <w:rPr>
                <w:b/>
                <w:sz w:val="28"/>
                <w:szCs w:val="28"/>
              </w:rPr>
              <w:t xml:space="preserve"> (</w:t>
            </w:r>
            <w:r w:rsidRPr="00BE5D30">
              <w:rPr>
                <w:b/>
                <w:sz w:val="28"/>
                <w:szCs w:val="28"/>
              </w:rPr>
              <w:t xml:space="preserve">bez manuāla pieprasījuma/apstrādes) fizisko personu datu iegūšanas, </w:t>
            </w:r>
            <w:r w:rsidRPr="00BE5D30" w:rsidR="00AC4E87">
              <w:rPr>
                <w:b/>
                <w:i/>
                <w:sz w:val="28"/>
                <w:szCs w:val="28"/>
              </w:rPr>
              <w:t>euro</w:t>
            </w:r>
          </w:p>
        </w:tc>
        <w:tc>
          <w:tcPr>
            <w:tcW w:w="1417" w:type="dxa"/>
            <w:shd w:val="clear" w:color="auto" w:fill="E7E6E6" w:themeFill="background2"/>
          </w:tcPr>
          <w:p w:rsidR="00903540" w:rsidRPr="00BE5D30" w:rsidP="002248FE" w14:paraId="651FBD18" w14:textId="77777777">
            <w:pPr>
              <w:pStyle w:val="Default"/>
              <w:spacing w:before="60"/>
              <w:contextualSpacing/>
              <w:jc w:val="both"/>
              <w:rPr>
                <w:b/>
                <w:sz w:val="28"/>
                <w:szCs w:val="28"/>
              </w:rPr>
            </w:pPr>
            <w:r w:rsidRPr="00BE5D30">
              <w:rPr>
                <w:b/>
                <w:sz w:val="28"/>
                <w:szCs w:val="28"/>
              </w:rPr>
              <w:t>71661</w:t>
            </w:r>
          </w:p>
        </w:tc>
        <w:tc>
          <w:tcPr>
            <w:tcW w:w="2694" w:type="dxa"/>
            <w:vMerge w:val="restart"/>
            <w:shd w:val="clear" w:color="auto" w:fill="E7E6E6" w:themeFill="background2"/>
          </w:tcPr>
          <w:p w:rsidR="00903540" w:rsidRPr="00BE5D30" w:rsidP="002248FE" w14:paraId="0DA61EEF" w14:textId="77777777">
            <w:pPr>
              <w:pStyle w:val="Default"/>
              <w:spacing w:before="60"/>
              <w:contextualSpacing/>
              <w:jc w:val="both"/>
              <w:rPr>
                <w:sz w:val="28"/>
                <w:szCs w:val="28"/>
              </w:rPr>
            </w:pPr>
            <w:r w:rsidRPr="00BE5D30">
              <w:rPr>
                <w:sz w:val="28"/>
                <w:szCs w:val="28"/>
              </w:rPr>
              <w:t>Izmaksas samazinās pakāpeniski un veidojas sekojoši ietaupījumi:</w:t>
            </w:r>
          </w:p>
          <w:p w:rsidR="00903540" w:rsidRPr="00BE5D30" w:rsidP="002248FE" w14:paraId="38FD68CD" w14:textId="77777777">
            <w:pPr>
              <w:pStyle w:val="Default"/>
              <w:numPr>
                <w:ilvl w:val="0"/>
                <w:numId w:val="10"/>
              </w:numPr>
              <w:spacing w:before="60"/>
              <w:ind w:left="176" w:hanging="142"/>
              <w:contextualSpacing/>
              <w:jc w:val="both"/>
              <w:rPr>
                <w:sz w:val="28"/>
                <w:szCs w:val="28"/>
              </w:rPr>
            </w:pPr>
            <w:r w:rsidRPr="00BE5D30">
              <w:rPr>
                <w:sz w:val="28"/>
                <w:szCs w:val="28"/>
              </w:rPr>
              <w:t>pēc TME IS ieviešanas, 2020.un 2021. gadā veidojas ietaupījums 70% apmērā, t.i. katru gadu EUR 50163;</w:t>
            </w:r>
          </w:p>
          <w:p w:rsidR="00903540" w:rsidRPr="00BE5D30" w:rsidP="002248FE" w14:paraId="6CAA603B" w14:textId="77777777">
            <w:pPr>
              <w:pStyle w:val="Default"/>
              <w:numPr>
                <w:ilvl w:val="0"/>
                <w:numId w:val="10"/>
              </w:numPr>
              <w:spacing w:before="60"/>
              <w:ind w:left="176" w:hanging="142"/>
              <w:contextualSpacing/>
              <w:jc w:val="both"/>
              <w:rPr>
                <w:sz w:val="28"/>
                <w:szCs w:val="28"/>
              </w:rPr>
            </w:pPr>
            <w:r w:rsidRPr="00BE5D30">
              <w:rPr>
                <w:sz w:val="28"/>
                <w:szCs w:val="28"/>
              </w:rPr>
              <w:t>2022.gadā un pārējos gados veidojas 90% jeb EUR 64495 ietaupījums</w:t>
            </w:r>
          </w:p>
        </w:tc>
      </w:tr>
      <w:tr w14:paraId="4004E5CD" w14:textId="77777777" w:rsidTr="006318A3">
        <w:tblPrEx>
          <w:tblW w:w="9606" w:type="dxa"/>
          <w:tblLayout w:type="fixed"/>
          <w:tblLook w:val="04A0"/>
        </w:tblPrEx>
        <w:tc>
          <w:tcPr>
            <w:tcW w:w="817" w:type="dxa"/>
          </w:tcPr>
          <w:p w:rsidR="00903540" w:rsidRPr="00BE5D30" w:rsidP="002248FE" w14:paraId="65AD331F" w14:textId="77777777">
            <w:pPr>
              <w:pStyle w:val="Default"/>
              <w:spacing w:before="60"/>
              <w:contextualSpacing/>
              <w:jc w:val="both"/>
              <w:rPr>
                <w:sz w:val="28"/>
                <w:szCs w:val="28"/>
              </w:rPr>
            </w:pPr>
          </w:p>
        </w:tc>
        <w:tc>
          <w:tcPr>
            <w:tcW w:w="3544" w:type="dxa"/>
          </w:tcPr>
          <w:p w:rsidR="00903540" w:rsidRPr="00BE5D30" w:rsidP="002248FE" w14:paraId="408F1F0D"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Tiesu medicīnisko ekspertīžu un izpēšu skaits kopā gadā</w:t>
            </w:r>
          </w:p>
        </w:tc>
        <w:tc>
          <w:tcPr>
            <w:tcW w:w="1134" w:type="dxa"/>
          </w:tcPr>
          <w:p w:rsidR="00903540" w:rsidRPr="00BE5D30" w:rsidP="002248FE" w14:paraId="4DA71A0D" w14:textId="77777777">
            <w:pPr>
              <w:pStyle w:val="Default"/>
              <w:spacing w:before="60"/>
              <w:contextualSpacing/>
              <w:jc w:val="both"/>
              <w:rPr>
                <w:sz w:val="28"/>
                <w:szCs w:val="28"/>
              </w:rPr>
            </w:pPr>
            <w:r w:rsidRPr="00BE5D30">
              <w:rPr>
                <w:sz w:val="28"/>
                <w:szCs w:val="28"/>
              </w:rPr>
              <w:t>18883</w:t>
            </w:r>
          </w:p>
        </w:tc>
        <w:tc>
          <w:tcPr>
            <w:tcW w:w="1417" w:type="dxa"/>
          </w:tcPr>
          <w:p w:rsidR="00903540" w:rsidRPr="00BE5D30" w:rsidP="002248FE" w14:paraId="1E9F46E2" w14:textId="77777777">
            <w:pPr>
              <w:pStyle w:val="Default"/>
              <w:spacing w:before="60"/>
              <w:contextualSpacing/>
              <w:jc w:val="both"/>
              <w:rPr>
                <w:sz w:val="28"/>
                <w:szCs w:val="28"/>
              </w:rPr>
            </w:pPr>
          </w:p>
        </w:tc>
        <w:tc>
          <w:tcPr>
            <w:tcW w:w="2694" w:type="dxa"/>
            <w:vMerge/>
          </w:tcPr>
          <w:p w:rsidR="00903540" w:rsidRPr="00BE5D30" w:rsidP="002248FE" w14:paraId="5F6EFDA1" w14:textId="77777777">
            <w:pPr>
              <w:pStyle w:val="Default"/>
              <w:spacing w:before="60"/>
              <w:contextualSpacing/>
              <w:jc w:val="both"/>
              <w:rPr>
                <w:sz w:val="28"/>
                <w:szCs w:val="28"/>
              </w:rPr>
            </w:pPr>
          </w:p>
        </w:tc>
      </w:tr>
      <w:tr w14:paraId="4D52408C" w14:textId="77777777" w:rsidTr="006318A3">
        <w:tblPrEx>
          <w:tblW w:w="9606" w:type="dxa"/>
          <w:tblLayout w:type="fixed"/>
          <w:tblLook w:val="04A0"/>
        </w:tblPrEx>
        <w:tc>
          <w:tcPr>
            <w:tcW w:w="817" w:type="dxa"/>
          </w:tcPr>
          <w:p w:rsidR="00903540" w:rsidRPr="00BE5D30" w:rsidP="002248FE" w14:paraId="16F0BAEC" w14:textId="77777777">
            <w:pPr>
              <w:pStyle w:val="Default"/>
              <w:spacing w:before="60"/>
              <w:contextualSpacing/>
              <w:jc w:val="both"/>
              <w:rPr>
                <w:sz w:val="28"/>
                <w:szCs w:val="28"/>
              </w:rPr>
            </w:pPr>
          </w:p>
        </w:tc>
        <w:tc>
          <w:tcPr>
            <w:tcW w:w="3544" w:type="dxa"/>
          </w:tcPr>
          <w:p w:rsidR="00903540" w:rsidRPr="00BE5D30" w:rsidP="002248FE" w14:paraId="2C3FB438" w14:textId="1D1DE8A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 xml:space="preserve">Ekspertīžu un izpētes procesā iesaistīto darbinieku mēneša vidējā bruto alga, </w:t>
            </w:r>
            <w:r w:rsidRPr="00BE5D30" w:rsidR="00AC4E87">
              <w:rPr>
                <w:rFonts w:ascii="Times New Roman" w:eastAsia="PMingLiU" w:hAnsi="Times New Roman" w:cs="Times New Roman"/>
                <w:i/>
                <w:color w:val="000000"/>
                <w:sz w:val="28"/>
                <w:szCs w:val="28"/>
              </w:rPr>
              <w:t>euro</w:t>
            </w:r>
          </w:p>
        </w:tc>
        <w:tc>
          <w:tcPr>
            <w:tcW w:w="1134" w:type="dxa"/>
          </w:tcPr>
          <w:p w:rsidR="00903540" w:rsidRPr="00BE5D30" w:rsidP="002248FE" w14:paraId="22F1A2EF" w14:textId="77777777">
            <w:pPr>
              <w:pStyle w:val="Default"/>
              <w:spacing w:before="60"/>
              <w:contextualSpacing/>
              <w:jc w:val="both"/>
              <w:rPr>
                <w:sz w:val="28"/>
                <w:szCs w:val="28"/>
              </w:rPr>
            </w:pPr>
            <w:r w:rsidRPr="00BE5D30">
              <w:rPr>
                <w:sz w:val="28"/>
                <w:szCs w:val="28"/>
              </w:rPr>
              <w:t>1033</w:t>
            </w:r>
          </w:p>
        </w:tc>
        <w:tc>
          <w:tcPr>
            <w:tcW w:w="1417" w:type="dxa"/>
          </w:tcPr>
          <w:p w:rsidR="00903540" w:rsidRPr="00BE5D30" w:rsidP="002248FE" w14:paraId="2B047574" w14:textId="77777777">
            <w:pPr>
              <w:pStyle w:val="Default"/>
              <w:spacing w:before="60"/>
              <w:contextualSpacing/>
              <w:jc w:val="both"/>
              <w:rPr>
                <w:sz w:val="28"/>
                <w:szCs w:val="28"/>
              </w:rPr>
            </w:pPr>
          </w:p>
        </w:tc>
        <w:tc>
          <w:tcPr>
            <w:tcW w:w="2694" w:type="dxa"/>
            <w:vMerge/>
          </w:tcPr>
          <w:p w:rsidR="00903540" w:rsidRPr="00BE5D30" w:rsidP="002248FE" w14:paraId="651AB9AE" w14:textId="77777777">
            <w:pPr>
              <w:pStyle w:val="Default"/>
              <w:spacing w:before="60"/>
              <w:contextualSpacing/>
              <w:jc w:val="both"/>
              <w:rPr>
                <w:sz w:val="28"/>
                <w:szCs w:val="28"/>
              </w:rPr>
            </w:pPr>
          </w:p>
        </w:tc>
      </w:tr>
      <w:tr w14:paraId="2F472A1F" w14:textId="77777777" w:rsidTr="006318A3">
        <w:tblPrEx>
          <w:tblW w:w="9606" w:type="dxa"/>
          <w:tblLayout w:type="fixed"/>
          <w:tblLook w:val="04A0"/>
        </w:tblPrEx>
        <w:tc>
          <w:tcPr>
            <w:tcW w:w="817" w:type="dxa"/>
          </w:tcPr>
          <w:p w:rsidR="00903540" w:rsidRPr="00BE5D30" w:rsidP="002248FE" w14:paraId="678309C2" w14:textId="77777777">
            <w:pPr>
              <w:pStyle w:val="Default"/>
              <w:spacing w:before="60"/>
              <w:contextualSpacing/>
              <w:jc w:val="both"/>
              <w:rPr>
                <w:sz w:val="28"/>
                <w:szCs w:val="28"/>
              </w:rPr>
            </w:pPr>
          </w:p>
        </w:tc>
        <w:tc>
          <w:tcPr>
            <w:tcW w:w="3544" w:type="dxa"/>
          </w:tcPr>
          <w:p w:rsidR="00903540" w:rsidRPr="00BE5D30" w:rsidP="002248FE" w14:paraId="291A3B95" w14:textId="1C36FF52">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 xml:space="preserve">Ekspertīžu un izpētes procesā iesaistīto darbinieku mēneša vidējā darba devēja valsts sociālās apdrošināšanas obligātās iemaksa, </w:t>
            </w:r>
            <w:r w:rsidRPr="00BE5D30" w:rsidR="00AC4E87">
              <w:rPr>
                <w:rFonts w:ascii="Times New Roman" w:eastAsia="PMingLiU" w:hAnsi="Times New Roman" w:cs="Times New Roman"/>
                <w:i/>
                <w:color w:val="000000"/>
                <w:sz w:val="28"/>
                <w:szCs w:val="28"/>
              </w:rPr>
              <w:t>euro</w:t>
            </w:r>
          </w:p>
        </w:tc>
        <w:tc>
          <w:tcPr>
            <w:tcW w:w="1134" w:type="dxa"/>
          </w:tcPr>
          <w:p w:rsidR="00903540" w:rsidRPr="00BE5D30" w:rsidP="002248FE" w14:paraId="6E6C9061" w14:textId="77777777">
            <w:pPr>
              <w:pStyle w:val="Default"/>
              <w:spacing w:before="60"/>
              <w:contextualSpacing/>
              <w:jc w:val="both"/>
              <w:rPr>
                <w:sz w:val="28"/>
                <w:szCs w:val="28"/>
              </w:rPr>
            </w:pPr>
            <w:r w:rsidRPr="00BE5D30">
              <w:rPr>
                <w:sz w:val="28"/>
                <w:szCs w:val="28"/>
              </w:rPr>
              <w:t>244</w:t>
            </w:r>
          </w:p>
        </w:tc>
        <w:tc>
          <w:tcPr>
            <w:tcW w:w="1417" w:type="dxa"/>
          </w:tcPr>
          <w:p w:rsidR="00903540" w:rsidRPr="00BE5D30" w:rsidP="002248FE" w14:paraId="55EBBD7E" w14:textId="77777777">
            <w:pPr>
              <w:pStyle w:val="Default"/>
              <w:spacing w:before="60"/>
              <w:contextualSpacing/>
              <w:jc w:val="both"/>
              <w:rPr>
                <w:sz w:val="28"/>
                <w:szCs w:val="28"/>
              </w:rPr>
            </w:pPr>
          </w:p>
        </w:tc>
        <w:tc>
          <w:tcPr>
            <w:tcW w:w="2694" w:type="dxa"/>
            <w:vMerge/>
          </w:tcPr>
          <w:p w:rsidR="00903540" w:rsidRPr="00BE5D30" w:rsidP="002248FE" w14:paraId="4FD1661C" w14:textId="77777777">
            <w:pPr>
              <w:pStyle w:val="Default"/>
              <w:spacing w:before="60"/>
              <w:contextualSpacing/>
              <w:jc w:val="both"/>
              <w:rPr>
                <w:sz w:val="28"/>
                <w:szCs w:val="28"/>
              </w:rPr>
            </w:pPr>
          </w:p>
        </w:tc>
      </w:tr>
      <w:tr w14:paraId="54E363D2" w14:textId="77777777" w:rsidTr="006318A3">
        <w:tblPrEx>
          <w:tblW w:w="9606" w:type="dxa"/>
          <w:tblLayout w:type="fixed"/>
          <w:tblLook w:val="04A0"/>
        </w:tblPrEx>
        <w:tc>
          <w:tcPr>
            <w:tcW w:w="817" w:type="dxa"/>
          </w:tcPr>
          <w:p w:rsidR="00903540" w:rsidRPr="00BE5D30" w:rsidP="002248FE" w14:paraId="5827BAF5" w14:textId="77777777">
            <w:pPr>
              <w:pStyle w:val="Default"/>
              <w:spacing w:before="60"/>
              <w:contextualSpacing/>
              <w:jc w:val="both"/>
              <w:rPr>
                <w:sz w:val="28"/>
                <w:szCs w:val="28"/>
              </w:rPr>
            </w:pPr>
          </w:p>
        </w:tc>
        <w:tc>
          <w:tcPr>
            <w:tcW w:w="3544" w:type="dxa"/>
          </w:tcPr>
          <w:p w:rsidR="00903540" w:rsidRPr="00BE5D30" w:rsidP="002248FE" w14:paraId="073C1EBA"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Patēriņš 1 personas datu apstrādei (manuāli), stundas</w:t>
            </w:r>
          </w:p>
        </w:tc>
        <w:tc>
          <w:tcPr>
            <w:tcW w:w="1134" w:type="dxa"/>
          </w:tcPr>
          <w:p w:rsidR="00903540" w:rsidRPr="00BE5D30" w:rsidP="002248FE" w14:paraId="28737141" w14:textId="77777777">
            <w:pPr>
              <w:pStyle w:val="Default"/>
              <w:spacing w:before="60"/>
              <w:contextualSpacing/>
              <w:jc w:val="both"/>
              <w:rPr>
                <w:sz w:val="28"/>
                <w:szCs w:val="28"/>
              </w:rPr>
            </w:pPr>
            <w:r w:rsidRPr="00BE5D30">
              <w:rPr>
                <w:sz w:val="28"/>
                <w:szCs w:val="28"/>
              </w:rPr>
              <w:t>0,5</w:t>
            </w:r>
          </w:p>
        </w:tc>
        <w:tc>
          <w:tcPr>
            <w:tcW w:w="1417" w:type="dxa"/>
          </w:tcPr>
          <w:p w:rsidR="00903540" w:rsidRPr="00BE5D30" w:rsidP="002248FE" w14:paraId="6FCCA07A" w14:textId="77777777">
            <w:pPr>
              <w:pStyle w:val="Default"/>
              <w:spacing w:before="60"/>
              <w:contextualSpacing/>
              <w:jc w:val="both"/>
              <w:rPr>
                <w:sz w:val="28"/>
                <w:szCs w:val="28"/>
              </w:rPr>
            </w:pPr>
          </w:p>
        </w:tc>
        <w:tc>
          <w:tcPr>
            <w:tcW w:w="2694" w:type="dxa"/>
            <w:vMerge/>
          </w:tcPr>
          <w:p w:rsidR="00903540" w:rsidRPr="00BE5D30" w:rsidP="002248FE" w14:paraId="18356EAB" w14:textId="77777777">
            <w:pPr>
              <w:pStyle w:val="Default"/>
              <w:spacing w:before="60"/>
              <w:contextualSpacing/>
              <w:jc w:val="both"/>
              <w:rPr>
                <w:sz w:val="28"/>
                <w:szCs w:val="28"/>
              </w:rPr>
            </w:pPr>
          </w:p>
        </w:tc>
      </w:tr>
      <w:tr w14:paraId="6D3A1207" w14:textId="77777777" w:rsidTr="006318A3">
        <w:tblPrEx>
          <w:tblW w:w="9606" w:type="dxa"/>
          <w:tblLayout w:type="fixed"/>
          <w:tblLook w:val="04A0"/>
        </w:tblPrEx>
        <w:tc>
          <w:tcPr>
            <w:tcW w:w="817" w:type="dxa"/>
          </w:tcPr>
          <w:p w:rsidR="00903540" w:rsidRPr="00BE5D30" w:rsidP="002248FE" w14:paraId="327956FE" w14:textId="77777777">
            <w:pPr>
              <w:pStyle w:val="Default"/>
              <w:spacing w:before="60"/>
              <w:contextualSpacing/>
              <w:jc w:val="both"/>
              <w:rPr>
                <w:sz w:val="28"/>
                <w:szCs w:val="28"/>
              </w:rPr>
            </w:pPr>
          </w:p>
        </w:tc>
        <w:tc>
          <w:tcPr>
            <w:tcW w:w="3544" w:type="dxa"/>
          </w:tcPr>
          <w:p w:rsidR="00903540" w:rsidRPr="00BE5D30" w:rsidP="002248FE" w14:paraId="740B10BB"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Mēnešu skaits gadā</w:t>
            </w:r>
          </w:p>
        </w:tc>
        <w:tc>
          <w:tcPr>
            <w:tcW w:w="1134" w:type="dxa"/>
          </w:tcPr>
          <w:p w:rsidR="00903540" w:rsidRPr="00BE5D30" w:rsidP="002248FE" w14:paraId="678DDA8E" w14:textId="77777777">
            <w:pPr>
              <w:pStyle w:val="Default"/>
              <w:spacing w:before="60"/>
              <w:contextualSpacing/>
              <w:jc w:val="both"/>
              <w:rPr>
                <w:sz w:val="28"/>
                <w:szCs w:val="28"/>
              </w:rPr>
            </w:pPr>
            <w:r w:rsidRPr="00BE5D30">
              <w:rPr>
                <w:sz w:val="28"/>
                <w:szCs w:val="28"/>
              </w:rPr>
              <w:t>12</w:t>
            </w:r>
          </w:p>
        </w:tc>
        <w:tc>
          <w:tcPr>
            <w:tcW w:w="1417" w:type="dxa"/>
          </w:tcPr>
          <w:p w:rsidR="00903540" w:rsidRPr="00BE5D30" w:rsidP="002248FE" w14:paraId="480666E8" w14:textId="77777777">
            <w:pPr>
              <w:pStyle w:val="Default"/>
              <w:spacing w:before="60"/>
              <w:contextualSpacing/>
              <w:jc w:val="both"/>
              <w:rPr>
                <w:sz w:val="28"/>
                <w:szCs w:val="28"/>
              </w:rPr>
            </w:pPr>
          </w:p>
        </w:tc>
        <w:tc>
          <w:tcPr>
            <w:tcW w:w="2694" w:type="dxa"/>
            <w:vMerge/>
          </w:tcPr>
          <w:p w:rsidR="00903540" w:rsidRPr="00BE5D30" w:rsidP="002248FE" w14:paraId="38A6ACA5" w14:textId="77777777">
            <w:pPr>
              <w:pStyle w:val="Default"/>
              <w:spacing w:before="60"/>
              <w:contextualSpacing/>
              <w:jc w:val="both"/>
              <w:rPr>
                <w:sz w:val="28"/>
                <w:szCs w:val="28"/>
              </w:rPr>
            </w:pPr>
          </w:p>
        </w:tc>
      </w:tr>
      <w:tr w14:paraId="02A7976A" w14:textId="77777777" w:rsidTr="006318A3">
        <w:tblPrEx>
          <w:tblW w:w="9606" w:type="dxa"/>
          <w:tblLayout w:type="fixed"/>
          <w:tblLook w:val="04A0"/>
        </w:tblPrEx>
        <w:tc>
          <w:tcPr>
            <w:tcW w:w="817" w:type="dxa"/>
          </w:tcPr>
          <w:p w:rsidR="00903540" w:rsidRPr="00BE5D30" w:rsidP="002248FE" w14:paraId="67D27972" w14:textId="77777777">
            <w:pPr>
              <w:pStyle w:val="Default"/>
              <w:spacing w:before="60"/>
              <w:contextualSpacing/>
              <w:jc w:val="both"/>
              <w:rPr>
                <w:sz w:val="28"/>
                <w:szCs w:val="28"/>
              </w:rPr>
            </w:pPr>
          </w:p>
        </w:tc>
        <w:tc>
          <w:tcPr>
            <w:tcW w:w="3544" w:type="dxa"/>
          </w:tcPr>
          <w:p w:rsidR="00903540" w:rsidRPr="00BE5D30" w:rsidP="002248FE" w14:paraId="108A01A1"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Stundu skaits gadā</w:t>
            </w:r>
          </w:p>
        </w:tc>
        <w:tc>
          <w:tcPr>
            <w:tcW w:w="1134" w:type="dxa"/>
          </w:tcPr>
          <w:p w:rsidR="00903540" w:rsidRPr="00BE5D30" w:rsidP="002248FE" w14:paraId="196D3098" w14:textId="77777777">
            <w:pPr>
              <w:pStyle w:val="Default"/>
              <w:spacing w:before="60"/>
              <w:contextualSpacing/>
              <w:jc w:val="both"/>
              <w:rPr>
                <w:sz w:val="28"/>
                <w:szCs w:val="28"/>
              </w:rPr>
            </w:pPr>
            <w:r w:rsidRPr="00BE5D30">
              <w:rPr>
                <w:sz w:val="28"/>
                <w:szCs w:val="28"/>
              </w:rPr>
              <w:t>2018</w:t>
            </w:r>
          </w:p>
        </w:tc>
        <w:tc>
          <w:tcPr>
            <w:tcW w:w="1417" w:type="dxa"/>
          </w:tcPr>
          <w:p w:rsidR="00903540" w:rsidRPr="00BE5D30" w:rsidP="002248FE" w14:paraId="0CEDE60D" w14:textId="77777777">
            <w:pPr>
              <w:pStyle w:val="Default"/>
              <w:spacing w:before="60"/>
              <w:contextualSpacing/>
              <w:jc w:val="both"/>
              <w:rPr>
                <w:sz w:val="28"/>
                <w:szCs w:val="28"/>
              </w:rPr>
            </w:pPr>
          </w:p>
        </w:tc>
        <w:tc>
          <w:tcPr>
            <w:tcW w:w="2694" w:type="dxa"/>
            <w:vMerge/>
          </w:tcPr>
          <w:p w:rsidR="00903540" w:rsidRPr="00BE5D30" w:rsidP="002248FE" w14:paraId="1D9F485B" w14:textId="77777777">
            <w:pPr>
              <w:pStyle w:val="Default"/>
              <w:spacing w:before="60"/>
              <w:contextualSpacing/>
              <w:jc w:val="both"/>
              <w:rPr>
                <w:sz w:val="28"/>
                <w:szCs w:val="28"/>
              </w:rPr>
            </w:pPr>
          </w:p>
        </w:tc>
      </w:tr>
      <w:tr w14:paraId="01981528" w14:textId="77777777" w:rsidTr="006318A3">
        <w:tblPrEx>
          <w:tblW w:w="9606" w:type="dxa"/>
          <w:tblLayout w:type="fixed"/>
          <w:tblLook w:val="04A0"/>
        </w:tblPrEx>
        <w:tc>
          <w:tcPr>
            <w:tcW w:w="817" w:type="dxa"/>
            <w:shd w:val="clear" w:color="auto" w:fill="E7E6E6" w:themeFill="background2"/>
          </w:tcPr>
          <w:p w:rsidR="00903540" w:rsidRPr="00BE5D30" w:rsidP="002248FE" w14:paraId="72687481" w14:textId="77777777">
            <w:pPr>
              <w:pStyle w:val="Default"/>
              <w:numPr>
                <w:ilvl w:val="0"/>
                <w:numId w:val="12"/>
              </w:numPr>
              <w:spacing w:before="60"/>
              <w:contextualSpacing/>
              <w:jc w:val="both"/>
              <w:rPr>
                <w:b/>
                <w:sz w:val="28"/>
                <w:szCs w:val="28"/>
              </w:rPr>
            </w:pPr>
          </w:p>
        </w:tc>
        <w:tc>
          <w:tcPr>
            <w:tcW w:w="4678" w:type="dxa"/>
            <w:gridSpan w:val="2"/>
            <w:shd w:val="clear" w:color="auto" w:fill="E7E6E6" w:themeFill="background2"/>
          </w:tcPr>
          <w:p w:rsidR="00903540" w:rsidRPr="00BE5D30" w:rsidP="002248FE" w14:paraId="2C4A5F25" w14:textId="2C71D3A2">
            <w:pPr>
              <w:pStyle w:val="Default"/>
              <w:spacing w:before="60"/>
              <w:contextualSpacing/>
              <w:jc w:val="both"/>
              <w:rPr>
                <w:b/>
                <w:sz w:val="28"/>
                <w:szCs w:val="28"/>
              </w:rPr>
            </w:pPr>
            <w:r w:rsidRPr="00BE5D30">
              <w:rPr>
                <w:b/>
                <w:sz w:val="28"/>
                <w:szCs w:val="28"/>
              </w:rPr>
              <w:t xml:space="preserve">Ieguvums no medicīniskās ekspertīzes un izpētes procesa izsekojamības bez papīra žurnāliem un metadatu atkārtotas manuālas ievadīšanas medicīniskās ekspertīzes dokumentos, </w:t>
            </w:r>
            <w:r w:rsidRPr="00BE5D30" w:rsidR="00AC4E87">
              <w:rPr>
                <w:b/>
                <w:i/>
                <w:sz w:val="28"/>
                <w:szCs w:val="28"/>
              </w:rPr>
              <w:t>euro</w:t>
            </w:r>
          </w:p>
        </w:tc>
        <w:tc>
          <w:tcPr>
            <w:tcW w:w="1417" w:type="dxa"/>
            <w:shd w:val="clear" w:color="auto" w:fill="E7E6E6" w:themeFill="background2"/>
          </w:tcPr>
          <w:p w:rsidR="00903540" w:rsidRPr="00BE5D30" w:rsidP="002248FE" w14:paraId="3C30D699" w14:textId="77777777">
            <w:pPr>
              <w:pStyle w:val="Default"/>
              <w:spacing w:before="60"/>
              <w:contextualSpacing/>
              <w:jc w:val="both"/>
              <w:rPr>
                <w:b/>
                <w:sz w:val="28"/>
                <w:szCs w:val="28"/>
              </w:rPr>
            </w:pPr>
            <w:r w:rsidRPr="00BE5D30">
              <w:rPr>
                <w:b/>
                <w:sz w:val="28"/>
                <w:szCs w:val="28"/>
              </w:rPr>
              <w:t>71661</w:t>
            </w:r>
          </w:p>
        </w:tc>
        <w:tc>
          <w:tcPr>
            <w:tcW w:w="2694" w:type="dxa"/>
            <w:vMerge w:val="restart"/>
            <w:shd w:val="clear" w:color="auto" w:fill="E7E6E6" w:themeFill="background2"/>
          </w:tcPr>
          <w:p w:rsidR="00903540" w:rsidRPr="00BE5D30" w:rsidP="002248FE" w14:paraId="38A5825A" w14:textId="77777777">
            <w:pPr>
              <w:pStyle w:val="Default"/>
              <w:spacing w:before="60"/>
              <w:contextualSpacing/>
              <w:jc w:val="both"/>
              <w:rPr>
                <w:sz w:val="28"/>
                <w:szCs w:val="28"/>
              </w:rPr>
            </w:pPr>
            <w:r w:rsidRPr="00BE5D30">
              <w:rPr>
                <w:sz w:val="28"/>
                <w:szCs w:val="28"/>
              </w:rPr>
              <w:t>Veidojas sekojoši ietaupījumi:</w:t>
            </w:r>
          </w:p>
          <w:p w:rsidR="00903540" w:rsidRPr="00BE5D30" w:rsidP="002248FE" w14:paraId="40867735" w14:textId="540E340B">
            <w:pPr>
              <w:pStyle w:val="Default"/>
              <w:numPr>
                <w:ilvl w:val="0"/>
                <w:numId w:val="10"/>
              </w:numPr>
              <w:spacing w:before="60"/>
              <w:ind w:left="176" w:hanging="142"/>
              <w:contextualSpacing/>
              <w:jc w:val="both"/>
              <w:rPr>
                <w:sz w:val="28"/>
                <w:szCs w:val="28"/>
              </w:rPr>
            </w:pPr>
            <w:r w:rsidRPr="00BE5D30">
              <w:rPr>
                <w:sz w:val="28"/>
                <w:szCs w:val="28"/>
              </w:rPr>
              <w:t xml:space="preserve">pēc Projekta ieviešanas, 2020. gadā un pārējos gados veidojas ietaupījums 100% apmērā jeb </w:t>
            </w:r>
            <w:r w:rsidRPr="00BE5D30" w:rsidR="00AC4E87">
              <w:rPr>
                <w:i/>
                <w:sz w:val="28"/>
                <w:szCs w:val="28"/>
              </w:rPr>
              <w:t>euro</w:t>
            </w:r>
            <w:r w:rsidRPr="00BE5D30">
              <w:rPr>
                <w:sz w:val="28"/>
                <w:szCs w:val="28"/>
              </w:rPr>
              <w:t xml:space="preserve"> 71661.</w:t>
            </w:r>
          </w:p>
        </w:tc>
      </w:tr>
      <w:tr w14:paraId="1B8AC271" w14:textId="77777777" w:rsidTr="006318A3">
        <w:tblPrEx>
          <w:tblW w:w="9606" w:type="dxa"/>
          <w:tblLayout w:type="fixed"/>
          <w:tblLook w:val="04A0"/>
        </w:tblPrEx>
        <w:tc>
          <w:tcPr>
            <w:tcW w:w="817" w:type="dxa"/>
          </w:tcPr>
          <w:p w:rsidR="00903540" w:rsidRPr="00BE5D30" w:rsidP="002248FE" w14:paraId="42705E65" w14:textId="77777777">
            <w:pPr>
              <w:pStyle w:val="Default"/>
              <w:spacing w:before="60"/>
              <w:contextualSpacing/>
              <w:jc w:val="both"/>
              <w:rPr>
                <w:sz w:val="28"/>
                <w:szCs w:val="28"/>
              </w:rPr>
            </w:pPr>
          </w:p>
        </w:tc>
        <w:tc>
          <w:tcPr>
            <w:tcW w:w="3544" w:type="dxa"/>
          </w:tcPr>
          <w:p w:rsidR="00903540" w:rsidRPr="00BE5D30" w:rsidP="002248FE" w14:paraId="6BE231BD"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Plānotais ekspertīžu un izpēšu skaits gadā</w:t>
            </w:r>
          </w:p>
        </w:tc>
        <w:tc>
          <w:tcPr>
            <w:tcW w:w="1134" w:type="dxa"/>
          </w:tcPr>
          <w:p w:rsidR="00903540" w:rsidRPr="00BE5D30" w:rsidP="002248FE" w14:paraId="5F9B1E4A" w14:textId="77777777">
            <w:pPr>
              <w:pStyle w:val="Default"/>
              <w:spacing w:before="60"/>
              <w:contextualSpacing/>
              <w:jc w:val="both"/>
              <w:rPr>
                <w:sz w:val="28"/>
                <w:szCs w:val="28"/>
              </w:rPr>
            </w:pPr>
            <w:r w:rsidRPr="00BE5D30">
              <w:rPr>
                <w:sz w:val="28"/>
                <w:szCs w:val="28"/>
              </w:rPr>
              <w:t>18883</w:t>
            </w:r>
          </w:p>
        </w:tc>
        <w:tc>
          <w:tcPr>
            <w:tcW w:w="1417" w:type="dxa"/>
          </w:tcPr>
          <w:p w:rsidR="00903540" w:rsidRPr="00BE5D30" w:rsidP="002248FE" w14:paraId="5CE5D5D2" w14:textId="77777777">
            <w:pPr>
              <w:pStyle w:val="Default"/>
              <w:spacing w:before="60"/>
              <w:contextualSpacing/>
              <w:jc w:val="both"/>
              <w:rPr>
                <w:sz w:val="28"/>
                <w:szCs w:val="28"/>
              </w:rPr>
            </w:pPr>
          </w:p>
        </w:tc>
        <w:tc>
          <w:tcPr>
            <w:tcW w:w="2694" w:type="dxa"/>
            <w:vMerge/>
          </w:tcPr>
          <w:p w:rsidR="00903540" w:rsidRPr="00BE5D30" w:rsidP="002248FE" w14:paraId="7848CA6D" w14:textId="77777777">
            <w:pPr>
              <w:pStyle w:val="Default"/>
              <w:spacing w:before="60"/>
              <w:contextualSpacing/>
              <w:jc w:val="both"/>
              <w:rPr>
                <w:sz w:val="28"/>
                <w:szCs w:val="28"/>
              </w:rPr>
            </w:pPr>
          </w:p>
        </w:tc>
      </w:tr>
      <w:tr w14:paraId="791F641A" w14:textId="77777777" w:rsidTr="006318A3">
        <w:tblPrEx>
          <w:tblW w:w="9606" w:type="dxa"/>
          <w:tblLayout w:type="fixed"/>
          <w:tblLook w:val="04A0"/>
        </w:tblPrEx>
        <w:tc>
          <w:tcPr>
            <w:tcW w:w="817" w:type="dxa"/>
          </w:tcPr>
          <w:p w:rsidR="00903540" w:rsidRPr="00BE5D30" w:rsidP="002248FE" w14:paraId="355232DB" w14:textId="77777777">
            <w:pPr>
              <w:pStyle w:val="Default"/>
              <w:spacing w:before="60"/>
              <w:contextualSpacing/>
              <w:jc w:val="both"/>
              <w:rPr>
                <w:sz w:val="28"/>
                <w:szCs w:val="28"/>
              </w:rPr>
            </w:pPr>
          </w:p>
        </w:tc>
        <w:tc>
          <w:tcPr>
            <w:tcW w:w="3544" w:type="dxa"/>
          </w:tcPr>
          <w:p w:rsidR="00903540" w:rsidRPr="00BE5D30" w:rsidP="002248FE" w14:paraId="2D75D22D" w14:textId="5ECD0F4A">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 xml:space="preserve">Ekspertīžu un izpētes procesā iesaistīto darbinieku mēneša vidējā bruto alga, </w:t>
            </w:r>
            <w:r w:rsidRPr="00BE5D30" w:rsidR="00AC4E87">
              <w:rPr>
                <w:rFonts w:ascii="Times New Roman" w:eastAsia="PMingLiU" w:hAnsi="Times New Roman" w:cs="Times New Roman"/>
                <w:i/>
                <w:color w:val="000000"/>
                <w:sz w:val="28"/>
                <w:szCs w:val="28"/>
              </w:rPr>
              <w:t>euro</w:t>
            </w:r>
          </w:p>
        </w:tc>
        <w:tc>
          <w:tcPr>
            <w:tcW w:w="1134" w:type="dxa"/>
          </w:tcPr>
          <w:p w:rsidR="00903540" w:rsidRPr="00BE5D30" w:rsidP="002248FE" w14:paraId="1C0CE14A" w14:textId="77777777">
            <w:pPr>
              <w:pStyle w:val="Default"/>
              <w:spacing w:before="60"/>
              <w:contextualSpacing/>
              <w:jc w:val="both"/>
              <w:rPr>
                <w:sz w:val="28"/>
                <w:szCs w:val="28"/>
              </w:rPr>
            </w:pPr>
            <w:r w:rsidRPr="00BE5D30">
              <w:rPr>
                <w:sz w:val="28"/>
                <w:szCs w:val="28"/>
              </w:rPr>
              <w:t>1033</w:t>
            </w:r>
          </w:p>
        </w:tc>
        <w:tc>
          <w:tcPr>
            <w:tcW w:w="1417" w:type="dxa"/>
          </w:tcPr>
          <w:p w:rsidR="00903540" w:rsidRPr="00BE5D30" w:rsidP="002248FE" w14:paraId="352B9EAA" w14:textId="77777777">
            <w:pPr>
              <w:pStyle w:val="Default"/>
              <w:spacing w:before="60"/>
              <w:contextualSpacing/>
              <w:jc w:val="both"/>
              <w:rPr>
                <w:sz w:val="28"/>
                <w:szCs w:val="28"/>
              </w:rPr>
            </w:pPr>
          </w:p>
        </w:tc>
        <w:tc>
          <w:tcPr>
            <w:tcW w:w="2694" w:type="dxa"/>
            <w:vMerge/>
          </w:tcPr>
          <w:p w:rsidR="00903540" w:rsidRPr="00BE5D30" w:rsidP="002248FE" w14:paraId="65729DDF" w14:textId="77777777">
            <w:pPr>
              <w:pStyle w:val="Default"/>
              <w:spacing w:before="60"/>
              <w:contextualSpacing/>
              <w:jc w:val="both"/>
              <w:rPr>
                <w:sz w:val="28"/>
                <w:szCs w:val="28"/>
              </w:rPr>
            </w:pPr>
          </w:p>
        </w:tc>
      </w:tr>
      <w:tr w14:paraId="6B1887C6" w14:textId="77777777" w:rsidTr="006318A3">
        <w:tblPrEx>
          <w:tblW w:w="9606" w:type="dxa"/>
          <w:tblLayout w:type="fixed"/>
          <w:tblLook w:val="04A0"/>
        </w:tblPrEx>
        <w:tc>
          <w:tcPr>
            <w:tcW w:w="817" w:type="dxa"/>
          </w:tcPr>
          <w:p w:rsidR="00903540" w:rsidRPr="00BE5D30" w:rsidP="002248FE" w14:paraId="44502F75" w14:textId="77777777">
            <w:pPr>
              <w:pStyle w:val="Default"/>
              <w:spacing w:before="60"/>
              <w:contextualSpacing/>
              <w:jc w:val="both"/>
              <w:rPr>
                <w:sz w:val="28"/>
                <w:szCs w:val="28"/>
              </w:rPr>
            </w:pPr>
          </w:p>
        </w:tc>
        <w:tc>
          <w:tcPr>
            <w:tcW w:w="3544" w:type="dxa"/>
          </w:tcPr>
          <w:p w:rsidR="00903540" w:rsidRPr="00BE5D30" w:rsidP="002248FE" w14:paraId="533978A4" w14:textId="08DE5039">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 xml:space="preserve">Ekspertīžu un izpētes procesā iesaistīto darbinieku mēneša vidējā darba devēja valsts sociālās apdrošināšanas obligātās iemaksa, </w:t>
            </w:r>
            <w:r w:rsidRPr="00BE5D30" w:rsidR="00AC4E87">
              <w:rPr>
                <w:rFonts w:ascii="Times New Roman" w:eastAsia="PMingLiU" w:hAnsi="Times New Roman" w:cs="Times New Roman"/>
                <w:i/>
                <w:color w:val="000000"/>
                <w:sz w:val="28"/>
                <w:szCs w:val="28"/>
              </w:rPr>
              <w:t>euro</w:t>
            </w:r>
          </w:p>
        </w:tc>
        <w:tc>
          <w:tcPr>
            <w:tcW w:w="1134" w:type="dxa"/>
          </w:tcPr>
          <w:p w:rsidR="00903540" w:rsidRPr="00BE5D30" w:rsidP="002248FE" w14:paraId="5ED5FCF3" w14:textId="77777777">
            <w:pPr>
              <w:pStyle w:val="Default"/>
              <w:spacing w:before="60"/>
              <w:contextualSpacing/>
              <w:jc w:val="both"/>
              <w:rPr>
                <w:sz w:val="28"/>
                <w:szCs w:val="28"/>
              </w:rPr>
            </w:pPr>
            <w:r w:rsidRPr="00BE5D30">
              <w:rPr>
                <w:sz w:val="28"/>
                <w:szCs w:val="28"/>
              </w:rPr>
              <w:t>244</w:t>
            </w:r>
          </w:p>
        </w:tc>
        <w:tc>
          <w:tcPr>
            <w:tcW w:w="1417" w:type="dxa"/>
          </w:tcPr>
          <w:p w:rsidR="00903540" w:rsidRPr="00BE5D30" w:rsidP="002248FE" w14:paraId="5255DA28" w14:textId="77777777">
            <w:pPr>
              <w:pStyle w:val="Default"/>
              <w:spacing w:before="60"/>
              <w:contextualSpacing/>
              <w:jc w:val="both"/>
              <w:rPr>
                <w:sz w:val="28"/>
                <w:szCs w:val="28"/>
              </w:rPr>
            </w:pPr>
          </w:p>
        </w:tc>
        <w:tc>
          <w:tcPr>
            <w:tcW w:w="2694" w:type="dxa"/>
            <w:vMerge/>
          </w:tcPr>
          <w:p w:rsidR="00903540" w:rsidRPr="00BE5D30" w:rsidP="002248FE" w14:paraId="429F0F3E" w14:textId="77777777">
            <w:pPr>
              <w:pStyle w:val="Default"/>
              <w:spacing w:before="60"/>
              <w:contextualSpacing/>
              <w:jc w:val="both"/>
              <w:rPr>
                <w:sz w:val="28"/>
                <w:szCs w:val="28"/>
              </w:rPr>
            </w:pPr>
          </w:p>
        </w:tc>
      </w:tr>
      <w:tr w14:paraId="67EBEEF0" w14:textId="77777777" w:rsidTr="006318A3">
        <w:tblPrEx>
          <w:tblW w:w="9606" w:type="dxa"/>
          <w:tblLayout w:type="fixed"/>
          <w:tblLook w:val="04A0"/>
        </w:tblPrEx>
        <w:tc>
          <w:tcPr>
            <w:tcW w:w="817" w:type="dxa"/>
          </w:tcPr>
          <w:p w:rsidR="00903540" w:rsidRPr="00BE5D30" w:rsidP="002248FE" w14:paraId="271DB75C" w14:textId="77777777">
            <w:pPr>
              <w:pStyle w:val="Default"/>
              <w:spacing w:before="60"/>
              <w:contextualSpacing/>
              <w:jc w:val="both"/>
              <w:rPr>
                <w:sz w:val="28"/>
                <w:szCs w:val="28"/>
              </w:rPr>
            </w:pPr>
          </w:p>
        </w:tc>
        <w:tc>
          <w:tcPr>
            <w:tcW w:w="3544" w:type="dxa"/>
          </w:tcPr>
          <w:p w:rsidR="00903540" w:rsidRPr="00BE5D30" w:rsidP="002248FE" w14:paraId="3A1004C9"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Patēriņš 1 ievadīšanai (manuāli žurnālos), stundas</w:t>
            </w:r>
          </w:p>
        </w:tc>
        <w:tc>
          <w:tcPr>
            <w:tcW w:w="1134" w:type="dxa"/>
          </w:tcPr>
          <w:p w:rsidR="00903540" w:rsidRPr="00BE5D30" w:rsidP="002248FE" w14:paraId="13946DFC" w14:textId="77777777">
            <w:pPr>
              <w:pStyle w:val="Default"/>
              <w:spacing w:before="60"/>
              <w:contextualSpacing/>
              <w:jc w:val="both"/>
              <w:rPr>
                <w:sz w:val="28"/>
                <w:szCs w:val="28"/>
              </w:rPr>
            </w:pPr>
            <w:r w:rsidRPr="00BE5D30">
              <w:rPr>
                <w:sz w:val="28"/>
                <w:szCs w:val="28"/>
              </w:rPr>
              <w:t>0,5</w:t>
            </w:r>
          </w:p>
        </w:tc>
        <w:tc>
          <w:tcPr>
            <w:tcW w:w="1417" w:type="dxa"/>
          </w:tcPr>
          <w:p w:rsidR="00903540" w:rsidRPr="00BE5D30" w:rsidP="002248FE" w14:paraId="404C23A7" w14:textId="77777777">
            <w:pPr>
              <w:pStyle w:val="Default"/>
              <w:spacing w:before="60"/>
              <w:contextualSpacing/>
              <w:jc w:val="both"/>
              <w:rPr>
                <w:sz w:val="28"/>
                <w:szCs w:val="28"/>
              </w:rPr>
            </w:pPr>
          </w:p>
        </w:tc>
        <w:tc>
          <w:tcPr>
            <w:tcW w:w="2694" w:type="dxa"/>
            <w:vMerge/>
          </w:tcPr>
          <w:p w:rsidR="00903540" w:rsidRPr="00BE5D30" w:rsidP="002248FE" w14:paraId="4400A5F8" w14:textId="77777777">
            <w:pPr>
              <w:pStyle w:val="Default"/>
              <w:spacing w:before="60"/>
              <w:contextualSpacing/>
              <w:jc w:val="both"/>
              <w:rPr>
                <w:sz w:val="28"/>
                <w:szCs w:val="28"/>
              </w:rPr>
            </w:pPr>
          </w:p>
        </w:tc>
      </w:tr>
      <w:tr w14:paraId="468F173B" w14:textId="77777777" w:rsidTr="006318A3">
        <w:tblPrEx>
          <w:tblW w:w="9606" w:type="dxa"/>
          <w:tblLayout w:type="fixed"/>
          <w:tblLook w:val="04A0"/>
        </w:tblPrEx>
        <w:tc>
          <w:tcPr>
            <w:tcW w:w="817" w:type="dxa"/>
          </w:tcPr>
          <w:p w:rsidR="00903540" w:rsidRPr="00BE5D30" w:rsidP="002248FE" w14:paraId="613A50D7" w14:textId="77777777">
            <w:pPr>
              <w:pStyle w:val="Default"/>
              <w:spacing w:before="60"/>
              <w:contextualSpacing/>
              <w:jc w:val="both"/>
              <w:rPr>
                <w:sz w:val="28"/>
                <w:szCs w:val="28"/>
              </w:rPr>
            </w:pPr>
          </w:p>
        </w:tc>
        <w:tc>
          <w:tcPr>
            <w:tcW w:w="3544" w:type="dxa"/>
          </w:tcPr>
          <w:p w:rsidR="00903540" w:rsidRPr="00BE5D30" w:rsidP="002248FE" w14:paraId="153C3847"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Mēnešu skaits gadā</w:t>
            </w:r>
          </w:p>
        </w:tc>
        <w:tc>
          <w:tcPr>
            <w:tcW w:w="1134" w:type="dxa"/>
          </w:tcPr>
          <w:p w:rsidR="00903540" w:rsidRPr="00BE5D30" w:rsidP="002248FE" w14:paraId="4247AC0C" w14:textId="77777777">
            <w:pPr>
              <w:pStyle w:val="Default"/>
              <w:spacing w:before="60"/>
              <w:contextualSpacing/>
              <w:jc w:val="both"/>
              <w:rPr>
                <w:sz w:val="28"/>
                <w:szCs w:val="28"/>
              </w:rPr>
            </w:pPr>
            <w:r w:rsidRPr="00BE5D30">
              <w:rPr>
                <w:sz w:val="28"/>
                <w:szCs w:val="28"/>
              </w:rPr>
              <w:t>12</w:t>
            </w:r>
          </w:p>
        </w:tc>
        <w:tc>
          <w:tcPr>
            <w:tcW w:w="1417" w:type="dxa"/>
          </w:tcPr>
          <w:p w:rsidR="00903540" w:rsidRPr="00BE5D30" w:rsidP="002248FE" w14:paraId="52A0214C" w14:textId="77777777">
            <w:pPr>
              <w:pStyle w:val="Default"/>
              <w:spacing w:before="60"/>
              <w:contextualSpacing/>
              <w:jc w:val="both"/>
              <w:rPr>
                <w:sz w:val="28"/>
                <w:szCs w:val="28"/>
              </w:rPr>
            </w:pPr>
          </w:p>
        </w:tc>
        <w:tc>
          <w:tcPr>
            <w:tcW w:w="2694" w:type="dxa"/>
            <w:vMerge/>
          </w:tcPr>
          <w:p w:rsidR="00903540" w:rsidRPr="00BE5D30" w:rsidP="002248FE" w14:paraId="642A51C0" w14:textId="77777777">
            <w:pPr>
              <w:pStyle w:val="Default"/>
              <w:spacing w:before="60"/>
              <w:contextualSpacing/>
              <w:jc w:val="both"/>
              <w:rPr>
                <w:sz w:val="28"/>
                <w:szCs w:val="28"/>
              </w:rPr>
            </w:pPr>
          </w:p>
        </w:tc>
      </w:tr>
      <w:tr w14:paraId="7147D933" w14:textId="77777777" w:rsidTr="006318A3">
        <w:tblPrEx>
          <w:tblW w:w="9606" w:type="dxa"/>
          <w:tblLayout w:type="fixed"/>
          <w:tblLook w:val="04A0"/>
        </w:tblPrEx>
        <w:tc>
          <w:tcPr>
            <w:tcW w:w="817" w:type="dxa"/>
          </w:tcPr>
          <w:p w:rsidR="00903540" w:rsidRPr="00BE5D30" w:rsidP="002248FE" w14:paraId="7A7AFC29" w14:textId="77777777">
            <w:pPr>
              <w:pStyle w:val="Default"/>
              <w:spacing w:before="60"/>
              <w:contextualSpacing/>
              <w:jc w:val="both"/>
              <w:rPr>
                <w:sz w:val="28"/>
                <w:szCs w:val="28"/>
              </w:rPr>
            </w:pPr>
          </w:p>
        </w:tc>
        <w:tc>
          <w:tcPr>
            <w:tcW w:w="3544" w:type="dxa"/>
          </w:tcPr>
          <w:p w:rsidR="00903540" w:rsidRPr="00BE5D30" w:rsidP="002248FE" w14:paraId="5B28A6E8"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Stundu skaits gadā</w:t>
            </w:r>
          </w:p>
        </w:tc>
        <w:tc>
          <w:tcPr>
            <w:tcW w:w="1134" w:type="dxa"/>
          </w:tcPr>
          <w:p w:rsidR="00903540" w:rsidRPr="00BE5D30" w:rsidP="002248FE" w14:paraId="4197EF6B" w14:textId="77777777">
            <w:pPr>
              <w:pStyle w:val="Default"/>
              <w:spacing w:before="60"/>
              <w:contextualSpacing/>
              <w:jc w:val="both"/>
              <w:rPr>
                <w:sz w:val="28"/>
                <w:szCs w:val="28"/>
              </w:rPr>
            </w:pPr>
            <w:r w:rsidRPr="00BE5D30">
              <w:rPr>
                <w:sz w:val="28"/>
                <w:szCs w:val="28"/>
              </w:rPr>
              <w:t>2018</w:t>
            </w:r>
          </w:p>
        </w:tc>
        <w:tc>
          <w:tcPr>
            <w:tcW w:w="1417" w:type="dxa"/>
          </w:tcPr>
          <w:p w:rsidR="00903540" w:rsidRPr="00BE5D30" w:rsidP="002248FE" w14:paraId="7CC8AD3D" w14:textId="77777777">
            <w:pPr>
              <w:pStyle w:val="Default"/>
              <w:spacing w:before="60"/>
              <w:contextualSpacing/>
              <w:jc w:val="both"/>
              <w:rPr>
                <w:sz w:val="28"/>
                <w:szCs w:val="28"/>
              </w:rPr>
            </w:pPr>
          </w:p>
        </w:tc>
        <w:tc>
          <w:tcPr>
            <w:tcW w:w="2694" w:type="dxa"/>
            <w:vMerge/>
          </w:tcPr>
          <w:p w:rsidR="00903540" w:rsidRPr="00BE5D30" w:rsidP="002248FE" w14:paraId="39AB0767" w14:textId="77777777">
            <w:pPr>
              <w:pStyle w:val="Default"/>
              <w:spacing w:before="60"/>
              <w:contextualSpacing/>
              <w:jc w:val="both"/>
              <w:rPr>
                <w:sz w:val="28"/>
                <w:szCs w:val="28"/>
              </w:rPr>
            </w:pPr>
          </w:p>
        </w:tc>
      </w:tr>
      <w:tr w14:paraId="353C3D17" w14:textId="77777777" w:rsidTr="006318A3">
        <w:tblPrEx>
          <w:tblW w:w="9606" w:type="dxa"/>
          <w:tblLayout w:type="fixed"/>
          <w:tblLook w:val="04A0"/>
        </w:tblPrEx>
        <w:tc>
          <w:tcPr>
            <w:tcW w:w="817" w:type="dxa"/>
            <w:shd w:val="clear" w:color="auto" w:fill="E7E6E6" w:themeFill="background2"/>
          </w:tcPr>
          <w:p w:rsidR="00903540" w:rsidRPr="00BE5D30" w:rsidP="002248FE" w14:paraId="6C64711C" w14:textId="77777777">
            <w:pPr>
              <w:pStyle w:val="Default"/>
              <w:numPr>
                <w:ilvl w:val="0"/>
                <w:numId w:val="12"/>
              </w:numPr>
              <w:spacing w:before="60"/>
              <w:contextualSpacing/>
              <w:jc w:val="both"/>
              <w:rPr>
                <w:b/>
                <w:sz w:val="28"/>
                <w:szCs w:val="28"/>
              </w:rPr>
            </w:pPr>
          </w:p>
        </w:tc>
        <w:tc>
          <w:tcPr>
            <w:tcW w:w="4678" w:type="dxa"/>
            <w:gridSpan w:val="2"/>
            <w:shd w:val="clear" w:color="auto" w:fill="E7E6E6" w:themeFill="background2"/>
          </w:tcPr>
          <w:p w:rsidR="00903540" w:rsidRPr="00BE5D30" w:rsidP="002248FE" w14:paraId="64543B7A" w14:textId="5F20C3D1">
            <w:pPr>
              <w:pStyle w:val="Default"/>
              <w:spacing w:before="60"/>
              <w:contextualSpacing/>
              <w:jc w:val="both"/>
              <w:rPr>
                <w:b/>
                <w:sz w:val="28"/>
                <w:szCs w:val="28"/>
              </w:rPr>
            </w:pPr>
            <w:r w:rsidRPr="00BE5D30">
              <w:rPr>
                <w:b/>
                <w:sz w:val="28"/>
                <w:szCs w:val="28"/>
              </w:rPr>
              <w:t xml:space="preserve">Ieguvums no medicīnisko ekspertīžu veikšanas laika samazinājuma, </w:t>
            </w:r>
            <w:r w:rsidRPr="00BE5D30" w:rsidR="00AC4E87">
              <w:rPr>
                <w:b/>
                <w:i/>
                <w:sz w:val="28"/>
                <w:szCs w:val="28"/>
              </w:rPr>
              <w:t>euro</w:t>
            </w:r>
          </w:p>
        </w:tc>
        <w:tc>
          <w:tcPr>
            <w:tcW w:w="1417" w:type="dxa"/>
            <w:shd w:val="clear" w:color="auto" w:fill="E7E6E6" w:themeFill="background2"/>
          </w:tcPr>
          <w:p w:rsidR="00903540" w:rsidRPr="00BE5D30" w:rsidP="002248FE" w14:paraId="0E7A9E5A" w14:textId="77777777">
            <w:pPr>
              <w:pStyle w:val="Default"/>
              <w:spacing w:before="60"/>
              <w:contextualSpacing/>
              <w:jc w:val="both"/>
              <w:rPr>
                <w:b/>
                <w:sz w:val="28"/>
                <w:szCs w:val="28"/>
              </w:rPr>
            </w:pPr>
            <w:r w:rsidRPr="00BE5D30">
              <w:rPr>
                <w:b/>
                <w:sz w:val="28"/>
                <w:szCs w:val="28"/>
              </w:rPr>
              <w:t>399000</w:t>
            </w:r>
          </w:p>
        </w:tc>
        <w:tc>
          <w:tcPr>
            <w:tcW w:w="2694" w:type="dxa"/>
            <w:vMerge w:val="restart"/>
            <w:shd w:val="clear" w:color="auto" w:fill="E7E6E6" w:themeFill="background2"/>
          </w:tcPr>
          <w:p w:rsidR="00903540" w:rsidRPr="00BE5D30" w:rsidP="002248FE" w14:paraId="11198CCF" w14:textId="77777777">
            <w:pPr>
              <w:pStyle w:val="Default"/>
              <w:spacing w:before="60"/>
              <w:contextualSpacing/>
              <w:jc w:val="both"/>
              <w:rPr>
                <w:sz w:val="28"/>
                <w:szCs w:val="28"/>
              </w:rPr>
            </w:pPr>
            <w:r w:rsidRPr="00BE5D30">
              <w:rPr>
                <w:sz w:val="28"/>
                <w:szCs w:val="28"/>
              </w:rPr>
              <w:t>Izmaksas samazinās un veidojas sekojoši ietaupījumi:</w:t>
            </w:r>
          </w:p>
          <w:p w:rsidR="00903540" w:rsidRPr="00BE5D30" w:rsidP="002248FE" w14:paraId="1C3B97D3" w14:textId="029FAE3B">
            <w:pPr>
              <w:pStyle w:val="Default"/>
              <w:numPr>
                <w:ilvl w:val="0"/>
                <w:numId w:val="10"/>
              </w:numPr>
              <w:spacing w:before="60"/>
              <w:ind w:left="176" w:hanging="176"/>
              <w:contextualSpacing/>
              <w:jc w:val="both"/>
              <w:rPr>
                <w:sz w:val="28"/>
                <w:szCs w:val="28"/>
              </w:rPr>
            </w:pPr>
            <w:r w:rsidRPr="00BE5D30">
              <w:rPr>
                <w:sz w:val="28"/>
                <w:szCs w:val="28"/>
              </w:rPr>
              <w:t xml:space="preserve">2020. gadā un pārējos gados veidojas ietaupījums 50% apmērā jeb </w:t>
            </w:r>
            <w:r w:rsidRPr="00BE5D30" w:rsidR="00AC4E87">
              <w:rPr>
                <w:i/>
                <w:sz w:val="28"/>
                <w:szCs w:val="28"/>
              </w:rPr>
              <w:t>euro</w:t>
            </w:r>
            <w:r w:rsidRPr="00BE5D30">
              <w:rPr>
                <w:sz w:val="28"/>
                <w:szCs w:val="28"/>
              </w:rPr>
              <w:t xml:space="preserve"> 199500.</w:t>
            </w:r>
          </w:p>
        </w:tc>
      </w:tr>
      <w:tr w14:paraId="69C7215E" w14:textId="77777777" w:rsidTr="006318A3">
        <w:tblPrEx>
          <w:tblW w:w="9606" w:type="dxa"/>
          <w:tblLayout w:type="fixed"/>
          <w:tblLook w:val="04A0"/>
        </w:tblPrEx>
        <w:tc>
          <w:tcPr>
            <w:tcW w:w="817" w:type="dxa"/>
          </w:tcPr>
          <w:p w:rsidR="00903540" w:rsidRPr="00BE5D30" w:rsidP="002248FE" w14:paraId="6300611D" w14:textId="77777777">
            <w:pPr>
              <w:pStyle w:val="Default"/>
              <w:spacing w:before="60"/>
              <w:contextualSpacing/>
              <w:jc w:val="both"/>
              <w:rPr>
                <w:sz w:val="28"/>
                <w:szCs w:val="28"/>
              </w:rPr>
            </w:pPr>
          </w:p>
        </w:tc>
        <w:tc>
          <w:tcPr>
            <w:tcW w:w="3544" w:type="dxa"/>
          </w:tcPr>
          <w:p w:rsidR="00903540" w:rsidRPr="00BE5D30" w:rsidP="002248FE" w14:paraId="209A737F"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Reģionālajās nodaļās veicamo ekspertīžu skaits gadā</w:t>
            </w:r>
          </w:p>
        </w:tc>
        <w:tc>
          <w:tcPr>
            <w:tcW w:w="1134" w:type="dxa"/>
          </w:tcPr>
          <w:p w:rsidR="00903540" w:rsidRPr="00BE5D30" w:rsidP="002248FE" w14:paraId="604DA06F" w14:textId="77777777">
            <w:pPr>
              <w:pStyle w:val="Default"/>
              <w:spacing w:before="60"/>
              <w:contextualSpacing/>
              <w:jc w:val="both"/>
              <w:rPr>
                <w:sz w:val="28"/>
                <w:szCs w:val="28"/>
              </w:rPr>
            </w:pPr>
            <w:r w:rsidRPr="00BE5D30">
              <w:rPr>
                <w:sz w:val="28"/>
                <w:szCs w:val="28"/>
              </w:rPr>
              <w:t>3000</w:t>
            </w:r>
          </w:p>
        </w:tc>
        <w:tc>
          <w:tcPr>
            <w:tcW w:w="1417" w:type="dxa"/>
          </w:tcPr>
          <w:p w:rsidR="00903540" w:rsidRPr="00BE5D30" w:rsidP="002248FE" w14:paraId="1D109F3D" w14:textId="77777777">
            <w:pPr>
              <w:pStyle w:val="Default"/>
              <w:spacing w:before="60"/>
              <w:contextualSpacing/>
              <w:jc w:val="both"/>
              <w:rPr>
                <w:sz w:val="28"/>
                <w:szCs w:val="28"/>
              </w:rPr>
            </w:pPr>
          </w:p>
        </w:tc>
        <w:tc>
          <w:tcPr>
            <w:tcW w:w="2694" w:type="dxa"/>
            <w:vMerge/>
          </w:tcPr>
          <w:p w:rsidR="00903540" w:rsidRPr="00BE5D30" w:rsidP="002248FE" w14:paraId="21B9A3A1" w14:textId="77777777">
            <w:pPr>
              <w:pStyle w:val="Default"/>
              <w:spacing w:before="60"/>
              <w:contextualSpacing/>
              <w:jc w:val="both"/>
              <w:rPr>
                <w:sz w:val="28"/>
                <w:szCs w:val="28"/>
              </w:rPr>
            </w:pPr>
          </w:p>
        </w:tc>
      </w:tr>
      <w:tr w14:paraId="00BB388E" w14:textId="77777777" w:rsidTr="006318A3">
        <w:tblPrEx>
          <w:tblW w:w="9606" w:type="dxa"/>
          <w:tblLayout w:type="fixed"/>
          <w:tblLook w:val="04A0"/>
        </w:tblPrEx>
        <w:tc>
          <w:tcPr>
            <w:tcW w:w="817" w:type="dxa"/>
          </w:tcPr>
          <w:p w:rsidR="00903540" w:rsidRPr="00BE5D30" w:rsidP="002248FE" w14:paraId="1757F0BD" w14:textId="77777777">
            <w:pPr>
              <w:pStyle w:val="Default"/>
              <w:spacing w:before="60"/>
              <w:contextualSpacing/>
              <w:jc w:val="both"/>
              <w:rPr>
                <w:sz w:val="28"/>
                <w:szCs w:val="28"/>
              </w:rPr>
            </w:pPr>
          </w:p>
        </w:tc>
        <w:tc>
          <w:tcPr>
            <w:tcW w:w="3544" w:type="dxa"/>
          </w:tcPr>
          <w:p w:rsidR="00903540" w:rsidRPr="00BE5D30" w:rsidP="002248FE" w14:paraId="23BB311E" w14:textId="673F1FC0">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 xml:space="preserve">Ekspertīžu un izpētes procesā iesaistīto darbinieku mēneša vidējā bruto alga, </w:t>
            </w:r>
            <w:r w:rsidRPr="00BE5D30" w:rsidR="00AC4E87">
              <w:rPr>
                <w:rFonts w:ascii="Times New Roman" w:eastAsia="PMingLiU" w:hAnsi="Times New Roman" w:cs="Times New Roman"/>
                <w:i/>
                <w:color w:val="000000"/>
                <w:sz w:val="28"/>
                <w:szCs w:val="28"/>
              </w:rPr>
              <w:t>euro</w:t>
            </w:r>
          </w:p>
        </w:tc>
        <w:tc>
          <w:tcPr>
            <w:tcW w:w="1134" w:type="dxa"/>
          </w:tcPr>
          <w:p w:rsidR="00903540" w:rsidRPr="00BE5D30" w:rsidP="002248FE" w14:paraId="5F58170D" w14:textId="77777777">
            <w:pPr>
              <w:pStyle w:val="Default"/>
              <w:spacing w:before="60"/>
              <w:contextualSpacing/>
              <w:jc w:val="both"/>
              <w:rPr>
                <w:sz w:val="28"/>
                <w:szCs w:val="28"/>
              </w:rPr>
            </w:pPr>
            <w:r w:rsidRPr="00BE5D30">
              <w:rPr>
                <w:sz w:val="28"/>
                <w:szCs w:val="28"/>
              </w:rPr>
              <w:t>1033</w:t>
            </w:r>
          </w:p>
        </w:tc>
        <w:tc>
          <w:tcPr>
            <w:tcW w:w="1417" w:type="dxa"/>
          </w:tcPr>
          <w:p w:rsidR="00903540" w:rsidRPr="00BE5D30" w:rsidP="002248FE" w14:paraId="51792EAE" w14:textId="77777777">
            <w:pPr>
              <w:pStyle w:val="Default"/>
              <w:spacing w:before="60"/>
              <w:contextualSpacing/>
              <w:jc w:val="both"/>
              <w:rPr>
                <w:sz w:val="28"/>
                <w:szCs w:val="28"/>
              </w:rPr>
            </w:pPr>
          </w:p>
        </w:tc>
        <w:tc>
          <w:tcPr>
            <w:tcW w:w="2694" w:type="dxa"/>
            <w:vMerge/>
          </w:tcPr>
          <w:p w:rsidR="00903540" w:rsidRPr="00BE5D30" w:rsidP="002248FE" w14:paraId="3100A4B3" w14:textId="77777777">
            <w:pPr>
              <w:pStyle w:val="Default"/>
              <w:spacing w:before="60"/>
              <w:contextualSpacing/>
              <w:jc w:val="both"/>
              <w:rPr>
                <w:sz w:val="28"/>
                <w:szCs w:val="28"/>
              </w:rPr>
            </w:pPr>
          </w:p>
        </w:tc>
      </w:tr>
      <w:tr w14:paraId="5A6983E7" w14:textId="77777777" w:rsidTr="006318A3">
        <w:tblPrEx>
          <w:tblW w:w="9606" w:type="dxa"/>
          <w:tblLayout w:type="fixed"/>
          <w:tblLook w:val="04A0"/>
        </w:tblPrEx>
        <w:tc>
          <w:tcPr>
            <w:tcW w:w="817" w:type="dxa"/>
          </w:tcPr>
          <w:p w:rsidR="00903540" w:rsidRPr="00BE5D30" w:rsidP="002248FE" w14:paraId="297544AD" w14:textId="77777777">
            <w:pPr>
              <w:pStyle w:val="Default"/>
              <w:spacing w:before="60"/>
              <w:contextualSpacing/>
              <w:jc w:val="both"/>
              <w:rPr>
                <w:sz w:val="28"/>
                <w:szCs w:val="28"/>
              </w:rPr>
            </w:pPr>
          </w:p>
        </w:tc>
        <w:tc>
          <w:tcPr>
            <w:tcW w:w="3544" w:type="dxa"/>
          </w:tcPr>
          <w:p w:rsidR="00903540" w:rsidRPr="00BE5D30" w:rsidP="002248FE" w14:paraId="12D87752" w14:textId="769E5ADD">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 xml:space="preserve">Ekspertīžu un izpētes procesā iesaistīto darbinieku mēneša vidējā darba devēja valsts sociālās apdrošināšanas obligātās iemaksa, </w:t>
            </w:r>
            <w:r w:rsidRPr="00BE5D30" w:rsidR="00AC4E87">
              <w:rPr>
                <w:rFonts w:ascii="Times New Roman" w:eastAsia="PMingLiU" w:hAnsi="Times New Roman" w:cs="Times New Roman"/>
                <w:i/>
                <w:color w:val="000000"/>
                <w:sz w:val="28"/>
                <w:szCs w:val="28"/>
              </w:rPr>
              <w:t>euro</w:t>
            </w:r>
          </w:p>
        </w:tc>
        <w:tc>
          <w:tcPr>
            <w:tcW w:w="1134" w:type="dxa"/>
          </w:tcPr>
          <w:p w:rsidR="00903540" w:rsidRPr="00BE5D30" w:rsidP="002248FE" w14:paraId="156634EF" w14:textId="77777777">
            <w:pPr>
              <w:pStyle w:val="Default"/>
              <w:spacing w:before="60"/>
              <w:contextualSpacing/>
              <w:jc w:val="both"/>
              <w:rPr>
                <w:sz w:val="28"/>
                <w:szCs w:val="28"/>
              </w:rPr>
            </w:pPr>
            <w:r w:rsidRPr="00BE5D30">
              <w:rPr>
                <w:sz w:val="28"/>
                <w:szCs w:val="28"/>
              </w:rPr>
              <w:t>244</w:t>
            </w:r>
          </w:p>
        </w:tc>
        <w:tc>
          <w:tcPr>
            <w:tcW w:w="1417" w:type="dxa"/>
          </w:tcPr>
          <w:p w:rsidR="00903540" w:rsidRPr="00BE5D30" w:rsidP="002248FE" w14:paraId="0D097022" w14:textId="77777777">
            <w:pPr>
              <w:pStyle w:val="Default"/>
              <w:spacing w:before="60"/>
              <w:contextualSpacing/>
              <w:jc w:val="both"/>
              <w:rPr>
                <w:sz w:val="28"/>
                <w:szCs w:val="28"/>
              </w:rPr>
            </w:pPr>
          </w:p>
        </w:tc>
        <w:tc>
          <w:tcPr>
            <w:tcW w:w="2694" w:type="dxa"/>
            <w:vMerge/>
          </w:tcPr>
          <w:p w:rsidR="00903540" w:rsidRPr="00BE5D30" w:rsidP="002248FE" w14:paraId="3E1F8621" w14:textId="77777777">
            <w:pPr>
              <w:pStyle w:val="Default"/>
              <w:spacing w:before="60"/>
              <w:contextualSpacing/>
              <w:jc w:val="both"/>
              <w:rPr>
                <w:sz w:val="28"/>
                <w:szCs w:val="28"/>
              </w:rPr>
            </w:pPr>
          </w:p>
        </w:tc>
      </w:tr>
      <w:tr w14:paraId="74740144" w14:textId="77777777" w:rsidTr="006318A3">
        <w:tblPrEx>
          <w:tblW w:w="9606" w:type="dxa"/>
          <w:tblLayout w:type="fixed"/>
          <w:tblLook w:val="04A0"/>
        </w:tblPrEx>
        <w:tc>
          <w:tcPr>
            <w:tcW w:w="817" w:type="dxa"/>
          </w:tcPr>
          <w:p w:rsidR="00903540" w:rsidRPr="00BE5D30" w:rsidP="002248FE" w14:paraId="1CF62A42" w14:textId="77777777">
            <w:pPr>
              <w:pStyle w:val="Default"/>
              <w:spacing w:before="60"/>
              <w:contextualSpacing/>
              <w:jc w:val="both"/>
              <w:rPr>
                <w:sz w:val="28"/>
                <w:szCs w:val="28"/>
              </w:rPr>
            </w:pPr>
          </w:p>
        </w:tc>
        <w:tc>
          <w:tcPr>
            <w:tcW w:w="3544" w:type="dxa"/>
          </w:tcPr>
          <w:p w:rsidR="00903540" w:rsidRPr="00BE5D30" w:rsidP="002248FE" w14:paraId="2ABFEAB0"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Vienas ekspertīzes atzinuma sagatavošanas ilgums, stundas</w:t>
            </w:r>
          </w:p>
        </w:tc>
        <w:tc>
          <w:tcPr>
            <w:tcW w:w="1134" w:type="dxa"/>
          </w:tcPr>
          <w:p w:rsidR="00903540" w:rsidRPr="00BE5D30" w:rsidP="002248FE" w14:paraId="1F9B2B12" w14:textId="77777777">
            <w:pPr>
              <w:pStyle w:val="Default"/>
              <w:spacing w:before="60"/>
              <w:contextualSpacing/>
              <w:jc w:val="both"/>
              <w:rPr>
                <w:sz w:val="28"/>
                <w:szCs w:val="28"/>
              </w:rPr>
            </w:pPr>
            <w:r w:rsidRPr="00BE5D30">
              <w:rPr>
                <w:sz w:val="28"/>
                <w:szCs w:val="28"/>
              </w:rPr>
              <w:t>17,52</w:t>
            </w:r>
          </w:p>
        </w:tc>
        <w:tc>
          <w:tcPr>
            <w:tcW w:w="1417" w:type="dxa"/>
          </w:tcPr>
          <w:p w:rsidR="00903540" w:rsidRPr="00BE5D30" w:rsidP="002248FE" w14:paraId="1ED00FCF" w14:textId="77777777">
            <w:pPr>
              <w:pStyle w:val="Default"/>
              <w:spacing w:before="60"/>
              <w:contextualSpacing/>
              <w:jc w:val="both"/>
              <w:rPr>
                <w:sz w:val="28"/>
                <w:szCs w:val="28"/>
              </w:rPr>
            </w:pPr>
          </w:p>
        </w:tc>
        <w:tc>
          <w:tcPr>
            <w:tcW w:w="2694" w:type="dxa"/>
            <w:vMerge/>
          </w:tcPr>
          <w:p w:rsidR="00903540" w:rsidRPr="00BE5D30" w:rsidP="002248FE" w14:paraId="2EFB2981" w14:textId="77777777">
            <w:pPr>
              <w:pStyle w:val="Default"/>
              <w:spacing w:before="60"/>
              <w:contextualSpacing/>
              <w:jc w:val="both"/>
              <w:rPr>
                <w:sz w:val="28"/>
                <w:szCs w:val="28"/>
              </w:rPr>
            </w:pPr>
          </w:p>
        </w:tc>
      </w:tr>
      <w:tr w14:paraId="41BE8ED4" w14:textId="77777777" w:rsidTr="006318A3">
        <w:tblPrEx>
          <w:tblW w:w="9606" w:type="dxa"/>
          <w:tblLayout w:type="fixed"/>
          <w:tblLook w:val="04A0"/>
        </w:tblPrEx>
        <w:tc>
          <w:tcPr>
            <w:tcW w:w="817" w:type="dxa"/>
          </w:tcPr>
          <w:p w:rsidR="00903540" w:rsidRPr="00BE5D30" w:rsidP="002248FE" w14:paraId="216191E1" w14:textId="77777777">
            <w:pPr>
              <w:pStyle w:val="Default"/>
              <w:spacing w:before="60"/>
              <w:contextualSpacing/>
              <w:jc w:val="both"/>
              <w:rPr>
                <w:sz w:val="28"/>
                <w:szCs w:val="28"/>
              </w:rPr>
            </w:pPr>
          </w:p>
        </w:tc>
        <w:tc>
          <w:tcPr>
            <w:tcW w:w="3544" w:type="dxa"/>
          </w:tcPr>
          <w:p w:rsidR="00903540" w:rsidRPr="00BE5D30" w:rsidP="002248FE" w14:paraId="3726281A"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Mēnešu skaits gadā</w:t>
            </w:r>
          </w:p>
        </w:tc>
        <w:tc>
          <w:tcPr>
            <w:tcW w:w="1134" w:type="dxa"/>
          </w:tcPr>
          <w:p w:rsidR="00903540" w:rsidRPr="00BE5D30" w:rsidP="002248FE" w14:paraId="4DDD2C3C" w14:textId="77777777">
            <w:pPr>
              <w:pStyle w:val="Default"/>
              <w:spacing w:before="60"/>
              <w:contextualSpacing/>
              <w:jc w:val="both"/>
              <w:rPr>
                <w:sz w:val="28"/>
                <w:szCs w:val="28"/>
              </w:rPr>
            </w:pPr>
            <w:r w:rsidRPr="00BE5D30">
              <w:rPr>
                <w:sz w:val="28"/>
                <w:szCs w:val="28"/>
              </w:rPr>
              <w:t>12</w:t>
            </w:r>
          </w:p>
        </w:tc>
        <w:tc>
          <w:tcPr>
            <w:tcW w:w="1417" w:type="dxa"/>
          </w:tcPr>
          <w:p w:rsidR="00903540" w:rsidRPr="00BE5D30" w:rsidP="002248FE" w14:paraId="38F6DBE1" w14:textId="77777777">
            <w:pPr>
              <w:pStyle w:val="Default"/>
              <w:spacing w:before="60"/>
              <w:contextualSpacing/>
              <w:jc w:val="both"/>
              <w:rPr>
                <w:sz w:val="28"/>
                <w:szCs w:val="28"/>
              </w:rPr>
            </w:pPr>
          </w:p>
        </w:tc>
        <w:tc>
          <w:tcPr>
            <w:tcW w:w="2694" w:type="dxa"/>
            <w:vMerge/>
          </w:tcPr>
          <w:p w:rsidR="00903540" w:rsidRPr="00BE5D30" w:rsidP="002248FE" w14:paraId="715E17A8" w14:textId="77777777">
            <w:pPr>
              <w:pStyle w:val="Default"/>
              <w:spacing w:before="60"/>
              <w:contextualSpacing/>
              <w:jc w:val="both"/>
              <w:rPr>
                <w:sz w:val="28"/>
                <w:szCs w:val="28"/>
              </w:rPr>
            </w:pPr>
          </w:p>
        </w:tc>
      </w:tr>
      <w:tr w14:paraId="14D3669B" w14:textId="77777777" w:rsidTr="006318A3">
        <w:tblPrEx>
          <w:tblW w:w="9606" w:type="dxa"/>
          <w:tblLayout w:type="fixed"/>
          <w:tblLook w:val="04A0"/>
        </w:tblPrEx>
        <w:tc>
          <w:tcPr>
            <w:tcW w:w="817" w:type="dxa"/>
          </w:tcPr>
          <w:p w:rsidR="00903540" w:rsidRPr="00BE5D30" w:rsidP="002248FE" w14:paraId="467A2C2A" w14:textId="77777777">
            <w:pPr>
              <w:pStyle w:val="Default"/>
              <w:spacing w:before="60"/>
              <w:contextualSpacing/>
              <w:jc w:val="both"/>
              <w:rPr>
                <w:sz w:val="28"/>
                <w:szCs w:val="28"/>
              </w:rPr>
            </w:pPr>
          </w:p>
        </w:tc>
        <w:tc>
          <w:tcPr>
            <w:tcW w:w="3544" w:type="dxa"/>
          </w:tcPr>
          <w:p w:rsidR="00903540" w:rsidRPr="00BE5D30" w:rsidP="002248FE" w14:paraId="57FD163B" w14:textId="77777777">
            <w:pPr>
              <w:spacing w:before="60" w:after="0"/>
              <w:contextualSpacing/>
              <w:jc w:val="both"/>
              <w:rPr>
                <w:rFonts w:ascii="Times New Roman" w:eastAsia="PMingLiU" w:hAnsi="Times New Roman" w:cs="Times New Roman"/>
                <w:color w:val="000000"/>
                <w:sz w:val="28"/>
                <w:szCs w:val="28"/>
              </w:rPr>
            </w:pPr>
            <w:r w:rsidRPr="00BE5D30">
              <w:rPr>
                <w:rFonts w:ascii="Times New Roman" w:eastAsia="PMingLiU" w:hAnsi="Times New Roman" w:cs="Times New Roman"/>
                <w:color w:val="000000"/>
                <w:sz w:val="28"/>
                <w:szCs w:val="28"/>
              </w:rPr>
              <w:t>Stundu skaits gadā</w:t>
            </w:r>
          </w:p>
        </w:tc>
        <w:tc>
          <w:tcPr>
            <w:tcW w:w="1134" w:type="dxa"/>
          </w:tcPr>
          <w:p w:rsidR="00903540" w:rsidRPr="00BE5D30" w:rsidP="002248FE" w14:paraId="234AC082" w14:textId="77777777">
            <w:pPr>
              <w:pStyle w:val="Default"/>
              <w:spacing w:before="60"/>
              <w:contextualSpacing/>
              <w:jc w:val="both"/>
              <w:rPr>
                <w:sz w:val="28"/>
                <w:szCs w:val="28"/>
              </w:rPr>
            </w:pPr>
            <w:r w:rsidRPr="00BE5D30">
              <w:rPr>
                <w:sz w:val="28"/>
                <w:szCs w:val="28"/>
              </w:rPr>
              <w:t>2018</w:t>
            </w:r>
          </w:p>
        </w:tc>
        <w:tc>
          <w:tcPr>
            <w:tcW w:w="1417" w:type="dxa"/>
          </w:tcPr>
          <w:p w:rsidR="00903540" w:rsidRPr="00BE5D30" w:rsidP="002248FE" w14:paraId="05C8045C" w14:textId="77777777">
            <w:pPr>
              <w:pStyle w:val="Default"/>
              <w:spacing w:before="60"/>
              <w:contextualSpacing/>
              <w:jc w:val="both"/>
              <w:rPr>
                <w:sz w:val="28"/>
                <w:szCs w:val="28"/>
              </w:rPr>
            </w:pPr>
          </w:p>
        </w:tc>
        <w:tc>
          <w:tcPr>
            <w:tcW w:w="2694" w:type="dxa"/>
            <w:vMerge/>
          </w:tcPr>
          <w:p w:rsidR="00903540" w:rsidRPr="00BE5D30" w:rsidP="002248FE" w14:paraId="655BFBAF" w14:textId="77777777">
            <w:pPr>
              <w:pStyle w:val="Default"/>
              <w:spacing w:before="60"/>
              <w:contextualSpacing/>
              <w:jc w:val="both"/>
              <w:rPr>
                <w:sz w:val="28"/>
                <w:szCs w:val="28"/>
              </w:rPr>
            </w:pPr>
          </w:p>
        </w:tc>
      </w:tr>
      <w:tr w14:paraId="70B284F2" w14:textId="77777777" w:rsidTr="006318A3">
        <w:tblPrEx>
          <w:tblW w:w="9606" w:type="dxa"/>
          <w:tblLayout w:type="fixed"/>
          <w:tblLook w:val="04A0"/>
        </w:tblPrEx>
        <w:tc>
          <w:tcPr>
            <w:tcW w:w="817" w:type="dxa"/>
            <w:shd w:val="clear" w:color="auto" w:fill="BFBFBF" w:themeFill="background1" w:themeFillShade="BF"/>
          </w:tcPr>
          <w:p w:rsidR="00903540" w:rsidRPr="00BE5D30" w:rsidP="002248FE" w14:paraId="0D140FB8" w14:textId="77777777">
            <w:pPr>
              <w:pStyle w:val="Default"/>
              <w:numPr>
                <w:ilvl w:val="0"/>
                <w:numId w:val="12"/>
              </w:numPr>
              <w:spacing w:before="60"/>
              <w:contextualSpacing/>
              <w:jc w:val="both"/>
              <w:rPr>
                <w:b/>
                <w:sz w:val="28"/>
                <w:szCs w:val="28"/>
              </w:rPr>
            </w:pPr>
          </w:p>
        </w:tc>
        <w:tc>
          <w:tcPr>
            <w:tcW w:w="4678" w:type="dxa"/>
            <w:gridSpan w:val="2"/>
            <w:shd w:val="clear" w:color="auto" w:fill="BFBFBF" w:themeFill="background1" w:themeFillShade="BF"/>
          </w:tcPr>
          <w:p w:rsidR="00903540" w:rsidRPr="00BE5D30" w:rsidP="002248FE" w14:paraId="55ABBD4A" w14:textId="77777777">
            <w:pPr>
              <w:pStyle w:val="Default"/>
              <w:spacing w:before="60"/>
              <w:contextualSpacing/>
              <w:jc w:val="both"/>
              <w:rPr>
                <w:b/>
                <w:sz w:val="28"/>
                <w:szCs w:val="28"/>
              </w:rPr>
            </w:pPr>
            <w:r w:rsidRPr="00BE5D30">
              <w:rPr>
                <w:b/>
                <w:sz w:val="28"/>
                <w:szCs w:val="28"/>
              </w:rPr>
              <w:t>Ieguvumu ekvivalents naudas izteiksmē, kopā</w:t>
            </w:r>
          </w:p>
        </w:tc>
        <w:tc>
          <w:tcPr>
            <w:tcW w:w="1417" w:type="dxa"/>
            <w:shd w:val="clear" w:color="auto" w:fill="BFBFBF" w:themeFill="background1" w:themeFillShade="BF"/>
          </w:tcPr>
          <w:p w:rsidR="00903540" w:rsidRPr="00BE5D30" w:rsidP="002248FE" w14:paraId="3889A99B" w14:textId="77777777">
            <w:pPr>
              <w:pStyle w:val="Default"/>
              <w:spacing w:before="60"/>
              <w:contextualSpacing/>
              <w:jc w:val="both"/>
              <w:rPr>
                <w:b/>
                <w:sz w:val="28"/>
                <w:szCs w:val="28"/>
              </w:rPr>
            </w:pPr>
            <w:r w:rsidRPr="00BE5D30">
              <w:rPr>
                <w:b/>
                <w:sz w:val="28"/>
                <w:szCs w:val="28"/>
              </w:rPr>
              <w:t>683692</w:t>
            </w:r>
          </w:p>
        </w:tc>
        <w:tc>
          <w:tcPr>
            <w:tcW w:w="2694" w:type="dxa"/>
            <w:shd w:val="clear" w:color="auto" w:fill="BFBFBF" w:themeFill="background1" w:themeFillShade="BF"/>
          </w:tcPr>
          <w:p w:rsidR="00903540" w:rsidRPr="00BE5D30" w:rsidP="002248FE" w14:paraId="143C8477" w14:textId="3CF2091B">
            <w:pPr>
              <w:pStyle w:val="Default"/>
              <w:spacing w:before="60"/>
              <w:contextualSpacing/>
              <w:jc w:val="both"/>
              <w:rPr>
                <w:sz w:val="28"/>
                <w:szCs w:val="28"/>
              </w:rPr>
            </w:pPr>
            <w:r w:rsidRPr="00BE5D30">
              <w:rPr>
                <w:sz w:val="28"/>
                <w:szCs w:val="28"/>
              </w:rPr>
              <w:t xml:space="preserve">Izmaksas samazinās pakāpeniski un veidojas sekojoši ietaupījumi pēc Projekta ieviešanas:, 2020.,2021. gadā </w:t>
            </w:r>
            <w:r w:rsidRPr="00BE5D30" w:rsidR="00AC4E87">
              <w:rPr>
                <w:i/>
                <w:sz w:val="28"/>
                <w:szCs w:val="28"/>
              </w:rPr>
              <w:t>euro</w:t>
            </w:r>
            <w:r w:rsidRPr="00BE5D30">
              <w:rPr>
                <w:sz w:val="28"/>
                <w:szCs w:val="28"/>
              </w:rPr>
              <w:t xml:space="preserve"> 687886 apmērā jeb </w:t>
            </w:r>
            <w:r w:rsidRPr="00BE5D30" w:rsidR="00AC4E87">
              <w:rPr>
                <w:i/>
                <w:sz w:val="28"/>
                <w:szCs w:val="28"/>
              </w:rPr>
              <w:t>euro</w:t>
            </w:r>
            <w:r w:rsidRPr="00BE5D30">
              <w:rPr>
                <w:sz w:val="28"/>
                <w:szCs w:val="28"/>
              </w:rPr>
              <w:t xml:space="preserve"> 343943 gadā, 2022.gadā un pārējos gados katru gadu veidosies ietaupījums </w:t>
            </w:r>
            <w:r w:rsidRPr="00BE5D30" w:rsidR="00AC4E87">
              <w:rPr>
                <w:i/>
                <w:sz w:val="28"/>
                <w:szCs w:val="28"/>
              </w:rPr>
              <w:t>euro</w:t>
            </w:r>
            <w:r w:rsidRPr="00BE5D30">
              <w:rPr>
                <w:sz w:val="28"/>
                <w:szCs w:val="28"/>
              </w:rPr>
              <w:t xml:space="preserve"> 378067 apmērā</w:t>
            </w:r>
          </w:p>
        </w:tc>
      </w:tr>
    </w:tbl>
    <w:p w:rsidR="00161FF0" w:rsidRPr="00BE5D30" w:rsidP="002248FE" w14:paraId="52AB5F0F" w14:textId="77777777">
      <w:pPr>
        <w:pStyle w:val="VPBody"/>
        <w:rPr>
          <w:sz w:val="28"/>
          <w:szCs w:val="28"/>
        </w:rPr>
      </w:pPr>
    </w:p>
    <w:p w:rsidR="00ED1F9C" w:rsidRPr="00BE5D30" w:rsidP="002248FE" w14:paraId="0CE7E0BF" w14:textId="77777777">
      <w:pPr>
        <w:pStyle w:val="VPBody"/>
        <w:spacing w:before="0" w:after="0"/>
        <w:rPr>
          <w:rFonts w:eastAsia="Times New Roman"/>
          <w:sz w:val="28"/>
          <w:szCs w:val="28"/>
          <w:lang w:eastAsia="lv-LV"/>
        </w:rPr>
      </w:pPr>
    </w:p>
    <w:p w:rsidR="001F633A" w:rsidRPr="00BE5D30" w:rsidP="002248FE" w14:paraId="3908EB2D" w14:textId="77777777">
      <w:pPr>
        <w:pStyle w:val="VPBody"/>
        <w:spacing w:before="0" w:after="0"/>
        <w:rPr>
          <w:rFonts w:eastAsia="Times New Roman"/>
          <w:sz w:val="28"/>
          <w:szCs w:val="28"/>
          <w:lang w:eastAsia="lv-LV"/>
        </w:rPr>
      </w:pPr>
    </w:p>
    <w:p w:rsidR="001F633A" w:rsidRPr="00BE5D30" w:rsidP="002248FE" w14:paraId="2632E62E" w14:textId="77777777">
      <w:pPr>
        <w:pStyle w:val="VPBody"/>
        <w:spacing w:before="0" w:after="0"/>
        <w:rPr>
          <w:rFonts w:eastAsia="Times New Roman"/>
          <w:sz w:val="28"/>
          <w:szCs w:val="28"/>
          <w:lang w:eastAsia="lv-LV"/>
        </w:rPr>
      </w:pPr>
    </w:p>
    <w:p w:rsidR="00606402" w:rsidRPr="00BE5D30" w:rsidP="002248FE" w14:paraId="36A5AC58" w14:textId="77777777">
      <w:pPr>
        <w:tabs>
          <w:tab w:val="left" w:pos="6379"/>
          <w:tab w:val="left" w:pos="6804"/>
        </w:tabs>
        <w:spacing w:before="0" w:after="0"/>
        <w:jc w:val="both"/>
        <w:rPr>
          <w:rFonts w:ascii="Times New Roman" w:eastAsia="Times New Roman" w:hAnsi="Times New Roman" w:cs="Times New Roman"/>
          <w:sz w:val="28"/>
          <w:szCs w:val="28"/>
          <w:lang w:eastAsia="lv-LV"/>
        </w:rPr>
      </w:pPr>
      <w:r w:rsidRPr="00BE5D30">
        <w:rPr>
          <w:rFonts w:ascii="Times New Roman" w:eastAsia="Times New Roman" w:hAnsi="Times New Roman" w:cs="Times New Roman"/>
          <w:sz w:val="28"/>
          <w:szCs w:val="28"/>
          <w:lang w:eastAsia="lv-LV"/>
        </w:rPr>
        <w:t xml:space="preserve">Vides aizsardzības un </w:t>
      </w:r>
    </w:p>
    <w:p w:rsidR="00606402" w:rsidRPr="00BE5D30" w:rsidP="002248FE" w14:paraId="0CD18536" w14:textId="62583B73">
      <w:pPr>
        <w:tabs>
          <w:tab w:val="left" w:pos="6663"/>
          <w:tab w:val="left" w:pos="6804"/>
        </w:tabs>
        <w:spacing w:before="0" w:after="0"/>
        <w:jc w:val="both"/>
        <w:rPr>
          <w:rFonts w:ascii="Times New Roman" w:eastAsia="Times New Roman" w:hAnsi="Times New Roman" w:cs="Times New Roman"/>
          <w:sz w:val="28"/>
          <w:szCs w:val="28"/>
          <w:lang w:eastAsia="lv-LV"/>
        </w:rPr>
      </w:pPr>
      <w:r w:rsidRPr="00BE5D30">
        <w:rPr>
          <w:rFonts w:ascii="Times New Roman" w:eastAsia="Times New Roman" w:hAnsi="Times New Roman" w:cs="Times New Roman"/>
          <w:sz w:val="28"/>
          <w:szCs w:val="28"/>
          <w:lang w:eastAsia="lv-LV"/>
        </w:rPr>
        <w:t>reģionālās attīstības ministrs</w:t>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t>Kaspars Gerhards</w:t>
      </w:r>
    </w:p>
    <w:p w:rsidR="00606402" w:rsidRPr="00BE5D30" w:rsidP="002248FE" w14:paraId="5CF028E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161FF0" w:rsidRPr="00BE5D30" w:rsidP="002248FE" w14:paraId="136AAA87"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606402" w:rsidRPr="00BE5D30" w:rsidP="002248FE" w14:paraId="045E2048"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BE5D30">
        <w:rPr>
          <w:rFonts w:ascii="Times New Roman" w:eastAsia="Times New Roman" w:hAnsi="Times New Roman" w:cs="Times New Roman"/>
          <w:sz w:val="28"/>
          <w:szCs w:val="28"/>
          <w:lang w:eastAsia="lv-LV"/>
        </w:rPr>
        <w:t>Vīza:</w:t>
      </w:r>
    </w:p>
    <w:p w:rsidR="00606402" w:rsidRPr="00BE5D30" w:rsidP="002248FE" w14:paraId="2A090F06"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BE5D30">
        <w:rPr>
          <w:rFonts w:ascii="Times New Roman" w:eastAsia="Times New Roman" w:hAnsi="Times New Roman" w:cs="Times New Roman"/>
          <w:sz w:val="28"/>
          <w:szCs w:val="28"/>
          <w:lang w:eastAsia="lv-LV"/>
        </w:rPr>
        <w:t>v</w:t>
      </w:r>
      <w:r w:rsidRPr="00BE5D30">
        <w:rPr>
          <w:rFonts w:ascii="Times New Roman" w:eastAsia="Times New Roman" w:hAnsi="Times New Roman" w:cs="Times New Roman"/>
          <w:sz w:val="28"/>
          <w:szCs w:val="28"/>
          <w:lang w:eastAsia="lv-LV"/>
        </w:rPr>
        <w:t>alsts sekretārs</w:t>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r>
      <w:r w:rsidRPr="00BE5D30">
        <w:rPr>
          <w:rFonts w:ascii="Times New Roman" w:eastAsia="Times New Roman" w:hAnsi="Times New Roman" w:cs="Times New Roman"/>
          <w:sz w:val="28"/>
          <w:szCs w:val="28"/>
          <w:lang w:eastAsia="lv-LV"/>
        </w:rPr>
        <w:tab/>
        <w:t>Rinalds Muciņš</w:t>
      </w:r>
    </w:p>
    <w:p w:rsidR="007C035E" w:rsidRPr="00BE5D30" w:rsidP="002248FE" w14:paraId="38921ABE" w14:textId="77777777">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rsidR="00E36A85" w:rsidRPr="00BE5D30" w:rsidP="002248FE" w14:paraId="5818C264" w14:textId="77777777">
      <w:pPr>
        <w:spacing w:before="0" w:after="0"/>
        <w:jc w:val="both"/>
        <w:rPr>
          <w:rFonts w:ascii="Times New Roman" w:eastAsia="Times New Roman" w:hAnsi="Times New Roman" w:cs="Times New Roman"/>
          <w:sz w:val="28"/>
          <w:szCs w:val="28"/>
        </w:rPr>
      </w:pPr>
    </w:p>
    <w:p w:rsidR="00D43E51" w:rsidRPr="00BE5D30" w:rsidP="002248FE" w14:paraId="5BE88834" w14:textId="77777777">
      <w:pPr>
        <w:spacing w:before="0" w:after="0"/>
        <w:jc w:val="both"/>
        <w:rPr>
          <w:rFonts w:ascii="Times New Roman" w:eastAsia="Times New Roman" w:hAnsi="Times New Roman" w:cs="Times New Roman"/>
          <w:sz w:val="28"/>
          <w:szCs w:val="28"/>
        </w:rPr>
      </w:pPr>
    </w:p>
    <w:p w:rsidR="00D43E51" w:rsidRPr="00BE5D30" w:rsidP="002248FE" w14:paraId="02BE2CBA" w14:textId="77777777">
      <w:pPr>
        <w:spacing w:before="0" w:after="0"/>
        <w:jc w:val="both"/>
        <w:rPr>
          <w:rFonts w:ascii="Times New Roman" w:eastAsia="Times New Roman" w:hAnsi="Times New Roman" w:cs="Times New Roman"/>
          <w:sz w:val="28"/>
          <w:szCs w:val="28"/>
        </w:rPr>
      </w:pPr>
    </w:p>
    <w:p w:rsidR="00D43E51" w:rsidRPr="00BE5D30" w:rsidP="002248FE" w14:paraId="54C69C62" w14:textId="77777777">
      <w:pPr>
        <w:spacing w:before="0" w:after="0"/>
        <w:jc w:val="both"/>
        <w:rPr>
          <w:rFonts w:ascii="Times New Roman" w:eastAsia="Times New Roman" w:hAnsi="Times New Roman" w:cs="Times New Roman"/>
          <w:sz w:val="28"/>
          <w:szCs w:val="28"/>
        </w:rPr>
      </w:pPr>
    </w:p>
    <w:p w:rsidR="00D43E51" w:rsidRPr="00BE5D30" w:rsidP="002248FE" w14:paraId="626A3A03" w14:textId="77777777">
      <w:pPr>
        <w:spacing w:before="0" w:after="0"/>
        <w:jc w:val="both"/>
        <w:rPr>
          <w:rFonts w:ascii="Times New Roman" w:eastAsia="Times New Roman" w:hAnsi="Times New Roman" w:cs="Times New Roman"/>
          <w:sz w:val="28"/>
          <w:szCs w:val="28"/>
        </w:rPr>
      </w:pPr>
    </w:p>
    <w:p w:rsidR="00606402" w:rsidRPr="00033A3B" w:rsidP="002248FE" w14:paraId="48E64839" w14:textId="4FFF054A">
      <w:pPr>
        <w:spacing w:before="0" w:after="0"/>
        <w:jc w:val="both"/>
        <w:rPr>
          <w:rFonts w:ascii="Times New Roman" w:eastAsia="Times New Roman" w:hAnsi="Times New Roman" w:cs="Times New Roman"/>
          <w:sz w:val="24"/>
          <w:szCs w:val="24"/>
        </w:rPr>
      </w:pPr>
      <w:r w:rsidRPr="00033A3B">
        <w:rPr>
          <w:rFonts w:ascii="Times New Roman" w:eastAsia="Times New Roman" w:hAnsi="Times New Roman" w:cs="Times New Roman"/>
          <w:sz w:val="24"/>
          <w:szCs w:val="24"/>
        </w:rPr>
        <w:fldChar w:fldCharType="begin"/>
      </w:r>
      <w:r w:rsidRPr="00033A3B">
        <w:rPr>
          <w:rFonts w:ascii="Times New Roman" w:eastAsia="Times New Roman" w:hAnsi="Times New Roman" w:cs="Times New Roman"/>
          <w:sz w:val="24"/>
          <w:szCs w:val="24"/>
        </w:rPr>
        <w:instrText xml:space="preserve"> DATE  \@ "dd.MM.yyyy. H:mm"  \* MERGEFORMAT </w:instrText>
      </w:r>
      <w:r w:rsidRPr="00033A3B">
        <w:rPr>
          <w:rFonts w:ascii="Times New Roman" w:eastAsia="Times New Roman" w:hAnsi="Times New Roman" w:cs="Times New Roman"/>
          <w:sz w:val="24"/>
          <w:szCs w:val="24"/>
        </w:rPr>
        <w:fldChar w:fldCharType="separate"/>
      </w:r>
      <w:r w:rsidR="00F82B58">
        <w:rPr>
          <w:rFonts w:ascii="Times New Roman" w:eastAsia="Times New Roman" w:hAnsi="Times New Roman" w:cs="Times New Roman"/>
          <w:noProof/>
          <w:sz w:val="24"/>
          <w:szCs w:val="24"/>
        </w:rPr>
        <w:t>13.09.2017. 9:03</w:t>
      </w:r>
      <w:r w:rsidRPr="00033A3B">
        <w:rPr>
          <w:rFonts w:ascii="Times New Roman" w:eastAsia="Times New Roman" w:hAnsi="Times New Roman" w:cs="Times New Roman"/>
          <w:sz w:val="24"/>
          <w:szCs w:val="24"/>
        </w:rPr>
        <w:fldChar w:fldCharType="end"/>
      </w:r>
    </w:p>
    <w:p w:rsidR="00AC4E87" w:rsidRPr="00033A3B" w:rsidP="002248FE" w14:paraId="3287E467" w14:textId="7F0C50AA">
      <w:pPr>
        <w:tabs>
          <w:tab w:val="left" w:pos="3750"/>
          <w:tab w:val="center" w:pos="4535"/>
        </w:tabs>
        <w:spacing w:before="0" w:after="0"/>
        <w:jc w:val="both"/>
        <w:rPr>
          <w:rFonts w:ascii="Times New Roman" w:eastAsia="Times New Roman" w:hAnsi="Times New Roman" w:cs="Times New Roman"/>
          <w:sz w:val="24"/>
          <w:szCs w:val="24"/>
        </w:rPr>
      </w:pPr>
      <w:r w:rsidRPr="00033A3B">
        <w:rPr>
          <w:rFonts w:ascii="Times New Roman" w:eastAsia="Times New Roman" w:hAnsi="Times New Roman" w:cs="Times New Roman"/>
          <w:sz w:val="24"/>
          <w:szCs w:val="24"/>
        </w:rPr>
        <w:fldChar w:fldCharType="begin"/>
      </w:r>
      <w:r w:rsidRPr="00033A3B">
        <w:rPr>
          <w:rFonts w:ascii="Times New Roman" w:eastAsia="Times New Roman" w:hAnsi="Times New Roman" w:cs="Times New Roman"/>
          <w:sz w:val="24"/>
          <w:szCs w:val="24"/>
        </w:rPr>
        <w:instrText xml:space="preserve"> NUMWORDS   \* MERGEFORMAT </w:instrText>
      </w:r>
      <w:r w:rsidRPr="00033A3B">
        <w:rPr>
          <w:rFonts w:ascii="Times New Roman" w:eastAsia="Times New Roman" w:hAnsi="Times New Roman" w:cs="Times New Roman"/>
          <w:sz w:val="24"/>
          <w:szCs w:val="24"/>
        </w:rPr>
        <w:fldChar w:fldCharType="separate"/>
      </w:r>
      <w:r w:rsidR="00F82B58">
        <w:rPr>
          <w:rFonts w:ascii="Times New Roman" w:eastAsia="Times New Roman" w:hAnsi="Times New Roman" w:cs="Times New Roman"/>
          <w:noProof/>
          <w:sz w:val="24"/>
          <w:szCs w:val="24"/>
        </w:rPr>
        <w:t>1142</w:t>
      </w:r>
      <w:r w:rsidRPr="00033A3B">
        <w:rPr>
          <w:rFonts w:ascii="Times New Roman" w:eastAsia="Times New Roman" w:hAnsi="Times New Roman" w:cs="Times New Roman"/>
          <w:sz w:val="24"/>
          <w:szCs w:val="24"/>
        </w:rPr>
        <w:fldChar w:fldCharType="end"/>
      </w:r>
    </w:p>
    <w:p w:rsidR="00855BEE" w:rsidRPr="00033A3B" w:rsidP="002248FE" w14:paraId="36855EA7" w14:textId="77777777">
      <w:pPr>
        <w:tabs>
          <w:tab w:val="left" w:pos="3750"/>
          <w:tab w:val="center" w:pos="4535"/>
        </w:tabs>
        <w:spacing w:before="0" w:after="0"/>
        <w:jc w:val="both"/>
        <w:rPr>
          <w:rFonts w:ascii="Times New Roman" w:eastAsia="Times New Roman" w:hAnsi="Times New Roman" w:cs="Times New Roman"/>
          <w:sz w:val="24"/>
          <w:szCs w:val="24"/>
        </w:rPr>
      </w:pPr>
    </w:p>
    <w:p w:rsidR="00AC4E87" w:rsidRPr="00033A3B" w:rsidP="002248FE" w14:paraId="2A0E4376" w14:textId="7C63CAED">
      <w:pPr>
        <w:tabs>
          <w:tab w:val="left" w:pos="3750"/>
          <w:tab w:val="center" w:pos="4535"/>
        </w:tabs>
        <w:spacing w:before="0" w:after="0"/>
        <w:jc w:val="both"/>
        <w:rPr>
          <w:rFonts w:ascii="Times New Roman" w:hAnsi="Times New Roman" w:cs="Times New Roman"/>
          <w:sz w:val="24"/>
          <w:szCs w:val="24"/>
        </w:rPr>
      </w:pPr>
      <w:r w:rsidRPr="00033A3B">
        <w:rPr>
          <w:rFonts w:ascii="Times New Roman" w:hAnsi="Times New Roman" w:cs="Times New Roman"/>
          <w:sz w:val="24"/>
          <w:szCs w:val="24"/>
        </w:rPr>
        <w:t>Kalvāne,  67536138</w:t>
      </w:r>
    </w:p>
    <w:p w:rsidR="00AC4E87" w:rsidRPr="00033A3B" w:rsidP="002248FE" w14:paraId="003ED4D9" w14:textId="67D3F11D">
      <w:pPr>
        <w:tabs>
          <w:tab w:val="left" w:pos="3750"/>
          <w:tab w:val="center" w:pos="4535"/>
        </w:tabs>
        <w:spacing w:before="0" w:after="0"/>
        <w:jc w:val="both"/>
        <w:rPr>
          <w:rFonts w:ascii="Times New Roman" w:hAnsi="Times New Roman" w:cs="Times New Roman"/>
          <w:sz w:val="24"/>
          <w:szCs w:val="24"/>
        </w:rPr>
      </w:pPr>
      <w:r>
        <w:fldChar w:fldCharType="begin"/>
      </w:r>
      <w:r>
        <w:instrText xml:space="preserve"> HYPERLINK "mailto:lilita.kalvane@vtmec.gov.lv" </w:instrText>
      </w:r>
      <w:r>
        <w:fldChar w:fldCharType="separate"/>
      </w:r>
      <w:r w:rsidRPr="00033A3B">
        <w:rPr>
          <w:rStyle w:val="Hyperlink"/>
          <w:rFonts w:ascii="Times New Roman" w:hAnsi="Times New Roman" w:cs="Times New Roman"/>
          <w:sz w:val="24"/>
          <w:szCs w:val="24"/>
        </w:rPr>
        <w:t>lilita.kalvane@vtmec.gov.lv</w:t>
      </w:r>
      <w:r>
        <w:fldChar w:fldCharType="end"/>
      </w:r>
      <w:r w:rsidRPr="00033A3B">
        <w:rPr>
          <w:rFonts w:ascii="Times New Roman" w:hAnsi="Times New Roman" w:cs="Times New Roman"/>
          <w:sz w:val="24"/>
          <w:szCs w:val="24"/>
        </w:rPr>
        <w:t xml:space="preserve">  </w:t>
      </w:r>
    </w:p>
    <w:p w:rsidR="00AC4E87" w:rsidRPr="00033A3B" w:rsidP="002248FE" w14:paraId="22520F19" w14:textId="7066A583">
      <w:pPr>
        <w:tabs>
          <w:tab w:val="left" w:pos="3750"/>
          <w:tab w:val="center" w:pos="4535"/>
        </w:tabs>
        <w:spacing w:before="0" w:after="0"/>
        <w:jc w:val="both"/>
        <w:rPr>
          <w:rFonts w:ascii="Times New Roman" w:hAnsi="Times New Roman" w:cs="Times New Roman"/>
          <w:sz w:val="24"/>
          <w:szCs w:val="24"/>
        </w:rPr>
      </w:pPr>
    </w:p>
    <w:p w:rsidR="002B5750" w:rsidRPr="00033A3B" w:rsidP="002248FE" w14:paraId="02C3986D" w14:textId="1B6CDDE9">
      <w:pPr>
        <w:spacing w:before="0" w:after="0"/>
        <w:rPr>
          <w:rFonts w:ascii="Times New Roman" w:hAnsi="Times New Roman" w:cs="Times New Roman"/>
          <w:sz w:val="24"/>
          <w:szCs w:val="24"/>
        </w:rPr>
      </w:pPr>
      <w:r w:rsidRPr="00033A3B">
        <w:rPr>
          <w:rFonts w:ascii="Times New Roman" w:hAnsi="Times New Roman" w:cs="Times New Roman"/>
          <w:sz w:val="24"/>
          <w:szCs w:val="24"/>
        </w:rPr>
        <w:t>Kalniņa</w:t>
      </w:r>
      <w:r w:rsidRPr="00033A3B" w:rsidR="00AC4E87">
        <w:rPr>
          <w:rFonts w:ascii="Times New Roman" w:hAnsi="Times New Roman" w:cs="Times New Roman"/>
          <w:sz w:val="24"/>
          <w:szCs w:val="24"/>
        </w:rPr>
        <w:t>, 67026576</w:t>
      </w:r>
      <w:r w:rsidRPr="00033A3B" w:rsidR="001F633A">
        <w:rPr>
          <w:rFonts w:ascii="Times New Roman" w:hAnsi="Times New Roman" w:cs="Times New Roman"/>
          <w:sz w:val="24"/>
          <w:szCs w:val="24"/>
        </w:rPr>
        <w:t xml:space="preserve"> </w:t>
      </w:r>
    </w:p>
    <w:p w:rsidR="000716C7" w:rsidRPr="00033A3B" w:rsidP="002248FE" w14:paraId="012E3390" w14:textId="24BB5049">
      <w:pPr>
        <w:spacing w:before="0" w:after="0"/>
        <w:rPr>
          <w:rFonts w:ascii="Times New Roman" w:hAnsi="Times New Roman" w:cs="Times New Roman"/>
          <w:sz w:val="24"/>
          <w:szCs w:val="24"/>
        </w:rPr>
      </w:pPr>
      <w:r>
        <w:fldChar w:fldCharType="begin"/>
      </w:r>
      <w:r>
        <w:instrText xml:space="preserve"> HYPERLINK "mailto:lelda.kalnina@varam.gov.lv" </w:instrText>
      </w:r>
      <w:r>
        <w:fldChar w:fldCharType="separate"/>
      </w:r>
      <w:r w:rsidRPr="00033A3B" w:rsidR="007611B5">
        <w:rPr>
          <w:rStyle w:val="Hyperlink"/>
          <w:rFonts w:ascii="Times New Roman" w:hAnsi="Times New Roman" w:cs="Times New Roman"/>
          <w:sz w:val="24"/>
          <w:szCs w:val="24"/>
        </w:rPr>
        <w:t>lelda.kalnina@v</w:t>
      </w:r>
      <w:bookmarkStart w:id="3" w:name="_GoBack"/>
      <w:bookmarkEnd w:id="3"/>
      <w:r w:rsidRPr="00033A3B" w:rsidR="007611B5">
        <w:rPr>
          <w:rStyle w:val="Hyperlink"/>
          <w:rFonts w:ascii="Times New Roman" w:hAnsi="Times New Roman" w:cs="Times New Roman"/>
          <w:sz w:val="24"/>
          <w:szCs w:val="24"/>
        </w:rPr>
        <w:t>aram.gov.lv</w:t>
      </w:r>
      <w:r>
        <w:fldChar w:fldCharType="end"/>
      </w:r>
      <w:r w:rsidRPr="00033A3B" w:rsidR="001F633A">
        <w:rPr>
          <w:rStyle w:val="Hyperlink"/>
          <w:rFonts w:ascii="Times New Roman" w:hAnsi="Times New Roman" w:cs="Times New Roman"/>
          <w:sz w:val="24"/>
          <w:szCs w:val="24"/>
        </w:rPr>
        <w:t xml:space="preserve"> </w:t>
      </w:r>
    </w:p>
    <w:sectPr w:rsidSect="00CD1891">
      <w:headerReference w:type="default" r:id="rId5"/>
      <w:footerReference w:type="default" r:id="rId6"/>
      <w:footerReference w:type="first" r:id="rId7"/>
      <w:pgSz w:w="11906" w:h="16838"/>
      <w:pgMar w:top="1418" w:right="1134" w:bottom="1134" w:left="1701" w:header="709"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A85" w14:paraId="2FB569BB" w14:textId="77777777">
    <w:pPr>
      <w:pStyle w:val="Footer"/>
      <w:jc w:val="center"/>
    </w:pPr>
  </w:p>
  <w:p w:rsidR="00B44C2C" w:rsidP="00E36A85" w14:paraId="420134E8" w14:textId="0485CB9E">
    <w:pPr>
      <w:pStyle w:val="Footer"/>
      <w:ind w:firstLine="720"/>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37D" w:rsidRPr="004B4FD7" w:rsidP="00864560" w14:paraId="05014B1A" w14:textId="29A8B82E">
    <w:pPr>
      <w:pStyle w:val="Footer"/>
      <w:jc w:val="both"/>
    </w:pPr>
    <w:r>
      <w:fldChar w:fldCharType="begin"/>
    </w:r>
    <w:r>
      <w:instrText xml:space="preserve"> FILENAME   \* MERGEFORMAT </w:instrText>
    </w:r>
    <w:r>
      <w:fldChar w:fldCharType="separate"/>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3534608"/>
      <w:docPartObj>
        <w:docPartGallery w:val="Page Numbers (Top of Page)"/>
        <w:docPartUnique/>
      </w:docPartObj>
    </w:sdtPr>
    <w:sdtEndPr>
      <w:rPr>
        <w:noProof/>
      </w:rPr>
    </w:sdtEndPr>
    <w:sdtContent>
      <w:p w:rsidR="00E36A85" w14:paraId="37AE4941" w14:textId="4CECD845">
        <w:pPr>
          <w:pStyle w:val="Header"/>
          <w:jc w:val="center"/>
        </w:pPr>
        <w:r>
          <w:fldChar w:fldCharType="begin"/>
        </w:r>
        <w:r>
          <w:instrText xml:space="preserve"> PAGE   \* MERGEFORMAT </w:instrText>
        </w:r>
        <w:r>
          <w:fldChar w:fldCharType="separate"/>
        </w:r>
        <w:r w:rsidR="00F82B58">
          <w:rPr>
            <w:noProof/>
          </w:rPr>
          <w:t>7</w:t>
        </w:r>
        <w:r>
          <w:rPr>
            <w:noProof/>
          </w:rPr>
          <w:fldChar w:fldCharType="end"/>
        </w:r>
      </w:p>
    </w:sdtContent>
  </w:sdt>
  <w:p w:rsidR="00E36A85" w14:paraId="343D130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2558B"/>
    <w:multiLevelType w:val="multilevel"/>
    <w:tmpl w:val="8E26F13C"/>
    <w:styleLink w:val="VP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FC94154"/>
    <w:multiLevelType w:val="hybridMultilevel"/>
    <w:tmpl w:val="FF6A1B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214D77"/>
    <w:multiLevelType w:val="hybridMultilevel"/>
    <w:tmpl w:val="23DAE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6E42B58"/>
    <w:multiLevelType w:val="hybridMultilevel"/>
    <w:tmpl w:val="FDC2C1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F73DA7"/>
    <w:multiLevelType w:val="hybridMultilevel"/>
    <w:tmpl w:val="0FD8418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7A370E"/>
    <w:multiLevelType w:val="hybridMultilevel"/>
    <w:tmpl w:val="C52A6E0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36DA0D1F"/>
    <w:multiLevelType w:val="hybridMultilevel"/>
    <w:tmpl w:val="23DAE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B5660B0"/>
    <w:multiLevelType w:val="multilevel"/>
    <w:tmpl w:val="1534D2F0"/>
    <w:lvl w:ilvl="0">
      <w:start w:val="1"/>
      <w:numFmt w:val="decimal"/>
      <w:pStyle w:val="VPBullet"/>
      <w:lvlText w:val="%1."/>
      <w:lvlJc w:val="left"/>
      <w:pPr>
        <w:ind w:left="720" w:hanging="360"/>
      </w:pPr>
      <w:rPr>
        <w:rFonts w:ascii="Times New Roman" w:hAnsi="Times New Roman" w:eastAsiaTheme="minorHAns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DC411D9"/>
    <w:multiLevelType w:val="hybridMultilevel"/>
    <w:tmpl w:val="AA74A3D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5835BBD"/>
    <w:multiLevelType w:val="hybridMultilevel"/>
    <w:tmpl w:val="8774D5F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D80C8C"/>
    <w:multiLevelType w:val="hybridMultilevel"/>
    <w:tmpl w:val="195E86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13"/>
  </w:num>
  <w:num w:numId="3">
    <w:abstractNumId w:val="10"/>
  </w:num>
  <w:num w:numId="4">
    <w:abstractNumId w:val="8"/>
  </w:num>
  <w:num w:numId="5">
    <w:abstractNumId w:val="11"/>
  </w:num>
  <w:num w:numId="6">
    <w:abstractNumId w:val="0"/>
  </w:num>
  <w:num w:numId="7">
    <w:abstractNumId w:val="14"/>
  </w:num>
  <w:num w:numId="8">
    <w:abstractNumId w:val="7"/>
  </w:num>
  <w:num w:numId="9">
    <w:abstractNumId w:val="4"/>
  </w:num>
  <w:num w:numId="10">
    <w:abstractNumId w:val="2"/>
  </w:num>
  <w:num w:numId="11">
    <w:abstractNumId w:val="5"/>
  </w:num>
  <w:num w:numId="12">
    <w:abstractNumId w:val="9"/>
  </w:num>
  <w:num w:numId="13">
    <w:abstractNumId w:val="3"/>
  </w:num>
  <w:num w:numId="14">
    <w:abstractNumId w:val="12"/>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2D0"/>
    <w:rsid w:val="00012875"/>
    <w:rsid w:val="00012979"/>
    <w:rsid w:val="00012A21"/>
    <w:rsid w:val="000160EA"/>
    <w:rsid w:val="0002280B"/>
    <w:rsid w:val="00022BFB"/>
    <w:rsid w:val="00023082"/>
    <w:rsid w:val="00024E33"/>
    <w:rsid w:val="00030B3D"/>
    <w:rsid w:val="00033A3B"/>
    <w:rsid w:val="0003526D"/>
    <w:rsid w:val="00035AA4"/>
    <w:rsid w:val="00037307"/>
    <w:rsid w:val="0004337F"/>
    <w:rsid w:val="00044678"/>
    <w:rsid w:val="00045D20"/>
    <w:rsid w:val="00045D8F"/>
    <w:rsid w:val="00050AB6"/>
    <w:rsid w:val="00054D66"/>
    <w:rsid w:val="0006094A"/>
    <w:rsid w:val="00060A03"/>
    <w:rsid w:val="00070FC2"/>
    <w:rsid w:val="000716C7"/>
    <w:rsid w:val="00072DBF"/>
    <w:rsid w:val="000730E5"/>
    <w:rsid w:val="00075382"/>
    <w:rsid w:val="00080F6C"/>
    <w:rsid w:val="00082C0D"/>
    <w:rsid w:val="000837D7"/>
    <w:rsid w:val="00083DB0"/>
    <w:rsid w:val="00085831"/>
    <w:rsid w:val="000877AA"/>
    <w:rsid w:val="0008780E"/>
    <w:rsid w:val="0009115B"/>
    <w:rsid w:val="000934FD"/>
    <w:rsid w:val="0009393F"/>
    <w:rsid w:val="00094359"/>
    <w:rsid w:val="00095328"/>
    <w:rsid w:val="00095CD9"/>
    <w:rsid w:val="00097681"/>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44D"/>
    <w:rsid w:val="000F375B"/>
    <w:rsid w:val="000F657F"/>
    <w:rsid w:val="000F6B87"/>
    <w:rsid w:val="000F7B80"/>
    <w:rsid w:val="001008D3"/>
    <w:rsid w:val="00104B6F"/>
    <w:rsid w:val="001055BB"/>
    <w:rsid w:val="00105A8A"/>
    <w:rsid w:val="00106FFF"/>
    <w:rsid w:val="00107C17"/>
    <w:rsid w:val="001134A9"/>
    <w:rsid w:val="0011519A"/>
    <w:rsid w:val="00116DD0"/>
    <w:rsid w:val="001201A2"/>
    <w:rsid w:val="00120F02"/>
    <w:rsid w:val="00123E23"/>
    <w:rsid w:val="00126967"/>
    <w:rsid w:val="00127F10"/>
    <w:rsid w:val="001342C4"/>
    <w:rsid w:val="00134D02"/>
    <w:rsid w:val="00144AD0"/>
    <w:rsid w:val="00144CFA"/>
    <w:rsid w:val="00150CC0"/>
    <w:rsid w:val="0015181B"/>
    <w:rsid w:val="001541D0"/>
    <w:rsid w:val="00160646"/>
    <w:rsid w:val="00161FF0"/>
    <w:rsid w:val="00162D69"/>
    <w:rsid w:val="00174500"/>
    <w:rsid w:val="00176228"/>
    <w:rsid w:val="00180A79"/>
    <w:rsid w:val="00181405"/>
    <w:rsid w:val="00181FF6"/>
    <w:rsid w:val="001838A2"/>
    <w:rsid w:val="001846A2"/>
    <w:rsid w:val="001910C4"/>
    <w:rsid w:val="00193142"/>
    <w:rsid w:val="001A14D0"/>
    <w:rsid w:val="001A15E4"/>
    <w:rsid w:val="001A33F6"/>
    <w:rsid w:val="001B07B8"/>
    <w:rsid w:val="001B0ABE"/>
    <w:rsid w:val="001B54D7"/>
    <w:rsid w:val="001C325C"/>
    <w:rsid w:val="001D3205"/>
    <w:rsid w:val="001D6FC9"/>
    <w:rsid w:val="001D79BA"/>
    <w:rsid w:val="001E1923"/>
    <w:rsid w:val="001E30F1"/>
    <w:rsid w:val="001E5E78"/>
    <w:rsid w:val="001F1A97"/>
    <w:rsid w:val="001F56B0"/>
    <w:rsid w:val="001F633A"/>
    <w:rsid w:val="001F64FC"/>
    <w:rsid w:val="001F651C"/>
    <w:rsid w:val="001F68B9"/>
    <w:rsid w:val="001F72F4"/>
    <w:rsid w:val="00200CA5"/>
    <w:rsid w:val="00204B0B"/>
    <w:rsid w:val="002059E5"/>
    <w:rsid w:val="00205EA6"/>
    <w:rsid w:val="00206E50"/>
    <w:rsid w:val="00210A16"/>
    <w:rsid w:val="00223B41"/>
    <w:rsid w:val="002248FE"/>
    <w:rsid w:val="00225299"/>
    <w:rsid w:val="002257E7"/>
    <w:rsid w:val="00230C2E"/>
    <w:rsid w:val="00233F95"/>
    <w:rsid w:val="002356EB"/>
    <w:rsid w:val="0024037D"/>
    <w:rsid w:val="00241635"/>
    <w:rsid w:val="0024211C"/>
    <w:rsid w:val="00242933"/>
    <w:rsid w:val="00244C26"/>
    <w:rsid w:val="002452B8"/>
    <w:rsid w:val="00247F2F"/>
    <w:rsid w:val="00251F63"/>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B5750"/>
    <w:rsid w:val="002C2A33"/>
    <w:rsid w:val="002C393D"/>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20C86"/>
    <w:rsid w:val="0032399B"/>
    <w:rsid w:val="00324BF2"/>
    <w:rsid w:val="003305E5"/>
    <w:rsid w:val="00335CF7"/>
    <w:rsid w:val="00336DED"/>
    <w:rsid w:val="00345405"/>
    <w:rsid w:val="0034544F"/>
    <w:rsid w:val="00345695"/>
    <w:rsid w:val="00350AC1"/>
    <w:rsid w:val="00351F2B"/>
    <w:rsid w:val="00356650"/>
    <w:rsid w:val="00357294"/>
    <w:rsid w:val="003618D4"/>
    <w:rsid w:val="003621B8"/>
    <w:rsid w:val="00367195"/>
    <w:rsid w:val="0037098D"/>
    <w:rsid w:val="0037292E"/>
    <w:rsid w:val="003729D1"/>
    <w:rsid w:val="00376128"/>
    <w:rsid w:val="00376E24"/>
    <w:rsid w:val="0037777F"/>
    <w:rsid w:val="003808B2"/>
    <w:rsid w:val="003813A7"/>
    <w:rsid w:val="003819BA"/>
    <w:rsid w:val="00381B4C"/>
    <w:rsid w:val="00381E3F"/>
    <w:rsid w:val="003825E8"/>
    <w:rsid w:val="003862F8"/>
    <w:rsid w:val="00386836"/>
    <w:rsid w:val="0038731B"/>
    <w:rsid w:val="00390FC0"/>
    <w:rsid w:val="00392377"/>
    <w:rsid w:val="00394A0A"/>
    <w:rsid w:val="003972BA"/>
    <w:rsid w:val="00397FD9"/>
    <w:rsid w:val="003A05B7"/>
    <w:rsid w:val="003A1574"/>
    <w:rsid w:val="003A1EAB"/>
    <w:rsid w:val="003A2AA0"/>
    <w:rsid w:val="003A3977"/>
    <w:rsid w:val="003A54E1"/>
    <w:rsid w:val="003A68CE"/>
    <w:rsid w:val="003B0778"/>
    <w:rsid w:val="003B07CA"/>
    <w:rsid w:val="003B2BDD"/>
    <w:rsid w:val="003B4660"/>
    <w:rsid w:val="003C033A"/>
    <w:rsid w:val="003C2921"/>
    <w:rsid w:val="003C2D51"/>
    <w:rsid w:val="003C7EBE"/>
    <w:rsid w:val="003D08D9"/>
    <w:rsid w:val="003D2194"/>
    <w:rsid w:val="003D45B6"/>
    <w:rsid w:val="003E257D"/>
    <w:rsid w:val="003E29D9"/>
    <w:rsid w:val="003E4D32"/>
    <w:rsid w:val="003E73C1"/>
    <w:rsid w:val="003F0AE8"/>
    <w:rsid w:val="003F0F05"/>
    <w:rsid w:val="003F1449"/>
    <w:rsid w:val="003F4462"/>
    <w:rsid w:val="003F5023"/>
    <w:rsid w:val="003F5830"/>
    <w:rsid w:val="003F5D75"/>
    <w:rsid w:val="004025B9"/>
    <w:rsid w:val="0040297B"/>
    <w:rsid w:val="004035FD"/>
    <w:rsid w:val="00405D9F"/>
    <w:rsid w:val="00410349"/>
    <w:rsid w:val="0041043F"/>
    <w:rsid w:val="004109A9"/>
    <w:rsid w:val="0041452A"/>
    <w:rsid w:val="00414FA3"/>
    <w:rsid w:val="0042455A"/>
    <w:rsid w:val="00425165"/>
    <w:rsid w:val="00427855"/>
    <w:rsid w:val="004327CC"/>
    <w:rsid w:val="00433A9E"/>
    <w:rsid w:val="004420DA"/>
    <w:rsid w:val="0044271F"/>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4238"/>
    <w:rsid w:val="0049694A"/>
    <w:rsid w:val="004971A7"/>
    <w:rsid w:val="004A2894"/>
    <w:rsid w:val="004A2E28"/>
    <w:rsid w:val="004A6034"/>
    <w:rsid w:val="004A7BD7"/>
    <w:rsid w:val="004B34FC"/>
    <w:rsid w:val="004B398A"/>
    <w:rsid w:val="004B4FD7"/>
    <w:rsid w:val="004B6857"/>
    <w:rsid w:val="004B6C1D"/>
    <w:rsid w:val="004B72C7"/>
    <w:rsid w:val="004C1528"/>
    <w:rsid w:val="004C19F3"/>
    <w:rsid w:val="004C5462"/>
    <w:rsid w:val="004D49FA"/>
    <w:rsid w:val="004E1EDC"/>
    <w:rsid w:val="004E56ED"/>
    <w:rsid w:val="004E78B0"/>
    <w:rsid w:val="004E7ADC"/>
    <w:rsid w:val="004F2A2F"/>
    <w:rsid w:val="00502083"/>
    <w:rsid w:val="00503EC7"/>
    <w:rsid w:val="0050663D"/>
    <w:rsid w:val="00510918"/>
    <w:rsid w:val="00511A27"/>
    <w:rsid w:val="00516B21"/>
    <w:rsid w:val="005204C5"/>
    <w:rsid w:val="00521D34"/>
    <w:rsid w:val="005240C7"/>
    <w:rsid w:val="00531FA8"/>
    <w:rsid w:val="00532F78"/>
    <w:rsid w:val="005331FE"/>
    <w:rsid w:val="00533287"/>
    <w:rsid w:val="00535F3B"/>
    <w:rsid w:val="00536C7F"/>
    <w:rsid w:val="00537852"/>
    <w:rsid w:val="00540942"/>
    <w:rsid w:val="00545CDD"/>
    <w:rsid w:val="005467B6"/>
    <w:rsid w:val="00550F55"/>
    <w:rsid w:val="0055797F"/>
    <w:rsid w:val="00561319"/>
    <w:rsid w:val="00562E57"/>
    <w:rsid w:val="00565560"/>
    <w:rsid w:val="00565584"/>
    <w:rsid w:val="00571E72"/>
    <w:rsid w:val="00575D35"/>
    <w:rsid w:val="005773EA"/>
    <w:rsid w:val="005776DE"/>
    <w:rsid w:val="00581FCB"/>
    <w:rsid w:val="00587060"/>
    <w:rsid w:val="00591043"/>
    <w:rsid w:val="00592F62"/>
    <w:rsid w:val="00593866"/>
    <w:rsid w:val="00597DF5"/>
    <w:rsid w:val="005A08A5"/>
    <w:rsid w:val="005A23F4"/>
    <w:rsid w:val="005A4D85"/>
    <w:rsid w:val="005B124E"/>
    <w:rsid w:val="005B21ED"/>
    <w:rsid w:val="005B28D4"/>
    <w:rsid w:val="005B29FF"/>
    <w:rsid w:val="005B33D1"/>
    <w:rsid w:val="005B6906"/>
    <w:rsid w:val="005C3410"/>
    <w:rsid w:val="005C74EC"/>
    <w:rsid w:val="005D04C5"/>
    <w:rsid w:val="005D23D2"/>
    <w:rsid w:val="005D270E"/>
    <w:rsid w:val="005E01B5"/>
    <w:rsid w:val="005E042E"/>
    <w:rsid w:val="005E1232"/>
    <w:rsid w:val="005E237D"/>
    <w:rsid w:val="005E449D"/>
    <w:rsid w:val="005E5475"/>
    <w:rsid w:val="005E5834"/>
    <w:rsid w:val="005F135E"/>
    <w:rsid w:val="005F259D"/>
    <w:rsid w:val="00603098"/>
    <w:rsid w:val="00606402"/>
    <w:rsid w:val="0061496D"/>
    <w:rsid w:val="00622860"/>
    <w:rsid w:val="006240CE"/>
    <w:rsid w:val="00627B13"/>
    <w:rsid w:val="00631729"/>
    <w:rsid w:val="00634695"/>
    <w:rsid w:val="00635A8C"/>
    <w:rsid w:val="0064028E"/>
    <w:rsid w:val="006429ED"/>
    <w:rsid w:val="00645C1C"/>
    <w:rsid w:val="006476E9"/>
    <w:rsid w:val="006537A4"/>
    <w:rsid w:val="00654B24"/>
    <w:rsid w:val="00657D44"/>
    <w:rsid w:val="00664220"/>
    <w:rsid w:val="00664DE7"/>
    <w:rsid w:val="00665296"/>
    <w:rsid w:val="006656F2"/>
    <w:rsid w:val="00670DB3"/>
    <w:rsid w:val="00674431"/>
    <w:rsid w:val="006779A9"/>
    <w:rsid w:val="006809C0"/>
    <w:rsid w:val="00684DA1"/>
    <w:rsid w:val="00685C8A"/>
    <w:rsid w:val="00687130"/>
    <w:rsid w:val="00690674"/>
    <w:rsid w:val="0069162E"/>
    <w:rsid w:val="006919CE"/>
    <w:rsid w:val="006929E4"/>
    <w:rsid w:val="00694866"/>
    <w:rsid w:val="00694BEA"/>
    <w:rsid w:val="006A002C"/>
    <w:rsid w:val="006A0089"/>
    <w:rsid w:val="006A3CD0"/>
    <w:rsid w:val="006A58F6"/>
    <w:rsid w:val="006A5E15"/>
    <w:rsid w:val="006A614D"/>
    <w:rsid w:val="006B0F87"/>
    <w:rsid w:val="006B1C9D"/>
    <w:rsid w:val="006B2517"/>
    <w:rsid w:val="006B28A7"/>
    <w:rsid w:val="006B3785"/>
    <w:rsid w:val="006B6E77"/>
    <w:rsid w:val="006B7A0D"/>
    <w:rsid w:val="006C1776"/>
    <w:rsid w:val="006C2553"/>
    <w:rsid w:val="006C41FB"/>
    <w:rsid w:val="006C4F9F"/>
    <w:rsid w:val="006C54D3"/>
    <w:rsid w:val="006D142A"/>
    <w:rsid w:val="006D3A51"/>
    <w:rsid w:val="006D655B"/>
    <w:rsid w:val="006D7B1F"/>
    <w:rsid w:val="006D7FD2"/>
    <w:rsid w:val="006E5DE1"/>
    <w:rsid w:val="006E6344"/>
    <w:rsid w:val="006F2DDD"/>
    <w:rsid w:val="006F39B7"/>
    <w:rsid w:val="006F5E34"/>
    <w:rsid w:val="006F61C6"/>
    <w:rsid w:val="006F741A"/>
    <w:rsid w:val="006F78E7"/>
    <w:rsid w:val="0071501F"/>
    <w:rsid w:val="00715DE4"/>
    <w:rsid w:val="0071603B"/>
    <w:rsid w:val="007178B1"/>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1C9"/>
    <w:rsid w:val="00753334"/>
    <w:rsid w:val="0075396B"/>
    <w:rsid w:val="007544F0"/>
    <w:rsid w:val="00754A4E"/>
    <w:rsid w:val="00754A6F"/>
    <w:rsid w:val="00754ABB"/>
    <w:rsid w:val="007611B5"/>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1F3A"/>
    <w:rsid w:val="007A243C"/>
    <w:rsid w:val="007A5B18"/>
    <w:rsid w:val="007A5B54"/>
    <w:rsid w:val="007A5B69"/>
    <w:rsid w:val="007A61C5"/>
    <w:rsid w:val="007A6440"/>
    <w:rsid w:val="007B086D"/>
    <w:rsid w:val="007B0DF2"/>
    <w:rsid w:val="007B6C01"/>
    <w:rsid w:val="007C035E"/>
    <w:rsid w:val="007C3FE3"/>
    <w:rsid w:val="007D08F6"/>
    <w:rsid w:val="007D38FD"/>
    <w:rsid w:val="007D54C2"/>
    <w:rsid w:val="007D5E7B"/>
    <w:rsid w:val="007D614E"/>
    <w:rsid w:val="007D6E9C"/>
    <w:rsid w:val="007D75BF"/>
    <w:rsid w:val="007E1FB4"/>
    <w:rsid w:val="007E3621"/>
    <w:rsid w:val="007E3B95"/>
    <w:rsid w:val="007E60A2"/>
    <w:rsid w:val="007F0ACF"/>
    <w:rsid w:val="007F26C8"/>
    <w:rsid w:val="00800298"/>
    <w:rsid w:val="00800DA2"/>
    <w:rsid w:val="00803F2A"/>
    <w:rsid w:val="008079A7"/>
    <w:rsid w:val="0081005C"/>
    <w:rsid w:val="00816582"/>
    <w:rsid w:val="008222DF"/>
    <w:rsid w:val="0082293A"/>
    <w:rsid w:val="008237F6"/>
    <w:rsid w:val="00830B33"/>
    <w:rsid w:val="00832426"/>
    <w:rsid w:val="0083377A"/>
    <w:rsid w:val="008341E1"/>
    <w:rsid w:val="00834AEC"/>
    <w:rsid w:val="00835149"/>
    <w:rsid w:val="00836E73"/>
    <w:rsid w:val="008375FF"/>
    <w:rsid w:val="0085278C"/>
    <w:rsid w:val="00852FB7"/>
    <w:rsid w:val="00854935"/>
    <w:rsid w:val="0085547C"/>
    <w:rsid w:val="00855BEE"/>
    <w:rsid w:val="008601FF"/>
    <w:rsid w:val="00861E73"/>
    <w:rsid w:val="00864560"/>
    <w:rsid w:val="00871518"/>
    <w:rsid w:val="0087464D"/>
    <w:rsid w:val="008766A6"/>
    <w:rsid w:val="00880D80"/>
    <w:rsid w:val="00883FD9"/>
    <w:rsid w:val="00884E02"/>
    <w:rsid w:val="00885432"/>
    <w:rsid w:val="008870A8"/>
    <w:rsid w:val="00892BBB"/>
    <w:rsid w:val="00894B6F"/>
    <w:rsid w:val="00894D70"/>
    <w:rsid w:val="0089742D"/>
    <w:rsid w:val="00897FD7"/>
    <w:rsid w:val="008A5422"/>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03540"/>
    <w:rsid w:val="00904A6A"/>
    <w:rsid w:val="00911AE6"/>
    <w:rsid w:val="009153B1"/>
    <w:rsid w:val="009164FD"/>
    <w:rsid w:val="009171BA"/>
    <w:rsid w:val="00920404"/>
    <w:rsid w:val="00920414"/>
    <w:rsid w:val="00920A95"/>
    <w:rsid w:val="00922028"/>
    <w:rsid w:val="009231BD"/>
    <w:rsid w:val="009256F0"/>
    <w:rsid w:val="0092745B"/>
    <w:rsid w:val="00930909"/>
    <w:rsid w:val="00935D3B"/>
    <w:rsid w:val="009360F4"/>
    <w:rsid w:val="00943C9B"/>
    <w:rsid w:val="00943D6C"/>
    <w:rsid w:val="00944C9D"/>
    <w:rsid w:val="00945912"/>
    <w:rsid w:val="00947D71"/>
    <w:rsid w:val="009503CB"/>
    <w:rsid w:val="00950AEC"/>
    <w:rsid w:val="00953B2E"/>
    <w:rsid w:val="00956207"/>
    <w:rsid w:val="009616BC"/>
    <w:rsid w:val="00962C5A"/>
    <w:rsid w:val="0096568C"/>
    <w:rsid w:val="00970217"/>
    <w:rsid w:val="0097098E"/>
    <w:rsid w:val="0097177B"/>
    <w:rsid w:val="00973FA8"/>
    <w:rsid w:val="00974952"/>
    <w:rsid w:val="00974D36"/>
    <w:rsid w:val="009766BB"/>
    <w:rsid w:val="0098009D"/>
    <w:rsid w:val="00984B14"/>
    <w:rsid w:val="00991397"/>
    <w:rsid w:val="009914EE"/>
    <w:rsid w:val="0099220E"/>
    <w:rsid w:val="00992568"/>
    <w:rsid w:val="009949D8"/>
    <w:rsid w:val="00994EAD"/>
    <w:rsid w:val="009A152F"/>
    <w:rsid w:val="009A2B0B"/>
    <w:rsid w:val="009A35FE"/>
    <w:rsid w:val="009A457C"/>
    <w:rsid w:val="009A646D"/>
    <w:rsid w:val="009B2100"/>
    <w:rsid w:val="009B3DB9"/>
    <w:rsid w:val="009B4345"/>
    <w:rsid w:val="009B5A61"/>
    <w:rsid w:val="009B5F99"/>
    <w:rsid w:val="009B6EE2"/>
    <w:rsid w:val="009C361B"/>
    <w:rsid w:val="009C5BD6"/>
    <w:rsid w:val="009C6ACB"/>
    <w:rsid w:val="009C7BD7"/>
    <w:rsid w:val="009D0A0F"/>
    <w:rsid w:val="009D0BDE"/>
    <w:rsid w:val="009D2B87"/>
    <w:rsid w:val="009D383B"/>
    <w:rsid w:val="009D38D5"/>
    <w:rsid w:val="009D5C55"/>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5D4D"/>
    <w:rsid w:val="00A2698D"/>
    <w:rsid w:val="00A27092"/>
    <w:rsid w:val="00A30D66"/>
    <w:rsid w:val="00A46107"/>
    <w:rsid w:val="00A46B31"/>
    <w:rsid w:val="00A46FCD"/>
    <w:rsid w:val="00A51042"/>
    <w:rsid w:val="00A528F7"/>
    <w:rsid w:val="00A62B6D"/>
    <w:rsid w:val="00A62E9A"/>
    <w:rsid w:val="00A7130E"/>
    <w:rsid w:val="00A73DCE"/>
    <w:rsid w:val="00A741D2"/>
    <w:rsid w:val="00A744B4"/>
    <w:rsid w:val="00A767D3"/>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C4E87"/>
    <w:rsid w:val="00AD1682"/>
    <w:rsid w:val="00AD17FF"/>
    <w:rsid w:val="00AD2A37"/>
    <w:rsid w:val="00AD6248"/>
    <w:rsid w:val="00AD6882"/>
    <w:rsid w:val="00AE2F8D"/>
    <w:rsid w:val="00AE4282"/>
    <w:rsid w:val="00AE555B"/>
    <w:rsid w:val="00AE6366"/>
    <w:rsid w:val="00AF0149"/>
    <w:rsid w:val="00AF14E3"/>
    <w:rsid w:val="00AF38E6"/>
    <w:rsid w:val="00B00662"/>
    <w:rsid w:val="00B0112C"/>
    <w:rsid w:val="00B02864"/>
    <w:rsid w:val="00B0493E"/>
    <w:rsid w:val="00B04B8B"/>
    <w:rsid w:val="00B06233"/>
    <w:rsid w:val="00B108B7"/>
    <w:rsid w:val="00B109D5"/>
    <w:rsid w:val="00B11D3C"/>
    <w:rsid w:val="00B15576"/>
    <w:rsid w:val="00B23332"/>
    <w:rsid w:val="00B238F0"/>
    <w:rsid w:val="00B31854"/>
    <w:rsid w:val="00B32B7D"/>
    <w:rsid w:val="00B33F34"/>
    <w:rsid w:val="00B34A22"/>
    <w:rsid w:val="00B35DC2"/>
    <w:rsid w:val="00B35E93"/>
    <w:rsid w:val="00B379F2"/>
    <w:rsid w:val="00B42667"/>
    <w:rsid w:val="00B44BE9"/>
    <w:rsid w:val="00B44C2C"/>
    <w:rsid w:val="00B46E4E"/>
    <w:rsid w:val="00B4740A"/>
    <w:rsid w:val="00B47C51"/>
    <w:rsid w:val="00B515E2"/>
    <w:rsid w:val="00B52D6A"/>
    <w:rsid w:val="00B5512A"/>
    <w:rsid w:val="00B60037"/>
    <w:rsid w:val="00B61FD2"/>
    <w:rsid w:val="00B6210D"/>
    <w:rsid w:val="00B67E20"/>
    <w:rsid w:val="00B716EE"/>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597E"/>
    <w:rsid w:val="00B96275"/>
    <w:rsid w:val="00B96827"/>
    <w:rsid w:val="00B97B6D"/>
    <w:rsid w:val="00BA1047"/>
    <w:rsid w:val="00BA2041"/>
    <w:rsid w:val="00BA2E57"/>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2CCF"/>
    <w:rsid w:val="00BD2EEE"/>
    <w:rsid w:val="00BD4569"/>
    <w:rsid w:val="00BD7E1E"/>
    <w:rsid w:val="00BE306A"/>
    <w:rsid w:val="00BE4F7F"/>
    <w:rsid w:val="00BE5D30"/>
    <w:rsid w:val="00BE6D99"/>
    <w:rsid w:val="00BE7F2C"/>
    <w:rsid w:val="00BF28EB"/>
    <w:rsid w:val="00BF7A59"/>
    <w:rsid w:val="00C029BD"/>
    <w:rsid w:val="00C04020"/>
    <w:rsid w:val="00C048E6"/>
    <w:rsid w:val="00C073A9"/>
    <w:rsid w:val="00C1223E"/>
    <w:rsid w:val="00C13868"/>
    <w:rsid w:val="00C157AD"/>
    <w:rsid w:val="00C204AF"/>
    <w:rsid w:val="00C22AA7"/>
    <w:rsid w:val="00C23BB9"/>
    <w:rsid w:val="00C269E5"/>
    <w:rsid w:val="00C3042A"/>
    <w:rsid w:val="00C30D36"/>
    <w:rsid w:val="00C32D32"/>
    <w:rsid w:val="00C3439F"/>
    <w:rsid w:val="00C419CD"/>
    <w:rsid w:val="00C44024"/>
    <w:rsid w:val="00C44249"/>
    <w:rsid w:val="00C444B7"/>
    <w:rsid w:val="00C446D2"/>
    <w:rsid w:val="00C44DFE"/>
    <w:rsid w:val="00C46E34"/>
    <w:rsid w:val="00C5023A"/>
    <w:rsid w:val="00C50CBD"/>
    <w:rsid w:val="00C50ED5"/>
    <w:rsid w:val="00C52760"/>
    <w:rsid w:val="00C5532C"/>
    <w:rsid w:val="00C601A5"/>
    <w:rsid w:val="00C63A2D"/>
    <w:rsid w:val="00C6487F"/>
    <w:rsid w:val="00C717D6"/>
    <w:rsid w:val="00C71D31"/>
    <w:rsid w:val="00C71FDA"/>
    <w:rsid w:val="00C767AC"/>
    <w:rsid w:val="00C7761C"/>
    <w:rsid w:val="00C7790A"/>
    <w:rsid w:val="00C81086"/>
    <w:rsid w:val="00C85AB0"/>
    <w:rsid w:val="00C86B07"/>
    <w:rsid w:val="00C87404"/>
    <w:rsid w:val="00C9029C"/>
    <w:rsid w:val="00C912D3"/>
    <w:rsid w:val="00C91582"/>
    <w:rsid w:val="00C91D6F"/>
    <w:rsid w:val="00C9210C"/>
    <w:rsid w:val="00C928A7"/>
    <w:rsid w:val="00C931BC"/>
    <w:rsid w:val="00C946E1"/>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1891"/>
    <w:rsid w:val="00CD2D22"/>
    <w:rsid w:val="00CD4B7E"/>
    <w:rsid w:val="00CE2573"/>
    <w:rsid w:val="00CF4B12"/>
    <w:rsid w:val="00CF5FC4"/>
    <w:rsid w:val="00CF6005"/>
    <w:rsid w:val="00CF61BD"/>
    <w:rsid w:val="00CF6A09"/>
    <w:rsid w:val="00D000CE"/>
    <w:rsid w:val="00D05AE0"/>
    <w:rsid w:val="00D108C6"/>
    <w:rsid w:val="00D11BBB"/>
    <w:rsid w:val="00D11FCE"/>
    <w:rsid w:val="00D1309C"/>
    <w:rsid w:val="00D144DA"/>
    <w:rsid w:val="00D2112C"/>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41BF"/>
    <w:rsid w:val="00D55AD1"/>
    <w:rsid w:val="00D56CD6"/>
    <w:rsid w:val="00D619D1"/>
    <w:rsid w:val="00D6209E"/>
    <w:rsid w:val="00D660E3"/>
    <w:rsid w:val="00D66B5D"/>
    <w:rsid w:val="00D66D58"/>
    <w:rsid w:val="00D67165"/>
    <w:rsid w:val="00D74EED"/>
    <w:rsid w:val="00D81DE7"/>
    <w:rsid w:val="00D8217A"/>
    <w:rsid w:val="00D845AA"/>
    <w:rsid w:val="00D85B65"/>
    <w:rsid w:val="00D85EBE"/>
    <w:rsid w:val="00D85F70"/>
    <w:rsid w:val="00D86409"/>
    <w:rsid w:val="00D90C77"/>
    <w:rsid w:val="00D9673B"/>
    <w:rsid w:val="00D96768"/>
    <w:rsid w:val="00DA2103"/>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E1126"/>
    <w:rsid w:val="00DE248E"/>
    <w:rsid w:val="00DE25D1"/>
    <w:rsid w:val="00DE5E6C"/>
    <w:rsid w:val="00DF0545"/>
    <w:rsid w:val="00DF4B82"/>
    <w:rsid w:val="00DF7DF0"/>
    <w:rsid w:val="00E01F48"/>
    <w:rsid w:val="00E033E3"/>
    <w:rsid w:val="00E03A1D"/>
    <w:rsid w:val="00E05C99"/>
    <w:rsid w:val="00E10DA4"/>
    <w:rsid w:val="00E110E8"/>
    <w:rsid w:val="00E157DB"/>
    <w:rsid w:val="00E15D44"/>
    <w:rsid w:val="00E17242"/>
    <w:rsid w:val="00E17500"/>
    <w:rsid w:val="00E26DBB"/>
    <w:rsid w:val="00E26E35"/>
    <w:rsid w:val="00E33104"/>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027A"/>
    <w:rsid w:val="00E73DCE"/>
    <w:rsid w:val="00E744E0"/>
    <w:rsid w:val="00E75DFD"/>
    <w:rsid w:val="00E80824"/>
    <w:rsid w:val="00E83759"/>
    <w:rsid w:val="00E84437"/>
    <w:rsid w:val="00E85297"/>
    <w:rsid w:val="00E871E3"/>
    <w:rsid w:val="00E90E8D"/>
    <w:rsid w:val="00EA3AC2"/>
    <w:rsid w:val="00EA67DB"/>
    <w:rsid w:val="00EB0967"/>
    <w:rsid w:val="00EB257E"/>
    <w:rsid w:val="00EB2A93"/>
    <w:rsid w:val="00EB40E8"/>
    <w:rsid w:val="00EB5E5C"/>
    <w:rsid w:val="00EB69C4"/>
    <w:rsid w:val="00EC3634"/>
    <w:rsid w:val="00ED1F9C"/>
    <w:rsid w:val="00ED2374"/>
    <w:rsid w:val="00ED2EB8"/>
    <w:rsid w:val="00ED31C8"/>
    <w:rsid w:val="00ED4D0D"/>
    <w:rsid w:val="00ED5F57"/>
    <w:rsid w:val="00EE0928"/>
    <w:rsid w:val="00EE23D6"/>
    <w:rsid w:val="00EE3102"/>
    <w:rsid w:val="00EE3848"/>
    <w:rsid w:val="00EF44AF"/>
    <w:rsid w:val="00EF6A1D"/>
    <w:rsid w:val="00EF7DA9"/>
    <w:rsid w:val="00F004D7"/>
    <w:rsid w:val="00F04752"/>
    <w:rsid w:val="00F04BC4"/>
    <w:rsid w:val="00F078C1"/>
    <w:rsid w:val="00F07DEF"/>
    <w:rsid w:val="00F104FB"/>
    <w:rsid w:val="00F11C5E"/>
    <w:rsid w:val="00F1426C"/>
    <w:rsid w:val="00F27CD1"/>
    <w:rsid w:val="00F32729"/>
    <w:rsid w:val="00F32C22"/>
    <w:rsid w:val="00F33C11"/>
    <w:rsid w:val="00F361E0"/>
    <w:rsid w:val="00F36F05"/>
    <w:rsid w:val="00F471EE"/>
    <w:rsid w:val="00F6250E"/>
    <w:rsid w:val="00F625E8"/>
    <w:rsid w:val="00F63D80"/>
    <w:rsid w:val="00F65EE3"/>
    <w:rsid w:val="00F66AF3"/>
    <w:rsid w:val="00F67415"/>
    <w:rsid w:val="00F67489"/>
    <w:rsid w:val="00F73E1D"/>
    <w:rsid w:val="00F76324"/>
    <w:rsid w:val="00F77583"/>
    <w:rsid w:val="00F80E2B"/>
    <w:rsid w:val="00F82B58"/>
    <w:rsid w:val="00F90B3E"/>
    <w:rsid w:val="00F932A8"/>
    <w:rsid w:val="00FA0E1E"/>
    <w:rsid w:val="00FA20F0"/>
    <w:rsid w:val="00FA5418"/>
    <w:rsid w:val="00FA58CB"/>
    <w:rsid w:val="00FA6B1C"/>
    <w:rsid w:val="00FA6FFE"/>
    <w:rsid w:val="00FB0E8A"/>
    <w:rsid w:val="00FB5B7E"/>
    <w:rsid w:val="00FC06DB"/>
    <w:rsid w:val="00FC73A9"/>
    <w:rsid w:val="00FD07E7"/>
    <w:rsid w:val="00FD0D82"/>
    <w:rsid w:val="00FD3A5E"/>
    <w:rsid w:val="00FD3EE3"/>
    <w:rsid w:val="00FD60B7"/>
    <w:rsid w:val="00FD78BA"/>
    <w:rsid w:val="00FE477F"/>
    <w:rsid w:val="00FE4D89"/>
    <w:rsid w:val="00FF0C61"/>
    <w:rsid w:val="00FF12F0"/>
    <w:rsid w:val="00FF37A6"/>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46CB792-43B9-47E2-942A-27F0F532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99"/>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99"/>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VPBodyChar">
    <w:name w:val="VP Body Char"/>
    <w:basedOn w:val="DefaultParagraphFont"/>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4"/>
      </w:numPr>
    </w:pPr>
  </w:style>
  <w:style w:type="paragraph" w:customStyle="1" w:styleId="VPNumbered">
    <w:name w:val="VP Numbered"/>
    <w:basedOn w:val="VPBody"/>
    <w:qFormat/>
    <w:rsid w:val="007544F0"/>
    <w:pPr>
      <w:numPr>
        <w:numId w:val="5"/>
      </w:numPr>
      <w:tabs>
        <w:tab w:val="clear" w:pos="0"/>
        <w:tab w:val="left" w:pos="709"/>
      </w:tabs>
    </w:pPr>
    <w:rPr>
      <w:szCs w:val="24"/>
    </w:rPr>
  </w:style>
  <w:style w:type="numbering" w:customStyle="1" w:styleId="VPlist1">
    <w:name w:val="VP list 1"/>
    <w:uiPriority w:val="99"/>
    <w:rsid w:val="00C946E1"/>
    <w:pPr>
      <w:numPr>
        <w:numId w:val="6"/>
      </w:numPr>
    </w:pPr>
  </w:style>
  <w:style w:type="paragraph" w:customStyle="1" w:styleId="ISHeading1">
    <w:name w:val="IS Heading 1"/>
    <w:basedOn w:val="Heading1"/>
    <w:next w:val="ISBodyText"/>
    <w:uiPriority w:val="99"/>
    <w:qFormat/>
    <w:rsid w:val="00C029BD"/>
    <w:pPr>
      <w:keepLines w:val="0"/>
      <w:pageBreakBefore/>
      <w:numPr>
        <w:numId w:val="7"/>
      </w:numPr>
      <w:tabs>
        <w:tab w:val="num" w:pos="360"/>
        <w:tab w:val="clear" w:pos="851"/>
      </w:tabs>
      <w:spacing w:before="0" w:after="120"/>
      <w:ind w:left="0" w:right="176" w:firstLine="0"/>
    </w:pPr>
    <w:rPr>
      <w:rFonts w:ascii="Segoe UI" w:eastAsia="Times New Roman" w:hAnsi="Segoe UI" w:cs="Arial"/>
      <w:b/>
      <w:bCs/>
      <w:color w:val="auto"/>
      <w:sz w:val="40"/>
      <w:szCs w:val="40"/>
    </w:rPr>
  </w:style>
  <w:style w:type="paragraph" w:customStyle="1" w:styleId="ISHeading2">
    <w:name w:val="IS Heading 2"/>
    <w:basedOn w:val="Heading2"/>
    <w:next w:val="ISBodyText"/>
    <w:uiPriority w:val="99"/>
    <w:qFormat/>
    <w:rsid w:val="00C029BD"/>
    <w:pPr>
      <w:keepLines w:val="0"/>
      <w:numPr>
        <w:ilvl w:val="1"/>
        <w:numId w:val="7"/>
      </w:numPr>
      <w:spacing w:before="480" w:after="160"/>
    </w:pPr>
    <w:rPr>
      <w:rFonts w:ascii="Segoe UI" w:eastAsia="Times New Roman" w:hAnsi="Segoe UI" w:cs="Arial"/>
      <w:b/>
      <w:color w:val="auto"/>
      <w:sz w:val="32"/>
      <w:szCs w:val="32"/>
      <w:lang w:eastAsia="lv-LV"/>
    </w:rPr>
  </w:style>
  <w:style w:type="paragraph" w:customStyle="1" w:styleId="ISHeading3">
    <w:name w:val="IS Heading 3"/>
    <w:basedOn w:val="ISHeading2"/>
    <w:next w:val="ISBodyText"/>
    <w:uiPriority w:val="99"/>
    <w:qFormat/>
    <w:rsid w:val="00C029BD"/>
    <w:pPr>
      <w:numPr>
        <w:ilvl w:val="2"/>
      </w:numPr>
      <w:spacing w:after="120"/>
      <w:outlineLvl w:val="2"/>
    </w:pPr>
    <w:rPr>
      <w:rFonts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65E7D-ED16-4A11-825A-A2D5A9E3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1142</Words>
  <Characters>8009</Characters>
  <Application>Microsoft Office Word</Application>
  <DocSecurity>0</DocSecurity>
  <Lines>500</Lines>
  <Paragraphs>217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21.0.versija - Tiesu medicīnas ekspertīzes un izpētes procesu optimizācija un attīstība)</vt:lpstr>
      <vt:lpstr/>
    </vt:vector>
  </TitlesOfParts>
  <Company>Vides aizsardzības un reģionālās attīstības ministrija</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21.0.versija - Tiesu medicīnas ekspertīzes un izpētes procesu optimizācija un attīstība)</dc:title>
  <dc:subject>Rīkojuma projekts</dc:subject>
  <dc:creator>Lelda Kalniņa</dc:creator>
  <dc:description>67026576, lelda.kalnina@varam.gov.lv</dc:description>
  <cp:lastModifiedBy>Lelda Kalniņa</cp:lastModifiedBy>
  <cp:revision>4</cp:revision>
  <cp:lastPrinted>2016-12-09T10:00:00Z</cp:lastPrinted>
  <dcterms:created xsi:type="dcterms:W3CDTF">2017-08-31T08:28:00Z</dcterms:created>
  <dcterms:modified xsi:type="dcterms:W3CDTF">2017-08-31T09:14:00Z</dcterms:modified>
</cp:coreProperties>
</file>