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5C4218" w:rsidP="005C4218" w14:paraId="6EE2F2D9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</w:pPr>
      <w:r w:rsidRPr="006A3C6F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Ministru kabineta noteikumu projekta </w:t>
      </w:r>
    </w:p>
    <w:p w:rsidR="005C4218" w:rsidRPr="006A3C6F" w:rsidP="00DF3124" w14:paraId="138B5FC1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 w:rsidRPr="006A3C6F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“Grozījumi Ministru kabineta 2013. gada 19. novembra noteikumos Nr.</w:t>
      </w:r>
      <w:r w:rsidR="00684558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 </w:t>
      </w:r>
      <w:r w:rsidRPr="006A3C6F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1347 </w:t>
      </w:r>
      <w:r w:rsidRPr="006612A9" w:rsidR="006612A9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“</w:t>
      </w:r>
      <w:r w:rsidRPr="006A3C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Valsts informācijas sistēmu datu savietošanas kārtība nekustamā īpašuma nodokļa atvieglojumu piešķiršanai</w:t>
      </w:r>
      <w:r w:rsidRPr="006A3C6F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””</w:t>
      </w:r>
      <w:r w:rsidRPr="006A3C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sākotnējās ietekmes novērtējuma ziņojums </w:t>
      </w:r>
      <w:r w:rsidRPr="006A3C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(anotācija)</w:t>
      </w:r>
    </w:p>
    <w:p w:rsidR="00055331" w14:paraId="64E51866" w14:textId="77777777">
      <w:pPr>
        <w:spacing w:before="45"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lv-LV"/>
        </w:rPr>
      </w:pPr>
    </w:p>
    <w:tbl>
      <w:tblPr>
        <w:tblStyle w:val="TableGrid"/>
        <w:tblW w:w="5000" w:type="pct"/>
        <w:tblLook w:val="04A0"/>
      </w:tblPr>
      <w:tblGrid>
        <w:gridCol w:w="580"/>
        <w:gridCol w:w="2933"/>
        <w:gridCol w:w="6108"/>
      </w:tblGrid>
      <w:tr w14:paraId="6486EF4D" w14:textId="77777777">
        <w:tblPrEx>
          <w:tblW w:w="5000" w:type="pct"/>
          <w:tblLook w:val="04A0"/>
        </w:tblPrEx>
        <w:trPr>
          <w:trHeight w:val="405"/>
        </w:trPr>
        <w:tc>
          <w:tcPr>
            <w:tcW w:w="9360" w:type="dxa"/>
            <w:gridSpan w:val="3"/>
            <w:shd w:val="clear" w:color="auto" w:fill="auto"/>
            <w:tcMar>
              <w:left w:w="108" w:type="dxa"/>
            </w:tcMar>
          </w:tcPr>
          <w:p w:rsidR="00055331" w:rsidRPr="005C4218" w:rsidP="005C4218" w14:paraId="43E5DE1E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I. Tiesību akta projekta izstrādes nepieciešamība</w:t>
            </w:r>
          </w:p>
        </w:tc>
      </w:tr>
      <w:tr w14:paraId="1BBB0423" w14:textId="77777777" w:rsidTr="00FA4632">
        <w:tblPrEx>
          <w:tblW w:w="5000" w:type="pct"/>
          <w:tblLook w:val="04A0"/>
        </w:tblPrEx>
        <w:trPr>
          <w:trHeight w:val="870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55331" w:rsidRPr="005C4218" w14:paraId="279744FA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</w:p>
        </w:tc>
        <w:tc>
          <w:tcPr>
            <w:tcW w:w="2853" w:type="dxa"/>
            <w:shd w:val="clear" w:color="auto" w:fill="auto"/>
            <w:tcMar>
              <w:left w:w="108" w:type="dxa"/>
            </w:tcMar>
          </w:tcPr>
          <w:p w:rsidR="00055331" w:rsidRPr="005C4218" w14:paraId="713DE2CA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Pamatojums</w:t>
            </w:r>
          </w:p>
        </w:tc>
        <w:tc>
          <w:tcPr>
            <w:tcW w:w="5942" w:type="dxa"/>
            <w:shd w:val="clear" w:color="auto" w:fill="auto"/>
            <w:tcMar>
              <w:left w:w="108" w:type="dxa"/>
            </w:tcMar>
          </w:tcPr>
          <w:p w:rsidR="00322B9D" w:rsidRPr="00322B9D" w:rsidP="009E4BE4" w14:paraId="6E325385" w14:textId="04FD2C66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0C6B6F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L</w:t>
            </w:r>
            <w:r w:rsidRPr="000C6B6F" w:rsidR="00FD23E9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ikuma “Par nekustamā īpašuma nodokli” 5. panta </w:t>
            </w:r>
            <w:r w:rsidRPr="00457DAD" w:rsidR="009E4BE4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3</w:t>
            </w:r>
            <w:r w:rsidRPr="00457DAD" w:rsidR="009E4BE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lv-LV"/>
              </w:rPr>
              <w:t xml:space="preserve">2 </w:t>
            </w:r>
            <w:r w:rsidRPr="00E67099" w:rsidR="00FD23E9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daļa.</w:t>
            </w:r>
          </w:p>
        </w:tc>
      </w:tr>
      <w:tr w14:paraId="170CDA99" w14:textId="77777777" w:rsidTr="00FA4632">
        <w:tblPrEx>
          <w:tblW w:w="5000" w:type="pct"/>
          <w:tblLook w:val="04A0"/>
        </w:tblPrEx>
        <w:trPr>
          <w:trHeight w:val="9624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55331" w:rsidRPr="005C4218" w14:paraId="709A7F10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</w:t>
            </w:r>
          </w:p>
        </w:tc>
        <w:tc>
          <w:tcPr>
            <w:tcW w:w="2853" w:type="dxa"/>
            <w:shd w:val="clear" w:color="auto" w:fill="auto"/>
            <w:tcMar>
              <w:left w:w="108" w:type="dxa"/>
            </w:tcMar>
          </w:tcPr>
          <w:p w:rsidR="00055331" w:rsidRPr="00FA4632" w:rsidP="00FA4632" w14:paraId="72098C89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942" w:type="dxa"/>
            <w:shd w:val="clear" w:color="auto" w:fill="auto"/>
            <w:tcMar>
              <w:left w:w="108" w:type="dxa"/>
            </w:tcMar>
          </w:tcPr>
          <w:p w:rsidR="005C4218" w:rsidRPr="0039155C" w:rsidP="005C4218" w14:paraId="73614A32" w14:textId="7777777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Līdz šim </w:t>
            </w:r>
            <w:r w:rsidRPr="0039155C" w:rsidR="009E382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nekustamā</w:t>
            </w:r>
            <w:r w:rsidRPr="0039155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īpašuma nodokļa atlaides pienācās vecākiem vai viņu aizstājējiem, kuriem i</w:t>
            </w:r>
            <w:r w:rsidRPr="0039155C" w:rsidR="0078491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</w:t>
            </w:r>
            <w:r w:rsidRPr="0039155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trīs un vairāk bērni vecumā līdz 18 gadiem.</w:t>
            </w:r>
          </w:p>
          <w:p w:rsidR="002406A4" w:rsidRPr="0039155C" w:rsidP="005C4218" w14:paraId="766845B0" w14:textId="7777777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Ministru kabineta noteikumu projek</w:t>
            </w:r>
            <w:r w:rsidRPr="0039155C" w:rsidR="00E5161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</w:t>
            </w:r>
            <w:r w:rsidRPr="0039155C" w:rsidR="007A405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</w:t>
            </w:r>
            <w:r w:rsidRPr="0039155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“Grozījumi Ministru kabineta 2013. gada 19. novembra noteikumos Nr. 1347 “Valsts informācijas sistēmu datu savietošanas kārtība nekustamā īpašuma nodokļa atvieglojumu piešķiršanai”” 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(turpmāk – </w:t>
            </w:r>
            <w:r w:rsidRPr="0039155C" w:rsidR="00441736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MK 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noteikumu projekts) </w:t>
            </w:r>
            <w:r w:rsidRPr="0039155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paredz sekojošo:</w:t>
            </w:r>
          </w:p>
          <w:p w:rsidR="00B13348" w:rsidRPr="000C6B6F" w:rsidP="00B13348" w14:paraId="194675F0" w14:textId="3C0D199E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</w:t>
            </w:r>
            <w:r w:rsidRPr="003F4B0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un 10. punkt</w:t>
            </w:r>
            <w:r w:rsidR="006D70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12.1. </w:t>
            </w:r>
            <w:r w:rsidRPr="000C6B6F" w:rsidR="002406A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Pr="000C6B6F" w:rsidR="006920D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apakš</w:t>
            </w:r>
            <w:r w:rsidRPr="000C6B6F" w:rsidR="002406A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punkts </w:t>
            </w:r>
            <w:r w:rsidRPr="000C6B6F" w:rsidR="00BB21A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noteiks pienākumu Izglītības un zinātnes ministrijai </w:t>
            </w:r>
            <w:r w:rsidRPr="000C6B6F" w:rsidR="00BB21A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(turpmāk – IZM) nodot datus </w:t>
            </w:r>
            <w:r w:rsidRPr="000C6B6F" w:rsidR="004F4BBD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noteiktā apjomā un kārtībā </w:t>
            </w:r>
            <w:r w:rsidRPr="000C6B6F" w:rsidR="00BB21A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Pilsonības un migrācijas lietu pārvaldei (turpmāk – PMLP)</w:t>
            </w:r>
            <w:r w:rsidRPr="000C6B6F" w:rsidR="00B569A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. Šie dati nepieciešami nodokļu atlaižu aprēķinam par bērniem no 18 līdz 24 gadu vecumam, kuri turpina iegūt izglītību.</w:t>
            </w:r>
          </w:p>
          <w:p w:rsidR="00BB21AC" w:rsidRPr="000C6B6F" w:rsidP="003A5EFD" w14:paraId="3F273B8C" w14:textId="46D82C6A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10.</w:t>
            </w:r>
            <w:r w:rsidRPr="003F4B0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punkts, 12.2. un 12.2.3.8. </w:t>
            </w:r>
            <w:r w:rsidRPr="000C6B6F" w:rsidR="00913CA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Pr="000C6B6F" w:rsidR="006920D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apakš</w:t>
            </w:r>
            <w:r w:rsidRPr="000C6B6F" w:rsidR="002406A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punkt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</w:t>
            </w:r>
            <w:r w:rsidRPr="000C6B6F" w:rsidR="004F4BB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0C6B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noteiks pienākumu PMLP un Tiesu administrācijai nodot datus </w:t>
            </w:r>
            <w:r w:rsidRPr="000C6B6F" w:rsidR="00DE19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noteiktā apjomā </w:t>
            </w:r>
            <w:r w:rsidRPr="000C6B6F" w:rsidR="00B569A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un kārtībā </w:t>
            </w:r>
            <w:r w:rsidRPr="000C6B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savietotāja p</w:t>
            </w:r>
            <w:r w:rsidRPr="000C6B6F" w:rsidR="00DE19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ārzinim</w:t>
            </w:r>
            <w:r w:rsidRPr="000C6B6F" w:rsidR="00B569A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  <w:r w:rsidRPr="000C6B6F" w:rsidR="00F0493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Šajā posmā tiek atlasīti dati par saistītām personām.</w:t>
            </w:r>
          </w:p>
          <w:p w:rsidR="004F4BBD" w:rsidRPr="000C6B6F" w:rsidP="003A5EFD" w14:paraId="5F244F03" w14:textId="18E618E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15.1.7. </w:t>
            </w:r>
            <w:r w:rsidRPr="000C6B6F" w:rsidR="002406A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Pr="000C6B6F" w:rsidR="006920D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apakš</w:t>
            </w:r>
            <w:r w:rsidRPr="000C6B6F" w:rsidR="002406A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punkts</w:t>
            </w:r>
            <w:r w:rsidRPr="000C6B6F" w:rsidR="00DE19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0C6B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noteiks savietotāja rīc</w:t>
            </w:r>
            <w:r w:rsidRPr="000C6B6F" w:rsidR="00DE19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ību, apstrādājot datus</w:t>
            </w:r>
            <w:r w:rsidRPr="000C6B6F" w:rsidR="00B569A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 datu saturu un nodošanas kārtību pašvaldībām.</w:t>
            </w:r>
          </w:p>
          <w:p w:rsidR="004F4BBD" w:rsidRPr="000C6B6F" w:rsidP="003A5EFD" w14:paraId="0EF8082D" w14:textId="0962991A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6., 8., 11., 13. </w:t>
            </w:r>
            <w:r w:rsidR="006D70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punktā,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12.1.</w:t>
            </w:r>
            <w:r w:rsidRPr="003F4B0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lv-LV"/>
              </w:rPr>
              <w:t>1</w:t>
            </w:r>
            <w:r w:rsidRPr="006D70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</w:t>
            </w:r>
            <w:r w:rsidR="006D70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13.2., 14.5., 15.1.7.</w:t>
            </w:r>
            <w:r w:rsidRPr="006D705A" w:rsidR="006D70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lv-LV"/>
              </w:rPr>
              <w:t>1</w:t>
            </w:r>
            <w:r w:rsidR="005B21F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</w:t>
            </w:r>
            <w:r w:rsidR="006D70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19.1.2.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lv-LV"/>
              </w:rPr>
              <w:t xml:space="preserve"> </w:t>
            </w:r>
            <w:r w:rsidRPr="000C6B6F" w:rsidR="00B1334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0C6B6F" w:rsidR="002406A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Pr="000C6B6F" w:rsidR="006920D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apakš</w:t>
            </w:r>
            <w:r w:rsidRPr="000C6B6F" w:rsidR="002406A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punkt</w:t>
            </w:r>
            <w:r w:rsidR="006D70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os</w:t>
            </w:r>
            <w:r w:rsidRPr="000C6B6F" w:rsidR="00B569A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6D70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tiek </w:t>
            </w:r>
            <w:r w:rsidRPr="000C6B6F" w:rsidR="00B569A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precizē</w:t>
            </w:r>
            <w:r w:rsidR="006D70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ta</w:t>
            </w:r>
            <w:r w:rsidRPr="000C6B6F" w:rsidR="002406A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Ministru kabineta 2013. gada 19. novembra noteikum</w:t>
            </w:r>
            <w:r w:rsidR="006D70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</w:t>
            </w:r>
            <w:r w:rsidRPr="000C6B6F" w:rsidR="002406A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Nr. 1347 “Valsts informācijas sistēmu datu savietošanas kārtība nekustamā </w:t>
            </w:r>
            <w:r w:rsidRPr="000C6B6F" w:rsidR="002406A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īpašuma nodokļa atvieglojumu piešķiršanai”” </w:t>
            </w:r>
            <w:r w:rsidRPr="000C6B6F" w:rsidR="002406A4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(turpmāk – MK noteikumi Nr. 1347)</w:t>
            </w:r>
            <w:r w:rsidRPr="000C6B6F" w:rsidR="00B569A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numerācij</w:t>
            </w:r>
            <w:r w:rsidR="006D705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</w:t>
            </w:r>
            <w:r w:rsidRPr="000C6B6F" w:rsidR="00B569A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  <w:p w:rsidR="004F4BBD" w:rsidRPr="000C6B6F" w:rsidP="003A5EFD" w14:paraId="5C5E50E8" w14:textId="59BD3DC1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20.</w:t>
            </w:r>
            <w:r w:rsidRPr="000C6B6F" w:rsidR="00DE19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0C6B6F" w:rsidR="002406A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punkts </w:t>
            </w:r>
            <w:r w:rsidRPr="000C6B6F" w:rsidR="00DE194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noteiks pašvaldības rīcību, ja tā atklās neatbilstību starp nodokļu maksātāja un IZM sniegtajiem datiem.</w:t>
            </w:r>
            <w:r w:rsidRPr="000C6B6F" w:rsidR="00B569A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B13348" w:rsidRPr="000C6B6F" w:rsidP="003A5EFD" w14:paraId="2952B4B7" w14:textId="50068539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</w:t>
            </w:r>
            <w:r w:rsidRPr="006D70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17., 19., punkti, </w:t>
            </w:r>
            <w:r w:rsidR="005B21F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12.2.3.4., 12.2.3.5., 12.2.3.7.</w:t>
            </w:r>
            <w:r w:rsidR="005B21F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15.1., 15.1.4. 15.1.5. 15.1.8.</w:t>
            </w:r>
            <w:r w:rsidR="005B21F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15.1.9.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0C6B6F" w:rsidR="006920D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apakš</w:t>
            </w:r>
            <w:r w:rsidRPr="000C6B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punkt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os tiek precizēti termini</w:t>
            </w:r>
            <w:r w:rsidRPr="000C6B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  <w:p w:rsidR="00122E67" w:rsidRPr="0039155C" w:rsidP="00122E67" w14:paraId="64EBA18D" w14:textId="7777777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C6B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Šobrīd nav elektronizēts process, lai nodrošinātu informācijas nodošanu pašvaldībām par iedzīvotājiem, kuriem pienākas nek</w:t>
            </w:r>
            <w:r w:rsidRPr="0039155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ustamā īpašuma nodokļa</w:t>
            </w:r>
            <w:r w:rsidRPr="0039155C" w:rsidR="00C738E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atlaides saskaņā ar 2017. gada 6. aprī</w:t>
            </w:r>
            <w:r w:rsidRPr="0039155C" w:rsidR="002406A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lī </w:t>
            </w:r>
            <w:r w:rsidRPr="0039155C" w:rsidR="002F259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pieņemtajiem </w:t>
            </w:r>
            <w:r w:rsidRPr="0039155C" w:rsidR="00C738E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grozījumiem likumā “Par nekustamā īpašuma nodokli”</w:t>
            </w:r>
            <w:r w:rsidRPr="0039155C" w:rsidR="002406A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(2017. gada 19. aprīlī publicēts oficiālajā izdevumā “Latvijas Vēstnesis”, 78 (5905))</w:t>
            </w:r>
            <w:r w:rsidRPr="0039155C" w:rsidR="00C738E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5. panta 1.</w:t>
            </w:r>
            <w:r w:rsidRPr="0039155C" w:rsidR="00C73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lv-LV"/>
              </w:rPr>
              <w:t>2</w:t>
            </w:r>
            <w:r w:rsidRPr="0039155C" w:rsidR="00C738E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daļu</w:t>
            </w:r>
            <w:r w:rsidR="0026778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 kam jāstājas spēkā 2018. </w:t>
            </w:r>
            <w:r w:rsidRPr="0039155C" w:rsidR="002F259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gada 1. janvārī.</w:t>
            </w:r>
          </w:p>
          <w:p w:rsidR="00540C16" w:rsidRPr="0039155C" w:rsidP="00122E67" w14:paraId="3EA18C98" w14:textId="2EC2A48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Saskaņā ar</w:t>
            </w:r>
            <w:r w:rsidRPr="0039155C" w:rsidR="0028401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39155C" w:rsidR="0070395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2017.</w:t>
            </w:r>
            <w:r w:rsidR="0026778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Pr="0039155C" w:rsidR="0070395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gada 6. aprīlī pieņemtajiem grozījumiem likumā “Par nekustamā īpašuma nodokli” </w:t>
            </w:r>
            <w:r w:rsidRPr="0039155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</w:t>
            </w:r>
            <w:r w:rsidRPr="0039155C" w:rsidR="00122E6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tlaides pienāk</w:t>
            </w:r>
            <w:r w:rsidRPr="0039155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sies</w:t>
            </w:r>
            <w:r w:rsidRPr="0039155C" w:rsidR="00A4055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:</w:t>
            </w:r>
          </w:p>
          <w:p w:rsidR="00A4055C" w:rsidRPr="0039155C" w:rsidP="00CB42A9" w14:paraId="569B6C0C" w14:textId="1F7ACCAA">
            <w:pPr>
              <w:pStyle w:val="NoSpacing"/>
              <w:numPr>
                <w:ilvl w:val="0"/>
                <w:numId w:val="3"/>
              </w:numPr>
              <w:tabs>
                <w:tab w:val="clear" w:pos="0"/>
                <w:tab w:val="num" w:pos="340"/>
              </w:tabs>
              <w:ind w:left="5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personai, 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kurai pašai vai kopā ar laulāto, vai tās laulātajam taksācijas gada 1. janvārī ir trīs vai vairāk bērnu vecumā līdz 24 gadiem, </w:t>
            </w:r>
            <w:r w:rsidRPr="0039155C" w:rsidR="00936928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ja 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tie iegūst vispārējo, profesionālo vai augstāko izglītību,</w:t>
            </w:r>
          </w:p>
          <w:p w:rsidR="00A4055C" w:rsidRPr="0039155C" w:rsidP="00CB42A9" w14:paraId="238CF77B" w14:textId="0BF3623F">
            <w:pPr>
              <w:pStyle w:val="NoSpacing"/>
              <w:numPr>
                <w:ilvl w:val="0"/>
                <w:numId w:val="3"/>
              </w:numPr>
              <w:tabs>
                <w:tab w:val="clear" w:pos="0"/>
                <w:tab w:val="num" w:pos="340"/>
              </w:tabs>
              <w:ind w:left="5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personai, 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kurai vai kuras laulātajam deklarētā dzīvesvieta ir vienā adresē kopā ar vismaz trim minētajiem bērniem,</w:t>
            </w:r>
          </w:p>
          <w:p w:rsidR="00C738E7" w:rsidRPr="0039155C" w:rsidP="00CB42A9" w14:paraId="71FEEB78" w14:textId="77777777">
            <w:pPr>
              <w:pStyle w:val="NoSpacing"/>
              <w:numPr>
                <w:ilvl w:val="0"/>
                <w:numId w:val="3"/>
              </w:numPr>
              <w:tabs>
                <w:tab w:val="clear" w:pos="0"/>
                <w:tab w:val="num" w:pos="340"/>
              </w:tabs>
              <w:ind w:left="598"/>
              <w:jc w:val="both"/>
              <w:rPr>
                <w:rStyle w:val="CommentReference"/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personas vai tās laulātā pirmās pakāpes augšupējam radiniekam, kuram deklarētā dzīvesvieta ir vienā adresē ar personu vai tās laulāto kopā ar vismaz trim minētajiem bērniem.</w:t>
            </w:r>
          </w:p>
          <w:p w:rsidR="00540C16" w:rsidRPr="0039155C" w:rsidP="00C738E7" w14:paraId="5B9C46DD" w14:textId="77777777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MK noteikumu projekts </w:t>
            </w:r>
            <w:r w:rsidRPr="0039155C" w:rsidR="00310364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noteiks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kārtību, kādā iestādes apmainās ar informāciju un apstrādā to:</w:t>
            </w:r>
          </w:p>
          <w:p w:rsidR="00054DE8" w:rsidRPr="0039155C" w:rsidP="002F2592" w14:paraId="15577842" w14:textId="7777777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I</w:t>
            </w:r>
            <w:r w:rsidRPr="0039155C" w:rsidR="00441736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Z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M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pārziņā esošā Valsts izglītība</w:t>
            </w:r>
            <w:r w:rsidRPr="0039155C" w:rsidR="00A86046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s informācijas sistēma (turpmāk</w:t>
            </w:r>
            <w:r w:rsidRPr="0039155C" w:rsidR="006612A9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–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VIIS) nodos datus PMLP par visām personām </w:t>
            </w:r>
            <w:r w:rsidRPr="0039155C" w:rsidR="005C4218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vecumā no 18 līdz 24 gadiem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(</w:t>
            </w:r>
            <w:r w:rsidRPr="0039155C" w:rsidR="002E09BD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neieskaitot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), kuras iegūst 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vispārējo, profesionālo vai augstāko izglītību;</w:t>
            </w:r>
          </w:p>
          <w:p w:rsidR="00540C16" w:rsidRPr="0039155C" w:rsidP="002F2592" w14:paraId="57AD4C00" w14:textId="7777777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PMLP atlasīs un nodos Valsts reģionālās attīstības aģentūras </w:t>
            </w:r>
            <w:r w:rsidRPr="0039155C" w:rsidR="002A563D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(turpmāk – VRAA) 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pārziņā esošajam Valsts informācijas sistēmu savietotājam (tu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rpmāk – VISS) </w:t>
            </w:r>
            <w:r w:rsidRPr="0039155C" w:rsidR="002A563D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šādas 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ziņas par personu:</w:t>
            </w:r>
          </w:p>
          <w:p w:rsidR="00E53CA1" w:rsidRPr="0039155C" w:rsidP="00CB42A9" w14:paraId="2E49758A" w14:textId="77777777">
            <w:pPr>
              <w:pStyle w:val="NoSpacing"/>
              <w:numPr>
                <w:ilvl w:val="0"/>
                <w:numId w:val="6"/>
              </w:numPr>
              <w:ind w:left="130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kurai pašai vai kopā ar laulāto, vai tās laulātajam taksācijas gada 1. janvārī ir trīs vai vairāk bērnu vecumā līdz 18 gadiem (arī aizbildnībā esoši vai audžuģimenē ievietoti bērni) vai </w:t>
            </w:r>
          </w:p>
          <w:p w:rsidR="00E53CA1" w:rsidRPr="0039155C" w:rsidP="00CB42A9" w14:paraId="532F0B4B" w14:textId="77777777">
            <w:pPr>
              <w:pStyle w:val="NoSpacing"/>
              <w:numPr>
                <w:ilvl w:val="0"/>
                <w:numId w:val="6"/>
              </w:numPr>
              <w:ind w:left="130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kurai pašai vai kopā ar laulāto, vai tās laulātajam taksācijas gada 1. janvārī ir trīs vai vairāk bērnu vecumā līdz 24</w:t>
            </w:r>
            <w:r w:rsidRPr="0039155C" w:rsidR="002E09BD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gadiem</w:t>
            </w:r>
            <w:r w:rsidRPr="0039155C" w:rsidR="002E09BD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(neieskaitot)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,</w:t>
            </w:r>
            <w:r w:rsidRPr="007D3775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</w:t>
            </w:r>
            <w:r w:rsidRPr="007D3775" w:rsidR="00D452EA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ja</w:t>
            </w:r>
            <w:r w:rsidRPr="0039155C" w:rsidR="00D452EA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</w:t>
            </w:r>
            <w:r w:rsidRPr="0039155C" w:rsidR="00054DE8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tie iegūst vispārējo, profe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sionālo vai augstāko izglītību,</w:t>
            </w:r>
          </w:p>
          <w:p w:rsidR="00E53CA1" w:rsidRPr="0039155C" w:rsidP="00CB42A9" w14:paraId="4ED1261F" w14:textId="77777777">
            <w:pPr>
              <w:pStyle w:val="NoSpacing"/>
              <w:numPr>
                <w:ilvl w:val="0"/>
                <w:numId w:val="6"/>
              </w:numPr>
              <w:ind w:left="130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kurai vai kuras laulātajam deklarētā dzīvesvieta ir vienā adresē kopā ar vismaz 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trim minētajiem bērniem,</w:t>
            </w:r>
          </w:p>
          <w:p w:rsidR="00E53CA1" w:rsidRPr="0039155C" w:rsidP="00CB42A9" w14:paraId="48B03FFD" w14:textId="77777777">
            <w:pPr>
              <w:pStyle w:val="NoSpacing"/>
              <w:numPr>
                <w:ilvl w:val="0"/>
                <w:numId w:val="6"/>
              </w:numPr>
              <w:ind w:left="130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datus par personas (pašas vai kopā ar laulāto) visiem bērniem vecumā līdz 18 gadiem (arī aizbildnībā esošiem v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ai audžuģimenē ievietotiem),</w:t>
            </w:r>
          </w:p>
          <w:p w:rsidR="00C738E7" w:rsidRPr="00DE7B73" w:rsidP="00DE7B73" w14:paraId="3770E56C" w14:textId="7EE65220">
            <w:pPr>
              <w:pStyle w:val="NoSpacing"/>
              <w:numPr>
                <w:ilvl w:val="0"/>
                <w:numId w:val="6"/>
              </w:numPr>
              <w:ind w:left="130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datus par personas (pašas vai kopā ar laulāto) visiem bērniem vecumā </w:t>
            </w:r>
            <w:r w:rsidRPr="0039155C" w:rsidR="00054DE8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līdz 24 gadiem</w:t>
            </w:r>
            <w:r w:rsidRPr="0039155C" w:rsidR="002E09BD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(neieskaitot)</w:t>
            </w:r>
            <w:r w:rsidRPr="0039155C" w:rsidR="00054DE8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, ja tie iegūst vispārējo, profesionālo vai augstāko izglītību, </w:t>
            </w:r>
            <w:r w:rsidRPr="00DE7B73" w:rsidR="00054DE8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par kuriem Iedzīvotāju reģistrā nav iekļautas ziņas par miršanu vai pasīva statusa iegūšanu, n</w:t>
            </w:r>
            <w:r w:rsidRPr="00DE7B73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eatkarīgi no bērna dzīvesvietas.</w:t>
            </w:r>
          </w:p>
          <w:p w:rsidR="00054DE8" w:rsidRPr="0039155C" w:rsidP="000F7F76" w14:paraId="011E39A1" w14:textId="77777777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Minēto informāciju sniegs arī par personām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vai tās laulātā pirmās pakāpes augšupējo radinieku, kuram deklarētā dzīvesvieta ir vienā adresē ar personu vai tās laulāto kopā ar vismaz trim minētajiem bērniem</w:t>
            </w:r>
            <w:r w:rsidRPr="0039155C" w:rsidR="002A563D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. </w:t>
            </w:r>
          </w:p>
          <w:p w:rsidR="00054DE8" w:rsidRPr="0039155C" w:rsidP="002F2592" w14:paraId="7F957D59" w14:textId="7777777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VRAA (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VISS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)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nodos datus pašvaldībām par personām nodokļu atlaides piemērošanai, iekļaujot atbilstošo īpašnieku un nekustamo īpašumu datus.</w:t>
            </w:r>
          </w:p>
          <w:p w:rsidR="00540C16" w:rsidRPr="0039155C" w:rsidP="00540C16" w14:paraId="24F6B173" w14:textId="77777777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Pēc MK noteikumu </w:t>
            </w:r>
            <w:r w:rsidRPr="0039155C" w:rsidR="002A563D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projekta 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spēkā stāšanās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</w:t>
            </w:r>
            <w:r w:rsidRPr="0039155C" w:rsidR="00BE2D56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tiks</w:t>
            </w:r>
            <w:r w:rsidRPr="0039155C" w:rsidR="002A563D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</w:t>
            </w:r>
            <w:r w:rsidRPr="0039155C" w:rsidR="002A563D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noteikta 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sekojoša kārtība: </w:t>
            </w:r>
          </w:p>
          <w:p w:rsidR="00054DE8" w:rsidRPr="0039155C" w:rsidP="00A86046" w14:paraId="2702605F" w14:textId="7777777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augstskolas</w:t>
            </w:r>
            <w:r w:rsidRPr="0039155C" w:rsidR="00BE2D56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(tostarp universitātes)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iesniegs informāciju par personām, kuras iegūst augstāko izglītību VIIS. Citas mācību iestādes jau sniedz informāciju VIIS par personām, kuras iegūst vispārējo vai profesionālo izglītību;</w:t>
            </w:r>
          </w:p>
          <w:p w:rsidR="00054DE8" w:rsidRPr="0039155C" w:rsidP="00A86046" w14:paraId="2137DCF4" w14:textId="7777777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I</w:t>
            </w:r>
            <w:r w:rsidRPr="0039155C" w:rsidR="003A5EFD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Z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M (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VIIS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)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nodos datus PMLP;</w:t>
            </w:r>
          </w:p>
          <w:p w:rsidR="00054DE8" w:rsidRPr="007D3775" w:rsidP="00A86046" w14:paraId="77243835" w14:textId="7777777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7D3775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PMLP atl</w:t>
            </w:r>
            <w:r w:rsidRPr="007D3775" w:rsidR="00540C16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asīs datus par daudzbērnu ģimenēm</w:t>
            </w:r>
            <w:r w:rsidRPr="007D3775" w:rsidR="00785892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, to deklarētām dzīvesvietām</w:t>
            </w:r>
            <w:r w:rsidRPr="007D3775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un nosūtīs datus VISS;</w:t>
            </w:r>
          </w:p>
          <w:p w:rsidR="00054DE8" w:rsidRPr="0039155C" w:rsidP="00A86046" w14:paraId="438D329A" w14:textId="7777777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VRAA (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VISS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)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nosūtīs personu datus Tiesu administrācijai;</w:t>
            </w:r>
          </w:p>
          <w:p w:rsidR="00581277" w:rsidRPr="0039155C" w:rsidP="000F7F76" w14:paraId="1ADB26C6" w14:textId="7777777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Tiesu administrācija nodos VISS datus par šo personu īpašumiem;</w:t>
            </w:r>
          </w:p>
          <w:p w:rsidR="008E3086" w:rsidRPr="0039155C" w:rsidP="00A86046" w14:paraId="646B31D3" w14:textId="7777777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VRAA (</w:t>
            </w:r>
            <w:r w:rsidRPr="0039155C" w:rsidR="00054DE8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VISS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)</w:t>
            </w:r>
            <w:r w:rsidRPr="0039155C" w:rsidR="00054DE8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savietos datus un nodos tos pašvaldībām.</w:t>
            </w:r>
          </w:p>
          <w:p w:rsidR="00122E67" w:rsidRPr="0039155C" w:rsidP="00D118B0" w14:paraId="7F6358D2" w14:textId="645AA975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Ja </w:t>
            </w:r>
            <w:r w:rsidRPr="0039155C" w:rsidR="00D118B0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MK noteikumu projekts 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netiks pieņemt</w:t>
            </w:r>
            <w:r w:rsidRPr="0039155C" w:rsidR="00D118B0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s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, tad </w:t>
            </w:r>
            <w:r w:rsidRPr="0039155C" w:rsidR="00310364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katrai personai vajadzēs vērsties pašvaldībā individuāli un </w:t>
            </w:r>
            <w:r w:rsidRPr="0039155C" w:rsidR="00D118B0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pie</w:t>
            </w:r>
            <w:r w:rsidRPr="0039155C" w:rsidR="00310364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prasīt nodokļu atlaidi</w:t>
            </w:r>
            <w:r w:rsidRPr="0039155C" w:rsidR="00D118B0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, un</w:t>
            </w:r>
            <w:r w:rsidRPr="0039155C" w:rsidR="00A86046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</w:t>
            </w:r>
            <w:r w:rsidRPr="0039155C" w:rsidR="00D118B0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p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ašvaldībai vajadzēs pieņemt lēmumu individuāli</w:t>
            </w:r>
            <w:r w:rsidR="00FA4F32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par katru personu. </w:t>
            </w:r>
            <w:r w:rsidRPr="0039155C" w:rsidR="00310364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T</w:t>
            </w:r>
            <w:r w:rsidRPr="0039155C" w:rsidR="00D118B0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ādējādi palielināsies administratīvais slogs, kas apgrūtinās </w:t>
            </w:r>
            <w:r w:rsidRPr="0039155C" w:rsidR="00310364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iedzīvotāj</w:t>
            </w:r>
            <w:r w:rsidRPr="0039155C" w:rsidR="00D118B0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u un </w:t>
            </w:r>
            <w:r w:rsidRPr="0039155C" w:rsidR="00310364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pašvaldīb</w:t>
            </w:r>
            <w:r w:rsidRPr="0039155C" w:rsidR="00D118B0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u savstarpējo saziņu un ātru informācijas apriti. </w:t>
            </w:r>
          </w:p>
          <w:p w:rsidR="00D452EA" w:rsidRPr="0039155C" w:rsidP="00457DAD" w14:paraId="21536315" w14:textId="4027405F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lv-LV"/>
              </w:rPr>
            </w:pP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Šobrīd </w:t>
            </w:r>
            <w:r w:rsidR="00457DAD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Izglītības ministrijā 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nepastāv </w:t>
            </w:r>
            <w:r w:rsidR="00457DAD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sistematizēta 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datu apmaiņa </w:t>
            </w:r>
            <w:r w:rsidR="00457DAD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par Latvijas valsts piederīgajiem, kuri studē ārvalstīs 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ar kaimiņvalstu augstskolām. T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o </w:t>
            </w:r>
            <w:r w:rsidR="00457DAD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skolēnu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vai studentu vecākiem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, personām, kuras tos aizvieto vai augšupējiem radiniekiem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, kur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u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bērni 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iegūst izglītību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piem. Lietuvā vai Igaunijā, bet turpina dzīvot Latvijā, būs jāpieprasa atlaides individu</w:t>
            </w:r>
            <w:r w:rsidRPr="00391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āli.</w:t>
            </w:r>
          </w:p>
        </w:tc>
      </w:tr>
      <w:tr w14:paraId="525AD966" w14:textId="77777777" w:rsidTr="00FA4632">
        <w:tblPrEx>
          <w:tblW w:w="5000" w:type="pct"/>
          <w:tblLook w:val="04A0"/>
        </w:tblPrEx>
        <w:trPr>
          <w:trHeight w:val="1181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55331" w:rsidRPr="005C4218" w14:paraId="632ADB5F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</w:p>
        </w:tc>
        <w:tc>
          <w:tcPr>
            <w:tcW w:w="2853" w:type="dxa"/>
            <w:shd w:val="clear" w:color="auto" w:fill="auto"/>
            <w:tcMar>
              <w:left w:w="108" w:type="dxa"/>
            </w:tcMar>
          </w:tcPr>
          <w:p w:rsidR="00055331" w:rsidRPr="005C4218" w14:paraId="7E2EC9C3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Projekta izstrādē iesaistītās institūcijas</w:t>
            </w:r>
          </w:p>
        </w:tc>
        <w:tc>
          <w:tcPr>
            <w:tcW w:w="5942" w:type="dxa"/>
            <w:shd w:val="clear" w:color="auto" w:fill="auto"/>
            <w:tcMar>
              <w:left w:w="108" w:type="dxa"/>
            </w:tcMar>
          </w:tcPr>
          <w:p w:rsidR="00055331" w:rsidRPr="005C4218" w:rsidP="000F7F76" w14:paraId="63FF4083" w14:textId="7777777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Vides aizsardzības un reģionālās attīstības ministrija</w:t>
            </w:r>
            <w:r w:rsidRPr="005C4218" w:rsidR="00390C7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</w:t>
            </w:r>
            <w:r w:rsidR="00A8604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turpmāk</w:t>
            </w:r>
            <w:r w:rsidR="00E53CA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0F7F76" w:rsidR="000F7F76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–</w:t>
            </w:r>
            <w:r w:rsidR="00A86046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</w:t>
            </w:r>
            <w:r w:rsidRPr="005C4218" w:rsidR="00390C7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VARAM)</w:t>
            </w: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</w:t>
            </w:r>
            <w:r w:rsidR="00E53CA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VRAA</w:t>
            </w: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</w:t>
            </w:r>
            <w:r w:rsidR="003970E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</w:t>
            </w:r>
            <w:r w:rsidR="00122E6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</w:t>
            </w: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</w:t>
            </w:r>
            <w:r w:rsidR="00E53CA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PMLP</w:t>
            </w: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Latvijas </w:t>
            </w:r>
            <w:r w:rsidRPr="005C4218" w:rsidR="00AF6B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</w:t>
            </w: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ašvaldību savienība</w:t>
            </w:r>
            <w:r w:rsidRPr="005C4218" w:rsidR="00390C7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</w:t>
            </w:r>
            <w:r w:rsidR="00E53CA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turpmāk </w:t>
            </w:r>
            <w:r w:rsidRPr="000F7F76" w:rsidR="000F7F76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–</w:t>
            </w:r>
            <w:r w:rsidR="00A50297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</w:t>
            </w:r>
            <w:r w:rsidRPr="005C4218" w:rsidR="00390C7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LPS)</w:t>
            </w: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14:paraId="2DE1301B" w14:textId="77777777" w:rsidTr="00FA4632">
        <w:tblPrEx>
          <w:tblW w:w="5000" w:type="pct"/>
          <w:tblLook w:val="04A0"/>
        </w:tblPrEx>
        <w:trPr>
          <w:trHeight w:val="487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55331" w:rsidRPr="005C4218" w14:paraId="025308E8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</w:t>
            </w:r>
          </w:p>
        </w:tc>
        <w:tc>
          <w:tcPr>
            <w:tcW w:w="2853" w:type="dxa"/>
            <w:shd w:val="clear" w:color="auto" w:fill="auto"/>
            <w:tcMar>
              <w:left w:w="108" w:type="dxa"/>
            </w:tcMar>
          </w:tcPr>
          <w:p w:rsidR="00055331" w:rsidRPr="005C4218" w14:paraId="46896082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5942" w:type="dxa"/>
            <w:shd w:val="clear" w:color="auto" w:fill="auto"/>
            <w:tcMar>
              <w:left w:w="108" w:type="dxa"/>
            </w:tcMar>
          </w:tcPr>
          <w:p w:rsidR="00055331" w:rsidRPr="005C4218" w14:paraId="1F4825DC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Nav.</w:t>
            </w:r>
          </w:p>
        </w:tc>
      </w:tr>
    </w:tbl>
    <w:p w:rsidR="00055331" w14:paraId="32FF44B7" w14:textId="77777777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:rsidR="00FA4632" w14:paraId="05FBF035" w14:textId="77777777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:rsidR="00FA4632" w:rsidRPr="00A132CB" w14:paraId="2D3ADEEC" w14:textId="77777777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/>
      </w:tblPr>
      <w:tblGrid>
        <w:gridCol w:w="480"/>
        <w:gridCol w:w="2984"/>
        <w:gridCol w:w="6157"/>
      </w:tblGrid>
      <w:tr w14:paraId="3C00E3D4" w14:textId="77777777">
        <w:tblPrEx>
          <w:tblW w:w="5000" w:type="pct"/>
          <w:tblLook w:val="04A0"/>
        </w:tblPrEx>
        <w:trPr>
          <w:trHeight w:val="555"/>
        </w:trPr>
        <w:tc>
          <w:tcPr>
            <w:tcW w:w="9360" w:type="dxa"/>
            <w:gridSpan w:val="3"/>
            <w:shd w:val="clear" w:color="auto" w:fill="auto"/>
            <w:tcMar>
              <w:left w:w="108" w:type="dxa"/>
            </w:tcMar>
          </w:tcPr>
          <w:p w:rsidR="00055331" w:rsidRPr="005C4218" w14:paraId="4686CA04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II. Tiesību akta projekta ietekme uz sabiedrību, tautsaimniecības attīstību un administratīvo slogu</w:t>
            </w:r>
          </w:p>
        </w:tc>
      </w:tr>
      <w:tr w14:paraId="683D335C" w14:textId="77777777" w:rsidTr="0026778F">
        <w:tblPrEx>
          <w:tblW w:w="5000" w:type="pct"/>
          <w:tblLook w:val="04A0"/>
        </w:tblPrEx>
        <w:trPr>
          <w:trHeight w:val="4161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5C4218" w14:paraId="093116D5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055331" w:rsidRPr="005C4218" w14:paraId="3B45A28D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Sabiedrības mērķgrupas, kuras tiesiskais regulējums ietekmē vai varētu ietekmēt</w:t>
            </w:r>
          </w:p>
          <w:p w:rsidR="00055331" w:rsidRPr="005C4218" w14:paraId="7979C566" w14:textId="777777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5990" w:type="dxa"/>
            <w:shd w:val="clear" w:color="auto" w:fill="auto"/>
            <w:tcMar>
              <w:left w:w="108" w:type="dxa"/>
            </w:tcMar>
          </w:tcPr>
          <w:p w:rsidR="00055331" w:rsidRPr="005C4218" w:rsidP="008E3086" w14:paraId="4F96D383" w14:textId="777777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Pirms augstskolas nav sākušas iesniegt datus par studējošajiem</w:t>
            </w:r>
            <w:r w:rsidR="00E53CA1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,</w:t>
            </w:r>
            <w:r w:rsidRPr="005C4218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 un PMLP nav izveidojusi funkcionalitāti datu atlasei par augšupejošiem radiniekiem, ir ļoti grūti prognozēt </w:t>
            </w:r>
            <w:r w:rsidRPr="005C4218" w:rsidR="00D23FE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cilvēku skaitu, kurus</w:t>
            </w:r>
            <w:r w:rsidRPr="005C4218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 </w:t>
            </w:r>
            <w:r w:rsidRPr="006A3C6F" w:rsidR="00E53CA1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MK noteikumu projekts</w:t>
            </w:r>
            <w:r w:rsidRPr="005C4218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 varētu ietekmēt.</w:t>
            </w:r>
            <w:r w:rsidRPr="005C4218" w:rsidR="00F61B9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 Latvijā ir aptuveni </w:t>
            </w:r>
            <w:r w:rsidRPr="006133C2" w:rsidR="006133C2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39241 studējošais vecumā līdz 24 gadiem.</w:t>
            </w:r>
            <w:r w:rsidRPr="005C4218" w:rsidR="00F61B9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, </w:t>
            </w:r>
            <w:r w:rsidRPr="005C4218" w:rsidR="00D23FE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18200 </w:t>
            </w:r>
            <w:r w:rsidRPr="005C4218" w:rsidR="00F61B9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18-24 gadus </w:t>
            </w:r>
            <w:r w:rsidRPr="005C4218" w:rsidR="002648C6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vecu</w:t>
            </w:r>
            <w:r w:rsidRPr="005C4218" w:rsidR="00D23FE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 </w:t>
            </w:r>
            <w:r w:rsidRPr="005C4218" w:rsidR="002648C6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vispārizglītojošo skolu audzēkņu</w:t>
            </w:r>
            <w:r w:rsidRPr="005C4218" w:rsidR="00F61B9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, </w:t>
            </w:r>
            <w:r w:rsidRPr="005C4218" w:rsidR="00D23FE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14300 </w:t>
            </w:r>
            <w:r w:rsidRPr="005C4218" w:rsidR="002648C6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18-24 vecu </w:t>
            </w:r>
            <w:r w:rsidRPr="005C4218" w:rsidR="00D23FEA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profe</w:t>
            </w:r>
            <w:r w:rsidR="00695C92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sionāli </w:t>
            </w:r>
            <w:r w:rsidRPr="000F7F76" w:rsidR="00695C92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–</w:t>
            </w:r>
            <w:r w:rsidR="00695C92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</w:t>
            </w:r>
            <w:r w:rsidRPr="005C4218" w:rsidR="002648C6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tehnisko skolu audzēkņu</w:t>
            </w:r>
            <w:r w:rsidRPr="005C4218" w:rsidR="00B55EF1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. Latvijā ir </w:t>
            </w:r>
            <w:r w:rsidRPr="005C4218" w:rsidR="008E3086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aptuveni</w:t>
            </w:r>
            <w:r w:rsidR="00E53CA1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 40000 daudzbērnu ģimeņu</w:t>
            </w:r>
            <w:r w:rsidRPr="006A3C6F" w:rsidR="00E53CA1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, kurās ir aptuveni 320 tūkst. bērnu līdz un pēc 18 gadiem</w:t>
            </w:r>
            <w:r w:rsidRPr="005C4218" w:rsidR="008E3086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. T</w:t>
            </w:r>
            <w:r w:rsidRPr="005C4218" w:rsidR="002648C6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ai skaitā 15500 daudzbērnu ģimeņu ar bērniem </w:t>
            </w:r>
            <w:r w:rsidR="005C4218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vecumā līdz 18 gadiem</w:t>
            </w:r>
            <w:r w:rsidRPr="005C4218" w:rsidR="002648C6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,</w:t>
            </w:r>
            <w:r w:rsidRPr="005C4218" w:rsidR="008E3086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 kurās ir vairāk nekā 50 tūkst. bērnu.</w:t>
            </w:r>
          </w:p>
        </w:tc>
      </w:tr>
      <w:tr w14:paraId="1B7F7B5E" w14:textId="77777777" w:rsidTr="0026778F">
        <w:tblPrEx>
          <w:tblW w:w="5000" w:type="pct"/>
          <w:tblLook w:val="04A0"/>
        </w:tblPrEx>
        <w:trPr>
          <w:trHeight w:val="6306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5C4218" w14:paraId="0EE84A69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055331" w:rsidRPr="005C4218" w14:paraId="007B4689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Tiesiskā regulējuma ietekme uz tautsaimniecību un administratīvo slogu</w:t>
            </w:r>
          </w:p>
        </w:tc>
        <w:tc>
          <w:tcPr>
            <w:tcW w:w="5990" w:type="dxa"/>
            <w:shd w:val="clear" w:color="auto" w:fill="auto"/>
            <w:tcMar>
              <w:left w:w="108" w:type="dxa"/>
            </w:tcMar>
          </w:tcPr>
          <w:p w:rsidR="00E53CA1" w:rsidRPr="006A3C6F" w:rsidP="00E53CA1" w14:paraId="144DA594" w14:textId="7777777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MK noteikumu projektam nav tiešās ietekmes uz tautsaimniecību, bet </w:t>
            </w:r>
            <w:r w:rsidR="00C738E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tas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var netieši pozitīvi ietekmēt demogrāfisko situāciju</w:t>
            </w: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kam </w:t>
            </w: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būs netieša pozitīva ietekme uz ekonomiku.</w:t>
            </w:r>
          </w:p>
          <w:p w:rsidR="00055331" w:rsidP="00784910" w14:paraId="01D5CDE7" w14:textId="7777777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MK </w:t>
            </w:r>
            <w:r w:rsidRPr="006A3C6F" w:rsidR="002C017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noteikumu</w:t>
            </w: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projekts mazinās administratīvo slogu tām pašvaldībām, kuras jau līdz šim piešķīra atlaides </w:t>
            </w:r>
            <w:r w:rsidR="0078491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MK </w:t>
            </w:r>
            <w:r w:rsidR="002C017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noteikumu</w:t>
            </w:r>
            <w:r w:rsidR="0078491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projektā</w:t>
            </w: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minētaj</w:t>
            </w:r>
            <w:r w:rsidR="0078491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ām iedzīvotāju grupām: </w:t>
            </w:r>
          </w:p>
          <w:p w:rsidR="00DF3124" w:rsidP="00DF3124" w14:paraId="0248B934" w14:textId="77777777">
            <w:pPr>
              <w:pStyle w:val="NoSpacing"/>
              <w:numPr>
                <w:ilvl w:val="0"/>
                <w:numId w:val="3"/>
              </w:numPr>
              <w:tabs>
                <w:tab w:val="clear" w:pos="0"/>
                <w:tab w:val="num" w:pos="340"/>
              </w:tabs>
              <w:ind w:left="61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A40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kurai pašai vai kopā</w:t>
            </w:r>
            <w:r w:rsidRPr="005C4218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ar laulāto, vai tās laulātajam taksācijas gada 1. janvārī ir trīs vai vairāk bērnu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vecumā līdz 24 gadiem, </w:t>
            </w:r>
            <w:r w:rsidRPr="00E53CA1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tie iegūst vispārējo, profesionālo vai augstāko izglītību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,</w:t>
            </w:r>
          </w:p>
          <w:p w:rsidR="00DF3124" w:rsidP="00DF3124" w14:paraId="3AF5A40C" w14:textId="77777777">
            <w:pPr>
              <w:pStyle w:val="NoSpacing"/>
              <w:numPr>
                <w:ilvl w:val="0"/>
                <w:numId w:val="3"/>
              </w:numPr>
              <w:tabs>
                <w:tab w:val="clear" w:pos="0"/>
                <w:tab w:val="num" w:pos="340"/>
              </w:tabs>
              <w:ind w:left="61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A40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kurai vai kuras laulātajam deklarētā dzīvesvieta ir vienā adresē kopā ar vismaz trim minētajiem bērniem,</w:t>
            </w:r>
          </w:p>
          <w:p w:rsidR="00DF3124" w:rsidRPr="00DF3124" w:rsidP="00DF3124" w14:paraId="7CA33043" w14:textId="77777777">
            <w:pPr>
              <w:pStyle w:val="NoSpacing"/>
              <w:numPr>
                <w:ilvl w:val="0"/>
                <w:numId w:val="3"/>
              </w:numPr>
              <w:tabs>
                <w:tab w:val="clear" w:pos="0"/>
                <w:tab w:val="num" w:pos="340"/>
              </w:tabs>
              <w:ind w:left="61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A40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personas vai tās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laulātā pirmās pakāpes augšupējam radiniekam</w:t>
            </w:r>
            <w:r w:rsidRPr="00A4055C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, kuram deklarētā dzīvesvieta ir vienā adresē ar personu vai tās laulāto kopā ar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 vismaz trim minētajiem bērniem.</w:t>
            </w:r>
          </w:p>
        </w:tc>
      </w:tr>
      <w:tr w14:paraId="1C1EC85E" w14:textId="77777777">
        <w:tblPrEx>
          <w:tblW w:w="5000" w:type="pct"/>
          <w:tblLook w:val="04A0"/>
        </w:tblPrEx>
        <w:trPr>
          <w:trHeight w:val="510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5C4218" w14:paraId="04AC96E6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055331" w:rsidRPr="005C4218" w14:paraId="6C25AF8C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Administratīvo izmaksu monetārs novērtējums</w:t>
            </w:r>
          </w:p>
        </w:tc>
        <w:tc>
          <w:tcPr>
            <w:tcW w:w="5990" w:type="dxa"/>
            <w:shd w:val="clear" w:color="auto" w:fill="auto"/>
            <w:tcMar>
              <w:left w:w="108" w:type="dxa"/>
            </w:tcMar>
          </w:tcPr>
          <w:p w:rsidR="006133C2" w:rsidRPr="00D44096" w:rsidP="00514565" w14:paraId="7CCC7E53" w14:textId="7777777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Šobrīd 21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pašvaldība</w:t>
            </w: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piešķir </w:t>
            </w:r>
            <w:r w:rsidR="00A8604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nekustamā īpašuma nodokļa</w:t>
            </w: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atlaides ģimenēm ar bērniem līdz 24 gadu vecumam, kuri turpina iegūt izglītību. Procedūras un atlaižu pakete </w:t>
            </w:r>
            <w:r w:rsidR="0051456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dažādās pašvaldībās </w:t>
            </w: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atšķiras, tāpēc ir </w:t>
            </w:r>
            <w:r w:rsidR="0051456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veikts vispārīgs aprēķins</w:t>
            </w:r>
            <w:r w:rsidRPr="00E45169" w:rsidR="0090731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: no visiem 82 tūkst. </w:t>
            </w:r>
            <w:r w:rsidRPr="00E45169" w:rsidR="0090731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studējošiem 39 241 studējošais ir vecumā līdz 24 gadiem</w:t>
            </w:r>
            <w:r w:rsidRPr="00D44096" w:rsidR="0090731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. </w:t>
            </w:r>
            <w:r w:rsidRPr="00D44096" w:rsidR="002E09B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Pieņemam, ka visām daudzbērnu ģimenēm vai augšupējiem radiniekiem pieder kāds nekustāmais īpašums, kur viņi dzīvo. </w:t>
            </w:r>
            <w:r w:rsidRPr="00D44096" w:rsidR="0090731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 tiem ap</w:t>
            </w:r>
            <w:r w:rsidRPr="00D44096" w:rsidR="002E09B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tuveni 10% ir ārvalstu studenti. A</w:t>
            </w:r>
            <w:r w:rsidRPr="00D44096" w:rsidR="0090731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ptuveni 34% studējošie jau strādā</w:t>
            </w:r>
            <w:r w:rsidRPr="00D44096" w:rsidR="002E09B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 pieņemam, ka tie, kuri strādā vairs nedzīvo un nav deklarēti pie vecākiem,</w:t>
            </w:r>
            <w:r w:rsidRPr="00D44096" w:rsidR="0090731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tādēļ to apgādniekiem nepienākas nodokļu atlaides (dati par strādājošo studējošo īpatsvaru izmantoti no EUROSTUDENT V apsekojuma). Tātad, 56% no studējošiem</w:t>
            </w:r>
            <w:r w:rsidRPr="00D44096" w:rsidR="007B3D6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jeb 21975 cilvēkiem</w:t>
            </w:r>
            <w:r w:rsidRPr="00D44096" w:rsidR="0090731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ir aktuāls jautājums par izziņām. </w:t>
            </w:r>
            <w:r w:rsidRPr="00D4409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Latvijā ir aptuveni </w:t>
            </w:r>
            <w:r w:rsidRPr="00D44096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 xml:space="preserve">18200 18-24 gadus vecu vispārizglītojošo skolu audzēkņu un 14300 18-24 vecu profesionāli </w:t>
            </w:r>
            <w:r w:rsidRPr="00D44096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 xml:space="preserve">– </w:t>
            </w:r>
            <w:r w:rsidRPr="00D44096">
              <w:rPr>
                <w:rFonts w:ascii="Times New Roman" w:hAnsi="Times New Roman" w:cs="Times New Roman"/>
                <w:iCs/>
                <w:sz w:val="28"/>
                <w:szCs w:val="28"/>
                <w:lang w:val="lv-LV"/>
              </w:rPr>
              <w:t>tehnisko skolu audzēkņu</w:t>
            </w:r>
            <w:r w:rsidRPr="00D4409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  <w:r w:rsidRPr="00D44096" w:rsidR="007B3D6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Tiek pieņemts, ka</w:t>
            </w:r>
            <w:r w:rsidRPr="00D44096" w:rsidR="00E66FB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vispārizglītojošo skolu audzēkņi nestrādā pastāvīgu darbu, dzīvo un ir deklarēti pie vecākiem.</w:t>
            </w:r>
            <w:r w:rsidRPr="00D44096" w:rsidR="007B3D6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D44096" w:rsidR="00E66FB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Tiek pieņemts, </w:t>
            </w:r>
            <w:r w:rsidRPr="00D44096" w:rsidR="007B3D6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vismaz 34% profesionāli – tehnisko skolu audzēkņu jau strād</w:t>
            </w:r>
            <w:r w:rsidRPr="00D44096" w:rsidR="00C772B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ā</w:t>
            </w:r>
            <w:r w:rsidRPr="00D44096" w:rsidR="00E66FB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 nedzīvo un nav deklarēti pie vecākiem</w:t>
            </w:r>
            <w:r w:rsidRPr="00D44096" w:rsidR="00C772B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 tātad i</w:t>
            </w:r>
            <w:r w:rsidRPr="00D44096" w:rsidR="007B3D6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zziņas </w:t>
            </w:r>
            <w:r w:rsidRPr="00D44096" w:rsidR="00C772B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ir </w:t>
            </w:r>
            <w:r w:rsidRPr="00D44096" w:rsidR="007B3D6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aktuālas 66% jeb 9438</w:t>
            </w:r>
            <w:r w:rsidRPr="00D44096" w:rsidR="00C772B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cilvēkiem.</w:t>
            </w:r>
          </w:p>
          <w:p w:rsidR="00C772BB" w:rsidP="00A86046" w14:paraId="4C1728B8" w14:textId="7777777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F83C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Vidēji vienas izziņas izsniegšana </w:t>
            </w:r>
            <w:r w:rsidR="007B3D6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no mācību iestādes </w:t>
            </w:r>
            <w:r w:rsidRPr="00E4516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prasa aptuveni</w:t>
            </w:r>
            <w:r w:rsidRPr="00E45169" w:rsidR="006133C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15 minūtes, divas</w:t>
            </w:r>
            <w:r w:rsidRPr="00E4516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stundas no iedzīvotāja izziņas saņemšanai un iesniegšanai </w:t>
            </w:r>
            <w:r w:rsidRPr="00E45169" w:rsidR="006133C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pašvaldībā, vēl 15 minūtes pašvaldībai datu ievadei un lēmuma pieņemšanai</w:t>
            </w:r>
            <w:r w:rsidRPr="00E4516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. </w:t>
            </w:r>
          </w:p>
          <w:p w:rsidR="00C772BB" w:rsidRPr="00C772BB" w:rsidP="00C772BB" w14:paraId="2F81EA58" w14:textId="4BA0BA2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45017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Kopumā esošais administratīvais slogs laika izteiksmē ir aptuveni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((21975+18200+9438)</w:t>
            </w:r>
            <w:r w:rsidR="00F9026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(15+15+120))/60=</w:t>
            </w:r>
            <w:r w:rsidRPr="00457DA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124033 </w:t>
            </w:r>
            <w:r w:rsidRPr="00F83C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stundas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gadā.</w:t>
            </w:r>
            <w:r w:rsidRPr="00E45169" w:rsidR="0090731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Vidējā bruto alga 2016. </w:t>
            </w:r>
            <w:r w:rsidRPr="00F83C3B" w:rsidR="0090731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g. ir 859 </w:t>
            </w:r>
            <w:r w:rsidRPr="00457DAD" w:rsidR="0090731D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euro</w:t>
            </w:r>
            <w:r w:rsidRPr="00F83C3B" w:rsidR="0090731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vidējais bruto atalgojums stundā 5 </w:t>
            </w:r>
            <w:r w:rsidRPr="00457DAD" w:rsidR="0090731D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euro</w:t>
            </w:r>
            <w:r w:rsidRPr="00F83C3B" w:rsidR="0090731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. Attiecīgi administratīvo izmaksu samazinājums </w:t>
            </w:r>
            <w:r w:rsidR="00180DE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saistībā ar </w:t>
            </w:r>
            <w:r w:rsidRPr="00F83C3B" w:rsidR="0090731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elektroniskās datu apmaiņ</w:t>
            </w:r>
            <w:r w:rsidR="00180DE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u </w:t>
            </w:r>
            <w:r w:rsidRPr="00F83C3B" w:rsidR="0090731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izziņu vietā ir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124033</w:t>
            </w:r>
            <w:r w:rsidR="00F9026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5=</w:t>
            </w:r>
            <w:r w:rsidRPr="00F83C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620165</w:t>
            </w:r>
            <w:r w:rsidR="00457DA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457DAD" w:rsidR="00457DAD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euro</w:t>
            </w:r>
            <w:r w:rsidRPr="00F83C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. Aprēķins ir nosacīts, ņemot vērā, ka praksē izziņas gādās un sniegs paši izglītojamie (kuri </w:t>
            </w:r>
            <w:r w:rsidR="00E66FB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visdrīzāk </w:t>
            </w:r>
            <w:r w:rsidRPr="00F83C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nestrādā), nekustamā īpašuma īpašnieks bieži vien tikai uzliks parakstu</w:t>
            </w:r>
            <w:r w:rsidR="0051456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uz iesnieguma</w:t>
            </w:r>
            <w:r w:rsidRPr="00F83C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  <w:p w:rsidR="0090731D" w:rsidRPr="00F83C3B" w:rsidP="00514565" w14:paraId="26080118" w14:textId="7777777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Izmaksu samazinājums pie</w:t>
            </w:r>
            <w:r w:rsidRPr="00F83C3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automatizētās datu </w:t>
            </w:r>
            <w:r w:rsidRPr="00E670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apmaiņas, salīdzinot ar manuālo datu apmaiņu, ir</w:t>
            </w:r>
            <w:r w:rsidRPr="00E670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E67099" w:rsidR="00C772B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620165-</w:t>
            </w:r>
            <w:r w:rsidRPr="00E67099" w:rsidR="00FC274E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28878</w:t>
            </w:r>
            <w:r w:rsidRPr="00E67099" w:rsidR="00C772B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=</w:t>
            </w:r>
            <w:r w:rsidRPr="00E67099" w:rsidR="00FC274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591287</w:t>
            </w:r>
            <w:r w:rsidRPr="00E67099" w:rsidR="00C772B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457DAD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euro</w:t>
            </w:r>
            <w:r w:rsidRPr="00E670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14:paraId="200D8806" w14:textId="77777777">
        <w:tblPrEx>
          <w:tblW w:w="5000" w:type="pct"/>
          <w:tblLook w:val="04A0"/>
        </w:tblPrEx>
        <w:trPr>
          <w:trHeight w:val="345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5C4218" w14:paraId="63F97F09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055331" w:rsidRPr="005C4218" w14:paraId="758B61A5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5990" w:type="dxa"/>
            <w:shd w:val="clear" w:color="auto" w:fill="auto"/>
            <w:tcMar>
              <w:left w:w="108" w:type="dxa"/>
            </w:tcMar>
          </w:tcPr>
          <w:p w:rsidR="00055331" w:rsidRPr="005C4218" w14:paraId="7F2DEDED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Nav.</w:t>
            </w:r>
          </w:p>
        </w:tc>
      </w:tr>
    </w:tbl>
    <w:p w:rsidR="00FA4632" w:rsidRPr="00A132CB" w:rsidP="00FA4632" w14:paraId="42280973" w14:textId="77777777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  <w:insideH w:val="outset" w:sz="6" w:space="0" w:color="414142"/>
          <w:insideV w:val="outset" w:sz="6" w:space="0" w:color="414142"/>
        </w:tblBorders>
        <w:tblCellMar>
          <w:top w:w="24" w:type="dxa"/>
          <w:left w:w="23" w:type="dxa"/>
          <w:bottom w:w="24" w:type="dxa"/>
          <w:right w:w="24" w:type="dxa"/>
        </w:tblCellMar>
        <w:tblLook w:val="04A0"/>
      </w:tblPr>
      <w:tblGrid>
        <w:gridCol w:w="3143"/>
        <w:gridCol w:w="1218"/>
        <w:gridCol w:w="1582"/>
        <w:gridCol w:w="1144"/>
        <w:gridCol w:w="1221"/>
        <w:gridCol w:w="1144"/>
      </w:tblGrid>
      <w:tr w14:paraId="2169E669" w14:textId="77777777" w:rsidTr="00E32A9C">
        <w:tblPrEx>
          <w:tblW w:w="5000" w:type="pct"/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outset" w:sz="6" w:space="0" w:color="414142"/>
            <w:insideV w:val="outset" w:sz="6" w:space="0" w:color="414142"/>
          </w:tblBorders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trHeight w:val="288"/>
          <w:jc w:val="center"/>
        </w:trPr>
        <w:tc>
          <w:tcPr>
            <w:tcW w:w="9452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14FF4E42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v-LV" w:eastAsia="lv-LV"/>
              </w:rPr>
              <w:t>III. Tiesību akta projekta ietekme uz valsts budžetu un pašvaldību budžetiem</w:t>
            </w:r>
          </w:p>
        </w:tc>
      </w:tr>
      <w:tr w14:paraId="5FCCA196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trHeight w:val="595"/>
          <w:jc w:val="center"/>
        </w:trPr>
        <w:tc>
          <w:tcPr>
            <w:tcW w:w="3143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76B918F7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v-LV" w:eastAsia="lv-LV"/>
              </w:rPr>
              <w:t>Rādītāji</w:t>
            </w:r>
          </w:p>
        </w:tc>
        <w:tc>
          <w:tcPr>
            <w:tcW w:w="2800" w:type="dxa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35FFBF3B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v-LV" w:eastAsia="lv-LV"/>
              </w:rPr>
              <w:t>2017. gads</w:t>
            </w:r>
          </w:p>
        </w:tc>
        <w:tc>
          <w:tcPr>
            <w:tcW w:w="350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2F580BE2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Turpmākie trīs gadi (</w:t>
            </w:r>
            <w:r w:rsidRPr="005C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lv-LV" w:eastAsia="lv-LV"/>
              </w:rPr>
              <w:t>euro</w:t>
            </w: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)</w:t>
            </w:r>
          </w:p>
        </w:tc>
      </w:tr>
      <w:tr w14:paraId="6C8FC9C2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trHeight w:val="573"/>
          <w:jc w:val="center"/>
        </w:trPr>
        <w:tc>
          <w:tcPr>
            <w:tcW w:w="3143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485FD2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v-LV" w:eastAsia="lv-LV"/>
              </w:rPr>
            </w:pPr>
          </w:p>
        </w:tc>
        <w:tc>
          <w:tcPr>
            <w:tcW w:w="2800" w:type="dxa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1F0B3A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v-LV" w:eastAsia="lv-LV"/>
              </w:rPr>
            </w:pP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0CC6CC86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v-LV" w:eastAsia="lv-LV"/>
              </w:rPr>
              <w:t>2018.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41A0DC4A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v-LV" w:eastAsia="lv-LV"/>
              </w:rPr>
              <w:t>2019.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532FD1C8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v-LV" w:eastAsia="lv-LV"/>
              </w:rPr>
              <w:t>2020.</w:t>
            </w:r>
          </w:p>
        </w:tc>
      </w:tr>
      <w:tr w14:paraId="281CE132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trHeight w:val="1855"/>
          <w:jc w:val="center"/>
        </w:trPr>
        <w:tc>
          <w:tcPr>
            <w:tcW w:w="3143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633C0B1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v-LV" w:eastAsia="lv-LV"/>
              </w:rPr>
            </w:pPr>
          </w:p>
        </w:tc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118255B0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saskaņā ar valsts budžetu kārtējam gadam</w:t>
            </w: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D44096" w14:paraId="501DFCBB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D4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izmaiņas kārtējā gadā, salīdzinot ar valsts budžetu kārtējam gadam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D44096" w:rsidP="00760379" w14:paraId="297569D4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D4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 xml:space="preserve">izmaiņas, salīdzinot ar kārtējo </w:t>
            </w:r>
            <w:r w:rsidRPr="00D44096" w:rsidR="0076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2017.</w:t>
            </w:r>
            <w:r w:rsidRPr="00D4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 xml:space="preserve"> gadu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D44096" w:rsidP="00760379" w14:paraId="18699FF7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D4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 xml:space="preserve">izmaiņas, salīdzinot ar kārtējo </w:t>
            </w:r>
            <w:r w:rsidRPr="00D44096" w:rsidR="0076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2017.</w:t>
            </w:r>
            <w:r w:rsidRPr="00D4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 xml:space="preserve"> gadu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D44096" w:rsidP="00760379" w14:paraId="272A982E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D4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 xml:space="preserve">izmaiņas, salīdzinot ar kārtējo </w:t>
            </w:r>
            <w:r w:rsidRPr="00D44096" w:rsidR="0076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2017.</w:t>
            </w:r>
            <w:r w:rsidRPr="00D4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 xml:space="preserve"> gadu</w:t>
            </w:r>
          </w:p>
        </w:tc>
      </w:tr>
      <w:tr w14:paraId="5F7546C2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76F815C0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1</w:t>
            </w:r>
          </w:p>
        </w:tc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266757BE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2</w:t>
            </w: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659DEA90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3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763C8EA5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4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0C394535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5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0C20C013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6</w:t>
            </w:r>
          </w:p>
        </w:tc>
      </w:tr>
      <w:tr w14:paraId="20560756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3128609C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1. Budžeta ieņēmumi:</w:t>
            </w:r>
          </w:p>
        </w:tc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750F1C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5FBB02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245398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36062C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25ED6C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</w:tr>
      <w:tr w14:paraId="1F827B36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1F6429F6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1.1. valsts pamatbudžets, tai skaitā ieņēmumi no maksas pakalpojumiem un citi pašu ieņēmumi</w:t>
            </w:r>
          </w:p>
        </w:tc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60AA93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0AE15E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02EC1A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36C168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34D30C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</w:tr>
      <w:tr w14:paraId="5AABFF66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6BBD7F56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1.2. valsts speciālais budžets</w:t>
            </w:r>
          </w:p>
        </w:tc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5FCAF3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07E616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20E94C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311F88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21B5E8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</w:tr>
      <w:tr w14:paraId="1A17E588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1371E1FF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1.3. pašvaldību budžets</w:t>
            </w:r>
          </w:p>
        </w:tc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12F7A3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41431B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46897D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23917D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1F7657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</w:tr>
      <w:tr w14:paraId="5AE095E1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21CD625B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2. Budžeta izdevumi:</w:t>
            </w:r>
          </w:p>
        </w:tc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5F430F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E67099" w:rsidP="009A2BEB" w14:paraId="2ABB73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67099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28878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745536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0407FA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411EEF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</w:tr>
      <w:tr w14:paraId="260D5393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74E2BF9D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2.1. valsts pamatbudžets</w:t>
            </w:r>
          </w:p>
        </w:tc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39DDD2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E67099" w:rsidP="009A2BEB" w14:paraId="0DF2000E" w14:textId="77777777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67099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28878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17F8DB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411407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387971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</w:tr>
      <w:tr w14:paraId="571935E3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684C082A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2.2. valsts speciālais budžets</w:t>
            </w:r>
          </w:p>
        </w:tc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47E224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E67099" w:rsidP="009A2BEB" w14:paraId="499861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67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75E784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4DD723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518ADB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</w:tr>
      <w:tr w14:paraId="765FFB90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7D352359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2.3. pašvaldību budžets</w:t>
            </w:r>
          </w:p>
        </w:tc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7A99FE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E67099" w:rsidP="009A2BEB" w14:paraId="00B30D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67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700EB3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7EFB8D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1363CA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</w:tr>
      <w:tr w14:paraId="5DEF0823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5B42B50D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3. Finansiālā ietekme:</w:t>
            </w:r>
          </w:p>
        </w:tc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:rsidP="009A2BEB" w14:paraId="2928A9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E67099" w:rsidP="009A2BEB" w14:paraId="18046E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67099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-</w:t>
            </w:r>
            <w:r w:rsidRPr="00E67099" w:rsidR="00AF0571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28878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7D0A89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18564B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41A124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</w:tr>
      <w:tr w14:paraId="6B79F4D5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36181563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3.1. valsts pamatbudžets</w:t>
            </w:r>
          </w:p>
        </w:tc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54F935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E67099" w:rsidP="009A2BEB" w14:paraId="777ECFF8" w14:textId="77777777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67099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-</w:t>
            </w:r>
            <w:r w:rsidRPr="00E67099" w:rsidR="00AF0571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28878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56FD46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4D8FC5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1F9328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</w:tr>
      <w:tr w14:paraId="7395A52F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40B27415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3.2. speciālais budžets</w:t>
            </w:r>
          </w:p>
        </w:tc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191C28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E67099" w:rsidP="009A2BEB" w14:paraId="68417B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67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333E77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7E6BB9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05C863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</w:tr>
      <w:tr w14:paraId="35F16292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4EEEE8B8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3.3. pašvaldību budžets</w:t>
            </w:r>
          </w:p>
        </w:tc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3E62C3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E67099" w:rsidP="009A2BEB" w14:paraId="6DEDD5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67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5833AF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51EDE2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2E23FE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</w:tr>
      <w:tr w14:paraId="2A350F46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085F4BD1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4. Finanšu līdzekļi papildu izdevumu finansēšanai (kompensējošu izdevumu samazinājumu norāda ar "+" zīmi)</w:t>
            </w:r>
          </w:p>
        </w:tc>
        <w:tc>
          <w:tcPr>
            <w:tcW w:w="12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4AEC3D0F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X</w:t>
            </w: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E67099" w:rsidP="009A2BEB" w14:paraId="63EF41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67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28878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6CBAC3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53E955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398B25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</w:tr>
      <w:tr w14:paraId="78F5186B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5097AAF3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5. Precizēta finansiālā ietekme:</w:t>
            </w:r>
          </w:p>
        </w:tc>
        <w:tc>
          <w:tcPr>
            <w:tcW w:w="1218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658600CB" w14:textId="77777777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X</w:t>
            </w: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60D967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0F6E22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0F228B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3B59A3F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</w:tr>
      <w:tr w14:paraId="3316D9E3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6DB6B635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5.1. valsts pamatbudžets</w:t>
            </w:r>
          </w:p>
        </w:tc>
        <w:tc>
          <w:tcPr>
            <w:tcW w:w="1218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1578FA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AF0571" w:rsidP="009A2BEB" w14:paraId="5D2DF1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46951F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61DBA2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41E2C11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</w:tr>
      <w:tr w14:paraId="0C5528DC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0EB1B255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5.2. speciālais budžets</w:t>
            </w:r>
          </w:p>
        </w:tc>
        <w:tc>
          <w:tcPr>
            <w:tcW w:w="1218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52132A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44598A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3A2499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292123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775ED66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</w:tr>
      <w:tr w14:paraId="3DBBDF9D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3A0D2CCE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5.3. pašvaldību budžets</w:t>
            </w:r>
          </w:p>
        </w:tc>
        <w:tc>
          <w:tcPr>
            <w:tcW w:w="1218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267CAD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</w:p>
        </w:tc>
        <w:tc>
          <w:tcPr>
            <w:tcW w:w="15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1809CF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4B6D5A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2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3D3F46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1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:rsidP="009A2BEB" w14:paraId="3F8072A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0</w:t>
            </w:r>
          </w:p>
        </w:tc>
      </w:tr>
      <w:tr w14:paraId="6FA3193D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6B7E6D8A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6309" w:type="dxa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3779BA" w:rsidRPr="00587A30" w:rsidP="00C865B0" w14:paraId="6C3D295D" w14:textId="7777777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Nepieciešams papildus finansējums</w:t>
            </w:r>
            <w:r w:rsidR="00A86046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VRAA</w:t>
            </w:r>
            <w:r w:rsidRPr="005C4218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r w:rsidR="002F2592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VISS</w:t>
            </w:r>
            <w:r w:rsidRPr="005C4218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pielāgošanai:</w:t>
            </w:r>
          </w:p>
          <w:p w:rsidR="00EB2E0F" w:rsidRPr="00587A30" w:rsidP="00901B55" w14:paraId="0168B3B9" w14:textId="77777777">
            <w:pPr>
              <w:pStyle w:val="ListParagraph"/>
              <w:numPr>
                <w:ilvl w:val="3"/>
                <w:numId w:val="1"/>
              </w:numPr>
              <w:spacing w:after="0"/>
              <w:ind w:left="7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Dokumentēšana</w:t>
            </w:r>
            <w:r w:rsidRPr="00587A30" w:rsidR="00377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587A30" w:rsidR="00C86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datubāze</w:t>
            </w:r>
            <w:r w:rsidRPr="00587A30" w:rsidR="00377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un savietošanas algoritmi) – </w:t>
            </w:r>
            <w:r w:rsidRPr="00587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5,125</w:t>
            </w:r>
            <w:r w:rsidRPr="00587A30" w:rsidR="00377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7A30" w:rsidR="00C86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cilvēkdienas x </w:t>
            </w:r>
            <w:r w:rsidRPr="00587A30" w:rsidR="00377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360 </w:t>
            </w:r>
            <w:r w:rsidRPr="00587A30" w:rsidR="00C86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euro/cilvēkdiena</w:t>
            </w:r>
            <w:r w:rsidRPr="00587A30" w:rsidR="00F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</w:t>
            </w:r>
            <w:r w:rsidRPr="00587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1845</w:t>
            </w:r>
            <w:r w:rsidRPr="00587A30" w:rsidR="00F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7DAD" w:rsidR="00C865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euro</w:t>
            </w:r>
            <w:r w:rsidRPr="00587A30" w:rsidR="00C86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8187A" w:rsidRPr="00587A30" w:rsidP="00901B55" w14:paraId="28C37914" w14:textId="77777777">
            <w:pPr>
              <w:pStyle w:val="ListParagraph"/>
              <w:numPr>
                <w:ilvl w:val="3"/>
                <w:numId w:val="1"/>
              </w:numPr>
              <w:spacing w:after="0"/>
              <w:ind w:left="7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Izstrāde</w:t>
            </w:r>
            <w:r w:rsidRPr="00587A30" w:rsidR="00377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587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</w:t>
            </w:r>
            <w:r w:rsidRPr="00587A30" w:rsidR="00377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7A30" w:rsidR="00C86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cilvēkdienas</w:t>
            </w:r>
            <w:r w:rsidRPr="00587A30" w:rsidR="00377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7A30" w:rsidR="00A6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 </w:t>
            </w:r>
            <w:r w:rsidRPr="00587A30" w:rsidR="00377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360 </w:t>
            </w:r>
            <w:r w:rsidRPr="00587A30" w:rsidR="00C86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euro/cilvēkdiena =</w:t>
            </w:r>
            <w:r w:rsidRPr="00587A30" w:rsidR="009A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7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18900</w:t>
            </w:r>
            <w:r w:rsidRPr="00587A30" w:rsidR="00C86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7DAD" w:rsidR="00C865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euro</w:t>
            </w:r>
            <w:r w:rsidRPr="00587A30" w:rsidR="009A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779BA" w:rsidRPr="00587A30" w:rsidP="00C865B0" w14:paraId="6E08C8EF" w14:textId="77777777">
            <w:pPr>
              <w:pStyle w:val="ListParagraph"/>
              <w:numPr>
                <w:ilvl w:val="3"/>
                <w:numId w:val="1"/>
              </w:numPr>
              <w:spacing w:after="0"/>
              <w:ind w:left="7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Savietošanas procesa pārtestēšana – 25 </w:t>
            </w:r>
            <w:r w:rsidRPr="00587A30" w:rsidR="00C86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cilvēkdienas</w:t>
            </w:r>
            <w:r w:rsidRPr="00587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7A30" w:rsidR="00A6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587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360 </w:t>
            </w:r>
            <w:r w:rsidRPr="00457DAD" w:rsidR="00C865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euro</w:t>
            </w:r>
            <w:r w:rsidRPr="00587A30" w:rsidR="00C86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/cilvēkdiena = 9</w:t>
            </w:r>
            <w:r w:rsidRPr="00587A30" w:rsidR="00EB2E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7A30" w:rsidR="00C86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Pr="00587A30" w:rsidR="00EB2E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euro</w:t>
            </w:r>
            <w:r w:rsidRPr="00587A30" w:rsidR="009A5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779BA" w:rsidP="00C865B0" w14:paraId="621167E7" w14:textId="7777777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87A30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Kopā: </w:t>
            </w:r>
            <w:r w:rsidRPr="00587A30" w:rsidR="00AF0571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2974</w:t>
            </w:r>
            <w:r w:rsidRPr="00587A30" w:rsidR="00EB2E0F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5</w:t>
            </w:r>
            <w:r w:rsidRPr="00587A30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r w:rsidRPr="00457DA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lv-LV"/>
              </w:rPr>
              <w:t>euro</w:t>
            </w:r>
            <w:r w:rsidRPr="00587A30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+ </w:t>
            </w:r>
            <w:r w:rsidRPr="00587A30" w:rsidR="00AF0571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624</w:t>
            </w:r>
            <w:r w:rsidRPr="00587A30" w:rsidR="00EB2E0F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7</w:t>
            </w:r>
            <w:r w:rsidRPr="00587A30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r w:rsidRPr="00457DA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lv-LV"/>
              </w:rPr>
              <w:t>euro</w:t>
            </w:r>
            <w:r w:rsidRPr="00587A30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PVN= 3</w:t>
            </w:r>
            <w:r w:rsidRPr="00587A30" w:rsidR="00AF0571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5992</w:t>
            </w:r>
            <w:r w:rsidRPr="00587A30" w:rsidR="00A63E7A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r w:rsidRPr="00457DAD" w:rsidR="00A63E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lv-LV"/>
              </w:rPr>
              <w:t>euro</w:t>
            </w:r>
            <w:r w:rsidRPr="00587A30" w:rsidR="009A5924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.</w:t>
            </w:r>
            <w:r w:rsidRPr="00587A30" w:rsidR="009E3827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Šobrīd VRAA uzturēšanas budžeta ietvaros paredzēts finansējums 7114 </w:t>
            </w:r>
            <w:r w:rsidRPr="00457DAD" w:rsidR="009E38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lv-LV"/>
              </w:rPr>
              <w:t>euro</w:t>
            </w:r>
            <w:r w:rsidRPr="00587A30" w:rsidR="009E3827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apmērā pielāgojumu izveidei</w:t>
            </w:r>
            <w:r w:rsidR="009E3827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. Līdz ar to kopējais papildus nepieciešamais finansējums </w:t>
            </w:r>
            <w:r w:rsidRPr="00E67099" w:rsidR="009E3827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būs </w:t>
            </w:r>
            <w:r w:rsidRPr="00E67099" w:rsidR="00737F6B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35 992</w:t>
            </w:r>
            <w:r w:rsidRPr="00E67099" w:rsidR="009E3827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-7114=</w:t>
            </w:r>
            <w:r w:rsidRPr="00E67099" w:rsidR="00737F6B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28878</w:t>
            </w:r>
            <w:r w:rsidRPr="00E67099" w:rsidR="009E3827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r w:rsidRPr="00457DAD" w:rsidR="009E38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lv-LV"/>
              </w:rPr>
              <w:t>euro</w:t>
            </w:r>
            <w:r w:rsidRPr="00E67099" w:rsidR="009E3827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.</w:t>
            </w:r>
          </w:p>
          <w:p w:rsidR="004A6CC2" w:rsidRPr="00D44096" w:rsidP="00AB1C6F" w14:paraId="50CC00E1" w14:textId="2A3EFE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D44096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Cilvēkdienu</w:t>
            </w:r>
            <w:r w:rsidRPr="00D44096" w:rsidR="00464BB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likme norādīta ņemot vērā</w:t>
            </w:r>
            <w:r w:rsidRPr="00D44096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šobrīd spēkā esoš</w:t>
            </w:r>
            <w:r w:rsidRPr="00D44096" w:rsidR="00464BB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o</w:t>
            </w:r>
            <w:r w:rsidRPr="00D44096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līgum</w:t>
            </w:r>
            <w:r w:rsidRPr="00D44096" w:rsidR="00464BB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u</w:t>
            </w:r>
            <w:r w:rsidRPr="00D44096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par sistēm</w:t>
            </w:r>
            <w:r w:rsidRPr="00D44096" w:rsidR="00464BB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as</w:t>
            </w:r>
            <w:r w:rsidRPr="00D44096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uzturēšanu. Nepieciešamai</w:t>
            </w:r>
            <w:r w:rsidR="007E17C2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s</w:t>
            </w:r>
            <w:r w:rsidRPr="00D44096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laiks sistēmas pielāgojumu izstrādei rēķināts, pamatojoties uz noteikumu grozījumu projektu.</w:t>
            </w:r>
          </w:p>
          <w:p w:rsidR="00055331" w:rsidRPr="00E66FB3" w:rsidP="00AB1C6F" w14:paraId="3D4A8A29" w14:textId="777777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lv-LV" w:eastAsia="lv-LV"/>
              </w:rPr>
            </w:pPr>
            <w:r w:rsidRPr="00D44096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PMLP veiks pielāgojumus </w:t>
            </w:r>
            <w:r w:rsidRPr="00D44096" w:rsidR="00936928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Iekšlietu ministrijas budžeta apakšprogramm</w:t>
            </w:r>
            <w:r w:rsidRPr="00D44096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as</w:t>
            </w:r>
            <w:r w:rsidRPr="00D44096" w:rsidR="00936928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11.01.00 “Pilsonības un migrācijas lietu pārvalde</w:t>
            </w:r>
            <w:r w:rsidRPr="00D44096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”</w:t>
            </w:r>
            <w:r w:rsidRPr="00D44096" w:rsidR="00A86046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r w:rsidRPr="00D44096" w:rsidR="00760379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esošā budžeta ietvaros.</w:t>
            </w:r>
          </w:p>
        </w:tc>
      </w:tr>
      <w:tr w14:paraId="771A2ABC" w14:textId="77777777" w:rsidTr="00E32A9C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5F0C2AE6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6.1. detalizēts ieņēmumu aprēķins</w:t>
            </w:r>
          </w:p>
        </w:tc>
        <w:tc>
          <w:tcPr>
            <w:tcW w:w="6309" w:type="dxa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70D6AF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14:paraId="44BC4D8D" w14:textId="77777777" w:rsidTr="00FA4632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trHeight w:val="5321"/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41E65F37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6.2. detalizēts izdevumu aprēķins</w:t>
            </w:r>
          </w:p>
        </w:tc>
        <w:tc>
          <w:tcPr>
            <w:tcW w:w="6309" w:type="dxa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:rsidR="00055331" w:rsidRPr="005C4218" w14:paraId="3DDF90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14:paraId="7178F637" w14:textId="77777777" w:rsidTr="00821DE8">
        <w:tblPrEx>
          <w:tblW w:w="5000" w:type="pct"/>
          <w:jc w:val="center"/>
          <w:tblCellMar>
            <w:top w:w="24" w:type="dxa"/>
            <w:left w:w="23" w:type="dxa"/>
            <w:bottom w:w="24" w:type="dxa"/>
            <w:right w:w="24" w:type="dxa"/>
          </w:tblCellMar>
          <w:tblLook w:val="04A0"/>
        </w:tblPrEx>
        <w:trPr>
          <w:trHeight w:val="1090"/>
          <w:jc w:val="center"/>
        </w:trPr>
        <w:tc>
          <w:tcPr>
            <w:tcW w:w="31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RPr="005C4218" w14:paraId="06F7E4A1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5C4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7. Cita informācija</w:t>
            </w:r>
          </w:p>
        </w:tc>
        <w:tc>
          <w:tcPr>
            <w:tcW w:w="6309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</w:tcPr>
          <w:p w:rsidR="00055331" w:rsidP="00760379" w14:paraId="6F0AB61F" w14:textId="5B24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67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V</w:t>
            </w:r>
            <w:r w:rsidR="00AE1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 xml:space="preserve">ARAM </w:t>
            </w:r>
            <w:r w:rsidRPr="00E67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 xml:space="preserve"> plāno pārdalīt līdzekļus no valsts budžeta programmas 97.00.00 “Nozaru vadība un politikas plānošana” prioritārā pasākuma “Padomju okupācijas upuru piemiņas memoriāla kompleksa būvniecības procesa kontroles un tiesiskuma nodrošināšanas izdevumu segšana” </w:t>
            </w:r>
            <w:r w:rsidRPr="00587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 xml:space="preserve">28878 </w:t>
            </w:r>
            <w:r w:rsidRPr="00457D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lv-LV" w:eastAsia="lv-LV"/>
              </w:rPr>
              <w:t xml:space="preserve">euro </w:t>
            </w:r>
            <w:r w:rsidRPr="00587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apmērā</w:t>
            </w:r>
            <w:r w:rsidRPr="00E67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 xml:space="preserve"> uz V</w:t>
            </w:r>
            <w:r w:rsidR="00AE1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 xml:space="preserve">ARAM </w:t>
            </w:r>
            <w:r w:rsidRPr="00E67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 xml:space="preserve"> valsts budžeta programmu 32.00.00 “Valsts reģionālās attīstības politikas īstenošana” papildus funkcionalitātes izveidei datubāzēm.</w:t>
            </w:r>
          </w:p>
          <w:p w:rsidR="00E67099" w:rsidRPr="000C6B6F" w:rsidP="00E67099" w14:paraId="08F9C7F7" w14:textId="77777777">
            <w:pPr>
              <w:suppressAutoHyphens w:val="0"/>
              <w:spacing w:after="240" w:line="240" w:lineRule="auto"/>
              <w:jc w:val="both"/>
              <w:rPr>
                <w:shd w:val="clear" w:color="auto" w:fill="FFFFFF"/>
                <w:lang w:val="lv-LV"/>
              </w:rPr>
            </w:pPr>
            <w:r w:rsidRPr="000C6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 xml:space="preserve">Noteikumu projektu īstenošana, tajā skaitā arī pielāgojumi informācijas sistēmās tiks nodrošināta iesaistīto institūciju budžetā esošo līdzekļu ietvaros, </w:t>
            </w:r>
            <w:r w:rsidRPr="000C6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pārdalot izdevumus starp ministrijas budžeta programmām.</w:t>
            </w:r>
          </w:p>
        </w:tc>
      </w:tr>
    </w:tbl>
    <w:p w:rsidR="00055331" w:rsidRPr="00A132CB" w14:paraId="488A919E" w14:textId="77777777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/>
      </w:tblPr>
      <w:tblGrid>
        <w:gridCol w:w="480"/>
        <w:gridCol w:w="2792"/>
        <w:gridCol w:w="6349"/>
      </w:tblGrid>
      <w:tr w14:paraId="55464DEF" w14:textId="77777777">
        <w:tblPrEx>
          <w:tblW w:w="5000" w:type="pct"/>
          <w:tblLook w:val="04A0"/>
        </w:tblPrEx>
        <w:trPr>
          <w:trHeight w:val="450"/>
        </w:trPr>
        <w:tc>
          <w:tcPr>
            <w:tcW w:w="9360" w:type="dxa"/>
            <w:gridSpan w:val="3"/>
            <w:shd w:val="clear" w:color="auto" w:fill="auto"/>
            <w:tcMar>
              <w:left w:w="108" w:type="dxa"/>
            </w:tcMar>
          </w:tcPr>
          <w:p w:rsidR="00055331" w:rsidRPr="005C4218" w14:paraId="07013B22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IV. Tiesību akta projekta ietekme uz spēkā esošo tiesību normu sistēmu</w:t>
            </w:r>
          </w:p>
        </w:tc>
      </w:tr>
      <w:tr w14:paraId="3F0C28DF" w14:textId="77777777">
        <w:tblPrEx>
          <w:tblW w:w="5000" w:type="pct"/>
          <w:tblLook w:val="04A0"/>
        </w:tblPrEx>
        <w:trPr>
          <w:trHeight w:val="841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5C4218" w14:paraId="0528A7B7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</w:p>
        </w:tc>
        <w:tc>
          <w:tcPr>
            <w:tcW w:w="2716" w:type="dxa"/>
            <w:shd w:val="clear" w:color="auto" w:fill="auto"/>
            <w:tcMar>
              <w:left w:w="108" w:type="dxa"/>
            </w:tcMar>
          </w:tcPr>
          <w:p w:rsidR="00055331" w:rsidRPr="005C4218" w14:paraId="03B6BB73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Nepieciešamie saistītie tiesību aktu projekti</w:t>
            </w:r>
          </w:p>
        </w:tc>
        <w:tc>
          <w:tcPr>
            <w:tcW w:w="6177" w:type="dxa"/>
            <w:shd w:val="clear" w:color="auto" w:fill="auto"/>
            <w:tcMar>
              <w:left w:w="108" w:type="dxa"/>
            </w:tcMar>
          </w:tcPr>
          <w:p w:rsidR="00055331" w:rsidRPr="005C4218" w14:paraId="1441E573" w14:textId="7777777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Ministru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kabineta 2010. gada 17. augusta</w:t>
            </w: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noteikumi Nr. 788 “Valsts izglītības informācijas sistēmas saturs, uzturēšanas un aktualizācijas kārtība”.</w:t>
            </w:r>
          </w:p>
        </w:tc>
      </w:tr>
      <w:tr w14:paraId="35158A33" w14:textId="77777777">
        <w:tblPrEx>
          <w:tblW w:w="5000" w:type="pct"/>
          <w:tblLook w:val="04A0"/>
        </w:tblPrEx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5C4218" w14:paraId="5088C069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</w:t>
            </w:r>
          </w:p>
        </w:tc>
        <w:tc>
          <w:tcPr>
            <w:tcW w:w="2716" w:type="dxa"/>
            <w:shd w:val="clear" w:color="auto" w:fill="auto"/>
            <w:tcMar>
              <w:left w:w="108" w:type="dxa"/>
            </w:tcMar>
          </w:tcPr>
          <w:p w:rsidR="00055331" w:rsidRPr="005C4218" w14:paraId="294A6E56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Atbildīgā institūcija</w:t>
            </w:r>
          </w:p>
        </w:tc>
        <w:tc>
          <w:tcPr>
            <w:tcW w:w="6177" w:type="dxa"/>
            <w:shd w:val="clear" w:color="auto" w:fill="auto"/>
            <w:tcMar>
              <w:left w:w="108" w:type="dxa"/>
            </w:tcMar>
          </w:tcPr>
          <w:p w:rsidR="00055331" w:rsidRPr="005C4218" w14:paraId="2777AC31" w14:textId="2FF7CD04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</w:t>
            </w:r>
            <w:r w:rsidRPr="005C4218" w:rsidR="00CD1359">
              <w:rPr>
                <w:sz w:val="28"/>
                <w:szCs w:val="28"/>
              </w:rPr>
              <w:t>M</w:t>
            </w:r>
            <w:r w:rsidR="004D29F6">
              <w:rPr>
                <w:sz w:val="28"/>
                <w:szCs w:val="28"/>
              </w:rPr>
              <w:t xml:space="preserve">. </w:t>
            </w:r>
          </w:p>
        </w:tc>
      </w:tr>
      <w:tr w14:paraId="5736200D" w14:textId="77777777">
        <w:tblPrEx>
          <w:tblW w:w="5000" w:type="pct"/>
          <w:tblLook w:val="04A0"/>
        </w:tblPrEx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5C4218" w14:paraId="16639B6D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</w:p>
        </w:tc>
        <w:tc>
          <w:tcPr>
            <w:tcW w:w="2716" w:type="dxa"/>
            <w:shd w:val="clear" w:color="auto" w:fill="auto"/>
            <w:tcMar>
              <w:left w:w="108" w:type="dxa"/>
            </w:tcMar>
          </w:tcPr>
          <w:p w:rsidR="00055331" w:rsidRPr="005C4218" w14:paraId="064E505C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6177" w:type="dxa"/>
            <w:shd w:val="clear" w:color="auto" w:fill="auto"/>
            <w:tcMar>
              <w:left w:w="108" w:type="dxa"/>
            </w:tcMar>
          </w:tcPr>
          <w:p w:rsidR="00055331" w:rsidRPr="005C4218" w:rsidP="00A86046" w14:paraId="056D8FE6" w14:textId="7777777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Valsts sekretāru sanāksmē 2017. gada 13. aprīlī ir izsludināti grozījumi M</w:t>
            </w:r>
            <w:r w:rsidR="00BE2D5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inistru kabineta 2010. gada 17. </w:t>
            </w:r>
            <w:r w:rsidR="000305C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augusta noteikumos Nr. </w:t>
            </w: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788 </w:t>
            </w:r>
            <w:r w:rsidRPr="000F7F76" w:rsidR="000F7F7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“</w:t>
            </w: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Valsts izglītības informācijas sistēmas saturs, uzturēšanas un aktualizācijas kārtība” (VSS-402), ko sagatavoja I</w:t>
            </w:r>
            <w:r w:rsidR="00BE2D5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ZM</w:t>
            </w: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</w:tbl>
    <w:p w:rsidR="00A132CB" w:rsidP="00A132CB" w14:paraId="52788716" w14:textId="77777777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W w:w="5092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39"/>
      </w:tblGrid>
      <w:tr w14:paraId="4B56873B" w14:textId="77777777" w:rsidTr="0021024E">
        <w:tblPrEx>
          <w:tblW w:w="5092" w:type="pct"/>
          <w:tblInd w:w="-112" w:type="dxa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1024E" w:rsidRPr="00457DAD" w:rsidP="0021024E" w14:paraId="74E33433" w14:textId="77777777">
            <w:pPr>
              <w:pStyle w:val="NoSpacing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val="lv-LV" w:eastAsia="lv-LV"/>
              </w:rPr>
            </w:pPr>
            <w:r w:rsidRPr="00457DAD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V. </w:t>
            </w:r>
            <w:r w:rsidRPr="00457D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Tiesību akta projekta atbilstība Latvijas Republikas starptautiskajām saistībām</w:t>
            </w:r>
          </w:p>
        </w:tc>
      </w:tr>
      <w:tr w14:paraId="6CBF90C1" w14:textId="77777777" w:rsidTr="0021024E">
        <w:tblPrEx>
          <w:tblW w:w="5092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1024E" w:rsidRPr="00587A30" w:rsidP="0021024E" w14:paraId="518EC244" w14:textId="77777777">
            <w:pPr>
              <w:suppressAutoHyphens w:val="0"/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lv-LV" w:eastAsia="lv-LV"/>
              </w:rPr>
            </w:pPr>
            <w:r w:rsidRPr="00587A3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Projekts šo jomu neskar</w:t>
            </w:r>
          </w:p>
        </w:tc>
      </w:tr>
    </w:tbl>
    <w:p w:rsidR="0021024E" w:rsidRPr="00A132CB" w:rsidP="00A132CB" w14:paraId="0C212517" w14:textId="77777777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480"/>
        <w:gridCol w:w="2886"/>
        <w:gridCol w:w="6255"/>
      </w:tblGrid>
      <w:tr w14:paraId="71A25B3C" w14:textId="77777777">
        <w:tblPrEx>
          <w:tblW w:w="5000" w:type="pct"/>
          <w:jc w:val="center"/>
          <w:tblLook w:val="04A0"/>
        </w:tblPrEx>
        <w:trPr>
          <w:trHeight w:val="420"/>
          <w:jc w:val="center"/>
        </w:trPr>
        <w:tc>
          <w:tcPr>
            <w:tcW w:w="9360" w:type="dxa"/>
            <w:gridSpan w:val="3"/>
            <w:shd w:val="clear" w:color="auto" w:fill="auto"/>
            <w:tcMar>
              <w:left w:w="108" w:type="dxa"/>
            </w:tcMar>
          </w:tcPr>
          <w:p w:rsidR="00055331" w:rsidRPr="005C4218" w14:paraId="6E98A943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VI. Sabiedrības līdzdalība un komunikācijas aktivitātes</w:t>
            </w:r>
          </w:p>
        </w:tc>
      </w:tr>
      <w:tr w14:paraId="69B798F1" w14:textId="77777777">
        <w:tblPrEx>
          <w:tblW w:w="5000" w:type="pct"/>
          <w:jc w:val="center"/>
          <w:tblLook w:val="04A0"/>
        </w:tblPrEx>
        <w:trPr>
          <w:trHeight w:val="540"/>
          <w:jc w:val="center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5C4218" w14:paraId="7C92FC36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</w:p>
        </w:tc>
        <w:tc>
          <w:tcPr>
            <w:tcW w:w="2808" w:type="dxa"/>
            <w:shd w:val="clear" w:color="auto" w:fill="auto"/>
            <w:tcMar>
              <w:left w:w="108" w:type="dxa"/>
            </w:tcMar>
          </w:tcPr>
          <w:p w:rsidR="00055331" w:rsidRPr="005C4218" w14:paraId="2DE2A7B8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6085" w:type="dxa"/>
            <w:shd w:val="clear" w:color="auto" w:fill="auto"/>
            <w:tcMar>
              <w:left w:w="108" w:type="dxa"/>
            </w:tcMar>
          </w:tcPr>
          <w:p w:rsidR="00055331" w:rsidRPr="005C4218" w:rsidP="00BE2D56" w14:paraId="6B48FA4F" w14:textId="7777777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Atbilstoši Ministru kabineta 2009. gada 25. augusta noteikumiem Nr. 970 </w:t>
            </w:r>
            <w:r w:rsidRPr="000F7F76" w:rsidR="000F7F7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“</w:t>
            </w: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Sabiedrības līdzdalības kārtība attīstības plānošanas procesā” par projekta izstrādi tika informēti sabiedrības pārstāvji, </w:t>
            </w:r>
            <w:r w:rsidR="00BE2D5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2017. gada 30. </w:t>
            </w:r>
            <w:r w:rsidR="002F259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jūnijā </w:t>
            </w: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ievietojot </w:t>
            </w:r>
            <w:r w:rsidRPr="00BE2D56" w:rsidR="00BE2D5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VARAM tīmekļvietnē </w:t>
            </w:r>
            <w:r>
              <w:fldChar w:fldCharType="begin"/>
            </w:r>
            <w:r>
              <w:instrText xml:space="preserve"> HYPERLINK "http://www.varam.gov.lv" </w:instrText>
            </w:r>
            <w:r>
              <w:fldChar w:fldCharType="separate"/>
            </w:r>
            <w:r w:rsidRPr="00BE2D56" w:rsidR="00BE2D56">
              <w:rPr>
                <w:rStyle w:val="Hyperlink"/>
                <w:rFonts w:ascii="Times New Roman" w:hAnsi="Times New Roman" w:cs="Times New Roman"/>
                <w:sz w:val="28"/>
                <w:szCs w:val="28"/>
                <w:lang w:val="lv-LV"/>
              </w:rPr>
              <w:t>www.varam.gov.lv</w:t>
            </w:r>
            <w:r>
              <w:fldChar w:fldCharType="end"/>
            </w:r>
            <w:r w:rsidR="00BE2D5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57102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</w:t>
            </w: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aziņojumu par līdzdalības iespējām </w:t>
            </w:r>
            <w:r w:rsidR="00BE2D5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MK noteikumu projekta </w:t>
            </w: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izstrādes procesā.</w:t>
            </w:r>
            <w:r w:rsidR="000F7F7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</w:tc>
      </w:tr>
      <w:tr w14:paraId="0F5F931A" w14:textId="77777777">
        <w:tblPrEx>
          <w:tblW w:w="5000" w:type="pct"/>
          <w:jc w:val="center"/>
          <w:tblLook w:val="04A0"/>
        </w:tblPrEx>
        <w:trPr>
          <w:trHeight w:val="330"/>
          <w:jc w:val="center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5C4218" w14:paraId="43733349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</w:t>
            </w:r>
          </w:p>
        </w:tc>
        <w:tc>
          <w:tcPr>
            <w:tcW w:w="2808" w:type="dxa"/>
            <w:shd w:val="clear" w:color="auto" w:fill="auto"/>
            <w:tcMar>
              <w:left w:w="108" w:type="dxa"/>
            </w:tcMar>
          </w:tcPr>
          <w:p w:rsidR="00055331" w:rsidRPr="005C4218" w14:paraId="35835A47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Sabiedrības līdzdalība projekta izstrādē</w:t>
            </w:r>
          </w:p>
        </w:tc>
        <w:tc>
          <w:tcPr>
            <w:tcW w:w="6085" w:type="dxa"/>
            <w:shd w:val="clear" w:color="auto" w:fill="auto"/>
            <w:tcMar>
              <w:left w:w="108" w:type="dxa"/>
            </w:tcMar>
          </w:tcPr>
          <w:p w:rsidR="00055331" w:rsidRPr="005C4218" w14:paraId="0B2B18B5" w14:textId="2086C0B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Sabiedrības pārstāvjiem tika dota iespēja līdzdarboties projekta izstrādē, </w:t>
            </w:r>
            <w:r w:rsidRPr="005C4218" w:rsidR="00CB12D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rakstveid</w:t>
            </w:r>
            <w:r w:rsidR="0032558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ā </w:t>
            </w: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sniedzot viedokli par </w:t>
            </w:r>
            <w:r w:rsidR="004D29F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MK noteikumu </w:t>
            </w: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projektu. </w:t>
            </w:r>
          </w:p>
        </w:tc>
      </w:tr>
      <w:tr w14:paraId="63320C9C" w14:textId="77777777">
        <w:tblPrEx>
          <w:tblW w:w="5000" w:type="pct"/>
          <w:jc w:val="center"/>
          <w:tblLook w:val="04A0"/>
        </w:tblPrEx>
        <w:trPr>
          <w:trHeight w:val="465"/>
          <w:jc w:val="center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5C4218" w14:paraId="609AFA86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</w:p>
        </w:tc>
        <w:tc>
          <w:tcPr>
            <w:tcW w:w="2808" w:type="dxa"/>
            <w:shd w:val="clear" w:color="auto" w:fill="auto"/>
            <w:tcMar>
              <w:left w:w="108" w:type="dxa"/>
            </w:tcMar>
          </w:tcPr>
          <w:p w:rsidR="00055331" w:rsidRPr="005C4218" w14:paraId="3489DBB8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Sabiedrības līdzdalības rezultāti</w:t>
            </w:r>
          </w:p>
        </w:tc>
        <w:tc>
          <w:tcPr>
            <w:tcW w:w="6085" w:type="dxa"/>
            <w:shd w:val="clear" w:color="auto" w:fill="auto"/>
            <w:tcMar>
              <w:left w:w="108" w:type="dxa"/>
            </w:tcMar>
          </w:tcPr>
          <w:p w:rsidR="00055331" w:rsidRPr="005C4218" w:rsidP="00A86046" w14:paraId="27BEF10B" w14:textId="7777777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Sabiedrības līdzdalības rezultātā iebildumi un priekšlikumi nav saņemti.</w:t>
            </w:r>
          </w:p>
        </w:tc>
      </w:tr>
      <w:tr w14:paraId="41385D4D" w14:textId="77777777">
        <w:tblPrEx>
          <w:tblW w:w="5000" w:type="pct"/>
          <w:jc w:val="center"/>
          <w:tblLook w:val="04A0"/>
        </w:tblPrEx>
        <w:trPr>
          <w:trHeight w:val="465"/>
          <w:jc w:val="center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5C4218" w14:paraId="121A9FCE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</w:t>
            </w:r>
          </w:p>
        </w:tc>
        <w:tc>
          <w:tcPr>
            <w:tcW w:w="2808" w:type="dxa"/>
            <w:shd w:val="clear" w:color="auto" w:fill="auto"/>
            <w:tcMar>
              <w:left w:w="108" w:type="dxa"/>
            </w:tcMar>
          </w:tcPr>
          <w:p w:rsidR="00055331" w:rsidRPr="005C4218" w14:paraId="2271613A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6085" w:type="dxa"/>
            <w:shd w:val="clear" w:color="auto" w:fill="auto"/>
            <w:tcMar>
              <w:left w:w="108" w:type="dxa"/>
            </w:tcMar>
          </w:tcPr>
          <w:p w:rsidR="00055331" w:rsidRPr="005C4218" w14:paraId="72ABBB2B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Nav.</w:t>
            </w:r>
          </w:p>
        </w:tc>
      </w:tr>
    </w:tbl>
    <w:p w:rsidR="00055331" w:rsidRPr="00A132CB" w14:paraId="2A603667" w14:textId="77777777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/>
      </w:tblPr>
      <w:tblGrid>
        <w:gridCol w:w="480"/>
        <w:gridCol w:w="3656"/>
        <w:gridCol w:w="5485"/>
      </w:tblGrid>
      <w:tr w14:paraId="3ED23E31" w14:textId="77777777">
        <w:tblPrEx>
          <w:tblW w:w="5000" w:type="pct"/>
          <w:tblLook w:val="04A0"/>
        </w:tblPrEx>
        <w:trPr>
          <w:trHeight w:val="375"/>
        </w:trPr>
        <w:tc>
          <w:tcPr>
            <w:tcW w:w="9360" w:type="dxa"/>
            <w:gridSpan w:val="3"/>
            <w:shd w:val="clear" w:color="auto" w:fill="auto"/>
            <w:tcMar>
              <w:left w:w="108" w:type="dxa"/>
            </w:tcMar>
          </w:tcPr>
          <w:p w:rsidR="00055331" w:rsidRPr="00B405A4" w:rsidP="00B405A4" w14:paraId="4813E8AE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VII. Tiesību akta projekta izpildes nodrošināšana un tās ietekme uz institūcijām</w:t>
            </w:r>
          </w:p>
        </w:tc>
      </w:tr>
      <w:tr w14:paraId="06107C55" w14:textId="77777777">
        <w:tblPrEx>
          <w:tblW w:w="5000" w:type="pct"/>
          <w:tblLook w:val="04A0"/>
        </w:tblPrEx>
        <w:trPr>
          <w:trHeight w:val="420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5C4218" w14:paraId="22A8B59E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</w:p>
        </w:tc>
        <w:tc>
          <w:tcPr>
            <w:tcW w:w="3557" w:type="dxa"/>
            <w:shd w:val="clear" w:color="auto" w:fill="auto"/>
            <w:tcMar>
              <w:left w:w="108" w:type="dxa"/>
            </w:tcMar>
          </w:tcPr>
          <w:p w:rsidR="00055331" w:rsidRPr="005C4218" w14:paraId="3D4C43BE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Projekta izpildē iesaistītās institūcijas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</w:tcPr>
          <w:p w:rsidR="00055331" w:rsidRPr="00B405A4" w:rsidP="00B405A4" w14:paraId="31CFA598" w14:textId="777777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MK noteikumu projekta</w:t>
            </w: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izpildi nodrošinās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VRAA</w:t>
            </w:r>
            <w:r w:rsidR="00172A0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 IZ</w:t>
            </w: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 un PMLP. </w:t>
            </w:r>
          </w:p>
        </w:tc>
      </w:tr>
      <w:tr w14:paraId="2266CEEC" w14:textId="77777777">
        <w:tblPrEx>
          <w:tblW w:w="5000" w:type="pct"/>
          <w:tblLook w:val="04A0"/>
        </w:tblPrEx>
        <w:trPr>
          <w:trHeight w:val="450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5C4218" w14:paraId="417E80A0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</w:t>
            </w:r>
          </w:p>
        </w:tc>
        <w:tc>
          <w:tcPr>
            <w:tcW w:w="3557" w:type="dxa"/>
            <w:shd w:val="clear" w:color="auto" w:fill="auto"/>
            <w:tcMar>
              <w:left w:w="108" w:type="dxa"/>
            </w:tcMar>
          </w:tcPr>
          <w:p w:rsidR="00055331" w:rsidRPr="005C4218" w14:paraId="2D19595C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Projekta izpildes ietekme uz pārvaldes funkcijām un institucionālo struktūru. </w:t>
            </w:r>
          </w:p>
          <w:p w:rsidR="00055331" w:rsidRPr="005C4218" w14:paraId="4085F317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</w:tcPr>
          <w:p w:rsidR="00B405A4" w:rsidRPr="006A3C6F" w:rsidP="00B405A4" w14:paraId="6DCB9CEF" w14:textId="7777777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MK noteikumu projekts neparedz jaunu institūciju izveidi, likvidāciju vai reorganizāciju.</w:t>
            </w:r>
          </w:p>
          <w:p w:rsidR="00055331" w:rsidRPr="005C4218" w:rsidP="00B405A4" w14:paraId="37506606" w14:textId="7777777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A3C6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MK noteikumu projekts neietekmē iesaistīto institūciju funkcijas un uzdevumus.</w:t>
            </w:r>
          </w:p>
        </w:tc>
      </w:tr>
      <w:tr w14:paraId="1DD09C36" w14:textId="77777777">
        <w:tblPrEx>
          <w:tblW w:w="5000" w:type="pct"/>
          <w:tblLook w:val="04A0"/>
        </w:tblPrEx>
        <w:trPr>
          <w:trHeight w:val="390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:rsidR="00055331" w:rsidRPr="005C4218" w14:paraId="5D1CE5EF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</w:p>
        </w:tc>
        <w:tc>
          <w:tcPr>
            <w:tcW w:w="3557" w:type="dxa"/>
            <w:shd w:val="clear" w:color="auto" w:fill="auto"/>
            <w:tcMar>
              <w:left w:w="108" w:type="dxa"/>
            </w:tcMar>
          </w:tcPr>
          <w:p w:rsidR="00055331" w:rsidRPr="005C4218" w14:paraId="38ADF67D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</w:tcPr>
          <w:p w:rsidR="00055331" w:rsidRPr="005C4218" w14:paraId="04D5EC23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C42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Nav.</w:t>
            </w:r>
          </w:p>
        </w:tc>
      </w:tr>
    </w:tbl>
    <w:p w:rsidR="00A451F9" w:rsidRPr="00A451F9" w:rsidP="00A451F9" w14:paraId="67057E82" w14:textId="77777777">
      <w:pPr>
        <w:tabs>
          <w:tab w:val="left" w:pos="6521"/>
          <w:tab w:val="left" w:pos="6840"/>
        </w:tabs>
        <w:rPr>
          <w:rFonts w:ascii="Times New Roman" w:hAnsi="Times New Roman" w:cs="Times New Roman"/>
          <w:i/>
          <w:sz w:val="28"/>
          <w:szCs w:val="28"/>
          <w:lang w:val="lv-LV"/>
        </w:rPr>
      </w:pPr>
    </w:p>
    <w:p w:rsidR="00055331" w:rsidRPr="00B405A4" w:rsidP="00BE2D56" w14:paraId="58D33896" w14:textId="77777777">
      <w:pPr>
        <w:tabs>
          <w:tab w:val="left" w:pos="6521"/>
          <w:tab w:val="left" w:pos="6840"/>
        </w:tabs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lv-LV"/>
        </w:rPr>
      </w:pPr>
      <w:r w:rsidRPr="005C4218">
        <w:rPr>
          <w:rFonts w:ascii="Times New Roman" w:hAnsi="Times New Roman" w:cs="Times New Roman"/>
          <w:sz w:val="28"/>
          <w:szCs w:val="28"/>
          <w:lang w:val="lv-LV"/>
        </w:rPr>
        <w:t xml:space="preserve">Vides aizsardzības un reģionālās </w:t>
      </w:r>
    </w:p>
    <w:p w:rsidR="00BE2D56" w:rsidP="00A451F9" w14:paraId="3A2EB9E5" w14:textId="77777777">
      <w:pPr>
        <w:tabs>
          <w:tab w:val="left" w:pos="6521"/>
          <w:tab w:val="left" w:pos="6840"/>
        </w:tabs>
        <w:spacing w:after="24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lv-LV"/>
        </w:rPr>
      </w:pPr>
      <w:r w:rsidRPr="005C4218">
        <w:rPr>
          <w:rFonts w:ascii="Times New Roman" w:hAnsi="Times New Roman" w:cs="Times New Roman"/>
          <w:sz w:val="28"/>
          <w:szCs w:val="28"/>
          <w:lang w:val="lv-LV"/>
        </w:rPr>
        <w:t>attīstības ministrs</w:t>
      </w:r>
      <w:r w:rsidRPr="005C421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F7F76">
        <w:rPr>
          <w:rFonts w:ascii="Times New Roman" w:hAnsi="Times New Roman" w:cs="Times New Roman"/>
          <w:sz w:val="28"/>
          <w:szCs w:val="28"/>
          <w:lang w:val="lv-LV"/>
        </w:rPr>
        <w:t xml:space="preserve">      </w:t>
      </w:r>
      <w:r w:rsidRPr="005C4218">
        <w:rPr>
          <w:rFonts w:ascii="Times New Roman" w:hAnsi="Times New Roman" w:cs="Times New Roman"/>
          <w:sz w:val="28"/>
          <w:szCs w:val="28"/>
          <w:lang w:val="lv-LV"/>
        </w:rPr>
        <w:t>K. Gerhards</w:t>
      </w:r>
    </w:p>
    <w:p w:rsidR="00A451F9" w:rsidRPr="00B405A4" w:rsidP="00A451F9" w14:paraId="2D9E5325" w14:textId="77777777">
      <w:pPr>
        <w:tabs>
          <w:tab w:val="left" w:pos="6521"/>
          <w:tab w:val="left" w:pos="6840"/>
        </w:tabs>
        <w:spacing w:after="24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lv-LV"/>
        </w:rPr>
      </w:pPr>
    </w:p>
    <w:p w:rsidR="00C738E7" w:rsidRPr="00FF574B" w:rsidP="00BE2D56" w14:paraId="2DE87AD3" w14:textId="77777777">
      <w:pPr>
        <w:tabs>
          <w:tab w:val="left" w:pos="6521"/>
          <w:tab w:val="left" w:pos="6840"/>
        </w:tabs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lv-LV"/>
        </w:rPr>
      </w:pPr>
      <w:r w:rsidRPr="006A3C6F">
        <w:rPr>
          <w:rFonts w:ascii="Times New Roman" w:hAnsi="Times New Roman" w:cs="Times New Roman"/>
          <w:sz w:val="28"/>
          <w:szCs w:val="28"/>
          <w:lang w:val="lv-LV"/>
        </w:rPr>
        <w:t xml:space="preserve">Vides aizsardzības un reģionālās </w:t>
      </w:r>
    </w:p>
    <w:p w:rsidR="00055331" w:rsidRPr="005C4218" w:rsidP="00BE2D56" w14:paraId="4ABCB5F6" w14:textId="77777777">
      <w:pPr>
        <w:tabs>
          <w:tab w:val="left" w:pos="6521"/>
          <w:tab w:val="left" w:pos="6840"/>
        </w:tabs>
        <w:spacing w:before="24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lv-LV"/>
        </w:rPr>
      </w:pPr>
      <w:r w:rsidRPr="006A3C6F">
        <w:rPr>
          <w:rFonts w:ascii="Times New Roman" w:hAnsi="Times New Roman" w:cs="Times New Roman"/>
          <w:sz w:val="28"/>
          <w:szCs w:val="28"/>
          <w:lang w:val="lv-LV"/>
        </w:rPr>
        <w:t>attīstības ministrijas valsts sekretārs</w:t>
      </w:r>
      <w:r w:rsidRPr="005C4218" w:rsidR="00CD135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F7F76">
        <w:rPr>
          <w:rFonts w:ascii="Times New Roman" w:hAnsi="Times New Roman" w:cs="Times New Roman"/>
          <w:sz w:val="28"/>
          <w:szCs w:val="28"/>
          <w:lang w:val="lv-LV"/>
        </w:rPr>
        <w:t xml:space="preserve">      </w:t>
      </w:r>
      <w:r w:rsidRPr="005C4218" w:rsidR="00CD1359">
        <w:rPr>
          <w:rFonts w:ascii="Times New Roman" w:hAnsi="Times New Roman" w:cs="Times New Roman"/>
          <w:sz w:val="28"/>
          <w:szCs w:val="28"/>
          <w:lang w:val="lv-LV"/>
        </w:rPr>
        <w:t>R</w:t>
      </w:r>
      <w:r w:rsidR="00B405A4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5C4218" w:rsidR="00CD1359">
        <w:rPr>
          <w:rFonts w:ascii="Times New Roman" w:hAnsi="Times New Roman" w:cs="Times New Roman"/>
          <w:sz w:val="28"/>
          <w:szCs w:val="28"/>
          <w:lang w:val="lv-LV"/>
        </w:rPr>
        <w:t xml:space="preserve"> Muciņš</w:t>
      </w:r>
    </w:p>
    <w:p w:rsidR="00B405A4" w:rsidP="00AF126C" w14:paraId="449D78E1" w14:textId="77777777">
      <w:pPr>
        <w:tabs>
          <w:tab w:val="left" w:pos="6521"/>
          <w:tab w:val="left" w:pos="684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02696F" w:rsidP="00AF126C" w14:paraId="683339C2" w14:textId="77777777">
      <w:pPr>
        <w:tabs>
          <w:tab w:val="left" w:pos="6521"/>
          <w:tab w:val="left" w:pos="684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02696F" w:rsidP="00AF126C" w14:paraId="103BC882" w14:textId="77777777">
      <w:pPr>
        <w:tabs>
          <w:tab w:val="left" w:pos="6521"/>
          <w:tab w:val="left" w:pos="684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02696F" w:rsidP="00AF126C" w14:paraId="6087CE75" w14:textId="77777777">
      <w:pPr>
        <w:tabs>
          <w:tab w:val="left" w:pos="6521"/>
          <w:tab w:val="left" w:pos="684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02696F" w:rsidP="00AF126C" w14:paraId="5508574A" w14:textId="77777777">
      <w:pPr>
        <w:tabs>
          <w:tab w:val="left" w:pos="6521"/>
          <w:tab w:val="left" w:pos="684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8B222C" w:rsidP="00AF126C" w14:paraId="3C09843B" w14:textId="77777777">
      <w:pPr>
        <w:tabs>
          <w:tab w:val="left" w:pos="6521"/>
          <w:tab w:val="left" w:pos="684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8B222C" w:rsidP="00AF126C" w14:paraId="542296D0" w14:textId="77777777">
      <w:pPr>
        <w:tabs>
          <w:tab w:val="left" w:pos="6521"/>
          <w:tab w:val="left" w:pos="684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8B222C" w:rsidP="00AF126C" w14:paraId="4E007910" w14:textId="77777777">
      <w:pPr>
        <w:tabs>
          <w:tab w:val="left" w:pos="6521"/>
          <w:tab w:val="left" w:pos="684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8B222C" w:rsidP="00AF126C" w14:paraId="033129F1" w14:textId="77777777">
      <w:pPr>
        <w:tabs>
          <w:tab w:val="left" w:pos="6521"/>
          <w:tab w:val="left" w:pos="684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8B222C" w:rsidP="00AF126C" w14:paraId="1022AED6" w14:textId="77777777">
      <w:pPr>
        <w:tabs>
          <w:tab w:val="left" w:pos="6521"/>
          <w:tab w:val="left" w:pos="684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02696F" w:rsidRPr="00B405A4" w:rsidP="00AF126C" w14:paraId="1D9A08A3" w14:textId="77777777">
      <w:pPr>
        <w:tabs>
          <w:tab w:val="left" w:pos="6521"/>
          <w:tab w:val="left" w:pos="684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055331" w:rsidRPr="00B405A4" w:rsidP="00753931" w14:paraId="394A04DF" w14:textId="6E780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405A4">
        <w:rPr>
          <w:rFonts w:ascii="Times New Roman" w:hAnsi="Times New Roman" w:cs="Times New Roman"/>
          <w:sz w:val="20"/>
          <w:szCs w:val="20"/>
          <w:lang w:val="lv-LV"/>
        </w:rPr>
        <w:t xml:space="preserve">Ratkevičs </w:t>
      </w:r>
      <w:r w:rsidR="00DE7B73">
        <w:rPr>
          <w:rFonts w:ascii="Times New Roman" w:hAnsi="Times New Roman" w:cs="Times New Roman"/>
          <w:sz w:val="20"/>
          <w:szCs w:val="20"/>
          <w:lang w:val="lv-LV"/>
        </w:rPr>
        <w:t>67026542</w:t>
      </w:r>
    </w:p>
    <w:p w:rsidR="00DE7B73" w:rsidP="00753931" w14:paraId="67A9A691" w14:textId="0D95E9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fldChar w:fldCharType="begin"/>
      </w:r>
      <w:r>
        <w:instrText xml:space="preserve"> HYPERLINK "mailto:janis.ratkevics@varam.gov.lv" </w:instrText>
      </w:r>
      <w:r>
        <w:fldChar w:fldCharType="separate"/>
      </w:r>
      <w:r w:rsidRPr="002E0006" w:rsidR="00172A08">
        <w:rPr>
          <w:rStyle w:val="Hyperlink"/>
          <w:rFonts w:ascii="Times New Roman" w:hAnsi="Times New Roman" w:cs="Times New Roman"/>
          <w:sz w:val="20"/>
          <w:szCs w:val="20"/>
          <w:lang w:val="lv-LV"/>
        </w:rPr>
        <w:t>janis.ratkevics@varam.gov.lv</w:t>
      </w:r>
      <w:r>
        <w:fldChar w:fldCharType="end"/>
      </w:r>
      <w:r w:rsidR="000F7F76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p w:rsidR="00B405A4" w:rsidRPr="00DE7B73" w:rsidP="00DE7B73" w14:paraId="4B324C84" w14:textId="77777777">
      <w:pPr>
        <w:jc w:val="center"/>
        <w:rPr>
          <w:rFonts w:ascii="Times New Roman" w:hAnsi="Times New Roman" w:cs="Times New Roman"/>
          <w:sz w:val="20"/>
          <w:szCs w:val="20"/>
          <w:lang w:val="lv-LV"/>
        </w:rPr>
      </w:pPr>
    </w:p>
    <w:sectPr w:rsidSect="009E3827">
      <w:headerReference w:type="default" r:id="rId5"/>
      <w:footerReference w:type="default" r:id="rId6"/>
      <w:footerReference w:type="first" r:id="rId7"/>
      <w:pgSz w:w="12240" w:h="15840"/>
      <w:pgMar w:top="1418" w:right="1134" w:bottom="1134" w:left="1701" w:header="720" w:footer="830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1941" w:rsidRPr="00097DD4" w14:paraId="2AA1D571" w14:textId="14E28C27">
    <w:pPr>
      <w:pStyle w:val="Kjene"/>
      <w:jc w:val="both"/>
      <w:rPr>
        <w:rFonts w:ascii="Times New Roman" w:hAnsi="Times New Roman" w:cs="Times New Roman"/>
        <w:bCs/>
        <w:sz w:val="24"/>
        <w:szCs w:val="24"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1941" w:rsidRPr="00544E1B" w14:paraId="3C4760ED" w14:textId="756FD6F9">
    <w:pPr>
      <w:pStyle w:val="Kjene"/>
      <w:jc w:val="both"/>
      <w:rPr>
        <w:rFonts w:ascii="Times New Roman" w:hAnsi="Times New Roman" w:cs="Times New Roman"/>
        <w:bCs/>
        <w:sz w:val="24"/>
        <w:szCs w:val="24"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rFonts w:ascii="Times New Roman" w:hAnsi="Times New Roman" w:cs="Times New Roman"/>
        <w:bCs/>
        <w:noProof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4"/>
        <w:szCs w:val="24"/>
      </w:rPr>
      <w:id w:val="924600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E1941" w:rsidRPr="000F7F76" w14:paraId="2C95BC87" w14:textId="7777777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7F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7F76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0F7F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F7F76">
          <w:rPr>
            <w:rFonts w:ascii="Times New Roman" w:hAnsi="Times New Roman" w:cs="Times New Roman"/>
            <w:sz w:val="24"/>
            <w:szCs w:val="24"/>
          </w:rPr>
          <w:t>10</w:t>
        </w:r>
        <w:r w:rsidRPr="000F7F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1941" w14:paraId="076E57E5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596718"/>
    <w:multiLevelType w:val="hybridMultilevel"/>
    <w:tmpl w:val="7AEE89CC"/>
    <w:lvl w:ilvl="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F178A"/>
    <w:multiLevelType w:val="multilevel"/>
    <w:tmpl w:val="8C529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307C2"/>
    <w:multiLevelType w:val="hybridMultilevel"/>
    <w:tmpl w:val="E9EA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D52CF"/>
    <w:multiLevelType w:val="multilevel"/>
    <w:tmpl w:val="1D1AB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C9413BA"/>
    <w:multiLevelType w:val="hybridMultilevel"/>
    <w:tmpl w:val="0F7C4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247FC"/>
    <w:multiLevelType w:val="multilevel"/>
    <w:tmpl w:val="812276A6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46A2CF2"/>
    <w:multiLevelType w:val="hybridMultilevel"/>
    <w:tmpl w:val="18AE4E10"/>
    <w:lvl w:ilvl="0">
      <w:start w:val="1"/>
      <w:numFmt w:val="decimal"/>
      <w:lvlText w:val="%1)"/>
      <w:lvlJc w:val="left"/>
      <w:pPr>
        <w:ind w:left="2129" w:hanging="360"/>
      </w:pPr>
    </w:lvl>
    <w:lvl w:ilvl="1" w:tentative="1">
      <w:start w:val="1"/>
      <w:numFmt w:val="lowerLetter"/>
      <w:lvlText w:val="%2."/>
      <w:lvlJc w:val="left"/>
      <w:pPr>
        <w:ind w:left="2849" w:hanging="360"/>
      </w:pPr>
    </w:lvl>
    <w:lvl w:ilvl="2" w:tentative="1">
      <w:start w:val="1"/>
      <w:numFmt w:val="lowerRoman"/>
      <w:lvlText w:val="%3."/>
      <w:lvlJc w:val="right"/>
      <w:pPr>
        <w:ind w:left="3569" w:hanging="180"/>
      </w:pPr>
    </w:lvl>
    <w:lvl w:ilvl="3" w:tentative="1">
      <w:start w:val="1"/>
      <w:numFmt w:val="decimal"/>
      <w:lvlText w:val="%4."/>
      <w:lvlJc w:val="left"/>
      <w:pPr>
        <w:ind w:left="4289" w:hanging="360"/>
      </w:pPr>
    </w:lvl>
    <w:lvl w:ilvl="4" w:tentative="1">
      <w:start w:val="1"/>
      <w:numFmt w:val="lowerLetter"/>
      <w:lvlText w:val="%5."/>
      <w:lvlJc w:val="left"/>
      <w:pPr>
        <w:ind w:left="5009" w:hanging="360"/>
      </w:pPr>
    </w:lvl>
    <w:lvl w:ilvl="5" w:tentative="1">
      <w:start w:val="1"/>
      <w:numFmt w:val="lowerRoman"/>
      <w:lvlText w:val="%6."/>
      <w:lvlJc w:val="right"/>
      <w:pPr>
        <w:ind w:left="5729" w:hanging="180"/>
      </w:pPr>
    </w:lvl>
    <w:lvl w:ilvl="6" w:tentative="1">
      <w:start w:val="1"/>
      <w:numFmt w:val="decimal"/>
      <w:lvlText w:val="%7."/>
      <w:lvlJc w:val="left"/>
      <w:pPr>
        <w:ind w:left="6449" w:hanging="360"/>
      </w:pPr>
    </w:lvl>
    <w:lvl w:ilvl="7" w:tentative="1">
      <w:start w:val="1"/>
      <w:numFmt w:val="lowerLetter"/>
      <w:lvlText w:val="%8."/>
      <w:lvlJc w:val="left"/>
      <w:pPr>
        <w:ind w:left="7169" w:hanging="360"/>
      </w:pPr>
    </w:lvl>
    <w:lvl w:ilvl="8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8">
    <w:nsid w:val="76B8470D"/>
    <w:multiLevelType w:val="hybridMultilevel"/>
    <w:tmpl w:val="49FC9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2084"/>
    <w:multiLevelType w:val="hybridMultilevel"/>
    <w:tmpl w:val="702E1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31"/>
    <w:rsid w:val="000072EF"/>
    <w:rsid w:val="00022948"/>
    <w:rsid w:val="0002696F"/>
    <w:rsid w:val="0002717E"/>
    <w:rsid w:val="00027EC1"/>
    <w:rsid w:val="000305C2"/>
    <w:rsid w:val="000413A7"/>
    <w:rsid w:val="00044BC3"/>
    <w:rsid w:val="00054DE8"/>
    <w:rsid w:val="00055331"/>
    <w:rsid w:val="00064E32"/>
    <w:rsid w:val="00073E85"/>
    <w:rsid w:val="0008201D"/>
    <w:rsid w:val="00097DD4"/>
    <w:rsid w:val="000A1E6D"/>
    <w:rsid w:val="000B0CCB"/>
    <w:rsid w:val="000C2B64"/>
    <w:rsid w:val="000C6B6F"/>
    <w:rsid w:val="000D0893"/>
    <w:rsid w:val="000D132A"/>
    <w:rsid w:val="000F3AE2"/>
    <w:rsid w:val="000F5279"/>
    <w:rsid w:val="000F7F76"/>
    <w:rsid w:val="00101998"/>
    <w:rsid w:val="00122E67"/>
    <w:rsid w:val="0014232A"/>
    <w:rsid w:val="00145DAF"/>
    <w:rsid w:val="0014672A"/>
    <w:rsid w:val="00172A08"/>
    <w:rsid w:val="00174EA9"/>
    <w:rsid w:val="00180DE2"/>
    <w:rsid w:val="00190481"/>
    <w:rsid w:val="001B14A8"/>
    <w:rsid w:val="001B700C"/>
    <w:rsid w:val="001D6892"/>
    <w:rsid w:val="001F47CC"/>
    <w:rsid w:val="00206BD0"/>
    <w:rsid w:val="0021024E"/>
    <w:rsid w:val="00222074"/>
    <w:rsid w:val="002406A4"/>
    <w:rsid w:val="00242744"/>
    <w:rsid w:val="00252505"/>
    <w:rsid w:val="00254641"/>
    <w:rsid w:val="002648C6"/>
    <w:rsid w:val="0026778F"/>
    <w:rsid w:val="0028401C"/>
    <w:rsid w:val="002A563D"/>
    <w:rsid w:val="002B1E34"/>
    <w:rsid w:val="002C0173"/>
    <w:rsid w:val="002E0006"/>
    <w:rsid w:val="002E09BD"/>
    <w:rsid w:val="002F2592"/>
    <w:rsid w:val="00310364"/>
    <w:rsid w:val="00322B9D"/>
    <w:rsid w:val="00325584"/>
    <w:rsid w:val="00332AC4"/>
    <w:rsid w:val="00364582"/>
    <w:rsid w:val="00374AE2"/>
    <w:rsid w:val="003754FF"/>
    <w:rsid w:val="003779BA"/>
    <w:rsid w:val="00390C7A"/>
    <w:rsid w:val="0039155C"/>
    <w:rsid w:val="003970E7"/>
    <w:rsid w:val="003A5EFD"/>
    <w:rsid w:val="003B1ABE"/>
    <w:rsid w:val="003C33EB"/>
    <w:rsid w:val="003D0CE7"/>
    <w:rsid w:val="003D420A"/>
    <w:rsid w:val="003F4B08"/>
    <w:rsid w:val="00406A19"/>
    <w:rsid w:val="004140E3"/>
    <w:rsid w:val="00414E89"/>
    <w:rsid w:val="00431859"/>
    <w:rsid w:val="00435AF4"/>
    <w:rsid w:val="00441736"/>
    <w:rsid w:val="00441B43"/>
    <w:rsid w:val="00450175"/>
    <w:rsid w:val="00457DAD"/>
    <w:rsid w:val="00464BB5"/>
    <w:rsid w:val="004877B8"/>
    <w:rsid w:val="00495911"/>
    <w:rsid w:val="004A6CC2"/>
    <w:rsid w:val="004C4547"/>
    <w:rsid w:val="004C6690"/>
    <w:rsid w:val="004D29F6"/>
    <w:rsid w:val="004E4065"/>
    <w:rsid w:val="004F4BBD"/>
    <w:rsid w:val="00510965"/>
    <w:rsid w:val="0051220B"/>
    <w:rsid w:val="00514565"/>
    <w:rsid w:val="00516243"/>
    <w:rsid w:val="00535C25"/>
    <w:rsid w:val="00540C16"/>
    <w:rsid w:val="00544E1B"/>
    <w:rsid w:val="0055581C"/>
    <w:rsid w:val="0057102C"/>
    <w:rsid w:val="005804F1"/>
    <w:rsid w:val="00581277"/>
    <w:rsid w:val="00582452"/>
    <w:rsid w:val="00582966"/>
    <w:rsid w:val="00587A30"/>
    <w:rsid w:val="00587E15"/>
    <w:rsid w:val="005B1EAE"/>
    <w:rsid w:val="005B21FF"/>
    <w:rsid w:val="005C4218"/>
    <w:rsid w:val="005D0B39"/>
    <w:rsid w:val="005D1D32"/>
    <w:rsid w:val="005D4A8D"/>
    <w:rsid w:val="005F3952"/>
    <w:rsid w:val="005F48E7"/>
    <w:rsid w:val="00603437"/>
    <w:rsid w:val="00611097"/>
    <w:rsid w:val="006133C2"/>
    <w:rsid w:val="00644884"/>
    <w:rsid w:val="00644E1E"/>
    <w:rsid w:val="006612A9"/>
    <w:rsid w:val="0068035A"/>
    <w:rsid w:val="006826E9"/>
    <w:rsid w:val="00684558"/>
    <w:rsid w:val="006920DC"/>
    <w:rsid w:val="00695C92"/>
    <w:rsid w:val="006A3C6F"/>
    <w:rsid w:val="006C5A73"/>
    <w:rsid w:val="006D2919"/>
    <w:rsid w:val="006D705A"/>
    <w:rsid w:val="006F07BA"/>
    <w:rsid w:val="006F12F1"/>
    <w:rsid w:val="006F1A20"/>
    <w:rsid w:val="00700A75"/>
    <w:rsid w:val="00702A31"/>
    <w:rsid w:val="00703959"/>
    <w:rsid w:val="007056CA"/>
    <w:rsid w:val="00706D88"/>
    <w:rsid w:val="0070703D"/>
    <w:rsid w:val="00724232"/>
    <w:rsid w:val="00737F6B"/>
    <w:rsid w:val="00742B69"/>
    <w:rsid w:val="00753931"/>
    <w:rsid w:val="00760379"/>
    <w:rsid w:val="00781FC2"/>
    <w:rsid w:val="00784910"/>
    <w:rsid w:val="00785892"/>
    <w:rsid w:val="00796A3A"/>
    <w:rsid w:val="007A1CCE"/>
    <w:rsid w:val="007A4058"/>
    <w:rsid w:val="007B3D62"/>
    <w:rsid w:val="007C5FBA"/>
    <w:rsid w:val="007D2A2E"/>
    <w:rsid w:val="007D3775"/>
    <w:rsid w:val="007E17C2"/>
    <w:rsid w:val="007F533D"/>
    <w:rsid w:val="00803B8E"/>
    <w:rsid w:val="00821DE8"/>
    <w:rsid w:val="00827534"/>
    <w:rsid w:val="0085703D"/>
    <w:rsid w:val="008B222C"/>
    <w:rsid w:val="008B324D"/>
    <w:rsid w:val="008C3304"/>
    <w:rsid w:val="008C7E7D"/>
    <w:rsid w:val="008E3086"/>
    <w:rsid w:val="008F54E0"/>
    <w:rsid w:val="00901B55"/>
    <w:rsid w:val="0090731D"/>
    <w:rsid w:val="00913CAE"/>
    <w:rsid w:val="00930CB2"/>
    <w:rsid w:val="00936928"/>
    <w:rsid w:val="00941DBA"/>
    <w:rsid w:val="00947D89"/>
    <w:rsid w:val="00961E8C"/>
    <w:rsid w:val="0098187A"/>
    <w:rsid w:val="009A2BEB"/>
    <w:rsid w:val="009A449F"/>
    <w:rsid w:val="009A5924"/>
    <w:rsid w:val="009B455D"/>
    <w:rsid w:val="009C65FF"/>
    <w:rsid w:val="009E3827"/>
    <w:rsid w:val="009E4BE4"/>
    <w:rsid w:val="00A132CB"/>
    <w:rsid w:val="00A4055C"/>
    <w:rsid w:val="00A41424"/>
    <w:rsid w:val="00A451F9"/>
    <w:rsid w:val="00A50297"/>
    <w:rsid w:val="00A63C09"/>
    <w:rsid w:val="00A63E7A"/>
    <w:rsid w:val="00A67767"/>
    <w:rsid w:val="00A72293"/>
    <w:rsid w:val="00A86046"/>
    <w:rsid w:val="00AB1C6F"/>
    <w:rsid w:val="00AB3AFB"/>
    <w:rsid w:val="00AB66EC"/>
    <w:rsid w:val="00AE1300"/>
    <w:rsid w:val="00AF0571"/>
    <w:rsid w:val="00AF126C"/>
    <w:rsid w:val="00AF3644"/>
    <w:rsid w:val="00AF6B43"/>
    <w:rsid w:val="00B06E01"/>
    <w:rsid w:val="00B12DA6"/>
    <w:rsid w:val="00B13348"/>
    <w:rsid w:val="00B405A4"/>
    <w:rsid w:val="00B42537"/>
    <w:rsid w:val="00B44F67"/>
    <w:rsid w:val="00B55EF1"/>
    <w:rsid w:val="00B569AC"/>
    <w:rsid w:val="00B74169"/>
    <w:rsid w:val="00B75F3E"/>
    <w:rsid w:val="00BB21AC"/>
    <w:rsid w:val="00BC656E"/>
    <w:rsid w:val="00BD26E9"/>
    <w:rsid w:val="00BE2D56"/>
    <w:rsid w:val="00BF5561"/>
    <w:rsid w:val="00BF7A87"/>
    <w:rsid w:val="00C01110"/>
    <w:rsid w:val="00C4084F"/>
    <w:rsid w:val="00C439F7"/>
    <w:rsid w:val="00C440A2"/>
    <w:rsid w:val="00C6116E"/>
    <w:rsid w:val="00C66064"/>
    <w:rsid w:val="00C738E7"/>
    <w:rsid w:val="00C772BB"/>
    <w:rsid w:val="00C86052"/>
    <w:rsid w:val="00C865B0"/>
    <w:rsid w:val="00C96D5E"/>
    <w:rsid w:val="00CB12DF"/>
    <w:rsid w:val="00CB3538"/>
    <w:rsid w:val="00CB42A9"/>
    <w:rsid w:val="00CC6FA0"/>
    <w:rsid w:val="00CD1359"/>
    <w:rsid w:val="00CD2684"/>
    <w:rsid w:val="00CD5812"/>
    <w:rsid w:val="00D00C83"/>
    <w:rsid w:val="00D118B0"/>
    <w:rsid w:val="00D239B2"/>
    <w:rsid w:val="00D23FEA"/>
    <w:rsid w:val="00D41EBC"/>
    <w:rsid w:val="00D44096"/>
    <w:rsid w:val="00D452EA"/>
    <w:rsid w:val="00D602A1"/>
    <w:rsid w:val="00D63689"/>
    <w:rsid w:val="00D7687C"/>
    <w:rsid w:val="00DE1941"/>
    <w:rsid w:val="00DE3587"/>
    <w:rsid w:val="00DE7B73"/>
    <w:rsid w:val="00DF3124"/>
    <w:rsid w:val="00E12EFA"/>
    <w:rsid w:val="00E27A00"/>
    <w:rsid w:val="00E32A9C"/>
    <w:rsid w:val="00E32F00"/>
    <w:rsid w:val="00E42CD9"/>
    <w:rsid w:val="00E43183"/>
    <w:rsid w:val="00E45169"/>
    <w:rsid w:val="00E454EE"/>
    <w:rsid w:val="00E45ECB"/>
    <w:rsid w:val="00E51612"/>
    <w:rsid w:val="00E53CA1"/>
    <w:rsid w:val="00E61D1C"/>
    <w:rsid w:val="00E66FB3"/>
    <w:rsid w:val="00E67021"/>
    <w:rsid w:val="00E67099"/>
    <w:rsid w:val="00E70BB2"/>
    <w:rsid w:val="00EB2E0F"/>
    <w:rsid w:val="00ED1C9B"/>
    <w:rsid w:val="00F04935"/>
    <w:rsid w:val="00F11283"/>
    <w:rsid w:val="00F243CD"/>
    <w:rsid w:val="00F26FA7"/>
    <w:rsid w:val="00F41FBF"/>
    <w:rsid w:val="00F50684"/>
    <w:rsid w:val="00F52CC4"/>
    <w:rsid w:val="00F55A66"/>
    <w:rsid w:val="00F56885"/>
    <w:rsid w:val="00F61B9A"/>
    <w:rsid w:val="00F83C3B"/>
    <w:rsid w:val="00F90269"/>
    <w:rsid w:val="00F91B98"/>
    <w:rsid w:val="00FA4632"/>
    <w:rsid w:val="00FA4F32"/>
    <w:rsid w:val="00FC274E"/>
    <w:rsid w:val="00FD0857"/>
    <w:rsid w:val="00FD23E9"/>
    <w:rsid w:val="00FE6BFC"/>
    <w:rsid w:val="00FF574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DDB435-0A86-4DEF-9DA9-470C78D8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47"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1">
    <w:name w:val="Virsraksts 1"/>
    <w:basedOn w:val="Virsraksts"/>
    <w:rsid w:val="004C4547"/>
  </w:style>
  <w:style w:type="paragraph" w:customStyle="1" w:styleId="Virsraksts2">
    <w:name w:val="Virsraksts 2"/>
    <w:basedOn w:val="Virsraksts"/>
    <w:rsid w:val="004C4547"/>
  </w:style>
  <w:style w:type="paragraph" w:customStyle="1" w:styleId="Virsraksts3">
    <w:name w:val="Virsraksts 3"/>
    <w:basedOn w:val="Virsraksts"/>
    <w:rsid w:val="004C4547"/>
  </w:style>
  <w:style w:type="character" w:customStyle="1" w:styleId="HeaderChar">
    <w:name w:val="Header Char"/>
    <w:basedOn w:val="DefaultParagraphFont"/>
    <w:link w:val="Galvene"/>
    <w:uiPriority w:val="99"/>
    <w:qFormat/>
    <w:rsid w:val="00EB15B2"/>
  </w:style>
  <w:style w:type="character" w:customStyle="1" w:styleId="FooterChar">
    <w:name w:val="Footer Char"/>
    <w:basedOn w:val="DefaultParagraphFont"/>
    <w:link w:val="Kjene"/>
    <w:uiPriority w:val="99"/>
    <w:qFormat/>
    <w:rsid w:val="00EB15B2"/>
  </w:style>
  <w:style w:type="character" w:customStyle="1" w:styleId="Internetasaite">
    <w:name w:val="Interneta saite"/>
    <w:basedOn w:val="DefaultParagraphFont"/>
    <w:uiPriority w:val="99"/>
    <w:unhideWhenUsed/>
    <w:rsid w:val="001740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7561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7561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7561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56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C4547"/>
    <w:rPr>
      <w:b w:val="0"/>
    </w:rPr>
  </w:style>
  <w:style w:type="paragraph" w:customStyle="1" w:styleId="Virsraksts">
    <w:name w:val="Virsraksts"/>
    <w:basedOn w:val="Normal"/>
    <w:next w:val="Pamatteksts"/>
    <w:qFormat/>
    <w:rsid w:val="004C454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Pamatteksts">
    <w:name w:val="Pamatteksts"/>
    <w:basedOn w:val="Normal"/>
    <w:rsid w:val="004C4547"/>
    <w:pPr>
      <w:spacing w:after="140" w:line="288" w:lineRule="auto"/>
    </w:pPr>
  </w:style>
  <w:style w:type="paragraph" w:customStyle="1" w:styleId="Saraksts">
    <w:name w:val="Saraksts"/>
    <w:basedOn w:val="Pamatteksts"/>
    <w:rsid w:val="004C4547"/>
    <w:rPr>
      <w:rFonts w:cs="FreeSans"/>
    </w:rPr>
  </w:style>
  <w:style w:type="paragraph" w:customStyle="1" w:styleId="Parakstsobjektam">
    <w:name w:val="Paraksts objektam"/>
    <w:basedOn w:val="Normal"/>
    <w:rsid w:val="004C454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qFormat/>
    <w:rsid w:val="004C4547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4D63F3"/>
    <w:pPr>
      <w:suppressAutoHyphens/>
      <w:spacing w:line="240" w:lineRule="auto"/>
    </w:pPr>
  </w:style>
  <w:style w:type="paragraph" w:customStyle="1" w:styleId="naiskr">
    <w:name w:val="naiskr"/>
    <w:basedOn w:val="Normal"/>
    <w:uiPriority w:val="99"/>
    <w:qFormat/>
    <w:rsid w:val="0040776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Galvene">
    <w:name w:val="Galvene"/>
    <w:basedOn w:val="Normal"/>
    <w:link w:val="HeaderChar"/>
    <w:uiPriority w:val="99"/>
    <w:unhideWhenUsed/>
    <w:rsid w:val="00EB15B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Kjene">
    <w:name w:val="Kājene"/>
    <w:basedOn w:val="Normal"/>
    <w:link w:val="FooterChar"/>
    <w:unhideWhenUsed/>
    <w:rsid w:val="00EB15B2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E45"/>
    <w:pPr>
      <w:spacing w:after="200" w:line="276" w:lineRule="auto"/>
      <w:ind w:left="720"/>
      <w:contextualSpacing/>
    </w:pPr>
    <w:rPr>
      <w:lang w:val="lv-LV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D7561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756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56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itti">
    <w:name w:val="Citāti"/>
    <w:basedOn w:val="Normal"/>
    <w:qFormat/>
    <w:rsid w:val="004C4547"/>
  </w:style>
  <w:style w:type="paragraph" w:customStyle="1" w:styleId="Nosaukums">
    <w:name w:val="Nosaukums"/>
    <w:basedOn w:val="Virsraksts"/>
    <w:rsid w:val="004C4547"/>
  </w:style>
  <w:style w:type="paragraph" w:customStyle="1" w:styleId="Dokumentaapakvirsraksts">
    <w:name w:val="Dokumenta apakšvirsraksts"/>
    <w:basedOn w:val="Virsraksts"/>
    <w:rsid w:val="004C4547"/>
  </w:style>
  <w:style w:type="paragraph" w:customStyle="1" w:styleId="Saturardtjs">
    <w:name w:val="Satura rādītājs"/>
    <w:basedOn w:val="Normal"/>
    <w:qFormat/>
    <w:rsid w:val="004C4547"/>
  </w:style>
  <w:style w:type="paragraph" w:customStyle="1" w:styleId="Tabulasvirsraksts">
    <w:name w:val="Tabulas virsraksts"/>
    <w:basedOn w:val="Saturardtjs"/>
    <w:qFormat/>
    <w:rsid w:val="004C4547"/>
  </w:style>
  <w:style w:type="table" w:customStyle="1" w:styleId="GridTable1Light1">
    <w:name w:val="Grid Table 1 Light1"/>
    <w:basedOn w:val="TableNormal"/>
    <w:uiPriority w:val="46"/>
    <w:rsid w:val="002356E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2356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356E4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61B9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B9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1"/>
    <w:uiPriority w:val="99"/>
    <w:unhideWhenUsed/>
    <w:rsid w:val="008E30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E3086"/>
  </w:style>
  <w:style w:type="paragraph" w:styleId="Footer">
    <w:name w:val="footer"/>
    <w:basedOn w:val="Normal"/>
    <w:link w:val="FooterChar1"/>
    <w:uiPriority w:val="99"/>
    <w:unhideWhenUsed/>
    <w:rsid w:val="008E30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rsid w:val="008E3086"/>
  </w:style>
  <w:style w:type="character" w:styleId="Hyperlink">
    <w:name w:val="Hyperlink"/>
    <w:basedOn w:val="DefaultParagraphFont"/>
    <w:uiPriority w:val="99"/>
    <w:unhideWhenUsed/>
    <w:rsid w:val="000F7F76"/>
    <w:rPr>
      <w:color w:val="0563C1" w:themeColor="hyperlink"/>
      <w:u w:val="single"/>
    </w:rPr>
  </w:style>
  <w:style w:type="paragraph" w:customStyle="1" w:styleId="tvhtml">
    <w:name w:val="tv_html"/>
    <w:basedOn w:val="Normal"/>
    <w:rsid w:val="002102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5D1D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816A-C290-44DD-A29A-D0CBB6D2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9903</Words>
  <Characters>5645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 gada 19. novembra noteikumos Nr.1347 “Valsts informācijas sistēmu datu savietošanas kārtība nekustamā īpašuma nodokļa atvieglojumu piešķiršanai”</vt:lpstr>
    </vt:vector>
  </TitlesOfParts>
  <Company>VARAM</Company>
  <LinksUpToDate>false</LinksUpToDate>
  <CharactersWithSpaces>15517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19. novembra noteikumos Nr.1347 “Valsts informācijas sistēmu datu savietošanas kārtība nekustamā īpašuma nodokļa atvieglojumu piešķiršanai”</dc:title>
  <dc:subject>Anotācija</dc:subject>
  <dc:creator>Jānis Ratkevičs</dc:creator>
  <dc:description>26367772, janis.ratkevics@varam.gov.lv</dc:description>
  <cp:lastModifiedBy>Jānis Ratkevičs</cp:lastModifiedBy>
  <cp:revision>74</cp:revision>
  <cp:lastPrinted>2017-09-19T12:10:00Z</cp:lastPrinted>
  <dcterms:created xsi:type="dcterms:W3CDTF">2017-08-21T09:52:00Z</dcterms:created>
  <dcterms:modified xsi:type="dcterms:W3CDTF">2017-09-25T11:55:00Z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