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55" w:rsidRPr="008404B2" w:rsidRDefault="00A95855" w:rsidP="00B85517">
      <w:pPr>
        <w:pStyle w:val="NoSpacing"/>
        <w:jc w:val="center"/>
        <w:rPr>
          <w:b/>
          <w:color w:val="000000" w:themeColor="text1"/>
          <w:sz w:val="28"/>
        </w:rPr>
      </w:pPr>
      <w:bookmarkStart w:id="0" w:name="OLE_LINK2"/>
      <w:bookmarkStart w:id="1" w:name="OLE_LINK5"/>
      <w:bookmarkStart w:id="2" w:name="OLE_LINK3"/>
      <w:bookmarkStart w:id="3" w:name="OLE_LINK4"/>
      <w:bookmarkStart w:id="4" w:name="OLE_LINK1"/>
      <w:bookmarkStart w:id="5" w:name="OLE_LINK6"/>
      <w:r w:rsidRPr="008404B2">
        <w:rPr>
          <w:b/>
          <w:color w:val="000000" w:themeColor="text1"/>
          <w:sz w:val="28"/>
        </w:rPr>
        <w:t>Mini</w:t>
      </w:r>
      <w:r w:rsidR="00C43036" w:rsidRPr="008404B2">
        <w:rPr>
          <w:b/>
          <w:color w:val="000000" w:themeColor="text1"/>
          <w:sz w:val="28"/>
        </w:rPr>
        <w:t>stru kabineta noteikumu projekta</w:t>
      </w:r>
    </w:p>
    <w:p w:rsidR="00DB7A20" w:rsidRPr="008404B2" w:rsidRDefault="0066669D" w:rsidP="00DB7A20">
      <w:pPr>
        <w:spacing w:after="0" w:line="240" w:lineRule="auto"/>
        <w:jc w:val="center"/>
        <w:rPr>
          <w:rFonts w:ascii="Times New Roman" w:hAnsi="Times New Roman"/>
          <w:b/>
          <w:color w:val="000000" w:themeColor="text1"/>
          <w:sz w:val="28"/>
          <w:szCs w:val="28"/>
        </w:rPr>
      </w:pPr>
      <w:r w:rsidRPr="008404B2">
        <w:rPr>
          <w:b/>
          <w:color w:val="000000" w:themeColor="text1"/>
          <w:sz w:val="28"/>
        </w:rPr>
        <w:t>"</w:t>
      </w:r>
      <w:r w:rsidR="00DB7A20" w:rsidRPr="008404B2">
        <w:rPr>
          <w:rFonts w:ascii="Times New Roman" w:hAnsi="Times New Roman"/>
          <w:b/>
          <w:color w:val="000000" w:themeColor="text1"/>
          <w:sz w:val="28"/>
          <w:szCs w:val="28"/>
        </w:rPr>
        <w:t>Grozījumi Ministru kabineta 2006. gada 9. maija noteikumos Nr. 376</w:t>
      </w:r>
    </w:p>
    <w:p w:rsidR="00DB7A20" w:rsidRPr="008404B2" w:rsidRDefault="00DB7A20" w:rsidP="00DB7A20">
      <w:pPr>
        <w:spacing w:after="0" w:line="240" w:lineRule="auto"/>
        <w:jc w:val="center"/>
        <w:rPr>
          <w:rFonts w:ascii="Times New Roman" w:hAnsi="Times New Roman"/>
          <w:b/>
          <w:color w:val="000000" w:themeColor="text1"/>
          <w:sz w:val="28"/>
          <w:szCs w:val="28"/>
        </w:rPr>
      </w:pPr>
      <w:r w:rsidRPr="008404B2">
        <w:rPr>
          <w:rFonts w:ascii="Times New Roman" w:hAnsi="Times New Roman"/>
          <w:b/>
          <w:color w:val="000000" w:themeColor="text1"/>
          <w:sz w:val="28"/>
          <w:szCs w:val="28"/>
        </w:rPr>
        <w:t>”</w:t>
      </w:r>
      <w:r w:rsidRPr="008404B2">
        <w:rPr>
          <w:rFonts w:ascii="Times New Roman" w:hAnsi="Times New Roman"/>
          <w:b/>
          <w:bCs/>
          <w:color w:val="000000" w:themeColor="text1"/>
          <w:sz w:val="28"/>
          <w:szCs w:val="28"/>
          <w:shd w:val="clear" w:color="auto" w:fill="FFFFFF"/>
        </w:rPr>
        <w:t>Zāļu reģistrēšanas kārtība</w:t>
      </w:r>
      <w:r w:rsidRPr="008404B2">
        <w:rPr>
          <w:rFonts w:ascii="Times New Roman" w:hAnsi="Times New Roman"/>
          <w:b/>
          <w:color w:val="000000" w:themeColor="text1"/>
          <w:sz w:val="28"/>
          <w:szCs w:val="28"/>
        </w:rPr>
        <w:t>”</w:t>
      </w:r>
    </w:p>
    <w:p w:rsidR="00A95855" w:rsidRPr="008404B2" w:rsidRDefault="00A95855" w:rsidP="00DB7A20">
      <w:pPr>
        <w:pStyle w:val="NoSpacing"/>
        <w:jc w:val="center"/>
        <w:rPr>
          <w:b/>
          <w:color w:val="000000" w:themeColor="text1"/>
          <w:sz w:val="28"/>
        </w:rPr>
      </w:pPr>
      <w:r w:rsidRPr="008404B2">
        <w:rPr>
          <w:b/>
          <w:color w:val="000000" w:themeColor="text1"/>
          <w:sz w:val="28"/>
        </w:rPr>
        <w:t xml:space="preserve"> (anotācija)</w:t>
      </w:r>
      <w:bookmarkEnd w:id="0"/>
      <w:bookmarkEnd w:id="1"/>
      <w:bookmarkEnd w:id="2"/>
      <w:bookmarkEnd w:id="3"/>
      <w:bookmarkEnd w:id="4"/>
      <w:bookmarkEnd w:id="5"/>
    </w:p>
    <w:p w:rsidR="00771CB9" w:rsidRPr="008404B2" w:rsidRDefault="00771CB9" w:rsidP="00DB7A20">
      <w:pPr>
        <w:pStyle w:val="NoSpacing"/>
        <w:jc w:val="center"/>
        <w:rPr>
          <w:b/>
          <w:color w:val="000000" w:themeColor="text1"/>
        </w:rPr>
      </w:pPr>
    </w:p>
    <w:tbl>
      <w:tblPr>
        <w:tblW w:w="4932"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285"/>
        <w:gridCol w:w="1701"/>
        <w:gridCol w:w="6946"/>
      </w:tblGrid>
      <w:tr w:rsidR="008404B2" w:rsidRPr="008404B2" w:rsidTr="00D8608E">
        <w:trPr>
          <w:trHeight w:val="405"/>
        </w:trPr>
        <w:tc>
          <w:tcPr>
            <w:tcW w:w="5000" w:type="pct"/>
            <w:gridSpan w:val="3"/>
            <w:tcBorders>
              <w:top w:val="outset" w:sz="6" w:space="0" w:color="414142"/>
              <w:bottom w:val="outset" w:sz="6" w:space="0" w:color="414142"/>
            </w:tcBorders>
            <w:shd w:val="clear" w:color="auto" w:fill="FFFFFF"/>
            <w:vAlign w:val="center"/>
          </w:tcPr>
          <w:p w:rsidR="00A95855" w:rsidRPr="008404B2" w:rsidRDefault="00805A29" w:rsidP="00FF6EBF">
            <w:pPr>
              <w:pStyle w:val="NoSpacing"/>
              <w:rPr>
                <w:b/>
                <w:color w:val="000000" w:themeColor="text1"/>
              </w:rPr>
            </w:pPr>
            <w:r w:rsidRPr="008404B2">
              <w:rPr>
                <w:b/>
                <w:color w:val="000000" w:themeColor="text1"/>
              </w:rPr>
              <w:t>I. </w:t>
            </w:r>
            <w:r w:rsidR="00A95855" w:rsidRPr="008404B2">
              <w:rPr>
                <w:b/>
                <w:color w:val="000000" w:themeColor="text1"/>
              </w:rPr>
              <w:t>Tiesību akta projekta izstrādes nepieciešamība</w:t>
            </w:r>
          </w:p>
        </w:tc>
      </w:tr>
      <w:tr w:rsidR="008404B2" w:rsidRPr="008404B2" w:rsidTr="00D8608E">
        <w:trPr>
          <w:trHeight w:val="405"/>
        </w:trPr>
        <w:tc>
          <w:tcPr>
            <w:tcW w:w="160" w:type="pct"/>
            <w:tcBorders>
              <w:top w:val="outset" w:sz="6" w:space="0" w:color="414142"/>
              <w:bottom w:val="outset" w:sz="6" w:space="0" w:color="414142"/>
              <w:right w:val="outset" w:sz="6" w:space="0" w:color="414142"/>
            </w:tcBorders>
            <w:shd w:val="clear" w:color="auto" w:fill="FFFFFF"/>
          </w:tcPr>
          <w:p w:rsidR="00A95855" w:rsidRPr="008404B2" w:rsidRDefault="00A95855" w:rsidP="00FF6EBF">
            <w:pPr>
              <w:pStyle w:val="NoSpacing"/>
              <w:rPr>
                <w:color w:val="000000" w:themeColor="text1"/>
              </w:rPr>
            </w:pPr>
            <w:r w:rsidRPr="008404B2">
              <w:rPr>
                <w:color w:val="000000" w:themeColor="text1"/>
              </w:rPr>
              <w:t>1.</w:t>
            </w:r>
          </w:p>
        </w:tc>
        <w:tc>
          <w:tcPr>
            <w:tcW w:w="952" w:type="pct"/>
            <w:tcBorders>
              <w:top w:val="outset" w:sz="6" w:space="0" w:color="414142"/>
              <w:left w:val="outset" w:sz="6" w:space="0" w:color="414142"/>
              <w:bottom w:val="outset" w:sz="6" w:space="0" w:color="414142"/>
              <w:right w:val="outset" w:sz="6" w:space="0" w:color="414142"/>
            </w:tcBorders>
            <w:shd w:val="clear" w:color="auto" w:fill="FFFFFF"/>
          </w:tcPr>
          <w:p w:rsidR="00A95855" w:rsidRPr="008404B2" w:rsidRDefault="00A95855" w:rsidP="00FF6EBF">
            <w:pPr>
              <w:pStyle w:val="NoSpacing"/>
              <w:rPr>
                <w:color w:val="000000" w:themeColor="text1"/>
              </w:rPr>
            </w:pPr>
            <w:r w:rsidRPr="008404B2">
              <w:rPr>
                <w:color w:val="000000" w:themeColor="text1"/>
              </w:rPr>
              <w:t>Pamatojums</w:t>
            </w:r>
          </w:p>
        </w:tc>
        <w:tc>
          <w:tcPr>
            <w:tcW w:w="3889" w:type="pct"/>
            <w:tcBorders>
              <w:top w:val="outset" w:sz="6" w:space="0" w:color="414142"/>
              <w:left w:val="outset" w:sz="6" w:space="0" w:color="414142"/>
              <w:bottom w:val="outset" w:sz="6" w:space="0" w:color="414142"/>
            </w:tcBorders>
            <w:shd w:val="clear" w:color="auto" w:fill="FFFFFF"/>
          </w:tcPr>
          <w:p w:rsidR="00CA1D65" w:rsidRPr="008404B2" w:rsidRDefault="00B15730" w:rsidP="00B15730">
            <w:pPr>
              <w:spacing w:after="0" w:line="240" w:lineRule="auto"/>
              <w:jc w:val="both"/>
              <w:rPr>
                <w:rFonts w:ascii="Times New Roman" w:hAnsi="Times New Roman"/>
                <w:color w:val="000000" w:themeColor="text1"/>
                <w:sz w:val="24"/>
                <w:szCs w:val="24"/>
              </w:rPr>
            </w:pPr>
            <w:r w:rsidRPr="008404B2">
              <w:rPr>
                <w:rFonts w:ascii="Times New Roman" w:hAnsi="Times New Roman"/>
                <w:color w:val="000000" w:themeColor="text1"/>
                <w:sz w:val="24"/>
                <w:szCs w:val="24"/>
              </w:rPr>
              <w:t>Ministru kabineta n</w:t>
            </w:r>
            <w:r w:rsidR="00CC3AFE" w:rsidRPr="008404B2">
              <w:rPr>
                <w:rFonts w:ascii="Times New Roman" w:hAnsi="Times New Roman"/>
                <w:color w:val="000000" w:themeColor="text1"/>
                <w:sz w:val="24"/>
                <w:szCs w:val="24"/>
              </w:rPr>
              <w:t xml:space="preserve">oteikumu </w:t>
            </w:r>
            <w:r w:rsidRPr="008404B2">
              <w:rPr>
                <w:rFonts w:ascii="Times New Roman" w:hAnsi="Times New Roman"/>
                <w:color w:val="000000" w:themeColor="text1"/>
                <w:sz w:val="24"/>
                <w:szCs w:val="24"/>
              </w:rPr>
              <w:t>projekts "Grozījumi Ministru kabineta 2006. gada 9. maija noteikumos Nr. 376 ”</w:t>
            </w:r>
            <w:r w:rsidRPr="008404B2">
              <w:rPr>
                <w:rFonts w:ascii="Times New Roman" w:hAnsi="Times New Roman"/>
                <w:bCs/>
                <w:color w:val="000000" w:themeColor="text1"/>
                <w:sz w:val="24"/>
                <w:szCs w:val="24"/>
                <w:shd w:val="clear" w:color="auto" w:fill="FFFFFF"/>
              </w:rPr>
              <w:t>Zāļu reģistrēšanas kārtība</w:t>
            </w:r>
            <w:r w:rsidRPr="008404B2">
              <w:rPr>
                <w:rFonts w:ascii="Times New Roman" w:hAnsi="Times New Roman"/>
                <w:color w:val="000000" w:themeColor="text1"/>
                <w:sz w:val="24"/>
                <w:szCs w:val="24"/>
              </w:rPr>
              <w:t xml:space="preserve"> </w:t>
            </w:r>
            <w:r w:rsidR="00CC3AFE" w:rsidRPr="008404B2">
              <w:rPr>
                <w:rFonts w:ascii="Times New Roman" w:hAnsi="Times New Roman"/>
                <w:color w:val="000000" w:themeColor="text1"/>
                <w:sz w:val="24"/>
                <w:szCs w:val="24"/>
              </w:rPr>
              <w:t>izstrādāts s</w:t>
            </w:r>
            <w:r w:rsidR="00331309" w:rsidRPr="008404B2">
              <w:rPr>
                <w:rFonts w:ascii="Times New Roman" w:hAnsi="Times New Roman"/>
                <w:color w:val="000000" w:themeColor="text1"/>
                <w:sz w:val="24"/>
                <w:szCs w:val="24"/>
              </w:rPr>
              <w:t xml:space="preserve">askaņā ar </w:t>
            </w:r>
            <w:r w:rsidR="00CA1D65" w:rsidRPr="008404B2">
              <w:rPr>
                <w:rFonts w:ascii="Times New Roman" w:hAnsi="Times New Roman"/>
                <w:color w:val="000000" w:themeColor="text1"/>
                <w:sz w:val="24"/>
                <w:szCs w:val="24"/>
              </w:rPr>
              <w:t>Farmācijas likuma 5.</w:t>
            </w:r>
            <w:r w:rsidRPr="008404B2">
              <w:rPr>
                <w:rFonts w:ascii="Times New Roman" w:hAnsi="Times New Roman"/>
                <w:color w:val="000000" w:themeColor="text1"/>
                <w:sz w:val="24"/>
                <w:szCs w:val="24"/>
              </w:rPr>
              <w:t> </w:t>
            </w:r>
            <w:r w:rsidR="00CA1D65" w:rsidRPr="008404B2">
              <w:rPr>
                <w:rFonts w:ascii="Times New Roman" w:hAnsi="Times New Roman"/>
                <w:color w:val="000000" w:themeColor="text1"/>
                <w:sz w:val="24"/>
                <w:szCs w:val="24"/>
              </w:rPr>
              <w:t>panta 3.</w:t>
            </w:r>
            <w:r w:rsidRPr="008404B2">
              <w:rPr>
                <w:rFonts w:ascii="Times New Roman" w:hAnsi="Times New Roman"/>
                <w:color w:val="000000" w:themeColor="text1"/>
                <w:sz w:val="24"/>
                <w:szCs w:val="24"/>
              </w:rPr>
              <w:t> </w:t>
            </w:r>
            <w:r w:rsidR="00CA1D65" w:rsidRPr="008404B2">
              <w:rPr>
                <w:rFonts w:ascii="Times New Roman" w:hAnsi="Times New Roman"/>
                <w:color w:val="000000" w:themeColor="text1"/>
                <w:sz w:val="24"/>
                <w:szCs w:val="24"/>
              </w:rPr>
              <w:t>punktu</w:t>
            </w:r>
            <w:r w:rsidR="000A6F06" w:rsidRPr="008404B2">
              <w:rPr>
                <w:rFonts w:ascii="Times New Roman" w:hAnsi="Times New Roman"/>
                <w:color w:val="000000" w:themeColor="text1"/>
                <w:sz w:val="24"/>
                <w:szCs w:val="24"/>
              </w:rPr>
              <w:t>.</w:t>
            </w:r>
          </w:p>
        </w:tc>
      </w:tr>
      <w:tr w:rsidR="008404B2" w:rsidRPr="008404B2" w:rsidTr="00D8608E">
        <w:trPr>
          <w:trHeight w:val="465"/>
        </w:trPr>
        <w:tc>
          <w:tcPr>
            <w:tcW w:w="160" w:type="pct"/>
            <w:tcBorders>
              <w:top w:val="outset" w:sz="6" w:space="0" w:color="414142"/>
              <w:bottom w:val="outset" w:sz="6" w:space="0" w:color="414142"/>
              <w:right w:val="outset" w:sz="6" w:space="0" w:color="414142"/>
            </w:tcBorders>
            <w:shd w:val="clear" w:color="auto" w:fill="FFFFFF"/>
          </w:tcPr>
          <w:p w:rsidR="000179D2" w:rsidRPr="008404B2" w:rsidRDefault="000179D2" w:rsidP="00FF6EBF">
            <w:pPr>
              <w:pStyle w:val="NoSpacing"/>
              <w:rPr>
                <w:color w:val="000000" w:themeColor="text1"/>
              </w:rPr>
            </w:pPr>
            <w:r w:rsidRPr="008404B2">
              <w:rPr>
                <w:color w:val="000000" w:themeColor="text1"/>
              </w:rPr>
              <w:t>2.</w:t>
            </w:r>
          </w:p>
        </w:tc>
        <w:tc>
          <w:tcPr>
            <w:tcW w:w="952" w:type="pct"/>
            <w:tcBorders>
              <w:top w:val="outset" w:sz="6" w:space="0" w:color="414142"/>
              <w:left w:val="outset" w:sz="6" w:space="0" w:color="414142"/>
              <w:bottom w:val="outset" w:sz="6" w:space="0" w:color="414142"/>
              <w:right w:val="outset" w:sz="6" w:space="0" w:color="414142"/>
            </w:tcBorders>
            <w:shd w:val="clear" w:color="auto" w:fill="FFFFFF"/>
          </w:tcPr>
          <w:p w:rsidR="000179D2" w:rsidRPr="008404B2" w:rsidRDefault="000179D2" w:rsidP="00E851AB">
            <w:pPr>
              <w:pStyle w:val="NoSpacing"/>
              <w:rPr>
                <w:color w:val="000000" w:themeColor="text1"/>
              </w:rPr>
            </w:pPr>
            <w:r w:rsidRPr="008404B2">
              <w:rPr>
                <w:color w:val="000000" w:themeColor="text1"/>
              </w:rPr>
              <w:t>Pašreizējā situācija un problēmas, kuru risināšanai tiesību akta projekts izstrādāts, tiesiskā regulējuma mērķis un būtība</w:t>
            </w:r>
          </w:p>
        </w:tc>
        <w:tc>
          <w:tcPr>
            <w:tcW w:w="3889" w:type="pct"/>
            <w:tcBorders>
              <w:top w:val="outset" w:sz="6" w:space="0" w:color="414142"/>
              <w:left w:val="outset" w:sz="6" w:space="0" w:color="414142"/>
              <w:bottom w:val="outset" w:sz="6" w:space="0" w:color="414142"/>
            </w:tcBorders>
            <w:shd w:val="clear" w:color="auto" w:fill="FFFFFF"/>
          </w:tcPr>
          <w:p w:rsidR="0007577F" w:rsidRPr="008404B2" w:rsidRDefault="0007577F" w:rsidP="0007577F">
            <w:pPr>
              <w:pStyle w:val="Bezatstarpm1"/>
              <w:jc w:val="both"/>
              <w:rPr>
                <w:rFonts w:ascii="Times New Roman" w:hAnsi="Times New Roman"/>
                <w:color w:val="000000" w:themeColor="text1"/>
                <w:sz w:val="24"/>
                <w:szCs w:val="24"/>
                <w:lang w:val="lv-LV"/>
              </w:rPr>
            </w:pPr>
            <w:r w:rsidRPr="008404B2">
              <w:rPr>
                <w:rFonts w:ascii="Times New Roman" w:hAnsi="Times New Roman"/>
                <w:color w:val="000000" w:themeColor="text1"/>
                <w:sz w:val="24"/>
                <w:szCs w:val="24"/>
                <w:lang w:val="lv-LV"/>
              </w:rPr>
              <w:t xml:space="preserve">Izmaiņu izskatīšanas kārtību </w:t>
            </w:r>
            <w:r w:rsidR="009C77FA" w:rsidRPr="008404B2">
              <w:rPr>
                <w:rFonts w:ascii="Times New Roman" w:hAnsi="Times New Roman"/>
                <w:color w:val="000000" w:themeColor="text1"/>
                <w:sz w:val="24"/>
                <w:szCs w:val="24"/>
                <w:lang w:val="lv-LV"/>
              </w:rPr>
              <w:t xml:space="preserve">centralizētajā reģistrācijas procedūrā, </w:t>
            </w:r>
            <w:r w:rsidRPr="008404B2">
              <w:rPr>
                <w:rFonts w:ascii="Times New Roman" w:hAnsi="Times New Roman"/>
                <w:color w:val="000000" w:themeColor="text1"/>
                <w:sz w:val="24"/>
                <w:szCs w:val="24"/>
                <w:lang w:val="lv-LV"/>
              </w:rPr>
              <w:t xml:space="preserve">savstarpējā atzīšanas procedūrā un decentralizētajā procedūrā reģistrētajām, kā arī nacionālā reģistrācijas procedūrā reģistrētajām zālēm nosaka Eiropas Komisijas 2008. gada 24. novembra Regula Nr. 1234/2008 par izmaiņu izskatīšanu cilvēkiem paredzētu zāļu un veterināro zāļu tirdzniecības atļauju nosacījumos, grozīta ar Komisijas 2012. gada 3. augusta Regulu Nr. 712/2012, ar kuru groza Komisijas Regulu Nr. 1234/2008, (turpmāk – Komisijas regula Nr. 1234/2008) </w:t>
            </w:r>
            <w:r w:rsidR="00E63134" w:rsidRPr="008404B2">
              <w:rPr>
                <w:rFonts w:ascii="Times New Roman" w:hAnsi="Times New Roman"/>
                <w:color w:val="000000" w:themeColor="text1"/>
                <w:sz w:val="24"/>
                <w:szCs w:val="24"/>
                <w:lang w:val="lv-LV"/>
              </w:rPr>
              <w:t>regulējums I, II, II</w:t>
            </w:r>
            <w:r w:rsidR="00C6312C" w:rsidRPr="008404B2">
              <w:rPr>
                <w:rFonts w:ascii="Times New Roman" w:hAnsi="Times New Roman"/>
                <w:color w:val="000000" w:themeColor="text1"/>
                <w:sz w:val="24"/>
                <w:szCs w:val="24"/>
                <w:lang w:val="lv-LV"/>
              </w:rPr>
              <w:t> </w:t>
            </w:r>
            <w:r w:rsidR="00E63134" w:rsidRPr="008404B2">
              <w:rPr>
                <w:rFonts w:ascii="Times New Roman" w:hAnsi="Times New Roman"/>
                <w:color w:val="000000" w:themeColor="text1"/>
                <w:sz w:val="24"/>
                <w:szCs w:val="24"/>
                <w:lang w:val="lv-LV"/>
              </w:rPr>
              <w:t xml:space="preserve">a, IV un V. nodaļā </w:t>
            </w:r>
            <w:r w:rsidRPr="008404B2">
              <w:rPr>
                <w:rFonts w:ascii="Times New Roman" w:hAnsi="Times New Roman"/>
                <w:color w:val="000000" w:themeColor="text1"/>
                <w:sz w:val="24"/>
                <w:szCs w:val="24"/>
                <w:lang w:val="lv-LV"/>
              </w:rPr>
              <w:t>un Komisijas regulā Nr. 1234/2008</w:t>
            </w:r>
            <w:r w:rsidR="00E63134" w:rsidRPr="008404B2">
              <w:rPr>
                <w:rFonts w:ascii="Times New Roman" w:hAnsi="Times New Roman"/>
                <w:color w:val="000000" w:themeColor="text1"/>
                <w:sz w:val="24"/>
                <w:szCs w:val="24"/>
                <w:lang w:val="lv-LV"/>
              </w:rPr>
              <w:t xml:space="preserve"> (4. pants)</w:t>
            </w:r>
            <w:r w:rsidRPr="008404B2">
              <w:rPr>
                <w:rFonts w:ascii="Times New Roman" w:hAnsi="Times New Roman"/>
                <w:color w:val="000000" w:themeColor="text1"/>
                <w:sz w:val="24"/>
                <w:szCs w:val="24"/>
                <w:lang w:val="lv-LV"/>
              </w:rPr>
              <w:t xml:space="preserve"> </w:t>
            </w:r>
            <w:r w:rsidR="00E63134" w:rsidRPr="008404B2">
              <w:rPr>
                <w:rFonts w:ascii="Times New Roman" w:hAnsi="Times New Roman"/>
                <w:color w:val="000000" w:themeColor="text1"/>
                <w:sz w:val="24"/>
                <w:szCs w:val="24"/>
                <w:lang w:val="lv-LV"/>
              </w:rPr>
              <w:t>norādītās pamatnostādnes</w:t>
            </w:r>
            <w:r w:rsidRPr="008404B2">
              <w:rPr>
                <w:rFonts w:ascii="Times New Roman" w:hAnsi="Times New Roman"/>
                <w:color w:val="000000" w:themeColor="text1"/>
                <w:sz w:val="24"/>
                <w:szCs w:val="24"/>
                <w:lang w:val="lv-LV"/>
              </w:rPr>
              <w:t>: Komisijas 2013. gada 16. maija pamatnostādnēm Nr. 2013/C 223/01</w:t>
            </w:r>
            <w:r w:rsidR="00DA591B" w:rsidRPr="008404B2">
              <w:rPr>
                <w:rFonts w:ascii="Times New Roman" w:hAnsi="Times New Roman"/>
                <w:color w:val="000000" w:themeColor="text1"/>
                <w:sz w:val="24"/>
                <w:szCs w:val="24"/>
                <w:lang w:val="lv-LV"/>
              </w:rPr>
              <w:t>,</w:t>
            </w:r>
            <w:r w:rsidR="0099324D" w:rsidRPr="008404B2">
              <w:rPr>
                <w:rFonts w:ascii="Times New Roman" w:hAnsi="Times New Roman"/>
                <w:color w:val="000000" w:themeColor="text1"/>
                <w:sz w:val="24"/>
                <w:szCs w:val="24"/>
                <w:lang w:val="lv-LV"/>
              </w:rPr>
              <w:t xml:space="preserve"> kurās ir sīka informācija par dažādām izmaiņu kategorijām, par Komisijas 2008. gada 24. novembra Regulas (EK) Nr. 1234/2008</w:t>
            </w:r>
            <w:r w:rsidRPr="008404B2">
              <w:rPr>
                <w:rFonts w:ascii="Times New Roman" w:hAnsi="Times New Roman"/>
                <w:color w:val="000000" w:themeColor="text1"/>
                <w:sz w:val="24"/>
                <w:szCs w:val="24"/>
                <w:lang w:val="lv-LV"/>
              </w:rPr>
              <w:t xml:space="preserve"> par izmaiņu izskatīšanu cilvēkiem paredzētu zāļu un veterināro zāļu tirdzniecības atļauju nosacījumos II, II</w:t>
            </w:r>
            <w:r w:rsidR="00C6312C" w:rsidRPr="008404B2">
              <w:rPr>
                <w:rFonts w:ascii="Times New Roman" w:hAnsi="Times New Roman"/>
                <w:color w:val="000000" w:themeColor="text1"/>
                <w:sz w:val="24"/>
                <w:szCs w:val="24"/>
                <w:lang w:val="lv-LV"/>
              </w:rPr>
              <w:t> </w:t>
            </w:r>
            <w:r w:rsidRPr="008404B2">
              <w:rPr>
                <w:rFonts w:ascii="Times New Roman" w:hAnsi="Times New Roman"/>
                <w:color w:val="000000" w:themeColor="text1"/>
                <w:sz w:val="24"/>
                <w:szCs w:val="24"/>
                <w:lang w:val="lv-LV"/>
              </w:rPr>
              <w:t>a, III un IV nodaļā izklāstīto procedūru norisi</w:t>
            </w:r>
            <w:r w:rsidR="0099324D" w:rsidRPr="008404B2">
              <w:rPr>
                <w:rFonts w:ascii="Times New Roman" w:hAnsi="Times New Roman"/>
                <w:color w:val="000000" w:themeColor="text1"/>
                <w:sz w:val="24"/>
                <w:szCs w:val="24"/>
                <w:lang w:val="lv-LV"/>
              </w:rPr>
              <w:t>, kā arī par dokumentiem, kas iesniedzami</w:t>
            </w:r>
            <w:r w:rsidRPr="008404B2">
              <w:rPr>
                <w:rFonts w:ascii="Times New Roman" w:hAnsi="Times New Roman"/>
                <w:color w:val="000000" w:themeColor="text1"/>
                <w:sz w:val="24"/>
                <w:szCs w:val="24"/>
                <w:lang w:val="lv-LV"/>
              </w:rPr>
              <w:t xml:space="preserve"> saskaņā ar </w:t>
            </w:r>
            <w:r w:rsidR="0099324D" w:rsidRPr="008404B2">
              <w:rPr>
                <w:rFonts w:ascii="Times New Roman" w:hAnsi="Times New Roman"/>
                <w:color w:val="000000" w:themeColor="text1"/>
                <w:sz w:val="24"/>
                <w:szCs w:val="24"/>
                <w:lang w:val="lv-LV"/>
              </w:rPr>
              <w:t>šim procedūrām</w:t>
            </w:r>
            <w:r w:rsidR="004A0E67" w:rsidRPr="008404B2">
              <w:rPr>
                <w:rFonts w:ascii="Times New Roman" w:hAnsi="Times New Roman"/>
                <w:color w:val="000000" w:themeColor="text1"/>
                <w:sz w:val="24"/>
                <w:szCs w:val="24"/>
                <w:lang w:val="lv-LV"/>
              </w:rPr>
              <w:t xml:space="preserve"> (turpmāk – Komisijas pamatnostādnes</w:t>
            </w:r>
            <w:r w:rsidR="0045021C" w:rsidRPr="008404B2">
              <w:rPr>
                <w:rFonts w:ascii="Times New Roman" w:hAnsi="Times New Roman"/>
                <w:color w:val="000000" w:themeColor="text1"/>
                <w:sz w:val="24"/>
                <w:szCs w:val="24"/>
                <w:lang w:val="lv-LV"/>
              </w:rPr>
              <w:t xml:space="preserve"> Nr. 2013/C 223/01</w:t>
            </w:r>
            <w:r w:rsidR="004A0E67" w:rsidRPr="008404B2">
              <w:rPr>
                <w:rFonts w:ascii="Times New Roman" w:hAnsi="Times New Roman"/>
                <w:color w:val="000000" w:themeColor="text1"/>
                <w:sz w:val="24"/>
                <w:szCs w:val="24"/>
                <w:lang w:val="lv-LV"/>
              </w:rPr>
              <w:t>)</w:t>
            </w:r>
            <w:r w:rsidR="0099324D" w:rsidRPr="008404B2">
              <w:rPr>
                <w:rFonts w:ascii="Times New Roman" w:hAnsi="Times New Roman"/>
                <w:color w:val="000000" w:themeColor="text1"/>
                <w:sz w:val="24"/>
                <w:szCs w:val="24"/>
                <w:lang w:val="lv-LV"/>
              </w:rPr>
              <w:t xml:space="preserve">, kuru </w:t>
            </w:r>
            <w:r w:rsidR="005D336D" w:rsidRPr="008404B2">
              <w:rPr>
                <w:rFonts w:ascii="Times New Roman" w:hAnsi="Times New Roman"/>
                <w:color w:val="000000" w:themeColor="text1"/>
                <w:sz w:val="24"/>
                <w:szCs w:val="24"/>
                <w:lang w:val="lv-LV"/>
              </w:rPr>
              <w:t>aktuālā redakcija latviešu valodā pieejama EK tīmekļa vietnē: (</w:t>
            </w:r>
            <w:r w:rsidR="00C068CD" w:rsidRPr="008404B2">
              <w:rPr>
                <w:rFonts w:ascii="Times New Roman" w:hAnsi="Times New Roman"/>
                <w:color w:val="000000" w:themeColor="text1"/>
                <w:sz w:val="24"/>
                <w:szCs w:val="24"/>
                <w:lang w:val="lv-LV"/>
              </w:rPr>
              <w:t>https://ec.europa.eu/health/documents/eudralex/vol-2_en; https://ec.europa.eu/health/sites/health/files/files/eudralex/vol-2/c_2013_2008/c_2013_2008_pdf/c_2013_2804_lv.pdf</w:t>
            </w:r>
            <w:r w:rsidR="005D336D" w:rsidRPr="008404B2">
              <w:rPr>
                <w:rFonts w:ascii="Times New Roman" w:hAnsi="Times New Roman"/>
                <w:color w:val="000000" w:themeColor="text1"/>
                <w:sz w:val="24"/>
                <w:szCs w:val="24"/>
                <w:lang w:val="lv-LV"/>
              </w:rPr>
              <w:t>)</w:t>
            </w:r>
            <w:r w:rsidRPr="008404B2">
              <w:rPr>
                <w:rFonts w:ascii="Times New Roman" w:hAnsi="Times New Roman"/>
                <w:color w:val="000000" w:themeColor="text1"/>
                <w:sz w:val="24"/>
                <w:szCs w:val="24"/>
                <w:lang w:val="lv-LV"/>
              </w:rPr>
              <w:t>.</w:t>
            </w:r>
          </w:p>
          <w:p w:rsidR="0072099F" w:rsidRPr="008404B2" w:rsidRDefault="0072099F" w:rsidP="0072099F">
            <w:pPr>
              <w:pStyle w:val="Bezatstarpm1"/>
              <w:jc w:val="both"/>
              <w:rPr>
                <w:rFonts w:ascii="Times New Roman" w:hAnsi="Times New Roman"/>
                <w:color w:val="000000" w:themeColor="text1"/>
                <w:sz w:val="24"/>
                <w:szCs w:val="24"/>
                <w:lang w:val="lv-LV"/>
              </w:rPr>
            </w:pPr>
            <w:r w:rsidRPr="008404B2">
              <w:rPr>
                <w:rFonts w:ascii="Times New Roman" w:hAnsi="Times New Roman"/>
                <w:color w:val="000000" w:themeColor="text1"/>
                <w:sz w:val="24"/>
                <w:szCs w:val="24"/>
                <w:lang w:val="lv-LV"/>
              </w:rPr>
              <w:t xml:space="preserve">Zāļu valsts aģentūras pienākums izpildīt Komisijas regulā Nr. 1234/2008 noteiktās kompetentās iestādes pienākumus ir noteikts </w:t>
            </w:r>
            <w:r w:rsidR="00433C6A" w:rsidRPr="008404B2">
              <w:rPr>
                <w:rFonts w:ascii="Times New Roman" w:hAnsi="Times New Roman"/>
                <w:color w:val="000000" w:themeColor="text1"/>
                <w:sz w:val="24"/>
                <w:szCs w:val="24"/>
                <w:lang w:val="lv-LV"/>
              </w:rPr>
              <w:t>Ministru kabineta 201</w:t>
            </w:r>
            <w:r w:rsidR="00BB1B95" w:rsidRPr="008404B2">
              <w:rPr>
                <w:rFonts w:ascii="Times New Roman" w:hAnsi="Times New Roman"/>
                <w:color w:val="000000" w:themeColor="text1"/>
                <w:sz w:val="24"/>
                <w:szCs w:val="24"/>
                <w:lang w:val="lv-LV"/>
              </w:rPr>
              <w:t>2. gada 31. jūlija noteikumos Nr. </w:t>
            </w:r>
            <w:r w:rsidR="00433C6A" w:rsidRPr="008404B2">
              <w:rPr>
                <w:rFonts w:ascii="Times New Roman" w:hAnsi="Times New Roman"/>
                <w:color w:val="000000" w:themeColor="text1"/>
                <w:sz w:val="24"/>
                <w:szCs w:val="24"/>
                <w:lang w:val="lv-LV"/>
              </w:rPr>
              <w:t>537 “</w:t>
            </w:r>
            <w:r w:rsidRPr="008404B2">
              <w:rPr>
                <w:rFonts w:ascii="Times New Roman" w:hAnsi="Times New Roman"/>
                <w:color w:val="000000" w:themeColor="text1"/>
                <w:sz w:val="24"/>
                <w:szCs w:val="24"/>
                <w:lang w:val="lv-LV"/>
              </w:rPr>
              <w:t>Zāļu valsts aģentūras nolikum</w:t>
            </w:r>
            <w:r w:rsidR="00433C6A" w:rsidRPr="008404B2">
              <w:rPr>
                <w:rFonts w:ascii="Times New Roman" w:hAnsi="Times New Roman"/>
                <w:color w:val="000000" w:themeColor="text1"/>
                <w:sz w:val="24"/>
                <w:szCs w:val="24"/>
                <w:lang w:val="lv-LV"/>
              </w:rPr>
              <w:t>s”</w:t>
            </w:r>
            <w:r w:rsidRPr="008404B2">
              <w:rPr>
                <w:rFonts w:ascii="Times New Roman" w:hAnsi="Times New Roman"/>
                <w:color w:val="000000" w:themeColor="text1"/>
                <w:sz w:val="24"/>
                <w:szCs w:val="24"/>
                <w:lang w:val="lv-LV"/>
              </w:rPr>
              <w:t>.</w:t>
            </w:r>
          </w:p>
          <w:p w:rsidR="0007577F" w:rsidRPr="008404B2" w:rsidRDefault="0007577F" w:rsidP="00CA1D65">
            <w:pPr>
              <w:pStyle w:val="Bezatstarpm1"/>
              <w:jc w:val="both"/>
              <w:rPr>
                <w:rFonts w:ascii="Times New Roman" w:hAnsi="Times New Roman"/>
                <w:b/>
                <w:i/>
                <w:color w:val="000000" w:themeColor="text1"/>
                <w:sz w:val="24"/>
                <w:szCs w:val="24"/>
                <w:lang w:val="lv-LV"/>
              </w:rPr>
            </w:pPr>
          </w:p>
          <w:p w:rsidR="00635C3E" w:rsidRPr="008404B2" w:rsidRDefault="009F6263" w:rsidP="00755601">
            <w:pPr>
              <w:pStyle w:val="Bezatstarpm1"/>
              <w:jc w:val="both"/>
              <w:rPr>
                <w:rFonts w:ascii="Times New Roman" w:hAnsi="Times New Roman"/>
                <w:b/>
                <w:i/>
                <w:color w:val="000000" w:themeColor="text1"/>
                <w:sz w:val="24"/>
                <w:szCs w:val="24"/>
                <w:lang w:val="lv-LV"/>
              </w:rPr>
            </w:pPr>
            <w:r w:rsidRPr="008404B2">
              <w:rPr>
                <w:rFonts w:ascii="Times New Roman" w:hAnsi="Times New Roman"/>
                <w:b/>
                <w:i/>
                <w:color w:val="000000" w:themeColor="text1"/>
                <w:sz w:val="24"/>
                <w:szCs w:val="24"/>
                <w:lang w:val="lv-LV"/>
              </w:rPr>
              <w:t>1) </w:t>
            </w:r>
            <w:r w:rsidR="002073F9" w:rsidRPr="008404B2">
              <w:rPr>
                <w:rFonts w:ascii="Times New Roman" w:hAnsi="Times New Roman"/>
                <w:b/>
                <w:i/>
                <w:color w:val="000000" w:themeColor="text1"/>
                <w:sz w:val="24"/>
                <w:szCs w:val="24"/>
                <w:lang w:val="lv-LV"/>
              </w:rPr>
              <w:t xml:space="preserve">Izslēgt no regulējuma normas, kas regulē nacionālā reģistrācijas procedūrā reģistrēto zāļu izmaiņu izskatīšanas kārtību, jo </w:t>
            </w:r>
            <w:r w:rsidR="00515659" w:rsidRPr="008404B2">
              <w:rPr>
                <w:rFonts w:ascii="Times New Roman" w:hAnsi="Times New Roman"/>
                <w:b/>
                <w:i/>
                <w:color w:val="000000" w:themeColor="text1"/>
                <w:sz w:val="24"/>
                <w:szCs w:val="24"/>
                <w:lang w:val="lv-LV"/>
              </w:rPr>
              <w:t>to</w:t>
            </w:r>
            <w:r w:rsidR="002073F9" w:rsidRPr="008404B2">
              <w:rPr>
                <w:rFonts w:ascii="Times New Roman" w:hAnsi="Times New Roman"/>
                <w:b/>
                <w:i/>
                <w:color w:val="000000" w:themeColor="text1"/>
                <w:sz w:val="24"/>
                <w:szCs w:val="24"/>
                <w:lang w:val="lv-LV"/>
              </w:rPr>
              <w:t xml:space="preserve"> regulē Komisijas regula</w:t>
            </w:r>
            <w:r w:rsidR="00E61C65" w:rsidRPr="008404B2">
              <w:rPr>
                <w:rFonts w:ascii="Times New Roman" w:hAnsi="Times New Roman"/>
                <w:b/>
                <w:i/>
                <w:color w:val="000000" w:themeColor="text1"/>
                <w:sz w:val="24"/>
                <w:szCs w:val="24"/>
                <w:lang w:val="lv-LV"/>
              </w:rPr>
              <w:t xml:space="preserve"> Nr. 1234/2008</w:t>
            </w:r>
          </w:p>
          <w:p w:rsidR="0072099F" w:rsidRPr="008404B2" w:rsidRDefault="002073F9" w:rsidP="0072099F">
            <w:pPr>
              <w:pStyle w:val="Bezatstarpm1"/>
              <w:jc w:val="both"/>
              <w:rPr>
                <w:rFonts w:ascii="Times New Roman" w:hAnsi="Times New Roman"/>
                <w:color w:val="000000" w:themeColor="text1"/>
                <w:sz w:val="24"/>
                <w:szCs w:val="24"/>
                <w:lang w:val="lv-LV"/>
              </w:rPr>
            </w:pPr>
            <w:r w:rsidRPr="008404B2">
              <w:rPr>
                <w:rFonts w:ascii="Times New Roman" w:hAnsi="Times New Roman"/>
                <w:color w:val="000000" w:themeColor="text1"/>
                <w:sz w:val="24"/>
                <w:szCs w:val="24"/>
                <w:lang w:val="lv-LV"/>
              </w:rPr>
              <w:t>Tiesiskais regulējums MK noteikum</w:t>
            </w:r>
            <w:r w:rsidR="00F91AEF" w:rsidRPr="008404B2">
              <w:rPr>
                <w:rFonts w:ascii="Times New Roman" w:hAnsi="Times New Roman"/>
                <w:color w:val="000000" w:themeColor="text1"/>
                <w:sz w:val="24"/>
                <w:szCs w:val="24"/>
                <w:lang w:val="lv-LV"/>
              </w:rPr>
              <w:t>os</w:t>
            </w:r>
            <w:r w:rsidRPr="008404B2">
              <w:rPr>
                <w:rFonts w:ascii="Times New Roman" w:hAnsi="Times New Roman"/>
                <w:color w:val="000000" w:themeColor="text1"/>
                <w:sz w:val="24"/>
                <w:szCs w:val="24"/>
                <w:lang w:val="lv-LV"/>
              </w:rPr>
              <w:t xml:space="preserve"> Nr. 376 par izmaiņu izsk</w:t>
            </w:r>
            <w:r w:rsidR="00EB5CD2" w:rsidRPr="008404B2">
              <w:rPr>
                <w:rFonts w:ascii="Times New Roman" w:hAnsi="Times New Roman"/>
                <w:color w:val="000000" w:themeColor="text1"/>
                <w:sz w:val="24"/>
                <w:szCs w:val="24"/>
                <w:lang w:val="lv-LV"/>
              </w:rPr>
              <w:t xml:space="preserve">atīšanu reģistrētajās zālēs </w:t>
            </w:r>
            <w:r w:rsidRPr="008404B2">
              <w:rPr>
                <w:rFonts w:ascii="Times New Roman" w:hAnsi="Times New Roman"/>
                <w:color w:val="000000" w:themeColor="text1"/>
                <w:sz w:val="24"/>
                <w:szCs w:val="24"/>
                <w:lang w:val="lv-LV"/>
              </w:rPr>
              <w:t>rada tiesību normu nepareizas interpretācijas risku</w:t>
            </w:r>
            <w:r w:rsidR="0072099F" w:rsidRPr="008404B2">
              <w:rPr>
                <w:rFonts w:ascii="Times New Roman" w:hAnsi="Times New Roman"/>
                <w:color w:val="000000" w:themeColor="text1"/>
                <w:sz w:val="24"/>
                <w:szCs w:val="24"/>
                <w:lang w:val="lv-LV"/>
              </w:rPr>
              <w:t>, jo ietver regulējumu par I</w:t>
            </w:r>
            <w:r w:rsidR="00F3130C" w:rsidRPr="008404B2">
              <w:rPr>
                <w:rFonts w:ascii="Times New Roman" w:hAnsi="Times New Roman"/>
                <w:color w:val="000000" w:themeColor="text1"/>
                <w:sz w:val="24"/>
                <w:szCs w:val="24"/>
                <w:lang w:val="lv-LV"/>
              </w:rPr>
              <w:t> </w:t>
            </w:r>
            <w:r w:rsidR="0072099F" w:rsidRPr="008404B2">
              <w:rPr>
                <w:rFonts w:ascii="Times New Roman" w:hAnsi="Times New Roman"/>
                <w:color w:val="000000" w:themeColor="text1"/>
                <w:sz w:val="24"/>
                <w:szCs w:val="24"/>
                <w:lang w:val="lv-LV"/>
              </w:rPr>
              <w:t>A, I</w:t>
            </w:r>
            <w:r w:rsidR="00F3130C" w:rsidRPr="008404B2">
              <w:rPr>
                <w:rFonts w:ascii="Times New Roman" w:hAnsi="Times New Roman"/>
                <w:color w:val="000000" w:themeColor="text1"/>
                <w:sz w:val="24"/>
                <w:szCs w:val="24"/>
                <w:lang w:val="lv-LV"/>
              </w:rPr>
              <w:t> </w:t>
            </w:r>
            <w:r w:rsidR="0072099F" w:rsidRPr="008404B2">
              <w:rPr>
                <w:rFonts w:ascii="Times New Roman" w:hAnsi="Times New Roman"/>
                <w:color w:val="000000" w:themeColor="text1"/>
                <w:sz w:val="24"/>
                <w:szCs w:val="24"/>
                <w:lang w:val="lv-LV"/>
              </w:rPr>
              <w:t>B, II tipa izmaiņām un reģistrācijas paplašināšanu nacionālā reģistrācijas procedūrā reģistrētajām zālēm (11.</w:t>
            </w:r>
            <w:r w:rsidR="00555038" w:rsidRPr="008404B2">
              <w:rPr>
                <w:rFonts w:ascii="Times New Roman" w:hAnsi="Times New Roman"/>
                <w:color w:val="000000" w:themeColor="text1"/>
                <w:sz w:val="24"/>
                <w:szCs w:val="24"/>
                <w:lang w:val="lv-LV"/>
              </w:rPr>
              <w:t>, 11.</w:t>
            </w:r>
            <w:r w:rsidR="00555038" w:rsidRPr="008404B2">
              <w:rPr>
                <w:rFonts w:ascii="Times New Roman" w:hAnsi="Times New Roman"/>
                <w:color w:val="000000" w:themeColor="text1"/>
                <w:sz w:val="24"/>
                <w:szCs w:val="24"/>
                <w:vertAlign w:val="superscript"/>
                <w:lang w:val="lv-LV"/>
              </w:rPr>
              <w:t>2</w:t>
            </w:r>
            <w:r w:rsidR="0072099F" w:rsidRPr="008404B2">
              <w:rPr>
                <w:rFonts w:ascii="Times New Roman" w:hAnsi="Times New Roman"/>
                <w:color w:val="000000" w:themeColor="text1"/>
                <w:sz w:val="24"/>
                <w:szCs w:val="24"/>
                <w:lang w:val="lv-LV"/>
              </w:rPr>
              <w:t xml:space="preserve"> punkts, VIII., IX. un </w:t>
            </w:r>
            <w:r w:rsidR="0072099F" w:rsidRPr="008404B2">
              <w:rPr>
                <w:rFonts w:ascii="Times New Roman" w:hAnsi="Times New Roman"/>
                <w:bCs/>
                <w:color w:val="000000" w:themeColor="text1"/>
                <w:sz w:val="24"/>
                <w:szCs w:val="24"/>
                <w:shd w:val="clear" w:color="auto" w:fill="FFFFFF"/>
                <w:lang w:val="lv-LV"/>
              </w:rPr>
              <w:t xml:space="preserve">X. nodaļa </w:t>
            </w:r>
            <w:r w:rsidR="009C77FA" w:rsidRPr="008404B2">
              <w:rPr>
                <w:rFonts w:ascii="Times New Roman" w:hAnsi="Times New Roman"/>
                <w:bCs/>
                <w:color w:val="000000" w:themeColor="text1"/>
                <w:sz w:val="24"/>
                <w:szCs w:val="24"/>
                <w:shd w:val="clear" w:color="auto" w:fill="FFFFFF"/>
                <w:lang w:val="lv-LV"/>
              </w:rPr>
              <w:t>(76. – 81. punkts) </w:t>
            </w:r>
            <w:r w:rsidR="0072099F" w:rsidRPr="008404B2">
              <w:rPr>
                <w:rFonts w:ascii="Times New Roman" w:hAnsi="Times New Roman"/>
                <w:bCs/>
                <w:color w:val="000000" w:themeColor="text1"/>
                <w:sz w:val="24"/>
                <w:szCs w:val="24"/>
                <w:shd w:val="clear" w:color="auto" w:fill="FFFFFF"/>
                <w:lang w:val="lv-LV"/>
              </w:rPr>
              <w:t xml:space="preserve">un </w:t>
            </w:r>
            <w:r w:rsidR="0072099F" w:rsidRPr="008404B2">
              <w:rPr>
                <w:rFonts w:ascii="Times New Roman" w:hAnsi="Times New Roman"/>
                <w:color w:val="000000" w:themeColor="text1"/>
                <w:sz w:val="24"/>
                <w:szCs w:val="24"/>
                <w:lang w:val="lv-LV"/>
              </w:rPr>
              <w:t>7., 7.</w:t>
            </w:r>
            <w:r w:rsidR="0072099F" w:rsidRPr="008404B2">
              <w:rPr>
                <w:rFonts w:ascii="Times New Roman" w:hAnsi="Times New Roman"/>
                <w:color w:val="000000" w:themeColor="text1"/>
                <w:sz w:val="24"/>
                <w:szCs w:val="24"/>
                <w:vertAlign w:val="superscript"/>
                <w:lang w:val="lv-LV"/>
              </w:rPr>
              <w:t>1</w:t>
            </w:r>
            <w:r w:rsidR="0072099F" w:rsidRPr="008404B2">
              <w:rPr>
                <w:rFonts w:ascii="Times New Roman" w:hAnsi="Times New Roman"/>
                <w:color w:val="000000" w:themeColor="text1"/>
                <w:sz w:val="24"/>
                <w:szCs w:val="24"/>
                <w:lang w:val="lv-LV"/>
              </w:rPr>
              <w:t xml:space="preserve"> un 8. pielikums). Izmaiņu izskatīšanas kārtību</w:t>
            </w:r>
            <w:r w:rsidR="00EB5CD2" w:rsidRPr="008404B2">
              <w:rPr>
                <w:rFonts w:ascii="Times New Roman" w:hAnsi="Times New Roman"/>
                <w:color w:val="000000" w:themeColor="text1"/>
                <w:sz w:val="24"/>
                <w:szCs w:val="24"/>
                <w:lang w:val="lv-LV"/>
              </w:rPr>
              <w:t xml:space="preserve"> </w:t>
            </w:r>
            <w:r w:rsidR="00B222E1" w:rsidRPr="008404B2">
              <w:rPr>
                <w:rFonts w:ascii="Times New Roman" w:hAnsi="Times New Roman"/>
                <w:color w:val="000000" w:themeColor="text1"/>
                <w:sz w:val="24"/>
                <w:szCs w:val="24"/>
                <w:lang w:val="lv-LV"/>
              </w:rPr>
              <w:t xml:space="preserve">nacionālā reģistrācijas procedūrā reģistrētajām zālēm </w:t>
            </w:r>
            <w:r w:rsidR="005D7331" w:rsidRPr="008404B2">
              <w:rPr>
                <w:rFonts w:ascii="Times New Roman" w:hAnsi="Times New Roman"/>
                <w:color w:val="000000" w:themeColor="text1"/>
                <w:sz w:val="24"/>
                <w:szCs w:val="24"/>
                <w:lang w:val="lv-LV"/>
              </w:rPr>
              <w:t xml:space="preserve">(jeb </w:t>
            </w:r>
            <w:r w:rsidR="00B222E1" w:rsidRPr="008404B2">
              <w:rPr>
                <w:rFonts w:ascii="Times New Roman" w:hAnsi="Times New Roman"/>
                <w:color w:val="000000" w:themeColor="text1"/>
                <w:sz w:val="24"/>
                <w:szCs w:val="24"/>
                <w:lang w:val="lv-LV"/>
              </w:rPr>
              <w:t xml:space="preserve">izmaiņas valsts mēroga tirdzniecības atļaujās) </w:t>
            </w:r>
            <w:r w:rsidR="0072099F" w:rsidRPr="008404B2">
              <w:rPr>
                <w:rFonts w:ascii="Times New Roman" w:hAnsi="Times New Roman"/>
                <w:color w:val="000000" w:themeColor="text1"/>
                <w:sz w:val="24"/>
                <w:szCs w:val="24"/>
                <w:lang w:val="lv-LV"/>
              </w:rPr>
              <w:t xml:space="preserve">nosaka </w:t>
            </w:r>
            <w:r w:rsidR="00EB5CD2" w:rsidRPr="008404B2">
              <w:rPr>
                <w:rFonts w:ascii="Times New Roman" w:hAnsi="Times New Roman"/>
                <w:color w:val="000000" w:themeColor="text1"/>
                <w:sz w:val="24"/>
                <w:szCs w:val="24"/>
                <w:lang w:val="lv-LV"/>
              </w:rPr>
              <w:t>Komisijas</w:t>
            </w:r>
            <w:r w:rsidRPr="008404B2">
              <w:rPr>
                <w:rFonts w:ascii="Times New Roman" w:hAnsi="Times New Roman"/>
                <w:color w:val="000000" w:themeColor="text1"/>
                <w:sz w:val="24"/>
                <w:szCs w:val="24"/>
                <w:lang w:val="lv-LV"/>
              </w:rPr>
              <w:t xml:space="preserve"> regula</w:t>
            </w:r>
            <w:r w:rsidR="00B222E1" w:rsidRPr="008404B2">
              <w:rPr>
                <w:rFonts w:ascii="Times New Roman" w:hAnsi="Times New Roman"/>
                <w:color w:val="000000" w:themeColor="text1"/>
                <w:sz w:val="24"/>
                <w:szCs w:val="24"/>
                <w:lang w:val="lv-LV"/>
              </w:rPr>
              <w:t>s</w:t>
            </w:r>
            <w:r w:rsidRPr="008404B2">
              <w:rPr>
                <w:rFonts w:ascii="Times New Roman" w:hAnsi="Times New Roman"/>
                <w:color w:val="000000" w:themeColor="text1"/>
                <w:sz w:val="24"/>
                <w:szCs w:val="24"/>
                <w:lang w:val="lv-LV"/>
              </w:rPr>
              <w:t xml:space="preserve"> Nr. 1234/2008</w:t>
            </w:r>
            <w:r w:rsidR="00B222E1" w:rsidRPr="008404B2">
              <w:rPr>
                <w:rFonts w:ascii="Times New Roman" w:hAnsi="Times New Roman"/>
                <w:color w:val="000000" w:themeColor="text1"/>
                <w:sz w:val="24"/>
                <w:szCs w:val="24"/>
                <w:lang w:val="lv-LV"/>
              </w:rPr>
              <w:t xml:space="preserve"> II</w:t>
            </w:r>
            <w:r w:rsidR="00C128C3" w:rsidRPr="008404B2">
              <w:rPr>
                <w:rFonts w:ascii="Times New Roman" w:hAnsi="Times New Roman"/>
                <w:color w:val="000000" w:themeColor="text1"/>
                <w:sz w:val="24"/>
                <w:szCs w:val="24"/>
                <w:lang w:val="lv-LV"/>
              </w:rPr>
              <w:t> </w:t>
            </w:r>
            <w:r w:rsidR="00B222E1" w:rsidRPr="008404B2">
              <w:rPr>
                <w:rFonts w:ascii="Times New Roman" w:hAnsi="Times New Roman"/>
                <w:color w:val="000000" w:themeColor="text1"/>
                <w:sz w:val="24"/>
                <w:szCs w:val="24"/>
                <w:lang w:val="lv-LV"/>
              </w:rPr>
              <w:t>a nodaļa</w:t>
            </w:r>
            <w:r w:rsidR="0072099F" w:rsidRPr="008404B2">
              <w:rPr>
                <w:rFonts w:ascii="Times New Roman" w:hAnsi="Times New Roman"/>
                <w:color w:val="000000" w:themeColor="text1"/>
                <w:sz w:val="24"/>
                <w:szCs w:val="24"/>
                <w:lang w:val="lv-LV"/>
              </w:rPr>
              <w:t>.</w:t>
            </w:r>
          </w:p>
          <w:p w:rsidR="00B844FA" w:rsidRPr="008404B2" w:rsidRDefault="0072099F" w:rsidP="00755601">
            <w:pPr>
              <w:pStyle w:val="Bezatstarpm1"/>
              <w:jc w:val="both"/>
              <w:rPr>
                <w:rFonts w:ascii="Times New Roman" w:hAnsi="Times New Roman"/>
                <w:color w:val="000000" w:themeColor="text1"/>
                <w:sz w:val="24"/>
                <w:szCs w:val="24"/>
                <w:lang w:val="lv-LV"/>
              </w:rPr>
            </w:pPr>
            <w:r w:rsidRPr="008404B2">
              <w:rPr>
                <w:rFonts w:ascii="Times New Roman" w:hAnsi="Times New Roman"/>
                <w:color w:val="000000" w:themeColor="text1"/>
                <w:sz w:val="24"/>
                <w:szCs w:val="24"/>
                <w:lang w:val="lv-LV"/>
              </w:rPr>
              <w:lastRenderedPageBreak/>
              <w:t>L</w:t>
            </w:r>
            <w:r w:rsidR="00CA1D65" w:rsidRPr="008404B2">
              <w:rPr>
                <w:rFonts w:ascii="Times New Roman" w:hAnsi="Times New Roman"/>
                <w:color w:val="000000" w:themeColor="text1"/>
                <w:sz w:val="24"/>
                <w:szCs w:val="24"/>
                <w:lang w:val="lv-LV"/>
              </w:rPr>
              <w:t xml:space="preserve">ai izslēgtu risku nepareizai tiesību normu interpretācijai, </w:t>
            </w:r>
            <w:r w:rsidR="003E0C6D" w:rsidRPr="008404B2">
              <w:rPr>
                <w:rFonts w:ascii="Times New Roman" w:hAnsi="Times New Roman"/>
                <w:color w:val="000000" w:themeColor="text1"/>
                <w:sz w:val="24"/>
                <w:szCs w:val="24"/>
                <w:lang w:val="lv-LV"/>
              </w:rPr>
              <w:t>regulējums Noteikumu projektā</w:t>
            </w:r>
            <w:r w:rsidRPr="008404B2">
              <w:rPr>
                <w:rFonts w:ascii="Times New Roman" w:hAnsi="Times New Roman"/>
                <w:color w:val="000000" w:themeColor="text1"/>
                <w:sz w:val="24"/>
                <w:szCs w:val="24"/>
                <w:lang w:val="lv-LV"/>
              </w:rPr>
              <w:t xml:space="preserve"> </w:t>
            </w:r>
            <w:r w:rsidR="00B844FA" w:rsidRPr="008404B2">
              <w:rPr>
                <w:rFonts w:ascii="Times New Roman" w:hAnsi="Times New Roman"/>
                <w:color w:val="000000" w:themeColor="text1"/>
                <w:sz w:val="24"/>
                <w:szCs w:val="24"/>
                <w:lang w:val="lv-LV"/>
              </w:rPr>
              <w:t xml:space="preserve">precizē vai attiecīgā gadījumā </w:t>
            </w:r>
            <w:r w:rsidRPr="008404B2">
              <w:rPr>
                <w:rFonts w:ascii="Times New Roman" w:hAnsi="Times New Roman"/>
                <w:color w:val="000000" w:themeColor="text1"/>
                <w:sz w:val="24"/>
                <w:szCs w:val="24"/>
                <w:lang w:val="lv-LV"/>
              </w:rPr>
              <w:t>izslēdz</w:t>
            </w:r>
            <w:r w:rsidR="00CA1D65" w:rsidRPr="008404B2">
              <w:rPr>
                <w:rFonts w:ascii="Times New Roman" w:hAnsi="Times New Roman"/>
                <w:color w:val="000000" w:themeColor="text1"/>
                <w:sz w:val="24"/>
                <w:szCs w:val="24"/>
                <w:lang w:val="lv-LV"/>
              </w:rPr>
              <w:t xml:space="preserve"> </w:t>
            </w:r>
            <w:r w:rsidRPr="008404B2">
              <w:rPr>
                <w:rFonts w:ascii="Times New Roman" w:hAnsi="Times New Roman"/>
                <w:color w:val="000000" w:themeColor="text1"/>
                <w:sz w:val="24"/>
                <w:szCs w:val="24"/>
                <w:lang w:val="lv-LV"/>
              </w:rPr>
              <w:t>no MK noteikumiem Nr. 376</w:t>
            </w:r>
            <w:r w:rsidR="00CA1D65" w:rsidRPr="008404B2">
              <w:rPr>
                <w:rFonts w:ascii="Times New Roman" w:hAnsi="Times New Roman"/>
                <w:color w:val="000000" w:themeColor="text1"/>
                <w:sz w:val="24"/>
                <w:szCs w:val="24"/>
                <w:lang w:val="lv-LV"/>
              </w:rPr>
              <w:t xml:space="preserve"> normas </w:t>
            </w:r>
            <w:r w:rsidR="009C77FA" w:rsidRPr="008404B2">
              <w:rPr>
                <w:rFonts w:ascii="Times New Roman" w:hAnsi="Times New Roman"/>
                <w:color w:val="000000" w:themeColor="text1"/>
                <w:sz w:val="24"/>
                <w:szCs w:val="24"/>
                <w:lang w:val="lv-LV"/>
              </w:rPr>
              <w:t>(11. punkts,</w:t>
            </w:r>
            <w:r w:rsidR="00555038" w:rsidRPr="008404B2">
              <w:rPr>
                <w:rFonts w:ascii="Times New Roman" w:hAnsi="Times New Roman"/>
                <w:color w:val="000000" w:themeColor="text1"/>
                <w:sz w:val="24"/>
                <w:szCs w:val="24"/>
                <w:lang w:val="lv-LV"/>
              </w:rPr>
              <w:t xml:space="preserve"> 11.</w:t>
            </w:r>
            <w:r w:rsidR="00555038" w:rsidRPr="008404B2">
              <w:rPr>
                <w:rFonts w:ascii="Times New Roman" w:hAnsi="Times New Roman"/>
                <w:color w:val="000000" w:themeColor="text1"/>
                <w:sz w:val="24"/>
                <w:szCs w:val="24"/>
                <w:vertAlign w:val="superscript"/>
                <w:lang w:val="lv-LV"/>
              </w:rPr>
              <w:t>2</w:t>
            </w:r>
            <w:r w:rsidR="00555038" w:rsidRPr="008404B2">
              <w:rPr>
                <w:rFonts w:ascii="Times New Roman" w:hAnsi="Times New Roman"/>
                <w:color w:val="000000" w:themeColor="text1"/>
                <w:sz w:val="24"/>
                <w:szCs w:val="24"/>
                <w:lang w:val="lv-LV"/>
              </w:rPr>
              <w:t> ,</w:t>
            </w:r>
            <w:r w:rsidR="009C77FA" w:rsidRPr="008404B2">
              <w:rPr>
                <w:rFonts w:ascii="Times New Roman" w:hAnsi="Times New Roman"/>
                <w:color w:val="000000" w:themeColor="text1"/>
                <w:sz w:val="24"/>
                <w:szCs w:val="24"/>
                <w:lang w:val="lv-LV"/>
              </w:rPr>
              <w:t xml:space="preserve">VIII., IX. un </w:t>
            </w:r>
            <w:r w:rsidR="009C77FA" w:rsidRPr="008404B2">
              <w:rPr>
                <w:rFonts w:ascii="Times New Roman" w:hAnsi="Times New Roman"/>
                <w:bCs/>
                <w:color w:val="000000" w:themeColor="text1"/>
                <w:sz w:val="24"/>
                <w:szCs w:val="24"/>
                <w:shd w:val="clear" w:color="auto" w:fill="FFFFFF"/>
                <w:lang w:val="lv-LV"/>
              </w:rPr>
              <w:t xml:space="preserve">X. nodaļa un </w:t>
            </w:r>
            <w:r w:rsidR="009C77FA" w:rsidRPr="008404B2">
              <w:rPr>
                <w:rFonts w:ascii="Times New Roman" w:hAnsi="Times New Roman"/>
                <w:color w:val="000000" w:themeColor="text1"/>
                <w:sz w:val="24"/>
                <w:szCs w:val="24"/>
                <w:lang w:val="lv-LV"/>
              </w:rPr>
              <w:t>7., 7.</w:t>
            </w:r>
            <w:r w:rsidR="009C77FA" w:rsidRPr="008404B2">
              <w:rPr>
                <w:rFonts w:ascii="Times New Roman" w:hAnsi="Times New Roman"/>
                <w:color w:val="000000" w:themeColor="text1"/>
                <w:sz w:val="24"/>
                <w:szCs w:val="24"/>
                <w:vertAlign w:val="superscript"/>
                <w:lang w:val="lv-LV"/>
              </w:rPr>
              <w:t>1</w:t>
            </w:r>
            <w:r w:rsidR="009C77FA" w:rsidRPr="008404B2">
              <w:rPr>
                <w:rFonts w:ascii="Times New Roman" w:hAnsi="Times New Roman"/>
                <w:color w:val="000000" w:themeColor="text1"/>
                <w:sz w:val="24"/>
                <w:szCs w:val="24"/>
                <w:lang w:val="lv-LV"/>
              </w:rPr>
              <w:t xml:space="preserve"> un 8. pielikums) </w:t>
            </w:r>
            <w:r w:rsidR="00CA1D65" w:rsidRPr="008404B2">
              <w:rPr>
                <w:rFonts w:ascii="Times New Roman" w:hAnsi="Times New Roman"/>
                <w:color w:val="000000" w:themeColor="text1"/>
                <w:sz w:val="24"/>
                <w:szCs w:val="24"/>
                <w:lang w:val="lv-LV"/>
              </w:rPr>
              <w:t xml:space="preserve">saistībā ar izmaiņu izskatīšanu </w:t>
            </w:r>
            <w:r w:rsidR="009F6263" w:rsidRPr="008404B2">
              <w:rPr>
                <w:rFonts w:ascii="Times New Roman" w:hAnsi="Times New Roman"/>
                <w:color w:val="000000" w:themeColor="text1"/>
                <w:sz w:val="24"/>
                <w:szCs w:val="24"/>
                <w:lang w:val="lv-LV"/>
              </w:rPr>
              <w:t xml:space="preserve">nacionālajā reģistrācijas procedūrā </w:t>
            </w:r>
            <w:r w:rsidRPr="008404B2">
              <w:rPr>
                <w:rFonts w:ascii="Times New Roman" w:hAnsi="Times New Roman"/>
                <w:color w:val="000000" w:themeColor="text1"/>
                <w:sz w:val="24"/>
                <w:szCs w:val="24"/>
                <w:lang w:val="lv-LV"/>
              </w:rPr>
              <w:t>reģistrētajās zālēs</w:t>
            </w:r>
            <w:r w:rsidR="003E0C6D" w:rsidRPr="008404B2">
              <w:rPr>
                <w:rFonts w:ascii="Times New Roman" w:hAnsi="Times New Roman"/>
                <w:color w:val="000000" w:themeColor="text1"/>
                <w:sz w:val="24"/>
                <w:szCs w:val="24"/>
                <w:lang w:val="lv-LV"/>
              </w:rPr>
              <w:t>, jo šo jautāju</w:t>
            </w:r>
            <w:r w:rsidR="0062386C" w:rsidRPr="008404B2">
              <w:rPr>
                <w:rFonts w:ascii="Times New Roman" w:hAnsi="Times New Roman"/>
                <w:color w:val="000000" w:themeColor="text1"/>
                <w:sz w:val="24"/>
                <w:szCs w:val="24"/>
                <w:lang w:val="lv-LV"/>
              </w:rPr>
              <w:t>mu</w:t>
            </w:r>
            <w:r w:rsidR="003E0C6D" w:rsidRPr="008404B2">
              <w:rPr>
                <w:rFonts w:ascii="Times New Roman" w:hAnsi="Times New Roman"/>
                <w:color w:val="000000" w:themeColor="text1"/>
                <w:sz w:val="24"/>
                <w:szCs w:val="24"/>
                <w:lang w:val="lv-LV"/>
              </w:rPr>
              <w:t xml:space="preserve"> regulē Komisijas regula Nr. 1234/2008,</w:t>
            </w:r>
            <w:r w:rsidRPr="008404B2">
              <w:rPr>
                <w:rFonts w:ascii="Times New Roman" w:hAnsi="Times New Roman"/>
                <w:color w:val="000000" w:themeColor="text1"/>
                <w:sz w:val="24"/>
                <w:szCs w:val="24"/>
                <w:lang w:val="lv-LV"/>
              </w:rPr>
              <w:t xml:space="preserve"> un </w:t>
            </w:r>
            <w:r w:rsidR="00755601" w:rsidRPr="008404B2">
              <w:rPr>
                <w:rFonts w:ascii="Times New Roman" w:hAnsi="Times New Roman"/>
                <w:color w:val="000000" w:themeColor="text1"/>
                <w:sz w:val="24"/>
                <w:szCs w:val="24"/>
                <w:lang w:val="lv-LV"/>
              </w:rPr>
              <w:t xml:space="preserve">risina </w:t>
            </w:r>
            <w:proofErr w:type="spellStart"/>
            <w:r w:rsidR="00755601" w:rsidRPr="008404B2">
              <w:rPr>
                <w:rFonts w:ascii="Times New Roman" w:hAnsi="Times New Roman"/>
                <w:color w:val="000000" w:themeColor="text1"/>
                <w:sz w:val="24"/>
                <w:szCs w:val="24"/>
                <w:lang w:val="lv-LV"/>
              </w:rPr>
              <w:t>problēmsituāciju</w:t>
            </w:r>
            <w:proofErr w:type="spellEnd"/>
            <w:r w:rsidR="00755601" w:rsidRPr="008404B2">
              <w:rPr>
                <w:rFonts w:ascii="Times New Roman" w:hAnsi="Times New Roman"/>
                <w:color w:val="000000" w:themeColor="text1"/>
                <w:sz w:val="24"/>
                <w:szCs w:val="24"/>
                <w:lang w:val="lv-LV"/>
              </w:rPr>
              <w:t xml:space="preserve"> (Note</w:t>
            </w:r>
            <w:r w:rsidR="001002F1" w:rsidRPr="008404B2">
              <w:rPr>
                <w:rFonts w:ascii="Times New Roman" w:hAnsi="Times New Roman"/>
                <w:color w:val="000000" w:themeColor="text1"/>
                <w:sz w:val="24"/>
                <w:szCs w:val="24"/>
                <w:lang w:val="lv-LV"/>
              </w:rPr>
              <w:t>ikumu projekta 1.,</w:t>
            </w:r>
            <w:r w:rsidR="009E318A" w:rsidRPr="008404B2">
              <w:rPr>
                <w:rFonts w:ascii="Times New Roman" w:hAnsi="Times New Roman"/>
                <w:color w:val="000000" w:themeColor="text1"/>
                <w:sz w:val="24"/>
                <w:szCs w:val="24"/>
                <w:lang w:val="lv-LV"/>
              </w:rPr>
              <w:t xml:space="preserve"> 7</w:t>
            </w:r>
            <w:r w:rsidR="00A82E7C" w:rsidRPr="008404B2">
              <w:rPr>
                <w:rFonts w:ascii="Times New Roman" w:hAnsi="Times New Roman"/>
                <w:color w:val="000000" w:themeColor="text1"/>
                <w:sz w:val="24"/>
                <w:szCs w:val="24"/>
                <w:lang w:val="lv-LV"/>
              </w:rPr>
              <w:t>.,</w:t>
            </w:r>
            <w:r w:rsidR="0054035E" w:rsidRPr="008404B2">
              <w:rPr>
                <w:rFonts w:ascii="Times New Roman" w:hAnsi="Times New Roman"/>
                <w:color w:val="000000" w:themeColor="text1"/>
                <w:sz w:val="24"/>
                <w:szCs w:val="24"/>
                <w:lang w:val="lv-LV"/>
              </w:rPr>
              <w:t xml:space="preserve"> </w:t>
            </w:r>
            <w:r w:rsidR="009E318A" w:rsidRPr="008404B2">
              <w:rPr>
                <w:rFonts w:ascii="Times New Roman" w:hAnsi="Times New Roman"/>
                <w:color w:val="000000" w:themeColor="text1"/>
                <w:sz w:val="24"/>
                <w:szCs w:val="24"/>
                <w:lang w:val="lv-LV"/>
              </w:rPr>
              <w:t>9. un 2</w:t>
            </w:r>
            <w:r w:rsidR="00FC1379" w:rsidRPr="008404B2">
              <w:rPr>
                <w:rFonts w:ascii="Times New Roman" w:hAnsi="Times New Roman"/>
                <w:color w:val="000000" w:themeColor="text1"/>
                <w:sz w:val="24"/>
                <w:szCs w:val="24"/>
                <w:lang w:val="lv-LV"/>
              </w:rPr>
              <w:t>6</w:t>
            </w:r>
            <w:r w:rsidR="00755601" w:rsidRPr="008404B2">
              <w:rPr>
                <w:rFonts w:ascii="Times New Roman" w:hAnsi="Times New Roman"/>
                <w:color w:val="000000" w:themeColor="text1"/>
                <w:sz w:val="24"/>
                <w:szCs w:val="24"/>
                <w:lang w:val="lv-LV"/>
              </w:rPr>
              <w:t>. punkts).</w:t>
            </w:r>
          </w:p>
          <w:p w:rsidR="00047F86" w:rsidRPr="008404B2" w:rsidRDefault="00047F86" w:rsidP="00CA1D65">
            <w:pPr>
              <w:pStyle w:val="Bezatstarpm1"/>
              <w:jc w:val="both"/>
              <w:rPr>
                <w:rFonts w:ascii="Times New Roman" w:eastAsia="Calibri" w:hAnsi="Times New Roman"/>
                <w:b/>
                <w:i/>
                <w:color w:val="000000" w:themeColor="text1"/>
                <w:sz w:val="24"/>
                <w:szCs w:val="24"/>
                <w:shd w:val="clear" w:color="auto" w:fill="FFFFFF"/>
                <w:lang w:val="lv-LV"/>
              </w:rPr>
            </w:pPr>
          </w:p>
          <w:p w:rsidR="00CA1D65" w:rsidRPr="008404B2" w:rsidRDefault="007D376B" w:rsidP="00401C6B">
            <w:pPr>
              <w:pStyle w:val="Bezatstarpm1"/>
              <w:jc w:val="both"/>
              <w:rPr>
                <w:rFonts w:ascii="Times New Roman" w:hAnsi="Times New Roman"/>
                <w:b/>
                <w:i/>
                <w:color w:val="000000" w:themeColor="text1"/>
                <w:sz w:val="24"/>
                <w:szCs w:val="24"/>
                <w:lang w:val="lv-LV"/>
              </w:rPr>
            </w:pPr>
            <w:r w:rsidRPr="008404B2">
              <w:rPr>
                <w:rFonts w:ascii="Times New Roman" w:eastAsia="Calibri" w:hAnsi="Times New Roman"/>
                <w:b/>
                <w:i/>
                <w:color w:val="000000" w:themeColor="text1"/>
                <w:sz w:val="24"/>
                <w:szCs w:val="24"/>
                <w:shd w:val="clear" w:color="auto" w:fill="FFFFFF"/>
                <w:lang w:val="lv-LV"/>
              </w:rPr>
              <w:t>2) </w:t>
            </w:r>
            <w:r w:rsidR="0002396B" w:rsidRPr="008404B2">
              <w:rPr>
                <w:rFonts w:ascii="Times New Roman" w:eastAsia="Calibri" w:hAnsi="Times New Roman"/>
                <w:b/>
                <w:i/>
                <w:color w:val="000000" w:themeColor="text1"/>
                <w:sz w:val="24"/>
                <w:szCs w:val="24"/>
                <w:shd w:val="clear" w:color="auto" w:fill="FFFFFF"/>
                <w:lang w:val="lv-LV"/>
              </w:rPr>
              <w:t>N</w:t>
            </w:r>
            <w:r w:rsidR="003044FB" w:rsidRPr="008404B2">
              <w:rPr>
                <w:rFonts w:ascii="Times New Roman" w:hAnsi="Times New Roman"/>
                <w:b/>
                <w:i/>
                <w:color w:val="000000" w:themeColor="text1"/>
                <w:sz w:val="24"/>
                <w:szCs w:val="24"/>
                <w:lang w:val="lv-LV"/>
              </w:rPr>
              <w:t>oteikt zāļu reģistrācijas īpašnieka maiņas atteikšanas kritērijus</w:t>
            </w:r>
            <w:r w:rsidR="0002396B" w:rsidRPr="008404B2">
              <w:rPr>
                <w:rFonts w:ascii="Times New Roman" w:hAnsi="Times New Roman"/>
                <w:b/>
                <w:i/>
                <w:color w:val="000000" w:themeColor="text1"/>
                <w:sz w:val="24"/>
                <w:szCs w:val="24"/>
                <w:lang w:val="lv-LV"/>
              </w:rPr>
              <w:t xml:space="preserve"> un </w:t>
            </w:r>
            <w:r w:rsidR="000F445E" w:rsidRPr="008404B2">
              <w:rPr>
                <w:rFonts w:ascii="Times New Roman" w:eastAsia="Calibri" w:hAnsi="Times New Roman"/>
                <w:b/>
                <w:i/>
                <w:color w:val="000000" w:themeColor="text1"/>
                <w:sz w:val="24"/>
                <w:szCs w:val="24"/>
                <w:shd w:val="clear" w:color="auto" w:fill="FFFFFF"/>
                <w:lang w:val="lv-LV"/>
              </w:rPr>
              <w:t xml:space="preserve">konkretizēt </w:t>
            </w:r>
            <w:r w:rsidR="0002396B" w:rsidRPr="008404B2">
              <w:rPr>
                <w:rFonts w:ascii="Times New Roman" w:hAnsi="Times New Roman"/>
                <w:b/>
                <w:i/>
                <w:color w:val="000000" w:themeColor="text1"/>
                <w:sz w:val="24"/>
                <w:szCs w:val="24"/>
                <w:lang w:val="lv-LV"/>
              </w:rPr>
              <w:t xml:space="preserve">zāļu reģistrācijas īpašnieka maiņas gadījumā iesniedzamos </w:t>
            </w:r>
            <w:r w:rsidR="003210A3" w:rsidRPr="008404B2">
              <w:rPr>
                <w:rFonts w:ascii="Times New Roman" w:hAnsi="Times New Roman"/>
                <w:b/>
                <w:i/>
                <w:color w:val="000000" w:themeColor="text1"/>
                <w:sz w:val="24"/>
                <w:szCs w:val="24"/>
                <w:lang w:val="lv-LV"/>
              </w:rPr>
              <w:t>datus</w:t>
            </w:r>
            <w:r w:rsidR="0002396B" w:rsidRPr="008404B2">
              <w:rPr>
                <w:rFonts w:ascii="Times New Roman" w:hAnsi="Times New Roman"/>
                <w:b/>
                <w:i/>
                <w:color w:val="000000" w:themeColor="text1"/>
                <w:sz w:val="24"/>
                <w:szCs w:val="24"/>
                <w:lang w:val="lv-LV"/>
              </w:rPr>
              <w:t>.</w:t>
            </w:r>
          </w:p>
          <w:p w:rsidR="00A11E8A" w:rsidRPr="008404B2" w:rsidRDefault="00A11E8A" w:rsidP="00761BB7">
            <w:pPr>
              <w:pStyle w:val="NoSpacing"/>
              <w:jc w:val="both"/>
              <w:rPr>
                <w:color w:val="000000" w:themeColor="text1"/>
              </w:rPr>
            </w:pPr>
            <w:r w:rsidRPr="008404B2">
              <w:rPr>
                <w:color w:val="000000" w:themeColor="text1"/>
              </w:rPr>
              <w:t>a) </w:t>
            </w:r>
            <w:r w:rsidR="00F91AEF" w:rsidRPr="008404B2">
              <w:rPr>
                <w:color w:val="000000" w:themeColor="text1"/>
              </w:rPr>
              <w:t xml:space="preserve">Tiesiskais regulējums MK noteikumos Nr. 376 attiecībā uz zāļu reģistrācijas īpašnieka maiņu </w:t>
            </w:r>
            <w:r w:rsidR="00820393" w:rsidRPr="008404B2">
              <w:rPr>
                <w:color w:val="000000" w:themeColor="text1"/>
              </w:rPr>
              <w:t>(</w:t>
            </w:r>
            <w:r w:rsidR="00240E5E" w:rsidRPr="008404B2">
              <w:rPr>
                <w:color w:val="000000" w:themeColor="text1"/>
              </w:rPr>
              <w:t xml:space="preserve">attiecas uz gadījumiem, kad zāļu </w:t>
            </w:r>
            <w:r w:rsidR="00820393" w:rsidRPr="008404B2">
              <w:rPr>
                <w:color w:val="000000" w:themeColor="text1"/>
              </w:rPr>
              <w:t xml:space="preserve">reģistrācijas īpašnieks nav viena un tā pati persona) </w:t>
            </w:r>
            <w:r w:rsidR="00F91AEF" w:rsidRPr="008404B2">
              <w:rPr>
                <w:color w:val="000000" w:themeColor="text1"/>
              </w:rPr>
              <w:t>ir neskaidrs</w:t>
            </w:r>
            <w:r w:rsidR="000C5A32" w:rsidRPr="008404B2">
              <w:rPr>
                <w:color w:val="000000" w:themeColor="text1"/>
              </w:rPr>
              <w:t>, jo nav definēti zāļu reģistrācijas īpašnieka maiņas atteikšanas kritēriji</w:t>
            </w:r>
            <w:r w:rsidR="00F91AEF" w:rsidRPr="008404B2">
              <w:rPr>
                <w:color w:val="000000" w:themeColor="text1"/>
              </w:rPr>
              <w:t>. P</w:t>
            </w:r>
            <w:r w:rsidR="0007577F" w:rsidRPr="008404B2">
              <w:rPr>
                <w:color w:val="000000" w:themeColor="text1"/>
              </w:rPr>
              <w:t>ašreiz</w:t>
            </w:r>
            <w:r w:rsidR="00F91AEF" w:rsidRPr="008404B2">
              <w:rPr>
                <w:color w:val="000000" w:themeColor="text1"/>
              </w:rPr>
              <w:t>ējais</w:t>
            </w:r>
            <w:r w:rsidR="0007577F" w:rsidRPr="008404B2">
              <w:rPr>
                <w:color w:val="000000" w:themeColor="text1"/>
              </w:rPr>
              <w:t xml:space="preserve"> </w:t>
            </w:r>
            <w:r w:rsidR="001A29FA" w:rsidRPr="008404B2">
              <w:rPr>
                <w:color w:val="000000" w:themeColor="text1"/>
              </w:rPr>
              <w:t>r</w:t>
            </w:r>
            <w:r w:rsidR="007D376B" w:rsidRPr="008404B2">
              <w:rPr>
                <w:color w:val="000000" w:themeColor="text1"/>
              </w:rPr>
              <w:t>egulējums MK noteikumos Nr. </w:t>
            </w:r>
            <w:r w:rsidR="00CA1D65" w:rsidRPr="008404B2">
              <w:rPr>
                <w:color w:val="000000" w:themeColor="text1"/>
              </w:rPr>
              <w:t xml:space="preserve">376 </w:t>
            </w:r>
            <w:r w:rsidR="008F519C" w:rsidRPr="008404B2">
              <w:rPr>
                <w:color w:val="000000" w:themeColor="text1"/>
              </w:rPr>
              <w:t xml:space="preserve">(82. </w:t>
            </w:r>
            <w:r w:rsidR="007D376B" w:rsidRPr="008404B2">
              <w:rPr>
                <w:color w:val="000000" w:themeColor="text1"/>
              </w:rPr>
              <w:t>un 83. </w:t>
            </w:r>
            <w:r w:rsidR="001A29FA" w:rsidRPr="008404B2">
              <w:rPr>
                <w:color w:val="000000" w:themeColor="text1"/>
              </w:rPr>
              <w:t>punkts)</w:t>
            </w:r>
            <w:r w:rsidR="00F91AEF" w:rsidRPr="008404B2">
              <w:rPr>
                <w:color w:val="000000" w:themeColor="text1"/>
              </w:rPr>
              <w:t xml:space="preserve"> nosaka zāļu reģistrācijas īpašnieka maiņai iesniedzamos dokumentus, bet nenosaka kritērijus zāļu reģistrācijas īpašnieka atteikšanas gadījumam. </w:t>
            </w:r>
            <w:r w:rsidR="00240E5E" w:rsidRPr="008404B2">
              <w:rPr>
                <w:color w:val="000000" w:themeColor="text1"/>
              </w:rPr>
              <w:t>Savukārt Komisijas regula Nr. 1234/2008 (1. panta 2. punkts) neattiecas uz zāļu reģistrācijas īpašnieka maiņu. N</w:t>
            </w:r>
            <w:r w:rsidR="001A29FA" w:rsidRPr="008404B2">
              <w:rPr>
                <w:color w:val="000000" w:themeColor="text1"/>
              </w:rPr>
              <w:t>osakot zāļu reģistrācijas īpašniek</w:t>
            </w:r>
            <w:r w:rsidR="00493F09" w:rsidRPr="008404B2">
              <w:rPr>
                <w:color w:val="000000" w:themeColor="text1"/>
              </w:rPr>
              <w:t xml:space="preserve">a maiņas atteikšanas kritērijus, </w:t>
            </w:r>
            <w:r w:rsidR="000C5A32" w:rsidRPr="008404B2">
              <w:rPr>
                <w:color w:val="000000" w:themeColor="text1"/>
              </w:rPr>
              <w:t>procedūra zāļu reģistrāc</w:t>
            </w:r>
            <w:r w:rsidR="003E0243" w:rsidRPr="008404B2">
              <w:rPr>
                <w:color w:val="000000" w:themeColor="text1"/>
              </w:rPr>
              <w:t xml:space="preserve">ijas maiņas atteikuma gadījumā </w:t>
            </w:r>
            <w:r w:rsidR="000C5A32" w:rsidRPr="008404B2">
              <w:rPr>
                <w:color w:val="000000" w:themeColor="text1"/>
              </w:rPr>
              <w:t>kļūst skai</w:t>
            </w:r>
            <w:r w:rsidR="001E4E32" w:rsidRPr="008404B2">
              <w:rPr>
                <w:color w:val="000000" w:themeColor="text1"/>
              </w:rPr>
              <w:t>drāka</w:t>
            </w:r>
            <w:r w:rsidR="0004124A" w:rsidRPr="008404B2">
              <w:rPr>
                <w:color w:val="000000" w:themeColor="text1"/>
              </w:rPr>
              <w:t xml:space="preserve">, grozījums MK noteikumos Nr. 376 risina šo situāciju </w:t>
            </w:r>
            <w:r w:rsidR="001E4E32" w:rsidRPr="008404B2">
              <w:rPr>
                <w:color w:val="000000" w:themeColor="text1"/>
              </w:rPr>
              <w:t>(</w:t>
            </w:r>
            <w:r w:rsidR="003210A3" w:rsidRPr="008404B2">
              <w:rPr>
                <w:color w:val="000000" w:themeColor="text1"/>
              </w:rPr>
              <w:t>N</w:t>
            </w:r>
            <w:r w:rsidR="0004124A" w:rsidRPr="008404B2">
              <w:rPr>
                <w:color w:val="000000" w:themeColor="text1"/>
              </w:rPr>
              <w:t>oteikumu projekta 11</w:t>
            </w:r>
            <w:r w:rsidR="003210A3" w:rsidRPr="008404B2">
              <w:rPr>
                <w:color w:val="000000" w:themeColor="text1"/>
              </w:rPr>
              <w:t>. punkts</w:t>
            </w:r>
            <w:r w:rsidR="0004124A" w:rsidRPr="008404B2">
              <w:rPr>
                <w:color w:val="000000" w:themeColor="text1"/>
              </w:rPr>
              <w:t>)</w:t>
            </w:r>
            <w:r w:rsidR="001E4E32" w:rsidRPr="008404B2">
              <w:rPr>
                <w:color w:val="000000" w:themeColor="text1"/>
              </w:rPr>
              <w:t>.</w:t>
            </w:r>
            <w:r w:rsidR="003210A3" w:rsidRPr="008404B2">
              <w:rPr>
                <w:color w:val="000000" w:themeColor="text1"/>
              </w:rPr>
              <w:t xml:space="preserve"> </w:t>
            </w:r>
          </w:p>
          <w:p w:rsidR="0016784D" w:rsidRPr="008404B2" w:rsidRDefault="0016784D" w:rsidP="00761BB7">
            <w:pPr>
              <w:pStyle w:val="NoSpacing"/>
              <w:jc w:val="both"/>
              <w:rPr>
                <w:color w:val="000000" w:themeColor="text1"/>
              </w:rPr>
            </w:pPr>
          </w:p>
          <w:p w:rsidR="006E725D" w:rsidRPr="008404B2" w:rsidRDefault="00A11E8A" w:rsidP="00761BB7">
            <w:pPr>
              <w:pStyle w:val="NoSpacing"/>
              <w:jc w:val="both"/>
              <w:rPr>
                <w:color w:val="000000" w:themeColor="text1"/>
              </w:rPr>
            </w:pPr>
            <w:r w:rsidRPr="008404B2">
              <w:rPr>
                <w:color w:val="000000" w:themeColor="text1"/>
              </w:rPr>
              <w:t>b) Tiesiskais regulējums MK noteikumos Nr. 376  (82. punkts)</w:t>
            </w:r>
            <w:r w:rsidR="0016784D" w:rsidRPr="008404B2">
              <w:rPr>
                <w:color w:val="000000" w:themeColor="text1"/>
              </w:rPr>
              <w:t>, kas</w:t>
            </w:r>
            <w:r w:rsidRPr="008404B2">
              <w:rPr>
                <w:color w:val="000000" w:themeColor="text1"/>
              </w:rPr>
              <w:t xml:space="preserve"> </w:t>
            </w:r>
            <w:r w:rsidR="008863F3" w:rsidRPr="008404B2">
              <w:rPr>
                <w:color w:val="000000" w:themeColor="text1"/>
              </w:rPr>
              <w:t xml:space="preserve">nosaka </w:t>
            </w:r>
            <w:r w:rsidR="0016784D" w:rsidRPr="008404B2">
              <w:rPr>
                <w:color w:val="000000" w:themeColor="text1"/>
              </w:rPr>
              <w:t>iesniedzamos datus zāļu reģistrācijas īpašnieka maiņas gadījum</w:t>
            </w:r>
            <w:r w:rsidR="008863F3" w:rsidRPr="008404B2">
              <w:rPr>
                <w:color w:val="000000" w:themeColor="text1"/>
              </w:rPr>
              <w:t>ā, tiek konkretizēts, samazinot administratīvo slogu un atceļot</w:t>
            </w:r>
            <w:r w:rsidR="0016784D" w:rsidRPr="008404B2">
              <w:rPr>
                <w:color w:val="000000" w:themeColor="text1"/>
              </w:rPr>
              <w:t xml:space="preserve"> pras</w:t>
            </w:r>
            <w:r w:rsidR="008863F3" w:rsidRPr="008404B2">
              <w:rPr>
                <w:color w:val="000000" w:themeColor="text1"/>
              </w:rPr>
              <w:t>ību</w:t>
            </w:r>
            <w:r w:rsidR="0016784D" w:rsidRPr="008404B2">
              <w:rPr>
                <w:color w:val="000000" w:themeColor="text1"/>
              </w:rPr>
              <w:t xml:space="preserve"> papildus iesniegumam sniegt dokumentu, kas apliecina reģistrācijas īpašnieka maiņu</w:t>
            </w:r>
            <w:r w:rsidR="008863F3" w:rsidRPr="008404B2">
              <w:rPr>
                <w:color w:val="000000" w:themeColor="text1"/>
              </w:rPr>
              <w:t>. Lai veicinātu informācijas apmaiņu no reģistrācijas īpašnieka tiek prasīta papildus kontaktinformācija - elektroniskā pasta adrese. Grozījums MK noteikumos Nr. 376 risina šo situāciju (Noteikumu projekta 10. punkts).</w:t>
            </w:r>
          </w:p>
          <w:p w:rsidR="00761BB7" w:rsidRPr="008404B2" w:rsidRDefault="00761BB7" w:rsidP="00761BB7">
            <w:pPr>
              <w:pStyle w:val="NoSpacing"/>
              <w:jc w:val="both"/>
              <w:rPr>
                <w:b/>
                <w:color w:val="000000" w:themeColor="text1"/>
              </w:rPr>
            </w:pPr>
          </w:p>
          <w:p w:rsidR="00C94EB8" w:rsidRPr="008404B2" w:rsidRDefault="007D376B" w:rsidP="00C94EB8">
            <w:pPr>
              <w:pStyle w:val="Bezatstarpm1"/>
              <w:jc w:val="both"/>
              <w:rPr>
                <w:rFonts w:ascii="Times New Roman" w:hAnsi="Times New Roman"/>
                <w:i/>
                <w:color w:val="000000" w:themeColor="text1"/>
                <w:sz w:val="24"/>
                <w:szCs w:val="24"/>
                <w:lang w:val="lv-LV"/>
              </w:rPr>
            </w:pPr>
            <w:r w:rsidRPr="008404B2">
              <w:rPr>
                <w:rFonts w:ascii="Times New Roman" w:hAnsi="Times New Roman"/>
                <w:b/>
                <w:i/>
                <w:color w:val="000000" w:themeColor="text1"/>
                <w:sz w:val="24"/>
                <w:szCs w:val="24"/>
                <w:lang w:val="lv-LV"/>
              </w:rPr>
              <w:t>3) </w:t>
            </w:r>
            <w:r w:rsidR="00C94EB8" w:rsidRPr="008404B2">
              <w:rPr>
                <w:rFonts w:ascii="Times New Roman" w:hAnsi="Times New Roman"/>
                <w:b/>
                <w:i/>
                <w:color w:val="000000" w:themeColor="text1"/>
                <w:sz w:val="24"/>
                <w:szCs w:val="24"/>
                <w:lang w:val="lv-LV"/>
              </w:rPr>
              <w:t xml:space="preserve">Konkretizēt </w:t>
            </w:r>
            <w:r w:rsidR="000404DA" w:rsidRPr="008404B2">
              <w:rPr>
                <w:rFonts w:ascii="Times New Roman" w:hAnsi="Times New Roman"/>
                <w:b/>
                <w:i/>
                <w:color w:val="000000" w:themeColor="text1"/>
                <w:sz w:val="24"/>
                <w:szCs w:val="24"/>
                <w:lang w:val="lv-LV"/>
              </w:rPr>
              <w:t xml:space="preserve">primārās ekspertīzes laiku </w:t>
            </w:r>
            <w:r w:rsidR="00C94EB8" w:rsidRPr="008404B2">
              <w:rPr>
                <w:rFonts w:ascii="Times New Roman" w:hAnsi="Times New Roman"/>
                <w:b/>
                <w:i/>
                <w:color w:val="000000" w:themeColor="text1"/>
                <w:sz w:val="24"/>
                <w:szCs w:val="24"/>
                <w:lang w:val="lv-LV"/>
              </w:rPr>
              <w:t>zāļu re</w:t>
            </w:r>
            <w:r w:rsidR="000404DA" w:rsidRPr="008404B2">
              <w:rPr>
                <w:rFonts w:ascii="Times New Roman" w:hAnsi="Times New Roman"/>
                <w:b/>
                <w:i/>
                <w:color w:val="000000" w:themeColor="text1"/>
                <w:sz w:val="24"/>
                <w:szCs w:val="24"/>
                <w:lang w:val="lv-LV"/>
              </w:rPr>
              <w:t xml:space="preserve">ģistrēšana </w:t>
            </w:r>
            <w:r w:rsidR="00126BED" w:rsidRPr="008404B2">
              <w:rPr>
                <w:rFonts w:ascii="Times New Roman" w:hAnsi="Times New Roman"/>
                <w:b/>
                <w:i/>
                <w:color w:val="000000" w:themeColor="text1"/>
                <w:sz w:val="24"/>
                <w:szCs w:val="24"/>
                <w:lang w:val="lv-LV"/>
              </w:rPr>
              <w:t xml:space="preserve">iesnieguma </w:t>
            </w:r>
            <w:r w:rsidR="000404DA" w:rsidRPr="008404B2">
              <w:rPr>
                <w:rFonts w:ascii="Times New Roman" w:hAnsi="Times New Roman"/>
                <w:b/>
                <w:i/>
                <w:color w:val="000000" w:themeColor="text1"/>
                <w:sz w:val="24"/>
                <w:szCs w:val="24"/>
                <w:lang w:val="lv-LV"/>
              </w:rPr>
              <w:t>un</w:t>
            </w:r>
            <w:r w:rsidR="00126BED" w:rsidRPr="008404B2">
              <w:rPr>
                <w:rFonts w:ascii="Times New Roman" w:hAnsi="Times New Roman"/>
                <w:b/>
                <w:i/>
                <w:color w:val="000000" w:themeColor="text1"/>
                <w:sz w:val="24"/>
                <w:szCs w:val="24"/>
                <w:lang w:val="lv-LV"/>
              </w:rPr>
              <w:t xml:space="preserve"> </w:t>
            </w:r>
            <w:r w:rsidR="000404DA" w:rsidRPr="008404B2">
              <w:rPr>
                <w:rFonts w:ascii="Times New Roman" w:hAnsi="Times New Roman"/>
                <w:b/>
                <w:i/>
                <w:color w:val="000000" w:themeColor="text1"/>
                <w:sz w:val="24"/>
                <w:szCs w:val="24"/>
                <w:lang w:val="lv-LV"/>
              </w:rPr>
              <w:t>pārreģistrēšanas iesnieguma izskatīšanā un</w:t>
            </w:r>
            <w:r w:rsidR="00C94EB8" w:rsidRPr="008404B2">
              <w:rPr>
                <w:rFonts w:ascii="Times New Roman" w:hAnsi="Times New Roman"/>
                <w:b/>
                <w:i/>
                <w:color w:val="000000" w:themeColor="text1"/>
                <w:sz w:val="24"/>
                <w:szCs w:val="24"/>
                <w:lang w:val="lv-LV"/>
              </w:rPr>
              <w:t xml:space="preserve"> </w:t>
            </w:r>
            <w:r w:rsidR="00126BED" w:rsidRPr="008404B2">
              <w:rPr>
                <w:rFonts w:ascii="Times New Roman" w:hAnsi="Times New Roman"/>
                <w:b/>
                <w:i/>
                <w:color w:val="000000" w:themeColor="text1"/>
                <w:sz w:val="24"/>
                <w:szCs w:val="24"/>
                <w:lang w:val="lv-LV"/>
              </w:rPr>
              <w:t xml:space="preserve">noteikt </w:t>
            </w:r>
            <w:r w:rsidR="00C10D74" w:rsidRPr="008404B2">
              <w:rPr>
                <w:rFonts w:ascii="Times New Roman" w:hAnsi="Times New Roman"/>
                <w:b/>
                <w:i/>
                <w:color w:val="000000" w:themeColor="text1"/>
                <w:sz w:val="24"/>
                <w:szCs w:val="24"/>
                <w:lang w:val="lv-LV"/>
              </w:rPr>
              <w:t>primārās ekspertīzes laiku</w:t>
            </w:r>
            <w:r w:rsidR="00126BED" w:rsidRPr="008404B2">
              <w:rPr>
                <w:rFonts w:ascii="Times New Roman" w:hAnsi="Times New Roman"/>
                <w:b/>
                <w:i/>
                <w:color w:val="000000" w:themeColor="text1"/>
                <w:sz w:val="24"/>
                <w:szCs w:val="24"/>
                <w:lang w:val="lv-LV"/>
              </w:rPr>
              <w:t xml:space="preserve"> </w:t>
            </w:r>
            <w:r w:rsidR="00C94EB8" w:rsidRPr="008404B2">
              <w:rPr>
                <w:rFonts w:ascii="Times New Roman" w:hAnsi="Times New Roman"/>
                <w:b/>
                <w:i/>
                <w:color w:val="000000" w:themeColor="text1"/>
                <w:sz w:val="24"/>
                <w:szCs w:val="24"/>
                <w:lang w:val="lv-LV"/>
              </w:rPr>
              <w:t xml:space="preserve">izmaiņu izskatīšanā </w:t>
            </w:r>
            <w:r w:rsidR="000404DA" w:rsidRPr="008404B2">
              <w:rPr>
                <w:rFonts w:ascii="Times New Roman" w:hAnsi="Times New Roman"/>
                <w:i/>
                <w:color w:val="000000" w:themeColor="text1"/>
                <w:sz w:val="24"/>
                <w:szCs w:val="24"/>
                <w:lang w:val="lv-LV"/>
              </w:rPr>
              <w:t>saskaņā ar</w:t>
            </w:r>
            <w:r w:rsidR="00C94EB8" w:rsidRPr="008404B2">
              <w:rPr>
                <w:rFonts w:ascii="Times New Roman" w:hAnsi="Times New Roman"/>
                <w:i/>
                <w:color w:val="000000" w:themeColor="text1"/>
                <w:sz w:val="24"/>
                <w:szCs w:val="24"/>
                <w:lang w:val="lv-LV"/>
              </w:rPr>
              <w:t xml:space="preserve"> </w:t>
            </w:r>
            <w:r w:rsidR="0045021C" w:rsidRPr="008404B2">
              <w:rPr>
                <w:rFonts w:ascii="Times New Roman" w:hAnsi="Times New Roman"/>
                <w:i/>
                <w:color w:val="000000" w:themeColor="text1"/>
                <w:sz w:val="24"/>
                <w:szCs w:val="24"/>
                <w:lang w:val="lv-LV"/>
              </w:rPr>
              <w:t>Komisijas pamatnostādnēm Nr. 2013/C 223/01</w:t>
            </w:r>
            <w:r w:rsidR="00E71EB7" w:rsidRPr="008404B2">
              <w:rPr>
                <w:rFonts w:ascii="Times New Roman" w:hAnsi="Times New Roman"/>
                <w:i/>
                <w:color w:val="000000" w:themeColor="text1"/>
                <w:sz w:val="24"/>
                <w:szCs w:val="24"/>
                <w:lang w:val="lv-LV"/>
              </w:rPr>
              <w:t xml:space="preserve"> un </w:t>
            </w:r>
            <w:r w:rsidR="000404DA" w:rsidRPr="008404B2">
              <w:rPr>
                <w:rFonts w:ascii="Times New Roman" w:hAnsi="Times New Roman"/>
                <w:i/>
                <w:color w:val="000000" w:themeColor="text1"/>
                <w:sz w:val="24"/>
                <w:szCs w:val="24"/>
                <w:lang w:val="lv-LV"/>
              </w:rPr>
              <w:t xml:space="preserve">vienošanos </w:t>
            </w:r>
            <w:r w:rsidR="00E71EB7" w:rsidRPr="008404B2">
              <w:rPr>
                <w:rFonts w:ascii="Times New Roman" w:hAnsi="Times New Roman"/>
                <w:i/>
                <w:color w:val="000000" w:themeColor="text1"/>
                <w:sz w:val="24"/>
                <w:szCs w:val="24"/>
                <w:lang w:val="lv-LV"/>
              </w:rPr>
              <w:t>Eiropas Savienības Zāļu aģentūru vadītāju (</w:t>
            </w:r>
            <w:proofErr w:type="spellStart"/>
            <w:r w:rsidR="00E71EB7" w:rsidRPr="008404B2">
              <w:rPr>
                <w:rFonts w:ascii="Times New Roman" w:hAnsi="Times New Roman"/>
                <w:i/>
                <w:iCs/>
                <w:color w:val="000000" w:themeColor="text1"/>
                <w:sz w:val="24"/>
                <w:szCs w:val="24"/>
                <w:lang w:val="lv-LV"/>
              </w:rPr>
              <w:t>The</w:t>
            </w:r>
            <w:proofErr w:type="spellEnd"/>
            <w:r w:rsidR="00E71EB7" w:rsidRPr="008404B2">
              <w:rPr>
                <w:rFonts w:ascii="Times New Roman" w:hAnsi="Times New Roman"/>
                <w:i/>
                <w:iCs/>
                <w:color w:val="000000" w:themeColor="text1"/>
                <w:sz w:val="24"/>
                <w:szCs w:val="24"/>
                <w:lang w:val="lv-LV"/>
              </w:rPr>
              <w:t xml:space="preserve"> </w:t>
            </w:r>
            <w:proofErr w:type="spellStart"/>
            <w:r w:rsidR="00E71EB7" w:rsidRPr="008404B2">
              <w:rPr>
                <w:rFonts w:ascii="Times New Roman" w:hAnsi="Times New Roman"/>
                <w:i/>
                <w:iCs/>
                <w:color w:val="000000" w:themeColor="text1"/>
                <w:sz w:val="24"/>
                <w:szCs w:val="24"/>
                <w:lang w:val="lv-LV"/>
              </w:rPr>
              <w:t>Heads</w:t>
            </w:r>
            <w:proofErr w:type="spellEnd"/>
            <w:r w:rsidR="00E71EB7" w:rsidRPr="008404B2">
              <w:rPr>
                <w:rFonts w:ascii="Times New Roman" w:hAnsi="Times New Roman"/>
                <w:i/>
                <w:iCs/>
                <w:color w:val="000000" w:themeColor="text1"/>
                <w:sz w:val="24"/>
                <w:szCs w:val="24"/>
                <w:lang w:val="lv-LV"/>
              </w:rPr>
              <w:t xml:space="preserve"> </w:t>
            </w:r>
            <w:proofErr w:type="spellStart"/>
            <w:r w:rsidR="00E71EB7" w:rsidRPr="008404B2">
              <w:rPr>
                <w:rFonts w:ascii="Times New Roman" w:hAnsi="Times New Roman"/>
                <w:i/>
                <w:iCs/>
                <w:color w:val="000000" w:themeColor="text1"/>
                <w:sz w:val="24"/>
                <w:szCs w:val="24"/>
                <w:lang w:val="lv-LV"/>
              </w:rPr>
              <w:t>of</w:t>
            </w:r>
            <w:proofErr w:type="spellEnd"/>
            <w:r w:rsidR="00E71EB7" w:rsidRPr="008404B2">
              <w:rPr>
                <w:rFonts w:ascii="Times New Roman" w:hAnsi="Times New Roman"/>
                <w:i/>
                <w:iCs/>
                <w:color w:val="000000" w:themeColor="text1"/>
                <w:sz w:val="24"/>
                <w:szCs w:val="24"/>
                <w:lang w:val="lv-LV"/>
              </w:rPr>
              <w:t xml:space="preserve"> </w:t>
            </w:r>
            <w:proofErr w:type="spellStart"/>
            <w:r w:rsidR="00E71EB7" w:rsidRPr="008404B2">
              <w:rPr>
                <w:rFonts w:ascii="Times New Roman" w:hAnsi="Times New Roman"/>
                <w:i/>
                <w:iCs/>
                <w:color w:val="000000" w:themeColor="text1"/>
                <w:sz w:val="24"/>
                <w:szCs w:val="24"/>
                <w:lang w:val="lv-LV"/>
              </w:rPr>
              <w:t>Medicines</w:t>
            </w:r>
            <w:proofErr w:type="spellEnd"/>
            <w:r w:rsidR="00E71EB7" w:rsidRPr="008404B2">
              <w:rPr>
                <w:rFonts w:ascii="Times New Roman" w:hAnsi="Times New Roman"/>
                <w:i/>
                <w:iCs/>
                <w:color w:val="000000" w:themeColor="text1"/>
                <w:sz w:val="24"/>
                <w:szCs w:val="24"/>
                <w:lang w:val="lv-LV"/>
              </w:rPr>
              <w:t xml:space="preserve"> </w:t>
            </w:r>
            <w:proofErr w:type="spellStart"/>
            <w:r w:rsidR="00E71EB7" w:rsidRPr="008404B2">
              <w:rPr>
                <w:rFonts w:ascii="Times New Roman" w:hAnsi="Times New Roman"/>
                <w:i/>
                <w:iCs/>
                <w:color w:val="000000" w:themeColor="text1"/>
                <w:sz w:val="24"/>
                <w:szCs w:val="24"/>
                <w:lang w:val="lv-LV"/>
              </w:rPr>
              <w:t>Agency</w:t>
            </w:r>
            <w:proofErr w:type="spellEnd"/>
            <w:r w:rsidR="00E71EB7" w:rsidRPr="008404B2">
              <w:rPr>
                <w:rFonts w:ascii="Times New Roman" w:hAnsi="Times New Roman"/>
                <w:i/>
                <w:color w:val="000000" w:themeColor="text1"/>
                <w:sz w:val="24"/>
                <w:szCs w:val="24"/>
                <w:lang w:val="lv-LV"/>
              </w:rPr>
              <w:t xml:space="preserve">) </w:t>
            </w:r>
            <w:r w:rsidR="009A149F" w:rsidRPr="008404B2">
              <w:rPr>
                <w:rFonts w:ascii="Times New Roman" w:hAnsi="Times New Roman"/>
                <w:i/>
                <w:color w:val="000000" w:themeColor="text1"/>
                <w:sz w:val="24"/>
                <w:szCs w:val="24"/>
                <w:lang w:val="lv-LV"/>
              </w:rPr>
              <w:t xml:space="preserve">tiklā </w:t>
            </w:r>
            <w:r w:rsidR="00E71EB7" w:rsidRPr="008404B2">
              <w:rPr>
                <w:rFonts w:ascii="Times New Roman" w:hAnsi="Times New Roman"/>
                <w:i/>
                <w:color w:val="000000" w:themeColor="text1"/>
                <w:sz w:val="24"/>
                <w:szCs w:val="24"/>
                <w:lang w:val="lv-LV"/>
              </w:rPr>
              <w:t>(</w:t>
            </w:r>
            <w:hyperlink r:id="rId8" w:history="1">
              <w:r w:rsidR="00E71EB7" w:rsidRPr="008404B2">
                <w:rPr>
                  <w:rStyle w:val="Hyperlink"/>
                  <w:rFonts w:ascii="Times New Roman" w:eastAsia="Calibri" w:hAnsi="Times New Roman"/>
                  <w:i/>
                  <w:color w:val="000000" w:themeColor="text1"/>
                  <w:sz w:val="24"/>
                  <w:szCs w:val="24"/>
                  <w:u w:val="none"/>
                  <w:lang w:val="lv-LV"/>
                </w:rPr>
                <w:t>http://www.hma.eu</w:t>
              </w:r>
            </w:hyperlink>
            <w:r w:rsidR="00E71EB7" w:rsidRPr="008404B2">
              <w:rPr>
                <w:rStyle w:val="Hyperlink"/>
                <w:rFonts w:ascii="Times New Roman" w:eastAsia="Calibri" w:hAnsi="Times New Roman"/>
                <w:i/>
                <w:color w:val="000000" w:themeColor="text1"/>
                <w:sz w:val="24"/>
                <w:szCs w:val="24"/>
                <w:u w:val="none"/>
                <w:lang w:val="lv-LV"/>
              </w:rPr>
              <w:t xml:space="preserve">) </w:t>
            </w:r>
            <w:r w:rsidR="0064761B" w:rsidRPr="008404B2">
              <w:rPr>
                <w:rStyle w:val="Hyperlink"/>
                <w:rFonts w:ascii="Times New Roman" w:eastAsia="Calibri" w:hAnsi="Times New Roman"/>
                <w:i/>
                <w:color w:val="000000" w:themeColor="text1"/>
                <w:sz w:val="24"/>
                <w:szCs w:val="24"/>
                <w:u w:val="none"/>
                <w:lang w:val="lv-LV"/>
              </w:rPr>
              <w:t xml:space="preserve">un </w:t>
            </w:r>
            <w:r w:rsidR="00E71EB7" w:rsidRPr="008404B2">
              <w:rPr>
                <w:rStyle w:val="Hyperlink"/>
                <w:rFonts w:ascii="Times New Roman" w:eastAsia="Calibri" w:hAnsi="Times New Roman"/>
                <w:i/>
                <w:color w:val="000000" w:themeColor="text1"/>
                <w:sz w:val="24"/>
                <w:szCs w:val="24"/>
                <w:u w:val="none"/>
                <w:lang w:val="lv-LV"/>
              </w:rPr>
              <w:t>S</w:t>
            </w:r>
            <w:r w:rsidR="004630EA" w:rsidRPr="008404B2">
              <w:rPr>
                <w:rFonts w:ascii="Times New Roman" w:hAnsi="Times New Roman"/>
                <w:bCs/>
                <w:i/>
                <w:color w:val="000000" w:themeColor="text1"/>
                <w:sz w:val="24"/>
                <w:szCs w:val="24"/>
                <w:lang w:val="lv-LV"/>
              </w:rPr>
              <w:t>avstarpējās atzīšanas procedūras (</w:t>
            </w:r>
            <w:r w:rsidR="004630EA" w:rsidRPr="008404B2">
              <w:rPr>
                <w:rFonts w:ascii="Times New Roman" w:hAnsi="Times New Roman"/>
                <w:i/>
                <w:color w:val="000000" w:themeColor="text1"/>
                <w:sz w:val="24"/>
                <w:szCs w:val="24"/>
                <w:lang w:val="lv-LV"/>
              </w:rPr>
              <w:t xml:space="preserve">MRP) </w:t>
            </w:r>
            <w:r w:rsidR="002364A1" w:rsidRPr="008404B2">
              <w:rPr>
                <w:rFonts w:ascii="Times New Roman" w:hAnsi="Times New Roman"/>
                <w:i/>
                <w:color w:val="000000" w:themeColor="text1"/>
                <w:sz w:val="24"/>
                <w:szCs w:val="24"/>
                <w:lang w:val="lv-LV"/>
              </w:rPr>
              <w:t xml:space="preserve">un </w:t>
            </w:r>
            <w:r w:rsidR="004630EA" w:rsidRPr="008404B2">
              <w:rPr>
                <w:rFonts w:ascii="Times New Roman" w:hAnsi="Times New Roman"/>
                <w:i/>
                <w:color w:val="000000" w:themeColor="text1"/>
                <w:sz w:val="24"/>
                <w:szCs w:val="24"/>
                <w:lang w:val="lv-LV"/>
              </w:rPr>
              <w:t>decentralizētās procedūras (</w:t>
            </w:r>
            <w:r w:rsidR="002364A1" w:rsidRPr="008404B2">
              <w:rPr>
                <w:rFonts w:ascii="Times New Roman" w:hAnsi="Times New Roman"/>
                <w:i/>
                <w:color w:val="000000" w:themeColor="text1"/>
                <w:sz w:val="24"/>
                <w:szCs w:val="24"/>
                <w:lang w:val="lv-LV"/>
              </w:rPr>
              <w:t>DC</w:t>
            </w:r>
            <w:r w:rsidR="004630EA" w:rsidRPr="008404B2">
              <w:rPr>
                <w:rFonts w:ascii="Times New Roman" w:hAnsi="Times New Roman"/>
                <w:i/>
                <w:color w:val="000000" w:themeColor="text1"/>
                <w:sz w:val="24"/>
                <w:szCs w:val="24"/>
                <w:lang w:val="lv-LV"/>
              </w:rPr>
              <w:t>)</w:t>
            </w:r>
            <w:r w:rsidR="002364A1" w:rsidRPr="008404B2">
              <w:rPr>
                <w:rFonts w:ascii="Times New Roman" w:hAnsi="Times New Roman"/>
                <w:i/>
                <w:color w:val="000000" w:themeColor="text1"/>
                <w:sz w:val="24"/>
                <w:szCs w:val="24"/>
                <w:lang w:val="lv-LV"/>
              </w:rPr>
              <w:t xml:space="preserve"> Koordinācijas darba </w:t>
            </w:r>
            <w:r w:rsidR="00783962" w:rsidRPr="008404B2">
              <w:rPr>
                <w:rFonts w:ascii="Times New Roman" w:hAnsi="Times New Roman"/>
                <w:i/>
                <w:color w:val="000000" w:themeColor="text1"/>
                <w:sz w:val="24"/>
                <w:szCs w:val="24"/>
                <w:lang w:val="lv-LV"/>
              </w:rPr>
              <w:t xml:space="preserve">grupas </w:t>
            </w:r>
            <w:r w:rsidR="00B847BC" w:rsidRPr="008404B2">
              <w:rPr>
                <w:rFonts w:ascii="Times New Roman" w:hAnsi="Times New Roman"/>
                <w:i/>
                <w:color w:val="000000" w:themeColor="text1"/>
                <w:sz w:val="24"/>
                <w:szCs w:val="24"/>
                <w:lang w:val="lv-LV"/>
              </w:rPr>
              <w:t>(</w:t>
            </w:r>
            <w:proofErr w:type="spellStart"/>
            <w:r w:rsidR="00B847BC" w:rsidRPr="008404B2">
              <w:rPr>
                <w:rFonts w:ascii="Times New Roman" w:hAnsi="Times New Roman"/>
                <w:i/>
                <w:color w:val="000000" w:themeColor="text1"/>
                <w:sz w:val="24"/>
                <w:szCs w:val="24"/>
                <w:lang w:val="lv-LV"/>
              </w:rPr>
              <w:t>CMDh</w:t>
            </w:r>
            <w:proofErr w:type="spellEnd"/>
            <w:r w:rsidR="007E1D26" w:rsidRPr="008404B2">
              <w:rPr>
                <w:rFonts w:ascii="Times New Roman" w:hAnsi="Times New Roman"/>
                <w:i/>
                <w:color w:val="000000" w:themeColor="text1"/>
                <w:sz w:val="24"/>
                <w:szCs w:val="24"/>
                <w:lang w:val="lv-LV"/>
              </w:rPr>
              <w:t>)</w:t>
            </w:r>
            <w:r w:rsidR="002F6552" w:rsidRPr="008404B2">
              <w:rPr>
                <w:rFonts w:ascii="Times New Roman" w:hAnsi="Times New Roman"/>
                <w:i/>
                <w:color w:val="000000" w:themeColor="text1"/>
                <w:sz w:val="24"/>
                <w:szCs w:val="24"/>
                <w:lang w:val="lv-LV"/>
              </w:rPr>
              <w:t xml:space="preserve"> ietvarā    </w:t>
            </w:r>
            <w:r w:rsidR="00B10C48" w:rsidRPr="008404B2">
              <w:rPr>
                <w:rFonts w:ascii="Times New Roman" w:hAnsi="Times New Roman"/>
                <w:i/>
                <w:color w:val="000000" w:themeColor="text1"/>
                <w:sz w:val="24"/>
                <w:szCs w:val="24"/>
                <w:lang w:val="lv-LV"/>
              </w:rPr>
              <w:t>(</w:t>
            </w:r>
            <w:hyperlink r:id="rId9" w:history="1">
              <w:r w:rsidR="00B10C48" w:rsidRPr="008404B2">
                <w:rPr>
                  <w:rStyle w:val="Hyperlink"/>
                  <w:rFonts w:ascii="Times New Roman" w:hAnsi="Times New Roman"/>
                  <w:i/>
                  <w:color w:val="000000" w:themeColor="text1"/>
                  <w:sz w:val="24"/>
                  <w:szCs w:val="24"/>
                  <w:u w:val="none"/>
                  <w:lang w:val="lv-LV"/>
                </w:rPr>
                <w:t>http://www.hma.eu/cmdh.html</w:t>
              </w:r>
            </w:hyperlink>
            <w:r w:rsidR="00B10C48" w:rsidRPr="008404B2">
              <w:rPr>
                <w:rFonts w:ascii="Times New Roman" w:hAnsi="Times New Roman"/>
                <w:i/>
                <w:color w:val="000000" w:themeColor="text1"/>
                <w:sz w:val="24"/>
                <w:szCs w:val="24"/>
                <w:lang w:val="lv-LV"/>
              </w:rPr>
              <w:t>)</w:t>
            </w:r>
            <w:r w:rsidR="00E71EB7" w:rsidRPr="008404B2">
              <w:rPr>
                <w:rFonts w:ascii="Times New Roman" w:hAnsi="Times New Roman"/>
                <w:i/>
                <w:color w:val="000000" w:themeColor="text1"/>
                <w:sz w:val="24"/>
                <w:szCs w:val="24"/>
                <w:lang w:val="lv-LV"/>
              </w:rPr>
              <w:t>.</w:t>
            </w:r>
            <w:r w:rsidR="002364A1" w:rsidRPr="008404B2">
              <w:rPr>
                <w:rFonts w:ascii="Times New Roman" w:hAnsi="Times New Roman"/>
                <w:i/>
                <w:color w:val="000000" w:themeColor="text1"/>
                <w:sz w:val="24"/>
                <w:szCs w:val="24"/>
                <w:lang w:val="lv-LV"/>
              </w:rPr>
              <w:t xml:space="preserve"> </w:t>
            </w:r>
          </w:p>
          <w:p w:rsidR="00BC173A" w:rsidRPr="008404B2" w:rsidRDefault="00BC173A" w:rsidP="008E5417">
            <w:pPr>
              <w:pStyle w:val="Bezatstarpm1"/>
              <w:jc w:val="both"/>
              <w:rPr>
                <w:rFonts w:ascii="Times New Roman" w:hAnsi="Times New Roman"/>
                <w:b/>
                <w:i/>
                <w:color w:val="000000" w:themeColor="text1"/>
                <w:sz w:val="24"/>
                <w:szCs w:val="24"/>
                <w:lang w:val="lv-LV"/>
              </w:rPr>
            </w:pPr>
          </w:p>
          <w:p w:rsidR="003D1013" w:rsidRPr="008404B2" w:rsidRDefault="008E5417" w:rsidP="008E5417">
            <w:pPr>
              <w:pStyle w:val="Bezatstarpm1"/>
              <w:jc w:val="both"/>
              <w:rPr>
                <w:rFonts w:ascii="Times New Roman" w:hAnsi="Times New Roman"/>
                <w:b/>
                <w:i/>
                <w:color w:val="000000" w:themeColor="text1"/>
                <w:sz w:val="24"/>
                <w:szCs w:val="24"/>
                <w:lang w:val="lv-LV"/>
              </w:rPr>
            </w:pPr>
            <w:r w:rsidRPr="008404B2">
              <w:rPr>
                <w:rFonts w:ascii="Times New Roman" w:hAnsi="Times New Roman"/>
                <w:i/>
                <w:color w:val="000000" w:themeColor="text1"/>
                <w:sz w:val="24"/>
                <w:szCs w:val="24"/>
                <w:lang w:val="lv-LV"/>
              </w:rPr>
              <w:t>a)</w:t>
            </w:r>
            <w:r w:rsidRPr="008404B2">
              <w:rPr>
                <w:rFonts w:ascii="Times New Roman" w:hAnsi="Times New Roman"/>
                <w:b/>
                <w:i/>
                <w:color w:val="000000" w:themeColor="text1"/>
                <w:sz w:val="24"/>
                <w:szCs w:val="24"/>
                <w:lang w:val="lv-LV"/>
              </w:rPr>
              <w:t> </w:t>
            </w:r>
            <w:r w:rsidR="00CA1D65" w:rsidRPr="008404B2">
              <w:rPr>
                <w:rFonts w:ascii="Times New Roman" w:hAnsi="Times New Roman"/>
                <w:i/>
                <w:color w:val="000000" w:themeColor="text1"/>
                <w:sz w:val="24"/>
                <w:szCs w:val="24"/>
                <w:lang w:val="lv-LV"/>
              </w:rPr>
              <w:t>Noteikt</w:t>
            </w:r>
            <w:r w:rsidR="009A06C4" w:rsidRPr="008404B2">
              <w:rPr>
                <w:rFonts w:ascii="Times New Roman" w:hAnsi="Times New Roman"/>
                <w:i/>
                <w:color w:val="000000" w:themeColor="text1"/>
                <w:sz w:val="24"/>
                <w:szCs w:val="24"/>
                <w:lang w:val="lv-LV"/>
              </w:rPr>
              <w:t xml:space="preserve"> </w:t>
            </w:r>
            <w:r w:rsidRPr="008404B2">
              <w:rPr>
                <w:rFonts w:ascii="Times New Roman" w:hAnsi="Times New Roman"/>
                <w:i/>
                <w:color w:val="000000" w:themeColor="text1"/>
                <w:sz w:val="24"/>
                <w:szCs w:val="24"/>
                <w:lang w:val="lv-LV"/>
              </w:rPr>
              <w:t xml:space="preserve">primārās ekspertīzes </w:t>
            </w:r>
            <w:r w:rsidR="009A06C4" w:rsidRPr="008404B2">
              <w:rPr>
                <w:rFonts w:ascii="Times New Roman" w:hAnsi="Times New Roman"/>
                <w:i/>
                <w:color w:val="000000" w:themeColor="text1"/>
                <w:sz w:val="24"/>
                <w:szCs w:val="24"/>
                <w:lang w:val="lv-LV"/>
              </w:rPr>
              <w:t>laiku</w:t>
            </w:r>
            <w:r w:rsidR="00BC173A" w:rsidRPr="008404B2">
              <w:rPr>
                <w:rFonts w:ascii="Times New Roman" w:hAnsi="Times New Roman"/>
                <w:i/>
                <w:color w:val="000000" w:themeColor="text1"/>
                <w:sz w:val="24"/>
                <w:szCs w:val="24"/>
                <w:lang w:val="lv-LV"/>
              </w:rPr>
              <w:t>/</w:t>
            </w:r>
            <w:r w:rsidR="002B6AC7" w:rsidRPr="008404B2">
              <w:rPr>
                <w:rFonts w:ascii="Times New Roman" w:hAnsi="Times New Roman"/>
                <w:i/>
                <w:color w:val="000000" w:themeColor="text1"/>
                <w:sz w:val="24"/>
                <w:szCs w:val="24"/>
                <w:lang w:val="lv-LV"/>
              </w:rPr>
              <w:t xml:space="preserve">dienas </w:t>
            </w:r>
            <w:r w:rsidRPr="008404B2">
              <w:rPr>
                <w:rFonts w:ascii="Times New Roman" w:hAnsi="Times New Roman"/>
                <w:i/>
                <w:color w:val="000000" w:themeColor="text1"/>
                <w:sz w:val="24"/>
                <w:szCs w:val="24"/>
                <w:lang w:val="lv-LV"/>
              </w:rPr>
              <w:t>Komisijas regulā</w:t>
            </w:r>
            <w:r w:rsidR="002B6AC7" w:rsidRPr="008404B2">
              <w:rPr>
                <w:rFonts w:ascii="Times New Roman" w:hAnsi="Times New Roman"/>
                <w:i/>
                <w:color w:val="000000" w:themeColor="text1"/>
                <w:sz w:val="24"/>
                <w:szCs w:val="24"/>
                <w:lang w:val="lv-LV"/>
              </w:rPr>
              <w:t xml:space="preserve"> Nr. 1234/2008 minēt</w:t>
            </w:r>
            <w:r w:rsidR="00C84D66" w:rsidRPr="008404B2">
              <w:rPr>
                <w:rFonts w:ascii="Times New Roman" w:hAnsi="Times New Roman"/>
                <w:i/>
                <w:color w:val="000000" w:themeColor="text1"/>
                <w:sz w:val="24"/>
                <w:szCs w:val="24"/>
                <w:lang w:val="lv-LV"/>
              </w:rPr>
              <w:t>ā</w:t>
            </w:r>
            <w:r w:rsidRPr="008404B2">
              <w:rPr>
                <w:rFonts w:ascii="Times New Roman" w:hAnsi="Times New Roman"/>
                <w:i/>
                <w:color w:val="000000" w:themeColor="text1"/>
                <w:sz w:val="24"/>
                <w:szCs w:val="24"/>
                <w:lang w:val="lv-LV"/>
              </w:rPr>
              <w:t xml:space="preserve"> “iepri</w:t>
            </w:r>
            <w:r w:rsidR="002B6AC7" w:rsidRPr="008404B2">
              <w:rPr>
                <w:rFonts w:ascii="Times New Roman" w:hAnsi="Times New Roman"/>
                <w:i/>
                <w:color w:val="000000" w:themeColor="text1"/>
                <w:sz w:val="24"/>
                <w:szCs w:val="24"/>
                <w:lang w:val="lv-LV"/>
              </w:rPr>
              <w:t>ekšējā</w:t>
            </w:r>
            <w:r w:rsidR="00D74858" w:rsidRPr="008404B2">
              <w:rPr>
                <w:rFonts w:ascii="Times New Roman" w:hAnsi="Times New Roman"/>
                <w:i/>
                <w:color w:val="000000" w:themeColor="text1"/>
                <w:sz w:val="24"/>
                <w:szCs w:val="24"/>
                <w:lang w:val="lv-LV"/>
              </w:rPr>
              <w:t xml:space="preserve"> apstiprinājuma procedūrā</w:t>
            </w:r>
            <w:r w:rsidRPr="008404B2">
              <w:rPr>
                <w:rFonts w:ascii="Times New Roman" w:hAnsi="Times New Roman"/>
                <w:i/>
                <w:color w:val="000000" w:themeColor="text1"/>
                <w:sz w:val="24"/>
                <w:szCs w:val="24"/>
                <w:lang w:val="lv-LV"/>
              </w:rPr>
              <w:t xml:space="preserve">” </w:t>
            </w:r>
            <w:r w:rsidR="00D74858" w:rsidRPr="008404B2">
              <w:rPr>
                <w:rFonts w:ascii="Times New Roman" w:hAnsi="Times New Roman"/>
                <w:i/>
                <w:color w:val="000000" w:themeColor="text1"/>
                <w:sz w:val="24"/>
                <w:szCs w:val="24"/>
                <w:lang w:val="lv-LV"/>
              </w:rPr>
              <w:t>paziņojuma izskatī</w:t>
            </w:r>
            <w:r w:rsidR="00C84D66" w:rsidRPr="008404B2">
              <w:rPr>
                <w:rFonts w:ascii="Times New Roman" w:hAnsi="Times New Roman"/>
                <w:i/>
                <w:color w:val="000000" w:themeColor="text1"/>
                <w:sz w:val="24"/>
                <w:szCs w:val="24"/>
                <w:lang w:val="lv-LV"/>
              </w:rPr>
              <w:t>šanā</w:t>
            </w:r>
            <w:r w:rsidR="00D74858" w:rsidRPr="008404B2">
              <w:rPr>
                <w:rFonts w:ascii="Times New Roman" w:hAnsi="Times New Roman"/>
                <w:i/>
                <w:color w:val="000000" w:themeColor="text1"/>
                <w:sz w:val="24"/>
                <w:szCs w:val="24"/>
                <w:lang w:val="lv-LV"/>
              </w:rPr>
              <w:t xml:space="preserve"> par nelielām</w:t>
            </w:r>
            <w:r w:rsidR="00CA1D65" w:rsidRPr="008404B2">
              <w:rPr>
                <w:rFonts w:ascii="Times New Roman" w:hAnsi="Times New Roman"/>
                <w:i/>
                <w:color w:val="000000" w:themeColor="text1"/>
                <w:sz w:val="24"/>
                <w:szCs w:val="24"/>
                <w:lang w:val="lv-LV"/>
              </w:rPr>
              <w:t xml:space="preserve"> </w:t>
            </w:r>
            <w:r w:rsidR="00755601" w:rsidRPr="008404B2">
              <w:rPr>
                <w:rFonts w:ascii="Times New Roman" w:hAnsi="Times New Roman"/>
                <w:i/>
                <w:color w:val="000000" w:themeColor="text1"/>
                <w:sz w:val="24"/>
                <w:szCs w:val="24"/>
                <w:lang w:val="lv-LV"/>
              </w:rPr>
              <w:t>I </w:t>
            </w:r>
            <w:r w:rsidRPr="008404B2">
              <w:rPr>
                <w:rFonts w:ascii="Times New Roman" w:hAnsi="Times New Roman"/>
                <w:i/>
                <w:color w:val="000000" w:themeColor="text1"/>
                <w:sz w:val="24"/>
                <w:szCs w:val="24"/>
                <w:lang w:val="lv-LV"/>
              </w:rPr>
              <w:t xml:space="preserve">B tipa un </w:t>
            </w:r>
            <w:r w:rsidR="002B6AC7" w:rsidRPr="008404B2">
              <w:rPr>
                <w:rFonts w:ascii="Times New Roman" w:hAnsi="Times New Roman"/>
                <w:i/>
                <w:color w:val="000000" w:themeColor="text1"/>
                <w:sz w:val="24"/>
                <w:szCs w:val="24"/>
                <w:lang w:val="lv-LV"/>
              </w:rPr>
              <w:t>iesnieguma</w:t>
            </w:r>
            <w:r w:rsidR="00E736A3" w:rsidRPr="008404B2">
              <w:rPr>
                <w:rFonts w:ascii="Times New Roman" w:hAnsi="Times New Roman"/>
                <w:i/>
                <w:color w:val="000000" w:themeColor="text1"/>
                <w:sz w:val="24"/>
                <w:szCs w:val="24"/>
                <w:lang w:val="lv-LV"/>
              </w:rPr>
              <w:t xml:space="preserve"> </w:t>
            </w:r>
            <w:r w:rsidR="00D74858" w:rsidRPr="008404B2">
              <w:rPr>
                <w:rFonts w:ascii="Times New Roman" w:hAnsi="Times New Roman"/>
                <w:i/>
                <w:color w:val="000000" w:themeColor="text1"/>
                <w:sz w:val="24"/>
                <w:szCs w:val="24"/>
                <w:lang w:val="lv-LV"/>
              </w:rPr>
              <w:t>izskatī</w:t>
            </w:r>
            <w:r w:rsidR="00C84D66" w:rsidRPr="008404B2">
              <w:rPr>
                <w:rFonts w:ascii="Times New Roman" w:hAnsi="Times New Roman"/>
                <w:i/>
                <w:color w:val="000000" w:themeColor="text1"/>
                <w:sz w:val="24"/>
                <w:szCs w:val="24"/>
                <w:lang w:val="lv-LV"/>
              </w:rPr>
              <w:t>šanā</w:t>
            </w:r>
            <w:r w:rsidR="00D74858" w:rsidRPr="008404B2">
              <w:rPr>
                <w:rFonts w:ascii="Times New Roman" w:hAnsi="Times New Roman"/>
                <w:i/>
                <w:color w:val="000000" w:themeColor="text1"/>
                <w:sz w:val="24"/>
                <w:szCs w:val="24"/>
                <w:lang w:val="lv-LV"/>
              </w:rPr>
              <w:t xml:space="preserve"> </w:t>
            </w:r>
            <w:r w:rsidR="00E736A3" w:rsidRPr="008404B2">
              <w:rPr>
                <w:rFonts w:ascii="Times New Roman" w:hAnsi="Times New Roman"/>
                <w:i/>
                <w:color w:val="000000" w:themeColor="text1"/>
                <w:sz w:val="24"/>
                <w:szCs w:val="24"/>
                <w:lang w:val="lv-LV"/>
              </w:rPr>
              <w:t xml:space="preserve">par </w:t>
            </w:r>
            <w:r w:rsidRPr="008404B2">
              <w:rPr>
                <w:rFonts w:ascii="Times New Roman" w:hAnsi="Times New Roman"/>
                <w:i/>
                <w:color w:val="000000" w:themeColor="text1"/>
                <w:sz w:val="24"/>
                <w:szCs w:val="24"/>
                <w:lang w:val="lv-LV"/>
              </w:rPr>
              <w:t>nozīmīgām</w:t>
            </w:r>
            <w:r w:rsidR="00CE79C9" w:rsidRPr="008404B2">
              <w:rPr>
                <w:rFonts w:ascii="Times New Roman" w:hAnsi="Times New Roman"/>
                <w:i/>
                <w:color w:val="000000" w:themeColor="text1"/>
                <w:sz w:val="24"/>
                <w:szCs w:val="24"/>
                <w:lang w:val="lv-LV"/>
              </w:rPr>
              <w:t xml:space="preserve"> II </w:t>
            </w:r>
            <w:r w:rsidR="005C5807" w:rsidRPr="008404B2">
              <w:rPr>
                <w:rFonts w:ascii="Times New Roman" w:hAnsi="Times New Roman"/>
                <w:i/>
                <w:color w:val="000000" w:themeColor="text1"/>
                <w:sz w:val="24"/>
                <w:szCs w:val="24"/>
                <w:lang w:val="lv-LV"/>
              </w:rPr>
              <w:t>tipa izmaiņām</w:t>
            </w:r>
            <w:r w:rsidR="002B6AC7" w:rsidRPr="008404B2">
              <w:rPr>
                <w:rFonts w:ascii="Times New Roman" w:hAnsi="Times New Roman"/>
                <w:i/>
                <w:color w:val="000000" w:themeColor="text1"/>
                <w:sz w:val="24"/>
                <w:szCs w:val="24"/>
                <w:lang w:val="lv-LV"/>
              </w:rPr>
              <w:t>.</w:t>
            </w:r>
          </w:p>
          <w:p w:rsidR="00C84D66" w:rsidRPr="008404B2" w:rsidRDefault="00C84D66" w:rsidP="00700F00">
            <w:pPr>
              <w:pStyle w:val="Bezatstarpm1"/>
              <w:jc w:val="both"/>
              <w:rPr>
                <w:rFonts w:ascii="Times New Roman" w:hAnsi="Times New Roman"/>
                <w:color w:val="000000" w:themeColor="text1"/>
                <w:sz w:val="24"/>
                <w:szCs w:val="24"/>
                <w:lang w:val="lv-LV"/>
              </w:rPr>
            </w:pPr>
          </w:p>
          <w:p w:rsidR="003133DE" w:rsidRPr="008404B2" w:rsidRDefault="00FA7206" w:rsidP="00700F00">
            <w:pPr>
              <w:pStyle w:val="Bezatstarpm1"/>
              <w:jc w:val="both"/>
              <w:rPr>
                <w:rFonts w:ascii="Times New Roman" w:hAnsi="Times New Roman"/>
                <w:i/>
                <w:color w:val="000000" w:themeColor="text1"/>
                <w:sz w:val="24"/>
                <w:szCs w:val="24"/>
                <w:lang w:val="lv-LV"/>
              </w:rPr>
            </w:pPr>
            <w:r w:rsidRPr="008404B2">
              <w:rPr>
                <w:rFonts w:ascii="Times New Roman" w:hAnsi="Times New Roman"/>
                <w:color w:val="000000" w:themeColor="text1"/>
                <w:sz w:val="24"/>
                <w:szCs w:val="24"/>
                <w:lang w:val="lv-LV"/>
              </w:rPr>
              <w:t xml:space="preserve">Regulējums MK noteikumos Nr. 376 un </w:t>
            </w:r>
            <w:r w:rsidR="008E5417" w:rsidRPr="008404B2">
              <w:rPr>
                <w:rFonts w:ascii="Times New Roman" w:hAnsi="Times New Roman"/>
                <w:color w:val="000000" w:themeColor="text1"/>
                <w:sz w:val="24"/>
                <w:szCs w:val="24"/>
                <w:lang w:val="lv-LV"/>
              </w:rPr>
              <w:t>K</w:t>
            </w:r>
            <w:r w:rsidR="002201CC" w:rsidRPr="008404B2">
              <w:rPr>
                <w:rFonts w:ascii="Times New Roman" w:hAnsi="Times New Roman"/>
                <w:color w:val="000000" w:themeColor="text1"/>
                <w:sz w:val="24"/>
                <w:szCs w:val="24"/>
                <w:lang w:val="lv-LV"/>
              </w:rPr>
              <w:t>omisijas regul</w:t>
            </w:r>
            <w:r w:rsidR="00BC173A" w:rsidRPr="008404B2">
              <w:rPr>
                <w:rFonts w:ascii="Times New Roman" w:hAnsi="Times New Roman"/>
                <w:color w:val="000000" w:themeColor="text1"/>
                <w:sz w:val="24"/>
                <w:szCs w:val="24"/>
                <w:lang w:val="lv-LV"/>
              </w:rPr>
              <w:t>a</w:t>
            </w:r>
            <w:r w:rsidR="002201CC" w:rsidRPr="008404B2">
              <w:rPr>
                <w:rFonts w:ascii="Times New Roman" w:hAnsi="Times New Roman"/>
                <w:color w:val="000000" w:themeColor="text1"/>
                <w:sz w:val="24"/>
                <w:szCs w:val="24"/>
                <w:lang w:val="lv-LV"/>
              </w:rPr>
              <w:t xml:space="preserve"> Nr. 1234/2008 nekonkretizē, cik ilgā laikā kompetentā i</w:t>
            </w:r>
            <w:r w:rsidR="00F3130C" w:rsidRPr="008404B2">
              <w:rPr>
                <w:rFonts w:ascii="Times New Roman" w:hAnsi="Times New Roman"/>
                <w:color w:val="000000" w:themeColor="text1"/>
                <w:sz w:val="24"/>
                <w:szCs w:val="24"/>
                <w:lang w:val="lv-LV"/>
              </w:rPr>
              <w:t xml:space="preserve">estāde izskata </w:t>
            </w:r>
            <w:r w:rsidR="002B6AC7" w:rsidRPr="008404B2">
              <w:rPr>
                <w:rFonts w:ascii="Times New Roman" w:hAnsi="Times New Roman"/>
                <w:color w:val="000000" w:themeColor="text1"/>
                <w:sz w:val="24"/>
                <w:szCs w:val="24"/>
                <w:lang w:val="lv-LV"/>
              </w:rPr>
              <w:t xml:space="preserve">sākotnējā jeb primārā ekspertīze paziņojumu </w:t>
            </w:r>
            <w:r w:rsidR="00F3130C" w:rsidRPr="008404B2">
              <w:rPr>
                <w:rFonts w:ascii="Times New Roman" w:hAnsi="Times New Roman"/>
                <w:color w:val="000000" w:themeColor="text1"/>
                <w:sz w:val="24"/>
                <w:szCs w:val="24"/>
                <w:lang w:val="lv-LV"/>
              </w:rPr>
              <w:t xml:space="preserve">par nelielām I B </w:t>
            </w:r>
            <w:r w:rsidR="002201CC" w:rsidRPr="008404B2">
              <w:rPr>
                <w:rFonts w:ascii="Times New Roman" w:hAnsi="Times New Roman"/>
                <w:color w:val="000000" w:themeColor="text1"/>
                <w:sz w:val="24"/>
                <w:szCs w:val="24"/>
                <w:lang w:val="lv-LV"/>
              </w:rPr>
              <w:t xml:space="preserve">tipa </w:t>
            </w:r>
            <w:r w:rsidR="002201CC" w:rsidRPr="008404B2">
              <w:rPr>
                <w:rFonts w:ascii="Times New Roman" w:hAnsi="Times New Roman"/>
                <w:color w:val="000000" w:themeColor="text1"/>
                <w:sz w:val="24"/>
                <w:szCs w:val="24"/>
                <w:lang w:val="lv-LV"/>
              </w:rPr>
              <w:lastRenderedPageBreak/>
              <w:t xml:space="preserve">izmaiņām un </w:t>
            </w:r>
            <w:r w:rsidR="002B6AC7" w:rsidRPr="008404B2">
              <w:rPr>
                <w:rFonts w:ascii="Times New Roman" w:hAnsi="Times New Roman"/>
                <w:color w:val="000000" w:themeColor="text1"/>
                <w:sz w:val="24"/>
                <w:szCs w:val="24"/>
                <w:lang w:val="lv-LV"/>
              </w:rPr>
              <w:t>iesniegumu par nozīmīgām II tipa izmaiņ</w:t>
            </w:r>
            <w:r w:rsidR="002201CC" w:rsidRPr="008404B2">
              <w:rPr>
                <w:rFonts w:ascii="Times New Roman" w:hAnsi="Times New Roman"/>
                <w:color w:val="000000" w:themeColor="text1"/>
                <w:sz w:val="24"/>
                <w:szCs w:val="24"/>
                <w:lang w:val="lv-LV"/>
              </w:rPr>
              <w:t>ām, kas minēts Komisijas Regulas 1234/2008 9. panta 1. punktā, 10. panta 1. punktā, 13.</w:t>
            </w:r>
            <w:r w:rsidR="00F3130C" w:rsidRPr="008404B2">
              <w:rPr>
                <w:rFonts w:ascii="Times New Roman" w:hAnsi="Times New Roman"/>
                <w:color w:val="000000" w:themeColor="text1"/>
                <w:sz w:val="24"/>
                <w:szCs w:val="24"/>
                <w:lang w:val="lv-LV"/>
              </w:rPr>
              <w:t> </w:t>
            </w:r>
            <w:r w:rsidR="005D7331" w:rsidRPr="008404B2">
              <w:rPr>
                <w:rFonts w:ascii="Times New Roman" w:hAnsi="Times New Roman"/>
                <w:color w:val="000000" w:themeColor="text1"/>
                <w:sz w:val="24"/>
                <w:szCs w:val="24"/>
                <w:lang w:val="lv-LV"/>
              </w:rPr>
              <w:t xml:space="preserve">b </w:t>
            </w:r>
            <w:r w:rsidR="002201CC" w:rsidRPr="008404B2">
              <w:rPr>
                <w:rFonts w:ascii="Times New Roman" w:hAnsi="Times New Roman"/>
                <w:color w:val="000000" w:themeColor="text1"/>
                <w:sz w:val="24"/>
                <w:szCs w:val="24"/>
                <w:lang w:val="lv-LV"/>
              </w:rPr>
              <w:t>panta 1.</w:t>
            </w:r>
            <w:r w:rsidR="003D1013" w:rsidRPr="008404B2">
              <w:rPr>
                <w:rFonts w:ascii="Times New Roman" w:hAnsi="Times New Roman"/>
                <w:color w:val="000000" w:themeColor="text1"/>
                <w:sz w:val="24"/>
                <w:szCs w:val="24"/>
                <w:lang w:val="lv-LV"/>
              </w:rPr>
              <w:t> </w:t>
            </w:r>
            <w:r w:rsidR="00857931" w:rsidRPr="008404B2">
              <w:rPr>
                <w:rFonts w:ascii="Times New Roman" w:hAnsi="Times New Roman"/>
                <w:color w:val="000000" w:themeColor="text1"/>
                <w:sz w:val="24"/>
                <w:szCs w:val="24"/>
                <w:lang w:val="lv-LV"/>
              </w:rPr>
              <w:t>punktā un 13.</w:t>
            </w:r>
            <w:r w:rsidR="00F3130C" w:rsidRPr="008404B2">
              <w:rPr>
                <w:rFonts w:ascii="Times New Roman" w:hAnsi="Times New Roman"/>
                <w:color w:val="000000" w:themeColor="text1"/>
                <w:sz w:val="24"/>
                <w:szCs w:val="24"/>
                <w:lang w:val="lv-LV"/>
              </w:rPr>
              <w:t> </w:t>
            </w:r>
            <w:r w:rsidR="005D7331" w:rsidRPr="008404B2">
              <w:rPr>
                <w:rFonts w:ascii="Times New Roman" w:hAnsi="Times New Roman"/>
                <w:color w:val="000000" w:themeColor="text1"/>
                <w:sz w:val="24"/>
                <w:szCs w:val="24"/>
                <w:lang w:val="lv-LV"/>
              </w:rPr>
              <w:t xml:space="preserve">c </w:t>
            </w:r>
            <w:r w:rsidRPr="008404B2">
              <w:rPr>
                <w:rFonts w:ascii="Times New Roman" w:hAnsi="Times New Roman"/>
                <w:color w:val="000000" w:themeColor="text1"/>
                <w:sz w:val="24"/>
                <w:szCs w:val="24"/>
                <w:lang w:val="lv-LV"/>
              </w:rPr>
              <w:t xml:space="preserve">panta 1. punktā, </w:t>
            </w:r>
            <w:r w:rsidR="002B6AC7" w:rsidRPr="008404B2">
              <w:rPr>
                <w:rFonts w:ascii="Times New Roman" w:hAnsi="Times New Roman"/>
                <w:color w:val="000000" w:themeColor="text1"/>
                <w:sz w:val="24"/>
                <w:szCs w:val="24"/>
                <w:lang w:val="lv-LV"/>
              </w:rPr>
              <w:t>apstiprinot tā derīgumu. Līdz ar to</w:t>
            </w:r>
            <w:r w:rsidRPr="008404B2">
              <w:rPr>
                <w:rFonts w:ascii="Times New Roman" w:hAnsi="Times New Roman"/>
                <w:bCs/>
                <w:color w:val="000000" w:themeColor="text1"/>
                <w:sz w:val="24"/>
                <w:szCs w:val="24"/>
                <w:lang w:val="lv-LV"/>
              </w:rPr>
              <w:t xml:space="preserve"> </w:t>
            </w:r>
            <w:r w:rsidR="002B6AC7" w:rsidRPr="008404B2">
              <w:rPr>
                <w:rFonts w:ascii="Times New Roman" w:hAnsi="Times New Roman"/>
                <w:bCs/>
                <w:color w:val="000000" w:themeColor="text1"/>
                <w:sz w:val="24"/>
                <w:szCs w:val="24"/>
                <w:lang w:val="lv-LV"/>
              </w:rPr>
              <w:t>procedūra</w:t>
            </w:r>
            <w:r w:rsidRPr="008404B2">
              <w:rPr>
                <w:rFonts w:ascii="Times New Roman" w:hAnsi="Times New Roman"/>
                <w:bCs/>
                <w:color w:val="000000" w:themeColor="text1"/>
                <w:sz w:val="24"/>
                <w:szCs w:val="24"/>
                <w:lang w:val="lv-LV"/>
              </w:rPr>
              <w:t xml:space="preserve"> </w:t>
            </w:r>
            <w:r w:rsidR="00BC173A" w:rsidRPr="008404B2">
              <w:rPr>
                <w:rFonts w:ascii="Times New Roman" w:hAnsi="Times New Roman"/>
                <w:bCs/>
                <w:color w:val="000000" w:themeColor="text1"/>
                <w:sz w:val="24"/>
                <w:szCs w:val="24"/>
                <w:lang w:val="lv-LV"/>
              </w:rPr>
              <w:t xml:space="preserve">nav skaidra. </w:t>
            </w:r>
          </w:p>
          <w:p w:rsidR="008425D4" w:rsidRPr="008404B2" w:rsidRDefault="003133DE" w:rsidP="002A03D3">
            <w:pPr>
              <w:pStyle w:val="Bezatstarpm1"/>
              <w:jc w:val="both"/>
              <w:rPr>
                <w:color w:val="000000" w:themeColor="text1"/>
                <w:lang w:val="lv-LV"/>
              </w:rPr>
            </w:pPr>
            <w:r w:rsidRPr="008404B2">
              <w:rPr>
                <w:rFonts w:ascii="Times New Roman" w:hAnsi="Times New Roman"/>
                <w:color w:val="000000" w:themeColor="text1"/>
                <w:sz w:val="24"/>
                <w:szCs w:val="24"/>
                <w:lang w:val="lv-LV"/>
              </w:rPr>
              <w:t xml:space="preserve">Komisijas pamatnostādnēs Nr. 2013/C 223/01 ir noteikts, ka MRP un DC reģistrētajām zālēm 7 kalendāro dienu laikā </w:t>
            </w:r>
            <w:r w:rsidRPr="008404B2">
              <w:rPr>
                <w:rFonts w:ascii="Times New Roman" w:hAnsi="Times New Roman"/>
                <w:noProof/>
                <w:color w:val="000000" w:themeColor="text1"/>
                <w:sz w:val="24"/>
                <w:szCs w:val="24"/>
                <w:lang w:val="lv-LV"/>
              </w:rPr>
              <w:t xml:space="preserve">atsauces dalībvalsts izskata </w:t>
            </w:r>
            <w:r w:rsidRPr="008404B2">
              <w:rPr>
                <w:rFonts w:ascii="Times New Roman" w:hAnsi="Times New Roman"/>
                <w:color w:val="000000" w:themeColor="text1"/>
                <w:sz w:val="24"/>
                <w:szCs w:val="24"/>
                <w:lang w:val="lv-LV"/>
              </w:rPr>
              <w:t xml:space="preserve">paziņojumu par nelielām I B tipa izmaiņām </w:t>
            </w:r>
            <w:r w:rsidRPr="008404B2">
              <w:rPr>
                <w:rFonts w:ascii="Times New Roman" w:hAnsi="Times New Roman"/>
                <w:noProof/>
                <w:color w:val="000000" w:themeColor="text1"/>
                <w:sz w:val="24"/>
                <w:szCs w:val="24"/>
                <w:lang w:val="lv-LV"/>
              </w:rPr>
              <w:t xml:space="preserve">pirms novērtēšanas procedūras sākšanas, pārbaudot, vai ierosinātās izmaiņas var uzskatīt par nelielām IB tipa izmaiņām un vai paziņojumā sniegtā informācija ir patiesa un pilnīga </w:t>
            </w:r>
            <w:r w:rsidRPr="008404B2">
              <w:rPr>
                <w:rFonts w:ascii="Times New Roman" w:hAnsi="Times New Roman"/>
                <w:color w:val="000000" w:themeColor="text1"/>
                <w:sz w:val="24"/>
                <w:szCs w:val="24"/>
                <w:lang w:val="lv-LV"/>
              </w:rPr>
              <w:t>(</w:t>
            </w:r>
            <w:hyperlink r:id="rId10" w:history="1">
              <w:r w:rsidRPr="008404B2">
                <w:rPr>
                  <w:rStyle w:val="Hyperlink"/>
                  <w:rFonts w:ascii="Times New Roman" w:hAnsi="Times New Roman"/>
                  <w:color w:val="000000" w:themeColor="text1"/>
                  <w:sz w:val="24"/>
                  <w:szCs w:val="24"/>
                  <w:u w:val="none"/>
                  <w:lang w:val="lv-LV"/>
                </w:rPr>
                <w:t>http://www.hma.eu/96.html</w:t>
              </w:r>
            </w:hyperlink>
            <w:r w:rsidR="006B1F96" w:rsidRPr="008404B2">
              <w:rPr>
                <w:rFonts w:ascii="Times New Roman" w:hAnsi="Times New Roman"/>
                <w:color w:val="000000" w:themeColor="text1"/>
                <w:sz w:val="24"/>
                <w:szCs w:val="24"/>
                <w:lang w:val="lv-LV"/>
              </w:rPr>
              <w:t>; file://vnozare.pri/vm/Redirect_profiles/imaca/My%20Documents/2017/projekti/MK_376/uz%20VSS/CMDh_294_2013_Rev23_2016_07_-_Chapter_4_clean.pdf</w:t>
            </w:r>
            <w:r w:rsidRPr="008404B2">
              <w:rPr>
                <w:rFonts w:ascii="Times New Roman" w:hAnsi="Times New Roman"/>
                <w:color w:val="000000" w:themeColor="text1"/>
                <w:sz w:val="24"/>
                <w:szCs w:val="24"/>
                <w:lang w:val="lv-LV"/>
              </w:rPr>
              <w:t>)</w:t>
            </w:r>
            <w:r w:rsidR="00F72D7C" w:rsidRPr="008404B2">
              <w:rPr>
                <w:rFonts w:ascii="Times New Roman" w:hAnsi="Times New Roman"/>
                <w:color w:val="000000" w:themeColor="text1"/>
                <w:sz w:val="24"/>
                <w:szCs w:val="24"/>
                <w:lang w:val="lv-LV"/>
              </w:rPr>
              <w:t xml:space="preserve">, </w:t>
            </w:r>
            <w:r w:rsidRPr="008404B2">
              <w:rPr>
                <w:rFonts w:ascii="Times New Roman" w:hAnsi="Times New Roman"/>
                <w:color w:val="000000" w:themeColor="text1"/>
                <w:sz w:val="24"/>
                <w:szCs w:val="24"/>
                <w:lang w:val="lv-LV"/>
              </w:rPr>
              <w:t xml:space="preserve">vienotas pieejas nodrošināšanai </w:t>
            </w:r>
            <w:r w:rsidR="00F72D7C" w:rsidRPr="008404B2">
              <w:rPr>
                <w:rFonts w:ascii="Times New Roman" w:hAnsi="Times New Roman"/>
                <w:color w:val="000000" w:themeColor="text1"/>
                <w:sz w:val="24"/>
                <w:szCs w:val="24"/>
                <w:lang w:val="lv-LV"/>
              </w:rPr>
              <w:t xml:space="preserve">tas būtu attiecināms arī uz </w:t>
            </w:r>
            <w:r w:rsidRPr="008404B2">
              <w:rPr>
                <w:rFonts w:ascii="Times New Roman" w:hAnsi="Times New Roman"/>
                <w:color w:val="000000" w:themeColor="text1"/>
                <w:sz w:val="24"/>
                <w:szCs w:val="24"/>
                <w:lang w:val="lv-LV"/>
              </w:rPr>
              <w:t>iesnieguma izskatīšanu nacionālā reģistrācijas procedūrā reģistrētajām zālēm</w:t>
            </w:r>
            <w:r w:rsidR="00F72D7C" w:rsidRPr="008404B2">
              <w:rPr>
                <w:rFonts w:ascii="Times New Roman" w:hAnsi="Times New Roman"/>
                <w:color w:val="000000" w:themeColor="text1"/>
                <w:sz w:val="24"/>
                <w:szCs w:val="24"/>
                <w:lang w:val="lv-LV"/>
              </w:rPr>
              <w:t>.</w:t>
            </w:r>
            <w:r w:rsidR="002A03D3" w:rsidRPr="008404B2">
              <w:rPr>
                <w:rFonts w:ascii="Times New Roman" w:hAnsi="Times New Roman"/>
                <w:color w:val="000000" w:themeColor="text1"/>
                <w:sz w:val="24"/>
                <w:szCs w:val="24"/>
                <w:lang w:val="lv-LV"/>
              </w:rPr>
              <w:t xml:space="preserve"> </w:t>
            </w:r>
            <w:r w:rsidR="008425D4" w:rsidRPr="008404B2">
              <w:rPr>
                <w:rFonts w:ascii="Times New Roman" w:hAnsi="Times New Roman"/>
                <w:color w:val="000000" w:themeColor="text1"/>
                <w:sz w:val="24"/>
                <w:szCs w:val="24"/>
                <w:lang w:val="lv-LV"/>
              </w:rPr>
              <w:t xml:space="preserve"> Iesaistītā dalībvalsts primāro ekspertīzi uzsāk </w:t>
            </w:r>
            <w:r w:rsidR="008425D4" w:rsidRPr="008404B2">
              <w:rPr>
                <w:rFonts w:ascii="Times New Roman" w:hAnsi="Times New Roman"/>
                <w:bCs/>
                <w:color w:val="000000" w:themeColor="text1"/>
                <w:sz w:val="24"/>
                <w:szCs w:val="24"/>
                <w:lang w:val="lv-LV"/>
              </w:rPr>
              <w:t xml:space="preserve"> </w:t>
            </w:r>
            <w:r w:rsidR="008425D4" w:rsidRPr="008404B2">
              <w:rPr>
                <w:rFonts w:ascii="Times New Roman" w:hAnsi="Times New Roman"/>
                <w:color w:val="000000" w:themeColor="text1"/>
                <w:sz w:val="24"/>
                <w:szCs w:val="24"/>
                <w:lang w:val="lv-LV"/>
              </w:rPr>
              <w:t>pēc atsauces valsts paziņojuma par primārās ekspertīzes uzsākšanu.</w:t>
            </w:r>
          </w:p>
          <w:p w:rsidR="00FC6F31" w:rsidRPr="008404B2" w:rsidRDefault="002A03D3" w:rsidP="002A03D3">
            <w:pPr>
              <w:pStyle w:val="Bezatstarpm1"/>
              <w:jc w:val="both"/>
              <w:rPr>
                <w:rFonts w:ascii="Times New Roman" w:hAnsi="Times New Roman"/>
                <w:bCs/>
                <w:color w:val="000000" w:themeColor="text1"/>
                <w:sz w:val="24"/>
                <w:szCs w:val="24"/>
                <w:lang w:val="lv-LV"/>
              </w:rPr>
            </w:pPr>
            <w:r w:rsidRPr="008404B2">
              <w:rPr>
                <w:rFonts w:ascii="Times New Roman" w:hAnsi="Times New Roman"/>
                <w:i/>
                <w:color w:val="000000" w:themeColor="text1"/>
                <w:sz w:val="24"/>
                <w:szCs w:val="24"/>
                <w:lang w:val="lv-LV"/>
              </w:rPr>
              <w:t xml:space="preserve">Savukārt </w:t>
            </w:r>
            <w:r w:rsidR="008425D4" w:rsidRPr="008404B2">
              <w:rPr>
                <w:rFonts w:ascii="Times New Roman" w:hAnsi="Times New Roman"/>
                <w:color w:val="000000" w:themeColor="text1"/>
                <w:sz w:val="24"/>
                <w:szCs w:val="24"/>
                <w:lang w:val="lv-LV"/>
              </w:rPr>
              <w:t>par II tipa izmaiņām</w:t>
            </w:r>
            <w:r w:rsidR="008425D4" w:rsidRPr="008404B2">
              <w:rPr>
                <w:rFonts w:ascii="Times New Roman" w:hAnsi="Times New Roman"/>
                <w:i/>
                <w:color w:val="000000" w:themeColor="text1"/>
                <w:sz w:val="24"/>
                <w:szCs w:val="24"/>
                <w:lang w:val="lv-LV"/>
              </w:rPr>
              <w:t xml:space="preserve"> </w:t>
            </w:r>
            <w:r w:rsidR="00547ADC" w:rsidRPr="008404B2">
              <w:rPr>
                <w:rFonts w:ascii="Times New Roman" w:hAnsi="Times New Roman"/>
                <w:i/>
                <w:color w:val="000000" w:themeColor="text1"/>
                <w:sz w:val="24"/>
                <w:szCs w:val="24"/>
                <w:lang w:val="lv-LV"/>
              </w:rPr>
              <w:t xml:space="preserve">MRP </w:t>
            </w:r>
            <w:r w:rsidR="00384DBF" w:rsidRPr="008404B2">
              <w:rPr>
                <w:rFonts w:ascii="Times New Roman" w:hAnsi="Times New Roman"/>
                <w:i/>
                <w:color w:val="000000" w:themeColor="text1"/>
                <w:sz w:val="24"/>
                <w:szCs w:val="24"/>
                <w:lang w:val="lv-LV"/>
              </w:rPr>
              <w:t xml:space="preserve">un DC Koordinācijas darba </w:t>
            </w:r>
            <w:r w:rsidR="00547ADC" w:rsidRPr="008404B2">
              <w:rPr>
                <w:rFonts w:ascii="Times New Roman" w:hAnsi="Times New Roman"/>
                <w:i/>
                <w:color w:val="000000" w:themeColor="text1"/>
                <w:sz w:val="24"/>
                <w:szCs w:val="24"/>
                <w:lang w:val="lv-LV"/>
              </w:rPr>
              <w:t>grupa</w:t>
            </w:r>
            <w:r w:rsidR="009E1C67" w:rsidRPr="008404B2">
              <w:rPr>
                <w:rFonts w:ascii="Times New Roman" w:hAnsi="Times New Roman"/>
                <w:i/>
                <w:color w:val="000000" w:themeColor="text1"/>
                <w:sz w:val="24"/>
                <w:szCs w:val="24"/>
                <w:lang w:val="lv-LV"/>
              </w:rPr>
              <w:t xml:space="preserve"> (</w:t>
            </w:r>
            <w:proofErr w:type="spellStart"/>
            <w:r w:rsidR="009E1C67" w:rsidRPr="008404B2">
              <w:rPr>
                <w:rFonts w:ascii="Times New Roman" w:hAnsi="Times New Roman"/>
                <w:i/>
                <w:color w:val="000000" w:themeColor="text1"/>
                <w:sz w:val="24"/>
                <w:szCs w:val="24"/>
                <w:lang w:val="lv-LV"/>
              </w:rPr>
              <w:t>CMDh</w:t>
            </w:r>
            <w:proofErr w:type="spellEnd"/>
            <w:r w:rsidR="009E1C67" w:rsidRPr="008404B2">
              <w:rPr>
                <w:rFonts w:ascii="Times New Roman" w:hAnsi="Times New Roman"/>
                <w:i/>
                <w:color w:val="000000" w:themeColor="text1"/>
                <w:sz w:val="24"/>
                <w:szCs w:val="24"/>
                <w:lang w:val="lv-LV"/>
              </w:rPr>
              <w:t>)</w:t>
            </w:r>
            <w:r w:rsidR="00547ADC" w:rsidRPr="008404B2">
              <w:rPr>
                <w:rFonts w:ascii="Times New Roman" w:hAnsi="Times New Roman"/>
                <w:i/>
                <w:color w:val="000000" w:themeColor="text1"/>
                <w:sz w:val="24"/>
                <w:szCs w:val="24"/>
                <w:lang w:val="lv-LV"/>
              </w:rPr>
              <w:t xml:space="preserve"> </w:t>
            </w:r>
            <w:r w:rsidR="00F20C2E" w:rsidRPr="008404B2">
              <w:rPr>
                <w:rFonts w:ascii="Times New Roman" w:hAnsi="Times New Roman"/>
                <w:color w:val="000000" w:themeColor="text1"/>
                <w:sz w:val="24"/>
                <w:szCs w:val="24"/>
                <w:lang w:val="lv-LV"/>
              </w:rPr>
              <w:t xml:space="preserve">ir </w:t>
            </w:r>
            <w:r w:rsidR="00547ADC" w:rsidRPr="008404B2">
              <w:rPr>
                <w:rFonts w:ascii="Times New Roman" w:hAnsi="Times New Roman"/>
                <w:color w:val="000000" w:themeColor="text1"/>
                <w:sz w:val="24"/>
                <w:szCs w:val="24"/>
                <w:lang w:val="lv-LV"/>
              </w:rPr>
              <w:t>vienojusies</w:t>
            </w:r>
            <w:r w:rsidR="00827E2D" w:rsidRPr="008404B2">
              <w:rPr>
                <w:rFonts w:ascii="Times New Roman" w:hAnsi="Times New Roman"/>
                <w:color w:val="000000" w:themeColor="text1"/>
                <w:sz w:val="24"/>
                <w:szCs w:val="24"/>
                <w:lang w:val="lv-LV"/>
              </w:rPr>
              <w:t xml:space="preserve">, </w:t>
            </w:r>
            <w:r w:rsidR="00F20C2E" w:rsidRPr="008404B2">
              <w:rPr>
                <w:rFonts w:ascii="Times New Roman" w:hAnsi="Times New Roman"/>
                <w:color w:val="000000" w:themeColor="text1"/>
                <w:sz w:val="24"/>
                <w:szCs w:val="24"/>
                <w:lang w:val="lv-LV"/>
              </w:rPr>
              <w:t xml:space="preserve">ka </w:t>
            </w:r>
            <w:r w:rsidR="003133DE" w:rsidRPr="008404B2">
              <w:rPr>
                <w:rFonts w:ascii="Times New Roman" w:hAnsi="Times New Roman"/>
                <w:color w:val="000000" w:themeColor="text1"/>
                <w:sz w:val="24"/>
                <w:szCs w:val="24"/>
                <w:lang w:val="lv-LV"/>
              </w:rPr>
              <w:t>primārās ekspertīzes laiku nosaka</w:t>
            </w:r>
            <w:r w:rsidR="00D565D0" w:rsidRPr="008404B2">
              <w:rPr>
                <w:rFonts w:ascii="Times New Roman" w:hAnsi="Times New Roman"/>
                <w:color w:val="000000" w:themeColor="text1"/>
                <w:sz w:val="24"/>
                <w:szCs w:val="24"/>
                <w:lang w:val="lv-LV"/>
              </w:rPr>
              <w:t xml:space="preserve"> atsauces </w:t>
            </w:r>
            <w:r w:rsidR="00FA7206" w:rsidRPr="008404B2">
              <w:rPr>
                <w:rFonts w:ascii="Times New Roman" w:hAnsi="Times New Roman"/>
                <w:color w:val="000000" w:themeColor="text1"/>
                <w:sz w:val="24"/>
                <w:szCs w:val="24"/>
                <w:lang w:val="lv-LV"/>
              </w:rPr>
              <w:t>dalībvalsts kompetentā iestād</w:t>
            </w:r>
            <w:r w:rsidR="00D11806" w:rsidRPr="008404B2">
              <w:rPr>
                <w:rFonts w:ascii="Times New Roman" w:hAnsi="Times New Roman"/>
                <w:color w:val="000000" w:themeColor="text1"/>
                <w:sz w:val="24"/>
                <w:szCs w:val="24"/>
                <w:lang w:val="lv-LV"/>
              </w:rPr>
              <w:t>e</w:t>
            </w:r>
            <w:r w:rsidR="00573850" w:rsidRPr="008404B2">
              <w:rPr>
                <w:rFonts w:ascii="Times New Roman" w:hAnsi="Times New Roman"/>
                <w:color w:val="000000" w:themeColor="text1"/>
                <w:sz w:val="24"/>
                <w:szCs w:val="24"/>
                <w:lang w:val="lv-LV"/>
              </w:rPr>
              <w:t xml:space="preserve"> </w:t>
            </w:r>
            <w:r w:rsidR="00FC6F31" w:rsidRPr="008404B2">
              <w:rPr>
                <w:rFonts w:ascii="Times New Roman" w:hAnsi="Times New Roman"/>
                <w:color w:val="000000" w:themeColor="text1"/>
                <w:sz w:val="24"/>
                <w:szCs w:val="24"/>
                <w:lang w:val="lv-LV"/>
              </w:rPr>
              <w:t>un tā notiek 14 dienu laikā (</w:t>
            </w:r>
            <w:r w:rsidR="00573850" w:rsidRPr="008404B2">
              <w:rPr>
                <w:rFonts w:ascii="Times New Roman" w:hAnsi="Times New Roman"/>
                <w:color w:val="000000" w:themeColor="text1"/>
                <w:sz w:val="24"/>
                <w:szCs w:val="24"/>
                <w:lang w:val="lv-LV"/>
              </w:rPr>
              <w:t>http://www.hma.eu/fileadmin/dateien/Human_Medicines/CMD_h_/procedural_guidance/Variations/CMDh_295_2013_Rev22_2016_07_-_Chapter_5_clean.pdf</w:t>
            </w:r>
            <w:r w:rsidR="00D11806" w:rsidRPr="008404B2">
              <w:rPr>
                <w:rFonts w:ascii="Times New Roman" w:hAnsi="Times New Roman"/>
                <w:color w:val="000000" w:themeColor="text1"/>
                <w:sz w:val="24"/>
                <w:szCs w:val="24"/>
                <w:lang w:val="lv-LV"/>
              </w:rPr>
              <w:t>.</w:t>
            </w:r>
            <w:r w:rsidR="00F17E56" w:rsidRPr="008404B2">
              <w:rPr>
                <w:rFonts w:ascii="Times New Roman" w:hAnsi="Times New Roman"/>
                <w:color w:val="000000" w:themeColor="text1"/>
                <w:sz w:val="24"/>
                <w:szCs w:val="24"/>
                <w:lang w:val="lv-LV"/>
              </w:rPr>
              <w:t xml:space="preserve"> </w:t>
            </w:r>
            <w:r w:rsidR="00FC6F31" w:rsidRPr="008404B2">
              <w:rPr>
                <w:rFonts w:ascii="Times New Roman" w:hAnsi="Times New Roman"/>
                <w:color w:val="000000" w:themeColor="text1"/>
                <w:sz w:val="24"/>
                <w:szCs w:val="24"/>
                <w:lang w:val="lv-LV"/>
              </w:rPr>
              <w:t>)</w:t>
            </w:r>
            <w:r w:rsidR="00547ADC" w:rsidRPr="008404B2">
              <w:rPr>
                <w:rFonts w:ascii="Times New Roman" w:hAnsi="Times New Roman"/>
                <w:color w:val="000000" w:themeColor="text1"/>
                <w:sz w:val="24"/>
                <w:szCs w:val="24"/>
                <w:lang w:val="lv-LV"/>
              </w:rPr>
              <w:t>.</w:t>
            </w:r>
          </w:p>
          <w:p w:rsidR="007575E4" w:rsidRPr="008404B2" w:rsidRDefault="00CA1D65" w:rsidP="00700F00">
            <w:pPr>
              <w:pStyle w:val="Bezatstarpm1"/>
              <w:jc w:val="both"/>
              <w:rPr>
                <w:rFonts w:ascii="Times New Roman" w:hAnsi="Times New Roman"/>
                <w:color w:val="000000" w:themeColor="text1"/>
                <w:sz w:val="24"/>
                <w:szCs w:val="24"/>
                <w:lang w:val="lv-LV"/>
              </w:rPr>
            </w:pPr>
            <w:r w:rsidRPr="008404B2">
              <w:rPr>
                <w:rFonts w:ascii="Times New Roman" w:hAnsi="Times New Roman"/>
                <w:bCs/>
                <w:color w:val="000000" w:themeColor="text1"/>
                <w:sz w:val="24"/>
                <w:szCs w:val="24"/>
                <w:lang w:val="lv-LV"/>
              </w:rPr>
              <w:t>L</w:t>
            </w:r>
            <w:r w:rsidRPr="008404B2">
              <w:rPr>
                <w:rFonts w:ascii="Times New Roman" w:hAnsi="Times New Roman"/>
                <w:color w:val="000000" w:themeColor="text1"/>
                <w:sz w:val="24"/>
                <w:szCs w:val="24"/>
                <w:lang w:val="lv-LV"/>
              </w:rPr>
              <w:t xml:space="preserve">ai </w:t>
            </w:r>
            <w:r w:rsidR="007575E4" w:rsidRPr="008404B2">
              <w:rPr>
                <w:rFonts w:ascii="Times New Roman" w:hAnsi="Times New Roman"/>
                <w:color w:val="000000" w:themeColor="text1"/>
                <w:sz w:val="24"/>
                <w:szCs w:val="24"/>
                <w:lang w:val="lv-LV"/>
              </w:rPr>
              <w:t xml:space="preserve">padarītu tiesību normas skaidrākas un </w:t>
            </w:r>
            <w:r w:rsidR="00034E7D" w:rsidRPr="008404B2">
              <w:rPr>
                <w:rFonts w:ascii="Times New Roman" w:hAnsi="Times New Roman"/>
                <w:color w:val="000000" w:themeColor="text1"/>
                <w:sz w:val="24"/>
                <w:szCs w:val="24"/>
                <w:lang w:val="lv-LV"/>
              </w:rPr>
              <w:t>veicinātu</w:t>
            </w:r>
            <w:r w:rsidRPr="008404B2">
              <w:rPr>
                <w:rFonts w:ascii="Times New Roman" w:hAnsi="Times New Roman"/>
                <w:color w:val="000000" w:themeColor="text1"/>
                <w:sz w:val="24"/>
                <w:szCs w:val="24"/>
                <w:lang w:val="lv-LV"/>
              </w:rPr>
              <w:t xml:space="preserve"> Komisij</w:t>
            </w:r>
            <w:r w:rsidR="00034E7D" w:rsidRPr="008404B2">
              <w:rPr>
                <w:rFonts w:ascii="Times New Roman" w:hAnsi="Times New Roman"/>
                <w:color w:val="000000" w:themeColor="text1"/>
                <w:sz w:val="24"/>
                <w:szCs w:val="24"/>
                <w:lang w:val="lv-LV"/>
              </w:rPr>
              <w:t>as regulā Nr. 1234/2008 noteiktās procedūras īstenošanu</w:t>
            </w:r>
            <w:r w:rsidRPr="008404B2">
              <w:rPr>
                <w:rFonts w:ascii="Times New Roman" w:hAnsi="Times New Roman"/>
                <w:color w:val="000000" w:themeColor="text1"/>
                <w:sz w:val="24"/>
                <w:szCs w:val="24"/>
                <w:lang w:val="lv-LV"/>
              </w:rPr>
              <w:t xml:space="preserve">, </w:t>
            </w:r>
            <w:r w:rsidR="00D565D0" w:rsidRPr="008404B2">
              <w:rPr>
                <w:rFonts w:ascii="Times New Roman" w:hAnsi="Times New Roman"/>
                <w:color w:val="000000" w:themeColor="text1"/>
                <w:sz w:val="24"/>
                <w:szCs w:val="24"/>
                <w:lang w:val="lv-LV"/>
              </w:rPr>
              <w:t>regulējumā</w:t>
            </w:r>
            <w:r w:rsidR="0097461F" w:rsidRPr="008404B2">
              <w:rPr>
                <w:rFonts w:ascii="Times New Roman" w:hAnsi="Times New Roman"/>
                <w:color w:val="000000" w:themeColor="text1"/>
                <w:sz w:val="24"/>
                <w:szCs w:val="24"/>
                <w:lang w:val="lv-LV"/>
              </w:rPr>
              <w:t xml:space="preserve"> </w:t>
            </w:r>
            <w:r w:rsidR="00034E7D" w:rsidRPr="008404B2">
              <w:rPr>
                <w:rFonts w:ascii="Times New Roman" w:hAnsi="Times New Roman"/>
                <w:color w:val="000000" w:themeColor="text1"/>
                <w:sz w:val="24"/>
                <w:szCs w:val="24"/>
                <w:lang w:val="lv-LV"/>
              </w:rPr>
              <w:t xml:space="preserve">MK noteikumos </w:t>
            </w:r>
            <w:r w:rsidR="007D376B" w:rsidRPr="008404B2">
              <w:rPr>
                <w:rFonts w:ascii="Times New Roman" w:hAnsi="Times New Roman"/>
                <w:color w:val="000000" w:themeColor="text1"/>
                <w:sz w:val="24"/>
                <w:szCs w:val="24"/>
                <w:lang w:val="lv-LV"/>
              </w:rPr>
              <w:t>Nr. </w:t>
            </w:r>
            <w:r w:rsidR="00034E7D" w:rsidRPr="008404B2">
              <w:rPr>
                <w:rFonts w:ascii="Times New Roman" w:hAnsi="Times New Roman"/>
                <w:color w:val="000000" w:themeColor="text1"/>
                <w:sz w:val="24"/>
                <w:szCs w:val="24"/>
                <w:lang w:val="lv-LV"/>
              </w:rPr>
              <w:t xml:space="preserve">376 </w:t>
            </w:r>
            <w:r w:rsidR="005D7331" w:rsidRPr="008404B2">
              <w:rPr>
                <w:rFonts w:ascii="Times New Roman" w:hAnsi="Times New Roman"/>
                <w:color w:val="000000" w:themeColor="text1"/>
                <w:sz w:val="24"/>
                <w:szCs w:val="24"/>
                <w:lang w:val="lv-LV"/>
              </w:rPr>
              <w:t xml:space="preserve">(86. punkts) </w:t>
            </w:r>
            <w:r w:rsidR="007575E4" w:rsidRPr="008404B2">
              <w:rPr>
                <w:rFonts w:ascii="Times New Roman" w:hAnsi="Times New Roman"/>
                <w:color w:val="000000" w:themeColor="text1"/>
                <w:sz w:val="24"/>
                <w:szCs w:val="24"/>
                <w:lang w:val="lv-LV"/>
              </w:rPr>
              <w:t>tiek konkretizēts</w:t>
            </w:r>
            <w:r w:rsidR="002E5847" w:rsidRPr="008404B2">
              <w:rPr>
                <w:rFonts w:ascii="Times New Roman" w:hAnsi="Times New Roman"/>
                <w:color w:val="000000" w:themeColor="text1"/>
                <w:sz w:val="24"/>
                <w:szCs w:val="24"/>
                <w:lang w:val="lv-LV"/>
              </w:rPr>
              <w:t xml:space="preserve"> primārās ekspertīzes laiks</w:t>
            </w:r>
            <w:r w:rsidR="00857931" w:rsidRPr="008404B2">
              <w:rPr>
                <w:rFonts w:ascii="Times New Roman" w:hAnsi="Times New Roman"/>
                <w:color w:val="000000" w:themeColor="text1"/>
                <w:sz w:val="24"/>
                <w:szCs w:val="24"/>
                <w:lang w:val="lv-LV"/>
              </w:rPr>
              <w:t>:</w:t>
            </w:r>
          </w:p>
          <w:p w:rsidR="003D1013" w:rsidRPr="008404B2" w:rsidRDefault="003D1013" w:rsidP="008E5417">
            <w:pPr>
              <w:pStyle w:val="Bezatstarpm1"/>
              <w:jc w:val="both"/>
              <w:rPr>
                <w:rFonts w:ascii="Times New Roman" w:hAnsi="Times New Roman"/>
                <w:color w:val="000000" w:themeColor="text1"/>
                <w:sz w:val="24"/>
                <w:szCs w:val="24"/>
                <w:lang w:val="lv-LV"/>
              </w:rPr>
            </w:pPr>
            <w:r w:rsidRPr="008404B2">
              <w:rPr>
                <w:rFonts w:ascii="Times New Roman" w:hAnsi="Times New Roman"/>
                <w:color w:val="000000" w:themeColor="text1"/>
                <w:sz w:val="24"/>
                <w:szCs w:val="24"/>
                <w:lang w:val="lv-LV"/>
              </w:rPr>
              <w:t>-</w:t>
            </w:r>
            <w:r w:rsidR="00857931" w:rsidRPr="008404B2">
              <w:rPr>
                <w:rFonts w:ascii="Times New Roman" w:hAnsi="Times New Roman"/>
                <w:color w:val="000000" w:themeColor="text1"/>
                <w:sz w:val="24"/>
                <w:szCs w:val="24"/>
                <w:lang w:val="lv-LV"/>
              </w:rPr>
              <w:t> </w:t>
            </w:r>
            <w:r w:rsidR="00CD3A10" w:rsidRPr="008404B2">
              <w:rPr>
                <w:rFonts w:ascii="Times New Roman" w:hAnsi="Times New Roman"/>
                <w:color w:val="000000" w:themeColor="text1"/>
                <w:sz w:val="24"/>
                <w:szCs w:val="24"/>
                <w:lang w:val="lv-LV"/>
              </w:rPr>
              <w:t xml:space="preserve"> 7 dienas </w:t>
            </w:r>
            <w:r w:rsidR="003133DE" w:rsidRPr="008404B2">
              <w:rPr>
                <w:rFonts w:ascii="Times New Roman" w:hAnsi="Times New Roman"/>
                <w:color w:val="000000" w:themeColor="text1"/>
                <w:sz w:val="24"/>
                <w:szCs w:val="24"/>
                <w:lang w:val="lv-LV"/>
              </w:rPr>
              <w:t>iesnieguma/</w:t>
            </w:r>
            <w:r w:rsidR="00A761A8" w:rsidRPr="008404B2">
              <w:rPr>
                <w:rFonts w:ascii="Times New Roman" w:hAnsi="Times New Roman"/>
                <w:color w:val="000000" w:themeColor="text1"/>
                <w:sz w:val="24"/>
                <w:szCs w:val="24"/>
                <w:lang w:val="lv-LV"/>
              </w:rPr>
              <w:t xml:space="preserve">paziņojuma izskatīšanai par </w:t>
            </w:r>
            <w:r w:rsidR="00CA1D65" w:rsidRPr="008404B2">
              <w:rPr>
                <w:rFonts w:ascii="Times New Roman" w:hAnsi="Times New Roman"/>
                <w:color w:val="000000" w:themeColor="text1"/>
                <w:sz w:val="24"/>
                <w:szCs w:val="24"/>
                <w:lang w:val="lv-LV"/>
              </w:rPr>
              <w:t>I</w:t>
            </w:r>
            <w:r w:rsidR="00755601" w:rsidRPr="008404B2">
              <w:rPr>
                <w:rFonts w:ascii="Times New Roman" w:hAnsi="Times New Roman"/>
                <w:color w:val="000000" w:themeColor="text1"/>
                <w:sz w:val="24"/>
                <w:szCs w:val="24"/>
                <w:lang w:val="lv-LV"/>
              </w:rPr>
              <w:t> </w:t>
            </w:r>
            <w:r w:rsidR="00CA1D65" w:rsidRPr="008404B2">
              <w:rPr>
                <w:rFonts w:ascii="Times New Roman" w:hAnsi="Times New Roman"/>
                <w:color w:val="000000" w:themeColor="text1"/>
                <w:sz w:val="24"/>
                <w:szCs w:val="24"/>
                <w:lang w:val="lv-LV"/>
              </w:rPr>
              <w:t>B izmai</w:t>
            </w:r>
            <w:r w:rsidR="00A761A8" w:rsidRPr="008404B2">
              <w:rPr>
                <w:rFonts w:ascii="Times New Roman" w:hAnsi="Times New Roman"/>
                <w:color w:val="000000" w:themeColor="text1"/>
                <w:sz w:val="24"/>
                <w:szCs w:val="24"/>
                <w:lang w:val="lv-LV"/>
              </w:rPr>
              <w:t>ņām</w:t>
            </w:r>
            <w:r w:rsidR="007575E4" w:rsidRPr="008404B2">
              <w:rPr>
                <w:rFonts w:ascii="Times New Roman" w:hAnsi="Times New Roman"/>
                <w:color w:val="000000" w:themeColor="text1"/>
                <w:sz w:val="24"/>
                <w:szCs w:val="24"/>
                <w:lang w:val="lv-LV"/>
              </w:rPr>
              <w:t xml:space="preserve"> </w:t>
            </w:r>
            <w:r w:rsidR="00D565D0" w:rsidRPr="008404B2">
              <w:rPr>
                <w:rFonts w:ascii="Times New Roman" w:hAnsi="Times New Roman"/>
                <w:color w:val="000000" w:themeColor="text1"/>
                <w:sz w:val="24"/>
                <w:szCs w:val="24"/>
                <w:lang w:val="lv-LV"/>
              </w:rPr>
              <w:t>(</w:t>
            </w:r>
            <w:r w:rsidR="002B6FE1" w:rsidRPr="008404B2">
              <w:rPr>
                <w:rFonts w:ascii="Times New Roman" w:hAnsi="Times New Roman"/>
                <w:color w:val="000000" w:themeColor="text1"/>
                <w:sz w:val="24"/>
                <w:szCs w:val="24"/>
                <w:lang w:val="lv-LV"/>
              </w:rPr>
              <w:t xml:space="preserve">Noteikumu projekta </w:t>
            </w:r>
            <w:r w:rsidR="00DC55FF" w:rsidRPr="008404B2">
              <w:rPr>
                <w:rFonts w:ascii="Times New Roman" w:hAnsi="Times New Roman"/>
                <w:color w:val="000000" w:themeColor="text1"/>
                <w:sz w:val="24"/>
                <w:szCs w:val="24"/>
                <w:lang w:val="lv-LV"/>
              </w:rPr>
              <w:t>16. un</w:t>
            </w:r>
            <w:r w:rsidR="00072801" w:rsidRPr="008404B2">
              <w:rPr>
                <w:rFonts w:ascii="Times New Roman" w:hAnsi="Times New Roman"/>
                <w:color w:val="000000" w:themeColor="text1"/>
                <w:sz w:val="24"/>
                <w:szCs w:val="24"/>
                <w:lang w:val="lv-LV"/>
              </w:rPr>
              <w:t xml:space="preserve"> </w:t>
            </w:r>
            <w:r w:rsidR="002B6FE1" w:rsidRPr="008404B2">
              <w:rPr>
                <w:rFonts w:ascii="Times New Roman" w:hAnsi="Times New Roman"/>
                <w:color w:val="000000" w:themeColor="text1"/>
                <w:sz w:val="24"/>
                <w:szCs w:val="24"/>
                <w:lang w:val="lv-LV"/>
              </w:rPr>
              <w:t>1</w:t>
            </w:r>
            <w:r w:rsidR="00FC1379" w:rsidRPr="008404B2">
              <w:rPr>
                <w:rFonts w:ascii="Times New Roman" w:hAnsi="Times New Roman"/>
                <w:color w:val="000000" w:themeColor="text1"/>
                <w:sz w:val="24"/>
                <w:szCs w:val="24"/>
                <w:lang w:val="lv-LV"/>
              </w:rPr>
              <w:t>7</w:t>
            </w:r>
            <w:r w:rsidR="00DC55FF" w:rsidRPr="008404B2">
              <w:rPr>
                <w:rFonts w:ascii="Times New Roman" w:hAnsi="Times New Roman"/>
                <w:color w:val="000000" w:themeColor="text1"/>
                <w:sz w:val="24"/>
                <w:szCs w:val="24"/>
                <w:lang w:val="lv-LV"/>
              </w:rPr>
              <w:t>. punkts (</w:t>
            </w:r>
            <w:r w:rsidR="002B6FE1" w:rsidRPr="008404B2">
              <w:rPr>
                <w:rFonts w:ascii="Times New Roman" w:hAnsi="Times New Roman"/>
                <w:color w:val="000000" w:themeColor="text1"/>
                <w:sz w:val="24"/>
                <w:szCs w:val="24"/>
                <w:lang w:val="lv-LV"/>
              </w:rPr>
              <w:t xml:space="preserve">attiecībā uz MK noteikumu </w:t>
            </w:r>
            <w:r w:rsidR="005D7331" w:rsidRPr="008404B2">
              <w:rPr>
                <w:rFonts w:ascii="Times New Roman" w:hAnsi="Times New Roman"/>
                <w:color w:val="000000" w:themeColor="text1"/>
                <w:sz w:val="24"/>
                <w:szCs w:val="24"/>
                <w:lang w:val="lv-LV"/>
              </w:rPr>
              <w:t xml:space="preserve">86.1.4. </w:t>
            </w:r>
            <w:r w:rsidR="00E736A3" w:rsidRPr="008404B2">
              <w:rPr>
                <w:rFonts w:ascii="Times New Roman" w:hAnsi="Times New Roman"/>
                <w:color w:val="000000" w:themeColor="text1"/>
                <w:sz w:val="24"/>
                <w:szCs w:val="24"/>
                <w:lang w:val="lv-LV"/>
              </w:rPr>
              <w:t>un 86.1.6. </w:t>
            </w:r>
            <w:r w:rsidR="00D565D0" w:rsidRPr="008404B2">
              <w:rPr>
                <w:rFonts w:ascii="Times New Roman" w:hAnsi="Times New Roman"/>
                <w:color w:val="000000" w:themeColor="text1"/>
                <w:sz w:val="24"/>
                <w:szCs w:val="24"/>
                <w:lang w:val="lv-LV"/>
              </w:rPr>
              <w:t>apak</w:t>
            </w:r>
            <w:r w:rsidR="002B6FE1" w:rsidRPr="008404B2">
              <w:rPr>
                <w:rFonts w:ascii="Times New Roman" w:hAnsi="Times New Roman"/>
                <w:color w:val="000000" w:themeColor="text1"/>
                <w:sz w:val="24"/>
                <w:szCs w:val="24"/>
                <w:lang w:val="lv-LV"/>
              </w:rPr>
              <w:t>špunktu</w:t>
            </w:r>
            <w:r w:rsidR="00D565D0" w:rsidRPr="008404B2">
              <w:rPr>
                <w:rFonts w:ascii="Times New Roman" w:hAnsi="Times New Roman"/>
                <w:color w:val="000000" w:themeColor="text1"/>
                <w:sz w:val="24"/>
                <w:szCs w:val="24"/>
                <w:lang w:val="lv-LV"/>
              </w:rPr>
              <w:t>)</w:t>
            </w:r>
            <w:r w:rsidR="00DC55FF" w:rsidRPr="008404B2">
              <w:rPr>
                <w:rFonts w:ascii="Times New Roman" w:hAnsi="Times New Roman"/>
                <w:color w:val="000000" w:themeColor="text1"/>
                <w:sz w:val="24"/>
                <w:szCs w:val="24"/>
                <w:lang w:val="lv-LV"/>
              </w:rPr>
              <w:t>)</w:t>
            </w:r>
            <w:r w:rsidR="00CD6E10" w:rsidRPr="008404B2">
              <w:rPr>
                <w:rFonts w:ascii="Times New Roman" w:hAnsi="Times New Roman"/>
                <w:color w:val="000000" w:themeColor="text1"/>
                <w:sz w:val="24"/>
                <w:szCs w:val="24"/>
                <w:lang w:val="lv-LV"/>
              </w:rPr>
              <w:t>,</w:t>
            </w:r>
          </w:p>
          <w:p w:rsidR="007575E4" w:rsidRPr="008404B2" w:rsidRDefault="003D1013" w:rsidP="008E5417">
            <w:pPr>
              <w:pStyle w:val="Bezatstarpm1"/>
              <w:jc w:val="both"/>
              <w:rPr>
                <w:rFonts w:ascii="Times New Roman" w:hAnsi="Times New Roman"/>
                <w:color w:val="000000" w:themeColor="text1"/>
                <w:sz w:val="24"/>
                <w:szCs w:val="24"/>
                <w:lang w:val="lv-LV"/>
              </w:rPr>
            </w:pPr>
            <w:r w:rsidRPr="008404B2">
              <w:rPr>
                <w:rFonts w:ascii="Times New Roman" w:hAnsi="Times New Roman"/>
                <w:color w:val="000000" w:themeColor="text1"/>
                <w:sz w:val="24"/>
                <w:szCs w:val="24"/>
                <w:lang w:val="lv-LV"/>
              </w:rPr>
              <w:t>-</w:t>
            </w:r>
            <w:r w:rsidR="00857931" w:rsidRPr="008404B2">
              <w:rPr>
                <w:rFonts w:ascii="Times New Roman" w:hAnsi="Times New Roman"/>
                <w:color w:val="000000" w:themeColor="text1"/>
                <w:sz w:val="24"/>
                <w:szCs w:val="24"/>
                <w:lang w:val="lv-LV"/>
              </w:rPr>
              <w:t> </w:t>
            </w:r>
            <w:r w:rsidR="009D1F45" w:rsidRPr="008404B2">
              <w:rPr>
                <w:rFonts w:ascii="Times New Roman" w:hAnsi="Times New Roman"/>
                <w:color w:val="000000" w:themeColor="text1"/>
                <w:sz w:val="24"/>
                <w:szCs w:val="24"/>
                <w:lang w:val="lv-LV"/>
              </w:rPr>
              <w:t>14 </w:t>
            </w:r>
            <w:r w:rsidR="00CD3A10" w:rsidRPr="008404B2">
              <w:rPr>
                <w:rFonts w:ascii="Times New Roman" w:hAnsi="Times New Roman"/>
                <w:color w:val="000000" w:themeColor="text1"/>
                <w:sz w:val="24"/>
                <w:szCs w:val="24"/>
                <w:lang w:val="lv-LV"/>
              </w:rPr>
              <w:t xml:space="preserve">dienas </w:t>
            </w:r>
            <w:r w:rsidR="00A761A8" w:rsidRPr="008404B2">
              <w:rPr>
                <w:rFonts w:ascii="Times New Roman" w:hAnsi="Times New Roman"/>
                <w:color w:val="000000" w:themeColor="text1"/>
                <w:sz w:val="24"/>
                <w:szCs w:val="24"/>
                <w:lang w:val="lv-LV"/>
              </w:rPr>
              <w:t>iesnieguma izskatīšanai par I</w:t>
            </w:r>
            <w:r w:rsidR="00755601" w:rsidRPr="008404B2">
              <w:rPr>
                <w:rFonts w:ascii="Times New Roman" w:hAnsi="Times New Roman"/>
                <w:color w:val="000000" w:themeColor="text1"/>
                <w:sz w:val="24"/>
                <w:szCs w:val="24"/>
                <w:lang w:val="lv-LV"/>
              </w:rPr>
              <w:t>I </w:t>
            </w:r>
            <w:r w:rsidR="00CA1D65" w:rsidRPr="008404B2">
              <w:rPr>
                <w:rFonts w:ascii="Times New Roman" w:hAnsi="Times New Roman"/>
                <w:color w:val="000000" w:themeColor="text1"/>
                <w:sz w:val="24"/>
                <w:szCs w:val="24"/>
                <w:lang w:val="lv-LV"/>
              </w:rPr>
              <w:t>tipa izmai</w:t>
            </w:r>
            <w:r w:rsidR="00A761A8" w:rsidRPr="008404B2">
              <w:rPr>
                <w:rFonts w:ascii="Times New Roman" w:hAnsi="Times New Roman"/>
                <w:color w:val="000000" w:themeColor="text1"/>
                <w:sz w:val="24"/>
                <w:szCs w:val="24"/>
                <w:lang w:val="lv-LV"/>
              </w:rPr>
              <w:t>ņām</w:t>
            </w:r>
            <w:r w:rsidR="002E5847" w:rsidRPr="008404B2">
              <w:rPr>
                <w:rFonts w:ascii="Times New Roman" w:hAnsi="Times New Roman"/>
                <w:color w:val="000000" w:themeColor="text1"/>
                <w:sz w:val="24"/>
                <w:szCs w:val="24"/>
                <w:lang w:val="lv-LV"/>
              </w:rPr>
              <w:t xml:space="preserve"> </w:t>
            </w:r>
            <w:r w:rsidR="00D565D0" w:rsidRPr="008404B2">
              <w:rPr>
                <w:rFonts w:ascii="Times New Roman" w:hAnsi="Times New Roman"/>
                <w:color w:val="000000" w:themeColor="text1"/>
                <w:sz w:val="24"/>
                <w:szCs w:val="24"/>
                <w:lang w:val="lv-LV"/>
              </w:rPr>
              <w:t>(</w:t>
            </w:r>
            <w:r w:rsidR="002B6FE1" w:rsidRPr="008404B2">
              <w:rPr>
                <w:rFonts w:ascii="Times New Roman" w:hAnsi="Times New Roman"/>
                <w:color w:val="000000" w:themeColor="text1"/>
                <w:sz w:val="24"/>
                <w:szCs w:val="24"/>
                <w:lang w:val="lv-LV"/>
              </w:rPr>
              <w:t xml:space="preserve">Noteikumu projekta </w:t>
            </w:r>
            <w:r w:rsidR="002F3CC9" w:rsidRPr="008404B2">
              <w:rPr>
                <w:rFonts w:ascii="Times New Roman" w:hAnsi="Times New Roman"/>
                <w:color w:val="000000" w:themeColor="text1"/>
                <w:sz w:val="24"/>
                <w:szCs w:val="24"/>
                <w:lang w:val="lv-LV"/>
              </w:rPr>
              <w:t>16. un</w:t>
            </w:r>
            <w:r w:rsidR="00072801" w:rsidRPr="008404B2">
              <w:rPr>
                <w:rFonts w:ascii="Times New Roman" w:hAnsi="Times New Roman"/>
                <w:color w:val="000000" w:themeColor="text1"/>
                <w:sz w:val="24"/>
                <w:szCs w:val="24"/>
                <w:lang w:val="lv-LV"/>
              </w:rPr>
              <w:t xml:space="preserve"> </w:t>
            </w:r>
            <w:r w:rsidR="002B6FE1" w:rsidRPr="008404B2">
              <w:rPr>
                <w:rFonts w:ascii="Times New Roman" w:hAnsi="Times New Roman"/>
                <w:color w:val="000000" w:themeColor="text1"/>
                <w:sz w:val="24"/>
                <w:szCs w:val="24"/>
                <w:lang w:val="lv-LV"/>
              </w:rPr>
              <w:t>1</w:t>
            </w:r>
            <w:r w:rsidR="00FC1379" w:rsidRPr="008404B2">
              <w:rPr>
                <w:rFonts w:ascii="Times New Roman" w:hAnsi="Times New Roman"/>
                <w:color w:val="000000" w:themeColor="text1"/>
                <w:sz w:val="24"/>
                <w:szCs w:val="24"/>
                <w:lang w:val="lv-LV"/>
              </w:rPr>
              <w:t>7</w:t>
            </w:r>
            <w:r w:rsidR="002F3CC9" w:rsidRPr="008404B2">
              <w:rPr>
                <w:rFonts w:ascii="Times New Roman" w:hAnsi="Times New Roman"/>
                <w:color w:val="000000" w:themeColor="text1"/>
                <w:sz w:val="24"/>
                <w:szCs w:val="24"/>
                <w:lang w:val="lv-LV"/>
              </w:rPr>
              <w:t>. punkts (</w:t>
            </w:r>
            <w:r w:rsidR="002B6FE1" w:rsidRPr="008404B2">
              <w:rPr>
                <w:rFonts w:ascii="Times New Roman" w:hAnsi="Times New Roman"/>
                <w:color w:val="000000" w:themeColor="text1"/>
                <w:sz w:val="24"/>
                <w:szCs w:val="24"/>
                <w:lang w:val="lv-LV"/>
              </w:rPr>
              <w:t xml:space="preserve">attiecībā uz </w:t>
            </w:r>
            <w:r w:rsidR="00D565D0" w:rsidRPr="008404B2">
              <w:rPr>
                <w:rFonts w:ascii="Times New Roman" w:hAnsi="Times New Roman"/>
                <w:color w:val="000000" w:themeColor="text1"/>
                <w:sz w:val="24"/>
                <w:szCs w:val="24"/>
                <w:lang w:val="lv-LV"/>
              </w:rPr>
              <w:t>86.1.5. </w:t>
            </w:r>
            <w:r w:rsidR="00E736A3" w:rsidRPr="008404B2">
              <w:rPr>
                <w:rFonts w:ascii="Times New Roman" w:hAnsi="Times New Roman"/>
                <w:color w:val="000000" w:themeColor="text1"/>
                <w:sz w:val="24"/>
                <w:szCs w:val="24"/>
                <w:lang w:val="lv-LV"/>
              </w:rPr>
              <w:t>un 86.1.7. </w:t>
            </w:r>
            <w:r w:rsidR="00D565D0" w:rsidRPr="008404B2">
              <w:rPr>
                <w:rFonts w:ascii="Times New Roman" w:hAnsi="Times New Roman"/>
                <w:color w:val="000000" w:themeColor="text1"/>
                <w:sz w:val="24"/>
                <w:szCs w:val="24"/>
                <w:lang w:val="lv-LV"/>
              </w:rPr>
              <w:t>apak</w:t>
            </w:r>
            <w:r w:rsidR="002B6FE1" w:rsidRPr="008404B2">
              <w:rPr>
                <w:rFonts w:ascii="Times New Roman" w:hAnsi="Times New Roman"/>
                <w:color w:val="000000" w:themeColor="text1"/>
                <w:sz w:val="24"/>
                <w:szCs w:val="24"/>
                <w:lang w:val="lv-LV"/>
              </w:rPr>
              <w:t>špunktu</w:t>
            </w:r>
            <w:r w:rsidR="002F3CC9" w:rsidRPr="008404B2">
              <w:rPr>
                <w:rFonts w:ascii="Times New Roman" w:hAnsi="Times New Roman"/>
                <w:color w:val="000000" w:themeColor="text1"/>
                <w:sz w:val="24"/>
                <w:szCs w:val="24"/>
                <w:lang w:val="lv-LV"/>
              </w:rPr>
              <w:t>)</w:t>
            </w:r>
            <w:r w:rsidR="00D565D0" w:rsidRPr="008404B2">
              <w:rPr>
                <w:rFonts w:ascii="Times New Roman" w:hAnsi="Times New Roman"/>
                <w:color w:val="000000" w:themeColor="text1"/>
                <w:sz w:val="24"/>
                <w:szCs w:val="24"/>
                <w:lang w:val="lv-LV"/>
              </w:rPr>
              <w:t>)</w:t>
            </w:r>
            <w:r w:rsidR="00CD6E10" w:rsidRPr="008404B2">
              <w:rPr>
                <w:rFonts w:ascii="Times New Roman" w:hAnsi="Times New Roman"/>
                <w:color w:val="000000" w:themeColor="text1"/>
                <w:sz w:val="24"/>
                <w:szCs w:val="24"/>
                <w:lang w:val="lv-LV"/>
              </w:rPr>
              <w:t>.</w:t>
            </w:r>
          </w:p>
          <w:p w:rsidR="002D1CD1" w:rsidRPr="008404B2" w:rsidRDefault="002D1CD1" w:rsidP="002D1CD1">
            <w:pPr>
              <w:pStyle w:val="NoSpacing"/>
              <w:jc w:val="both"/>
              <w:rPr>
                <w:color w:val="000000" w:themeColor="text1"/>
              </w:rPr>
            </w:pPr>
            <w:r w:rsidRPr="008404B2">
              <w:rPr>
                <w:color w:val="000000" w:themeColor="text1"/>
              </w:rPr>
              <w:t>Līdz ar to grozījums MK noteikumos Nr. 376 risina šo situāciju.</w:t>
            </w:r>
          </w:p>
          <w:p w:rsidR="00034E7D" w:rsidRPr="008404B2" w:rsidRDefault="00034E7D" w:rsidP="00CA1D65">
            <w:pPr>
              <w:pStyle w:val="Bezatstarpm1"/>
              <w:jc w:val="both"/>
              <w:rPr>
                <w:rFonts w:ascii="Times New Roman" w:hAnsi="Times New Roman"/>
                <w:bCs/>
                <w:color w:val="000000" w:themeColor="text1"/>
                <w:sz w:val="24"/>
                <w:szCs w:val="24"/>
                <w:lang w:val="lv-LV"/>
              </w:rPr>
            </w:pPr>
          </w:p>
          <w:p w:rsidR="00371680" w:rsidRPr="008404B2" w:rsidRDefault="007D376B" w:rsidP="004E3F71">
            <w:pPr>
              <w:pStyle w:val="Bezatstarpm1"/>
              <w:jc w:val="both"/>
              <w:rPr>
                <w:rFonts w:ascii="Times New Roman" w:hAnsi="Times New Roman"/>
                <w:bCs/>
                <w:i/>
                <w:color w:val="000000" w:themeColor="text1"/>
                <w:sz w:val="24"/>
                <w:szCs w:val="24"/>
                <w:lang w:val="lv-LV"/>
              </w:rPr>
            </w:pPr>
            <w:r w:rsidRPr="008404B2">
              <w:rPr>
                <w:rFonts w:ascii="Times New Roman" w:hAnsi="Times New Roman"/>
                <w:bCs/>
                <w:i/>
                <w:color w:val="000000" w:themeColor="text1"/>
                <w:sz w:val="24"/>
                <w:szCs w:val="24"/>
                <w:lang w:val="lv-LV"/>
              </w:rPr>
              <w:t>b) </w:t>
            </w:r>
            <w:r w:rsidR="003E5E43" w:rsidRPr="008404B2">
              <w:rPr>
                <w:rFonts w:ascii="Times New Roman" w:hAnsi="Times New Roman"/>
                <w:bCs/>
                <w:i/>
                <w:color w:val="000000" w:themeColor="text1"/>
                <w:sz w:val="24"/>
                <w:szCs w:val="24"/>
                <w:lang w:val="lv-LV"/>
              </w:rPr>
              <w:t>Notei</w:t>
            </w:r>
            <w:r w:rsidR="000E78E8" w:rsidRPr="008404B2">
              <w:rPr>
                <w:rFonts w:ascii="Times New Roman" w:hAnsi="Times New Roman"/>
                <w:bCs/>
                <w:i/>
                <w:color w:val="000000" w:themeColor="text1"/>
                <w:sz w:val="24"/>
                <w:szCs w:val="24"/>
                <w:lang w:val="lv-LV"/>
              </w:rPr>
              <w:t xml:space="preserve">kt </w:t>
            </w:r>
            <w:r w:rsidR="00C84D66" w:rsidRPr="008404B2">
              <w:rPr>
                <w:rFonts w:ascii="Times New Roman" w:hAnsi="Times New Roman"/>
                <w:i/>
                <w:color w:val="000000" w:themeColor="text1"/>
                <w:sz w:val="24"/>
                <w:szCs w:val="24"/>
                <w:lang w:val="lv-LV"/>
              </w:rPr>
              <w:t>primārās ekspertīzes laiku/dienas</w:t>
            </w:r>
            <w:r w:rsidR="00C84D66" w:rsidRPr="008404B2">
              <w:rPr>
                <w:rFonts w:ascii="Times New Roman" w:hAnsi="Times New Roman"/>
                <w:bCs/>
                <w:i/>
                <w:color w:val="000000" w:themeColor="text1"/>
                <w:sz w:val="24"/>
                <w:szCs w:val="24"/>
                <w:lang w:val="lv-LV"/>
              </w:rPr>
              <w:t xml:space="preserve"> </w:t>
            </w:r>
            <w:r w:rsidR="001F3983" w:rsidRPr="008404B2">
              <w:rPr>
                <w:rFonts w:ascii="Times New Roman" w:hAnsi="Times New Roman"/>
                <w:bCs/>
                <w:i/>
                <w:color w:val="000000" w:themeColor="text1"/>
                <w:sz w:val="24"/>
                <w:szCs w:val="24"/>
                <w:lang w:val="lv-LV"/>
              </w:rPr>
              <w:t xml:space="preserve">līdz </w:t>
            </w:r>
            <w:r w:rsidR="002703AC" w:rsidRPr="008404B2">
              <w:rPr>
                <w:rFonts w:ascii="Times New Roman" w:hAnsi="Times New Roman"/>
                <w:bCs/>
                <w:i/>
                <w:color w:val="000000" w:themeColor="text1"/>
                <w:sz w:val="24"/>
                <w:szCs w:val="24"/>
                <w:lang w:val="lv-LV"/>
              </w:rPr>
              <w:t>14 </w:t>
            </w:r>
            <w:r w:rsidR="001F3983" w:rsidRPr="008404B2">
              <w:rPr>
                <w:rFonts w:ascii="Times New Roman" w:hAnsi="Times New Roman"/>
                <w:bCs/>
                <w:i/>
                <w:color w:val="000000" w:themeColor="text1"/>
                <w:sz w:val="24"/>
                <w:szCs w:val="24"/>
                <w:lang w:val="lv-LV"/>
              </w:rPr>
              <w:t>dienām</w:t>
            </w:r>
            <w:r w:rsidR="002703AC" w:rsidRPr="008404B2">
              <w:rPr>
                <w:rFonts w:ascii="Times New Roman" w:hAnsi="Times New Roman"/>
                <w:bCs/>
                <w:i/>
                <w:color w:val="000000" w:themeColor="text1"/>
                <w:sz w:val="24"/>
                <w:szCs w:val="24"/>
                <w:lang w:val="lv-LV"/>
              </w:rPr>
              <w:t xml:space="preserve"> </w:t>
            </w:r>
            <w:proofErr w:type="spellStart"/>
            <w:r w:rsidR="000E78E8" w:rsidRPr="008404B2">
              <w:rPr>
                <w:rFonts w:ascii="Times New Roman" w:hAnsi="Times New Roman"/>
                <w:bCs/>
                <w:i/>
                <w:color w:val="000000" w:themeColor="text1"/>
                <w:sz w:val="24"/>
                <w:szCs w:val="24"/>
                <w:lang w:val="lv-LV"/>
              </w:rPr>
              <w:t>p</w:t>
            </w:r>
            <w:r w:rsidR="00CA1D65" w:rsidRPr="008404B2">
              <w:rPr>
                <w:rFonts w:ascii="Times New Roman" w:hAnsi="Times New Roman"/>
                <w:bCs/>
                <w:i/>
                <w:color w:val="000000" w:themeColor="text1"/>
                <w:sz w:val="24"/>
                <w:szCs w:val="24"/>
                <w:lang w:val="lv-LV"/>
              </w:rPr>
              <w:t>ārreģistrācij</w:t>
            </w:r>
            <w:r w:rsidR="002703AC" w:rsidRPr="008404B2">
              <w:rPr>
                <w:rFonts w:ascii="Times New Roman" w:hAnsi="Times New Roman"/>
                <w:bCs/>
                <w:i/>
                <w:color w:val="000000" w:themeColor="text1"/>
                <w:sz w:val="24"/>
                <w:szCs w:val="24"/>
                <w:lang w:val="lv-LV"/>
              </w:rPr>
              <w:t>as</w:t>
            </w:r>
            <w:proofErr w:type="spellEnd"/>
            <w:r w:rsidR="002703AC" w:rsidRPr="008404B2">
              <w:rPr>
                <w:rFonts w:ascii="Times New Roman" w:hAnsi="Times New Roman"/>
                <w:bCs/>
                <w:i/>
                <w:color w:val="000000" w:themeColor="text1"/>
                <w:sz w:val="24"/>
                <w:szCs w:val="24"/>
                <w:lang w:val="lv-LV"/>
              </w:rPr>
              <w:t xml:space="preserve"> iesnieguma izskatīšanā</w:t>
            </w:r>
            <w:r w:rsidR="009A06C4" w:rsidRPr="008404B2">
              <w:rPr>
                <w:rFonts w:ascii="Times New Roman" w:hAnsi="Times New Roman"/>
                <w:bCs/>
                <w:i/>
                <w:color w:val="000000" w:themeColor="text1"/>
                <w:sz w:val="24"/>
                <w:szCs w:val="24"/>
                <w:lang w:val="lv-LV"/>
              </w:rPr>
              <w:t xml:space="preserve"> </w:t>
            </w:r>
            <w:r w:rsidRPr="008404B2">
              <w:rPr>
                <w:rFonts w:ascii="Times New Roman" w:hAnsi="Times New Roman"/>
                <w:bCs/>
                <w:i/>
                <w:color w:val="000000" w:themeColor="text1"/>
                <w:sz w:val="24"/>
                <w:szCs w:val="24"/>
                <w:lang w:val="lv-LV"/>
              </w:rPr>
              <w:t>pašreizējo 10 </w:t>
            </w:r>
            <w:r w:rsidR="00CA1D65" w:rsidRPr="008404B2">
              <w:rPr>
                <w:rFonts w:ascii="Times New Roman" w:hAnsi="Times New Roman"/>
                <w:bCs/>
                <w:i/>
                <w:color w:val="000000" w:themeColor="text1"/>
                <w:sz w:val="24"/>
                <w:szCs w:val="24"/>
                <w:lang w:val="lv-LV"/>
              </w:rPr>
              <w:t>dienu vietā.</w:t>
            </w:r>
          </w:p>
          <w:p w:rsidR="002703AC" w:rsidRPr="008404B2" w:rsidRDefault="002703AC" w:rsidP="00DB1D69">
            <w:pPr>
              <w:pStyle w:val="NoSpacing"/>
              <w:jc w:val="both"/>
              <w:rPr>
                <w:i/>
                <w:color w:val="000000" w:themeColor="text1"/>
              </w:rPr>
            </w:pPr>
          </w:p>
          <w:p w:rsidR="00034E7D" w:rsidRPr="008404B2" w:rsidRDefault="00034E7D" w:rsidP="00F17E56">
            <w:pPr>
              <w:pStyle w:val="NoSpacing"/>
              <w:jc w:val="both"/>
              <w:rPr>
                <w:color w:val="000000" w:themeColor="text1"/>
              </w:rPr>
            </w:pPr>
            <w:r w:rsidRPr="008404B2">
              <w:rPr>
                <w:color w:val="000000" w:themeColor="text1"/>
              </w:rPr>
              <w:t>R</w:t>
            </w:r>
            <w:r w:rsidR="007D376B" w:rsidRPr="008404B2">
              <w:rPr>
                <w:color w:val="000000" w:themeColor="text1"/>
              </w:rPr>
              <w:t>egulējums MK noteikumos Nr. </w:t>
            </w:r>
            <w:r w:rsidRPr="008404B2">
              <w:rPr>
                <w:color w:val="000000" w:themeColor="text1"/>
              </w:rPr>
              <w:t>376 (86.1.3.</w:t>
            </w:r>
            <w:r w:rsidR="007D376B" w:rsidRPr="008404B2">
              <w:rPr>
                <w:color w:val="000000" w:themeColor="text1"/>
              </w:rPr>
              <w:t> apakšpunkts) nosaka 10 </w:t>
            </w:r>
            <w:r w:rsidRPr="008404B2">
              <w:rPr>
                <w:bCs/>
                <w:color w:val="000000" w:themeColor="text1"/>
              </w:rPr>
              <w:t>dienu ilgu primārās ekspertīzes laiku</w:t>
            </w:r>
            <w:r w:rsidR="000E78E8" w:rsidRPr="008404B2">
              <w:rPr>
                <w:bCs/>
                <w:color w:val="000000" w:themeColor="text1"/>
              </w:rPr>
              <w:t xml:space="preserve"> </w:t>
            </w:r>
            <w:r w:rsidR="009527F4" w:rsidRPr="008404B2">
              <w:rPr>
                <w:color w:val="000000" w:themeColor="text1"/>
              </w:rPr>
              <w:t xml:space="preserve">zāļu </w:t>
            </w:r>
            <w:proofErr w:type="spellStart"/>
            <w:r w:rsidR="009527F4" w:rsidRPr="008404B2">
              <w:rPr>
                <w:color w:val="000000" w:themeColor="text1"/>
              </w:rPr>
              <w:t>pārreģistrācijas</w:t>
            </w:r>
            <w:proofErr w:type="spellEnd"/>
            <w:r w:rsidR="009527F4" w:rsidRPr="008404B2">
              <w:rPr>
                <w:color w:val="000000" w:themeColor="text1"/>
              </w:rPr>
              <w:t xml:space="preserve"> </w:t>
            </w:r>
            <w:r w:rsidR="000E78E8" w:rsidRPr="008404B2">
              <w:rPr>
                <w:bCs/>
                <w:color w:val="000000" w:themeColor="text1"/>
              </w:rPr>
              <w:t>iesnieguma izskatīšanai</w:t>
            </w:r>
            <w:r w:rsidR="00FF519F" w:rsidRPr="008404B2">
              <w:rPr>
                <w:bCs/>
                <w:color w:val="000000" w:themeColor="text1"/>
              </w:rPr>
              <w:t>, kas atšķiras no</w:t>
            </w:r>
            <w:r w:rsidR="0064761B" w:rsidRPr="008404B2">
              <w:rPr>
                <w:bCs/>
                <w:color w:val="000000" w:themeColor="text1"/>
              </w:rPr>
              <w:t xml:space="preserve"> </w:t>
            </w:r>
            <w:r w:rsidR="0064761B" w:rsidRPr="008404B2">
              <w:rPr>
                <w:i/>
                <w:color w:val="000000" w:themeColor="text1"/>
              </w:rPr>
              <w:t>MRP un DC Koordinācijas darba grupa</w:t>
            </w:r>
            <w:r w:rsidR="009E1C67" w:rsidRPr="008404B2">
              <w:rPr>
                <w:i/>
                <w:color w:val="000000" w:themeColor="text1"/>
              </w:rPr>
              <w:t xml:space="preserve"> (</w:t>
            </w:r>
            <w:proofErr w:type="spellStart"/>
            <w:r w:rsidR="009E1C67" w:rsidRPr="008404B2">
              <w:rPr>
                <w:i/>
                <w:color w:val="000000" w:themeColor="text1"/>
              </w:rPr>
              <w:t>CMDh</w:t>
            </w:r>
            <w:proofErr w:type="spellEnd"/>
            <w:r w:rsidR="009E1C67" w:rsidRPr="008404B2">
              <w:rPr>
                <w:i/>
                <w:color w:val="000000" w:themeColor="text1"/>
              </w:rPr>
              <w:t xml:space="preserve">) </w:t>
            </w:r>
            <w:r w:rsidR="00FF519F" w:rsidRPr="008404B2">
              <w:rPr>
                <w:i/>
                <w:color w:val="000000" w:themeColor="text1"/>
              </w:rPr>
              <w:t xml:space="preserve">nolemtā. </w:t>
            </w:r>
            <w:r w:rsidR="0064761B" w:rsidRPr="008404B2">
              <w:rPr>
                <w:i/>
                <w:color w:val="000000" w:themeColor="text1"/>
              </w:rPr>
              <w:t xml:space="preserve"> </w:t>
            </w:r>
            <w:r w:rsidR="00FF519F" w:rsidRPr="008404B2">
              <w:rPr>
                <w:i/>
                <w:color w:val="000000" w:themeColor="text1"/>
              </w:rPr>
              <w:t xml:space="preserve">MRP un DC Koordinācijas darba grupa </w:t>
            </w:r>
            <w:r w:rsidR="0064761B" w:rsidRPr="008404B2">
              <w:rPr>
                <w:color w:val="000000" w:themeColor="text1"/>
              </w:rPr>
              <w:t>ir vienojusies</w:t>
            </w:r>
            <w:r w:rsidR="005A6C3C" w:rsidRPr="008404B2">
              <w:rPr>
                <w:color w:val="000000" w:themeColor="text1"/>
              </w:rPr>
              <w:t xml:space="preserve"> </w:t>
            </w:r>
            <w:r w:rsidR="00CA1D65" w:rsidRPr="008404B2">
              <w:rPr>
                <w:color w:val="000000" w:themeColor="text1"/>
              </w:rPr>
              <w:t xml:space="preserve">par </w:t>
            </w:r>
            <w:r w:rsidR="005A6C3C" w:rsidRPr="008404B2">
              <w:rPr>
                <w:color w:val="000000" w:themeColor="text1"/>
              </w:rPr>
              <w:t xml:space="preserve">vienotu </w:t>
            </w:r>
            <w:r w:rsidR="007D376B" w:rsidRPr="008404B2">
              <w:rPr>
                <w:color w:val="000000" w:themeColor="text1"/>
              </w:rPr>
              <w:t>14 </w:t>
            </w:r>
            <w:r w:rsidR="009A06C4" w:rsidRPr="008404B2">
              <w:rPr>
                <w:color w:val="000000" w:themeColor="text1"/>
              </w:rPr>
              <w:t xml:space="preserve">dienu laiku </w:t>
            </w:r>
            <w:r w:rsidR="007177C5" w:rsidRPr="008404B2">
              <w:rPr>
                <w:color w:val="000000" w:themeColor="text1"/>
              </w:rPr>
              <w:t>primārai ekspertīzei</w:t>
            </w:r>
            <w:r w:rsidR="00D402DA" w:rsidRPr="008404B2">
              <w:rPr>
                <w:color w:val="000000" w:themeColor="text1"/>
              </w:rPr>
              <w:t>, apstiprinot i</w:t>
            </w:r>
            <w:r w:rsidR="009A06C4" w:rsidRPr="008404B2">
              <w:rPr>
                <w:color w:val="000000" w:themeColor="text1"/>
              </w:rPr>
              <w:t>esnieguma derīgum</w:t>
            </w:r>
            <w:r w:rsidR="00D402DA" w:rsidRPr="008404B2">
              <w:rPr>
                <w:color w:val="000000" w:themeColor="text1"/>
              </w:rPr>
              <w:t>u</w:t>
            </w:r>
            <w:r w:rsidR="0064761B" w:rsidRPr="008404B2">
              <w:rPr>
                <w:color w:val="000000" w:themeColor="text1"/>
              </w:rPr>
              <w:t xml:space="preserve"> </w:t>
            </w:r>
            <w:r w:rsidR="00FF519F" w:rsidRPr="008404B2">
              <w:rPr>
                <w:color w:val="000000" w:themeColor="text1"/>
              </w:rPr>
              <w:t xml:space="preserve">MRP un DC procedūrā reģistrētām zālēm </w:t>
            </w:r>
            <w:r w:rsidR="0064761B" w:rsidRPr="008404B2">
              <w:rPr>
                <w:color w:val="000000" w:themeColor="text1"/>
              </w:rPr>
              <w:t>(</w:t>
            </w:r>
            <w:hyperlink r:id="rId11" w:history="1">
              <w:r w:rsidR="00CA7E00" w:rsidRPr="008404B2">
                <w:rPr>
                  <w:rStyle w:val="Hyperlink"/>
                  <w:color w:val="000000" w:themeColor="text1"/>
                  <w:u w:val="none"/>
                </w:rPr>
                <w:t>http://www.hma.eu/fileadmin/dateien/Human_Medicines/CMD_h_/procedural_guidance/Variations/CMDh_295_2013_Rev22_2016_07_-_Chapter_5_tracked.pdf</w:t>
              </w:r>
            </w:hyperlink>
            <w:r w:rsidR="00D402DA" w:rsidRPr="008404B2">
              <w:rPr>
                <w:color w:val="000000" w:themeColor="text1"/>
              </w:rPr>
              <w:t>.</w:t>
            </w:r>
            <w:r w:rsidR="00841B43" w:rsidRPr="008404B2">
              <w:rPr>
                <w:color w:val="000000" w:themeColor="text1"/>
              </w:rPr>
              <w:t>)</w:t>
            </w:r>
            <w:r w:rsidR="00FF519F" w:rsidRPr="008404B2">
              <w:rPr>
                <w:color w:val="000000" w:themeColor="text1"/>
              </w:rPr>
              <w:t xml:space="preserve">, un vienotas pieejas nodrošināšanai tas būtu attiecināms arī uz zāļu </w:t>
            </w:r>
            <w:proofErr w:type="spellStart"/>
            <w:r w:rsidR="00FF519F" w:rsidRPr="008404B2">
              <w:rPr>
                <w:color w:val="000000" w:themeColor="text1"/>
              </w:rPr>
              <w:t>pārreģistrācijas</w:t>
            </w:r>
            <w:proofErr w:type="spellEnd"/>
            <w:r w:rsidR="00FF519F" w:rsidRPr="008404B2">
              <w:rPr>
                <w:color w:val="000000" w:themeColor="text1"/>
              </w:rPr>
              <w:t xml:space="preserve"> iesnieguma izskatīšanu nacionālā reģistrācijas procedūrā reģistrētajām zālēm. </w:t>
            </w:r>
            <w:r w:rsidR="00CA7E00" w:rsidRPr="008404B2">
              <w:rPr>
                <w:color w:val="000000" w:themeColor="text1"/>
              </w:rPr>
              <w:t xml:space="preserve"> </w:t>
            </w:r>
          </w:p>
          <w:p w:rsidR="00562E42" w:rsidRPr="008404B2" w:rsidRDefault="00CB6F2F" w:rsidP="00CA1D65">
            <w:pPr>
              <w:pStyle w:val="NoSpacing"/>
              <w:jc w:val="both"/>
              <w:rPr>
                <w:color w:val="000000" w:themeColor="text1"/>
              </w:rPr>
            </w:pPr>
            <w:r w:rsidRPr="008404B2">
              <w:rPr>
                <w:bCs/>
                <w:color w:val="000000" w:themeColor="text1"/>
              </w:rPr>
              <w:lastRenderedPageBreak/>
              <w:t>Lai harmonizētu prasības ar citām dalībvalstīm</w:t>
            </w:r>
            <w:r w:rsidR="00FF519F" w:rsidRPr="008404B2">
              <w:rPr>
                <w:bCs/>
                <w:color w:val="000000" w:themeColor="text1"/>
              </w:rPr>
              <w:t>,</w:t>
            </w:r>
            <w:r w:rsidRPr="008404B2">
              <w:rPr>
                <w:bCs/>
                <w:color w:val="000000" w:themeColor="text1"/>
              </w:rPr>
              <w:t xml:space="preserve"> </w:t>
            </w:r>
            <w:r w:rsidR="00FF519F" w:rsidRPr="008404B2">
              <w:rPr>
                <w:bCs/>
                <w:color w:val="000000" w:themeColor="text1"/>
              </w:rPr>
              <w:t>regulējumā</w:t>
            </w:r>
            <w:r w:rsidR="007D376B" w:rsidRPr="008404B2">
              <w:rPr>
                <w:bCs/>
                <w:color w:val="000000" w:themeColor="text1"/>
              </w:rPr>
              <w:t xml:space="preserve"> MK noteikumos Nr. </w:t>
            </w:r>
            <w:r w:rsidR="00CA1D65" w:rsidRPr="008404B2">
              <w:rPr>
                <w:bCs/>
                <w:color w:val="000000" w:themeColor="text1"/>
              </w:rPr>
              <w:t>376</w:t>
            </w:r>
            <w:r w:rsidR="004F230E" w:rsidRPr="008404B2">
              <w:rPr>
                <w:bCs/>
                <w:color w:val="000000" w:themeColor="text1"/>
              </w:rPr>
              <w:t xml:space="preserve"> (86. punkts)</w:t>
            </w:r>
            <w:r w:rsidR="00FF519F" w:rsidRPr="008404B2">
              <w:rPr>
                <w:color w:val="000000" w:themeColor="text1"/>
              </w:rPr>
              <w:t xml:space="preserve"> tiek konkretizēts primārās ekspertīzes laiks </w:t>
            </w:r>
            <w:proofErr w:type="spellStart"/>
            <w:r w:rsidR="00FF519F" w:rsidRPr="008404B2">
              <w:rPr>
                <w:bCs/>
                <w:color w:val="000000" w:themeColor="text1"/>
              </w:rPr>
              <w:t>pārreģistrācijas</w:t>
            </w:r>
            <w:proofErr w:type="spellEnd"/>
            <w:r w:rsidR="00FF519F" w:rsidRPr="008404B2">
              <w:rPr>
                <w:bCs/>
                <w:color w:val="000000" w:themeColor="text1"/>
              </w:rPr>
              <w:t xml:space="preserve"> iesnieguma izskatīšanā</w:t>
            </w:r>
            <w:r w:rsidR="00FF519F" w:rsidRPr="008404B2">
              <w:rPr>
                <w:b/>
                <w:bCs/>
                <w:i/>
                <w:color w:val="000000" w:themeColor="text1"/>
              </w:rPr>
              <w:t xml:space="preserve"> </w:t>
            </w:r>
            <w:r w:rsidR="000E78E8" w:rsidRPr="008404B2">
              <w:rPr>
                <w:color w:val="000000" w:themeColor="text1"/>
              </w:rPr>
              <w:t>(Noteikumu projekta</w:t>
            </w:r>
            <w:r w:rsidR="00072801" w:rsidRPr="008404B2">
              <w:rPr>
                <w:color w:val="000000" w:themeColor="text1"/>
              </w:rPr>
              <w:t xml:space="preserve">  </w:t>
            </w:r>
            <w:r w:rsidR="000E78E8" w:rsidRPr="008404B2">
              <w:rPr>
                <w:color w:val="000000" w:themeColor="text1"/>
              </w:rPr>
              <w:t>1</w:t>
            </w:r>
            <w:r w:rsidR="002052EF" w:rsidRPr="008404B2">
              <w:rPr>
                <w:color w:val="000000" w:themeColor="text1"/>
              </w:rPr>
              <w:t>7</w:t>
            </w:r>
            <w:r w:rsidR="000E78E8" w:rsidRPr="008404B2">
              <w:rPr>
                <w:color w:val="000000" w:themeColor="text1"/>
              </w:rPr>
              <w:t>. punkts</w:t>
            </w:r>
            <w:r w:rsidR="0067496F" w:rsidRPr="008404B2">
              <w:rPr>
                <w:color w:val="000000" w:themeColor="text1"/>
              </w:rPr>
              <w:t> </w:t>
            </w:r>
            <w:r w:rsidR="00434181" w:rsidRPr="008404B2">
              <w:rPr>
                <w:color w:val="000000" w:themeColor="text1"/>
              </w:rPr>
              <w:t>(</w:t>
            </w:r>
            <w:r w:rsidR="0067496F" w:rsidRPr="008404B2">
              <w:rPr>
                <w:color w:val="000000" w:themeColor="text1"/>
              </w:rPr>
              <w:t>at</w:t>
            </w:r>
            <w:r w:rsidR="005D7331" w:rsidRPr="008404B2">
              <w:rPr>
                <w:color w:val="000000" w:themeColor="text1"/>
              </w:rPr>
              <w:t xml:space="preserve">tiecībā uz MK noteikumu Nr. 376 </w:t>
            </w:r>
            <w:r w:rsidR="00FF519F" w:rsidRPr="008404B2">
              <w:rPr>
                <w:color w:val="000000" w:themeColor="text1"/>
              </w:rPr>
              <w:t xml:space="preserve">86.1.2. un </w:t>
            </w:r>
            <w:r w:rsidR="0067496F" w:rsidRPr="008404B2">
              <w:rPr>
                <w:color w:val="000000" w:themeColor="text1"/>
              </w:rPr>
              <w:t>86.1.3. apakšpunktu)</w:t>
            </w:r>
            <w:r w:rsidR="00434181" w:rsidRPr="008404B2">
              <w:rPr>
                <w:color w:val="000000" w:themeColor="text1"/>
              </w:rPr>
              <w:t>)</w:t>
            </w:r>
            <w:r w:rsidR="00FF519F" w:rsidRPr="008404B2">
              <w:rPr>
                <w:color w:val="000000" w:themeColor="text1"/>
              </w:rPr>
              <w:t xml:space="preserve">. </w:t>
            </w:r>
          </w:p>
          <w:p w:rsidR="007A7870" w:rsidRPr="008404B2" w:rsidRDefault="00434181" w:rsidP="00CA1D65">
            <w:pPr>
              <w:pStyle w:val="NoSpacing"/>
              <w:jc w:val="both"/>
              <w:rPr>
                <w:color w:val="000000" w:themeColor="text1"/>
              </w:rPr>
            </w:pPr>
            <w:r w:rsidRPr="008404B2">
              <w:rPr>
                <w:color w:val="000000" w:themeColor="text1"/>
              </w:rPr>
              <w:t>Līdz ar to g</w:t>
            </w:r>
            <w:r w:rsidR="00FF519F" w:rsidRPr="008404B2">
              <w:rPr>
                <w:color w:val="000000" w:themeColor="text1"/>
              </w:rPr>
              <w:t>rozījums MK noteikumos Nr. 376 risina šo situāciju.</w:t>
            </w:r>
          </w:p>
          <w:p w:rsidR="00FF519F" w:rsidRPr="008404B2" w:rsidRDefault="00FF519F" w:rsidP="00CA1D65">
            <w:pPr>
              <w:pStyle w:val="NoSpacing"/>
              <w:jc w:val="both"/>
              <w:rPr>
                <w:b/>
                <w:i/>
                <w:color w:val="000000" w:themeColor="text1"/>
              </w:rPr>
            </w:pPr>
          </w:p>
          <w:p w:rsidR="007A7870" w:rsidRPr="008404B2" w:rsidRDefault="00034E7D" w:rsidP="00DB1D69">
            <w:pPr>
              <w:pStyle w:val="NoSpacing"/>
              <w:jc w:val="both"/>
              <w:rPr>
                <w:i/>
                <w:color w:val="000000" w:themeColor="text1"/>
              </w:rPr>
            </w:pPr>
            <w:r w:rsidRPr="008404B2">
              <w:rPr>
                <w:i/>
                <w:color w:val="000000" w:themeColor="text1"/>
              </w:rPr>
              <w:t>c) </w:t>
            </w:r>
            <w:r w:rsidR="009A06C4" w:rsidRPr="008404B2">
              <w:rPr>
                <w:i/>
                <w:color w:val="000000" w:themeColor="text1"/>
              </w:rPr>
              <w:t>Samazināt</w:t>
            </w:r>
            <w:r w:rsidR="00CA1D65" w:rsidRPr="008404B2">
              <w:rPr>
                <w:i/>
                <w:color w:val="000000" w:themeColor="text1"/>
              </w:rPr>
              <w:t xml:space="preserve"> </w:t>
            </w:r>
            <w:r w:rsidR="00670BD3" w:rsidRPr="008404B2">
              <w:rPr>
                <w:bCs/>
                <w:i/>
                <w:color w:val="000000" w:themeColor="text1"/>
              </w:rPr>
              <w:t>primārā</w:t>
            </w:r>
            <w:r w:rsidR="00126BED" w:rsidRPr="008404B2">
              <w:rPr>
                <w:bCs/>
                <w:i/>
                <w:color w:val="000000" w:themeColor="text1"/>
              </w:rPr>
              <w:t>s</w:t>
            </w:r>
            <w:r w:rsidR="00670BD3" w:rsidRPr="008404B2">
              <w:rPr>
                <w:bCs/>
                <w:i/>
                <w:color w:val="000000" w:themeColor="text1"/>
              </w:rPr>
              <w:t xml:space="preserve"> ekspertīzes laiku </w:t>
            </w:r>
            <w:r w:rsidR="00CA1D65" w:rsidRPr="008404B2">
              <w:rPr>
                <w:i/>
                <w:color w:val="000000" w:themeColor="text1"/>
              </w:rPr>
              <w:t xml:space="preserve">zāļu reģistrācijas iesnieguma </w:t>
            </w:r>
            <w:r w:rsidR="001F3983" w:rsidRPr="008404B2">
              <w:rPr>
                <w:bCs/>
                <w:i/>
                <w:color w:val="000000" w:themeColor="text1"/>
              </w:rPr>
              <w:t>izskatīšanā</w:t>
            </w:r>
            <w:r w:rsidR="009A06C4" w:rsidRPr="008404B2">
              <w:rPr>
                <w:bCs/>
                <w:i/>
                <w:color w:val="000000" w:themeColor="text1"/>
              </w:rPr>
              <w:t xml:space="preserve"> </w:t>
            </w:r>
            <w:r w:rsidR="001F3983" w:rsidRPr="008404B2">
              <w:rPr>
                <w:i/>
                <w:color w:val="000000" w:themeColor="text1"/>
              </w:rPr>
              <w:t>MRP</w:t>
            </w:r>
            <w:r w:rsidR="00CA1D65" w:rsidRPr="008404B2">
              <w:rPr>
                <w:i/>
                <w:color w:val="000000" w:themeColor="text1"/>
              </w:rPr>
              <w:t xml:space="preserve"> un </w:t>
            </w:r>
            <w:r w:rsidR="001F3983" w:rsidRPr="008404B2">
              <w:rPr>
                <w:i/>
                <w:color w:val="000000" w:themeColor="text1"/>
              </w:rPr>
              <w:t>DC reģistrētajām</w:t>
            </w:r>
            <w:r w:rsidR="007D376B" w:rsidRPr="008404B2">
              <w:rPr>
                <w:i/>
                <w:color w:val="000000" w:themeColor="text1"/>
              </w:rPr>
              <w:t xml:space="preserve"> zālēm līdz 14 </w:t>
            </w:r>
            <w:r w:rsidR="00755601" w:rsidRPr="008404B2">
              <w:rPr>
                <w:i/>
                <w:color w:val="000000" w:themeColor="text1"/>
              </w:rPr>
              <w:t>dienām</w:t>
            </w:r>
            <w:r w:rsidR="00CA1D65" w:rsidRPr="008404B2">
              <w:rPr>
                <w:i/>
                <w:color w:val="000000" w:themeColor="text1"/>
              </w:rPr>
              <w:t xml:space="preserve"> pēc atsauces valsts paziņojuma par primārās ekspertīzes uzsā</w:t>
            </w:r>
            <w:r w:rsidR="00755601" w:rsidRPr="008404B2">
              <w:rPr>
                <w:i/>
                <w:color w:val="000000" w:themeColor="text1"/>
              </w:rPr>
              <w:t>kšanu saņemšanas</w:t>
            </w:r>
            <w:r w:rsidR="007D376B" w:rsidRPr="008404B2">
              <w:rPr>
                <w:i/>
                <w:color w:val="000000" w:themeColor="text1"/>
              </w:rPr>
              <w:t xml:space="preserve"> līdzšinējo 30 </w:t>
            </w:r>
            <w:r w:rsidR="00CA1D65" w:rsidRPr="008404B2">
              <w:rPr>
                <w:i/>
                <w:color w:val="000000" w:themeColor="text1"/>
              </w:rPr>
              <w:t>dienu vie</w:t>
            </w:r>
            <w:r w:rsidR="007D376B" w:rsidRPr="008404B2">
              <w:rPr>
                <w:i/>
                <w:color w:val="000000" w:themeColor="text1"/>
              </w:rPr>
              <w:t>tā.</w:t>
            </w:r>
          </w:p>
          <w:p w:rsidR="00434181" w:rsidRPr="008404B2" w:rsidRDefault="00434181" w:rsidP="007112F1">
            <w:pPr>
              <w:pStyle w:val="NoSpacing"/>
              <w:jc w:val="both"/>
              <w:rPr>
                <w:color w:val="000000" w:themeColor="text1"/>
              </w:rPr>
            </w:pPr>
          </w:p>
          <w:p w:rsidR="005204AF" w:rsidRPr="008404B2" w:rsidRDefault="009A06C4" w:rsidP="007112F1">
            <w:pPr>
              <w:pStyle w:val="NoSpacing"/>
              <w:jc w:val="both"/>
              <w:rPr>
                <w:color w:val="000000" w:themeColor="text1"/>
              </w:rPr>
            </w:pPr>
            <w:r w:rsidRPr="008404B2">
              <w:rPr>
                <w:color w:val="000000" w:themeColor="text1"/>
              </w:rPr>
              <w:t>R</w:t>
            </w:r>
            <w:r w:rsidR="007D376B" w:rsidRPr="008404B2">
              <w:rPr>
                <w:color w:val="000000" w:themeColor="text1"/>
              </w:rPr>
              <w:t>egulējums MK noteikumos Nr. </w:t>
            </w:r>
            <w:r w:rsidRPr="008404B2">
              <w:rPr>
                <w:color w:val="000000" w:themeColor="text1"/>
              </w:rPr>
              <w:t>376 (86.1.1.</w:t>
            </w:r>
            <w:r w:rsidR="007D376B" w:rsidRPr="008404B2">
              <w:rPr>
                <w:color w:val="000000" w:themeColor="text1"/>
              </w:rPr>
              <w:t> apakšpunkts) nosaka 30 </w:t>
            </w:r>
            <w:r w:rsidRPr="008404B2">
              <w:rPr>
                <w:bCs/>
                <w:color w:val="000000" w:themeColor="text1"/>
              </w:rPr>
              <w:t>dienu ilgu primārās ekspertīze</w:t>
            </w:r>
            <w:r w:rsidR="007575E4" w:rsidRPr="008404B2">
              <w:rPr>
                <w:bCs/>
                <w:color w:val="000000" w:themeColor="text1"/>
              </w:rPr>
              <w:t>s laiku</w:t>
            </w:r>
            <w:r w:rsidR="007A4B47" w:rsidRPr="008404B2">
              <w:rPr>
                <w:bCs/>
                <w:color w:val="000000" w:themeColor="text1"/>
              </w:rPr>
              <w:t xml:space="preserve"> </w:t>
            </w:r>
            <w:r w:rsidR="007A4B47" w:rsidRPr="008404B2">
              <w:rPr>
                <w:color w:val="000000" w:themeColor="text1"/>
              </w:rPr>
              <w:t>iesni</w:t>
            </w:r>
            <w:r w:rsidR="008D4944" w:rsidRPr="008404B2">
              <w:rPr>
                <w:color w:val="000000" w:themeColor="text1"/>
              </w:rPr>
              <w:t>eguma derīguma apstiprināšanai primārajā ekspertīzē</w:t>
            </w:r>
            <w:r w:rsidR="008425D4" w:rsidRPr="008404B2">
              <w:rPr>
                <w:color w:val="000000" w:themeColor="text1"/>
              </w:rPr>
              <w:t>. Savukārt</w:t>
            </w:r>
            <w:r w:rsidR="007112F1" w:rsidRPr="008404B2">
              <w:rPr>
                <w:color w:val="000000" w:themeColor="text1"/>
              </w:rPr>
              <w:t xml:space="preserve"> </w:t>
            </w:r>
            <w:r w:rsidR="008425D4" w:rsidRPr="008404B2">
              <w:rPr>
                <w:i/>
                <w:color w:val="000000" w:themeColor="text1"/>
              </w:rPr>
              <w:t>MRP un DC Koordinācijas darba grupa</w:t>
            </w:r>
            <w:r w:rsidR="00E34197" w:rsidRPr="008404B2">
              <w:rPr>
                <w:i/>
                <w:color w:val="000000" w:themeColor="text1"/>
              </w:rPr>
              <w:t xml:space="preserve"> (</w:t>
            </w:r>
            <w:proofErr w:type="spellStart"/>
            <w:r w:rsidR="00E34197" w:rsidRPr="008404B2">
              <w:rPr>
                <w:i/>
                <w:color w:val="000000" w:themeColor="text1"/>
              </w:rPr>
              <w:t>CMDh</w:t>
            </w:r>
            <w:proofErr w:type="spellEnd"/>
            <w:r w:rsidR="00E34197" w:rsidRPr="008404B2">
              <w:rPr>
                <w:i/>
                <w:color w:val="000000" w:themeColor="text1"/>
              </w:rPr>
              <w:t xml:space="preserve">) </w:t>
            </w:r>
            <w:r w:rsidR="008425D4" w:rsidRPr="008404B2">
              <w:rPr>
                <w:i/>
                <w:color w:val="000000" w:themeColor="text1"/>
              </w:rPr>
              <w:t xml:space="preserve"> </w:t>
            </w:r>
            <w:r w:rsidR="008425D4" w:rsidRPr="008404B2">
              <w:rPr>
                <w:color w:val="000000" w:themeColor="text1"/>
              </w:rPr>
              <w:t xml:space="preserve">ir vienojusies par vienotu </w:t>
            </w:r>
            <w:r w:rsidR="007112F1" w:rsidRPr="008404B2">
              <w:rPr>
                <w:color w:val="000000" w:themeColor="text1"/>
              </w:rPr>
              <w:t xml:space="preserve">14 dienu laiku primārajai ekspertīzei </w:t>
            </w:r>
            <w:r w:rsidR="008D4944" w:rsidRPr="008404B2">
              <w:rPr>
                <w:color w:val="000000" w:themeColor="text1"/>
              </w:rPr>
              <w:t>MRP</w:t>
            </w:r>
            <w:r w:rsidR="007A4B47" w:rsidRPr="008404B2">
              <w:rPr>
                <w:color w:val="000000" w:themeColor="text1"/>
              </w:rPr>
              <w:t xml:space="preserve"> un </w:t>
            </w:r>
            <w:r w:rsidR="008D4944" w:rsidRPr="008404B2">
              <w:rPr>
                <w:color w:val="000000" w:themeColor="text1"/>
              </w:rPr>
              <w:t>DC reģistrētajām</w:t>
            </w:r>
            <w:r w:rsidR="007A4B47" w:rsidRPr="008404B2">
              <w:rPr>
                <w:color w:val="000000" w:themeColor="text1"/>
              </w:rPr>
              <w:t xml:space="preserve"> zālēm</w:t>
            </w:r>
            <w:r w:rsidR="008425D4" w:rsidRPr="008404B2">
              <w:rPr>
                <w:color w:val="000000" w:themeColor="text1"/>
              </w:rPr>
              <w:t xml:space="preserve"> (http://www.hma.eu/fileadmin/dateien/Human_Medicines/CMD_h_/procedural_guidance/Application_for_MA/CMDh_068_1996_Rev10_2013_04_cl.pdf)</w:t>
            </w:r>
            <w:r w:rsidR="008D4944" w:rsidRPr="008404B2">
              <w:rPr>
                <w:color w:val="000000" w:themeColor="text1"/>
              </w:rPr>
              <w:t xml:space="preserve">. Iesaistītā dalībvalsts primāro ekspertīzi uzsāk </w:t>
            </w:r>
            <w:r w:rsidR="007112F1" w:rsidRPr="008404B2">
              <w:rPr>
                <w:bCs/>
                <w:color w:val="000000" w:themeColor="text1"/>
              </w:rPr>
              <w:t xml:space="preserve"> </w:t>
            </w:r>
            <w:r w:rsidR="007112F1" w:rsidRPr="008404B2">
              <w:rPr>
                <w:color w:val="000000" w:themeColor="text1"/>
              </w:rPr>
              <w:t xml:space="preserve">pēc atsauces valsts paziņojuma par </w:t>
            </w:r>
            <w:r w:rsidR="00B10C48" w:rsidRPr="008404B2">
              <w:rPr>
                <w:color w:val="000000" w:themeColor="text1"/>
              </w:rPr>
              <w:t>primārās ekspertīzes uzsākšanu.</w:t>
            </w:r>
          </w:p>
          <w:p w:rsidR="00562E42" w:rsidRPr="008404B2" w:rsidRDefault="00EC6964" w:rsidP="002D1CD1">
            <w:pPr>
              <w:pStyle w:val="NoSpacing"/>
              <w:jc w:val="both"/>
              <w:rPr>
                <w:color w:val="000000" w:themeColor="text1"/>
              </w:rPr>
            </w:pPr>
            <w:r w:rsidRPr="008404B2">
              <w:rPr>
                <w:bCs/>
                <w:color w:val="000000" w:themeColor="text1"/>
              </w:rPr>
              <w:t>Lai harmonizētu prasības ar citām dalībvalstīm, regulējumā</w:t>
            </w:r>
            <w:r w:rsidR="007112F1" w:rsidRPr="008404B2">
              <w:rPr>
                <w:bCs/>
                <w:color w:val="000000" w:themeColor="text1"/>
              </w:rPr>
              <w:t xml:space="preserve"> MK noteikumos Nr. 376 (86. punkts)</w:t>
            </w:r>
            <w:r w:rsidRPr="008404B2">
              <w:rPr>
                <w:bCs/>
                <w:color w:val="000000" w:themeColor="text1"/>
              </w:rPr>
              <w:t xml:space="preserve"> tiek konkretizēts primārās ekspertīzes laiks </w:t>
            </w:r>
            <w:r w:rsidRPr="008404B2">
              <w:rPr>
                <w:color w:val="000000" w:themeColor="text1"/>
              </w:rPr>
              <w:t xml:space="preserve">zāļu reģistrācijas iesnieguma </w:t>
            </w:r>
            <w:r w:rsidRPr="008404B2">
              <w:rPr>
                <w:bCs/>
                <w:color w:val="000000" w:themeColor="text1"/>
              </w:rPr>
              <w:t xml:space="preserve">izskatīšanā </w:t>
            </w:r>
            <w:r w:rsidRPr="008404B2">
              <w:rPr>
                <w:color w:val="000000" w:themeColor="text1"/>
              </w:rPr>
              <w:t>MRP un DC reģistrētajām zālēm</w:t>
            </w:r>
            <w:r w:rsidR="007112F1" w:rsidRPr="008404B2">
              <w:rPr>
                <w:bCs/>
                <w:color w:val="000000" w:themeColor="text1"/>
              </w:rPr>
              <w:t xml:space="preserve">. </w:t>
            </w:r>
            <w:r w:rsidR="003E5E43" w:rsidRPr="008404B2">
              <w:rPr>
                <w:color w:val="000000" w:themeColor="text1"/>
              </w:rPr>
              <w:t xml:space="preserve">Grozījums </w:t>
            </w:r>
            <w:r w:rsidR="00450210" w:rsidRPr="008404B2">
              <w:rPr>
                <w:color w:val="000000" w:themeColor="text1"/>
              </w:rPr>
              <w:t xml:space="preserve">MK noteikumos Nr. 376 </w:t>
            </w:r>
            <w:r w:rsidR="003E5E43" w:rsidRPr="008404B2">
              <w:rPr>
                <w:color w:val="000000" w:themeColor="text1"/>
              </w:rPr>
              <w:t xml:space="preserve">risina šo </w:t>
            </w:r>
            <w:proofErr w:type="spellStart"/>
            <w:r w:rsidR="003E5E43" w:rsidRPr="008404B2">
              <w:rPr>
                <w:color w:val="000000" w:themeColor="text1"/>
              </w:rPr>
              <w:t>problēmsituāciju</w:t>
            </w:r>
            <w:proofErr w:type="spellEnd"/>
            <w:r w:rsidR="003E5E43" w:rsidRPr="008404B2">
              <w:rPr>
                <w:color w:val="000000" w:themeColor="text1"/>
              </w:rPr>
              <w:t xml:space="preserve"> (Noteikumu projekta 1</w:t>
            </w:r>
            <w:r w:rsidR="002052EF" w:rsidRPr="008404B2">
              <w:rPr>
                <w:color w:val="000000" w:themeColor="text1"/>
              </w:rPr>
              <w:t>7</w:t>
            </w:r>
            <w:r w:rsidR="003E5E43" w:rsidRPr="008404B2">
              <w:rPr>
                <w:color w:val="000000" w:themeColor="text1"/>
              </w:rPr>
              <w:t>. punkts</w:t>
            </w:r>
            <w:r w:rsidR="007112F1" w:rsidRPr="008404B2">
              <w:rPr>
                <w:color w:val="000000" w:themeColor="text1"/>
              </w:rPr>
              <w:t> </w:t>
            </w:r>
            <w:r w:rsidRPr="008404B2">
              <w:rPr>
                <w:color w:val="000000" w:themeColor="text1"/>
              </w:rPr>
              <w:t>(</w:t>
            </w:r>
            <w:r w:rsidR="007112F1" w:rsidRPr="008404B2">
              <w:rPr>
                <w:color w:val="000000" w:themeColor="text1"/>
              </w:rPr>
              <w:t>attiecībā uz MK noteikumu Nr. 376 86.1.2. apakšpunktu</w:t>
            </w:r>
            <w:r w:rsidRPr="008404B2">
              <w:rPr>
                <w:color w:val="000000" w:themeColor="text1"/>
              </w:rPr>
              <w:t>))</w:t>
            </w:r>
            <w:r w:rsidR="003E5E43" w:rsidRPr="008404B2">
              <w:rPr>
                <w:color w:val="000000" w:themeColor="text1"/>
              </w:rPr>
              <w:t>.</w:t>
            </w:r>
            <w:r w:rsidR="00DA5985" w:rsidRPr="008404B2">
              <w:rPr>
                <w:color w:val="000000" w:themeColor="text1"/>
              </w:rPr>
              <w:t xml:space="preserve"> </w:t>
            </w:r>
          </w:p>
          <w:p w:rsidR="002D1CD1" w:rsidRPr="008404B2" w:rsidRDefault="002D1CD1" w:rsidP="002D1CD1">
            <w:pPr>
              <w:pStyle w:val="NoSpacing"/>
              <w:jc w:val="both"/>
              <w:rPr>
                <w:color w:val="000000" w:themeColor="text1"/>
              </w:rPr>
            </w:pPr>
            <w:r w:rsidRPr="008404B2">
              <w:rPr>
                <w:color w:val="000000" w:themeColor="text1"/>
              </w:rPr>
              <w:t>Līdz ar to grozījums MK noteikumos Nr. 376 risina šo situāciju.</w:t>
            </w:r>
          </w:p>
          <w:p w:rsidR="003D01ED" w:rsidRPr="008404B2" w:rsidRDefault="003D01ED" w:rsidP="00DB7A20">
            <w:pPr>
              <w:pStyle w:val="Bezatstarpm1"/>
              <w:jc w:val="both"/>
              <w:rPr>
                <w:rFonts w:ascii="Times New Roman" w:hAnsi="Times New Roman"/>
                <w:b/>
                <w:i/>
                <w:color w:val="000000" w:themeColor="text1"/>
                <w:sz w:val="24"/>
                <w:szCs w:val="24"/>
                <w:lang w:val="lv-LV"/>
              </w:rPr>
            </w:pPr>
          </w:p>
          <w:p w:rsidR="00EF35BE" w:rsidRPr="008404B2" w:rsidRDefault="004D785A" w:rsidP="004D785A">
            <w:pPr>
              <w:pStyle w:val="Bezatstarpm1"/>
              <w:jc w:val="both"/>
              <w:rPr>
                <w:rFonts w:ascii="Times New Roman" w:hAnsi="Times New Roman"/>
                <w:b/>
                <w:i/>
                <w:color w:val="000000" w:themeColor="text1"/>
                <w:sz w:val="24"/>
                <w:szCs w:val="24"/>
                <w:lang w:val="lv-LV"/>
              </w:rPr>
            </w:pPr>
            <w:r w:rsidRPr="008404B2">
              <w:rPr>
                <w:rFonts w:ascii="Times New Roman" w:hAnsi="Times New Roman"/>
                <w:b/>
                <w:i/>
                <w:color w:val="000000" w:themeColor="text1"/>
                <w:sz w:val="24"/>
                <w:szCs w:val="24"/>
                <w:lang w:val="lv-LV"/>
              </w:rPr>
              <w:t>4</w:t>
            </w:r>
            <w:r w:rsidR="00B76E20" w:rsidRPr="008404B2">
              <w:rPr>
                <w:rFonts w:ascii="Times New Roman" w:hAnsi="Times New Roman"/>
                <w:b/>
                <w:i/>
                <w:color w:val="000000" w:themeColor="text1"/>
                <w:sz w:val="24"/>
                <w:szCs w:val="24"/>
                <w:lang w:val="lv-LV"/>
              </w:rPr>
              <w:t>) </w:t>
            </w:r>
            <w:r w:rsidRPr="008404B2">
              <w:rPr>
                <w:rFonts w:ascii="Times New Roman" w:hAnsi="Times New Roman"/>
                <w:b/>
                <w:i/>
                <w:color w:val="000000" w:themeColor="text1"/>
                <w:sz w:val="24"/>
                <w:szCs w:val="24"/>
                <w:lang w:val="lv-LV"/>
              </w:rPr>
              <w:t>Konkretizēt prasības</w:t>
            </w:r>
            <w:r w:rsidR="00E31BD0" w:rsidRPr="008404B2">
              <w:rPr>
                <w:rFonts w:ascii="Times New Roman" w:hAnsi="Times New Roman"/>
                <w:b/>
                <w:i/>
                <w:color w:val="000000" w:themeColor="text1"/>
                <w:sz w:val="24"/>
                <w:szCs w:val="24"/>
                <w:lang w:val="lv-LV"/>
              </w:rPr>
              <w:t>, kādām jāatbilst zāļu aprakstā iekļautajai informācijai</w:t>
            </w:r>
          </w:p>
          <w:p w:rsidR="004D785A" w:rsidRPr="008404B2" w:rsidRDefault="004D785A" w:rsidP="00F30391">
            <w:pPr>
              <w:pStyle w:val="Bezatstarpm1"/>
              <w:jc w:val="both"/>
              <w:rPr>
                <w:rFonts w:ascii="Times New Roman" w:hAnsi="Times New Roman"/>
                <w:color w:val="000000" w:themeColor="text1"/>
                <w:sz w:val="24"/>
                <w:szCs w:val="24"/>
                <w:lang w:val="lv-LV"/>
              </w:rPr>
            </w:pPr>
            <w:r w:rsidRPr="008404B2">
              <w:rPr>
                <w:rFonts w:ascii="Times New Roman" w:hAnsi="Times New Roman"/>
                <w:bCs/>
                <w:color w:val="000000" w:themeColor="text1"/>
                <w:sz w:val="24"/>
                <w:szCs w:val="24"/>
                <w:lang w:val="lv-LV"/>
              </w:rPr>
              <w:t>R</w:t>
            </w:r>
            <w:r w:rsidR="00B76E20" w:rsidRPr="008404B2">
              <w:rPr>
                <w:rFonts w:ascii="Times New Roman" w:hAnsi="Times New Roman"/>
                <w:bCs/>
                <w:color w:val="000000" w:themeColor="text1"/>
                <w:sz w:val="24"/>
                <w:szCs w:val="24"/>
                <w:lang w:val="lv-LV"/>
              </w:rPr>
              <w:t xml:space="preserve">egulējums MK noteikumu Nr. 376 </w:t>
            </w:r>
            <w:r w:rsidRPr="008404B2">
              <w:rPr>
                <w:rFonts w:ascii="Times New Roman" w:hAnsi="Times New Roman"/>
                <w:bCs/>
                <w:color w:val="000000" w:themeColor="text1"/>
                <w:sz w:val="24"/>
                <w:szCs w:val="24"/>
                <w:lang w:val="lv-LV"/>
              </w:rPr>
              <w:t>89.2.</w:t>
            </w:r>
            <w:r w:rsidR="00755601" w:rsidRPr="008404B2">
              <w:rPr>
                <w:rFonts w:ascii="Times New Roman" w:hAnsi="Times New Roman"/>
                <w:bCs/>
                <w:color w:val="000000" w:themeColor="text1"/>
                <w:sz w:val="24"/>
                <w:szCs w:val="24"/>
                <w:lang w:val="lv-LV"/>
              </w:rPr>
              <w:t> </w:t>
            </w:r>
            <w:r w:rsidRPr="008404B2">
              <w:rPr>
                <w:rFonts w:ascii="Times New Roman" w:hAnsi="Times New Roman"/>
                <w:bCs/>
                <w:color w:val="000000" w:themeColor="text1"/>
                <w:sz w:val="24"/>
                <w:szCs w:val="24"/>
                <w:lang w:val="lv-LV"/>
              </w:rPr>
              <w:t xml:space="preserve">apakšpunktā </w:t>
            </w:r>
            <w:r w:rsidR="006E1CFB" w:rsidRPr="008404B2">
              <w:rPr>
                <w:rFonts w:ascii="Times New Roman" w:hAnsi="Times New Roman"/>
                <w:bCs/>
                <w:color w:val="000000" w:themeColor="text1"/>
                <w:sz w:val="24"/>
                <w:szCs w:val="24"/>
                <w:lang w:val="lv-LV"/>
              </w:rPr>
              <w:t xml:space="preserve">nosaka, kādām prasībām jāatbilst informācijai zāļu aprakstā, bet redakcija </w:t>
            </w:r>
            <w:r w:rsidRPr="008404B2">
              <w:rPr>
                <w:rFonts w:ascii="Times New Roman" w:hAnsi="Times New Roman"/>
                <w:bCs/>
                <w:color w:val="000000" w:themeColor="text1"/>
                <w:sz w:val="24"/>
                <w:szCs w:val="24"/>
                <w:lang w:val="lv-LV"/>
              </w:rPr>
              <w:t xml:space="preserve">nav </w:t>
            </w:r>
            <w:r w:rsidR="006E1CFB" w:rsidRPr="008404B2">
              <w:rPr>
                <w:rFonts w:ascii="Times New Roman" w:hAnsi="Times New Roman"/>
                <w:bCs/>
                <w:color w:val="000000" w:themeColor="text1"/>
                <w:sz w:val="24"/>
                <w:szCs w:val="24"/>
                <w:lang w:val="lv-LV"/>
              </w:rPr>
              <w:t>pietiekoši skaidra</w:t>
            </w:r>
            <w:r w:rsidRPr="008404B2">
              <w:rPr>
                <w:rFonts w:ascii="Times New Roman" w:hAnsi="Times New Roman"/>
                <w:color w:val="000000" w:themeColor="text1"/>
                <w:sz w:val="24"/>
                <w:szCs w:val="24"/>
                <w:lang w:val="lv-LV"/>
              </w:rPr>
              <w:t xml:space="preserve">. </w:t>
            </w:r>
            <w:r w:rsidR="006B52FD" w:rsidRPr="008404B2">
              <w:rPr>
                <w:rFonts w:ascii="Times New Roman" w:hAnsi="Times New Roman"/>
                <w:color w:val="000000" w:themeColor="text1"/>
                <w:sz w:val="24"/>
                <w:szCs w:val="24"/>
                <w:lang w:val="lv-LV"/>
              </w:rPr>
              <w:t xml:space="preserve">Prasības, kādām jāatbilst informācijai zāļu aprakstā regulē </w:t>
            </w:r>
            <w:r w:rsidR="003B0BFB" w:rsidRPr="008404B2">
              <w:rPr>
                <w:rFonts w:ascii="Times New Roman" w:hAnsi="Times New Roman"/>
                <w:color w:val="000000" w:themeColor="text1"/>
                <w:sz w:val="24"/>
                <w:szCs w:val="24"/>
                <w:lang w:val="lv-LV"/>
              </w:rPr>
              <w:t>konsolidētā</w:t>
            </w:r>
            <w:r w:rsidR="007112F1" w:rsidRPr="008404B2">
              <w:rPr>
                <w:rFonts w:ascii="Times New Roman" w:hAnsi="Times New Roman"/>
                <w:color w:val="000000" w:themeColor="text1"/>
                <w:sz w:val="24"/>
                <w:szCs w:val="24"/>
                <w:lang w:val="lv-LV"/>
              </w:rPr>
              <w:t>s</w:t>
            </w:r>
            <w:r w:rsidR="003B0BFB" w:rsidRPr="008404B2">
              <w:rPr>
                <w:rFonts w:ascii="Times New Roman" w:hAnsi="Times New Roman"/>
                <w:color w:val="000000" w:themeColor="text1"/>
                <w:sz w:val="24"/>
                <w:szCs w:val="24"/>
                <w:lang w:val="lv-LV"/>
              </w:rPr>
              <w:t xml:space="preserve"> </w:t>
            </w:r>
            <w:r w:rsidR="006B52FD" w:rsidRPr="008404B2">
              <w:rPr>
                <w:rFonts w:ascii="Times New Roman" w:hAnsi="Times New Roman"/>
                <w:color w:val="000000" w:themeColor="text1"/>
                <w:sz w:val="24"/>
                <w:szCs w:val="24"/>
                <w:shd w:val="clear" w:color="auto" w:fill="FFFFFF"/>
                <w:lang w:val="lv-LV"/>
              </w:rPr>
              <w:t>Eiropas Parlamenta un Padomes 2001. gada 6. novembra Direktīvas</w:t>
            </w:r>
            <w:r w:rsidR="006B52FD" w:rsidRPr="008404B2">
              <w:rPr>
                <w:rStyle w:val="apple-converted-space"/>
                <w:rFonts w:ascii="Times New Roman" w:hAnsi="Times New Roman"/>
                <w:color w:val="000000" w:themeColor="text1"/>
                <w:sz w:val="24"/>
                <w:szCs w:val="24"/>
                <w:shd w:val="clear" w:color="auto" w:fill="FFFFFF"/>
                <w:lang w:val="lv-LV"/>
              </w:rPr>
              <w:t xml:space="preserve"> </w:t>
            </w:r>
            <w:hyperlink r:id="rId12" w:tgtFrame="_blank" w:history="1">
              <w:r w:rsidR="006B52FD" w:rsidRPr="008404B2">
                <w:rPr>
                  <w:rStyle w:val="Hyperlink"/>
                  <w:rFonts w:ascii="Times New Roman" w:eastAsia="Calibri" w:hAnsi="Times New Roman"/>
                  <w:color w:val="000000" w:themeColor="text1"/>
                  <w:sz w:val="24"/>
                  <w:szCs w:val="24"/>
                  <w:u w:val="none"/>
                  <w:shd w:val="clear" w:color="auto" w:fill="FFFFFF"/>
                  <w:lang w:val="lv-LV"/>
                </w:rPr>
                <w:t>2001/83/EK</w:t>
              </w:r>
            </w:hyperlink>
            <w:r w:rsidR="006B52FD" w:rsidRPr="008404B2">
              <w:rPr>
                <w:rStyle w:val="apple-converted-space"/>
                <w:rFonts w:ascii="Times New Roman" w:hAnsi="Times New Roman"/>
                <w:color w:val="000000" w:themeColor="text1"/>
                <w:sz w:val="24"/>
                <w:szCs w:val="24"/>
                <w:shd w:val="clear" w:color="auto" w:fill="FFFFFF"/>
                <w:lang w:val="lv-LV"/>
              </w:rPr>
              <w:t xml:space="preserve"> </w:t>
            </w:r>
            <w:r w:rsidR="006B52FD" w:rsidRPr="008404B2">
              <w:rPr>
                <w:rFonts w:ascii="Times New Roman" w:hAnsi="Times New Roman"/>
                <w:color w:val="000000" w:themeColor="text1"/>
                <w:sz w:val="24"/>
                <w:szCs w:val="24"/>
                <w:shd w:val="clear" w:color="auto" w:fill="FFFFFF"/>
                <w:lang w:val="lv-LV"/>
              </w:rPr>
              <w:t xml:space="preserve">par Kopienas kodeksu, kas attiecas uz cilvēkiem paredzētām zālēm </w:t>
            </w:r>
            <w:r w:rsidR="00F30391" w:rsidRPr="008404B2">
              <w:rPr>
                <w:rFonts w:ascii="Times New Roman" w:hAnsi="Times New Roman"/>
                <w:color w:val="000000" w:themeColor="text1"/>
                <w:sz w:val="24"/>
                <w:szCs w:val="24"/>
                <w:shd w:val="clear" w:color="auto" w:fill="FFFFFF"/>
                <w:lang w:val="lv-LV"/>
              </w:rPr>
              <w:t>(turpm</w:t>
            </w:r>
            <w:r w:rsidR="001C39CD" w:rsidRPr="008404B2">
              <w:rPr>
                <w:rFonts w:ascii="Times New Roman" w:hAnsi="Times New Roman"/>
                <w:color w:val="000000" w:themeColor="text1"/>
                <w:sz w:val="24"/>
                <w:szCs w:val="24"/>
                <w:shd w:val="clear" w:color="auto" w:fill="FFFFFF"/>
                <w:lang w:val="lv-LV"/>
              </w:rPr>
              <w:t>āk – </w:t>
            </w:r>
            <w:r w:rsidR="00F30391" w:rsidRPr="008404B2">
              <w:rPr>
                <w:rFonts w:ascii="Times New Roman" w:hAnsi="Times New Roman"/>
                <w:color w:val="000000" w:themeColor="text1"/>
                <w:sz w:val="24"/>
                <w:szCs w:val="24"/>
                <w:shd w:val="clear" w:color="auto" w:fill="FFFFFF"/>
                <w:lang w:val="lv-LV"/>
              </w:rPr>
              <w:t>Direkt</w:t>
            </w:r>
            <w:r w:rsidR="001C39CD" w:rsidRPr="008404B2">
              <w:rPr>
                <w:rFonts w:ascii="Times New Roman" w:hAnsi="Times New Roman"/>
                <w:color w:val="000000" w:themeColor="text1"/>
                <w:sz w:val="24"/>
                <w:szCs w:val="24"/>
                <w:shd w:val="clear" w:color="auto" w:fill="FFFFFF"/>
                <w:lang w:val="lv-LV"/>
              </w:rPr>
              <w:t xml:space="preserve">īva </w:t>
            </w:r>
            <w:r w:rsidR="00F30391" w:rsidRPr="008404B2">
              <w:rPr>
                <w:rFonts w:ascii="Times New Roman" w:hAnsi="Times New Roman"/>
                <w:color w:val="000000" w:themeColor="text1"/>
                <w:sz w:val="24"/>
                <w:szCs w:val="24"/>
                <w:shd w:val="clear" w:color="auto" w:fill="FFFFFF"/>
                <w:lang w:val="lv-LV"/>
              </w:rPr>
              <w:t xml:space="preserve">2001/83) </w:t>
            </w:r>
            <w:r w:rsidR="006B52FD" w:rsidRPr="008404B2">
              <w:rPr>
                <w:rFonts w:ascii="Times New Roman" w:hAnsi="Times New Roman"/>
                <w:color w:val="000000" w:themeColor="text1"/>
                <w:sz w:val="24"/>
                <w:szCs w:val="24"/>
                <w:lang w:val="lv-LV"/>
              </w:rPr>
              <w:t xml:space="preserve">21. panta 2. punkta norma. </w:t>
            </w:r>
            <w:r w:rsidR="00EF35BE" w:rsidRPr="008404B2">
              <w:rPr>
                <w:rFonts w:ascii="Times New Roman" w:hAnsi="Times New Roman"/>
                <w:color w:val="000000" w:themeColor="text1"/>
                <w:sz w:val="24"/>
                <w:szCs w:val="24"/>
                <w:lang w:val="lv-LV"/>
              </w:rPr>
              <w:t xml:space="preserve">Konkretizējot </w:t>
            </w:r>
            <w:r w:rsidR="00EF35BE" w:rsidRPr="008404B2">
              <w:rPr>
                <w:rFonts w:ascii="Times New Roman" w:hAnsi="Times New Roman"/>
                <w:bCs/>
                <w:color w:val="000000" w:themeColor="text1"/>
                <w:sz w:val="24"/>
                <w:szCs w:val="24"/>
                <w:lang w:val="lv-LV"/>
              </w:rPr>
              <w:t>MK noteikumu Nr. 376 89.2. apakšpunkta normu, regulējums tiek paradīts skaidrāks un ir nodrošin</w:t>
            </w:r>
            <w:r w:rsidR="007A4B47" w:rsidRPr="008404B2">
              <w:rPr>
                <w:rFonts w:ascii="Times New Roman" w:hAnsi="Times New Roman"/>
                <w:bCs/>
                <w:color w:val="000000" w:themeColor="text1"/>
                <w:sz w:val="24"/>
                <w:szCs w:val="24"/>
                <w:lang w:val="lv-LV"/>
              </w:rPr>
              <w:t>āta</w:t>
            </w:r>
            <w:r w:rsidR="00EF35BE" w:rsidRPr="008404B2">
              <w:rPr>
                <w:rFonts w:ascii="Times New Roman" w:hAnsi="Times New Roman"/>
                <w:bCs/>
                <w:color w:val="000000" w:themeColor="text1"/>
                <w:sz w:val="24"/>
                <w:szCs w:val="24"/>
                <w:lang w:val="lv-LV"/>
              </w:rPr>
              <w:t xml:space="preserve"> lielāka atbilstība </w:t>
            </w:r>
            <w:r w:rsidR="00EF35BE" w:rsidRPr="008404B2">
              <w:rPr>
                <w:rFonts w:ascii="Times New Roman" w:hAnsi="Times New Roman"/>
                <w:color w:val="000000" w:themeColor="text1"/>
                <w:sz w:val="24"/>
                <w:szCs w:val="24"/>
                <w:shd w:val="clear" w:color="auto" w:fill="FFFFFF"/>
                <w:lang w:val="lv-LV"/>
              </w:rPr>
              <w:t>Direktīvas</w:t>
            </w:r>
            <w:r w:rsidR="00EF35BE" w:rsidRPr="008404B2">
              <w:rPr>
                <w:rStyle w:val="apple-converted-space"/>
                <w:rFonts w:ascii="Times New Roman" w:hAnsi="Times New Roman"/>
                <w:color w:val="000000" w:themeColor="text1"/>
                <w:sz w:val="24"/>
                <w:szCs w:val="24"/>
                <w:shd w:val="clear" w:color="auto" w:fill="FFFFFF"/>
                <w:lang w:val="lv-LV"/>
              </w:rPr>
              <w:t xml:space="preserve"> </w:t>
            </w:r>
            <w:hyperlink r:id="rId13" w:tgtFrame="_blank" w:history="1">
              <w:r w:rsidR="00EF35BE" w:rsidRPr="008404B2">
                <w:rPr>
                  <w:rStyle w:val="Hyperlink"/>
                  <w:rFonts w:ascii="Times New Roman" w:eastAsia="Calibri" w:hAnsi="Times New Roman"/>
                  <w:color w:val="000000" w:themeColor="text1"/>
                  <w:sz w:val="24"/>
                  <w:szCs w:val="24"/>
                  <w:u w:val="none"/>
                  <w:shd w:val="clear" w:color="auto" w:fill="FFFFFF"/>
                  <w:lang w:val="lv-LV"/>
                </w:rPr>
                <w:t>2001/83/EK</w:t>
              </w:r>
            </w:hyperlink>
            <w:r w:rsidR="00EF35BE" w:rsidRPr="008404B2">
              <w:rPr>
                <w:rStyle w:val="apple-converted-space"/>
                <w:rFonts w:ascii="Times New Roman" w:hAnsi="Times New Roman"/>
                <w:color w:val="000000" w:themeColor="text1"/>
                <w:sz w:val="24"/>
                <w:szCs w:val="24"/>
                <w:shd w:val="clear" w:color="auto" w:fill="FFFFFF"/>
                <w:lang w:val="lv-LV"/>
              </w:rPr>
              <w:t xml:space="preserve"> </w:t>
            </w:r>
            <w:r w:rsidR="00EF35BE" w:rsidRPr="008404B2">
              <w:rPr>
                <w:rFonts w:ascii="Times New Roman" w:hAnsi="Times New Roman"/>
                <w:color w:val="000000" w:themeColor="text1"/>
                <w:sz w:val="24"/>
                <w:szCs w:val="24"/>
                <w:lang w:val="lv-LV"/>
              </w:rPr>
              <w:t xml:space="preserve">21. panta 2. punkta normai. </w:t>
            </w:r>
            <w:r w:rsidR="006B52FD" w:rsidRPr="008404B2">
              <w:rPr>
                <w:rFonts w:ascii="Times New Roman" w:hAnsi="Times New Roman"/>
                <w:color w:val="000000" w:themeColor="text1"/>
                <w:sz w:val="24"/>
                <w:szCs w:val="24"/>
                <w:lang w:val="lv-LV"/>
              </w:rPr>
              <w:t xml:space="preserve">Grozījums </w:t>
            </w:r>
            <w:r w:rsidR="00450210" w:rsidRPr="008404B2">
              <w:rPr>
                <w:rFonts w:ascii="Times New Roman" w:hAnsi="Times New Roman"/>
                <w:color w:val="000000" w:themeColor="text1"/>
                <w:sz w:val="24"/>
                <w:szCs w:val="24"/>
                <w:lang w:val="lv-LV"/>
              </w:rPr>
              <w:t xml:space="preserve">MK noteikumos Nr. 376 </w:t>
            </w:r>
            <w:r w:rsidR="006B52FD" w:rsidRPr="008404B2">
              <w:rPr>
                <w:rFonts w:ascii="Times New Roman" w:hAnsi="Times New Roman"/>
                <w:color w:val="000000" w:themeColor="text1"/>
                <w:sz w:val="24"/>
                <w:szCs w:val="24"/>
                <w:lang w:val="lv-LV"/>
              </w:rPr>
              <w:t xml:space="preserve">risina šo </w:t>
            </w:r>
            <w:proofErr w:type="spellStart"/>
            <w:r w:rsidR="006B52FD" w:rsidRPr="008404B2">
              <w:rPr>
                <w:rFonts w:ascii="Times New Roman" w:hAnsi="Times New Roman"/>
                <w:color w:val="000000" w:themeColor="text1"/>
                <w:sz w:val="24"/>
                <w:szCs w:val="24"/>
                <w:lang w:val="lv-LV"/>
              </w:rPr>
              <w:t>problēmsituāciju</w:t>
            </w:r>
            <w:proofErr w:type="spellEnd"/>
            <w:r w:rsidR="006B52FD" w:rsidRPr="008404B2">
              <w:rPr>
                <w:rFonts w:ascii="Times New Roman" w:hAnsi="Times New Roman"/>
                <w:color w:val="000000" w:themeColor="text1"/>
                <w:sz w:val="24"/>
                <w:szCs w:val="24"/>
                <w:lang w:val="lv-LV"/>
              </w:rPr>
              <w:t xml:space="preserve"> (Noteikumu projekta 1</w:t>
            </w:r>
            <w:r w:rsidR="00FC1379" w:rsidRPr="008404B2">
              <w:rPr>
                <w:rFonts w:ascii="Times New Roman" w:hAnsi="Times New Roman"/>
                <w:color w:val="000000" w:themeColor="text1"/>
                <w:sz w:val="24"/>
                <w:szCs w:val="24"/>
                <w:lang w:val="lv-LV"/>
              </w:rPr>
              <w:t>8</w:t>
            </w:r>
            <w:r w:rsidR="006B52FD" w:rsidRPr="008404B2">
              <w:rPr>
                <w:rFonts w:ascii="Times New Roman" w:hAnsi="Times New Roman"/>
                <w:color w:val="000000" w:themeColor="text1"/>
                <w:sz w:val="24"/>
                <w:szCs w:val="24"/>
                <w:lang w:val="lv-LV"/>
              </w:rPr>
              <w:t>. punkts)</w:t>
            </w:r>
            <w:r w:rsidRPr="008404B2">
              <w:rPr>
                <w:rFonts w:ascii="Times New Roman" w:hAnsi="Times New Roman"/>
                <w:bCs/>
                <w:color w:val="000000" w:themeColor="text1"/>
                <w:sz w:val="24"/>
                <w:szCs w:val="24"/>
                <w:lang w:val="lv-LV"/>
              </w:rPr>
              <w:t>.</w:t>
            </w:r>
          </w:p>
          <w:p w:rsidR="004D785A" w:rsidRPr="008404B2" w:rsidRDefault="004D785A" w:rsidP="004D785A">
            <w:pPr>
              <w:pStyle w:val="NoSpacing"/>
              <w:jc w:val="both"/>
              <w:rPr>
                <w:color w:val="000000" w:themeColor="text1"/>
              </w:rPr>
            </w:pPr>
          </w:p>
          <w:p w:rsidR="00C9705A" w:rsidRPr="008404B2" w:rsidRDefault="00DB49FF" w:rsidP="00680834">
            <w:pPr>
              <w:pStyle w:val="Bezatstarpm1"/>
              <w:jc w:val="both"/>
              <w:rPr>
                <w:rFonts w:ascii="Times New Roman" w:hAnsi="Times New Roman"/>
                <w:b/>
                <w:i/>
                <w:color w:val="000000" w:themeColor="text1"/>
                <w:sz w:val="24"/>
                <w:szCs w:val="24"/>
                <w:lang w:val="lv-LV"/>
              </w:rPr>
            </w:pPr>
            <w:r w:rsidRPr="008404B2">
              <w:rPr>
                <w:rFonts w:ascii="Times New Roman" w:hAnsi="Times New Roman"/>
                <w:b/>
                <w:i/>
                <w:color w:val="000000" w:themeColor="text1"/>
                <w:sz w:val="24"/>
                <w:szCs w:val="24"/>
                <w:lang w:val="lv-LV"/>
              </w:rPr>
              <w:t>5) </w:t>
            </w:r>
            <w:r w:rsidR="008C28D0" w:rsidRPr="008404B2">
              <w:rPr>
                <w:rFonts w:ascii="Times New Roman" w:hAnsi="Times New Roman"/>
                <w:b/>
                <w:i/>
                <w:color w:val="000000" w:themeColor="text1"/>
                <w:sz w:val="24"/>
                <w:szCs w:val="24"/>
                <w:lang w:val="lv-LV"/>
              </w:rPr>
              <w:t xml:space="preserve">Konkretizēt </w:t>
            </w:r>
            <w:r w:rsidR="00E9362E" w:rsidRPr="008404B2">
              <w:rPr>
                <w:rFonts w:ascii="Times New Roman" w:hAnsi="Times New Roman"/>
                <w:b/>
                <w:i/>
                <w:color w:val="000000" w:themeColor="text1"/>
                <w:sz w:val="24"/>
                <w:szCs w:val="24"/>
                <w:lang w:val="lv-LV"/>
              </w:rPr>
              <w:t xml:space="preserve">Zāļu valsts aģentūrai pienākumu par informācijas </w:t>
            </w:r>
            <w:r w:rsidR="00265BA6" w:rsidRPr="008404B2">
              <w:rPr>
                <w:rFonts w:ascii="Times New Roman" w:hAnsi="Times New Roman"/>
                <w:b/>
                <w:i/>
                <w:color w:val="000000" w:themeColor="text1"/>
                <w:sz w:val="24"/>
                <w:szCs w:val="24"/>
                <w:lang w:val="lv-LV"/>
              </w:rPr>
              <w:t>publisk</w:t>
            </w:r>
            <w:r w:rsidR="00E9362E" w:rsidRPr="008404B2">
              <w:rPr>
                <w:rFonts w:ascii="Times New Roman" w:hAnsi="Times New Roman"/>
                <w:b/>
                <w:i/>
                <w:color w:val="000000" w:themeColor="text1"/>
                <w:sz w:val="24"/>
                <w:szCs w:val="24"/>
                <w:lang w:val="lv-LV"/>
              </w:rPr>
              <w:t>ošanu</w:t>
            </w:r>
          </w:p>
          <w:p w:rsidR="00565528" w:rsidRPr="008404B2" w:rsidRDefault="00565528" w:rsidP="00680834">
            <w:pPr>
              <w:pStyle w:val="Bezatstarpm1"/>
              <w:jc w:val="both"/>
              <w:rPr>
                <w:rFonts w:ascii="Times New Roman" w:hAnsi="Times New Roman"/>
                <w:b/>
                <w:i/>
                <w:color w:val="000000" w:themeColor="text1"/>
                <w:sz w:val="24"/>
                <w:szCs w:val="24"/>
                <w:lang w:val="lv-LV"/>
              </w:rPr>
            </w:pPr>
          </w:p>
          <w:p w:rsidR="00E92DE2" w:rsidRPr="008404B2" w:rsidRDefault="00F044AF" w:rsidP="00680834">
            <w:pPr>
              <w:pStyle w:val="Bezatstarpm1"/>
              <w:jc w:val="both"/>
              <w:rPr>
                <w:rFonts w:ascii="Times New Roman" w:hAnsi="Times New Roman"/>
                <w:b/>
                <w:i/>
                <w:color w:val="000000" w:themeColor="text1"/>
                <w:sz w:val="24"/>
                <w:szCs w:val="24"/>
                <w:lang w:val="lv-LV"/>
              </w:rPr>
            </w:pPr>
            <w:r w:rsidRPr="008404B2">
              <w:rPr>
                <w:rFonts w:ascii="Times New Roman" w:hAnsi="Times New Roman"/>
                <w:b/>
                <w:i/>
                <w:color w:val="000000" w:themeColor="text1"/>
                <w:sz w:val="24"/>
                <w:szCs w:val="24"/>
                <w:lang w:val="lv-LV"/>
              </w:rPr>
              <w:t>a) </w:t>
            </w:r>
            <w:r w:rsidRPr="008404B2">
              <w:rPr>
                <w:rFonts w:ascii="Times New Roman" w:hAnsi="Times New Roman"/>
                <w:i/>
                <w:color w:val="000000" w:themeColor="text1"/>
                <w:sz w:val="24"/>
                <w:szCs w:val="24"/>
                <w:lang w:val="lv-LV"/>
              </w:rPr>
              <w:t>Izslēgt prasību Zāļu valsts aģentūrai publicēt tīmekļa vietnē lēmumu</w:t>
            </w:r>
            <w:r w:rsidR="00AA624A" w:rsidRPr="008404B2">
              <w:rPr>
                <w:rFonts w:ascii="Times New Roman" w:hAnsi="Times New Roman"/>
                <w:i/>
                <w:color w:val="000000" w:themeColor="text1"/>
                <w:sz w:val="24"/>
                <w:szCs w:val="24"/>
                <w:lang w:val="lv-LV"/>
              </w:rPr>
              <w:t>s</w:t>
            </w:r>
            <w:r w:rsidRPr="008404B2">
              <w:rPr>
                <w:rFonts w:ascii="Times New Roman" w:hAnsi="Times New Roman"/>
                <w:i/>
                <w:color w:val="000000" w:themeColor="text1"/>
                <w:sz w:val="24"/>
                <w:szCs w:val="24"/>
                <w:lang w:val="lv-LV"/>
              </w:rPr>
              <w:t xml:space="preserve"> par izmaiņu apstiprināšanu</w:t>
            </w:r>
            <w:r w:rsidR="00595DCB" w:rsidRPr="008404B2">
              <w:rPr>
                <w:rFonts w:ascii="Times New Roman" w:hAnsi="Times New Roman"/>
                <w:i/>
                <w:color w:val="000000" w:themeColor="text1"/>
                <w:sz w:val="24"/>
                <w:szCs w:val="24"/>
                <w:lang w:val="lv-LV"/>
              </w:rPr>
              <w:t xml:space="preserve"> un noteikt</w:t>
            </w:r>
            <w:r w:rsidR="008C28D0" w:rsidRPr="008404B2">
              <w:rPr>
                <w:rFonts w:ascii="Times New Roman" w:hAnsi="Times New Roman"/>
                <w:i/>
                <w:color w:val="000000" w:themeColor="text1"/>
                <w:sz w:val="24"/>
                <w:szCs w:val="24"/>
                <w:lang w:val="lv-LV"/>
              </w:rPr>
              <w:t xml:space="preserve"> informāciju</w:t>
            </w:r>
            <w:r w:rsidR="00E9362E" w:rsidRPr="008404B2">
              <w:rPr>
                <w:rFonts w:ascii="Times New Roman" w:hAnsi="Times New Roman"/>
                <w:i/>
                <w:color w:val="000000" w:themeColor="text1"/>
                <w:sz w:val="24"/>
                <w:szCs w:val="24"/>
                <w:lang w:val="lv-LV"/>
              </w:rPr>
              <w:t>, kādu</w:t>
            </w:r>
            <w:r w:rsidR="008C28D0" w:rsidRPr="008404B2">
              <w:rPr>
                <w:rFonts w:ascii="Times New Roman" w:hAnsi="Times New Roman"/>
                <w:i/>
                <w:color w:val="000000" w:themeColor="text1"/>
                <w:sz w:val="24"/>
                <w:szCs w:val="24"/>
                <w:lang w:val="lv-LV"/>
              </w:rPr>
              <w:t xml:space="preserve"> Zāļu valsts aģentūra publisko saistībā ar izmaiņu apstiprināšanu vai noraidīšanu</w:t>
            </w:r>
            <w:r w:rsidR="00595DCB" w:rsidRPr="008404B2">
              <w:rPr>
                <w:rFonts w:ascii="Times New Roman" w:hAnsi="Times New Roman"/>
                <w:b/>
                <w:i/>
                <w:color w:val="000000" w:themeColor="text1"/>
                <w:sz w:val="24"/>
                <w:szCs w:val="24"/>
                <w:lang w:val="lv-LV"/>
              </w:rPr>
              <w:t xml:space="preserve"> </w:t>
            </w:r>
          </w:p>
          <w:p w:rsidR="006A6203" w:rsidRPr="008404B2" w:rsidRDefault="00E92DE2" w:rsidP="008E3A18">
            <w:pPr>
              <w:pStyle w:val="Bezatstarpm1"/>
              <w:jc w:val="both"/>
              <w:rPr>
                <w:rFonts w:ascii="Times New Roman" w:hAnsi="Times New Roman"/>
                <w:color w:val="000000" w:themeColor="text1"/>
                <w:sz w:val="24"/>
                <w:szCs w:val="24"/>
                <w:shd w:val="clear" w:color="auto" w:fill="FFFFFF"/>
                <w:lang w:val="lv-LV"/>
              </w:rPr>
            </w:pPr>
            <w:r w:rsidRPr="008404B2">
              <w:rPr>
                <w:rFonts w:ascii="Times New Roman" w:hAnsi="Times New Roman"/>
                <w:bCs/>
                <w:color w:val="000000" w:themeColor="text1"/>
                <w:sz w:val="24"/>
                <w:szCs w:val="24"/>
                <w:lang w:val="lv-LV"/>
              </w:rPr>
              <w:lastRenderedPageBreak/>
              <w:t>Regulējums MK noteikumu Nr. 376 122.1. apakšpunktā nosaka</w:t>
            </w:r>
            <w:r w:rsidRPr="008404B2">
              <w:rPr>
                <w:rFonts w:ascii="Times New Roman" w:hAnsi="Times New Roman"/>
                <w:color w:val="000000" w:themeColor="text1"/>
                <w:sz w:val="24"/>
                <w:szCs w:val="24"/>
                <w:lang w:val="lv-LV"/>
              </w:rPr>
              <w:t xml:space="preserve"> Zāļu valsts aģentūrai pienākumu publicēt tīmekļa vietnē (</w:t>
            </w:r>
            <w:hyperlink r:id="rId14" w:history="1">
              <w:r w:rsidRPr="008404B2">
                <w:rPr>
                  <w:rStyle w:val="Hyperlink"/>
                  <w:rFonts w:ascii="Times New Roman" w:hAnsi="Times New Roman"/>
                  <w:color w:val="000000" w:themeColor="text1"/>
                  <w:sz w:val="24"/>
                  <w:szCs w:val="24"/>
                  <w:u w:val="none"/>
                  <w:lang w:val="lv-LV"/>
                </w:rPr>
                <w:t>www.zva.gov.lv</w:t>
              </w:r>
            </w:hyperlink>
            <w:r w:rsidRPr="008404B2">
              <w:rPr>
                <w:rFonts w:ascii="Times New Roman" w:hAnsi="Times New Roman"/>
                <w:color w:val="000000" w:themeColor="text1"/>
                <w:sz w:val="24"/>
                <w:szCs w:val="24"/>
                <w:lang w:val="lv-LV"/>
              </w:rPr>
              <w:t xml:space="preserve">) aģentūras lēmumus par izmaiņu apstiprināšanu, </w:t>
            </w:r>
            <w:r w:rsidR="008E3A18" w:rsidRPr="008404B2">
              <w:rPr>
                <w:rFonts w:ascii="Times New Roman" w:hAnsi="Times New Roman"/>
                <w:color w:val="000000" w:themeColor="text1"/>
                <w:sz w:val="24"/>
                <w:szCs w:val="24"/>
                <w:lang w:val="lv-LV"/>
              </w:rPr>
              <w:t>kas</w:t>
            </w:r>
            <w:r w:rsidR="00134C22" w:rsidRPr="008404B2">
              <w:rPr>
                <w:rFonts w:ascii="Times New Roman" w:hAnsi="Times New Roman"/>
                <w:color w:val="000000" w:themeColor="text1"/>
                <w:sz w:val="24"/>
                <w:szCs w:val="24"/>
                <w:lang w:val="lv-LV"/>
              </w:rPr>
              <w:t xml:space="preserve"> rada Zāļu valsts aģentūrai nevajadzīgu administratīvo slogu</w:t>
            </w:r>
            <w:r w:rsidR="008E3A18" w:rsidRPr="008404B2">
              <w:rPr>
                <w:rFonts w:ascii="Times New Roman" w:hAnsi="Times New Roman"/>
                <w:color w:val="000000" w:themeColor="text1"/>
                <w:sz w:val="24"/>
                <w:szCs w:val="24"/>
                <w:lang w:val="lv-LV"/>
              </w:rPr>
              <w:t>.</w:t>
            </w:r>
            <w:r w:rsidRPr="008404B2">
              <w:rPr>
                <w:rFonts w:ascii="Times New Roman" w:hAnsi="Times New Roman"/>
                <w:color w:val="000000" w:themeColor="text1"/>
                <w:sz w:val="24"/>
                <w:szCs w:val="24"/>
                <w:lang w:val="lv-LV"/>
              </w:rPr>
              <w:t xml:space="preserve"> </w:t>
            </w:r>
            <w:r w:rsidR="008E3A18" w:rsidRPr="008404B2">
              <w:rPr>
                <w:rFonts w:ascii="Times New Roman" w:hAnsi="Times New Roman"/>
                <w:color w:val="000000" w:themeColor="text1"/>
                <w:sz w:val="24"/>
                <w:szCs w:val="24"/>
                <w:lang w:val="lv-LV"/>
              </w:rPr>
              <w:t xml:space="preserve">Šādu prasību neparedz arī Komisijas regula Nr. 1234/2008 un </w:t>
            </w:r>
            <w:r w:rsidR="004F3088" w:rsidRPr="008404B2">
              <w:rPr>
                <w:rFonts w:ascii="Times New Roman" w:hAnsi="Times New Roman"/>
                <w:color w:val="000000" w:themeColor="text1"/>
                <w:sz w:val="24"/>
                <w:szCs w:val="24"/>
                <w:shd w:val="clear" w:color="auto" w:fill="FFFFFF"/>
                <w:lang w:val="lv-LV"/>
              </w:rPr>
              <w:t>Direktīvas 2001/83 125. pant</w:t>
            </w:r>
            <w:r w:rsidRPr="008404B2">
              <w:rPr>
                <w:rFonts w:ascii="Times New Roman" w:hAnsi="Times New Roman"/>
                <w:color w:val="000000" w:themeColor="text1"/>
                <w:sz w:val="24"/>
                <w:szCs w:val="24"/>
                <w:shd w:val="clear" w:color="auto" w:fill="FFFFFF"/>
                <w:lang w:val="lv-LV"/>
              </w:rPr>
              <w:t>a norma</w:t>
            </w:r>
            <w:r w:rsidR="008E3A18" w:rsidRPr="008404B2">
              <w:rPr>
                <w:rFonts w:ascii="Times New Roman" w:hAnsi="Times New Roman"/>
                <w:color w:val="000000" w:themeColor="text1"/>
                <w:sz w:val="24"/>
                <w:szCs w:val="24"/>
                <w:shd w:val="clear" w:color="auto" w:fill="FFFFFF"/>
                <w:lang w:val="lv-LV"/>
              </w:rPr>
              <w:t xml:space="preserve">, kas </w:t>
            </w:r>
            <w:r w:rsidR="006A6203" w:rsidRPr="008404B2">
              <w:rPr>
                <w:rFonts w:ascii="Times New Roman" w:hAnsi="Times New Roman"/>
                <w:color w:val="000000" w:themeColor="text1"/>
                <w:sz w:val="24"/>
                <w:szCs w:val="24"/>
                <w:shd w:val="clear" w:color="auto" w:fill="FFFFFF"/>
                <w:lang w:val="lv-LV"/>
              </w:rPr>
              <w:t>paredz kompetentajai iestādei pienākumu publiskot tikai lēmumus par zāļu reģistrācijas piešķiršanu un anulēšanu, un nenosaka kompetentajai iestādei pienākumu publiskot lēmumu par izmaiņu apstiprināšanu</w:t>
            </w:r>
            <w:r w:rsidR="008E3A18" w:rsidRPr="008404B2">
              <w:rPr>
                <w:rFonts w:ascii="Times New Roman" w:hAnsi="Times New Roman"/>
                <w:color w:val="000000" w:themeColor="text1"/>
                <w:sz w:val="24"/>
                <w:szCs w:val="24"/>
                <w:shd w:val="clear" w:color="auto" w:fill="FFFFFF"/>
                <w:lang w:val="lv-LV"/>
              </w:rPr>
              <w:t xml:space="preserve">. </w:t>
            </w:r>
          </w:p>
          <w:p w:rsidR="006A6203" w:rsidRPr="008404B2" w:rsidRDefault="00134C22" w:rsidP="008E3A18">
            <w:pPr>
              <w:pStyle w:val="Bezatstarpm1"/>
              <w:jc w:val="both"/>
              <w:rPr>
                <w:rFonts w:ascii="Times New Roman" w:hAnsi="Times New Roman"/>
                <w:color w:val="000000" w:themeColor="text1"/>
                <w:sz w:val="24"/>
                <w:szCs w:val="24"/>
                <w:lang w:val="lv-LV"/>
              </w:rPr>
            </w:pPr>
            <w:r w:rsidRPr="008404B2">
              <w:rPr>
                <w:rFonts w:ascii="Times New Roman" w:hAnsi="Times New Roman"/>
                <w:color w:val="000000" w:themeColor="text1"/>
                <w:sz w:val="24"/>
                <w:szCs w:val="24"/>
                <w:shd w:val="clear" w:color="auto" w:fill="FFFFFF"/>
                <w:lang w:val="lv-LV"/>
              </w:rPr>
              <w:t>Ņemot vērā iepriekš minēto</w:t>
            </w:r>
            <w:r w:rsidR="00B625BB" w:rsidRPr="008404B2">
              <w:rPr>
                <w:rFonts w:ascii="Times New Roman" w:hAnsi="Times New Roman"/>
                <w:color w:val="000000" w:themeColor="text1"/>
                <w:sz w:val="24"/>
                <w:szCs w:val="24"/>
                <w:shd w:val="clear" w:color="auto" w:fill="FFFFFF"/>
                <w:lang w:val="lv-LV"/>
              </w:rPr>
              <w:t>,</w:t>
            </w:r>
            <w:r w:rsidRPr="008404B2">
              <w:rPr>
                <w:rFonts w:ascii="Times New Roman" w:hAnsi="Times New Roman"/>
                <w:color w:val="000000" w:themeColor="text1"/>
                <w:sz w:val="24"/>
                <w:szCs w:val="24"/>
                <w:shd w:val="clear" w:color="auto" w:fill="FFFFFF"/>
                <w:lang w:val="lv-LV"/>
              </w:rPr>
              <w:t xml:space="preserve"> regulējums MK noteikumos Nr. 376 ir jākonkre</w:t>
            </w:r>
            <w:r w:rsidR="006A6203" w:rsidRPr="008404B2">
              <w:rPr>
                <w:rFonts w:ascii="Times New Roman" w:hAnsi="Times New Roman"/>
                <w:color w:val="000000" w:themeColor="text1"/>
                <w:sz w:val="24"/>
                <w:szCs w:val="24"/>
                <w:shd w:val="clear" w:color="auto" w:fill="FFFFFF"/>
                <w:lang w:val="lv-LV"/>
              </w:rPr>
              <w:t>tizē, lai</w:t>
            </w:r>
            <w:r w:rsidR="006A6203" w:rsidRPr="008404B2">
              <w:rPr>
                <w:rFonts w:ascii="Times New Roman" w:hAnsi="Times New Roman"/>
                <w:bCs/>
                <w:color w:val="000000" w:themeColor="text1"/>
                <w:sz w:val="24"/>
                <w:szCs w:val="24"/>
                <w:lang w:val="lv-LV"/>
              </w:rPr>
              <w:t xml:space="preserve"> nodrošinātu</w:t>
            </w:r>
            <w:r w:rsidRPr="008404B2">
              <w:rPr>
                <w:rFonts w:ascii="Times New Roman" w:hAnsi="Times New Roman"/>
                <w:bCs/>
                <w:color w:val="000000" w:themeColor="text1"/>
                <w:sz w:val="24"/>
                <w:szCs w:val="24"/>
                <w:lang w:val="lv-LV"/>
              </w:rPr>
              <w:t xml:space="preserve"> </w:t>
            </w:r>
            <w:r w:rsidR="006A6203" w:rsidRPr="008404B2">
              <w:rPr>
                <w:rFonts w:ascii="Times New Roman" w:hAnsi="Times New Roman"/>
                <w:bCs/>
                <w:color w:val="000000" w:themeColor="text1"/>
                <w:sz w:val="24"/>
                <w:szCs w:val="24"/>
                <w:lang w:val="lv-LV"/>
              </w:rPr>
              <w:t>lielāku atbilstību</w:t>
            </w:r>
            <w:r w:rsidRPr="008404B2">
              <w:rPr>
                <w:rFonts w:ascii="Times New Roman" w:hAnsi="Times New Roman"/>
                <w:bCs/>
                <w:color w:val="000000" w:themeColor="text1"/>
                <w:sz w:val="24"/>
                <w:szCs w:val="24"/>
                <w:lang w:val="lv-LV"/>
              </w:rPr>
              <w:t xml:space="preserve"> </w:t>
            </w:r>
            <w:r w:rsidRPr="008404B2">
              <w:rPr>
                <w:rFonts w:ascii="Times New Roman" w:hAnsi="Times New Roman"/>
                <w:color w:val="000000" w:themeColor="text1"/>
                <w:sz w:val="24"/>
                <w:szCs w:val="24"/>
                <w:shd w:val="clear" w:color="auto" w:fill="FFFFFF"/>
                <w:lang w:val="lv-LV"/>
              </w:rPr>
              <w:t>Direktīvas</w:t>
            </w:r>
            <w:r w:rsidRPr="008404B2">
              <w:rPr>
                <w:rStyle w:val="apple-converted-space"/>
                <w:rFonts w:ascii="Times New Roman" w:hAnsi="Times New Roman"/>
                <w:color w:val="000000" w:themeColor="text1"/>
                <w:sz w:val="24"/>
                <w:szCs w:val="24"/>
                <w:shd w:val="clear" w:color="auto" w:fill="FFFFFF"/>
                <w:lang w:val="lv-LV"/>
              </w:rPr>
              <w:t xml:space="preserve"> </w:t>
            </w:r>
            <w:hyperlink r:id="rId15" w:tgtFrame="_blank" w:history="1">
              <w:r w:rsidRPr="008404B2">
                <w:rPr>
                  <w:rStyle w:val="Hyperlink"/>
                  <w:rFonts w:ascii="Times New Roman" w:eastAsia="Calibri" w:hAnsi="Times New Roman"/>
                  <w:color w:val="000000" w:themeColor="text1"/>
                  <w:sz w:val="24"/>
                  <w:szCs w:val="24"/>
                  <w:u w:val="none"/>
                  <w:shd w:val="clear" w:color="auto" w:fill="FFFFFF"/>
                  <w:lang w:val="lv-LV"/>
                </w:rPr>
                <w:t>2001/83/EK</w:t>
              </w:r>
            </w:hyperlink>
            <w:r w:rsidRPr="008404B2">
              <w:rPr>
                <w:rStyle w:val="apple-converted-space"/>
                <w:rFonts w:ascii="Times New Roman" w:hAnsi="Times New Roman"/>
                <w:color w:val="000000" w:themeColor="text1"/>
                <w:sz w:val="24"/>
                <w:szCs w:val="24"/>
                <w:shd w:val="clear" w:color="auto" w:fill="FFFFFF"/>
                <w:lang w:val="lv-LV"/>
              </w:rPr>
              <w:t xml:space="preserve"> </w:t>
            </w:r>
            <w:r w:rsidRPr="008404B2">
              <w:rPr>
                <w:rFonts w:ascii="Times New Roman" w:hAnsi="Times New Roman"/>
                <w:color w:val="000000" w:themeColor="text1"/>
                <w:sz w:val="24"/>
                <w:szCs w:val="24"/>
                <w:lang w:val="lv-LV"/>
              </w:rPr>
              <w:t>125. panta normai</w:t>
            </w:r>
            <w:r w:rsidR="00595DCB" w:rsidRPr="008404B2">
              <w:rPr>
                <w:rFonts w:ascii="Times New Roman" w:hAnsi="Times New Roman"/>
                <w:color w:val="000000" w:themeColor="text1"/>
                <w:sz w:val="24"/>
                <w:szCs w:val="24"/>
                <w:lang w:val="lv-LV"/>
              </w:rPr>
              <w:t xml:space="preserve">, </w:t>
            </w:r>
            <w:r w:rsidR="008C28D0" w:rsidRPr="008404B2">
              <w:rPr>
                <w:rFonts w:ascii="Times New Roman" w:hAnsi="Times New Roman"/>
                <w:color w:val="000000" w:themeColor="text1"/>
                <w:sz w:val="24"/>
                <w:szCs w:val="24"/>
                <w:lang w:val="lv-LV"/>
              </w:rPr>
              <w:t xml:space="preserve">kā arī lai veicinātu Komisijas regulā Nr. 1234/2008 </w:t>
            </w:r>
            <w:r w:rsidR="00951C68" w:rsidRPr="008404B2">
              <w:rPr>
                <w:rFonts w:ascii="Times New Roman" w:hAnsi="Times New Roman"/>
                <w:color w:val="000000" w:themeColor="text1"/>
                <w:sz w:val="24"/>
                <w:szCs w:val="24"/>
                <w:lang w:val="lv-LV"/>
              </w:rPr>
              <w:t>(11</w:t>
            </w:r>
            <w:r w:rsidR="005D7331" w:rsidRPr="008404B2">
              <w:rPr>
                <w:rFonts w:ascii="Times New Roman" w:hAnsi="Times New Roman"/>
                <w:color w:val="000000" w:themeColor="text1"/>
                <w:sz w:val="24"/>
                <w:szCs w:val="24"/>
                <w:lang w:val="lv-LV"/>
              </w:rPr>
              <w:t xml:space="preserve">. panta a) un b) punkts un 13 e </w:t>
            </w:r>
            <w:r w:rsidR="00951C68" w:rsidRPr="008404B2">
              <w:rPr>
                <w:rFonts w:ascii="Times New Roman" w:hAnsi="Times New Roman"/>
                <w:color w:val="000000" w:themeColor="text1"/>
                <w:sz w:val="24"/>
                <w:szCs w:val="24"/>
                <w:lang w:val="lv-LV"/>
              </w:rPr>
              <w:t xml:space="preserve">panta a) un b) punkts) </w:t>
            </w:r>
            <w:r w:rsidR="008C28D0" w:rsidRPr="008404B2">
              <w:rPr>
                <w:rFonts w:ascii="Times New Roman" w:hAnsi="Times New Roman"/>
                <w:color w:val="000000" w:themeColor="text1"/>
                <w:sz w:val="24"/>
                <w:szCs w:val="24"/>
                <w:lang w:val="lv-LV"/>
              </w:rPr>
              <w:t xml:space="preserve">noteiktās procedūras īstenošanu (Noteikumu projekta </w:t>
            </w:r>
            <w:r w:rsidR="002052EF" w:rsidRPr="008404B2">
              <w:rPr>
                <w:rFonts w:ascii="Times New Roman" w:hAnsi="Times New Roman"/>
                <w:color w:val="000000" w:themeColor="text1"/>
                <w:sz w:val="24"/>
                <w:szCs w:val="24"/>
                <w:lang w:val="lv-LV"/>
              </w:rPr>
              <w:t>21</w:t>
            </w:r>
            <w:r w:rsidR="008C28D0" w:rsidRPr="008404B2">
              <w:rPr>
                <w:rFonts w:ascii="Times New Roman" w:hAnsi="Times New Roman"/>
                <w:color w:val="000000" w:themeColor="text1"/>
                <w:sz w:val="24"/>
                <w:szCs w:val="24"/>
                <w:lang w:val="lv-LV"/>
              </w:rPr>
              <w:t xml:space="preserve">. punkts). </w:t>
            </w:r>
          </w:p>
          <w:p w:rsidR="008E3A18" w:rsidRPr="008404B2" w:rsidRDefault="008E3A18" w:rsidP="008E3A18">
            <w:pPr>
              <w:pStyle w:val="Bezatstarpm1"/>
              <w:jc w:val="both"/>
              <w:rPr>
                <w:rFonts w:ascii="Times New Roman" w:hAnsi="Times New Roman"/>
                <w:color w:val="000000" w:themeColor="text1"/>
                <w:sz w:val="24"/>
                <w:szCs w:val="24"/>
                <w:shd w:val="clear" w:color="auto" w:fill="FFFFFF"/>
                <w:lang w:val="lv-LV"/>
              </w:rPr>
            </w:pPr>
            <w:r w:rsidRPr="008404B2">
              <w:rPr>
                <w:rFonts w:ascii="Times New Roman" w:hAnsi="Times New Roman"/>
                <w:color w:val="000000" w:themeColor="text1"/>
                <w:sz w:val="24"/>
                <w:szCs w:val="24"/>
                <w:lang w:val="lv-LV"/>
              </w:rPr>
              <w:t xml:space="preserve">Ar grozījumu MK noteikumu Nr. 376 122.1. apakšpunktā </w:t>
            </w:r>
            <w:r w:rsidR="006A6203" w:rsidRPr="008404B2">
              <w:rPr>
                <w:rFonts w:ascii="Times New Roman" w:hAnsi="Times New Roman"/>
                <w:color w:val="000000" w:themeColor="text1"/>
                <w:sz w:val="24"/>
                <w:szCs w:val="24"/>
                <w:lang w:val="lv-LV"/>
              </w:rPr>
              <w:t>tiek mainīta</w:t>
            </w:r>
            <w:r w:rsidRPr="008404B2">
              <w:rPr>
                <w:rFonts w:ascii="Times New Roman" w:hAnsi="Times New Roman"/>
                <w:color w:val="000000" w:themeColor="text1"/>
                <w:sz w:val="24"/>
                <w:szCs w:val="24"/>
                <w:lang w:val="lv-LV"/>
              </w:rPr>
              <w:t xml:space="preserve"> informācija, kuru Zāļu valsts aģentūra ievietos savā tīmekļa vietnē, </w:t>
            </w:r>
            <w:r w:rsidRPr="008404B2">
              <w:rPr>
                <w:rFonts w:ascii="Times New Roman" w:hAnsi="Times New Roman"/>
                <w:i/>
                <w:color w:val="000000" w:themeColor="text1"/>
                <w:sz w:val="24"/>
                <w:szCs w:val="24"/>
                <w:lang w:val="lv-LV"/>
              </w:rPr>
              <w:t>proti,</w:t>
            </w:r>
            <w:r w:rsidRPr="008404B2">
              <w:rPr>
                <w:rFonts w:ascii="Times New Roman" w:hAnsi="Times New Roman"/>
                <w:color w:val="000000" w:themeColor="text1"/>
                <w:sz w:val="24"/>
                <w:szCs w:val="24"/>
                <w:lang w:val="lv-LV"/>
              </w:rPr>
              <w:t xml:space="preserve"> Zāļu valsts aģentūra publiskos paziņojumus par izmaiņu apstiprināšanu vai noraidīšanu par nacionālajā reģistrācijas procedūrā reģistrētajām zālēm un par tām DC un MRP procedūrā reģistrētajām zālēm, kur Latvija ir atsauces dalībvalsts. Zāļu valsts aģentūra nesūtīs lēmumus par izmaiņu apstiprināšanu zālēm, kuras reģistrē DC un MRP procedū</w:t>
            </w:r>
            <w:r w:rsidR="006A6203" w:rsidRPr="008404B2">
              <w:rPr>
                <w:rFonts w:ascii="Times New Roman" w:hAnsi="Times New Roman"/>
                <w:color w:val="000000" w:themeColor="text1"/>
                <w:sz w:val="24"/>
                <w:szCs w:val="24"/>
                <w:lang w:val="lv-LV"/>
              </w:rPr>
              <w:t>rā, kur Latvija ir iesaistītā dalībvalsts</w:t>
            </w:r>
            <w:r w:rsidRPr="008404B2">
              <w:rPr>
                <w:rFonts w:ascii="Times New Roman" w:hAnsi="Times New Roman"/>
                <w:color w:val="000000" w:themeColor="text1"/>
                <w:sz w:val="24"/>
                <w:szCs w:val="24"/>
                <w:lang w:val="lv-LV"/>
              </w:rPr>
              <w:t xml:space="preserve">, jo tas ir nevajadzīgs administratīvais slogs, un tā nav arī </w:t>
            </w:r>
            <w:r w:rsidRPr="008404B2">
              <w:rPr>
                <w:rFonts w:ascii="Times New Roman" w:hAnsi="Times New Roman"/>
                <w:color w:val="000000" w:themeColor="text1"/>
                <w:sz w:val="24"/>
                <w:szCs w:val="24"/>
                <w:shd w:val="clear" w:color="auto" w:fill="FFFFFF"/>
                <w:lang w:val="lv-LV"/>
              </w:rPr>
              <w:t>Direktīvas 2001</w:t>
            </w:r>
            <w:r w:rsidR="007C00DB" w:rsidRPr="008404B2">
              <w:rPr>
                <w:rFonts w:ascii="Times New Roman" w:hAnsi="Times New Roman"/>
                <w:color w:val="000000" w:themeColor="text1"/>
                <w:sz w:val="24"/>
                <w:szCs w:val="24"/>
                <w:shd w:val="clear" w:color="auto" w:fill="FFFFFF"/>
                <w:lang w:val="lv-LV"/>
              </w:rPr>
              <w:t xml:space="preserve">/83 125. panta normas prasība. </w:t>
            </w:r>
            <w:r w:rsidRPr="008404B2">
              <w:rPr>
                <w:rFonts w:ascii="Times New Roman" w:hAnsi="Times New Roman"/>
                <w:color w:val="000000" w:themeColor="text1"/>
                <w:sz w:val="24"/>
                <w:szCs w:val="24"/>
                <w:lang w:val="lv-LV"/>
              </w:rPr>
              <w:t xml:space="preserve">Savukārt zāļu reģistrācijas īpašnieki (viņu pārstāvji) informāciju par izmaiņu apstiprināšanu DC un MRP procedūrā reģistrētām zālēm, kur Latvija ir iesaistītā </w:t>
            </w:r>
            <w:r w:rsidR="007A4BB9" w:rsidRPr="008404B2">
              <w:rPr>
                <w:rFonts w:ascii="Times New Roman" w:hAnsi="Times New Roman"/>
                <w:color w:val="000000" w:themeColor="text1"/>
                <w:sz w:val="24"/>
                <w:szCs w:val="24"/>
                <w:lang w:val="lv-LV"/>
              </w:rPr>
              <w:t>dalībvalsts</w:t>
            </w:r>
            <w:r w:rsidRPr="008404B2">
              <w:rPr>
                <w:rFonts w:ascii="Times New Roman" w:hAnsi="Times New Roman"/>
                <w:color w:val="000000" w:themeColor="text1"/>
                <w:sz w:val="24"/>
                <w:szCs w:val="24"/>
                <w:lang w:val="lv-LV"/>
              </w:rPr>
              <w:t>, var uzzināt, skatoties informāciju Zāļu valsts aģentūras informatīvajā sistēmā (ZVAIS), kur būs redzams, kad procedūra ir pabeigta, jo šajā sist</w:t>
            </w:r>
            <w:r w:rsidR="007A4BB9" w:rsidRPr="008404B2">
              <w:rPr>
                <w:rFonts w:ascii="Times New Roman" w:hAnsi="Times New Roman"/>
                <w:color w:val="000000" w:themeColor="text1"/>
                <w:sz w:val="24"/>
                <w:szCs w:val="24"/>
                <w:lang w:val="lv-LV"/>
              </w:rPr>
              <w:t>ēmā ir redzams izmaiņu statuss.</w:t>
            </w:r>
          </w:p>
          <w:p w:rsidR="00B625BB" w:rsidRPr="008404B2" w:rsidRDefault="00B625BB" w:rsidP="00680834">
            <w:pPr>
              <w:pStyle w:val="Bezatstarpm1"/>
              <w:jc w:val="both"/>
              <w:rPr>
                <w:rFonts w:ascii="Times New Roman" w:hAnsi="Times New Roman"/>
                <w:b/>
                <w:i/>
                <w:color w:val="000000" w:themeColor="text1"/>
                <w:sz w:val="24"/>
                <w:szCs w:val="24"/>
                <w:lang w:val="lv-LV"/>
              </w:rPr>
            </w:pPr>
          </w:p>
          <w:p w:rsidR="005639C3" w:rsidRPr="008404B2" w:rsidRDefault="00F044AF" w:rsidP="00313E40">
            <w:pPr>
              <w:pStyle w:val="Bezatstarpm1"/>
              <w:jc w:val="both"/>
              <w:rPr>
                <w:rFonts w:ascii="Times New Roman" w:hAnsi="Times New Roman"/>
                <w:i/>
                <w:color w:val="000000" w:themeColor="text1"/>
                <w:sz w:val="24"/>
                <w:szCs w:val="24"/>
                <w:lang w:val="lv-LV"/>
              </w:rPr>
            </w:pPr>
            <w:r w:rsidRPr="008404B2">
              <w:rPr>
                <w:rFonts w:ascii="Times New Roman" w:hAnsi="Times New Roman"/>
                <w:i/>
                <w:color w:val="000000" w:themeColor="text1"/>
                <w:lang w:val="lv-LV"/>
              </w:rPr>
              <w:t>b) </w:t>
            </w:r>
            <w:r w:rsidR="00214E1F" w:rsidRPr="008404B2">
              <w:rPr>
                <w:rFonts w:ascii="Times New Roman" w:hAnsi="Times New Roman"/>
                <w:i/>
                <w:color w:val="000000" w:themeColor="text1"/>
                <w:sz w:val="24"/>
                <w:szCs w:val="24"/>
                <w:lang w:val="lv-LV"/>
              </w:rPr>
              <w:t>Izslēgt prasību</w:t>
            </w:r>
            <w:r w:rsidR="00680834" w:rsidRPr="008404B2">
              <w:rPr>
                <w:rFonts w:ascii="Times New Roman" w:hAnsi="Times New Roman"/>
                <w:i/>
                <w:color w:val="000000" w:themeColor="text1"/>
                <w:sz w:val="24"/>
                <w:szCs w:val="24"/>
                <w:lang w:val="lv-LV"/>
              </w:rPr>
              <w:t xml:space="preserve"> Zāļu valsts aģentūrai publicēt tīmekļa vietn</w:t>
            </w:r>
            <w:r w:rsidR="00727438" w:rsidRPr="008404B2">
              <w:rPr>
                <w:rFonts w:ascii="Times New Roman" w:hAnsi="Times New Roman"/>
                <w:i/>
                <w:color w:val="000000" w:themeColor="text1"/>
                <w:sz w:val="24"/>
                <w:szCs w:val="24"/>
                <w:lang w:val="lv-LV"/>
              </w:rPr>
              <w:t>ē</w:t>
            </w:r>
            <w:r w:rsidR="00214E1F" w:rsidRPr="008404B2">
              <w:rPr>
                <w:rFonts w:ascii="Times New Roman" w:hAnsi="Times New Roman"/>
                <w:i/>
                <w:color w:val="000000" w:themeColor="text1"/>
                <w:sz w:val="24"/>
                <w:szCs w:val="24"/>
                <w:lang w:val="lv-LV"/>
              </w:rPr>
              <w:t xml:space="preserve"> </w:t>
            </w:r>
            <w:r w:rsidR="007112F1" w:rsidRPr="008404B2">
              <w:rPr>
                <w:rFonts w:ascii="Times New Roman" w:hAnsi="Times New Roman"/>
                <w:i/>
                <w:color w:val="000000" w:themeColor="text1"/>
                <w:sz w:val="24"/>
                <w:szCs w:val="24"/>
                <w:lang w:val="lv-LV"/>
              </w:rPr>
              <w:t xml:space="preserve">zāļu reģistrācijas, </w:t>
            </w:r>
            <w:proofErr w:type="spellStart"/>
            <w:r w:rsidR="007112F1" w:rsidRPr="008404B2">
              <w:rPr>
                <w:rFonts w:ascii="Times New Roman" w:hAnsi="Times New Roman"/>
                <w:i/>
                <w:color w:val="000000" w:themeColor="text1"/>
                <w:sz w:val="24"/>
                <w:szCs w:val="24"/>
                <w:lang w:val="lv-LV"/>
              </w:rPr>
              <w:t>pārreģistrācijas</w:t>
            </w:r>
            <w:proofErr w:type="spellEnd"/>
            <w:r w:rsidR="00680834" w:rsidRPr="008404B2">
              <w:rPr>
                <w:rFonts w:ascii="Times New Roman" w:hAnsi="Times New Roman"/>
                <w:i/>
                <w:color w:val="000000" w:themeColor="text1"/>
                <w:sz w:val="24"/>
                <w:szCs w:val="24"/>
                <w:lang w:val="lv-LV"/>
              </w:rPr>
              <w:t xml:space="preserve"> vai izmaiņu izskatīšanas iesniegumu formas. </w:t>
            </w:r>
          </w:p>
          <w:p w:rsidR="00313E40" w:rsidRPr="008404B2" w:rsidRDefault="008935A2" w:rsidP="00313E40">
            <w:pPr>
              <w:pStyle w:val="Bezatstarpm1"/>
              <w:jc w:val="both"/>
              <w:rPr>
                <w:rFonts w:ascii="Times New Roman" w:hAnsi="Times New Roman"/>
                <w:color w:val="000000" w:themeColor="text1"/>
                <w:sz w:val="24"/>
                <w:szCs w:val="24"/>
                <w:lang w:val="lv-LV"/>
              </w:rPr>
            </w:pPr>
            <w:r w:rsidRPr="008404B2">
              <w:rPr>
                <w:rFonts w:ascii="Times New Roman" w:hAnsi="Times New Roman"/>
                <w:bCs/>
                <w:color w:val="000000" w:themeColor="text1"/>
                <w:sz w:val="24"/>
                <w:szCs w:val="24"/>
                <w:lang w:val="lv-LV"/>
              </w:rPr>
              <w:t>Regulējums MK noteikumu Nr. 376</w:t>
            </w:r>
            <w:r w:rsidR="00947336" w:rsidRPr="008404B2">
              <w:rPr>
                <w:rFonts w:ascii="Times New Roman" w:hAnsi="Times New Roman"/>
                <w:bCs/>
                <w:color w:val="000000" w:themeColor="text1"/>
                <w:sz w:val="24"/>
                <w:szCs w:val="24"/>
                <w:lang w:val="lv-LV"/>
              </w:rPr>
              <w:t xml:space="preserve"> </w:t>
            </w:r>
            <w:r w:rsidRPr="008404B2">
              <w:rPr>
                <w:rFonts w:ascii="Times New Roman" w:hAnsi="Times New Roman"/>
                <w:bCs/>
                <w:color w:val="000000" w:themeColor="text1"/>
                <w:sz w:val="24"/>
                <w:szCs w:val="24"/>
                <w:lang w:val="lv-LV"/>
              </w:rPr>
              <w:t>122.7. apakšpunktā nosaka</w:t>
            </w:r>
            <w:r w:rsidRPr="008404B2">
              <w:rPr>
                <w:rFonts w:ascii="Times New Roman" w:hAnsi="Times New Roman"/>
                <w:color w:val="000000" w:themeColor="text1"/>
                <w:sz w:val="24"/>
                <w:szCs w:val="24"/>
                <w:lang w:val="lv-LV"/>
              </w:rPr>
              <w:t xml:space="preserve"> Zāļu valsts aģentūrai pienākumu publicēt tīmekļa vietnē (</w:t>
            </w:r>
            <w:hyperlink r:id="rId16" w:history="1">
              <w:r w:rsidRPr="008404B2">
                <w:rPr>
                  <w:rStyle w:val="Hyperlink"/>
                  <w:rFonts w:ascii="Times New Roman" w:hAnsi="Times New Roman"/>
                  <w:color w:val="000000" w:themeColor="text1"/>
                  <w:sz w:val="24"/>
                  <w:szCs w:val="24"/>
                  <w:u w:val="none"/>
                  <w:lang w:val="lv-LV"/>
                </w:rPr>
                <w:t>www.zva.gov.lv</w:t>
              </w:r>
            </w:hyperlink>
            <w:r w:rsidR="007112F1" w:rsidRPr="008404B2">
              <w:rPr>
                <w:rFonts w:ascii="Times New Roman" w:hAnsi="Times New Roman"/>
                <w:color w:val="000000" w:themeColor="text1"/>
                <w:sz w:val="24"/>
                <w:szCs w:val="24"/>
                <w:lang w:val="lv-LV"/>
              </w:rPr>
              <w:t xml:space="preserve">) </w:t>
            </w:r>
            <w:r w:rsidRPr="008404B2">
              <w:rPr>
                <w:rFonts w:ascii="Times New Roman" w:hAnsi="Times New Roman"/>
                <w:color w:val="000000" w:themeColor="text1"/>
                <w:sz w:val="24"/>
                <w:szCs w:val="24"/>
                <w:lang w:val="lv-LV"/>
              </w:rPr>
              <w:t xml:space="preserve">zāļu reģistrācijai, </w:t>
            </w:r>
            <w:proofErr w:type="spellStart"/>
            <w:r w:rsidRPr="008404B2">
              <w:rPr>
                <w:rFonts w:ascii="Times New Roman" w:hAnsi="Times New Roman"/>
                <w:color w:val="000000" w:themeColor="text1"/>
                <w:sz w:val="24"/>
                <w:szCs w:val="24"/>
                <w:lang w:val="lv-LV"/>
              </w:rPr>
              <w:t>pārreģistrācijai</w:t>
            </w:r>
            <w:proofErr w:type="spellEnd"/>
            <w:r w:rsidRPr="008404B2">
              <w:rPr>
                <w:rFonts w:ascii="Times New Roman" w:hAnsi="Times New Roman"/>
                <w:color w:val="000000" w:themeColor="text1"/>
                <w:sz w:val="24"/>
                <w:szCs w:val="24"/>
                <w:lang w:val="lv-LV"/>
              </w:rPr>
              <w:t xml:space="preserve"> vai izmaiņu izskatīšanas iesniegumu formas. </w:t>
            </w:r>
            <w:r w:rsidR="00CB2873" w:rsidRPr="008404B2">
              <w:rPr>
                <w:rFonts w:ascii="Times New Roman" w:hAnsi="Times New Roman"/>
                <w:color w:val="000000" w:themeColor="text1"/>
                <w:sz w:val="24"/>
                <w:szCs w:val="24"/>
                <w:lang w:val="lv-LV"/>
              </w:rPr>
              <w:t>Ņemot vērā, ka i</w:t>
            </w:r>
            <w:r w:rsidR="00833DD4" w:rsidRPr="008404B2">
              <w:rPr>
                <w:rFonts w:ascii="Times New Roman" w:hAnsi="Times New Roman"/>
                <w:color w:val="000000" w:themeColor="text1"/>
                <w:sz w:val="24"/>
                <w:szCs w:val="24"/>
                <w:lang w:val="lv-LV"/>
              </w:rPr>
              <w:t>esniegumus</w:t>
            </w:r>
            <w:r w:rsidR="00D8608E" w:rsidRPr="008404B2">
              <w:rPr>
                <w:rFonts w:ascii="Times New Roman" w:hAnsi="Times New Roman"/>
                <w:color w:val="000000" w:themeColor="text1"/>
                <w:sz w:val="24"/>
                <w:szCs w:val="24"/>
                <w:lang w:val="lv-LV"/>
              </w:rPr>
              <w:t xml:space="preserve"> zāļu reģistrācijai, </w:t>
            </w:r>
            <w:proofErr w:type="spellStart"/>
            <w:r w:rsidR="00D8608E" w:rsidRPr="008404B2">
              <w:rPr>
                <w:rFonts w:ascii="Times New Roman" w:hAnsi="Times New Roman"/>
                <w:color w:val="000000" w:themeColor="text1"/>
                <w:sz w:val="24"/>
                <w:szCs w:val="24"/>
                <w:lang w:val="lv-LV"/>
              </w:rPr>
              <w:t>pārreģistrācijai</w:t>
            </w:r>
            <w:proofErr w:type="spellEnd"/>
            <w:r w:rsidR="00D8608E" w:rsidRPr="008404B2">
              <w:rPr>
                <w:rFonts w:ascii="Times New Roman" w:hAnsi="Times New Roman"/>
                <w:color w:val="000000" w:themeColor="text1"/>
                <w:sz w:val="24"/>
                <w:szCs w:val="24"/>
                <w:lang w:val="lv-LV"/>
              </w:rPr>
              <w:t xml:space="preserve"> vai izmaiņu reģistrācijas dokumentācijā apstiprināšanai zāļu reģistrācijas apliecības īpašnieki </w:t>
            </w:r>
            <w:r w:rsidR="00727438" w:rsidRPr="008404B2">
              <w:rPr>
                <w:rFonts w:ascii="Times New Roman" w:hAnsi="Times New Roman"/>
                <w:color w:val="000000" w:themeColor="text1"/>
                <w:sz w:val="24"/>
                <w:szCs w:val="24"/>
                <w:lang w:val="lv-LV"/>
              </w:rPr>
              <w:t xml:space="preserve">iesniedz elektroniski </w:t>
            </w:r>
            <w:r w:rsidR="00313E40" w:rsidRPr="008404B2">
              <w:rPr>
                <w:rFonts w:ascii="Times New Roman" w:hAnsi="Times New Roman"/>
                <w:color w:val="000000" w:themeColor="text1"/>
                <w:sz w:val="24"/>
                <w:szCs w:val="24"/>
                <w:lang w:val="lv-LV"/>
              </w:rPr>
              <w:t>Eiropas Savienības elektroniskās sistēmas platformas ietvarā (</w:t>
            </w:r>
            <w:hyperlink r:id="rId17" w:history="1">
              <w:r w:rsidR="00313E40" w:rsidRPr="008404B2">
                <w:rPr>
                  <w:rFonts w:ascii="Times New Roman" w:hAnsi="Times New Roman"/>
                  <w:color w:val="000000" w:themeColor="text1"/>
                  <w:sz w:val="24"/>
                  <w:szCs w:val="24"/>
                  <w:lang w:val="lv-LV"/>
                </w:rPr>
                <w:t>http://esubmission.ema.europa.eu/eaf/</w:t>
              </w:r>
            </w:hyperlink>
            <w:r w:rsidR="00313E40" w:rsidRPr="008404B2">
              <w:rPr>
                <w:rFonts w:ascii="Times New Roman" w:hAnsi="Times New Roman"/>
                <w:color w:val="000000" w:themeColor="text1"/>
                <w:sz w:val="24"/>
                <w:szCs w:val="24"/>
                <w:lang w:val="lv-LV"/>
              </w:rPr>
              <w:t>), šeit ir pieejamas elektroniski arī visas iesniegumu formas</w:t>
            </w:r>
            <w:hyperlink r:id="rId18" w:history="1">
              <w:r w:rsidR="00313E40" w:rsidRPr="008404B2">
                <w:rPr>
                  <w:rFonts w:ascii="Times New Roman" w:hAnsi="Times New Roman"/>
                  <w:color w:val="000000" w:themeColor="text1"/>
                  <w:sz w:val="24"/>
                  <w:szCs w:val="24"/>
                  <w:lang w:val="lv-LV"/>
                </w:rPr>
                <w:t>,</w:t>
              </w:r>
            </w:hyperlink>
            <w:r w:rsidR="00313E40" w:rsidRPr="008404B2">
              <w:rPr>
                <w:rFonts w:ascii="Times New Roman" w:hAnsi="Times New Roman"/>
                <w:color w:val="000000" w:themeColor="text1"/>
                <w:sz w:val="24"/>
                <w:szCs w:val="24"/>
                <w:lang w:val="lv-LV"/>
              </w:rPr>
              <w:t xml:space="preserve"> līdz ar to Zāļu valsts aģentūra var savā tīmekļa vietnē norādīt saiti uz šo elektronisko platformu.</w:t>
            </w:r>
          </w:p>
          <w:p w:rsidR="00D8608E" w:rsidRPr="008404B2" w:rsidRDefault="00D8608E" w:rsidP="00CE1F11">
            <w:pPr>
              <w:pStyle w:val="Bezatstarpm1"/>
              <w:jc w:val="both"/>
              <w:rPr>
                <w:rFonts w:ascii="Times New Roman" w:hAnsi="Times New Roman"/>
                <w:b/>
                <w:i/>
                <w:color w:val="000000" w:themeColor="text1"/>
                <w:sz w:val="24"/>
                <w:szCs w:val="24"/>
                <w:lang w:val="lv-LV"/>
              </w:rPr>
            </w:pPr>
          </w:p>
          <w:p w:rsidR="00352204" w:rsidRPr="008404B2" w:rsidRDefault="007A4B47" w:rsidP="00CE1F11">
            <w:pPr>
              <w:pStyle w:val="Bezatstarpm1"/>
              <w:jc w:val="both"/>
              <w:rPr>
                <w:rFonts w:ascii="Times New Roman" w:hAnsi="Times New Roman"/>
                <w:b/>
                <w:i/>
                <w:color w:val="000000" w:themeColor="text1"/>
                <w:sz w:val="24"/>
                <w:szCs w:val="24"/>
                <w:lang w:val="lv-LV"/>
              </w:rPr>
            </w:pPr>
            <w:r w:rsidRPr="008404B2">
              <w:rPr>
                <w:rFonts w:ascii="Times New Roman" w:hAnsi="Times New Roman"/>
                <w:b/>
                <w:i/>
                <w:color w:val="000000" w:themeColor="text1"/>
                <w:sz w:val="24"/>
                <w:szCs w:val="24"/>
                <w:lang w:val="lv-LV"/>
              </w:rPr>
              <w:t>6</w:t>
            </w:r>
            <w:r w:rsidR="00AD116A" w:rsidRPr="008404B2">
              <w:rPr>
                <w:rFonts w:ascii="Times New Roman" w:hAnsi="Times New Roman"/>
                <w:b/>
                <w:i/>
                <w:color w:val="000000" w:themeColor="text1"/>
                <w:sz w:val="24"/>
                <w:szCs w:val="24"/>
                <w:lang w:val="lv-LV"/>
              </w:rPr>
              <w:t>) </w:t>
            </w:r>
            <w:r w:rsidR="00CE1F11" w:rsidRPr="008404B2">
              <w:rPr>
                <w:rFonts w:ascii="Times New Roman" w:hAnsi="Times New Roman"/>
                <w:b/>
                <w:i/>
                <w:color w:val="000000" w:themeColor="text1"/>
                <w:sz w:val="24"/>
                <w:szCs w:val="24"/>
                <w:lang w:val="lv-LV"/>
              </w:rPr>
              <w:t xml:space="preserve">Noteikt </w:t>
            </w:r>
            <w:r w:rsidR="007E09B0" w:rsidRPr="008404B2">
              <w:rPr>
                <w:rFonts w:ascii="Times New Roman" w:hAnsi="Times New Roman"/>
                <w:b/>
                <w:i/>
                <w:color w:val="000000" w:themeColor="text1"/>
                <w:sz w:val="24"/>
                <w:szCs w:val="24"/>
                <w:lang w:val="lv-LV"/>
              </w:rPr>
              <w:t xml:space="preserve">obligātu </w:t>
            </w:r>
            <w:r w:rsidR="00CE1F11" w:rsidRPr="008404B2">
              <w:rPr>
                <w:rFonts w:ascii="Times New Roman" w:hAnsi="Times New Roman"/>
                <w:b/>
                <w:i/>
                <w:color w:val="000000" w:themeColor="text1"/>
                <w:sz w:val="24"/>
                <w:szCs w:val="24"/>
                <w:lang w:val="lv-LV"/>
              </w:rPr>
              <w:t>zāļu reģistrācijas apliecības izsniegšanu elektroniskā dokumenta formā</w:t>
            </w:r>
            <w:r w:rsidR="00E851AB" w:rsidRPr="008404B2">
              <w:rPr>
                <w:rFonts w:ascii="Times New Roman" w:hAnsi="Times New Roman"/>
                <w:b/>
                <w:i/>
                <w:color w:val="000000" w:themeColor="text1"/>
                <w:sz w:val="24"/>
                <w:szCs w:val="24"/>
                <w:lang w:val="lv-LV"/>
              </w:rPr>
              <w:t>.</w:t>
            </w:r>
          </w:p>
          <w:p w:rsidR="005F6402" w:rsidRPr="008404B2" w:rsidRDefault="00441A03" w:rsidP="009051E5">
            <w:pPr>
              <w:pStyle w:val="Bezatstarpm1"/>
              <w:jc w:val="both"/>
              <w:rPr>
                <w:rFonts w:ascii="Times New Roman" w:hAnsi="Times New Roman"/>
                <w:color w:val="000000" w:themeColor="text1"/>
                <w:sz w:val="24"/>
                <w:szCs w:val="24"/>
                <w:lang w:val="lv-LV"/>
              </w:rPr>
            </w:pPr>
            <w:r w:rsidRPr="008404B2">
              <w:rPr>
                <w:rFonts w:ascii="Times New Roman" w:hAnsi="Times New Roman"/>
                <w:color w:val="000000" w:themeColor="text1"/>
                <w:sz w:val="24"/>
                <w:szCs w:val="24"/>
                <w:lang w:val="lv-LV"/>
              </w:rPr>
              <w:t>1) </w:t>
            </w:r>
            <w:r w:rsidR="00DB7A20" w:rsidRPr="008404B2">
              <w:rPr>
                <w:rFonts w:ascii="Times New Roman" w:hAnsi="Times New Roman"/>
                <w:color w:val="000000" w:themeColor="text1"/>
                <w:sz w:val="24"/>
                <w:szCs w:val="24"/>
                <w:lang w:val="lv-LV"/>
              </w:rPr>
              <w:t>Regulējums MK noteikumos Nr. 376 (12</w:t>
            </w:r>
            <w:r w:rsidR="0066321C" w:rsidRPr="008404B2">
              <w:rPr>
                <w:rFonts w:ascii="Times New Roman" w:hAnsi="Times New Roman"/>
                <w:color w:val="000000" w:themeColor="text1"/>
                <w:sz w:val="24"/>
                <w:szCs w:val="24"/>
                <w:lang w:val="lv-LV"/>
              </w:rPr>
              <w:t>2</w:t>
            </w:r>
            <w:r w:rsidR="00DB7A20" w:rsidRPr="008404B2">
              <w:rPr>
                <w:rFonts w:ascii="Times New Roman" w:hAnsi="Times New Roman"/>
                <w:color w:val="000000" w:themeColor="text1"/>
                <w:sz w:val="24"/>
                <w:szCs w:val="24"/>
                <w:lang w:val="lv-LV"/>
              </w:rPr>
              <w:t>.8. apakšpunkts un 1.</w:t>
            </w:r>
            <w:r w:rsidR="00AD116A" w:rsidRPr="008404B2">
              <w:rPr>
                <w:rFonts w:ascii="Times New Roman" w:hAnsi="Times New Roman"/>
                <w:color w:val="000000" w:themeColor="text1"/>
                <w:sz w:val="24"/>
                <w:szCs w:val="24"/>
                <w:lang w:val="lv-LV"/>
              </w:rPr>
              <w:t> </w:t>
            </w:r>
            <w:r w:rsidR="00DB7A20" w:rsidRPr="008404B2">
              <w:rPr>
                <w:rFonts w:ascii="Times New Roman" w:hAnsi="Times New Roman"/>
                <w:color w:val="000000" w:themeColor="text1"/>
                <w:sz w:val="24"/>
                <w:szCs w:val="24"/>
                <w:lang w:val="lv-LV"/>
              </w:rPr>
              <w:t xml:space="preserve">pielikums) </w:t>
            </w:r>
            <w:r w:rsidR="007E09B0" w:rsidRPr="008404B2">
              <w:rPr>
                <w:rFonts w:ascii="Times New Roman" w:hAnsi="Times New Roman"/>
                <w:color w:val="000000" w:themeColor="text1"/>
                <w:sz w:val="24"/>
                <w:szCs w:val="24"/>
                <w:lang w:val="lv-LV"/>
              </w:rPr>
              <w:t xml:space="preserve">neveicina elektronisko dokumentu apriti, jo </w:t>
            </w:r>
            <w:r w:rsidR="00352204" w:rsidRPr="008404B2">
              <w:rPr>
                <w:rFonts w:ascii="Times New Roman" w:hAnsi="Times New Roman"/>
                <w:color w:val="000000" w:themeColor="text1"/>
                <w:sz w:val="24"/>
                <w:szCs w:val="24"/>
                <w:lang w:val="lv-LV"/>
              </w:rPr>
              <w:t>ne</w:t>
            </w:r>
            <w:r w:rsidR="000F118C" w:rsidRPr="008404B2">
              <w:rPr>
                <w:rFonts w:ascii="Times New Roman" w:hAnsi="Times New Roman"/>
                <w:color w:val="000000" w:themeColor="text1"/>
                <w:sz w:val="24"/>
                <w:szCs w:val="24"/>
                <w:lang w:val="lv-LV"/>
              </w:rPr>
              <w:t xml:space="preserve">nosaka </w:t>
            </w:r>
            <w:r w:rsidR="007E09B0" w:rsidRPr="008404B2">
              <w:rPr>
                <w:rFonts w:ascii="Times New Roman" w:hAnsi="Times New Roman"/>
                <w:color w:val="000000" w:themeColor="text1"/>
                <w:sz w:val="24"/>
                <w:szCs w:val="24"/>
                <w:lang w:val="lv-LV"/>
              </w:rPr>
              <w:t xml:space="preserve">obligātu </w:t>
            </w:r>
            <w:r w:rsidR="000F118C" w:rsidRPr="008404B2">
              <w:rPr>
                <w:rFonts w:ascii="Times New Roman" w:hAnsi="Times New Roman"/>
                <w:color w:val="000000" w:themeColor="text1"/>
                <w:sz w:val="24"/>
                <w:szCs w:val="24"/>
                <w:lang w:val="lv-LV"/>
              </w:rPr>
              <w:t>zāļu reģistrācijas apliecības izsniegšan</w:t>
            </w:r>
            <w:r w:rsidR="00352204" w:rsidRPr="008404B2">
              <w:rPr>
                <w:rFonts w:ascii="Times New Roman" w:hAnsi="Times New Roman"/>
                <w:color w:val="000000" w:themeColor="text1"/>
                <w:sz w:val="24"/>
                <w:szCs w:val="24"/>
                <w:lang w:val="lv-LV"/>
              </w:rPr>
              <w:t>u elektroniskā form</w:t>
            </w:r>
            <w:r w:rsidR="007E09B0" w:rsidRPr="008404B2">
              <w:rPr>
                <w:rFonts w:ascii="Times New Roman" w:hAnsi="Times New Roman"/>
                <w:color w:val="000000" w:themeColor="text1"/>
                <w:sz w:val="24"/>
                <w:szCs w:val="24"/>
                <w:lang w:val="lv-LV"/>
              </w:rPr>
              <w:t xml:space="preserve">ā, bet paredz </w:t>
            </w:r>
            <w:r w:rsidR="002966C1" w:rsidRPr="008404B2">
              <w:rPr>
                <w:rFonts w:ascii="Times New Roman" w:hAnsi="Times New Roman"/>
                <w:color w:val="000000" w:themeColor="text1"/>
                <w:sz w:val="24"/>
                <w:szCs w:val="24"/>
                <w:lang w:val="lv-LV"/>
              </w:rPr>
              <w:t xml:space="preserve">zāļu reģistrācijas </w:t>
            </w:r>
            <w:r w:rsidR="007E09B0" w:rsidRPr="008404B2">
              <w:rPr>
                <w:rFonts w:ascii="Times New Roman" w:hAnsi="Times New Roman"/>
                <w:color w:val="000000" w:themeColor="text1"/>
                <w:sz w:val="24"/>
                <w:szCs w:val="24"/>
                <w:lang w:val="lv-LV"/>
              </w:rPr>
              <w:t xml:space="preserve">apliecības izsniegšanu papīra formā vai </w:t>
            </w:r>
            <w:r w:rsidR="007E09B0" w:rsidRPr="008404B2">
              <w:rPr>
                <w:rFonts w:ascii="Times New Roman" w:hAnsi="Times New Roman"/>
                <w:color w:val="000000" w:themeColor="text1"/>
                <w:sz w:val="24"/>
                <w:szCs w:val="24"/>
                <w:lang w:val="lv-LV"/>
              </w:rPr>
              <w:lastRenderedPageBreak/>
              <w:t xml:space="preserve">elektroniski. </w:t>
            </w:r>
            <w:r w:rsidR="00B11B5A" w:rsidRPr="008404B2">
              <w:rPr>
                <w:rFonts w:ascii="Times New Roman" w:hAnsi="Times New Roman"/>
                <w:color w:val="000000" w:themeColor="text1"/>
                <w:sz w:val="24"/>
                <w:szCs w:val="24"/>
                <w:lang w:val="lv-LV"/>
              </w:rPr>
              <w:t>Pašreiz MK noteikumu Nr.</w:t>
            </w:r>
            <w:r w:rsidR="002966C1" w:rsidRPr="008404B2">
              <w:rPr>
                <w:rFonts w:ascii="Times New Roman" w:hAnsi="Times New Roman"/>
                <w:color w:val="000000" w:themeColor="text1"/>
                <w:sz w:val="24"/>
                <w:szCs w:val="24"/>
                <w:lang w:val="lv-LV"/>
              </w:rPr>
              <w:t> </w:t>
            </w:r>
            <w:r w:rsidR="00B11B5A" w:rsidRPr="008404B2">
              <w:rPr>
                <w:rFonts w:ascii="Times New Roman" w:hAnsi="Times New Roman"/>
                <w:color w:val="000000" w:themeColor="text1"/>
                <w:sz w:val="24"/>
                <w:szCs w:val="24"/>
                <w:lang w:val="lv-LV"/>
              </w:rPr>
              <w:t>376 1. pielikumā zāļu reģistrācijas apliecībā ir no</w:t>
            </w:r>
            <w:r w:rsidR="002966C1" w:rsidRPr="008404B2">
              <w:rPr>
                <w:rFonts w:ascii="Times New Roman" w:hAnsi="Times New Roman"/>
                <w:color w:val="000000" w:themeColor="text1"/>
                <w:sz w:val="24"/>
                <w:szCs w:val="24"/>
                <w:lang w:val="lv-LV"/>
              </w:rPr>
              <w:t>rādīta rekvizīta ”Zīmogs” vieta, kas rada</w:t>
            </w:r>
            <w:r w:rsidR="00B11B5A" w:rsidRPr="008404B2">
              <w:rPr>
                <w:rFonts w:ascii="Times New Roman" w:hAnsi="Times New Roman"/>
                <w:color w:val="000000" w:themeColor="text1"/>
                <w:sz w:val="24"/>
                <w:szCs w:val="24"/>
                <w:lang w:val="lv-LV"/>
              </w:rPr>
              <w:t xml:space="preserve"> risk</w:t>
            </w:r>
            <w:r w:rsidR="002966C1" w:rsidRPr="008404B2">
              <w:rPr>
                <w:rFonts w:ascii="Times New Roman" w:hAnsi="Times New Roman"/>
                <w:color w:val="000000" w:themeColor="text1"/>
                <w:sz w:val="24"/>
                <w:szCs w:val="24"/>
                <w:lang w:val="lv-LV"/>
              </w:rPr>
              <w:t>u</w:t>
            </w:r>
            <w:r w:rsidR="00B11B5A" w:rsidRPr="008404B2">
              <w:rPr>
                <w:rFonts w:ascii="Times New Roman" w:hAnsi="Times New Roman"/>
                <w:color w:val="000000" w:themeColor="text1"/>
                <w:sz w:val="24"/>
                <w:szCs w:val="24"/>
                <w:lang w:val="lv-LV"/>
              </w:rPr>
              <w:t xml:space="preserve"> atteikumam reģistrācijas apliecību </w:t>
            </w:r>
            <w:r w:rsidR="002966C1" w:rsidRPr="008404B2">
              <w:rPr>
                <w:rFonts w:ascii="Times New Roman" w:hAnsi="Times New Roman"/>
                <w:color w:val="000000" w:themeColor="text1"/>
                <w:sz w:val="24"/>
                <w:szCs w:val="24"/>
                <w:lang w:val="lv-LV"/>
              </w:rPr>
              <w:t xml:space="preserve">izsniegt </w:t>
            </w:r>
            <w:r w:rsidR="00B11B5A" w:rsidRPr="008404B2">
              <w:rPr>
                <w:rFonts w:ascii="Times New Roman" w:hAnsi="Times New Roman"/>
                <w:color w:val="000000" w:themeColor="text1"/>
                <w:sz w:val="24"/>
                <w:szCs w:val="24"/>
                <w:lang w:val="lv-LV"/>
              </w:rPr>
              <w:t>elektroniski, jo uz elektroniskiem do</w:t>
            </w:r>
            <w:r w:rsidR="002966C1" w:rsidRPr="008404B2">
              <w:rPr>
                <w:rFonts w:ascii="Times New Roman" w:hAnsi="Times New Roman"/>
                <w:color w:val="000000" w:themeColor="text1"/>
                <w:sz w:val="24"/>
                <w:szCs w:val="24"/>
                <w:lang w:val="lv-LV"/>
              </w:rPr>
              <w:t xml:space="preserve">kumentiem nevar norādīt zīmogu. </w:t>
            </w:r>
            <w:r w:rsidR="007E09B0" w:rsidRPr="008404B2">
              <w:rPr>
                <w:rFonts w:ascii="Times New Roman" w:hAnsi="Times New Roman"/>
                <w:color w:val="000000" w:themeColor="text1"/>
                <w:sz w:val="24"/>
                <w:szCs w:val="24"/>
                <w:lang w:val="lv-LV"/>
              </w:rPr>
              <w:t>Konkretizējot r</w:t>
            </w:r>
            <w:r w:rsidR="00C67623" w:rsidRPr="008404B2">
              <w:rPr>
                <w:rFonts w:ascii="Times New Roman" w:hAnsi="Times New Roman"/>
                <w:color w:val="000000" w:themeColor="text1"/>
                <w:sz w:val="24"/>
                <w:szCs w:val="24"/>
                <w:lang w:val="lv-LV"/>
              </w:rPr>
              <w:t>egulējumu</w:t>
            </w:r>
            <w:r w:rsidR="00113DAE" w:rsidRPr="008404B2">
              <w:rPr>
                <w:rFonts w:ascii="Times New Roman" w:hAnsi="Times New Roman"/>
                <w:color w:val="000000" w:themeColor="text1"/>
                <w:sz w:val="24"/>
                <w:szCs w:val="24"/>
                <w:lang w:val="lv-LV"/>
              </w:rPr>
              <w:t xml:space="preserve"> </w:t>
            </w:r>
            <w:r w:rsidR="00B11B5A" w:rsidRPr="008404B2">
              <w:rPr>
                <w:rFonts w:ascii="Times New Roman" w:hAnsi="Times New Roman"/>
                <w:color w:val="000000" w:themeColor="text1"/>
                <w:sz w:val="24"/>
                <w:szCs w:val="24"/>
                <w:lang w:val="lv-LV"/>
              </w:rPr>
              <w:t>MK noteikumos</w:t>
            </w:r>
            <w:r w:rsidR="00DB7A20" w:rsidRPr="008404B2">
              <w:rPr>
                <w:rFonts w:ascii="Times New Roman" w:hAnsi="Times New Roman"/>
                <w:color w:val="000000" w:themeColor="text1"/>
                <w:sz w:val="24"/>
                <w:szCs w:val="24"/>
                <w:lang w:val="lv-LV"/>
              </w:rPr>
              <w:t xml:space="preserve"> Nr.</w:t>
            </w:r>
            <w:r w:rsidR="0066321C" w:rsidRPr="008404B2">
              <w:rPr>
                <w:rFonts w:ascii="Times New Roman" w:hAnsi="Times New Roman"/>
                <w:color w:val="000000" w:themeColor="text1"/>
                <w:sz w:val="24"/>
                <w:szCs w:val="24"/>
                <w:lang w:val="lv-LV"/>
              </w:rPr>
              <w:t> </w:t>
            </w:r>
            <w:r w:rsidR="00113DAE" w:rsidRPr="008404B2">
              <w:rPr>
                <w:rFonts w:ascii="Times New Roman" w:hAnsi="Times New Roman"/>
                <w:color w:val="000000" w:themeColor="text1"/>
                <w:sz w:val="24"/>
                <w:szCs w:val="24"/>
                <w:lang w:val="lv-LV"/>
              </w:rPr>
              <w:t>376</w:t>
            </w:r>
            <w:r w:rsidR="00B5359E" w:rsidRPr="008404B2">
              <w:rPr>
                <w:rFonts w:ascii="Times New Roman" w:hAnsi="Times New Roman"/>
                <w:color w:val="000000" w:themeColor="text1"/>
                <w:sz w:val="24"/>
                <w:szCs w:val="24"/>
                <w:lang w:val="lv-LV"/>
              </w:rPr>
              <w:t xml:space="preserve"> (122.8. </w:t>
            </w:r>
            <w:r w:rsidR="002966C1" w:rsidRPr="008404B2">
              <w:rPr>
                <w:rFonts w:ascii="Times New Roman" w:hAnsi="Times New Roman"/>
                <w:color w:val="000000" w:themeColor="text1"/>
                <w:sz w:val="24"/>
                <w:szCs w:val="24"/>
                <w:lang w:val="lv-LV"/>
              </w:rPr>
              <w:t>apak</w:t>
            </w:r>
            <w:r w:rsidR="00FD6AD6" w:rsidRPr="008404B2">
              <w:rPr>
                <w:rFonts w:ascii="Times New Roman" w:hAnsi="Times New Roman"/>
                <w:color w:val="000000" w:themeColor="text1"/>
                <w:sz w:val="24"/>
                <w:szCs w:val="24"/>
                <w:lang w:val="lv-LV"/>
              </w:rPr>
              <w:t>špunkta un 1. pielikumā</w:t>
            </w:r>
            <w:r w:rsidR="002966C1" w:rsidRPr="008404B2">
              <w:rPr>
                <w:rFonts w:ascii="Times New Roman" w:hAnsi="Times New Roman"/>
                <w:color w:val="000000" w:themeColor="text1"/>
                <w:sz w:val="24"/>
                <w:szCs w:val="24"/>
                <w:lang w:val="lv-LV"/>
              </w:rPr>
              <w:t>)</w:t>
            </w:r>
            <w:r w:rsidR="00C67623" w:rsidRPr="008404B2">
              <w:rPr>
                <w:rFonts w:ascii="Times New Roman" w:hAnsi="Times New Roman"/>
                <w:color w:val="000000" w:themeColor="text1"/>
                <w:sz w:val="24"/>
                <w:szCs w:val="24"/>
                <w:lang w:val="lv-LV"/>
              </w:rPr>
              <w:t>,</w:t>
            </w:r>
            <w:r w:rsidR="00DB7A20" w:rsidRPr="008404B2">
              <w:rPr>
                <w:rFonts w:ascii="Times New Roman" w:hAnsi="Times New Roman"/>
                <w:color w:val="000000" w:themeColor="text1"/>
                <w:sz w:val="24"/>
                <w:szCs w:val="24"/>
                <w:lang w:val="lv-LV"/>
              </w:rPr>
              <w:t xml:space="preserve"> </w:t>
            </w:r>
            <w:r w:rsidR="007E09B0" w:rsidRPr="008404B2">
              <w:rPr>
                <w:rFonts w:ascii="Times New Roman" w:hAnsi="Times New Roman"/>
                <w:color w:val="000000" w:themeColor="text1"/>
                <w:sz w:val="24"/>
                <w:szCs w:val="24"/>
                <w:lang w:val="lv-LV"/>
              </w:rPr>
              <w:t xml:space="preserve">un </w:t>
            </w:r>
            <w:r w:rsidR="00DB7A20" w:rsidRPr="008404B2">
              <w:rPr>
                <w:rFonts w:ascii="Times New Roman" w:hAnsi="Times New Roman"/>
                <w:color w:val="000000" w:themeColor="text1"/>
                <w:sz w:val="24"/>
                <w:szCs w:val="24"/>
                <w:lang w:val="lv-LV"/>
              </w:rPr>
              <w:t>nosakot zāļu reģistrācijas apliecīb</w:t>
            </w:r>
            <w:r w:rsidR="00113DAE" w:rsidRPr="008404B2">
              <w:rPr>
                <w:rFonts w:ascii="Times New Roman" w:hAnsi="Times New Roman"/>
                <w:color w:val="000000" w:themeColor="text1"/>
                <w:sz w:val="24"/>
                <w:szCs w:val="24"/>
                <w:lang w:val="lv-LV"/>
              </w:rPr>
              <w:t>as izsniegšanu elektro</w:t>
            </w:r>
            <w:r w:rsidR="007E09B0" w:rsidRPr="008404B2">
              <w:rPr>
                <w:rFonts w:ascii="Times New Roman" w:hAnsi="Times New Roman"/>
                <w:color w:val="000000" w:themeColor="text1"/>
                <w:sz w:val="24"/>
                <w:szCs w:val="24"/>
                <w:lang w:val="lv-LV"/>
              </w:rPr>
              <w:t>niski, tiek veicināta elektronisko dokumentu aprite, ieviešot</w:t>
            </w:r>
            <w:r w:rsidR="00C24307" w:rsidRPr="008404B2">
              <w:rPr>
                <w:rFonts w:ascii="Times New Roman" w:hAnsi="Times New Roman"/>
                <w:color w:val="000000" w:themeColor="text1"/>
                <w:sz w:val="24"/>
                <w:szCs w:val="24"/>
                <w:lang w:val="lv-LV"/>
              </w:rPr>
              <w:t xml:space="preserve"> </w:t>
            </w:r>
            <w:r w:rsidR="00FD6AD6" w:rsidRPr="008404B2">
              <w:rPr>
                <w:rFonts w:ascii="Times New Roman" w:hAnsi="Times New Roman"/>
                <w:color w:val="000000" w:themeColor="text1"/>
                <w:sz w:val="24"/>
                <w:szCs w:val="24"/>
                <w:lang w:val="lv-LV"/>
              </w:rPr>
              <w:t xml:space="preserve">arī </w:t>
            </w:r>
            <w:r w:rsidR="00C24307" w:rsidRPr="008404B2">
              <w:rPr>
                <w:rFonts w:ascii="Times New Roman" w:hAnsi="Times New Roman"/>
                <w:color w:val="000000" w:themeColor="text1"/>
                <w:sz w:val="24"/>
                <w:szCs w:val="24"/>
                <w:lang w:val="lv-LV"/>
              </w:rPr>
              <w:t>maksu</w:t>
            </w:r>
            <w:r w:rsidR="00DB7A20" w:rsidRPr="008404B2">
              <w:rPr>
                <w:rFonts w:ascii="Times New Roman" w:hAnsi="Times New Roman"/>
                <w:color w:val="000000" w:themeColor="text1"/>
                <w:sz w:val="24"/>
                <w:szCs w:val="24"/>
                <w:lang w:val="lv-LV"/>
              </w:rPr>
              <w:t xml:space="preserve"> par </w:t>
            </w:r>
            <w:r w:rsidR="00113DAE" w:rsidRPr="008404B2">
              <w:rPr>
                <w:rFonts w:ascii="Times New Roman" w:hAnsi="Times New Roman"/>
                <w:color w:val="000000" w:themeColor="text1"/>
                <w:sz w:val="24"/>
                <w:szCs w:val="24"/>
                <w:lang w:val="lv-LV"/>
              </w:rPr>
              <w:t>zāļu reģistrācijas apliecības izsniegšanu</w:t>
            </w:r>
            <w:r w:rsidR="00DB7A20" w:rsidRPr="008404B2">
              <w:rPr>
                <w:rFonts w:ascii="Times New Roman" w:hAnsi="Times New Roman"/>
                <w:color w:val="000000" w:themeColor="text1"/>
                <w:sz w:val="24"/>
                <w:szCs w:val="24"/>
                <w:lang w:val="lv-LV"/>
              </w:rPr>
              <w:t xml:space="preserve"> papīra formā</w:t>
            </w:r>
            <w:r w:rsidR="00EF669A" w:rsidRPr="008404B2">
              <w:rPr>
                <w:rFonts w:ascii="Times New Roman" w:hAnsi="Times New Roman"/>
                <w:color w:val="000000" w:themeColor="text1"/>
                <w:sz w:val="24"/>
                <w:szCs w:val="24"/>
                <w:lang w:val="lv-LV"/>
              </w:rPr>
              <w:t xml:space="preserve">, un tas risina minēto </w:t>
            </w:r>
            <w:proofErr w:type="spellStart"/>
            <w:r w:rsidR="00EF669A" w:rsidRPr="008404B2">
              <w:rPr>
                <w:rFonts w:ascii="Times New Roman" w:hAnsi="Times New Roman"/>
                <w:color w:val="000000" w:themeColor="text1"/>
                <w:sz w:val="24"/>
                <w:szCs w:val="24"/>
                <w:lang w:val="lv-LV"/>
              </w:rPr>
              <w:t>p</w:t>
            </w:r>
            <w:r w:rsidR="00B93F18" w:rsidRPr="008404B2">
              <w:rPr>
                <w:rFonts w:ascii="Times New Roman" w:hAnsi="Times New Roman"/>
                <w:color w:val="000000" w:themeColor="text1"/>
                <w:sz w:val="24"/>
                <w:szCs w:val="24"/>
                <w:lang w:val="lv-LV"/>
              </w:rPr>
              <w:t>roblēmsituāciju</w:t>
            </w:r>
            <w:proofErr w:type="spellEnd"/>
            <w:r w:rsidR="00FD6AD6" w:rsidRPr="008404B2">
              <w:rPr>
                <w:rFonts w:ascii="Times New Roman" w:hAnsi="Times New Roman"/>
                <w:color w:val="000000" w:themeColor="text1"/>
                <w:sz w:val="24"/>
                <w:szCs w:val="24"/>
                <w:lang w:val="lv-LV"/>
              </w:rPr>
              <w:t xml:space="preserve"> (Noteikumu projekta 2</w:t>
            </w:r>
            <w:r w:rsidR="002052EF" w:rsidRPr="008404B2">
              <w:rPr>
                <w:rFonts w:ascii="Times New Roman" w:hAnsi="Times New Roman"/>
                <w:color w:val="000000" w:themeColor="text1"/>
                <w:sz w:val="24"/>
                <w:szCs w:val="24"/>
                <w:lang w:val="lv-LV"/>
              </w:rPr>
              <w:t>3</w:t>
            </w:r>
            <w:r w:rsidR="00FD6AD6" w:rsidRPr="008404B2">
              <w:rPr>
                <w:rFonts w:ascii="Times New Roman" w:hAnsi="Times New Roman"/>
                <w:color w:val="000000" w:themeColor="text1"/>
                <w:sz w:val="24"/>
                <w:szCs w:val="24"/>
                <w:lang w:val="lv-LV"/>
              </w:rPr>
              <w:t>., 2</w:t>
            </w:r>
            <w:r w:rsidR="002052EF" w:rsidRPr="008404B2">
              <w:rPr>
                <w:rFonts w:ascii="Times New Roman" w:hAnsi="Times New Roman"/>
                <w:color w:val="000000" w:themeColor="text1"/>
                <w:sz w:val="24"/>
                <w:szCs w:val="24"/>
                <w:lang w:val="lv-LV"/>
              </w:rPr>
              <w:t>4</w:t>
            </w:r>
            <w:r w:rsidR="00FD6AD6" w:rsidRPr="008404B2">
              <w:rPr>
                <w:rFonts w:ascii="Times New Roman" w:hAnsi="Times New Roman"/>
                <w:color w:val="000000" w:themeColor="text1"/>
                <w:sz w:val="24"/>
                <w:szCs w:val="24"/>
                <w:lang w:val="lv-LV"/>
              </w:rPr>
              <w:t>. un 2</w:t>
            </w:r>
            <w:r w:rsidR="002052EF" w:rsidRPr="008404B2">
              <w:rPr>
                <w:rFonts w:ascii="Times New Roman" w:hAnsi="Times New Roman"/>
                <w:color w:val="000000" w:themeColor="text1"/>
                <w:sz w:val="24"/>
                <w:szCs w:val="24"/>
                <w:lang w:val="lv-LV"/>
              </w:rPr>
              <w:t>5</w:t>
            </w:r>
            <w:r w:rsidR="00FD6AD6" w:rsidRPr="008404B2">
              <w:rPr>
                <w:rFonts w:ascii="Times New Roman" w:hAnsi="Times New Roman"/>
                <w:color w:val="000000" w:themeColor="text1"/>
                <w:sz w:val="24"/>
                <w:szCs w:val="24"/>
                <w:lang w:val="lv-LV"/>
              </w:rPr>
              <w:t>. punkts)</w:t>
            </w:r>
            <w:r w:rsidR="00B93F18" w:rsidRPr="008404B2">
              <w:rPr>
                <w:rFonts w:ascii="Times New Roman" w:hAnsi="Times New Roman"/>
                <w:color w:val="000000" w:themeColor="text1"/>
                <w:sz w:val="24"/>
                <w:szCs w:val="24"/>
                <w:lang w:val="lv-LV"/>
              </w:rPr>
              <w:t>.</w:t>
            </w:r>
            <w:r w:rsidR="009051E5" w:rsidRPr="008404B2">
              <w:rPr>
                <w:rFonts w:ascii="Times New Roman" w:hAnsi="Times New Roman"/>
                <w:color w:val="000000" w:themeColor="text1"/>
                <w:sz w:val="24"/>
                <w:szCs w:val="24"/>
                <w:lang w:val="lv-LV"/>
              </w:rPr>
              <w:t xml:space="preserve"> </w:t>
            </w:r>
            <w:r w:rsidR="001D7F63" w:rsidRPr="008404B2">
              <w:rPr>
                <w:rFonts w:ascii="Times New Roman" w:hAnsi="Times New Roman"/>
                <w:color w:val="000000" w:themeColor="text1"/>
                <w:sz w:val="24"/>
                <w:szCs w:val="24"/>
                <w:lang w:val="lv-LV"/>
              </w:rPr>
              <w:t>Zāļu reģistrācijas apliecības izsniegšanai papīra formātā par maksu</w:t>
            </w:r>
            <w:r w:rsidR="005F6402" w:rsidRPr="008404B2">
              <w:rPr>
                <w:rFonts w:ascii="Times New Roman" w:hAnsi="Times New Roman"/>
                <w:color w:val="000000" w:themeColor="text1"/>
                <w:sz w:val="24"/>
                <w:szCs w:val="24"/>
                <w:lang w:val="lv-LV"/>
              </w:rPr>
              <w:t xml:space="preserve"> </w:t>
            </w:r>
            <w:r w:rsidR="00EF669A" w:rsidRPr="008404B2">
              <w:rPr>
                <w:rFonts w:ascii="Times New Roman" w:hAnsi="Times New Roman"/>
                <w:color w:val="000000" w:themeColor="text1"/>
                <w:sz w:val="24"/>
                <w:szCs w:val="24"/>
                <w:lang w:val="lv-LV"/>
              </w:rPr>
              <w:t xml:space="preserve">un pārejas perioda ieviešana normas izpildei dod iespēju </w:t>
            </w:r>
            <w:r w:rsidR="005F6402" w:rsidRPr="008404B2">
              <w:rPr>
                <w:rFonts w:ascii="Times New Roman" w:hAnsi="Times New Roman"/>
                <w:color w:val="000000" w:themeColor="text1"/>
                <w:sz w:val="24"/>
                <w:szCs w:val="24"/>
                <w:lang w:val="lv-LV"/>
              </w:rPr>
              <w:t>person</w:t>
            </w:r>
            <w:r w:rsidR="00EF669A" w:rsidRPr="008404B2">
              <w:rPr>
                <w:rFonts w:ascii="Times New Roman" w:hAnsi="Times New Roman"/>
                <w:color w:val="000000" w:themeColor="text1"/>
                <w:sz w:val="24"/>
                <w:szCs w:val="24"/>
                <w:lang w:val="lv-LV"/>
              </w:rPr>
              <w:t>ai</w:t>
            </w:r>
            <w:r w:rsidR="005F6402" w:rsidRPr="008404B2">
              <w:rPr>
                <w:rFonts w:ascii="Times New Roman" w:hAnsi="Times New Roman"/>
                <w:color w:val="000000" w:themeColor="text1"/>
                <w:sz w:val="24"/>
                <w:szCs w:val="24"/>
                <w:lang w:val="lv-LV"/>
              </w:rPr>
              <w:t>, uz kuru normatīvais regulējums attiecas, laicīgi iepazīties ar normām par maksas ieviešanu zāļu reģist</w:t>
            </w:r>
            <w:r w:rsidR="002966C1" w:rsidRPr="008404B2">
              <w:rPr>
                <w:rFonts w:ascii="Times New Roman" w:hAnsi="Times New Roman"/>
                <w:color w:val="000000" w:themeColor="text1"/>
                <w:sz w:val="24"/>
                <w:szCs w:val="24"/>
                <w:lang w:val="lv-LV"/>
              </w:rPr>
              <w:t xml:space="preserve">rācijas apliecībai papīra formā. </w:t>
            </w:r>
          </w:p>
          <w:p w:rsidR="00196A76" w:rsidRPr="008404B2" w:rsidRDefault="00196A76" w:rsidP="00196A76">
            <w:pPr>
              <w:pStyle w:val="NoSpacing"/>
              <w:jc w:val="both"/>
              <w:rPr>
                <w:color w:val="000000" w:themeColor="text1"/>
              </w:rPr>
            </w:pPr>
          </w:p>
          <w:p w:rsidR="0066321C" w:rsidRPr="008404B2" w:rsidRDefault="007A4B47" w:rsidP="00196A76">
            <w:pPr>
              <w:pStyle w:val="NoSpacing"/>
              <w:jc w:val="both"/>
              <w:rPr>
                <w:b/>
                <w:color w:val="000000" w:themeColor="text1"/>
              </w:rPr>
            </w:pPr>
            <w:r w:rsidRPr="008404B2">
              <w:rPr>
                <w:b/>
                <w:i/>
                <w:color w:val="000000" w:themeColor="text1"/>
              </w:rPr>
              <w:t>7</w:t>
            </w:r>
            <w:r w:rsidR="00AD116A" w:rsidRPr="008404B2">
              <w:rPr>
                <w:b/>
                <w:i/>
                <w:color w:val="000000" w:themeColor="text1"/>
              </w:rPr>
              <w:t>)</w:t>
            </w:r>
            <w:r w:rsidR="00AD116A" w:rsidRPr="008404B2">
              <w:rPr>
                <w:b/>
                <w:color w:val="000000" w:themeColor="text1"/>
              </w:rPr>
              <w:t> </w:t>
            </w:r>
            <w:r w:rsidR="004D785A" w:rsidRPr="008404B2">
              <w:rPr>
                <w:b/>
                <w:color w:val="000000" w:themeColor="text1"/>
              </w:rPr>
              <w:t>Tehniskie grozījumi</w:t>
            </w:r>
          </w:p>
          <w:p w:rsidR="00785E31" w:rsidRPr="008404B2" w:rsidRDefault="009F6263" w:rsidP="00196A76">
            <w:pPr>
              <w:pStyle w:val="NoSpacing"/>
              <w:jc w:val="both"/>
              <w:rPr>
                <w:color w:val="000000" w:themeColor="text1"/>
              </w:rPr>
            </w:pPr>
            <w:r w:rsidRPr="008404B2">
              <w:rPr>
                <w:color w:val="000000" w:themeColor="text1"/>
              </w:rPr>
              <w:t>1</w:t>
            </w:r>
            <w:r w:rsidR="00196A76" w:rsidRPr="008404B2">
              <w:rPr>
                <w:color w:val="000000" w:themeColor="text1"/>
              </w:rPr>
              <w:t>.</w:t>
            </w:r>
            <w:r w:rsidRPr="008404B2">
              <w:rPr>
                <w:color w:val="000000" w:themeColor="text1"/>
              </w:rPr>
              <w:t> </w:t>
            </w:r>
            <w:r w:rsidR="00EF1EB9" w:rsidRPr="008404B2">
              <w:rPr>
                <w:color w:val="000000" w:themeColor="text1"/>
              </w:rPr>
              <w:t>Saistībā ar</w:t>
            </w:r>
            <w:r w:rsidR="006E725D" w:rsidRPr="008404B2">
              <w:rPr>
                <w:color w:val="000000" w:themeColor="text1"/>
              </w:rPr>
              <w:t xml:space="preserve"> </w:t>
            </w:r>
            <w:r w:rsidR="00EF1EB9" w:rsidRPr="008404B2">
              <w:rPr>
                <w:color w:val="000000" w:themeColor="text1"/>
              </w:rPr>
              <w:t xml:space="preserve">šīs </w:t>
            </w:r>
            <w:r w:rsidR="006E725D" w:rsidRPr="008404B2">
              <w:rPr>
                <w:color w:val="000000" w:themeColor="text1"/>
              </w:rPr>
              <w:t xml:space="preserve">sadaļas 1) punktā minēto MK noteikumu Nr. 376 </w:t>
            </w:r>
            <w:r w:rsidR="00072801" w:rsidRPr="008404B2">
              <w:rPr>
                <w:color w:val="000000" w:themeColor="text1"/>
              </w:rPr>
              <w:t xml:space="preserve">84.1. apakšpunkts un </w:t>
            </w:r>
            <w:r w:rsidR="00785E31" w:rsidRPr="008404B2">
              <w:rPr>
                <w:color w:val="000000" w:themeColor="text1"/>
              </w:rPr>
              <w:t>11.</w:t>
            </w:r>
            <w:r w:rsidR="00B844FA" w:rsidRPr="008404B2">
              <w:rPr>
                <w:color w:val="000000" w:themeColor="text1"/>
                <w:vertAlign w:val="superscript"/>
              </w:rPr>
              <w:t>2</w:t>
            </w:r>
            <w:r w:rsidR="00785E31" w:rsidRPr="008404B2">
              <w:rPr>
                <w:color w:val="000000" w:themeColor="text1"/>
              </w:rPr>
              <w:t>, 11.</w:t>
            </w:r>
            <w:r w:rsidR="00B844FA" w:rsidRPr="008404B2">
              <w:rPr>
                <w:color w:val="000000" w:themeColor="text1"/>
                <w:vertAlign w:val="superscript"/>
              </w:rPr>
              <w:t>3</w:t>
            </w:r>
            <w:r w:rsidR="00785E31" w:rsidRPr="008404B2">
              <w:rPr>
                <w:color w:val="000000" w:themeColor="text1"/>
              </w:rPr>
              <w:t xml:space="preserve">, </w:t>
            </w:r>
            <w:r w:rsidR="006E725D" w:rsidRPr="008404B2">
              <w:rPr>
                <w:color w:val="000000" w:themeColor="text1"/>
              </w:rPr>
              <w:t>12.</w:t>
            </w:r>
            <w:r w:rsidR="00072801" w:rsidRPr="008404B2">
              <w:rPr>
                <w:color w:val="000000" w:themeColor="text1"/>
              </w:rPr>
              <w:t>, 84.</w:t>
            </w:r>
            <w:r w:rsidR="00072801" w:rsidRPr="008404B2">
              <w:rPr>
                <w:color w:val="000000" w:themeColor="text1"/>
                <w:vertAlign w:val="superscript"/>
              </w:rPr>
              <w:t>1</w:t>
            </w:r>
            <w:r w:rsidR="00072801" w:rsidRPr="008404B2">
              <w:rPr>
                <w:color w:val="000000" w:themeColor="text1"/>
              </w:rPr>
              <w:t>, 85.</w:t>
            </w:r>
            <w:r w:rsidR="00072801" w:rsidRPr="008404B2">
              <w:rPr>
                <w:color w:val="000000" w:themeColor="text1"/>
                <w:vertAlign w:val="superscript"/>
              </w:rPr>
              <w:t xml:space="preserve">6 </w:t>
            </w:r>
            <w:r w:rsidR="006E725D" w:rsidRPr="008404B2">
              <w:rPr>
                <w:color w:val="000000" w:themeColor="text1"/>
              </w:rPr>
              <w:t>un 107.</w:t>
            </w:r>
            <w:r w:rsidR="007C3663" w:rsidRPr="008404B2">
              <w:rPr>
                <w:color w:val="000000" w:themeColor="text1"/>
              </w:rPr>
              <w:t> </w:t>
            </w:r>
            <w:r w:rsidR="006E725D" w:rsidRPr="008404B2">
              <w:rPr>
                <w:color w:val="000000" w:themeColor="text1"/>
              </w:rPr>
              <w:t>punkt</w:t>
            </w:r>
            <w:r w:rsidR="00785E31" w:rsidRPr="008404B2">
              <w:rPr>
                <w:color w:val="000000" w:themeColor="text1"/>
              </w:rPr>
              <w:t>s</w:t>
            </w:r>
            <w:r w:rsidR="00EF1EB9" w:rsidRPr="008404B2">
              <w:rPr>
                <w:color w:val="000000" w:themeColor="text1"/>
              </w:rPr>
              <w:t xml:space="preserve"> tiek tehniski precizēts</w:t>
            </w:r>
            <w:r w:rsidR="006E725D" w:rsidRPr="008404B2">
              <w:rPr>
                <w:color w:val="000000" w:themeColor="text1"/>
              </w:rPr>
              <w:t xml:space="preserve"> (Noteikumu projekta 2.,</w:t>
            </w:r>
            <w:r w:rsidR="007C3663" w:rsidRPr="008404B2">
              <w:rPr>
                <w:color w:val="000000" w:themeColor="text1"/>
              </w:rPr>
              <w:t xml:space="preserve"> </w:t>
            </w:r>
            <w:r w:rsidR="006E725D" w:rsidRPr="008404B2">
              <w:rPr>
                <w:color w:val="000000" w:themeColor="text1"/>
              </w:rPr>
              <w:t>3., 5.</w:t>
            </w:r>
            <w:r w:rsidR="005046CE" w:rsidRPr="008404B2">
              <w:rPr>
                <w:color w:val="000000" w:themeColor="text1"/>
              </w:rPr>
              <w:t>, 8</w:t>
            </w:r>
            <w:r w:rsidR="00EF1EB9" w:rsidRPr="008404B2">
              <w:rPr>
                <w:color w:val="000000" w:themeColor="text1"/>
              </w:rPr>
              <w:t>.</w:t>
            </w:r>
            <w:r w:rsidR="00072801" w:rsidRPr="008404B2">
              <w:rPr>
                <w:color w:val="000000" w:themeColor="text1"/>
              </w:rPr>
              <w:t>, 12., 13., 15.</w:t>
            </w:r>
            <w:r w:rsidR="005046CE" w:rsidRPr="008404B2">
              <w:rPr>
                <w:color w:val="000000" w:themeColor="text1"/>
              </w:rPr>
              <w:t xml:space="preserve"> un </w:t>
            </w:r>
            <w:r w:rsidR="003D4F00" w:rsidRPr="008404B2">
              <w:rPr>
                <w:color w:val="000000" w:themeColor="text1"/>
              </w:rPr>
              <w:t>20</w:t>
            </w:r>
            <w:r w:rsidR="005046CE" w:rsidRPr="008404B2">
              <w:rPr>
                <w:color w:val="000000" w:themeColor="text1"/>
              </w:rPr>
              <w:t>. </w:t>
            </w:r>
            <w:r w:rsidR="006E725D" w:rsidRPr="008404B2">
              <w:rPr>
                <w:color w:val="000000" w:themeColor="text1"/>
              </w:rPr>
              <w:t>punkts).</w:t>
            </w:r>
            <w:r w:rsidR="00785E31" w:rsidRPr="008404B2">
              <w:rPr>
                <w:color w:val="000000" w:themeColor="text1"/>
              </w:rPr>
              <w:t xml:space="preserve"> MK noteikumu 11.</w:t>
            </w:r>
            <w:r w:rsidR="0079366A" w:rsidRPr="008404B2">
              <w:rPr>
                <w:color w:val="000000" w:themeColor="text1"/>
                <w:vertAlign w:val="superscript"/>
              </w:rPr>
              <w:t>4</w:t>
            </w:r>
            <w:r w:rsidR="00785E31" w:rsidRPr="008404B2">
              <w:rPr>
                <w:color w:val="000000" w:themeColor="text1"/>
              </w:rPr>
              <w:t> punkts tiek konkretizēts, jo izmaiņu izskatīšanu zālēm regulē Komisijas Regulas Nr. </w:t>
            </w:r>
            <w:hyperlink r:id="rId19" w:tgtFrame="_blank" w:history="1">
              <w:r w:rsidR="00785E31" w:rsidRPr="008404B2">
                <w:rPr>
                  <w:rStyle w:val="Hyperlink"/>
                  <w:rFonts w:eastAsia="Calibri"/>
                  <w:color w:val="000000" w:themeColor="text1"/>
                  <w:u w:val="none"/>
                </w:rPr>
                <w:t>1234/2008</w:t>
              </w:r>
            </w:hyperlink>
            <w:r w:rsidR="00785E31" w:rsidRPr="008404B2">
              <w:rPr>
                <w:color w:val="000000" w:themeColor="text1"/>
              </w:rPr>
              <w:t>, no k</w:t>
            </w:r>
            <w:r w:rsidR="00196A76" w:rsidRPr="008404B2">
              <w:rPr>
                <w:color w:val="000000" w:themeColor="text1"/>
              </w:rPr>
              <w:t>uras darbības jomas ir izslēgta</w:t>
            </w:r>
            <w:r w:rsidR="00785E31" w:rsidRPr="008404B2">
              <w:rPr>
                <w:color w:val="000000" w:themeColor="text1"/>
              </w:rPr>
              <w:t xml:space="preserve"> izmaiņu izskatīšana vienkāršotajā reģistrācijas procedūrā reģistrētajām homeopātiskajām, </w:t>
            </w:r>
            <w:proofErr w:type="spellStart"/>
            <w:r w:rsidR="00785E31" w:rsidRPr="008404B2">
              <w:rPr>
                <w:color w:val="000000" w:themeColor="text1"/>
              </w:rPr>
              <w:t>antropozofiskās</w:t>
            </w:r>
            <w:proofErr w:type="spellEnd"/>
            <w:r w:rsidR="00785E31" w:rsidRPr="008404B2">
              <w:rPr>
                <w:color w:val="000000" w:themeColor="text1"/>
              </w:rPr>
              <w:t xml:space="preserve"> un augu izcelsmes zālēm (Noteikumu projekta 4. punkts).</w:t>
            </w:r>
          </w:p>
          <w:p w:rsidR="00785E31" w:rsidRPr="008404B2" w:rsidRDefault="00785E31" w:rsidP="00196A76">
            <w:pPr>
              <w:pStyle w:val="NoSpacing"/>
              <w:jc w:val="both"/>
              <w:rPr>
                <w:color w:val="000000" w:themeColor="text1"/>
              </w:rPr>
            </w:pPr>
          </w:p>
          <w:p w:rsidR="008711F5" w:rsidRPr="008404B2" w:rsidRDefault="00785E31" w:rsidP="00196A76">
            <w:pPr>
              <w:pStyle w:val="NoSpacing"/>
              <w:jc w:val="both"/>
              <w:rPr>
                <w:bCs/>
                <w:color w:val="000000" w:themeColor="text1"/>
              </w:rPr>
            </w:pPr>
            <w:r w:rsidRPr="008404B2">
              <w:rPr>
                <w:color w:val="000000" w:themeColor="text1"/>
              </w:rPr>
              <w:t>2</w:t>
            </w:r>
            <w:r w:rsidR="00196A76" w:rsidRPr="008404B2">
              <w:rPr>
                <w:color w:val="000000" w:themeColor="text1"/>
              </w:rPr>
              <w:t>.</w:t>
            </w:r>
            <w:r w:rsidR="00F64A07" w:rsidRPr="008404B2">
              <w:rPr>
                <w:color w:val="000000" w:themeColor="text1"/>
              </w:rPr>
              <w:t> </w:t>
            </w:r>
            <w:r w:rsidR="008711F5" w:rsidRPr="008404B2">
              <w:rPr>
                <w:color w:val="000000" w:themeColor="text1"/>
              </w:rPr>
              <w:t>Tā kā MK noteikumu Nr. 376 11. punktā ietverts Komisijas regulas Nr. 1234/2008 saīsinājums</w:t>
            </w:r>
            <w:r w:rsidR="00430BBD" w:rsidRPr="008404B2">
              <w:rPr>
                <w:color w:val="000000" w:themeColor="text1"/>
              </w:rPr>
              <w:t>, tiek precizēts MK noteikumu Nr. 376 40.4. apakšpunkts</w:t>
            </w:r>
            <w:r w:rsidR="008711F5" w:rsidRPr="008404B2">
              <w:rPr>
                <w:color w:val="000000" w:themeColor="text1"/>
              </w:rPr>
              <w:t>, nodrošin</w:t>
            </w:r>
            <w:r w:rsidR="00430BBD" w:rsidRPr="008404B2">
              <w:rPr>
                <w:color w:val="000000" w:themeColor="text1"/>
              </w:rPr>
              <w:t>ot</w:t>
            </w:r>
            <w:r w:rsidR="008711F5" w:rsidRPr="008404B2">
              <w:rPr>
                <w:color w:val="000000" w:themeColor="text1"/>
              </w:rPr>
              <w:t xml:space="preserve"> atbilstību </w:t>
            </w:r>
            <w:r w:rsidR="00196A76" w:rsidRPr="008404B2">
              <w:rPr>
                <w:bCs/>
                <w:color w:val="000000" w:themeColor="text1"/>
              </w:rPr>
              <w:t>Ministru kabineta 2009. gada 3. februāra noteikumu Nr. 108</w:t>
            </w:r>
            <w:r w:rsidR="00196A76" w:rsidRPr="008404B2">
              <w:rPr>
                <w:color w:val="000000" w:themeColor="text1"/>
              </w:rPr>
              <w:t xml:space="preserve"> “</w:t>
            </w:r>
            <w:r w:rsidR="00196A76" w:rsidRPr="008404B2">
              <w:rPr>
                <w:bCs/>
                <w:color w:val="000000" w:themeColor="text1"/>
              </w:rPr>
              <w:t xml:space="preserve">Normatīvo aktu projektu sagatavošanas noteikumi” </w:t>
            </w:r>
            <w:r w:rsidR="008711F5" w:rsidRPr="008404B2">
              <w:rPr>
                <w:color w:val="000000" w:themeColor="text1"/>
              </w:rPr>
              <w:t>2.3.</w:t>
            </w:r>
            <w:r w:rsidR="00430BBD" w:rsidRPr="008404B2">
              <w:rPr>
                <w:color w:val="000000" w:themeColor="text1"/>
              </w:rPr>
              <w:t> </w:t>
            </w:r>
            <w:r w:rsidR="008711F5" w:rsidRPr="008404B2">
              <w:rPr>
                <w:color w:val="000000" w:themeColor="text1"/>
              </w:rPr>
              <w:t>apakšpunktam</w:t>
            </w:r>
            <w:r w:rsidR="00F64A07" w:rsidRPr="008404B2">
              <w:rPr>
                <w:color w:val="000000" w:themeColor="text1"/>
              </w:rPr>
              <w:t xml:space="preserve"> </w:t>
            </w:r>
            <w:r w:rsidR="00196A76" w:rsidRPr="008404B2">
              <w:rPr>
                <w:color w:val="000000" w:themeColor="text1"/>
              </w:rPr>
              <w:t>(turpmāk </w:t>
            </w:r>
            <w:r w:rsidR="00196A76" w:rsidRPr="008404B2">
              <w:rPr>
                <w:color w:val="000000" w:themeColor="text1"/>
              </w:rPr>
              <w:noBreakHyphen/>
              <w:t xml:space="preserve"> MK noteikumi Nr. 108) </w:t>
            </w:r>
            <w:r w:rsidR="002C75A6" w:rsidRPr="008404B2">
              <w:rPr>
                <w:bCs/>
                <w:color w:val="000000" w:themeColor="text1"/>
              </w:rPr>
              <w:t>(Noteikumu projekta 6</w:t>
            </w:r>
            <w:r w:rsidR="00F64A07" w:rsidRPr="008404B2">
              <w:rPr>
                <w:bCs/>
                <w:color w:val="000000" w:themeColor="text1"/>
              </w:rPr>
              <w:t>. punkts).</w:t>
            </w:r>
          </w:p>
          <w:p w:rsidR="00430BBD" w:rsidRPr="008404B2" w:rsidRDefault="00430BBD" w:rsidP="00430BBD">
            <w:pPr>
              <w:pStyle w:val="Bezatstarpm1"/>
              <w:jc w:val="both"/>
              <w:rPr>
                <w:rFonts w:ascii="Times New Roman" w:hAnsi="Times New Roman"/>
                <w:color w:val="000000" w:themeColor="text1"/>
                <w:sz w:val="24"/>
                <w:szCs w:val="24"/>
                <w:lang w:val="lv-LV"/>
              </w:rPr>
            </w:pPr>
          </w:p>
          <w:p w:rsidR="00CA1D65" w:rsidRPr="008404B2" w:rsidRDefault="00586060" w:rsidP="00536788">
            <w:pPr>
              <w:pStyle w:val="NoSpacing"/>
              <w:jc w:val="both"/>
              <w:rPr>
                <w:bCs/>
                <w:color w:val="000000" w:themeColor="text1"/>
              </w:rPr>
            </w:pPr>
            <w:r w:rsidRPr="008404B2">
              <w:rPr>
                <w:color w:val="000000" w:themeColor="text1"/>
              </w:rPr>
              <w:t>3</w:t>
            </w:r>
            <w:r w:rsidR="00196A76" w:rsidRPr="008404B2">
              <w:rPr>
                <w:color w:val="000000" w:themeColor="text1"/>
              </w:rPr>
              <w:t>.</w:t>
            </w:r>
            <w:r w:rsidR="00D92953" w:rsidRPr="008404B2">
              <w:rPr>
                <w:color w:val="000000" w:themeColor="text1"/>
              </w:rPr>
              <w:t> </w:t>
            </w:r>
            <w:r w:rsidR="00CA1D65" w:rsidRPr="008404B2">
              <w:rPr>
                <w:color w:val="000000" w:themeColor="text1"/>
              </w:rPr>
              <w:t>Grozīju</w:t>
            </w:r>
            <w:r w:rsidR="00D92953" w:rsidRPr="008404B2">
              <w:rPr>
                <w:color w:val="000000" w:themeColor="text1"/>
              </w:rPr>
              <w:t xml:space="preserve">ms </w:t>
            </w:r>
            <w:r w:rsidR="004B5EC8" w:rsidRPr="008404B2">
              <w:rPr>
                <w:color w:val="000000" w:themeColor="text1"/>
              </w:rPr>
              <w:t>MK noteikumu Nr. 376 85. punktā</w:t>
            </w:r>
            <w:r w:rsidR="00F64A07" w:rsidRPr="008404B2">
              <w:rPr>
                <w:color w:val="000000" w:themeColor="text1"/>
              </w:rPr>
              <w:t xml:space="preserve"> nodrošin</w:t>
            </w:r>
            <w:r w:rsidR="00430BBD" w:rsidRPr="008404B2">
              <w:rPr>
                <w:color w:val="000000" w:themeColor="text1"/>
              </w:rPr>
              <w:t>a</w:t>
            </w:r>
            <w:r w:rsidR="00CA1D65" w:rsidRPr="008404B2">
              <w:rPr>
                <w:color w:val="000000" w:themeColor="text1"/>
              </w:rPr>
              <w:t xml:space="preserve"> atbilstību </w:t>
            </w:r>
            <w:r w:rsidR="00D92953" w:rsidRPr="008404B2">
              <w:rPr>
                <w:color w:val="000000" w:themeColor="text1"/>
              </w:rPr>
              <w:t>MK</w:t>
            </w:r>
            <w:r w:rsidR="00CA1D65" w:rsidRPr="008404B2">
              <w:rPr>
                <w:color w:val="000000" w:themeColor="text1"/>
              </w:rPr>
              <w:t xml:space="preserve"> noteikumu Nr.</w:t>
            </w:r>
            <w:r w:rsidR="00D92953" w:rsidRPr="008404B2">
              <w:rPr>
                <w:color w:val="000000" w:themeColor="text1"/>
              </w:rPr>
              <w:t> </w:t>
            </w:r>
            <w:r w:rsidR="00CA1D65" w:rsidRPr="008404B2">
              <w:rPr>
                <w:color w:val="000000" w:themeColor="text1"/>
              </w:rPr>
              <w:t xml:space="preserve">108 </w:t>
            </w:r>
            <w:r w:rsidR="00F64A07" w:rsidRPr="008404B2">
              <w:rPr>
                <w:color w:val="000000" w:themeColor="text1"/>
              </w:rPr>
              <w:t>2.1. apakšpunktam</w:t>
            </w:r>
            <w:r w:rsidR="00430BBD" w:rsidRPr="008404B2">
              <w:rPr>
                <w:color w:val="000000" w:themeColor="text1"/>
              </w:rPr>
              <w:t>, svītrojot lieko saīsinājumu</w:t>
            </w:r>
            <w:r w:rsidR="00CA1D65" w:rsidRPr="008404B2">
              <w:rPr>
                <w:color w:val="000000" w:themeColor="text1"/>
              </w:rPr>
              <w:t xml:space="preserve"> </w:t>
            </w:r>
            <w:r w:rsidR="002C75A6" w:rsidRPr="008404B2">
              <w:rPr>
                <w:bCs/>
                <w:color w:val="000000" w:themeColor="text1"/>
              </w:rPr>
              <w:t>(Noteikumu projekta 1</w:t>
            </w:r>
            <w:r w:rsidR="003D4F00" w:rsidRPr="008404B2">
              <w:rPr>
                <w:bCs/>
                <w:color w:val="000000" w:themeColor="text1"/>
              </w:rPr>
              <w:t>4</w:t>
            </w:r>
            <w:r w:rsidR="00297048" w:rsidRPr="008404B2">
              <w:rPr>
                <w:bCs/>
                <w:color w:val="000000" w:themeColor="text1"/>
              </w:rPr>
              <w:t>. punkts).</w:t>
            </w:r>
          </w:p>
          <w:p w:rsidR="00D92953" w:rsidRPr="008404B2" w:rsidRDefault="00D92953" w:rsidP="00CA1D65">
            <w:pPr>
              <w:pStyle w:val="NoSpacing"/>
              <w:jc w:val="both"/>
              <w:rPr>
                <w:bCs/>
                <w:color w:val="000000" w:themeColor="text1"/>
              </w:rPr>
            </w:pPr>
          </w:p>
          <w:p w:rsidR="00D92953" w:rsidRPr="008404B2" w:rsidRDefault="00586060" w:rsidP="00A06083">
            <w:pPr>
              <w:pStyle w:val="NoSpacing"/>
              <w:jc w:val="both"/>
              <w:rPr>
                <w:bCs/>
                <w:color w:val="000000" w:themeColor="text1"/>
              </w:rPr>
            </w:pPr>
            <w:r w:rsidRPr="008404B2">
              <w:rPr>
                <w:bCs/>
                <w:color w:val="000000" w:themeColor="text1"/>
              </w:rPr>
              <w:t>4</w:t>
            </w:r>
            <w:r w:rsidR="00196A76" w:rsidRPr="008404B2">
              <w:rPr>
                <w:bCs/>
                <w:color w:val="000000" w:themeColor="text1"/>
              </w:rPr>
              <w:t>.</w:t>
            </w:r>
            <w:r w:rsidR="00D92953" w:rsidRPr="008404B2">
              <w:rPr>
                <w:bCs/>
                <w:color w:val="000000" w:themeColor="text1"/>
              </w:rPr>
              <w:t> </w:t>
            </w:r>
            <w:r w:rsidR="00F64A07" w:rsidRPr="008404B2">
              <w:rPr>
                <w:color w:val="000000" w:themeColor="text1"/>
              </w:rPr>
              <w:t xml:space="preserve">Grozījums </w:t>
            </w:r>
            <w:r w:rsidR="00D92953" w:rsidRPr="008404B2">
              <w:rPr>
                <w:bCs/>
                <w:color w:val="000000" w:themeColor="text1"/>
              </w:rPr>
              <w:t>MK noteikumu Nr. 376 91.6.4. </w:t>
            </w:r>
            <w:r w:rsidR="00F64A07" w:rsidRPr="008404B2">
              <w:rPr>
                <w:bCs/>
                <w:color w:val="000000" w:themeColor="text1"/>
              </w:rPr>
              <w:t>apakšpunktā</w:t>
            </w:r>
            <w:r w:rsidR="004B5EC8" w:rsidRPr="008404B2">
              <w:rPr>
                <w:bCs/>
                <w:color w:val="000000" w:themeColor="text1"/>
              </w:rPr>
              <w:t xml:space="preserve"> </w:t>
            </w:r>
            <w:r w:rsidR="00C67623" w:rsidRPr="008404B2">
              <w:rPr>
                <w:bCs/>
                <w:color w:val="000000" w:themeColor="text1"/>
              </w:rPr>
              <w:t>padara</w:t>
            </w:r>
            <w:r w:rsidR="00F64A07" w:rsidRPr="008404B2">
              <w:rPr>
                <w:bCs/>
                <w:color w:val="000000" w:themeColor="text1"/>
              </w:rPr>
              <w:t xml:space="preserve"> normu skaidrāku</w:t>
            </w:r>
            <w:r w:rsidR="00CA1D65" w:rsidRPr="008404B2">
              <w:rPr>
                <w:bCs/>
                <w:color w:val="000000" w:themeColor="text1"/>
              </w:rPr>
              <w:t xml:space="preserve"> attiecībā uz to, kādus riska pārvaldības sistēmas pasākumus jāiekļau</w:t>
            </w:r>
            <w:r w:rsidR="00D92953" w:rsidRPr="008404B2">
              <w:rPr>
                <w:bCs/>
                <w:color w:val="000000" w:themeColor="text1"/>
              </w:rPr>
              <w:t xml:space="preserve">j </w:t>
            </w:r>
            <w:r w:rsidR="00F64A07" w:rsidRPr="008404B2">
              <w:rPr>
                <w:bCs/>
                <w:color w:val="000000" w:themeColor="text1"/>
              </w:rPr>
              <w:t xml:space="preserve">lēmumā par zāļu reģistrēšanu </w:t>
            </w:r>
            <w:r w:rsidR="004B5EC8" w:rsidRPr="008404B2">
              <w:rPr>
                <w:bCs/>
                <w:color w:val="000000" w:themeColor="text1"/>
              </w:rPr>
              <w:t>(Noteikumu projekta 1</w:t>
            </w:r>
            <w:r w:rsidR="003D4F00" w:rsidRPr="008404B2">
              <w:rPr>
                <w:bCs/>
                <w:color w:val="000000" w:themeColor="text1"/>
              </w:rPr>
              <w:t>9</w:t>
            </w:r>
            <w:r w:rsidR="004B5EC8" w:rsidRPr="008404B2">
              <w:rPr>
                <w:bCs/>
                <w:color w:val="000000" w:themeColor="text1"/>
              </w:rPr>
              <w:t>. punkts)</w:t>
            </w:r>
            <w:r w:rsidR="00D92953" w:rsidRPr="008404B2">
              <w:rPr>
                <w:bCs/>
                <w:color w:val="000000" w:themeColor="text1"/>
              </w:rPr>
              <w:t>.</w:t>
            </w:r>
          </w:p>
          <w:p w:rsidR="00057163" w:rsidRPr="008404B2" w:rsidRDefault="00057163" w:rsidP="00A06083">
            <w:pPr>
              <w:pStyle w:val="NoSpacing"/>
              <w:jc w:val="both"/>
              <w:rPr>
                <w:color w:val="000000" w:themeColor="text1"/>
              </w:rPr>
            </w:pPr>
          </w:p>
          <w:p w:rsidR="003862A7" w:rsidRPr="008404B2" w:rsidRDefault="00196A76" w:rsidP="00A06083">
            <w:pPr>
              <w:pStyle w:val="NoSpacing"/>
              <w:jc w:val="both"/>
              <w:rPr>
                <w:color w:val="000000" w:themeColor="text1"/>
              </w:rPr>
            </w:pPr>
            <w:r w:rsidRPr="008404B2">
              <w:rPr>
                <w:color w:val="000000" w:themeColor="text1"/>
              </w:rPr>
              <w:t>5.</w:t>
            </w:r>
            <w:r w:rsidR="00D92953" w:rsidRPr="008404B2">
              <w:rPr>
                <w:color w:val="000000" w:themeColor="text1"/>
              </w:rPr>
              <w:t> </w:t>
            </w:r>
            <w:r w:rsidR="00F64A07" w:rsidRPr="008404B2">
              <w:rPr>
                <w:color w:val="000000" w:themeColor="text1"/>
              </w:rPr>
              <w:t>Grozījums MK noteikumu Nr. 376 122.1. apakšpunktā</w:t>
            </w:r>
            <w:r w:rsidR="00047F86" w:rsidRPr="008404B2">
              <w:rPr>
                <w:color w:val="000000" w:themeColor="text1"/>
              </w:rPr>
              <w:t>,</w:t>
            </w:r>
            <w:r w:rsidR="00F64A07" w:rsidRPr="008404B2">
              <w:rPr>
                <w:color w:val="000000" w:themeColor="text1"/>
              </w:rPr>
              <w:t xml:space="preserve"> izslēdzot dublējošās normas </w:t>
            </w:r>
            <w:r w:rsidR="00A06083" w:rsidRPr="008404B2">
              <w:rPr>
                <w:color w:val="000000" w:themeColor="text1"/>
              </w:rPr>
              <w:t xml:space="preserve">(par </w:t>
            </w:r>
            <w:r w:rsidR="009051E5" w:rsidRPr="008404B2">
              <w:rPr>
                <w:color w:val="000000" w:themeColor="text1"/>
              </w:rPr>
              <w:t>komisiju procedūru publiskošanu</w:t>
            </w:r>
            <w:r w:rsidR="00A06083" w:rsidRPr="008404B2">
              <w:rPr>
                <w:color w:val="000000" w:themeColor="text1"/>
              </w:rPr>
              <w:t xml:space="preserve">) </w:t>
            </w:r>
            <w:r w:rsidR="00F64A07" w:rsidRPr="008404B2">
              <w:rPr>
                <w:color w:val="000000" w:themeColor="text1"/>
              </w:rPr>
              <w:t>ar MK note</w:t>
            </w:r>
            <w:r w:rsidR="00586060" w:rsidRPr="008404B2">
              <w:rPr>
                <w:color w:val="000000" w:themeColor="text1"/>
              </w:rPr>
              <w:t xml:space="preserve">ikumu Nr. 376 </w:t>
            </w:r>
            <w:r w:rsidR="00A06083" w:rsidRPr="008404B2">
              <w:rPr>
                <w:color w:val="000000" w:themeColor="text1"/>
              </w:rPr>
              <w:t>122.3. apakšpunktu</w:t>
            </w:r>
            <w:r w:rsidR="00F64A07" w:rsidRPr="008404B2">
              <w:rPr>
                <w:color w:val="000000" w:themeColor="text1"/>
              </w:rPr>
              <w:t>, nodrošin</w:t>
            </w:r>
            <w:r w:rsidR="00785E31" w:rsidRPr="008404B2">
              <w:rPr>
                <w:color w:val="000000" w:themeColor="text1"/>
              </w:rPr>
              <w:t>a</w:t>
            </w:r>
            <w:r w:rsidR="00586060" w:rsidRPr="008404B2">
              <w:rPr>
                <w:color w:val="000000" w:themeColor="text1"/>
              </w:rPr>
              <w:t xml:space="preserve"> atbilstību </w:t>
            </w:r>
            <w:r w:rsidR="00F64A07" w:rsidRPr="008404B2">
              <w:rPr>
                <w:color w:val="000000" w:themeColor="text1"/>
              </w:rPr>
              <w:t>MK noteikumu</w:t>
            </w:r>
            <w:r w:rsidR="00D92953" w:rsidRPr="008404B2">
              <w:rPr>
                <w:color w:val="000000" w:themeColor="text1"/>
              </w:rPr>
              <w:t xml:space="preserve"> Nr. </w:t>
            </w:r>
            <w:r w:rsidR="00F64A07" w:rsidRPr="008404B2">
              <w:rPr>
                <w:color w:val="000000" w:themeColor="text1"/>
              </w:rPr>
              <w:t>108</w:t>
            </w:r>
            <w:r w:rsidR="00CA1D65" w:rsidRPr="008404B2">
              <w:rPr>
                <w:color w:val="000000" w:themeColor="text1"/>
              </w:rPr>
              <w:t xml:space="preserve"> 3.3.</w:t>
            </w:r>
            <w:r w:rsidR="00F44137" w:rsidRPr="008404B2">
              <w:rPr>
                <w:color w:val="000000" w:themeColor="text1"/>
              </w:rPr>
              <w:t> </w:t>
            </w:r>
            <w:r w:rsidR="00CA1D65" w:rsidRPr="008404B2">
              <w:rPr>
                <w:color w:val="000000" w:themeColor="text1"/>
              </w:rPr>
              <w:t>apakš</w:t>
            </w:r>
            <w:r w:rsidR="00F64A07" w:rsidRPr="008404B2">
              <w:rPr>
                <w:color w:val="000000" w:themeColor="text1"/>
              </w:rPr>
              <w:t xml:space="preserve">punktam </w:t>
            </w:r>
            <w:r w:rsidR="00F53E10" w:rsidRPr="008404B2">
              <w:rPr>
                <w:color w:val="000000" w:themeColor="text1"/>
              </w:rPr>
              <w:t xml:space="preserve">(Noteikumu projekta </w:t>
            </w:r>
            <w:r w:rsidR="003D4F00" w:rsidRPr="008404B2">
              <w:rPr>
                <w:color w:val="000000" w:themeColor="text1"/>
              </w:rPr>
              <w:t>21</w:t>
            </w:r>
            <w:r w:rsidR="00D92953" w:rsidRPr="008404B2">
              <w:rPr>
                <w:color w:val="000000" w:themeColor="text1"/>
              </w:rPr>
              <w:t>. </w:t>
            </w:r>
            <w:r w:rsidR="00CA1D65" w:rsidRPr="008404B2">
              <w:rPr>
                <w:color w:val="000000" w:themeColor="text1"/>
              </w:rPr>
              <w:t>punkts).</w:t>
            </w:r>
          </w:p>
          <w:p w:rsidR="001E4E32" w:rsidRPr="008404B2" w:rsidRDefault="001E4E32" w:rsidP="00A06083">
            <w:pPr>
              <w:pStyle w:val="NoSpacing"/>
              <w:jc w:val="both"/>
              <w:rPr>
                <w:color w:val="000000" w:themeColor="text1"/>
              </w:rPr>
            </w:pPr>
          </w:p>
          <w:p w:rsidR="001E4E32" w:rsidRPr="008404B2" w:rsidRDefault="001E4E32" w:rsidP="00A06083">
            <w:pPr>
              <w:pStyle w:val="NoSpacing"/>
              <w:jc w:val="both"/>
              <w:rPr>
                <w:color w:val="000000" w:themeColor="text1"/>
              </w:rPr>
            </w:pPr>
            <w:r w:rsidRPr="008404B2">
              <w:rPr>
                <w:color w:val="000000" w:themeColor="text1"/>
              </w:rPr>
              <w:t>6. Grozījums MK noteikumu Nr. 376 82. punktā redakcionāli konkretizē reģistrācijas īpašn</w:t>
            </w:r>
            <w:r w:rsidR="00E24A37" w:rsidRPr="008404B2">
              <w:rPr>
                <w:color w:val="000000" w:themeColor="text1"/>
              </w:rPr>
              <w:t xml:space="preserve">ieka maiņai iesniedzamos datus </w:t>
            </w:r>
            <w:r w:rsidRPr="008404B2">
              <w:rPr>
                <w:color w:val="000000" w:themeColor="text1"/>
              </w:rPr>
              <w:t>(Noteikumu projekta 10. punkts).</w:t>
            </w:r>
          </w:p>
        </w:tc>
      </w:tr>
      <w:tr w:rsidR="008404B2" w:rsidRPr="008404B2" w:rsidTr="00D8608E">
        <w:trPr>
          <w:trHeight w:val="465"/>
        </w:trPr>
        <w:tc>
          <w:tcPr>
            <w:tcW w:w="160" w:type="pct"/>
            <w:tcBorders>
              <w:top w:val="outset" w:sz="6" w:space="0" w:color="414142"/>
              <w:bottom w:val="outset" w:sz="6" w:space="0" w:color="414142"/>
              <w:right w:val="outset" w:sz="6" w:space="0" w:color="414142"/>
            </w:tcBorders>
            <w:shd w:val="clear" w:color="auto" w:fill="FFFFFF"/>
          </w:tcPr>
          <w:p w:rsidR="000179D2" w:rsidRPr="008404B2" w:rsidRDefault="000179D2" w:rsidP="00FF6EBF">
            <w:pPr>
              <w:pStyle w:val="NoSpacing"/>
              <w:rPr>
                <w:color w:val="000000" w:themeColor="text1"/>
              </w:rPr>
            </w:pPr>
            <w:r w:rsidRPr="008404B2">
              <w:rPr>
                <w:color w:val="000000" w:themeColor="text1"/>
              </w:rPr>
              <w:lastRenderedPageBreak/>
              <w:t>3.</w:t>
            </w:r>
          </w:p>
        </w:tc>
        <w:tc>
          <w:tcPr>
            <w:tcW w:w="952" w:type="pct"/>
            <w:tcBorders>
              <w:top w:val="outset" w:sz="6" w:space="0" w:color="414142"/>
              <w:left w:val="outset" w:sz="6" w:space="0" w:color="414142"/>
              <w:bottom w:val="outset" w:sz="6" w:space="0" w:color="414142"/>
              <w:right w:val="outset" w:sz="6" w:space="0" w:color="414142"/>
            </w:tcBorders>
            <w:shd w:val="clear" w:color="auto" w:fill="FFFFFF"/>
          </w:tcPr>
          <w:p w:rsidR="000179D2" w:rsidRPr="008404B2" w:rsidRDefault="000179D2" w:rsidP="00FF6EBF">
            <w:pPr>
              <w:pStyle w:val="NoSpacing"/>
              <w:rPr>
                <w:color w:val="000000" w:themeColor="text1"/>
              </w:rPr>
            </w:pPr>
            <w:r w:rsidRPr="008404B2">
              <w:rPr>
                <w:color w:val="000000" w:themeColor="text1"/>
              </w:rPr>
              <w:t>Projekta izstrādē iesaistītās institūcijas</w:t>
            </w:r>
          </w:p>
        </w:tc>
        <w:tc>
          <w:tcPr>
            <w:tcW w:w="3889" w:type="pct"/>
            <w:tcBorders>
              <w:top w:val="outset" w:sz="6" w:space="0" w:color="414142"/>
              <w:left w:val="outset" w:sz="6" w:space="0" w:color="414142"/>
              <w:bottom w:val="outset" w:sz="6" w:space="0" w:color="414142"/>
            </w:tcBorders>
            <w:shd w:val="clear" w:color="auto" w:fill="FFFFFF"/>
          </w:tcPr>
          <w:p w:rsidR="000179D2" w:rsidRPr="008404B2" w:rsidRDefault="00CA1D65" w:rsidP="00FF6EBF">
            <w:pPr>
              <w:pStyle w:val="NoSpacing"/>
              <w:rPr>
                <w:color w:val="000000" w:themeColor="text1"/>
              </w:rPr>
            </w:pPr>
            <w:r w:rsidRPr="008404B2">
              <w:rPr>
                <w:color w:val="000000" w:themeColor="text1"/>
              </w:rPr>
              <w:t>Veselības ministrija</w:t>
            </w:r>
          </w:p>
          <w:p w:rsidR="00CA1D65" w:rsidRPr="008404B2" w:rsidRDefault="00CA1D65" w:rsidP="00FF6EBF">
            <w:pPr>
              <w:pStyle w:val="NoSpacing"/>
              <w:rPr>
                <w:color w:val="000000" w:themeColor="text1"/>
              </w:rPr>
            </w:pPr>
            <w:r w:rsidRPr="008404B2">
              <w:rPr>
                <w:color w:val="000000" w:themeColor="text1"/>
              </w:rPr>
              <w:t>Zāļu valsts aģentūra</w:t>
            </w:r>
          </w:p>
        </w:tc>
      </w:tr>
      <w:tr w:rsidR="008404B2" w:rsidRPr="008404B2" w:rsidTr="00D8608E">
        <w:tc>
          <w:tcPr>
            <w:tcW w:w="160" w:type="pct"/>
            <w:tcBorders>
              <w:top w:val="outset" w:sz="6" w:space="0" w:color="414142"/>
              <w:bottom w:val="outset" w:sz="6" w:space="0" w:color="414142"/>
              <w:right w:val="outset" w:sz="6" w:space="0" w:color="414142"/>
            </w:tcBorders>
            <w:shd w:val="clear" w:color="auto" w:fill="FFFFFF"/>
          </w:tcPr>
          <w:p w:rsidR="00F064B5" w:rsidRPr="008404B2" w:rsidRDefault="00F064B5" w:rsidP="00FF6EBF">
            <w:pPr>
              <w:pStyle w:val="NoSpacing"/>
              <w:rPr>
                <w:color w:val="000000" w:themeColor="text1"/>
              </w:rPr>
            </w:pPr>
            <w:r w:rsidRPr="008404B2">
              <w:rPr>
                <w:color w:val="000000" w:themeColor="text1"/>
              </w:rPr>
              <w:lastRenderedPageBreak/>
              <w:t>4.</w:t>
            </w:r>
          </w:p>
        </w:tc>
        <w:tc>
          <w:tcPr>
            <w:tcW w:w="952" w:type="pct"/>
            <w:tcBorders>
              <w:top w:val="outset" w:sz="6" w:space="0" w:color="414142"/>
              <w:left w:val="outset" w:sz="6" w:space="0" w:color="414142"/>
              <w:bottom w:val="outset" w:sz="6" w:space="0" w:color="414142"/>
              <w:right w:val="outset" w:sz="6" w:space="0" w:color="414142"/>
            </w:tcBorders>
            <w:shd w:val="clear" w:color="auto" w:fill="FFFFFF"/>
          </w:tcPr>
          <w:p w:rsidR="00F064B5" w:rsidRPr="008404B2" w:rsidRDefault="00F064B5" w:rsidP="00FF6EBF">
            <w:pPr>
              <w:pStyle w:val="NoSpacing"/>
              <w:rPr>
                <w:color w:val="000000" w:themeColor="text1"/>
              </w:rPr>
            </w:pPr>
            <w:r w:rsidRPr="008404B2">
              <w:rPr>
                <w:color w:val="000000" w:themeColor="text1"/>
              </w:rPr>
              <w:t>Cita informācija</w:t>
            </w:r>
          </w:p>
        </w:tc>
        <w:tc>
          <w:tcPr>
            <w:tcW w:w="3889" w:type="pct"/>
            <w:tcBorders>
              <w:top w:val="outset" w:sz="6" w:space="0" w:color="414142"/>
              <w:left w:val="outset" w:sz="6" w:space="0" w:color="414142"/>
              <w:bottom w:val="outset" w:sz="6" w:space="0" w:color="414142"/>
            </w:tcBorders>
            <w:shd w:val="clear" w:color="auto" w:fill="FFFFFF"/>
          </w:tcPr>
          <w:p w:rsidR="00F064B5" w:rsidRPr="008404B2" w:rsidRDefault="007A3866" w:rsidP="00FF6EBF">
            <w:pPr>
              <w:pStyle w:val="NoSpacing"/>
              <w:rPr>
                <w:color w:val="000000" w:themeColor="text1"/>
              </w:rPr>
            </w:pPr>
            <w:r w:rsidRPr="008404B2">
              <w:rPr>
                <w:color w:val="000000" w:themeColor="text1"/>
              </w:rPr>
              <w:t>Nav</w:t>
            </w:r>
          </w:p>
        </w:tc>
      </w:tr>
    </w:tbl>
    <w:p w:rsidR="009C4A3F" w:rsidRPr="008404B2" w:rsidRDefault="009C4A3F" w:rsidP="00A95855">
      <w:pPr>
        <w:pStyle w:val="NoSpacing"/>
        <w:jc w:val="both"/>
        <w:rPr>
          <w:color w:val="000000" w:themeColor="text1"/>
          <w:sz w:val="28"/>
          <w:szCs w:val="28"/>
        </w:rPr>
      </w:pPr>
    </w:p>
    <w:tbl>
      <w:tblPr>
        <w:tblW w:w="4932"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7"/>
        <w:gridCol w:w="3401"/>
        <w:gridCol w:w="4964"/>
      </w:tblGrid>
      <w:tr w:rsidR="008404B2" w:rsidRPr="008404B2" w:rsidTr="00D8608E">
        <w:trPr>
          <w:trHeight w:val="555"/>
        </w:trPr>
        <w:tc>
          <w:tcPr>
            <w:tcW w:w="5000" w:type="pct"/>
            <w:gridSpan w:val="3"/>
            <w:tcBorders>
              <w:top w:val="outset" w:sz="6" w:space="0" w:color="414142"/>
              <w:bottom w:val="outset" w:sz="6" w:space="0" w:color="414142"/>
            </w:tcBorders>
            <w:shd w:val="clear" w:color="auto" w:fill="FFFFFF"/>
            <w:vAlign w:val="center"/>
          </w:tcPr>
          <w:p w:rsidR="00A95855" w:rsidRPr="008404B2" w:rsidRDefault="00A95855" w:rsidP="001A2287">
            <w:pPr>
              <w:pStyle w:val="NoSpacing"/>
              <w:jc w:val="both"/>
              <w:rPr>
                <w:b/>
                <w:color w:val="000000" w:themeColor="text1"/>
              </w:rPr>
            </w:pPr>
            <w:r w:rsidRPr="008404B2">
              <w:rPr>
                <w:b/>
                <w:color w:val="000000" w:themeColor="text1"/>
              </w:rPr>
              <w:t>II. Tiesību akta projekta ietekme uz sabiedrību, tautsaimniecības attīstību un administratīvo slogu</w:t>
            </w:r>
          </w:p>
        </w:tc>
      </w:tr>
      <w:tr w:rsidR="008404B2" w:rsidRPr="008404B2" w:rsidTr="00D8608E">
        <w:trPr>
          <w:trHeight w:val="465"/>
        </w:trPr>
        <w:tc>
          <w:tcPr>
            <w:tcW w:w="317" w:type="pct"/>
            <w:tcBorders>
              <w:top w:val="outset" w:sz="6" w:space="0" w:color="414142"/>
              <w:bottom w:val="outset" w:sz="6" w:space="0" w:color="414142"/>
              <w:right w:val="outset" w:sz="6" w:space="0" w:color="414142"/>
            </w:tcBorders>
            <w:shd w:val="clear" w:color="auto" w:fill="FFFFFF"/>
          </w:tcPr>
          <w:p w:rsidR="00A95855" w:rsidRPr="008404B2" w:rsidRDefault="00A95855" w:rsidP="001A2287">
            <w:pPr>
              <w:pStyle w:val="NoSpacing"/>
              <w:jc w:val="both"/>
              <w:rPr>
                <w:color w:val="000000" w:themeColor="text1"/>
              </w:rPr>
            </w:pPr>
            <w:r w:rsidRPr="008404B2">
              <w:rPr>
                <w:color w:val="000000" w:themeColor="text1"/>
              </w:rPr>
              <w:t>1.</w:t>
            </w:r>
          </w:p>
        </w:tc>
        <w:tc>
          <w:tcPr>
            <w:tcW w:w="1904" w:type="pct"/>
            <w:tcBorders>
              <w:top w:val="outset" w:sz="6" w:space="0" w:color="414142"/>
              <w:left w:val="outset" w:sz="6" w:space="0" w:color="414142"/>
              <w:bottom w:val="outset" w:sz="6" w:space="0" w:color="414142"/>
              <w:right w:val="outset" w:sz="6" w:space="0" w:color="414142"/>
            </w:tcBorders>
            <w:shd w:val="clear" w:color="auto" w:fill="FFFFFF"/>
          </w:tcPr>
          <w:p w:rsidR="00A95855" w:rsidRPr="008404B2" w:rsidRDefault="00A95855" w:rsidP="001A2287">
            <w:pPr>
              <w:pStyle w:val="NoSpacing"/>
              <w:jc w:val="both"/>
              <w:rPr>
                <w:color w:val="000000" w:themeColor="text1"/>
              </w:rPr>
            </w:pPr>
            <w:r w:rsidRPr="008404B2">
              <w:rPr>
                <w:color w:val="000000" w:themeColor="text1"/>
              </w:rPr>
              <w:t xml:space="preserve">Sabiedrības </w:t>
            </w:r>
            <w:proofErr w:type="spellStart"/>
            <w:r w:rsidRPr="008404B2">
              <w:rPr>
                <w:color w:val="000000" w:themeColor="text1"/>
              </w:rPr>
              <w:t>mērķgrupas</w:t>
            </w:r>
            <w:proofErr w:type="spellEnd"/>
            <w:r w:rsidRPr="008404B2">
              <w:rPr>
                <w:color w:val="000000" w:themeColor="text1"/>
              </w:rPr>
              <w:t>, kuras tiesiskais regulējums ietekmē vai varētu ietekmēt</w:t>
            </w:r>
          </w:p>
        </w:tc>
        <w:tc>
          <w:tcPr>
            <w:tcW w:w="2779" w:type="pct"/>
            <w:tcBorders>
              <w:top w:val="outset" w:sz="6" w:space="0" w:color="414142"/>
              <w:left w:val="outset" w:sz="6" w:space="0" w:color="414142"/>
              <w:bottom w:val="outset" w:sz="6" w:space="0" w:color="414142"/>
            </w:tcBorders>
            <w:shd w:val="clear" w:color="auto" w:fill="FFFFFF"/>
          </w:tcPr>
          <w:p w:rsidR="002201CC" w:rsidRPr="008404B2" w:rsidRDefault="00885649" w:rsidP="00E11845">
            <w:pPr>
              <w:pStyle w:val="NoSpacing"/>
              <w:jc w:val="both"/>
              <w:rPr>
                <w:color w:val="000000" w:themeColor="text1"/>
              </w:rPr>
            </w:pPr>
            <w:r w:rsidRPr="008404B2">
              <w:rPr>
                <w:color w:val="000000" w:themeColor="text1"/>
              </w:rPr>
              <w:t>1. </w:t>
            </w:r>
            <w:r w:rsidR="002201CC" w:rsidRPr="008404B2">
              <w:rPr>
                <w:color w:val="000000" w:themeColor="text1"/>
              </w:rPr>
              <w:t>Zāļu reģistrācijas īpašnieki</w:t>
            </w:r>
          </w:p>
          <w:p w:rsidR="002201CC" w:rsidRPr="008404B2" w:rsidRDefault="002201CC" w:rsidP="00E11845">
            <w:pPr>
              <w:pStyle w:val="NoSpacing"/>
              <w:jc w:val="both"/>
              <w:rPr>
                <w:color w:val="000000" w:themeColor="text1"/>
              </w:rPr>
            </w:pPr>
          </w:p>
          <w:p w:rsidR="00E11845" w:rsidRPr="008404B2" w:rsidRDefault="00885649" w:rsidP="00E11845">
            <w:pPr>
              <w:pStyle w:val="NoSpacing"/>
              <w:jc w:val="both"/>
              <w:rPr>
                <w:color w:val="000000" w:themeColor="text1"/>
              </w:rPr>
            </w:pPr>
            <w:r w:rsidRPr="008404B2">
              <w:rPr>
                <w:color w:val="000000" w:themeColor="text1"/>
              </w:rPr>
              <w:t>2. </w:t>
            </w:r>
            <w:r w:rsidR="002201CC" w:rsidRPr="008404B2">
              <w:rPr>
                <w:color w:val="000000" w:themeColor="text1"/>
              </w:rPr>
              <w:t>Zāļu valsts aģentūra</w:t>
            </w:r>
          </w:p>
        </w:tc>
      </w:tr>
      <w:tr w:rsidR="008404B2" w:rsidRPr="008404B2" w:rsidTr="00D8608E">
        <w:trPr>
          <w:trHeight w:val="802"/>
        </w:trPr>
        <w:tc>
          <w:tcPr>
            <w:tcW w:w="317" w:type="pct"/>
            <w:tcBorders>
              <w:top w:val="outset" w:sz="6" w:space="0" w:color="414142"/>
              <w:bottom w:val="outset" w:sz="6" w:space="0" w:color="414142"/>
              <w:right w:val="outset" w:sz="6" w:space="0" w:color="414142"/>
            </w:tcBorders>
            <w:shd w:val="clear" w:color="auto" w:fill="FFFFFF"/>
          </w:tcPr>
          <w:p w:rsidR="00A95855" w:rsidRPr="008404B2" w:rsidRDefault="00A95855" w:rsidP="001A2287">
            <w:pPr>
              <w:pStyle w:val="NoSpacing"/>
              <w:jc w:val="both"/>
              <w:rPr>
                <w:color w:val="000000" w:themeColor="text1"/>
              </w:rPr>
            </w:pPr>
            <w:r w:rsidRPr="008404B2">
              <w:rPr>
                <w:color w:val="000000" w:themeColor="text1"/>
              </w:rPr>
              <w:t>2.</w:t>
            </w:r>
          </w:p>
        </w:tc>
        <w:tc>
          <w:tcPr>
            <w:tcW w:w="1904" w:type="pct"/>
            <w:tcBorders>
              <w:top w:val="outset" w:sz="6" w:space="0" w:color="414142"/>
              <w:left w:val="outset" w:sz="6" w:space="0" w:color="414142"/>
              <w:bottom w:val="outset" w:sz="6" w:space="0" w:color="414142"/>
              <w:right w:val="outset" w:sz="6" w:space="0" w:color="414142"/>
            </w:tcBorders>
            <w:shd w:val="clear" w:color="auto" w:fill="FFFFFF"/>
          </w:tcPr>
          <w:p w:rsidR="00A95855" w:rsidRPr="008404B2" w:rsidRDefault="00A95855" w:rsidP="001A2287">
            <w:pPr>
              <w:pStyle w:val="NoSpacing"/>
              <w:jc w:val="both"/>
              <w:rPr>
                <w:color w:val="000000" w:themeColor="text1"/>
              </w:rPr>
            </w:pPr>
            <w:r w:rsidRPr="008404B2">
              <w:rPr>
                <w:color w:val="000000" w:themeColor="text1"/>
              </w:rPr>
              <w:t>Tiesiskā regulējuma ietekme uz tautsaimniecību un administratīvo slogu</w:t>
            </w:r>
          </w:p>
        </w:tc>
        <w:tc>
          <w:tcPr>
            <w:tcW w:w="2779" w:type="pct"/>
            <w:tcBorders>
              <w:top w:val="outset" w:sz="6" w:space="0" w:color="414142"/>
              <w:left w:val="outset" w:sz="6" w:space="0" w:color="414142"/>
              <w:bottom w:val="outset" w:sz="6" w:space="0" w:color="414142"/>
            </w:tcBorders>
            <w:shd w:val="clear" w:color="auto" w:fill="FFFFFF"/>
          </w:tcPr>
          <w:p w:rsidR="001B75BE" w:rsidRPr="008404B2" w:rsidRDefault="00885649" w:rsidP="001B75BE">
            <w:pPr>
              <w:pStyle w:val="Bezatstarpm1"/>
              <w:jc w:val="both"/>
              <w:rPr>
                <w:rFonts w:ascii="Times New Roman" w:hAnsi="Times New Roman"/>
                <w:color w:val="000000" w:themeColor="text1"/>
                <w:sz w:val="24"/>
                <w:szCs w:val="24"/>
                <w:lang w:val="lv-LV"/>
              </w:rPr>
            </w:pPr>
            <w:r w:rsidRPr="008404B2">
              <w:rPr>
                <w:rFonts w:ascii="Times New Roman" w:hAnsi="Times New Roman"/>
                <w:color w:val="000000" w:themeColor="text1"/>
                <w:sz w:val="24"/>
                <w:szCs w:val="24"/>
                <w:lang w:val="lv-LV"/>
              </w:rPr>
              <w:t>Tiesiskais regulējums 1</w:t>
            </w:r>
            <w:r w:rsidR="00196A76" w:rsidRPr="008404B2">
              <w:rPr>
                <w:rFonts w:ascii="Times New Roman" w:hAnsi="Times New Roman"/>
                <w:color w:val="000000" w:themeColor="text1"/>
                <w:sz w:val="24"/>
                <w:szCs w:val="24"/>
                <w:lang w:val="lv-LV"/>
              </w:rPr>
              <w:t>.</w:t>
            </w:r>
            <w:r w:rsidRPr="008404B2">
              <w:rPr>
                <w:rFonts w:ascii="Times New Roman" w:hAnsi="Times New Roman"/>
                <w:color w:val="000000" w:themeColor="text1"/>
                <w:sz w:val="24"/>
                <w:szCs w:val="24"/>
                <w:lang w:val="lv-LV"/>
              </w:rPr>
              <w:t> mērķa grupai administratīvo slogu būtiski neietekmēs, jo šobrīd spēkā esošās normas par izmaiņu izskatīšanu reģistrētaj</w:t>
            </w:r>
            <w:r w:rsidR="00147D50" w:rsidRPr="008404B2">
              <w:rPr>
                <w:rFonts w:ascii="Times New Roman" w:hAnsi="Times New Roman"/>
                <w:color w:val="000000" w:themeColor="text1"/>
                <w:sz w:val="24"/>
                <w:szCs w:val="24"/>
                <w:lang w:val="lv-LV"/>
              </w:rPr>
              <w:t>ām</w:t>
            </w:r>
            <w:r w:rsidRPr="008404B2">
              <w:rPr>
                <w:rFonts w:ascii="Times New Roman" w:hAnsi="Times New Roman"/>
                <w:color w:val="000000" w:themeColor="text1"/>
                <w:sz w:val="24"/>
                <w:szCs w:val="24"/>
                <w:lang w:val="lv-LV"/>
              </w:rPr>
              <w:t xml:space="preserve"> zālē</w:t>
            </w:r>
            <w:r w:rsidR="00147D50" w:rsidRPr="008404B2">
              <w:rPr>
                <w:rFonts w:ascii="Times New Roman" w:hAnsi="Times New Roman"/>
                <w:color w:val="000000" w:themeColor="text1"/>
                <w:sz w:val="24"/>
                <w:szCs w:val="24"/>
                <w:lang w:val="lv-LV"/>
              </w:rPr>
              <w:t>m</w:t>
            </w:r>
            <w:r w:rsidRPr="008404B2">
              <w:rPr>
                <w:rFonts w:ascii="Times New Roman" w:hAnsi="Times New Roman"/>
                <w:color w:val="000000" w:themeColor="text1"/>
                <w:sz w:val="24"/>
                <w:szCs w:val="24"/>
                <w:lang w:val="lv-LV"/>
              </w:rPr>
              <w:t>, ko regulē Komisijas regula Nr. 1234/2008 netiek mainītas, līdz ar to Noteikumu projektam nav būtiskas ietekmes uz tautsaimniecību un administratīvo slogu</w:t>
            </w:r>
            <w:r w:rsidR="00CB2873" w:rsidRPr="008404B2">
              <w:rPr>
                <w:rFonts w:ascii="Times New Roman" w:hAnsi="Times New Roman"/>
                <w:color w:val="000000" w:themeColor="text1"/>
                <w:sz w:val="24"/>
                <w:szCs w:val="24"/>
                <w:lang w:val="lv-LV"/>
              </w:rPr>
              <w:t>.</w:t>
            </w:r>
          </w:p>
        </w:tc>
      </w:tr>
      <w:tr w:rsidR="008404B2" w:rsidRPr="008404B2" w:rsidTr="00D8608E">
        <w:trPr>
          <w:trHeight w:val="510"/>
        </w:trPr>
        <w:tc>
          <w:tcPr>
            <w:tcW w:w="317" w:type="pct"/>
            <w:tcBorders>
              <w:top w:val="outset" w:sz="6" w:space="0" w:color="414142"/>
              <w:bottom w:val="outset" w:sz="6" w:space="0" w:color="414142"/>
              <w:right w:val="outset" w:sz="6" w:space="0" w:color="414142"/>
            </w:tcBorders>
            <w:shd w:val="clear" w:color="auto" w:fill="FFFFFF"/>
          </w:tcPr>
          <w:p w:rsidR="00A95855" w:rsidRPr="008404B2" w:rsidRDefault="00A95855" w:rsidP="001A2287">
            <w:pPr>
              <w:pStyle w:val="NoSpacing"/>
              <w:jc w:val="both"/>
              <w:rPr>
                <w:color w:val="000000" w:themeColor="text1"/>
              </w:rPr>
            </w:pPr>
            <w:r w:rsidRPr="008404B2">
              <w:rPr>
                <w:color w:val="000000" w:themeColor="text1"/>
              </w:rPr>
              <w:t>3.</w:t>
            </w:r>
          </w:p>
        </w:tc>
        <w:tc>
          <w:tcPr>
            <w:tcW w:w="1904" w:type="pct"/>
            <w:tcBorders>
              <w:top w:val="outset" w:sz="6" w:space="0" w:color="414142"/>
              <w:left w:val="outset" w:sz="6" w:space="0" w:color="414142"/>
              <w:bottom w:val="outset" w:sz="6" w:space="0" w:color="414142"/>
              <w:right w:val="outset" w:sz="6" w:space="0" w:color="414142"/>
            </w:tcBorders>
            <w:shd w:val="clear" w:color="auto" w:fill="FFFFFF"/>
          </w:tcPr>
          <w:p w:rsidR="00A95855" w:rsidRPr="008404B2" w:rsidRDefault="00A95855" w:rsidP="001A2287">
            <w:pPr>
              <w:pStyle w:val="NoSpacing"/>
              <w:jc w:val="both"/>
              <w:rPr>
                <w:color w:val="000000" w:themeColor="text1"/>
              </w:rPr>
            </w:pPr>
            <w:r w:rsidRPr="008404B2">
              <w:rPr>
                <w:color w:val="000000" w:themeColor="text1"/>
              </w:rPr>
              <w:t>Administratīvo izmaksu monetārs novērtējums</w:t>
            </w:r>
          </w:p>
        </w:tc>
        <w:tc>
          <w:tcPr>
            <w:tcW w:w="2779" w:type="pct"/>
            <w:tcBorders>
              <w:top w:val="outset" w:sz="6" w:space="0" w:color="414142"/>
              <w:left w:val="outset" w:sz="6" w:space="0" w:color="414142"/>
              <w:bottom w:val="outset" w:sz="6" w:space="0" w:color="414142"/>
            </w:tcBorders>
            <w:shd w:val="clear" w:color="auto" w:fill="FFFFFF"/>
          </w:tcPr>
          <w:p w:rsidR="00A95855" w:rsidRPr="008404B2" w:rsidRDefault="0067536A" w:rsidP="001A2287">
            <w:pPr>
              <w:pStyle w:val="NoSpacing"/>
              <w:jc w:val="both"/>
              <w:rPr>
                <w:color w:val="000000" w:themeColor="text1"/>
              </w:rPr>
            </w:pPr>
            <w:r w:rsidRPr="008404B2">
              <w:rPr>
                <w:color w:val="000000" w:themeColor="text1"/>
              </w:rPr>
              <w:t>Administratīvās izmaksas</w:t>
            </w:r>
            <w:r w:rsidR="00E851AB" w:rsidRPr="008404B2">
              <w:rPr>
                <w:color w:val="000000" w:themeColor="text1"/>
              </w:rPr>
              <w:t xml:space="preserve"> 1. </w:t>
            </w:r>
            <w:r w:rsidRPr="008404B2">
              <w:rPr>
                <w:color w:val="000000" w:themeColor="text1"/>
              </w:rPr>
              <w:t xml:space="preserve">mērķa grupai nepārsniedz Ministru kabineta 2005. gada 15. decembra instrukcijas Nr. 19 “Tiesību akta projekta sākotnējās ietekmes izvērtēšanas kārtība” 25. punktā juridiskām personām norādīto summu 2000 </w:t>
            </w:r>
            <w:proofErr w:type="spellStart"/>
            <w:r w:rsidRPr="008404B2">
              <w:rPr>
                <w:i/>
                <w:color w:val="000000" w:themeColor="text1"/>
              </w:rPr>
              <w:t>euro</w:t>
            </w:r>
            <w:proofErr w:type="spellEnd"/>
            <w:r w:rsidRPr="008404B2">
              <w:rPr>
                <w:color w:val="000000" w:themeColor="text1"/>
              </w:rPr>
              <w:t xml:space="preserve"> gadā, bet fiziskām personām nepārsniedz 200 </w:t>
            </w:r>
            <w:proofErr w:type="spellStart"/>
            <w:r w:rsidRPr="008404B2">
              <w:rPr>
                <w:i/>
                <w:iCs/>
                <w:color w:val="000000" w:themeColor="text1"/>
              </w:rPr>
              <w:t>euro</w:t>
            </w:r>
            <w:proofErr w:type="spellEnd"/>
            <w:r w:rsidRPr="008404B2">
              <w:rPr>
                <w:color w:val="000000" w:themeColor="text1"/>
              </w:rPr>
              <w:t>.</w:t>
            </w:r>
          </w:p>
          <w:p w:rsidR="00C72E8E" w:rsidRPr="008404B2" w:rsidRDefault="00C72E8E" w:rsidP="001A2287">
            <w:pPr>
              <w:pStyle w:val="NoSpacing"/>
              <w:jc w:val="both"/>
              <w:rPr>
                <w:color w:val="000000" w:themeColor="text1"/>
              </w:rPr>
            </w:pPr>
          </w:p>
          <w:p w:rsidR="00C72E8E" w:rsidRPr="008404B2" w:rsidRDefault="00C72E8E" w:rsidP="001A2287">
            <w:pPr>
              <w:pStyle w:val="NoSpacing"/>
              <w:jc w:val="both"/>
              <w:rPr>
                <w:color w:val="000000" w:themeColor="text1"/>
              </w:rPr>
            </w:pPr>
            <w:r w:rsidRPr="008404B2">
              <w:rPr>
                <w:color w:val="000000" w:themeColor="text1"/>
              </w:rPr>
              <w:t xml:space="preserve">Saistībā ar </w:t>
            </w:r>
            <w:r w:rsidR="000412C1" w:rsidRPr="008404B2">
              <w:rPr>
                <w:color w:val="000000" w:themeColor="text1"/>
              </w:rPr>
              <w:t xml:space="preserve">datu iesniegšanu </w:t>
            </w:r>
            <w:r w:rsidRPr="008404B2">
              <w:rPr>
                <w:color w:val="000000" w:themeColor="text1"/>
              </w:rPr>
              <w:t xml:space="preserve">zāļu reģistrācijas īpašnieka maiņas gadījumā, </w:t>
            </w:r>
            <w:r w:rsidR="000412C1" w:rsidRPr="008404B2">
              <w:rPr>
                <w:color w:val="000000" w:themeColor="text1"/>
              </w:rPr>
              <w:t>zāļu reģistrācijas īpašniekiem kopumā administratīvais slogs nemainās (I sadaļas 2. punkts 2) b) apakšpunkts).</w:t>
            </w:r>
          </w:p>
          <w:p w:rsidR="000412C1" w:rsidRPr="008404B2" w:rsidRDefault="000412C1" w:rsidP="001A2287">
            <w:pPr>
              <w:pStyle w:val="NoSpacing"/>
              <w:jc w:val="both"/>
              <w:rPr>
                <w:color w:val="000000" w:themeColor="text1"/>
              </w:rPr>
            </w:pPr>
          </w:p>
          <w:p w:rsidR="004238F0" w:rsidRPr="008404B2" w:rsidRDefault="004238F0" w:rsidP="001A2287">
            <w:pPr>
              <w:pStyle w:val="NoSpacing"/>
              <w:jc w:val="both"/>
              <w:rPr>
                <w:color w:val="000000" w:themeColor="text1"/>
              </w:rPr>
            </w:pPr>
            <w:r w:rsidRPr="008404B2">
              <w:rPr>
                <w:color w:val="000000" w:themeColor="text1"/>
              </w:rPr>
              <w:t xml:space="preserve">Saistībā ar </w:t>
            </w:r>
            <w:r w:rsidR="00C72E8E" w:rsidRPr="008404B2">
              <w:rPr>
                <w:color w:val="000000" w:themeColor="text1"/>
              </w:rPr>
              <w:t>izmaiņām informācijas publiskošanā</w:t>
            </w:r>
            <w:r w:rsidR="009654D5" w:rsidRPr="008404B2">
              <w:rPr>
                <w:color w:val="000000" w:themeColor="text1"/>
              </w:rPr>
              <w:t xml:space="preserve"> tīmekļa vietnē</w:t>
            </w:r>
            <w:r w:rsidRPr="008404B2">
              <w:rPr>
                <w:color w:val="000000" w:themeColor="text1"/>
              </w:rPr>
              <w:t xml:space="preserve"> Zāļu valsts aģentūrai </w:t>
            </w:r>
            <w:r w:rsidR="009229A6" w:rsidRPr="008404B2">
              <w:rPr>
                <w:color w:val="000000" w:themeColor="text1"/>
              </w:rPr>
              <w:t>kopumā administratīvais slogs nemainās</w:t>
            </w:r>
            <w:r w:rsidRPr="008404B2">
              <w:rPr>
                <w:color w:val="000000" w:themeColor="text1"/>
              </w:rPr>
              <w:t xml:space="preserve"> </w:t>
            </w:r>
            <w:r w:rsidR="00057163" w:rsidRPr="008404B2">
              <w:rPr>
                <w:color w:val="000000" w:themeColor="text1"/>
              </w:rPr>
              <w:t>(I sadaļas 2. punkts 5) a) </w:t>
            </w:r>
            <w:r w:rsidRPr="008404B2">
              <w:rPr>
                <w:color w:val="000000" w:themeColor="text1"/>
              </w:rPr>
              <w:t>apakšpunkt</w:t>
            </w:r>
            <w:r w:rsidR="009654D5" w:rsidRPr="008404B2">
              <w:rPr>
                <w:color w:val="000000" w:themeColor="text1"/>
              </w:rPr>
              <w:t>s).</w:t>
            </w:r>
          </w:p>
        </w:tc>
      </w:tr>
      <w:tr w:rsidR="008404B2" w:rsidRPr="008404B2" w:rsidTr="00D8608E">
        <w:trPr>
          <w:trHeight w:val="345"/>
        </w:trPr>
        <w:tc>
          <w:tcPr>
            <w:tcW w:w="317" w:type="pct"/>
            <w:tcBorders>
              <w:top w:val="outset" w:sz="6" w:space="0" w:color="414142"/>
              <w:bottom w:val="outset" w:sz="6" w:space="0" w:color="414142"/>
              <w:right w:val="outset" w:sz="6" w:space="0" w:color="414142"/>
            </w:tcBorders>
            <w:shd w:val="clear" w:color="auto" w:fill="FFFFFF"/>
          </w:tcPr>
          <w:p w:rsidR="00A95855" w:rsidRPr="008404B2" w:rsidRDefault="00A95855" w:rsidP="001A2287">
            <w:pPr>
              <w:pStyle w:val="NoSpacing"/>
              <w:jc w:val="both"/>
              <w:rPr>
                <w:color w:val="000000" w:themeColor="text1"/>
              </w:rPr>
            </w:pPr>
            <w:r w:rsidRPr="008404B2">
              <w:rPr>
                <w:color w:val="000000" w:themeColor="text1"/>
              </w:rPr>
              <w:t>4.</w:t>
            </w:r>
          </w:p>
        </w:tc>
        <w:tc>
          <w:tcPr>
            <w:tcW w:w="1904" w:type="pct"/>
            <w:tcBorders>
              <w:top w:val="outset" w:sz="6" w:space="0" w:color="414142"/>
              <w:left w:val="outset" w:sz="6" w:space="0" w:color="414142"/>
              <w:bottom w:val="outset" w:sz="6" w:space="0" w:color="414142"/>
              <w:right w:val="outset" w:sz="6" w:space="0" w:color="414142"/>
            </w:tcBorders>
            <w:shd w:val="clear" w:color="auto" w:fill="FFFFFF"/>
          </w:tcPr>
          <w:p w:rsidR="00A95855" w:rsidRPr="008404B2" w:rsidRDefault="00A95855" w:rsidP="001A2287">
            <w:pPr>
              <w:pStyle w:val="NoSpacing"/>
              <w:jc w:val="both"/>
              <w:rPr>
                <w:color w:val="000000" w:themeColor="text1"/>
              </w:rPr>
            </w:pPr>
            <w:r w:rsidRPr="008404B2">
              <w:rPr>
                <w:color w:val="000000" w:themeColor="text1"/>
              </w:rPr>
              <w:t>Cita informācija</w:t>
            </w:r>
          </w:p>
        </w:tc>
        <w:tc>
          <w:tcPr>
            <w:tcW w:w="2779" w:type="pct"/>
            <w:tcBorders>
              <w:top w:val="outset" w:sz="6" w:space="0" w:color="414142"/>
              <w:left w:val="outset" w:sz="6" w:space="0" w:color="414142"/>
              <w:bottom w:val="outset" w:sz="6" w:space="0" w:color="414142"/>
            </w:tcBorders>
            <w:shd w:val="clear" w:color="auto" w:fill="FFFFFF"/>
          </w:tcPr>
          <w:p w:rsidR="00A95855" w:rsidRPr="008404B2" w:rsidRDefault="009609CB" w:rsidP="006B6E63">
            <w:pPr>
              <w:pStyle w:val="NoSpacing"/>
              <w:jc w:val="both"/>
              <w:rPr>
                <w:color w:val="000000" w:themeColor="text1"/>
              </w:rPr>
            </w:pPr>
            <w:r w:rsidRPr="008404B2">
              <w:rPr>
                <w:color w:val="000000" w:themeColor="text1"/>
              </w:rPr>
              <w:t>Noteikumu projektā paredzēto pasākumu īstenošanu Zāļu valsts aģentūra nodrošinās pašu ieņēmumu ietvaros.</w:t>
            </w:r>
          </w:p>
        </w:tc>
      </w:tr>
    </w:tbl>
    <w:p w:rsidR="001830E1" w:rsidRPr="008404B2" w:rsidRDefault="001830E1" w:rsidP="00A95855">
      <w:pPr>
        <w:pStyle w:val="NoSpacing"/>
        <w:jc w:val="both"/>
        <w:rPr>
          <w:color w:val="000000" w:themeColor="text1"/>
          <w:sz w:val="28"/>
          <w:szCs w:val="28"/>
        </w:rPr>
      </w:pPr>
    </w:p>
    <w:tbl>
      <w:tblPr>
        <w:tblW w:w="5004"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61"/>
        <w:gridCol w:w="107"/>
        <w:gridCol w:w="2267"/>
        <w:gridCol w:w="250"/>
        <w:gridCol w:w="5977"/>
      </w:tblGrid>
      <w:tr w:rsidR="008404B2" w:rsidRPr="008404B2" w:rsidTr="00D8608E">
        <w:trPr>
          <w:trHeight w:val="420"/>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761C2" w:rsidRPr="008404B2" w:rsidRDefault="003761C2" w:rsidP="003761C2">
            <w:pPr>
              <w:pStyle w:val="NoSpacing"/>
              <w:jc w:val="both"/>
              <w:rPr>
                <w:b/>
                <w:color w:val="000000" w:themeColor="text1"/>
              </w:rPr>
            </w:pPr>
            <w:r w:rsidRPr="008404B2">
              <w:rPr>
                <w:b/>
                <w:color w:val="000000" w:themeColor="text1"/>
              </w:rPr>
              <w:br w:type="page"/>
              <w:t>IV. Tiesību akta projekta ietekme uz spēkā esošo tiesību normu sistēmu</w:t>
            </w:r>
          </w:p>
        </w:tc>
      </w:tr>
      <w:tr w:rsidR="008404B2" w:rsidRPr="008404B2" w:rsidTr="00D860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jc w:val="center"/>
        </w:trPr>
        <w:tc>
          <w:tcPr>
            <w:tcW w:w="313" w:type="pct"/>
            <w:gridSpan w:val="2"/>
          </w:tcPr>
          <w:p w:rsidR="003761C2" w:rsidRPr="008404B2" w:rsidRDefault="003761C2" w:rsidP="00134C22">
            <w:pPr>
              <w:tabs>
                <w:tab w:val="left" w:pos="2628"/>
              </w:tabs>
              <w:spacing w:after="0" w:line="240" w:lineRule="auto"/>
              <w:ind w:right="140"/>
              <w:jc w:val="both"/>
              <w:rPr>
                <w:rFonts w:ascii="Times New Roman" w:eastAsia="Times New Roman" w:hAnsi="Times New Roman"/>
                <w:iCs/>
                <w:color w:val="000000" w:themeColor="text1"/>
                <w:sz w:val="24"/>
                <w:szCs w:val="24"/>
                <w:lang w:eastAsia="lv-LV"/>
              </w:rPr>
            </w:pPr>
            <w:r w:rsidRPr="008404B2">
              <w:rPr>
                <w:rFonts w:ascii="Times New Roman" w:eastAsia="Times New Roman" w:hAnsi="Times New Roman"/>
                <w:iCs/>
                <w:color w:val="000000" w:themeColor="text1"/>
                <w:sz w:val="24"/>
                <w:szCs w:val="24"/>
                <w:lang w:eastAsia="lv-LV"/>
              </w:rPr>
              <w:t>1.</w:t>
            </w:r>
          </w:p>
        </w:tc>
        <w:tc>
          <w:tcPr>
            <w:tcW w:w="1251" w:type="pct"/>
          </w:tcPr>
          <w:p w:rsidR="003761C2" w:rsidRPr="008404B2" w:rsidRDefault="003761C2" w:rsidP="00134C22">
            <w:pPr>
              <w:tabs>
                <w:tab w:val="left" w:pos="2628"/>
              </w:tabs>
              <w:spacing w:after="0" w:line="240" w:lineRule="auto"/>
              <w:ind w:right="140"/>
              <w:jc w:val="both"/>
              <w:rPr>
                <w:rFonts w:ascii="Times New Roman" w:eastAsia="Times New Roman" w:hAnsi="Times New Roman"/>
                <w:iCs/>
                <w:color w:val="000000" w:themeColor="text1"/>
                <w:sz w:val="24"/>
                <w:szCs w:val="24"/>
                <w:lang w:eastAsia="lv-LV"/>
              </w:rPr>
            </w:pPr>
            <w:r w:rsidRPr="008404B2">
              <w:rPr>
                <w:rFonts w:ascii="Times New Roman" w:eastAsia="Times New Roman" w:hAnsi="Times New Roman"/>
                <w:color w:val="000000" w:themeColor="text1"/>
                <w:sz w:val="24"/>
                <w:szCs w:val="24"/>
                <w:lang w:eastAsia="lv-LV"/>
              </w:rPr>
              <w:t>Nepieciešamie saistītie tiesību aktu projekti</w:t>
            </w:r>
          </w:p>
        </w:tc>
        <w:tc>
          <w:tcPr>
            <w:tcW w:w="3436" w:type="pct"/>
            <w:gridSpan w:val="2"/>
          </w:tcPr>
          <w:p w:rsidR="0048526B" w:rsidRPr="008404B2" w:rsidRDefault="0048526B" w:rsidP="0072099F">
            <w:pPr>
              <w:shd w:val="clear" w:color="auto" w:fill="FFFFFF"/>
              <w:spacing w:after="0" w:line="240" w:lineRule="auto"/>
              <w:ind w:right="140"/>
              <w:jc w:val="both"/>
              <w:rPr>
                <w:rFonts w:ascii="Times New Roman" w:hAnsi="Times New Roman"/>
                <w:color w:val="000000" w:themeColor="text1"/>
                <w:sz w:val="24"/>
                <w:szCs w:val="24"/>
              </w:rPr>
            </w:pPr>
            <w:r w:rsidRPr="008404B2">
              <w:rPr>
                <w:rFonts w:ascii="Times New Roman" w:hAnsi="Times New Roman"/>
                <w:color w:val="000000" w:themeColor="text1"/>
                <w:sz w:val="24"/>
                <w:szCs w:val="24"/>
              </w:rPr>
              <w:t>1. </w:t>
            </w:r>
            <w:r w:rsidR="00634632" w:rsidRPr="008404B2">
              <w:rPr>
                <w:rFonts w:ascii="Times New Roman" w:hAnsi="Times New Roman"/>
                <w:color w:val="000000" w:themeColor="text1"/>
                <w:sz w:val="24"/>
                <w:szCs w:val="24"/>
              </w:rPr>
              <w:t xml:space="preserve">Nepieciešams </w:t>
            </w:r>
            <w:r w:rsidR="00D443ED" w:rsidRPr="008404B2">
              <w:rPr>
                <w:rFonts w:ascii="Times New Roman" w:hAnsi="Times New Roman"/>
                <w:color w:val="000000" w:themeColor="text1"/>
                <w:sz w:val="24"/>
                <w:szCs w:val="24"/>
              </w:rPr>
              <w:t>sagatavot</w:t>
            </w:r>
            <w:r w:rsidR="00634632" w:rsidRPr="008404B2">
              <w:rPr>
                <w:rFonts w:ascii="Times New Roman" w:hAnsi="Times New Roman"/>
                <w:color w:val="000000" w:themeColor="text1"/>
                <w:sz w:val="24"/>
                <w:szCs w:val="24"/>
              </w:rPr>
              <w:t xml:space="preserve"> grozījumus Ministru kabineta 2013. gada 17. septembra noteikumos Nr. 873 "</w:t>
            </w:r>
            <w:hyperlink r:id="rId20" w:tgtFrame="_blank" w:history="1">
              <w:r w:rsidR="00634632" w:rsidRPr="008404B2">
                <w:rPr>
                  <w:rStyle w:val="Hyperlink"/>
                  <w:rFonts w:ascii="Times New Roman" w:hAnsi="Times New Roman"/>
                  <w:color w:val="000000" w:themeColor="text1"/>
                  <w:sz w:val="24"/>
                  <w:szCs w:val="24"/>
                  <w:u w:val="none"/>
                </w:rPr>
                <w:t>Zāļu valsts aģentūras maksas pakalpojumu cenrādis</w:t>
              </w:r>
            </w:hyperlink>
            <w:r w:rsidR="00634632" w:rsidRPr="008404B2">
              <w:rPr>
                <w:rFonts w:ascii="Times New Roman" w:hAnsi="Times New Roman"/>
                <w:color w:val="000000" w:themeColor="text1"/>
                <w:sz w:val="24"/>
                <w:szCs w:val="24"/>
              </w:rPr>
              <w:t xml:space="preserve">", nosakot </w:t>
            </w:r>
            <w:r w:rsidR="00792BE8" w:rsidRPr="008404B2">
              <w:rPr>
                <w:rFonts w:ascii="Times New Roman" w:hAnsi="Times New Roman"/>
                <w:color w:val="000000" w:themeColor="text1"/>
                <w:sz w:val="24"/>
                <w:szCs w:val="24"/>
              </w:rPr>
              <w:t>maksu</w:t>
            </w:r>
            <w:r w:rsidR="00634632" w:rsidRPr="008404B2">
              <w:rPr>
                <w:rFonts w:ascii="Times New Roman" w:hAnsi="Times New Roman"/>
                <w:color w:val="000000" w:themeColor="text1"/>
                <w:sz w:val="24"/>
                <w:szCs w:val="24"/>
              </w:rPr>
              <w:t xml:space="preserve"> </w:t>
            </w:r>
            <w:r w:rsidR="00792BE8" w:rsidRPr="008404B2">
              <w:rPr>
                <w:rFonts w:ascii="Times New Roman" w:hAnsi="Times New Roman"/>
                <w:color w:val="000000" w:themeColor="text1"/>
                <w:sz w:val="24"/>
                <w:szCs w:val="24"/>
              </w:rPr>
              <w:t>par</w:t>
            </w:r>
            <w:r w:rsidR="00634632" w:rsidRPr="008404B2">
              <w:rPr>
                <w:rFonts w:ascii="Times New Roman" w:hAnsi="Times New Roman"/>
                <w:color w:val="000000" w:themeColor="text1"/>
                <w:sz w:val="24"/>
                <w:szCs w:val="24"/>
              </w:rPr>
              <w:t xml:space="preserve"> zāļu reģistrācijas apliecības izsniegšanu papīra formātā.</w:t>
            </w:r>
          </w:p>
          <w:p w:rsidR="0048526B" w:rsidRPr="00125B13" w:rsidRDefault="0048526B" w:rsidP="00EC4BF5">
            <w:pPr>
              <w:pStyle w:val="NormalWeb"/>
              <w:rPr>
                <w:color w:val="000000" w:themeColor="text1"/>
                <w:sz w:val="24"/>
                <w:szCs w:val="24"/>
                <w:shd w:val="clear" w:color="auto" w:fill="FFFFFF"/>
              </w:rPr>
            </w:pPr>
            <w:r w:rsidRPr="008404B2">
              <w:rPr>
                <w:color w:val="000000" w:themeColor="text1"/>
                <w:sz w:val="24"/>
                <w:szCs w:val="24"/>
              </w:rPr>
              <w:t>2. </w:t>
            </w:r>
            <w:r w:rsidRPr="00125B13">
              <w:rPr>
                <w:color w:val="000000" w:themeColor="text1"/>
                <w:sz w:val="24"/>
                <w:szCs w:val="24"/>
              </w:rPr>
              <w:t>Nepieciešams sagatav</w:t>
            </w:r>
            <w:r w:rsidR="00B660DD" w:rsidRPr="00125B13">
              <w:rPr>
                <w:color w:val="000000" w:themeColor="text1"/>
                <w:sz w:val="24"/>
                <w:szCs w:val="24"/>
              </w:rPr>
              <w:t xml:space="preserve">ot grozījumus Farmācijas likumā, kas </w:t>
            </w:r>
            <w:r w:rsidR="00B660DD" w:rsidRPr="00125B13">
              <w:rPr>
                <w:sz w:val="24"/>
                <w:szCs w:val="24"/>
              </w:rPr>
              <w:t xml:space="preserve">paredzētu noteikt dokumentu novērtēšanas un lēmuma pieņemšanas laiku, izskatot zāļu reģistrācijas un </w:t>
            </w:r>
            <w:proofErr w:type="spellStart"/>
            <w:r w:rsidR="00B660DD" w:rsidRPr="00125B13">
              <w:rPr>
                <w:sz w:val="24"/>
                <w:szCs w:val="24"/>
              </w:rPr>
              <w:t>pārreģistrācijas</w:t>
            </w:r>
            <w:proofErr w:type="spellEnd"/>
            <w:r w:rsidR="00B660DD" w:rsidRPr="00125B13">
              <w:rPr>
                <w:sz w:val="24"/>
                <w:szCs w:val="24"/>
              </w:rPr>
              <w:t xml:space="preserve"> iesniegumus un izmaiņas reģistrētajās zālēs saskaņā ar </w:t>
            </w:r>
            <w:r w:rsidR="00125B13" w:rsidRPr="00125B13">
              <w:rPr>
                <w:color w:val="000000" w:themeColor="text1"/>
                <w:sz w:val="24"/>
                <w:szCs w:val="24"/>
                <w:shd w:val="clear" w:color="auto" w:fill="FFFFFF"/>
              </w:rPr>
              <w:t>Direktīvu</w:t>
            </w:r>
            <w:r w:rsidR="00B660DD" w:rsidRPr="00125B13">
              <w:rPr>
                <w:rStyle w:val="apple-converted-space"/>
                <w:color w:val="000000" w:themeColor="text1"/>
                <w:sz w:val="24"/>
                <w:szCs w:val="24"/>
                <w:shd w:val="clear" w:color="auto" w:fill="FFFFFF"/>
              </w:rPr>
              <w:t xml:space="preserve"> </w:t>
            </w:r>
            <w:hyperlink r:id="rId21" w:tgtFrame="_blank" w:history="1">
              <w:r w:rsidR="00B660DD" w:rsidRPr="00125B13">
                <w:rPr>
                  <w:rStyle w:val="Hyperlink"/>
                  <w:color w:val="000000" w:themeColor="text1"/>
                  <w:sz w:val="24"/>
                  <w:szCs w:val="24"/>
                  <w:u w:val="none"/>
                  <w:shd w:val="clear" w:color="auto" w:fill="FFFFFF"/>
                </w:rPr>
                <w:t>2001/83/EK</w:t>
              </w:r>
            </w:hyperlink>
            <w:r w:rsidR="00B660DD" w:rsidRPr="00125B13">
              <w:rPr>
                <w:rStyle w:val="apple-converted-space"/>
                <w:color w:val="000000" w:themeColor="text1"/>
                <w:sz w:val="24"/>
                <w:szCs w:val="24"/>
                <w:shd w:val="clear" w:color="auto" w:fill="FFFFFF"/>
              </w:rPr>
              <w:t xml:space="preserve"> </w:t>
            </w:r>
            <w:r w:rsidR="00125B13" w:rsidRPr="00125B13">
              <w:rPr>
                <w:sz w:val="24"/>
                <w:szCs w:val="24"/>
              </w:rPr>
              <w:t xml:space="preserve">un Komisijas </w:t>
            </w:r>
            <w:r w:rsidR="00582311">
              <w:rPr>
                <w:color w:val="000000" w:themeColor="text1"/>
                <w:sz w:val="24"/>
                <w:szCs w:val="24"/>
              </w:rPr>
              <w:t>Regulu</w:t>
            </w:r>
            <w:r w:rsidR="00B660DD" w:rsidRPr="00125B13">
              <w:rPr>
                <w:color w:val="000000" w:themeColor="text1"/>
                <w:sz w:val="24"/>
                <w:szCs w:val="24"/>
              </w:rPr>
              <w:t xml:space="preserve"> </w:t>
            </w:r>
            <w:r w:rsidR="00B660DD" w:rsidRPr="00125B13">
              <w:rPr>
                <w:color w:val="000000" w:themeColor="text1"/>
                <w:sz w:val="24"/>
                <w:szCs w:val="24"/>
              </w:rPr>
              <w:lastRenderedPageBreak/>
              <w:t>Nr. 1234/2008 par izmaiņu izskatīšanu cilvēkiem paredzētu zāļu un veterināro zāļu tirdzniecības atļauju nosacījumos</w:t>
            </w:r>
            <w:r w:rsidR="00B660DD" w:rsidRPr="00125B13">
              <w:rPr>
                <w:color w:val="000000" w:themeColor="text1"/>
                <w:sz w:val="24"/>
                <w:szCs w:val="24"/>
              </w:rPr>
              <w:t>.</w:t>
            </w:r>
          </w:p>
        </w:tc>
      </w:tr>
      <w:tr w:rsidR="008404B2" w:rsidRPr="008404B2" w:rsidTr="00D860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jc w:val="center"/>
        </w:trPr>
        <w:tc>
          <w:tcPr>
            <w:tcW w:w="313" w:type="pct"/>
            <w:gridSpan w:val="2"/>
          </w:tcPr>
          <w:p w:rsidR="003761C2" w:rsidRPr="008404B2" w:rsidRDefault="003761C2" w:rsidP="00134C22">
            <w:pPr>
              <w:tabs>
                <w:tab w:val="left" w:pos="2628"/>
              </w:tabs>
              <w:spacing w:after="0" w:line="240" w:lineRule="auto"/>
              <w:ind w:right="140"/>
              <w:jc w:val="both"/>
              <w:rPr>
                <w:rFonts w:ascii="Times New Roman" w:eastAsia="Times New Roman" w:hAnsi="Times New Roman"/>
                <w:iCs/>
                <w:color w:val="000000" w:themeColor="text1"/>
                <w:sz w:val="24"/>
                <w:szCs w:val="24"/>
                <w:lang w:eastAsia="lv-LV"/>
              </w:rPr>
            </w:pPr>
            <w:r w:rsidRPr="008404B2">
              <w:rPr>
                <w:rFonts w:ascii="Times New Roman" w:eastAsia="Times New Roman" w:hAnsi="Times New Roman"/>
                <w:iCs/>
                <w:color w:val="000000" w:themeColor="text1"/>
                <w:sz w:val="24"/>
                <w:szCs w:val="24"/>
                <w:lang w:eastAsia="lv-LV"/>
              </w:rPr>
              <w:lastRenderedPageBreak/>
              <w:t>2.</w:t>
            </w:r>
          </w:p>
        </w:tc>
        <w:tc>
          <w:tcPr>
            <w:tcW w:w="1251" w:type="pct"/>
          </w:tcPr>
          <w:p w:rsidR="003761C2" w:rsidRPr="008404B2" w:rsidRDefault="003761C2" w:rsidP="00134C22">
            <w:pPr>
              <w:tabs>
                <w:tab w:val="left" w:pos="2628"/>
              </w:tabs>
              <w:spacing w:after="0" w:line="240" w:lineRule="auto"/>
              <w:ind w:right="140"/>
              <w:jc w:val="both"/>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Atbildīgā institūcija</w:t>
            </w:r>
          </w:p>
        </w:tc>
        <w:tc>
          <w:tcPr>
            <w:tcW w:w="3436" w:type="pct"/>
            <w:gridSpan w:val="2"/>
          </w:tcPr>
          <w:p w:rsidR="003761C2" w:rsidRPr="008404B2" w:rsidRDefault="00DB7A20" w:rsidP="00134C22">
            <w:pPr>
              <w:shd w:val="clear" w:color="auto" w:fill="FFFFFF"/>
              <w:spacing w:after="0" w:line="240" w:lineRule="auto"/>
              <w:ind w:right="140"/>
              <w:jc w:val="both"/>
              <w:rPr>
                <w:rFonts w:ascii="Times New Roman" w:hAnsi="Times New Roman"/>
                <w:color w:val="000000" w:themeColor="text1"/>
                <w:sz w:val="24"/>
                <w:szCs w:val="24"/>
                <w:lang w:eastAsia="lv-LV"/>
              </w:rPr>
            </w:pPr>
            <w:r w:rsidRPr="008404B2">
              <w:rPr>
                <w:rFonts w:ascii="Times New Roman" w:hAnsi="Times New Roman"/>
                <w:color w:val="000000" w:themeColor="text1"/>
                <w:sz w:val="24"/>
                <w:szCs w:val="24"/>
              </w:rPr>
              <w:t>Veselības</w:t>
            </w:r>
            <w:r w:rsidR="003761C2" w:rsidRPr="008404B2">
              <w:rPr>
                <w:rFonts w:ascii="Times New Roman" w:hAnsi="Times New Roman"/>
                <w:color w:val="000000" w:themeColor="text1"/>
                <w:sz w:val="24"/>
                <w:szCs w:val="24"/>
              </w:rPr>
              <w:t xml:space="preserve"> ministrija.</w:t>
            </w:r>
          </w:p>
        </w:tc>
      </w:tr>
      <w:tr w:rsidR="008404B2" w:rsidRPr="008404B2" w:rsidTr="00D860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jc w:val="center"/>
        </w:trPr>
        <w:tc>
          <w:tcPr>
            <w:tcW w:w="313" w:type="pct"/>
            <w:gridSpan w:val="2"/>
          </w:tcPr>
          <w:p w:rsidR="003761C2" w:rsidRPr="008404B2" w:rsidRDefault="003761C2" w:rsidP="00134C22">
            <w:pPr>
              <w:tabs>
                <w:tab w:val="left" w:pos="2628"/>
              </w:tabs>
              <w:spacing w:after="0" w:line="240" w:lineRule="auto"/>
              <w:ind w:right="140"/>
              <w:jc w:val="both"/>
              <w:rPr>
                <w:rFonts w:ascii="Times New Roman" w:eastAsia="Times New Roman" w:hAnsi="Times New Roman"/>
                <w:iCs/>
                <w:color w:val="000000" w:themeColor="text1"/>
                <w:sz w:val="24"/>
                <w:szCs w:val="24"/>
                <w:lang w:eastAsia="lv-LV"/>
              </w:rPr>
            </w:pPr>
            <w:r w:rsidRPr="008404B2">
              <w:rPr>
                <w:rFonts w:ascii="Times New Roman" w:eastAsia="Times New Roman" w:hAnsi="Times New Roman"/>
                <w:iCs/>
                <w:color w:val="000000" w:themeColor="text1"/>
                <w:sz w:val="24"/>
                <w:szCs w:val="24"/>
                <w:lang w:eastAsia="lv-LV"/>
              </w:rPr>
              <w:t>3.</w:t>
            </w:r>
          </w:p>
        </w:tc>
        <w:tc>
          <w:tcPr>
            <w:tcW w:w="1251" w:type="pct"/>
          </w:tcPr>
          <w:p w:rsidR="003761C2" w:rsidRPr="008404B2" w:rsidRDefault="003761C2" w:rsidP="00134C22">
            <w:pPr>
              <w:tabs>
                <w:tab w:val="left" w:pos="2628"/>
              </w:tabs>
              <w:spacing w:after="0" w:line="240" w:lineRule="auto"/>
              <w:ind w:right="140"/>
              <w:jc w:val="both"/>
              <w:rPr>
                <w:rFonts w:ascii="Times New Roman" w:eastAsia="Times New Roman" w:hAnsi="Times New Roman"/>
                <w:iCs/>
                <w:color w:val="000000" w:themeColor="text1"/>
                <w:sz w:val="24"/>
                <w:szCs w:val="24"/>
                <w:lang w:eastAsia="lv-LV"/>
              </w:rPr>
            </w:pPr>
            <w:r w:rsidRPr="008404B2">
              <w:rPr>
                <w:rFonts w:ascii="Times New Roman" w:eastAsia="Times New Roman" w:hAnsi="Times New Roman"/>
                <w:color w:val="000000" w:themeColor="text1"/>
                <w:sz w:val="24"/>
                <w:szCs w:val="24"/>
                <w:lang w:eastAsia="lv-LV"/>
              </w:rPr>
              <w:t>Cita informācija</w:t>
            </w:r>
          </w:p>
        </w:tc>
        <w:tc>
          <w:tcPr>
            <w:tcW w:w="3436" w:type="pct"/>
            <w:gridSpan w:val="2"/>
          </w:tcPr>
          <w:p w:rsidR="003761C2" w:rsidRPr="008404B2" w:rsidRDefault="003761C2" w:rsidP="00134C22">
            <w:pPr>
              <w:tabs>
                <w:tab w:val="left" w:pos="2628"/>
              </w:tabs>
              <w:spacing w:before="100" w:beforeAutospacing="1" w:after="0" w:afterAutospacing="1" w:line="240" w:lineRule="auto"/>
              <w:ind w:right="140"/>
              <w:jc w:val="both"/>
              <w:rPr>
                <w:rFonts w:ascii="Times New Roman" w:eastAsia="Times New Roman" w:hAnsi="Times New Roman"/>
                <w:iCs/>
                <w:color w:val="000000" w:themeColor="text1"/>
                <w:sz w:val="24"/>
                <w:szCs w:val="24"/>
                <w:lang w:eastAsia="lv-LV"/>
              </w:rPr>
            </w:pPr>
            <w:r w:rsidRPr="008404B2">
              <w:rPr>
                <w:rFonts w:ascii="Times New Roman" w:eastAsia="Times New Roman" w:hAnsi="Times New Roman"/>
                <w:iCs/>
                <w:color w:val="000000" w:themeColor="text1"/>
                <w:sz w:val="24"/>
                <w:szCs w:val="24"/>
                <w:lang w:eastAsia="lv-LV"/>
              </w:rPr>
              <w:t>Nav.</w:t>
            </w:r>
          </w:p>
        </w:tc>
      </w:tr>
      <w:tr w:rsidR="008404B2" w:rsidRPr="008404B2" w:rsidTr="00D8608E">
        <w:tblPrEx>
          <w:shd w:val="clear" w:color="auto" w:fill="auto"/>
          <w:tblCellMar>
            <w:top w:w="24" w:type="dxa"/>
            <w:left w:w="24" w:type="dxa"/>
            <w:bottom w:w="24" w:type="dxa"/>
            <w:right w:w="24" w:type="dxa"/>
          </w:tblCellMar>
        </w:tblPrEx>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F30391" w:rsidRPr="008404B2" w:rsidRDefault="00F30391" w:rsidP="00F30391">
            <w:pPr>
              <w:spacing w:before="100" w:beforeAutospacing="1" w:after="100" w:afterAutospacing="1" w:line="293" w:lineRule="atLeast"/>
              <w:ind w:firstLine="720"/>
              <w:jc w:val="center"/>
              <w:rPr>
                <w:rFonts w:ascii="Times New Roman" w:eastAsia="Times New Roman" w:hAnsi="Times New Roman"/>
                <w:b/>
                <w:bCs/>
                <w:color w:val="000000" w:themeColor="text1"/>
                <w:sz w:val="24"/>
                <w:szCs w:val="24"/>
                <w:lang w:eastAsia="lv-LV"/>
              </w:rPr>
            </w:pPr>
            <w:r w:rsidRPr="008404B2">
              <w:rPr>
                <w:rFonts w:ascii="Times New Roman" w:eastAsia="Times New Roman" w:hAnsi="Times New Roman"/>
                <w:b/>
                <w:bCs/>
                <w:color w:val="000000" w:themeColor="text1"/>
                <w:sz w:val="24"/>
                <w:szCs w:val="24"/>
                <w:lang w:eastAsia="lv-LV"/>
              </w:rPr>
              <w:t>V. Tiesību akta projekta atbilstība Latvijas Republikas starptautiskajām saistībām</w:t>
            </w:r>
          </w:p>
        </w:tc>
      </w:tr>
      <w:tr w:rsidR="008404B2" w:rsidRPr="008404B2" w:rsidTr="00D8608E">
        <w:tblPrEx>
          <w:shd w:val="clear" w:color="auto" w:fill="auto"/>
          <w:tblCellMar>
            <w:top w:w="24" w:type="dxa"/>
            <w:left w:w="24" w:type="dxa"/>
            <w:bottom w:w="24" w:type="dxa"/>
            <w:right w:w="24" w:type="dxa"/>
          </w:tblCellMar>
        </w:tblPrEx>
        <w:tc>
          <w:tcPr>
            <w:tcW w:w="254" w:type="pct"/>
            <w:tcBorders>
              <w:top w:val="outset" w:sz="6" w:space="0" w:color="414142"/>
              <w:left w:val="outset" w:sz="6" w:space="0" w:color="414142"/>
              <w:bottom w:val="outset" w:sz="6" w:space="0" w:color="414142"/>
              <w:right w:val="outset" w:sz="6" w:space="0" w:color="414142"/>
            </w:tcBorders>
            <w:hideMark/>
          </w:tcPr>
          <w:p w:rsidR="00F30391" w:rsidRPr="008404B2" w:rsidRDefault="00F30391" w:rsidP="00134C22">
            <w:pPr>
              <w:spacing w:after="0" w:line="240" w:lineRule="auto"/>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1.</w:t>
            </w:r>
          </w:p>
        </w:tc>
        <w:tc>
          <w:tcPr>
            <w:tcW w:w="1448" w:type="pct"/>
            <w:gridSpan w:val="3"/>
            <w:tcBorders>
              <w:top w:val="outset" w:sz="6" w:space="0" w:color="414142"/>
              <w:left w:val="outset" w:sz="6" w:space="0" w:color="414142"/>
              <w:bottom w:val="outset" w:sz="6" w:space="0" w:color="414142"/>
              <w:right w:val="outset" w:sz="6" w:space="0" w:color="414142"/>
            </w:tcBorders>
            <w:hideMark/>
          </w:tcPr>
          <w:p w:rsidR="00F30391" w:rsidRPr="008404B2" w:rsidRDefault="00F30391" w:rsidP="00134C22">
            <w:pPr>
              <w:spacing w:after="0" w:line="240" w:lineRule="auto"/>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Saistības pret Eiropas Savienību</w:t>
            </w:r>
          </w:p>
        </w:tc>
        <w:tc>
          <w:tcPr>
            <w:tcW w:w="3298" w:type="pct"/>
            <w:tcBorders>
              <w:top w:val="outset" w:sz="6" w:space="0" w:color="414142"/>
              <w:left w:val="outset" w:sz="6" w:space="0" w:color="414142"/>
              <w:bottom w:val="outset" w:sz="6" w:space="0" w:color="414142"/>
              <w:right w:val="outset" w:sz="6" w:space="0" w:color="414142"/>
            </w:tcBorders>
          </w:tcPr>
          <w:p w:rsidR="003B0BFB" w:rsidRPr="008404B2" w:rsidRDefault="003B0BFB" w:rsidP="00F30391">
            <w:pPr>
              <w:spacing w:after="0" w:line="240" w:lineRule="auto"/>
              <w:jc w:val="both"/>
              <w:rPr>
                <w:rFonts w:ascii="Times New Roman" w:hAnsi="Times New Roman"/>
                <w:color w:val="000000" w:themeColor="text1"/>
                <w:sz w:val="24"/>
                <w:szCs w:val="24"/>
              </w:rPr>
            </w:pPr>
            <w:r w:rsidRPr="008404B2">
              <w:rPr>
                <w:rFonts w:ascii="Times New Roman" w:hAnsi="Times New Roman"/>
                <w:color w:val="000000" w:themeColor="text1"/>
                <w:sz w:val="24"/>
                <w:szCs w:val="24"/>
              </w:rPr>
              <w:t>Komisijas regula Nr. 1234/2008</w:t>
            </w:r>
          </w:p>
          <w:p w:rsidR="00F30391" w:rsidRPr="008404B2" w:rsidRDefault="001C39CD" w:rsidP="00F30391">
            <w:pPr>
              <w:spacing w:after="0" w:line="240" w:lineRule="auto"/>
              <w:jc w:val="both"/>
              <w:rPr>
                <w:rFonts w:ascii="Arial" w:hAnsi="Arial" w:cs="Arial"/>
                <w:color w:val="000000" w:themeColor="text1"/>
                <w:sz w:val="20"/>
                <w:szCs w:val="20"/>
                <w:shd w:val="clear" w:color="auto" w:fill="F1F1F1"/>
              </w:rPr>
            </w:pPr>
            <w:r w:rsidRPr="008404B2">
              <w:rPr>
                <w:rFonts w:ascii="Times New Roman" w:hAnsi="Times New Roman"/>
                <w:color w:val="000000" w:themeColor="text1"/>
                <w:sz w:val="24"/>
                <w:szCs w:val="24"/>
                <w:shd w:val="clear" w:color="auto" w:fill="FFFFFF"/>
              </w:rPr>
              <w:t>Direktīva 2001/83</w:t>
            </w:r>
          </w:p>
        </w:tc>
      </w:tr>
      <w:tr w:rsidR="008404B2" w:rsidRPr="008404B2" w:rsidTr="00D8608E">
        <w:tblPrEx>
          <w:shd w:val="clear" w:color="auto" w:fill="auto"/>
          <w:tblCellMar>
            <w:top w:w="24" w:type="dxa"/>
            <w:left w:w="24" w:type="dxa"/>
            <w:bottom w:w="24" w:type="dxa"/>
            <w:right w:w="24" w:type="dxa"/>
          </w:tblCellMar>
        </w:tblPrEx>
        <w:tc>
          <w:tcPr>
            <w:tcW w:w="254" w:type="pct"/>
            <w:tcBorders>
              <w:top w:val="outset" w:sz="6" w:space="0" w:color="414142"/>
              <w:left w:val="outset" w:sz="6" w:space="0" w:color="414142"/>
              <w:bottom w:val="outset" w:sz="6" w:space="0" w:color="414142"/>
              <w:right w:val="outset" w:sz="6" w:space="0" w:color="414142"/>
            </w:tcBorders>
            <w:hideMark/>
          </w:tcPr>
          <w:p w:rsidR="00F30391" w:rsidRPr="008404B2" w:rsidRDefault="00F30391" w:rsidP="00134C22">
            <w:pPr>
              <w:spacing w:after="0" w:line="240" w:lineRule="auto"/>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2.</w:t>
            </w:r>
          </w:p>
        </w:tc>
        <w:tc>
          <w:tcPr>
            <w:tcW w:w="1448" w:type="pct"/>
            <w:gridSpan w:val="3"/>
            <w:tcBorders>
              <w:top w:val="outset" w:sz="6" w:space="0" w:color="414142"/>
              <w:left w:val="outset" w:sz="6" w:space="0" w:color="414142"/>
              <w:bottom w:val="outset" w:sz="6" w:space="0" w:color="414142"/>
              <w:right w:val="outset" w:sz="6" w:space="0" w:color="414142"/>
            </w:tcBorders>
            <w:hideMark/>
          </w:tcPr>
          <w:p w:rsidR="00F30391" w:rsidRPr="008404B2" w:rsidRDefault="00F30391" w:rsidP="00134C22">
            <w:pPr>
              <w:spacing w:after="0" w:line="240" w:lineRule="auto"/>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Citas starptautiskās saistības</w:t>
            </w:r>
          </w:p>
        </w:tc>
        <w:tc>
          <w:tcPr>
            <w:tcW w:w="3298" w:type="pct"/>
            <w:tcBorders>
              <w:top w:val="outset" w:sz="6" w:space="0" w:color="414142"/>
              <w:left w:val="outset" w:sz="6" w:space="0" w:color="414142"/>
              <w:bottom w:val="outset" w:sz="6" w:space="0" w:color="414142"/>
              <w:right w:val="outset" w:sz="6" w:space="0" w:color="414142"/>
            </w:tcBorders>
          </w:tcPr>
          <w:p w:rsidR="00F30391" w:rsidRPr="008404B2" w:rsidRDefault="00F30391" w:rsidP="00134C22">
            <w:pPr>
              <w:spacing w:after="0" w:line="240" w:lineRule="auto"/>
              <w:rPr>
                <w:rFonts w:ascii="Times New Roman" w:eastAsia="Times New Roman" w:hAnsi="Times New Roman"/>
                <w:color w:val="000000" w:themeColor="text1"/>
                <w:sz w:val="24"/>
                <w:szCs w:val="24"/>
                <w:lang w:eastAsia="lv-LV"/>
              </w:rPr>
            </w:pPr>
            <w:r w:rsidRPr="008404B2">
              <w:rPr>
                <w:rFonts w:ascii="Times New Roman" w:hAnsi="Times New Roman"/>
                <w:color w:val="000000" w:themeColor="text1"/>
                <w:sz w:val="24"/>
                <w:szCs w:val="24"/>
              </w:rPr>
              <w:t>Projekts šo jomu neskar.</w:t>
            </w:r>
          </w:p>
        </w:tc>
      </w:tr>
      <w:tr w:rsidR="008404B2" w:rsidRPr="008404B2" w:rsidTr="00D8608E">
        <w:tblPrEx>
          <w:shd w:val="clear" w:color="auto" w:fill="auto"/>
          <w:tblCellMar>
            <w:top w:w="24" w:type="dxa"/>
            <w:left w:w="24" w:type="dxa"/>
            <w:bottom w:w="24" w:type="dxa"/>
            <w:right w:w="24" w:type="dxa"/>
          </w:tblCellMar>
        </w:tblPrEx>
        <w:tc>
          <w:tcPr>
            <w:tcW w:w="254" w:type="pct"/>
            <w:tcBorders>
              <w:top w:val="outset" w:sz="6" w:space="0" w:color="414142"/>
              <w:left w:val="outset" w:sz="6" w:space="0" w:color="414142"/>
              <w:bottom w:val="outset" w:sz="6" w:space="0" w:color="414142"/>
              <w:right w:val="outset" w:sz="6" w:space="0" w:color="414142"/>
            </w:tcBorders>
            <w:hideMark/>
          </w:tcPr>
          <w:p w:rsidR="00F30391" w:rsidRPr="008404B2" w:rsidRDefault="00F30391" w:rsidP="00134C22">
            <w:pPr>
              <w:spacing w:after="0" w:line="240" w:lineRule="auto"/>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3.</w:t>
            </w:r>
          </w:p>
        </w:tc>
        <w:tc>
          <w:tcPr>
            <w:tcW w:w="1448" w:type="pct"/>
            <w:gridSpan w:val="3"/>
            <w:tcBorders>
              <w:top w:val="outset" w:sz="6" w:space="0" w:color="414142"/>
              <w:left w:val="outset" w:sz="6" w:space="0" w:color="414142"/>
              <w:bottom w:val="outset" w:sz="6" w:space="0" w:color="414142"/>
              <w:right w:val="outset" w:sz="6" w:space="0" w:color="414142"/>
            </w:tcBorders>
            <w:hideMark/>
          </w:tcPr>
          <w:p w:rsidR="00F30391" w:rsidRPr="008404B2" w:rsidRDefault="00F30391" w:rsidP="00134C22">
            <w:pPr>
              <w:spacing w:after="0" w:line="240" w:lineRule="auto"/>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Cita informācija</w:t>
            </w:r>
          </w:p>
        </w:tc>
        <w:tc>
          <w:tcPr>
            <w:tcW w:w="3298" w:type="pct"/>
            <w:tcBorders>
              <w:top w:val="outset" w:sz="6" w:space="0" w:color="414142"/>
              <w:left w:val="outset" w:sz="6" w:space="0" w:color="414142"/>
              <w:bottom w:val="outset" w:sz="6" w:space="0" w:color="414142"/>
              <w:right w:val="outset" w:sz="6" w:space="0" w:color="414142"/>
            </w:tcBorders>
            <w:hideMark/>
          </w:tcPr>
          <w:p w:rsidR="00F30391" w:rsidRPr="008404B2" w:rsidRDefault="00F30391" w:rsidP="00134C22">
            <w:pPr>
              <w:spacing w:before="100" w:beforeAutospacing="1" w:after="100" w:afterAutospacing="1" w:line="293" w:lineRule="atLeast"/>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Nav</w:t>
            </w:r>
          </w:p>
        </w:tc>
      </w:tr>
    </w:tbl>
    <w:p w:rsidR="00F30391" w:rsidRPr="008404B2" w:rsidRDefault="00F30391" w:rsidP="00F30391">
      <w:pPr>
        <w:shd w:val="clear" w:color="auto" w:fill="FFFFFF"/>
        <w:spacing w:after="0" w:line="240" w:lineRule="auto"/>
        <w:ind w:firstLine="301"/>
        <w:rPr>
          <w:rFonts w:ascii="Times New Roman" w:eastAsia="Times New Roman" w:hAnsi="Times New Roman"/>
          <w:color w:val="000000" w:themeColor="text1"/>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09"/>
        <w:gridCol w:w="1983"/>
        <w:gridCol w:w="285"/>
        <w:gridCol w:w="2259"/>
        <w:gridCol w:w="2126"/>
        <w:gridCol w:w="1843"/>
      </w:tblGrid>
      <w:tr w:rsidR="008404B2" w:rsidRPr="008404B2" w:rsidTr="00D8608E">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F30391" w:rsidRPr="008404B2" w:rsidRDefault="00F30391" w:rsidP="00134C22">
            <w:pPr>
              <w:spacing w:before="100" w:beforeAutospacing="1" w:after="100" w:afterAutospacing="1" w:line="293" w:lineRule="atLeast"/>
              <w:jc w:val="center"/>
              <w:rPr>
                <w:rFonts w:ascii="Times New Roman" w:eastAsia="Times New Roman" w:hAnsi="Times New Roman"/>
                <w:b/>
                <w:bCs/>
                <w:color w:val="000000" w:themeColor="text1"/>
                <w:sz w:val="24"/>
                <w:szCs w:val="24"/>
                <w:lang w:eastAsia="lv-LV"/>
              </w:rPr>
            </w:pPr>
            <w:r w:rsidRPr="008404B2">
              <w:rPr>
                <w:rFonts w:ascii="Times New Roman" w:eastAsia="Times New Roman" w:hAnsi="Times New Roman"/>
                <w:b/>
                <w:bCs/>
                <w:color w:val="000000" w:themeColor="text1"/>
                <w:sz w:val="24"/>
                <w:szCs w:val="24"/>
                <w:lang w:eastAsia="lv-LV"/>
              </w:rPr>
              <w:t>1. tabula</w:t>
            </w:r>
            <w:r w:rsidRPr="008404B2">
              <w:rPr>
                <w:rFonts w:ascii="Times New Roman" w:eastAsia="Times New Roman" w:hAnsi="Times New Roman"/>
                <w:b/>
                <w:bCs/>
                <w:color w:val="000000" w:themeColor="text1"/>
                <w:sz w:val="24"/>
                <w:szCs w:val="24"/>
                <w:lang w:eastAsia="lv-LV"/>
              </w:rPr>
              <w:br/>
              <w:t>Tiesību akta projekta atbilstība ES tiesību aktiem</w:t>
            </w:r>
          </w:p>
        </w:tc>
      </w:tr>
      <w:tr w:rsidR="008404B2" w:rsidRPr="008404B2" w:rsidTr="00D8608E">
        <w:trPr>
          <w:jc w:val="center"/>
        </w:trPr>
        <w:tc>
          <w:tcPr>
            <w:tcW w:w="1462" w:type="pct"/>
            <w:gridSpan w:val="2"/>
            <w:tcBorders>
              <w:top w:val="outset" w:sz="6" w:space="0" w:color="414142"/>
              <w:left w:val="outset" w:sz="6" w:space="0" w:color="414142"/>
              <w:bottom w:val="outset" w:sz="6" w:space="0" w:color="414142"/>
              <w:right w:val="outset" w:sz="6" w:space="0" w:color="414142"/>
            </w:tcBorders>
            <w:hideMark/>
          </w:tcPr>
          <w:p w:rsidR="00F30391" w:rsidRPr="008404B2" w:rsidRDefault="00F30391" w:rsidP="00134C22">
            <w:pPr>
              <w:spacing w:after="0" w:line="240" w:lineRule="auto"/>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Attiecīgā ES tiesību akta datums, numurs un nosaukums</w:t>
            </w:r>
          </w:p>
        </w:tc>
        <w:tc>
          <w:tcPr>
            <w:tcW w:w="3538" w:type="pct"/>
            <w:gridSpan w:val="4"/>
            <w:tcBorders>
              <w:top w:val="outset" w:sz="6" w:space="0" w:color="414142"/>
              <w:left w:val="outset" w:sz="6" w:space="0" w:color="414142"/>
              <w:bottom w:val="outset" w:sz="6" w:space="0" w:color="414142"/>
              <w:right w:val="outset" w:sz="6" w:space="0" w:color="414142"/>
            </w:tcBorders>
            <w:hideMark/>
          </w:tcPr>
          <w:p w:rsidR="003B0BFB" w:rsidRPr="008404B2" w:rsidRDefault="003B0BFB" w:rsidP="00134C22">
            <w:pPr>
              <w:spacing w:after="0" w:line="240" w:lineRule="auto"/>
              <w:rPr>
                <w:rFonts w:ascii="Times New Roman" w:hAnsi="Times New Roman"/>
                <w:color w:val="000000" w:themeColor="text1"/>
                <w:sz w:val="24"/>
                <w:szCs w:val="24"/>
              </w:rPr>
            </w:pPr>
            <w:r w:rsidRPr="008404B2">
              <w:rPr>
                <w:rFonts w:ascii="Times New Roman" w:hAnsi="Times New Roman"/>
                <w:color w:val="000000" w:themeColor="text1"/>
                <w:sz w:val="24"/>
                <w:szCs w:val="24"/>
              </w:rPr>
              <w:t>Komisijas regula Nr. 1234/2008</w:t>
            </w:r>
          </w:p>
          <w:p w:rsidR="00F30391" w:rsidRPr="008404B2" w:rsidRDefault="001C39CD" w:rsidP="00134C22">
            <w:pPr>
              <w:spacing w:after="0" w:line="240" w:lineRule="auto"/>
              <w:rPr>
                <w:rFonts w:ascii="Times New Roman" w:eastAsia="Times New Roman" w:hAnsi="Times New Roman"/>
                <w:color w:val="000000" w:themeColor="text1"/>
                <w:sz w:val="24"/>
                <w:szCs w:val="24"/>
                <w:lang w:eastAsia="lv-LV"/>
              </w:rPr>
            </w:pPr>
            <w:r w:rsidRPr="008404B2">
              <w:rPr>
                <w:rFonts w:ascii="Times New Roman" w:hAnsi="Times New Roman"/>
                <w:color w:val="000000" w:themeColor="text1"/>
                <w:sz w:val="24"/>
                <w:szCs w:val="24"/>
                <w:shd w:val="clear" w:color="auto" w:fill="FFFFFF"/>
              </w:rPr>
              <w:t>Direktīva 2001/83</w:t>
            </w:r>
          </w:p>
        </w:tc>
      </w:tr>
      <w:tr w:rsidR="008404B2" w:rsidRPr="008404B2" w:rsidTr="00C9705A">
        <w:trPr>
          <w:jc w:val="center"/>
        </w:trPr>
        <w:tc>
          <w:tcPr>
            <w:tcW w:w="1462" w:type="pct"/>
            <w:gridSpan w:val="2"/>
            <w:tcBorders>
              <w:top w:val="outset" w:sz="6" w:space="0" w:color="414142"/>
              <w:left w:val="outset" w:sz="6" w:space="0" w:color="414142"/>
              <w:bottom w:val="outset" w:sz="6" w:space="0" w:color="414142"/>
              <w:right w:val="outset" w:sz="6" w:space="0" w:color="414142"/>
            </w:tcBorders>
            <w:vAlign w:val="center"/>
            <w:hideMark/>
          </w:tcPr>
          <w:p w:rsidR="00F30391" w:rsidRPr="008404B2" w:rsidRDefault="00F30391" w:rsidP="00134C22">
            <w:pPr>
              <w:spacing w:before="100" w:beforeAutospacing="1" w:after="100" w:afterAutospacing="1" w:line="293" w:lineRule="atLeast"/>
              <w:jc w:val="center"/>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A</w:t>
            </w:r>
          </w:p>
        </w:tc>
        <w:tc>
          <w:tcPr>
            <w:tcW w:w="1382" w:type="pct"/>
            <w:gridSpan w:val="2"/>
            <w:tcBorders>
              <w:top w:val="outset" w:sz="6" w:space="0" w:color="414142"/>
              <w:left w:val="outset" w:sz="6" w:space="0" w:color="414142"/>
              <w:bottom w:val="outset" w:sz="6" w:space="0" w:color="414142"/>
              <w:right w:val="outset" w:sz="6" w:space="0" w:color="414142"/>
            </w:tcBorders>
            <w:vAlign w:val="center"/>
            <w:hideMark/>
          </w:tcPr>
          <w:p w:rsidR="00F30391" w:rsidRPr="008404B2" w:rsidRDefault="00F30391" w:rsidP="00134C22">
            <w:pPr>
              <w:spacing w:before="100" w:beforeAutospacing="1" w:after="100" w:afterAutospacing="1" w:line="293" w:lineRule="atLeast"/>
              <w:jc w:val="center"/>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B</w:t>
            </w:r>
          </w:p>
        </w:tc>
        <w:tc>
          <w:tcPr>
            <w:tcW w:w="1155" w:type="pct"/>
            <w:tcBorders>
              <w:top w:val="outset" w:sz="6" w:space="0" w:color="414142"/>
              <w:left w:val="outset" w:sz="6" w:space="0" w:color="414142"/>
              <w:bottom w:val="outset" w:sz="6" w:space="0" w:color="414142"/>
              <w:right w:val="outset" w:sz="6" w:space="0" w:color="414142"/>
            </w:tcBorders>
            <w:vAlign w:val="center"/>
            <w:hideMark/>
          </w:tcPr>
          <w:p w:rsidR="00F30391" w:rsidRPr="008404B2" w:rsidRDefault="00F30391" w:rsidP="00134C22">
            <w:pPr>
              <w:spacing w:before="100" w:beforeAutospacing="1" w:after="100" w:afterAutospacing="1" w:line="293" w:lineRule="atLeast"/>
              <w:jc w:val="center"/>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C</w:t>
            </w:r>
          </w:p>
        </w:tc>
        <w:tc>
          <w:tcPr>
            <w:tcW w:w="1001" w:type="pct"/>
            <w:tcBorders>
              <w:top w:val="outset" w:sz="6" w:space="0" w:color="414142"/>
              <w:left w:val="outset" w:sz="6" w:space="0" w:color="414142"/>
              <w:bottom w:val="outset" w:sz="6" w:space="0" w:color="414142"/>
              <w:right w:val="outset" w:sz="6" w:space="0" w:color="414142"/>
            </w:tcBorders>
            <w:vAlign w:val="center"/>
            <w:hideMark/>
          </w:tcPr>
          <w:p w:rsidR="00F30391" w:rsidRPr="008404B2" w:rsidRDefault="00F30391" w:rsidP="00134C22">
            <w:pPr>
              <w:spacing w:before="100" w:beforeAutospacing="1" w:after="100" w:afterAutospacing="1" w:line="293" w:lineRule="atLeast"/>
              <w:jc w:val="center"/>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D</w:t>
            </w:r>
          </w:p>
        </w:tc>
      </w:tr>
      <w:tr w:rsidR="008404B2" w:rsidRPr="008404B2" w:rsidTr="00C9705A">
        <w:trPr>
          <w:jc w:val="center"/>
        </w:trPr>
        <w:tc>
          <w:tcPr>
            <w:tcW w:w="1462" w:type="pct"/>
            <w:gridSpan w:val="2"/>
            <w:tcBorders>
              <w:top w:val="outset" w:sz="6" w:space="0" w:color="414142"/>
              <w:left w:val="outset" w:sz="6" w:space="0" w:color="414142"/>
              <w:bottom w:val="outset" w:sz="6" w:space="0" w:color="414142"/>
              <w:right w:val="outset" w:sz="6" w:space="0" w:color="414142"/>
            </w:tcBorders>
            <w:hideMark/>
          </w:tcPr>
          <w:p w:rsidR="00F30391" w:rsidRPr="008404B2" w:rsidRDefault="00F30391" w:rsidP="00134C22">
            <w:pPr>
              <w:spacing w:after="0" w:line="240" w:lineRule="auto"/>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Attiecīgā ES tiesību akta panta numurs (uzskaitot katru tiesību akta vienību – pantu, daļu, punktu, apakšpunktu)</w:t>
            </w:r>
          </w:p>
        </w:tc>
        <w:tc>
          <w:tcPr>
            <w:tcW w:w="1382" w:type="pct"/>
            <w:gridSpan w:val="2"/>
            <w:tcBorders>
              <w:top w:val="outset" w:sz="6" w:space="0" w:color="414142"/>
              <w:left w:val="outset" w:sz="6" w:space="0" w:color="414142"/>
              <w:bottom w:val="outset" w:sz="6" w:space="0" w:color="414142"/>
              <w:right w:val="outset" w:sz="6" w:space="0" w:color="414142"/>
            </w:tcBorders>
            <w:hideMark/>
          </w:tcPr>
          <w:p w:rsidR="00F30391" w:rsidRPr="008404B2" w:rsidRDefault="00F30391" w:rsidP="00134C22">
            <w:pPr>
              <w:spacing w:after="0" w:line="240" w:lineRule="auto"/>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155" w:type="pct"/>
            <w:tcBorders>
              <w:top w:val="outset" w:sz="6" w:space="0" w:color="414142"/>
              <w:left w:val="outset" w:sz="6" w:space="0" w:color="414142"/>
              <w:bottom w:val="outset" w:sz="6" w:space="0" w:color="414142"/>
              <w:right w:val="outset" w:sz="6" w:space="0" w:color="414142"/>
            </w:tcBorders>
            <w:hideMark/>
          </w:tcPr>
          <w:p w:rsidR="00F30391" w:rsidRPr="008404B2" w:rsidRDefault="00F30391" w:rsidP="00134C22">
            <w:pPr>
              <w:spacing w:after="0" w:line="240" w:lineRule="auto"/>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Informācija par to, vai šīs tabulas A ailē minētās ES tiesību akta vienības tiek pārņemtas vai ieviestas pilnībā vai daļēji.</w:t>
            </w:r>
          </w:p>
          <w:p w:rsidR="00F30391" w:rsidRPr="008404B2" w:rsidRDefault="00F30391" w:rsidP="00134C22">
            <w:pPr>
              <w:spacing w:before="100" w:beforeAutospacing="1" w:after="100" w:afterAutospacing="1" w:line="293" w:lineRule="atLeast"/>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F30391" w:rsidRPr="008404B2" w:rsidRDefault="00F30391" w:rsidP="00134C22">
            <w:pPr>
              <w:spacing w:before="100" w:beforeAutospacing="1" w:after="100" w:afterAutospacing="1" w:line="293" w:lineRule="atLeast"/>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Norāda institūciju, kas ir atbildīga par šo saistību izpildi pilnībā</w:t>
            </w:r>
          </w:p>
        </w:tc>
        <w:tc>
          <w:tcPr>
            <w:tcW w:w="1001" w:type="pct"/>
            <w:tcBorders>
              <w:top w:val="outset" w:sz="6" w:space="0" w:color="414142"/>
              <w:left w:val="outset" w:sz="6" w:space="0" w:color="414142"/>
              <w:bottom w:val="outset" w:sz="6" w:space="0" w:color="414142"/>
              <w:right w:val="outset" w:sz="6" w:space="0" w:color="414142"/>
            </w:tcBorders>
            <w:hideMark/>
          </w:tcPr>
          <w:p w:rsidR="00F30391" w:rsidRPr="008404B2" w:rsidRDefault="00F30391" w:rsidP="00134C22">
            <w:pPr>
              <w:spacing w:after="0" w:line="240" w:lineRule="auto"/>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Informācija par to, vai šīs tabulas B ailē minētās projekta vienības paredz stingrākas prasības nekā šīs tabulas A ailē minētās ES tiesību akta vienības.</w:t>
            </w:r>
          </w:p>
          <w:p w:rsidR="00F30391" w:rsidRPr="008404B2" w:rsidRDefault="00F30391" w:rsidP="00134C22">
            <w:pPr>
              <w:spacing w:before="100" w:beforeAutospacing="1" w:after="100" w:afterAutospacing="1" w:line="293" w:lineRule="atLeast"/>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Ja projekts satur stingrākas prasības nekā attiecīgais ES tiesību akts, norāda pamatojumu un samērīgumu.</w:t>
            </w:r>
          </w:p>
          <w:p w:rsidR="00F30391" w:rsidRPr="008404B2" w:rsidRDefault="00F30391" w:rsidP="00134C22">
            <w:pPr>
              <w:spacing w:before="100" w:beforeAutospacing="1" w:after="100" w:afterAutospacing="1" w:line="293" w:lineRule="atLeast"/>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 xml:space="preserve">Norāda iespējamās alternatīvas (t.sk. alternatīvas, kas neparedz tiesiskā regulējuma izstrādi) – kādos gadījumos būtu iespējams izvairīties no </w:t>
            </w:r>
            <w:r w:rsidRPr="008404B2">
              <w:rPr>
                <w:rFonts w:ascii="Times New Roman" w:eastAsia="Times New Roman" w:hAnsi="Times New Roman"/>
                <w:color w:val="000000" w:themeColor="text1"/>
                <w:sz w:val="24"/>
                <w:szCs w:val="24"/>
                <w:lang w:eastAsia="lv-LV"/>
              </w:rPr>
              <w:lastRenderedPageBreak/>
              <w:t>stingrāku prasību noteikšanas, nekā paredzēts attiecīgajos ES tiesību aktos</w:t>
            </w:r>
          </w:p>
        </w:tc>
      </w:tr>
      <w:tr w:rsidR="008404B2" w:rsidRPr="008404B2" w:rsidTr="00C9705A">
        <w:trPr>
          <w:jc w:val="center"/>
        </w:trPr>
        <w:tc>
          <w:tcPr>
            <w:tcW w:w="1462" w:type="pct"/>
            <w:gridSpan w:val="2"/>
            <w:tcBorders>
              <w:top w:val="outset" w:sz="6" w:space="0" w:color="414142"/>
              <w:left w:val="outset" w:sz="6" w:space="0" w:color="414142"/>
              <w:bottom w:val="outset" w:sz="6" w:space="0" w:color="414142"/>
              <w:right w:val="outset" w:sz="6" w:space="0" w:color="414142"/>
            </w:tcBorders>
          </w:tcPr>
          <w:p w:rsidR="003B0BFB" w:rsidRPr="008404B2" w:rsidRDefault="003B0BFB" w:rsidP="00744D37">
            <w:pPr>
              <w:pStyle w:val="NoSpacing"/>
              <w:rPr>
                <w:color w:val="000000" w:themeColor="text1"/>
              </w:rPr>
            </w:pPr>
            <w:r w:rsidRPr="008404B2">
              <w:rPr>
                <w:color w:val="000000" w:themeColor="text1"/>
              </w:rPr>
              <w:lastRenderedPageBreak/>
              <w:t>Komisijas regula Nr. 1234/2008</w:t>
            </w:r>
            <w:r w:rsidR="002012FE" w:rsidRPr="008404B2">
              <w:rPr>
                <w:color w:val="000000" w:themeColor="text1"/>
              </w:rPr>
              <w:t xml:space="preserve"> </w:t>
            </w:r>
          </w:p>
          <w:p w:rsidR="002012FE" w:rsidRPr="008404B2" w:rsidRDefault="002012FE" w:rsidP="00744D37">
            <w:pPr>
              <w:pStyle w:val="NoSpacing"/>
              <w:rPr>
                <w:color w:val="000000" w:themeColor="text1"/>
              </w:rPr>
            </w:pPr>
            <w:r w:rsidRPr="008404B2">
              <w:rPr>
                <w:color w:val="000000" w:themeColor="text1"/>
              </w:rPr>
              <w:t>II, II</w:t>
            </w:r>
            <w:r w:rsidR="00134658" w:rsidRPr="008404B2">
              <w:rPr>
                <w:color w:val="000000" w:themeColor="text1"/>
              </w:rPr>
              <w:t> </w:t>
            </w:r>
            <w:r w:rsidRPr="008404B2">
              <w:rPr>
                <w:color w:val="000000" w:themeColor="text1"/>
              </w:rPr>
              <w:t>a un IV nodaļa</w:t>
            </w:r>
          </w:p>
        </w:tc>
        <w:tc>
          <w:tcPr>
            <w:tcW w:w="1382" w:type="pct"/>
            <w:gridSpan w:val="2"/>
            <w:tcBorders>
              <w:top w:val="outset" w:sz="6" w:space="0" w:color="414142"/>
              <w:left w:val="outset" w:sz="6" w:space="0" w:color="414142"/>
              <w:bottom w:val="outset" w:sz="6" w:space="0" w:color="414142"/>
              <w:right w:val="outset" w:sz="6" w:space="0" w:color="414142"/>
            </w:tcBorders>
          </w:tcPr>
          <w:p w:rsidR="003B0BFB" w:rsidRPr="008404B2" w:rsidRDefault="00074FDC" w:rsidP="00744D37">
            <w:pPr>
              <w:pStyle w:val="NoSpacing"/>
              <w:jc w:val="center"/>
              <w:rPr>
                <w:color w:val="000000" w:themeColor="text1"/>
              </w:rPr>
            </w:pPr>
            <w:r w:rsidRPr="008404B2">
              <w:rPr>
                <w:color w:val="000000" w:themeColor="text1"/>
              </w:rPr>
              <w:t>1. punkts</w:t>
            </w:r>
          </w:p>
        </w:tc>
        <w:tc>
          <w:tcPr>
            <w:tcW w:w="1155" w:type="pct"/>
            <w:tcBorders>
              <w:top w:val="outset" w:sz="6" w:space="0" w:color="414142"/>
              <w:left w:val="outset" w:sz="6" w:space="0" w:color="414142"/>
              <w:bottom w:val="outset" w:sz="6" w:space="0" w:color="414142"/>
              <w:right w:val="outset" w:sz="6" w:space="0" w:color="414142"/>
            </w:tcBorders>
            <w:vAlign w:val="center"/>
          </w:tcPr>
          <w:p w:rsidR="003B0BFB" w:rsidRPr="008404B2" w:rsidRDefault="003B0BFB" w:rsidP="00744D37">
            <w:pPr>
              <w:pStyle w:val="NoSpacing"/>
              <w:jc w:val="center"/>
              <w:rPr>
                <w:color w:val="000000" w:themeColor="text1"/>
              </w:rPr>
            </w:pPr>
            <w:r w:rsidRPr="008404B2">
              <w:rPr>
                <w:color w:val="000000" w:themeColor="text1"/>
              </w:rPr>
              <w:t>Ieviests pilnībā.</w:t>
            </w:r>
          </w:p>
        </w:tc>
        <w:tc>
          <w:tcPr>
            <w:tcW w:w="1001" w:type="pct"/>
            <w:tcBorders>
              <w:top w:val="outset" w:sz="6" w:space="0" w:color="414142"/>
              <w:left w:val="outset" w:sz="6" w:space="0" w:color="414142"/>
              <w:bottom w:val="outset" w:sz="6" w:space="0" w:color="414142"/>
              <w:right w:val="outset" w:sz="6" w:space="0" w:color="414142"/>
            </w:tcBorders>
            <w:vAlign w:val="center"/>
          </w:tcPr>
          <w:p w:rsidR="003B0BFB" w:rsidRPr="008404B2" w:rsidRDefault="003B0BFB" w:rsidP="00744D37">
            <w:pPr>
              <w:pStyle w:val="NoSpacing"/>
              <w:jc w:val="center"/>
              <w:rPr>
                <w:color w:val="000000" w:themeColor="text1"/>
              </w:rPr>
            </w:pPr>
            <w:r w:rsidRPr="008404B2">
              <w:rPr>
                <w:color w:val="000000" w:themeColor="text1"/>
              </w:rPr>
              <w:t>Stingrākas prasības nav paredzētas.</w:t>
            </w:r>
          </w:p>
        </w:tc>
      </w:tr>
      <w:tr w:rsidR="008404B2" w:rsidRPr="008404B2" w:rsidTr="00C9705A">
        <w:trPr>
          <w:jc w:val="center"/>
        </w:trPr>
        <w:tc>
          <w:tcPr>
            <w:tcW w:w="1462" w:type="pct"/>
            <w:gridSpan w:val="2"/>
            <w:tcBorders>
              <w:top w:val="outset" w:sz="6" w:space="0" w:color="414142"/>
              <w:left w:val="outset" w:sz="6" w:space="0" w:color="414142"/>
              <w:bottom w:val="outset" w:sz="6" w:space="0" w:color="414142"/>
              <w:right w:val="outset" w:sz="6" w:space="0" w:color="414142"/>
            </w:tcBorders>
          </w:tcPr>
          <w:p w:rsidR="003B0BFB" w:rsidRPr="008404B2" w:rsidRDefault="003B0BFB" w:rsidP="00744D37">
            <w:pPr>
              <w:pStyle w:val="NoSpacing"/>
              <w:rPr>
                <w:color w:val="000000" w:themeColor="text1"/>
              </w:rPr>
            </w:pPr>
            <w:r w:rsidRPr="008404B2">
              <w:rPr>
                <w:color w:val="000000" w:themeColor="text1"/>
              </w:rPr>
              <w:t>Komisijas regula Nr. 1234/2008</w:t>
            </w:r>
          </w:p>
          <w:p w:rsidR="00134658" w:rsidRPr="008404B2" w:rsidRDefault="00134658" w:rsidP="00744D37">
            <w:pPr>
              <w:pStyle w:val="NoSpacing"/>
              <w:rPr>
                <w:color w:val="000000" w:themeColor="text1"/>
              </w:rPr>
            </w:pPr>
            <w:r w:rsidRPr="008404B2">
              <w:rPr>
                <w:color w:val="000000" w:themeColor="text1"/>
              </w:rPr>
              <w:t>(Ievaddaļa, 2. punkts)</w:t>
            </w:r>
          </w:p>
        </w:tc>
        <w:tc>
          <w:tcPr>
            <w:tcW w:w="1382" w:type="pct"/>
            <w:gridSpan w:val="2"/>
            <w:tcBorders>
              <w:top w:val="outset" w:sz="6" w:space="0" w:color="414142"/>
              <w:left w:val="outset" w:sz="6" w:space="0" w:color="414142"/>
              <w:bottom w:val="outset" w:sz="6" w:space="0" w:color="414142"/>
              <w:right w:val="outset" w:sz="6" w:space="0" w:color="414142"/>
            </w:tcBorders>
          </w:tcPr>
          <w:p w:rsidR="003B0BFB" w:rsidRPr="008404B2" w:rsidRDefault="00B222E1" w:rsidP="00744D37">
            <w:pPr>
              <w:pStyle w:val="NoSpacing"/>
              <w:jc w:val="center"/>
              <w:rPr>
                <w:color w:val="000000" w:themeColor="text1"/>
              </w:rPr>
            </w:pPr>
            <w:r w:rsidRPr="008404B2">
              <w:rPr>
                <w:color w:val="000000" w:themeColor="text1"/>
              </w:rPr>
              <w:t>4. punkts</w:t>
            </w:r>
          </w:p>
        </w:tc>
        <w:tc>
          <w:tcPr>
            <w:tcW w:w="1155" w:type="pct"/>
            <w:tcBorders>
              <w:top w:val="outset" w:sz="6" w:space="0" w:color="414142"/>
              <w:left w:val="outset" w:sz="6" w:space="0" w:color="414142"/>
              <w:bottom w:val="outset" w:sz="6" w:space="0" w:color="414142"/>
              <w:right w:val="outset" w:sz="6" w:space="0" w:color="414142"/>
            </w:tcBorders>
            <w:vAlign w:val="center"/>
          </w:tcPr>
          <w:p w:rsidR="003B0BFB" w:rsidRPr="008404B2" w:rsidRDefault="003B0BFB" w:rsidP="00744D37">
            <w:pPr>
              <w:pStyle w:val="NoSpacing"/>
              <w:jc w:val="center"/>
              <w:rPr>
                <w:color w:val="000000" w:themeColor="text1"/>
              </w:rPr>
            </w:pPr>
            <w:r w:rsidRPr="008404B2">
              <w:rPr>
                <w:color w:val="000000" w:themeColor="text1"/>
              </w:rPr>
              <w:t>Ieviests pilnībā.</w:t>
            </w:r>
          </w:p>
        </w:tc>
        <w:tc>
          <w:tcPr>
            <w:tcW w:w="1001" w:type="pct"/>
            <w:tcBorders>
              <w:top w:val="outset" w:sz="6" w:space="0" w:color="414142"/>
              <w:left w:val="outset" w:sz="6" w:space="0" w:color="414142"/>
              <w:bottom w:val="outset" w:sz="6" w:space="0" w:color="414142"/>
              <w:right w:val="outset" w:sz="6" w:space="0" w:color="414142"/>
            </w:tcBorders>
            <w:vAlign w:val="center"/>
          </w:tcPr>
          <w:p w:rsidR="003B0BFB" w:rsidRPr="008404B2" w:rsidRDefault="003B0BFB" w:rsidP="00744D37">
            <w:pPr>
              <w:pStyle w:val="NoSpacing"/>
              <w:jc w:val="center"/>
              <w:rPr>
                <w:color w:val="000000" w:themeColor="text1"/>
              </w:rPr>
            </w:pPr>
            <w:r w:rsidRPr="008404B2">
              <w:rPr>
                <w:color w:val="000000" w:themeColor="text1"/>
              </w:rPr>
              <w:t>Stingrākas prasības nav paredzētas.</w:t>
            </w:r>
          </w:p>
        </w:tc>
      </w:tr>
      <w:tr w:rsidR="008404B2" w:rsidRPr="008404B2" w:rsidTr="00C9705A">
        <w:trPr>
          <w:jc w:val="center"/>
        </w:trPr>
        <w:tc>
          <w:tcPr>
            <w:tcW w:w="1462" w:type="pct"/>
            <w:gridSpan w:val="2"/>
            <w:tcBorders>
              <w:top w:val="outset" w:sz="6" w:space="0" w:color="414142"/>
              <w:left w:val="outset" w:sz="6" w:space="0" w:color="414142"/>
              <w:bottom w:val="outset" w:sz="6" w:space="0" w:color="414142"/>
              <w:right w:val="outset" w:sz="6" w:space="0" w:color="414142"/>
            </w:tcBorders>
          </w:tcPr>
          <w:p w:rsidR="00F30391" w:rsidRPr="008404B2" w:rsidRDefault="00F30391" w:rsidP="00744D37">
            <w:pPr>
              <w:pStyle w:val="NoSpacing"/>
              <w:rPr>
                <w:color w:val="000000" w:themeColor="text1"/>
              </w:rPr>
            </w:pPr>
            <w:r w:rsidRPr="008404B2">
              <w:rPr>
                <w:color w:val="000000" w:themeColor="text1"/>
              </w:rPr>
              <w:t xml:space="preserve">Direktīva </w:t>
            </w:r>
            <w:r w:rsidR="001C39CD" w:rsidRPr="008404B2">
              <w:rPr>
                <w:color w:val="000000" w:themeColor="text1"/>
              </w:rPr>
              <w:t>2001/83</w:t>
            </w:r>
          </w:p>
          <w:p w:rsidR="00F30391" w:rsidRPr="008404B2" w:rsidRDefault="001C39CD" w:rsidP="00744D37">
            <w:pPr>
              <w:pStyle w:val="NoSpacing"/>
              <w:rPr>
                <w:color w:val="000000" w:themeColor="text1"/>
              </w:rPr>
            </w:pPr>
            <w:r w:rsidRPr="008404B2">
              <w:rPr>
                <w:color w:val="000000" w:themeColor="text1"/>
              </w:rPr>
              <w:t xml:space="preserve">21 pants 2. punkts </w:t>
            </w:r>
          </w:p>
        </w:tc>
        <w:tc>
          <w:tcPr>
            <w:tcW w:w="1382" w:type="pct"/>
            <w:gridSpan w:val="2"/>
            <w:tcBorders>
              <w:top w:val="outset" w:sz="6" w:space="0" w:color="414142"/>
              <w:left w:val="outset" w:sz="6" w:space="0" w:color="414142"/>
              <w:bottom w:val="outset" w:sz="6" w:space="0" w:color="414142"/>
              <w:right w:val="outset" w:sz="6" w:space="0" w:color="414142"/>
            </w:tcBorders>
          </w:tcPr>
          <w:p w:rsidR="00F30391" w:rsidRPr="008404B2" w:rsidRDefault="001C39CD" w:rsidP="00744D37">
            <w:pPr>
              <w:pStyle w:val="NoSpacing"/>
              <w:jc w:val="center"/>
              <w:rPr>
                <w:color w:val="000000" w:themeColor="text1"/>
              </w:rPr>
            </w:pPr>
            <w:r w:rsidRPr="008404B2">
              <w:rPr>
                <w:color w:val="000000" w:themeColor="text1"/>
              </w:rPr>
              <w:t>1</w:t>
            </w:r>
            <w:r w:rsidR="0048526B" w:rsidRPr="008404B2">
              <w:rPr>
                <w:color w:val="000000" w:themeColor="text1"/>
              </w:rPr>
              <w:t>8</w:t>
            </w:r>
            <w:r w:rsidRPr="008404B2">
              <w:rPr>
                <w:color w:val="000000" w:themeColor="text1"/>
              </w:rPr>
              <w:t>. punkts</w:t>
            </w:r>
          </w:p>
        </w:tc>
        <w:tc>
          <w:tcPr>
            <w:tcW w:w="1155" w:type="pct"/>
            <w:tcBorders>
              <w:top w:val="outset" w:sz="6" w:space="0" w:color="414142"/>
              <w:left w:val="outset" w:sz="6" w:space="0" w:color="414142"/>
              <w:bottom w:val="outset" w:sz="6" w:space="0" w:color="414142"/>
              <w:right w:val="outset" w:sz="6" w:space="0" w:color="414142"/>
            </w:tcBorders>
            <w:vAlign w:val="center"/>
          </w:tcPr>
          <w:p w:rsidR="00F30391" w:rsidRPr="008404B2" w:rsidRDefault="00F30391" w:rsidP="00744D37">
            <w:pPr>
              <w:pStyle w:val="NoSpacing"/>
              <w:jc w:val="center"/>
              <w:rPr>
                <w:color w:val="000000" w:themeColor="text1"/>
              </w:rPr>
            </w:pPr>
            <w:r w:rsidRPr="008404B2">
              <w:rPr>
                <w:color w:val="000000" w:themeColor="text1"/>
              </w:rPr>
              <w:t>Ieviests pilnībā.</w:t>
            </w:r>
          </w:p>
        </w:tc>
        <w:tc>
          <w:tcPr>
            <w:tcW w:w="1001" w:type="pct"/>
            <w:tcBorders>
              <w:top w:val="outset" w:sz="6" w:space="0" w:color="414142"/>
              <w:left w:val="outset" w:sz="6" w:space="0" w:color="414142"/>
              <w:bottom w:val="outset" w:sz="6" w:space="0" w:color="414142"/>
              <w:right w:val="outset" w:sz="6" w:space="0" w:color="414142"/>
            </w:tcBorders>
            <w:vAlign w:val="center"/>
          </w:tcPr>
          <w:p w:rsidR="00F30391" w:rsidRPr="008404B2" w:rsidRDefault="00F30391" w:rsidP="00744D37">
            <w:pPr>
              <w:pStyle w:val="NoSpacing"/>
              <w:jc w:val="center"/>
              <w:rPr>
                <w:color w:val="000000" w:themeColor="text1"/>
              </w:rPr>
            </w:pPr>
            <w:r w:rsidRPr="008404B2">
              <w:rPr>
                <w:color w:val="000000" w:themeColor="text1"/>
              </w:rPr>
              <w:t>Stingrākas prasības nav paredzētas.</w:t>
            </w:r>
          </w:p>
        </w:tc>
      </w:tr>
      <w:tr w:rsidR="008404B2" w:rsidRPr="008404B2" w:rsidTr="00C9705A">
        <w:trPr>
          <w:jc w:val="center"/>
        </w:trPr>
        <w:tc>
          <w:tcPr>
            <w:tcW w:w="1462" w:type="pct"/>
            <w:gridSpan w:val="2"/>
            <w:tcBorders>
              <w:top w:val="outset" w:sz="6" w:space="0" w:color="414142"/>
              <w:left w:val="outset" w:sz="6" w:space="0" w:color="414142"/>
              <w:bottom w:val="outset" w:sz="6" w:space="0" w:color="414142"/>
              <w:right w:val="outset" w:sz="6" w:space="0" w:color="414142"/>
            </w:tcBorders>
          </w:tcPr>
          <w:p w:rsidR="00C9705A" w:rsidRPr="008404B2" w:rsidRDefault="00C9705A" w:rsidP="00C9705A">
            <w:pPr>
              <w:pStyle w:val="NoSpacing"/>
              <w:rPr>
                <w:color w:val="000000" w:themeColor="text1"/>
              </w:rPr>
            </w:pPr>
            <w:r w:rsidRPr="008404B2">
              <w:rPr>
                <w:color w:val="000000" w:themeColor="text1"/>
              </w:rPr>
              <w:t>Direktīva 2001/83</w:t>
            </w:r>
          </w:p>
          <w:p w:rsidR="00C9705A" w:rsidRPr="008404B2" w:rsidRDefault="00C9705A" w:rsidP="00C9705A">
            <w:pPr>
              <w:pStyle w:val="NoSpacing"/>
              <w:rPr>
                <w:color w:val="000000" w:themeColor="text1"/>
              </w:rPr>
            </w:pPr>
            <w:r w:rsidRPr="008404B2">
              <w:rPr>
                <w:color w:val="000000" w:themeColor="text1"/>
              </w:rPr>
              <w:t>125. pants</w:t>
            </w:r>
          </w:p>
        </w:tc>
        <w:tc>
          <w:tcPr>
            <w:tcW w:w="1382" w:type="pct"/>
            <w:gridSpan w:val="2"/>
            <w:tcBorders>
              <w:top w:val="outset" w:sz="6" w:space="0" w:color="414142"/>
              <w:left w:val="outset" w:sz="6" w:space="0" w:color="414142"/>
              <w:bottom w:val="outset" w:sz="6" w:space="0" w:color="414142"/>
              <w:right w:val="outset" w:sz="6" w:space="0" w:color="414142"/>
            </w:tcBorders>
          </w:tcPr>
          <w:p w:rsidR="00C9705A" w:rsidRPr="008404B2" w:rsidRDefault="0048526B" w:rsidP="00C9705A">
            <w:pPr>
              <w:pStyle w:val="NoSpacing"/>
              <w:jc w:val="center"/>
              <w:rPr>
                <w:color w:val="000000" w:themeColor="text1"/>
              </w:rPr>
            </w:pPr>
            <w:r w:rsidRPr="008404B2">
              <w:rPr>
                <w:color w:val="000000" w:themeColor="text1"/>
              </w:rPr>
              <w:t>21</w:t>
            </w:r>
            <w:r w:rsidR="00C9705A" w:rsidRPr="008404B2">
              <w:rPr>
                <w:color w:val="000000" w:themeColor="text1"/>
              </w:rPr>
              <w:t>. pants</w:t>
            </w:r>
          </w:p>
        </w:tc>
        <w:tc>
          <w:tcPr>
            <w:tcW w:w="1155" w:type="pct"/>
            <w:tcBorders>
              <w:top w:val="outset" w:sz="6" w:space="0" w:color="414142"/>
              <w:left w:val="outset" w:sz="6" w:space="0" w:color="414142"/>
              <w:bottom w:val="outset" w:sz="6" w:space="0" w:color="414142"/>
              <w:right w:val="outset" w:sz="6" w:space="0" w:color="414142"/>
            </w:tcBorders>
            <w:vAlign w:val="center"/>
          </w:tcPr>
          <w:p w:rsidR="00C9705A" w:rsidRPr="008404B2" w:rsidRDefault="00C9705A" w:rsidP="00C9705A">
            <w:pPr>
              <w:pStyle w:val="NoSpacing"/>
              <w:jc w:val="center"/>
              <w:rPr>
                <w:color w:val="000000" w:themeColor="text1"/>
              </w:rPr>
            </w:pPr>
            <w:r w:rsidRPr="008404B2">
              <w:rPr>
                <w:color w:val="000000" w:themeColor="text1"/>
              </w:rPr>
              <w:t>Ieviests pilnībā.</w:t>
            </w:r>
          </w:p>
        </w:tc>
        <w:tc>
          <w:tcPr>
            <w:tcW w:w="1001" w:type="pct"/>
            <w:tcBorders>
              <w:top w:val="outset" w:sz="6" w:space="0" w:color="414142"/>
              <w:left w:val="outset" w:sz="6" w:space="0" w:color="414142"/>
              <w:bottom w:val="outset" w:sz="6" w:space="0" w:color="414142"/>
              <w:right w:val="outset" w:sz="6" w:space="0" w:color="414142"/>
            </w:tcBorders>
            <w:vAlign w:val="center"/>
          </w:tcPr>
          <w:p w:rsidR="00C9705A" w:rsidRPr="008404B2" w:rsidRDefault="00C9705A" w:rsidP="00C9705A">
            <w:pPr>
              <w:pStyle w:val="NoSpacing"/>
              <w:jc w:val="center"/>
              <w:rPr>
                <w:color w:val="000000" w:themeColor="text1"/>
              </w:rPr>
            </w:pPr>
            <w:r w:rsidRPr="008404B2">
              <w:rPr>
                <w:color w:val="000000" w:themeColor="text1"/>
              </w:rPr>
              <w:t>Stingrākas prasības nav paredzētas.</w:t>
            </w:r>
          </w:p>
        </w:tc>
      </w:tr>
      <w:tr w:rsidR="008404B2" w:rsidRPr="008404B2" w:rsidTr="00D8608E">
        <w:trPr>
          <w:jc w:val="center"/>
        </w:trPr>
        <w:tc>
          <w:tcPr>
            <w:tcW w:w="1462" w:type="pct"/>
            <w:gridSpan w:val="2"/>
            <w:tcBorders>
              <w:top w:val="outset" w:sz="6" w:space="0" w:color="414142"/>
              <w:left w:val="outset" w:sz="6" w:space="0" w:color="414142"/>
              <w:bottom w:val="outset" w:sz="6" w:space="0" w:color="414142"/>
              <w:right w:val="outset" w:sz="6" w:space="0" w:color="414142"/>
            </w:tcBorders>
            <w:hideMark/>
          </w:tcPr>
          <w:p w:rsidR="00F30391" w:rsidRPr="008404B2" w:rsidRDefault="00F30391" w:rsidP="00134C22">
            <w:pPr>
              <w:spacing w:after="0" w:line="240" w:lineRule="auto"/>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Kā ir izmantota ES tiesību aktā paredzētā rīcības brīvība dalībvalstij pārņemt vai ieviest noteiktas ES tiesību akta normas?</w:t>
            </w:r>
            <w:r w:rsidRPr="008404B2">
              <w:rPr>
                <w:rFonts w:ascii="Times New Roman" w:eastAsia="Times New Roman" w:hAnsi="Times New Roman"/>
                <w:color w:val="000000" w:themeColor="text1"/>
                <w:sz w:val="24"/>
                <w:szCs w:val="24"/>
                <w:lang w:eastAsia="lv-LV"/>
              </w:rPr>
              <w:br/>
              <w:t>Kādēļ?</w:t>
            </w:r>
          </w:p>
        </w:tc>
        <w:tc>
          <w:tcPr>
            <w:tcW w:w="3538" w:type="pct"/>
            <w:gridSpan w:val="4"/>
            <w:tcBorders>
              <w:top w:val="outset" w:sz="6" w:space="0" w:color="414142"/>
              <w:left w:val="outset" w:sz="6" w:space="0" w:color="414142"/>
              <w:bottom w:val="outset" w:sz="6" w:space="0" w:color="414142"/>
              <w:right w:val="outset" w:sz="6" w:space="0" w:color="414142"/>
            </w:tcBorders>
            <w:shd w:val="clear" w:color="auto" w:fill="auto"/>
          </w:tcPr>
          <w:p w:rsidR="00F30391" w:rsidRPr="008404B2" w:rsidRDefault="001C39CD" w:rsidP="00134C22">
            <w:pPr>
              <w:spacing w:after="0" w:line="240" w:lineRule="auto"/>
              <w:jc w:val="both"/>
              <w:rPr>
                <w:rFonts w:ascii="Times New Roman" w:hAnsi="Times New Roman"/>
                <w:iCs/>
                <w:color w:val="000000" w:themeColor="text1"/>
                <w:sz w:val="24"/>
                <w:szCs w:val="24"/>
              </w:rPr>
            </w:pPr>
            <w:r w:rsidRPr="008404B2">
              <w:rPr>
                <w:rFonts w:ascii="Times New Roman" w:hAnsi="Times New Roman"/>
                <w:color w:val="000000" w:themeColor="text1"/>
                <w:sz w:val="24"/>
                <w:szCs w:val="24"/>
              </w:rPr>
              <w:t>Projekts šo jomu neskar.</w:t>
            </w:r>
          </w:p>
        </w:tc>
      </w:tr>
      <w:tr w:rsidR="008404B2" w:rsidRPr="008404B2" w:rsidTr="00D8608E">
        <w:trPr>
          <w:jc w:val="center"/>
        </w:trPr>
        <w:tc>
          <w:tcPr>
            <w:tcW w:w="1462" w:type="pct"/>
            <w:gridSpan w:val="2"/>
            <w:tcBorders>
              <w:top w:val="outset" w:sz="6" w:space="0" w:color="414142"/>
              <w:left w:val="outset" w:sz="6" w:space="0" w:color="414142"/>
              <w:bottom w:val="outset" w:sz="6" w:space="0" w:color="414142"/>
              <w:right w:val="outset" w:sz="6" w:space="0" w:color="414142"/>
            </w:tcBorders>
            <w:hideMark/>
          </w:tcPr>
          <w:p w:rsidR="00F30391" w:rsidRPr="008404B2" w:rsidRDefault="00F30391" w:rsidP="00134C22">
            <w:pPr>
              <w:spacing w:after="0" w:line="240" w:lineRule="auto"/>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38" w:type="pct"/>
            <w:gridSpan w:val="4"/>
            <w:tcBorders>
              <w:top w:val="outset" w:sz="6" w:space="0" w:color="414142"/>
              <w:left w:val="outset" w:sz="6" w:space="0" w:color="414142"/>
              <w:bottom w:val="outset" w:sz="6" w:space="0" w:color="414142"/>
              <w:right w:val="outset" w:sz="6" w:space="0" w:color="414142"/>
            </w:tcBorders>
          </w:tcPr>
          <w:p w:rsidR="00F30391" w:rsidRPr="008404B2" w:rsidRDefault="00F30391" w:rsidP="00134C22">
            <w:pPr>
              <w:rPr>
                <w:rFonts w:ascii="Times New Roman" w:hAnsi="Times New Roman"/>
                <w:color w:val="000000" w:themeColor="text1"/>
                <w:sz w:val="24"/>
                <w:szCs w:val="24"/>
              </w:rPr>
            </w:pPr>
            <w:r w:rsidRPr="008404B2">
              <w:rPr>
                <w:rFonts w:ascii="Times New Roman" w:hAnsi="Times New Roman"/>
                <w:color w:val="000000" w:themeColor="text1"/>
                <w:sz w:val="24"/>
                <w:szCs w:val="24"/>
              </w:rPr>
              <w:t>Projekts šo jomu neskar.</w:t>
            </w:r>
          </w:p>
        </w:tc>
      </w:tr>
      <w:tr w:rsidR="008404B2" w:rsidRPr="008404B2" w:rsidTr="00D8608E">
        <w:trPr>
          <w:jc w:val="center"/>
        </w:trPr>
        <w:tc>
          <w:tcPr>
            <w:tcW w:w="1462" w:type="pct"/>
            <w:gridSpan w:val="2"/>
            <w:tcBorders>
              <w:top w:val="outset" w:sz="6" w:space="0" w:color="414142"/>
              <w:left w:val="outset" w:sz="6" w:space="0" w:color="414142"/>
              <w:bottom w:val="outset" w:sz="6" w:space="0" w:color="414142"/>
              <w:right w:val="outset" w:sz="6" w:space="0" w:color="414142"/>
            </w:tcBorders>
            <w:hideMark/>
          </w:tcPr>
          <w:p w:rsidR="00F30391" w:rsidRPr="008404B2" w:rsidRDefault="00F30391" w:rsidP="00134C22">
            <w:pPr>
              <w:spacing w:after="0" w:line="240" w:lineRule="auto"/>
              <w:rPr>
                <w:rFonts w:ascii="Times New Roman" w:eastAsia="Times New Roman" w:hAnsi="Times New Roman"/>
                <w:color w:val="000000" w:themeColor="text1"/>
                <w:sz w:val="24"/>
                <w:szCs w:val="24"/>
                <w:lang w:eastAsia="lv-LV"/>
              </w:rPr>
            </w:pPr>
            <w:r w:rsidRPr="008404B2">
              <w:rPr>
                <w:rFonts w:ascii="Times New Roman" w:eastAsia="Times New Roman" w:hAnsi="Times New Roman"/>
                <w:color w:val="000000" w:themeColor="text1"/>
                <w:sz w:val="24"/>
                <w:szCs w:val="24"/>
                <w:lang w:eastAsia="lv-LV"/>
              </w:rPr>
              <w:t>Cita informācija</w:t>
            </w:r>
          </w:p>
        </w:tc>
        <w:tc>
          <w:tcPr>
            <w:tcW w:w="3538" w:type="pct"/>
            <w:gridSpan w:val="4"/>
            <w:tcBorders>
              <w:top w:val="outset" w:sz="6" w:space="0" w:color="414142"/>
              <w:left w:val="outset" w:sz="6" w:space="0" w:color="414142"/>
              <w:bottom w:val="outset" w:sz="6" w:space="0" w:color="414142"/>
              <w:right w:val="outset" w:sz="6" w:space="0" w:color="414142"/>
            </w:tcBorders>
          </w:tcPr>
          <w:p w:rsidR="00F30391" w:rsidRPr="008404B2" w:rsidRDefault="00F30391" w:rsidP="00134C22">
            <w:pPr>
              <w:jc w:val="both"/>
              <w:rPr>
                <w:rFonts w:ascii="Times New Roman" w:hAnsi="Times New Roman"/>
                <w:i/>
                <w:color w:val="000000" w:themeColor="text1"/>
                <w:sz w:val="24"/>
                <w:szCs w:val="24"/>
              </w:rPr>
            </w:pPr>
            <w:r w:rsidRPr="008404B2">
              <w:rPr>
                <w:rFonts w:ascii="Times New Roman" w:hAnsi="Times New Roman"/>
                <w:color w:val="000000" w:themeColor="text1"/>
                <w:sz w:val="24"/>
                <w:szCs w:val="24"/>
              </w:rPr>
              <w:t>Nav</w:t>
            </w:r>
          </w:p>
        </w:tc>
      </w:tr>
      <w:tr w:rsidR="008404B2" w:rsidRPr="008404B2" w:rsidTr="00D8608E">
        <w:tblPrEx>
          <w:jc w:val="left"/>
          <w:shd w:val="clear" w:color="auto" w:fill="FFFFFF"/>
          <w:tblCellMar>
            <w:top w:w="30" w:type="dxa"/>
            <w:left w:w="30" w:type="dxa"/>
            <w:bottom w:w="30" w:type="dxa"/>
            <w:right w:w="30" w:type="dxa"/>
          </w:tblCellMar>
        </w:tblPrEx>
        <w:trPr>
          <w:trHeight w:val="42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91" w:rsidRPr="008404B2" w:rsidRDefault="00F30391" w:rsidP="00134C22">
            <w:pPr>
              <w:pStyle w:val="NoSpacing"/>
              <w:jc w:val="both"/>
              <w:rPr>
                <w:b/>
                <w:color w:val="000000" w:themeColor="text1"/>
              </w:rPr>
            </w:pPr>
            <w:r w:rsidRPr="008404B2">
              <w:rPr>
                <w:b/>
                <w:color w:val="000000" w:themeColor="text1"/>
              </w:rPr>
              <w:t>VI. Sabiedrības līdzdalība un komunikācijas aktivitātes</w:t>
            </w:r>
          </w:p>
        </w:tc>
      </w:tr>
      <w:tr w:rsidR="008404B2" w:rsidRPr="008404B2" w:rsidTr="00D8608E">
        <w:tblPrEx>
          <w:jc w:val="left"/>
          <w:shd w:val="clear" w:color="auto" w:fill="FFFFFF"/>
          <w:tblCellMar>
            <w:top w:w="30" w:type="dxa"/>
            <w:left w:w="30" w:type="dxa"/>
            <w:bottom w:w="30" w:type="dxa"/>
            <w:right w:w="30" w:type="dxa"/>
          </w:tblCellMar>
        </w:tblPrEx>
        <w:trPr>
          <w:trHeight w:val="540"/>
        </w:trPr>
        <w:tc>
          <w:tcPr>
            <w:tcW w:w="385" w:type="pct"/>
            <w:tcBorders>
              <w:top w:val="outset" w:sz="6" w:space="0" w:color="414142"/>
              <w:left w:val="outset" w:sz="6" w:space="0" w:color="414142"/>
              <w:bottom w:val="outset" w:sz="6" w:space="0" w:color="414142"/>
              <w:right w:val="outset" w:sz="6" w:space="0" w:color="414142"/>
            </w:tcBorders>
            <w:shd w:val="clear" w:color="auto" w:fill="FFFFFF"/>
            <w:hideMark/>
          </w:tcPr>
          <w:p w:rsidR="00F30391" w:rsidRPr="008404B2" w:rsidRDefault="00F30391" w:rsidP="00134C22">
            <w:pPr>
              <w:pStyle w:val="NoSpacing"/>
              <w:jc w:val="both"/>
              <w:rPr>
                <w:color w:val="000000" w:themeColor="text1"/>
              </w:rPr>
            </w:pPr>
            <w:r w:rsidRPr="008404B2">
              <w:rPr>
                <w:color w:val="000000" w:themeColor="text1"/>
              </w:rPr>
              <w:t>1.</w:t>
            </w:r>
          </w:p>
        </w:tc>
        <w:tc>
          <w:tcPr>
            <w:tcW w:w="123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F30391" w:rsidRPr="008404B2" w:rsidRDefault="00F30391" w:rsidP="00134C22">
            <w:pPr>
              <w:pStyle w:val="NoSpacing"/>
              <w:jc w:val="both"/>
              <w:rPr>
                <w:color w:val="000000" w:themeColor="text1"/>
              </w:rPr>
            </w:pPr>
            <w:r w:rsidRPr="008404B2">
              <w:rPr>
                <w:color w:val="000000" w:themeColor="text1"/>
              </w:rPr>
              <w:t>Plānotās sabiedrības līdzdalības un komunikācijas aktivitātes saistībā ar projektu</w:t>
            </w:r>
          </w:p>
        </w:tc>
        <w:tc>
          <w:tcPr>
            <w:tcW w:w="338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F30391" w:rsidRPr="008404B2" w:rsidRDefault="00C62706" w:rsidP="00134C22">
            <w:pPr>
              <w:pStyle w:val="NoSpacing"/>
              <w:jc w:val="both"/>
              <w:rPr>
                <w:rFonts w:eastAsiaTheme="minorHAnsi"/>
                <w:color w:val="000000" w:themeColor="text1"/>
              </w:rPr>
            </w:pPr>
            <w:r w:rsidRPr="008404B2">
              <w:rPr>
                <w:color w:val="000000" w:themeColor="text1"/>
              </w:rPr>
              <w:t xml:space="preserve">Pirms sabiedriskās apspriedes </w:t>
            </w:r>
            <w:r w:rsidR="00F30391" w:rsidRPr="008404B2">
              <w:rPr>
                <w:color w:val="000000" w:themeColor="text1"/>
              </w:rPr>
              <w:t xml:space="preserve">Noteikumu projekti ir nosūtīts uz el. pasta adresēm Farmācijas jomas konsultatīvās padomes locekļiem: Latvijas Ķīmijas un farmācijas uzņēmumu asociācijai, Latvijas </w:t>
            </w:r>
            <w:proofErr w:type="spellStart"/>
            <w:r w:rsidR="00F30391" w:rsidRPr="008404B2">
              <w:rPr>
                <w:color w:val="000000" w:themeColor="text1"/>
              </w:rPr>
              <w:t>Patentbrīvo</w:t>
            </w:r>
            <w:proofErr w:type="spellEnd"/>
            <w:r w:rsidR="00F30391" w:rsidRPr="008404B2">
              <w:rPr>
                <w:color w:val="000000" w:themeColor="text1"/>
              </w:rPr>
              <w:t xml:space="preserve"> medikamentu asociācijai</w:t>
            </w:r>
            <w:r w:rsidR="00015004" w:rsidRPr="008404B2">
              <w:rPr>
                <w:color w:val="000000" w:themeColor="text1"/>
              </w:rPr>
              <w:t xml:space="preserve"> (LPMA)</w:t>
            </w:r>
            <w:r w:rsidR="00F30391" w:rsidRPr="008404B2">
              <w:rPr>
                <w:color w:val="000000" w:themeColor="text1"/>
              </w:rPr>
              <w:t>, Biofarmaceitisko zāļu ražotāju asociācijai</w:t>
            </w:r>
            <w:r w:rsidR="00015004" w:rsidRPr="008404B2">
              <w:rPr>
                <w:color w:val="000000" w:themeColor="text1"/>
              </w:rPr>
              <w:t xml:space="preserve"> (BRAL)</w:t>
            </w:r>
            <w:r w:rsidR="00F30391" w:rsidRPr="008404B2">
              <w:rPr>
                <w:color w:val="000000" w:themeColor="text1"/>
              </w:rPr>
              <w:t xml:space="preserve">, Latvijas Brīvo farmaceitu apvienībai, Aptieku attīstības biedrībai, Aptieku īpašnieku asociācijai, Latvijas Farmācijas arodbiedrībai, Aptieku biedrībai, Latvijas Aptiekāru asociācijai, </w:t>
            </w:r>
            <w:r w:rsidR="00F30391" w:rsidRPr="008404B2">
              <w:rPr>
                <w:color w:val="000000" w:themeColor="text1"/>
              </w:rPr>
              <w:lastRenderedPageBreak/>
              <w:t>Latvijas Zāļu lieltirgotāju asociācijai, Latvijas Zāļu paralēlā importa asociācijai, Latvijas Ārstu biedrībai un Starptautisko inovatīvo farmaceitisko firmu asociācijai</w:t>
            </w:r>
            <w:r w:rsidR="00015004" w:rsidRPr="008404B2">
              <w:rPr>
                <w:color w:val="000000" w:themeColor="text1"/>
              </w:rPr>
              <w:t xml:space="preserve"> (SIFFA)</w:t>
            </w:r>
            <w:r w:rsidR="00F30391" w:rsidRPr="008404B2">
              <w:rPr>
                <w:color w:val="000000" w:themeColor="text1"/>
              </w:rPr>
              <w:t>.</w:t>
            </w:r>
          </w:p>
          <w:p w:rsidR="00F30391" w:rsidRPr="008404B2" w:rsidRDefault="00F30391" w:rsidP="00134C22">
            <w:pPr>
              <w:pStyle w:val="NoSpacing"/>
              <w:jc w:val="both"/>
              <w:rPr>
                <w:rStyle w:val="Hyperlink"/>
                <w:color w:val="000000" w:themeColor="text1"/>
                <w:u w:val="none"/>
              </w:rPr>
            </w:pPr>
            <w:r w:rsidRPr="008404B2">
              <w:rPr>
                <w:color w:val="000000" w:themeColor="text1"/>
              </w:rPr>
              <w:t xml:space="preserve">Noteikumu projekts ir publicēts Veselības ministrijas tīmekļa vietnē: </w:t>
            </w:r>
            <w:hyperlink r:id="rId22" w:history="1">
              <w:r w:rsidRPr="008404B2">
                <w:rPr>
                  <w:rStyle w:val="Hyperlink"/>
                  <w:color w:val="000000" w:themeColor="text1"/>
                  <w:u w:val="none"/>
                </w:rPr>
                <w:t>www.vm.gov.lv</w:t>
              </w:r>
            </w:hyperlink>
          </w:p>
          <w:p w:rsidR="007C4254" w:rsidRPr="008404B2" w:rsidRDefault="007C4254" w:rsidP="00134C22">
            <w:pPr>
              <w:pStyle w:val="NoSpacing"/>
              <w:jc w:val="both"/>
              <w:rPr>
                <w:rStyle w:val="Hyperlink"/>
                <w:color w:val="000000" w:themeColor="text1"/>
              </w:rPr>
            </w:pPr>
          </w:p>
          <w:p w:rsidR="00C62706" w:rsidRPr="008404B2" w:rsidRDefault="00C62706" w:rsidP="00AD7D4A">
            <w:pPr>
              <w:pStyle w:val="Bezatstarpm1"/>
              <w:jc w:val="both"/>
              <w:rPr>
                <w:rFonts w:ascii="Times New Roman" w:hAnsi="Times New Roman"/>
                <w:color w:val="000000" w:themeColor="text1"/>
                <w:sz w:val="24"/>
                <w:szCs w:val="24"/>
                <w:lang w:val="lv-LV" w:bidi="gu-IN"/>
              </w:rPr>
            </w:pPr>
            <w:r w:rsidRPr="008404B2">
              <w:rPr>
                <w:rFonts w:ascii="Times New Roman" w:hAnsi="Times New Roman"/>
                <w:color w:val="000000" w:themeColor="text1"/>
                <w:sz w:val="24"/>
                <w:szCs w:val="24"/>
                <w:lang w:val="lv-LV"/>
              </w:rPr>
              <w:t xml:space="preserve">Sabiedriskā apspriede, saskaņā ar Ministru kabineta 2009. gada 25. augusta noteikumiem Nr. 970 ”Sabiedrības līdzdalības kārtība attīstības plānošanas procesā”, </w:t>
            </w:r>
            <w:r w:rsidRPr="008404B2">
              <w:rPr>
                <w:rFonts w:ascii="Times New Roman" w:hAnsi="Times New Roman"/>
                <w:color w:val="000000" w:themeColor="text1"/>
                <w:sz w:val="24"/>
                <w:szCs w:val="24"/>
                <w:lang w:val="lv-LV" w:bidi="gu-IN"/>
              </w:rPr>
              <w:t>notika 2017. gada 7. septembrī.</w:t>
            </w:r>
          </w:p>
          <w:p w:rsidR="007C4254" w:rsidRPr="008404B2" w:rsidRDefault="00C62706" w:rsidP="00AD7D4A">
            <w:pPr>
              <w:pStyle w:val="Bezatstarpm1"/>
              <w:jc w:val="both"/>
              <w:rPr>
                <w:color w:val="000000" w:themeColor="text1"/>
              </w:rPr>
            </w:pPr>
            <w:r w:rsidRPr="008404B2">
              <w:rPr>
                <w:rFonts w:ascii="Times New Roman" w:hAnsi="Times New Roman"/>
                <w:color w:val="000000" w:themeColor="text1"/>
                <w:sz w:val="24"/>
                <w:szCs w:val="24"/>
                <w:lang w:val="lv-LV"/>
              </w:rPr>
              <w:t>Informācija par sabiedrisko apspriedi</w:t>
            </w:r>
            <w:r w:rsidRPr="008404B2">
              <w:rPr>
                <w:rFonts w:ascii="Times New Roman" w:hAnsi="Times New Roman"/>
                <w:color w:val="000000" w:themeColor="text1"/>
                <w:sz w:val="24"/>
                <w:szCs w:val="24"/>
              </w:rPr>
              <w:t xml:space="preserve"> </w:t>
            </w:r>
            <w:r w:rsidRPr="008404B2">
              <w:rPr>
                <w:rFonts w:ascii="Times New Roman" w:hAnsi="Times New Roman"/>
                <w:color w:val="000000" w:themeColor="text1"/>
                <w:sz w:val="24"/>
                <w:szCs w:val="24"/>
                <w:lang w:val="lv-LV"/>
              </w:rPr>
              <w:t xml:space="preserve">pieejama elektroniskajā vietnē </w:t>
            </w:r>
            <w:hyperlink r:id="rId23" w:history="1">
              <w:r w:rsidRPr="008404B2">
                <w:rPr>
                  <w:rStyle w:val="Hyperlink"/>
                  <w:rFonts w:ascii="Times New Roman" w:hAnsi="Times New Roman"/>
                  <w:color w:val="000000" w:themeColor="text1"/>
                  <w:sz w:val="24"/>
                  <w:szCs w:val="24"/>
                  <w:u w:val="none"/>
                </w:rPr>
                <w:t>www.vm.gov.lv</w:t>
              </w:r>
            </w:hyperlink>
          </w:p>
        </w:tc>
      </w:tr>
      <w:tr w:rsidR="008404B2" w:rsidRPr="008404B2" w:rsidTr="00D8608E">
        <w:tblPrEx>
          <w:jc w:val="left"/>
          <w:shd w:val="clear" w:color="auto" w:fill="FFFFFF"/>
          <w:tblCellMar>
            <w:top w:w="30" w:type="dxa"/>
            <w:left w:w="30" w:type="dxa"/>
            <w:bottom w:w="30" w:type="dxa"/>
            <w:right w:w="30" w:type="dxa"/>
          </w:tblCellMar>
        </w:tblPrEx>
        <w:trPr>
          <w:trHeight w:val="667"/>
        </w:trPr>
        <w:tc>
          <w:tcPr>
            <w:tcW w:w="385" w:type="pct"/>
            <w:tcBorders>
              <w:top w:val="outset" w:sz="6" w:space="0" w:color="414142"/>
              <w:left w:val="outset" w:sz="6" w:space="0" w:color="414142"/>
              <w:bottom w:val="outset" w:sz="6" w:space="0" w:color="414142"/>
              <w:right w:val="outset" w:sz="6" w:space="0" w:color="414142"/>
            </w:tcBorders>
            <w:shd w:val="clear" w:color="auto" w:fill="FFFFFF"/>
            <w:hideMark/>
          </w:tcPr>
          <w:p w:rsidR="00F30391" w:rsidRPr="008404B2" w:rsidRDefault="00F30391" w:rsidP="00134C22">
            <w:pPr>
              <w:pStyle w:val="NoSpacing"/>
              <w:jc w:val="both"/>
              <w:rPr>
                <w:color w:val="000000" w:themeColor="text1"/>
              </w:rPr>
            </w:pPr>
            <w:r w:rsidRPr="008404B2">
              <w:rPr>
                <w:color w:val="000000" w:themeColor="text1"/>
              </w:rPr>
              <w:lastRenderedPageBreak/>
              <w:t>2.</w:t>
            </w:r>
          </w:p>
        </w:tc>
        <w:tc>
          <w:tcPr>
            <w:tcW w:w="123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F30391" w:rsidRPr="008404B2" w:rsidRDefault="00F30391" w:rsidP="00134C22">
            <w:pPr>
              <w:pStyle w:val="NoSpacing"/>
              <w:jc w:val="both"/>
              <w:rPr>
                <w:color w:val="000000" w:themeColor="text1"/>
              </w:rPr>
            </w:pPr>
            <w:r w:rsidRPr="008404B2">
              <w:rPr>
                <w:color w:val="000000" w:themeColor="text1"/>
              </w:rPr>
              <w:t>Sabiedrības līdzdalība projekta izstrādē</w:t>
            </w:r>
            <w:r w:rsidRPr="008404B2">
              <w:rPr>
                <w:color w:val="000000" w:themeColor="text1"/>
              </w:rPr>
              <w:tab/>
            </w:r>
          </w:p>
        </w:tc>
        <w:tc>
          <w:tcPr>
            <w:tcW w:w="338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557D97" w:rsidRPr="008404B2" w:rsidRDefault="00557D97" w:rsidP="00557D97">
            <w:pPr>
              <w:pStyle w:val="NoSpacing"/>
              <w:jc w:val="both"/>
              <w:rPr>
                <w:rFonts w:eastAsiaTheme="minorHAnsi"/>
                <w:color w:val="000000" w:themeColor="text1"/>
              </w:rPr>
            </w:pPr>
            <w:r w:rsidRPr="008404B2">
              <w:rPr>
                <w:color w:val="000000" w:themeColor="text1"/>
              </w:rPr>
              <w:t>Sabiedriskajā apspriedē 2017</w:t>
            </w:r>
            <w:r w:rsidR="00AD7D4A" w:rsidRPr="008404B2">
              <w:rPr>
                <w:color w:val="000000" w:themeColor="text1"/>
              </w:rPr>
              <w:t>. </w:t>
            </w:r>
            <w:r w:rsidR="008D0788" w:rsidRPr="008404B2">
              <w:rPr>
                <w:color w:val="000000" w:themeColor="text1"/>
              </w:rPr>
              <w:t>gada 7. septembrī</w:t>
            </w:r>
            <w:r w:rsidRPr="008404B2">
              <w:rPr>
                <w:color w:val="000000" w:themeColor="text1"/>
              </w:rPr>
              <w:t xml:space="preserve"> piedalījās </w:t>
            </w:r>
            <w:proofErr w:type="spellStart"/>
            <w:r w:rsidR="00AD7D4A" w:rsidRPr="008404B2">
              <w:rPr>
                <w:color w:val="000000" w:themeColor="text1"/>
              </w:rPr>
              <w:t>SIFFAs</w:t>
            </w:r>
            <w:proofErr w:type="spellEnd"/>
            <w:r w:rsidR="00AD7D4A" w:rsidRPr="008404B2">
              <w:rPr>
                <w:color w:val="000000" w:themeColor="text1"/>
              </w:rPr>
              <w:t xml:space="preserve"> pārstāvji</w:t>
            </w:r>
            <w:r w:rsidR="00785A61" w:rsidRPr="008404B2">
              <w:rPr>
                <w:color w:val="000000" w:themeColor="text1"/>
              </w:rPr>
              <w:t>, paužot arī LPMA un BRAL viedokli.</w:t>
            </w:r>
          </w:p>
          <w:p w:rsidR="00F30391" w:rsidRPr="008404B2" w:rsidRDefault="00F30391" w:rsidP="00134C22">
            <w:pPr>
              <w:pStyle w:val="NoSpacing"/>
              <w:jc w:val="both"/>
              <w:rPr>
                <w:bCs/>
                <w:color w:val="000000" w:themeColor="text1"/>
                <w:lang w:bidi="lv-LV"/>
              </w:rPr>
            </w:pPr>
          </w:p>
        </w:tc>
      </w:tr>
      <w:tr w:rsidR="008404B2" w:rsidRPr="008404B2" w:rsidTr="00D8608E">
        <w:tblPrEx>
          <w:jc w:val="left"/>
          <w:shd w:val="clear" w:color="auto" w:fill="FFFFFF"/>
          <w:tblCellMar>
            <w:top w:w="30" w:type="dxa"/>
            <w:left w:w="30" w:type="dxa"/>
            <w:bottom w:w="30" w:type="dxa"/>
            <w:right w:w="30" w:type="dxa"/>
          </w:tblCellMar>
        </w:tblPrEx>
        <w:trPr>
          <w:trHeight w:val="465"/>
        </w:trPr>
        <w:tc>
          <w:tcPr>
            <w:tcW w:w="385" w:type="pct"/>
            <w:tcBorders>
              <w:top w:val="outset" w:sz="6" w:space="0" w:color="414142"/>
              <w:left w:val="outset" w:sz="6" w:space="0" w:color="414142"/>
              <w:bottom w:val="outset" w:sz="6" w:space="0" w:color="414142"/>
              <w:right w:val="outset" w:sz="6" w:space="0" w:color="414142"/>
            </w:tcBorders>
            <w:shd w:val="clear" w:color="auto" w:fill="FFFFFF"/>
            <w:hideMark/>
          </w:tcPr>
          <w:p w:rsidR="00F30391" w:rsidRPr="008404B2" w:rsidRDefault="00F30391" w:rsidP="00134C22">
            <w:pPr>
              <w:pStyle w:val="NoSpacing"/>
              <w:jc w:val="both"/>
              <w:rPr>
                <w:color w:val="000000" w:themeColor="text1"/>
              </w:rPr>
            </w:pPr>
            <w:r w:rsidRPr="008404B2">
              <w:rPr>
                <w:color w:val="000000" w:themeColor="text1"/>
              </w:rPr>
              <w:t>3.</w:t>
            </w:r>
          </w:p>
        </w:tc>
        <w:tc>
          <w:tcPr>
            <w:tcW w:w="123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F30391" w:rsidRPr="008404B2" w:rsidRDefault="00F30391" w:rsidP="00134C22">
            <w:pPr>
              <w:pStyle w:val="NoSpacing"/>
              <w:jc w:val="both"/>
              <w:rPr>
                <w:color w:val="000000" w:themeColor="text1"/>
              </w:rPr>
            </w:pPr>
            <w:r w:rsidRPr="008404B2">
              <w:rPr>
                <w:color w:val="000000" w:themeColor="text1"/>
              </w:rPr>
              <w:t>Sabiedrības līdzdalības rezultāti</w:t>
            </w:r>
          </w:p>
        </w:tc>
        <w:tc>
          <w:tcPr>
            <w:tcW w:w="3383" w:type="pct"/>
            <w:gridSpan w:val="3"/>
            <w:tcBorders>
              <w:top w:val="outset" w:sz="6" w:space="0" w:color="414142"/>
              <w:left w:val="outset" w:sz="6" w:space="0" w:color="414142"/>
              <w:bottom w:val="outset" w:sz="6" w:space="0" w:color="414142"/>
              <w:right w:val="outset" w:sz="6" w:space="0" w:color="414142"/>
            </w:tcBorders>
            <w:shd w:val="clear" w:color="auto" w:fill="auto"/>
            <w:hideMark/>
          </w:tcPr>
          <w:p w:rsidR="00C920E6" w:rsidRPr="008404B2" w:rsidRDefault="00AD7D4A" w:rsidP="00785A61">
            <w:pPr>
              <w:pStyle w:val="Bezatstarpm1"/>
              <w:jc w:val="both"/>
              <w:rPr>
                <w:rFonts w:ascii="Times New Roman" w:hAnsi="Times New Roman"/>
                <w:color w:val="000000" w:themeColor="text1"/>
                <w:sz w:val="24"/>
                <w:szCs w:val="24"/>
                <w:lang w:val="lv-LV" w:eastAsia="en-GB"/>
              </w:rPr>
            </w:pPr>
            <w:r w:rsidRPr="008404B2">
              <w:rPr>
                <w:rFonts w:ascii="Times New Roman" w:hAnsi="Times New Roman"/>
                <w:color w:val="000000" w:themeColor="text1"/>
                <w:sz w:val="24"/>
                <w:szCs w:val="24"/>
                <w:lang w:val="lv-LV"/>
              </w:rPr>
              <w:t>SIFFA</w:t>
            </w:r>
            <w:r w:rsidR="00557D97" w:rsidRPr="008404B2">
              <w:rPr>
                <w:rFonts w:ascii="Times New Roman" w:hAnsi="Times New Roman"/>
                <w:color w:val="000000" w:themeColor="text1"/>
                <w:sz w:val="24"/>
                <w:szCs w:val="24"/>
                <w:lang w:val="lv-LV"/>
              </w:rPr>
              <w:t xml:space="preserve"> kopumā neiebilda pre</w:t>
            </w:r>
            <w:r w:rsidRPr="008404B2">
              <w:rPr>
                <w:rFonts w:ascii="Times New Roman" w:hAnsi="Times New Roman"/>
                <w:color w:val="000000" w:themeColor="text1"/>
                <w:sz w:val="24"/>
                <w:szCs w:val="24"/>
                <w:lang w:val="lv-LV"/>
              </w:rPr>
              <w:t xml:space="preserve">t izstrādāto Noteikumu projektu un </w:t>
            </w:r>
            <w:r w:rsidRPr="008404B2">
              <w:rPr>
                <w:rFonts w:ascii="Times New Roman" w:hAnsi="Times New Roman"/>
                <w:color w:val="000000" w:themeColor="text1"/>
                <w:sz w:val="24"/>
                <w:szCs w:val="24"/>
                <w:lang w:val="lv-LV" w:eastAsia="en-GB"/>
              </w:rPr>
              <w:t>atzinīgi vērtē MK 376 projektā iekļautās izmaiņas par zāļu reģistrācijas iesnieguma izskatīšanas laika samazināšanu decentralizētajā procedūrā reģistrētajām zālēm līdz 14 dien</w:t>
            </w:r>
            <w:r w:rsidR="002B52F7" w:rsidRPr="008404B2">
              <w:rPr>
                <w:rFonts w:ascii="Times New Roman" w:hAnsi="Times New Roman"/>
                <w:color w:val="000000" w:themeColor="text1"/>
                <w:sz w:val="24"/>
                <w:szCs w:val="24"/>
                <w:lang w:val="lv-LV" w:eastAsia="en-GB"/>
              </w:rPr>
              <w:t>ām</w:t>
            </w:r>
            <w:r w:rsidRPr="008404B2">
              <w:rPr>
                <w:rFonts w:ascii="Times New Roman" w:hAnsi="Times New Roman"/>
                <w:color w:val="000000" w:themeColor="text1"/>
                <w:sz w:val="24"/>
                <w:szCs w:val="24"/>
                <w:lang w:val="lv-LV" w:eastAsia="en-GB"/>
              </w:rPr>
              <w:t xml:space="preserve">, </w:t>
            </w:r>
            <w:r w:rsidRPr="008404B2">
              <w:rPr>
                <w:rFonts w:ascii="Times New Roman" w:hAnsi="Times New Roman"/>
                <w:color w:val="000000" w:themeColor="text1"/>
                <w:sz w:val="24"/>
                <w:szCs w:val="24"/>
                <w:lang w:val="lv-LV"/>
              </w:rPr>
              <w:t xml:space="preserve"> </w:t>
            </w:r>
            <w:r w:rsidRPr="008404B2">
              <w:rPr>
                <w:rFonts w:ascii="Times New Roman" w:hAnsi="Times New Roman"/>
                <w:color w:val="000000" w:themeColor="text1"/>
                <w:sz w:val="24"/>
                <w:szCs w:val="24"/>
                <w:lang w:val="lv-LV" w:eastAsia="en-GB"/>
              </w:rPr>
              <w:t>par prasību konkretizēšanu, kādām jāatbilst zāļu aprakstā iekļautajai informācijai</w:t>
            </w:r>
            <w:r w:rsidRPr="008404B2">
              <w:rPr>
                <w:rFonts w:ascii="Times New Roman" w:hAnsi="Times New Roman"/>
                <w:color w:val="000000" w:themeColor="text1"/>
                <w:sz w:val="24"/>
                <w:szCs w:val="24"/>
                <w:lang w:val="lv-LV"/>
              </w:rPr>
              <w:t xml:space="preserve"> un </w:t>
            </w:r>
            <w:r w:rsidRPr="008404B2">
              <w:rPr>
                <w:rFonts w:ascii="Times New Roman" w:hAnsi="Times New Roman"/>
                <w:color w:val="000000" w:themeColor="text1"/>
                <w:sz w:val="24"/>
                <w:szCs w:val="24"/>
                <w:lang w:val="lv-LV" w:eastAsia="en-GB"/>
              </w:rPr>
              <w:t>par zāļu reģistrācijas apliecības obligātu izsniegšanu elektroniskā dokumenta formā</w:t>
            </w:r>
            <w:r w:rsidR="00401C6B" w:rsidRPr="008404B2">
              <w:rPr>
                <w:rFonts w:ascii="Times New Roman" w:hAnsi="Times New Roman"/>
                <w:color w:val="000000" w:themeColor="text1"/>
                <w:sz w:val="24"/>
                <w:szCs w:val="24"/>
                <w:lang w:val="lv-LV" w:eastAsia="en-GB"/>
              </w:rPr>
              <w:t>.</w:t>
            </w:r>
          </w:p>
          <w:p w:rsidR="001B59C2" w:rsidRPr="008404B2" w:rsidRDefault="001B59C2" w:rsidP="00785A61">
            <w:pPr>
              <w:pStyle w:val="Bezatstarpm1"/>
              <w:jc w:val="both"/>
              <w:rPr>
                <w:rFonts w:ascii="Times New Roman" w:hAnsi="Times New Roman"/>
                <w:color w:val="000000" w:themeColor="text1"/>
                <w:sz w:val="24"/>
                <w:szCs w:val="24"/>
                <w:lang w:val="lv-LV" w:eastAsia="en-GB"/>
              </w:rPr>
            </w:pPr>
          </w:p>
          <w:p w:rsidR="00F30391" w:rsidRPr="008404B2" w:rsidRDefault="00867DB5" w:rsidP="00785A61">
            <w:pPr>
              <w:pStyle w:val="Bezatstarpm1"/>
              <w:jc w:val="both"/>
              <w:rPr>
                <w:rFonts w:ascii="Times New Roman" w:hAnsi="Times New Roman"/>
                <w:color w:val="000000" w:themeColor="text1"/>
                <w:sz w:val="24"/>
                <w:szCs w:val="24"/>
                <w:lang w:val="lv-LV" w:eastAsia="en-GB"/>
              </w:rPr>
            </w:pPr>
            <w:r w:rsidRPr="008404B2">
              <w:rPr>
                <w:rFonts w:ascii="Times New Roman" w:hAnsi="Times New Roman"/>
                <w:color w:val="000000" w:themeColor="text1"/>
                <w:sz w:val="24"/>
                <w:szCs w:val="24"/>
                <w:lang w:val="lv-LV" w:eastAsia="en-GB"/>
              </w:rPr>
              <w:t>Sabiedriskās apspriedes laikā tika skaidrota Noteikumu projektā ietverto grozījumu j</w:t>
            </w:r>
            <w:r w:rsidR="00785A61" w:rsidRPr="008404B2">
              <w:rPr>
                <w:rFonts w:ascii="Times New Roman" w:hAnsi="Times New Roman"/>
                <w:color w:val="000000" w:themeColor="text1"/>
                <w:sz w:val="24"/>
                <w:szCs w:val="24"/>
                <w:lang w:val="lv-LV" w:eastAsia="en-GB"/>
              </w:rPr>
              <w:t xml:space="preserve">ēga un </w:t>
            </w:r>
            <w:r w:rsidRPr="008404B2">
              <w:rPr>
                <w:rFonts w:ascii="Times New Roman" w:hAnsi="Times New Roman"/>
                <w:color w:val="000000" w:themeColor="text1"/>
                <w:sz w:val="24"/>
                <w:szCs w:val="24"/>
                <w:lang w:val="lv-LV" w:eastAsia="en-GB"/>
              </w:rPr>
              <w:t>anotācija</w:t>
            </w:r>
            <w:r w:rsidR="00785A61" w:rsidRPr="008404B2">
              <w:rPr>
                <w:rFonts w:ascii="Times New Roman" w:hAnsi="Times New Roman"/>
                <w:color w:val="000000" w:themeColor="text1"/>
                <w:sz w:val="24"/>
                <w:szCs w:val="24"/>
                <w:lang w:val="lv-LV" w:eastAsia="en-GB"/>
              </w:rPr>
              <w:t xml:space="preserve"> ir precizēta</w:t>
            </w:r>
            <w:r w:rsidRPr="008404B2">
              <w:rPr>
                <w:rFonts w:ascii="Times New Roman" w:hAnsi="Times New Roman"/>
                <w:color w:val="000000" w:themeColor="text1"/>
                <w:sz w:val="24"/>
                <w:szCs w:val="24"/>
                <w:lang w:val="lv-LV" w:eastAsia="en-GB"/>
              </w:rPr>
              <w:t xml:space="preserve">. </w:t>
            </w:r>
            <w:proofErr w:type="spellStart"/>
            <w:r w:rsidR="002B52F7" w:rsidRPr="008404B2">
              <w:rPr>
                <w:rFonts w:ascii="Times New Roman" w:hAnsi="Times New Roman"/>
                <w:color w:val="000000" w:themeColor="text1"/>
                <w:sz w:val="24"/>
                <w:szCs w:val="24"/>
                <w:lang w:val="lv-LV" w:eastAsia="en-GB"/>
              </w:rPr>
              <w:t>SIFFAs</w:t>
            </w:r>
            <w:proofErr w:type="spellEnd"/>
            <w:r w:rsidR="00785A61" w:rsidRPr="008404B2">
              <w:rPr>
                <w:rFonts w:ascii="Times New Roman" w:hAnsi="Times New Roman"/>
                <w:color w:val="000000" w:themeColor="text1"/>
                <w:sz w:val="24"/>
                <w:szCs w:val="24"/>
                <w:lang w:val="lv-LV" w:eastAsia="en-GB"/>
              </w:rPr>
              <w:t>, BRAL un LPMA</w:t>
            </w:r>
            <w:r w:rsidR="002B52F7" w:rsidRPr="008404B2">
              <w:rPr>
                <w:rFonts w:ascii="Times New Roman" w:hAnsi="Times New Roman"/>
                <w:color w:val="000000" w:themeColor="text1"/>
                <w:sz w:val="24"/>
                <w:szCs w:val="24"/>
                <w:lang w:val="lv-LV" w:eastAsia="en-GB"/>
              </w:rPr>
              <w:t xml:space="preserve"> ierosinājums </w:t>
            </w:r>
            <w:r w:rsidR="001B59C2" w:rsidRPr="008404B2">
              <w:rPr>
                <w:rFonts w:ascii="Times New Roman" w:hAnsi="Times New Roman"/>
                <w:color w:val="000000" w:themeColor="text1"/>
                <w:sz w:val="24"/>
                <w:szCs w:val="24"/>
                <w:lang w:val="lv-LV" w:eastAsia="en-GB"/>
              </w:rPr>
              <w:t xml:space="preserve">papildus </w:t>
            </w:r>
            <w:r w:rsidR="002B52F7" w:rsidRPr="008404B2">
              <w:rPr>
                <w:rFonts w:ascii="Times New Roman" w:hAnsi="Times New Roman"/>
                <w:bCs/>
                <w:color w:val="000000" w:themeColor="text1"/>
                <w:sz w:val="24"/>
                <w:szCs w:val="24"/>
                <w:lang w:val="lv-LV"/>
              </w:rPr>
              <w:t xml:space="preserve">zāļu aprakstā </w:t>
            </w:r>
            <w:r w:rsidR="001B59C2" w:rsidRPr="008404B2">
              <w:rPr>
                <w:rFonts w:ascii="Times New Roman" w:hAnsi="Times New Roman"/>
                <w:bCs/>
                <w:color w:val="000000" w:themeColor="text1"/>
                <w:sz w:val="24"/>
                <w:szCs w:val="24"/>
                <w:lang w:val="lv-LV"/>
              </w:rPr>
              <w:t xml:space="preserve">iekļautajai frāzei: </w:t>
            </w:r>
            <w:r w:rsidR="001B59C2" w:rsidRPr="008404B2">
              <w:rPr>
                <w:rFonts w:ascii="Times New Roman" w:hAnsi="Times New Roman"/>
                <w:color w:val="000000" w:themeColor="text1"/>
                <w:sz w:val="24"/>
                <w:szCs w:val="24"/>
                <w:lang w:val="lv-LV"/>
              </w:rPr>
              <w:t xml:space="preserve">“Šīs zāles tiek papildus uzraudzītas” </w:t>
            </w:r>
            <w:r w:rsidRPr="008404B2">
              <w:rPr>
                <w:rFonts w:ascii="Times New Roman" w:hAnsi="Times New Roman"/>
                <w:bCs/>
                <w:color w:val="000000" w:themeColor="text1"/>
                <w:sz w:val="24"/>
                <w:szCs w:val="24"/>
                <w:lang w:val="lv-LV"/>
              </w:rPr>
              <w:t xml:space="preserve">norādīt, </w:t>
            </w:r>
            <w:r w:rsidR="002B52F7" w:rsidRPr="008404B2">
              <w:rPr>
                <w:rFonts w:ascii="Times New Roman" w:hAnsi="Times New Roman"/>
                <w:bCs/>
                <w:color w:val="000000" w:themeColor="text1"/>
                <w:sz w:val="24"/>
                <w:szCs w:val="24"/>
                <w:lang w:val="lv-LV"/>
              </w:rPr>
              <w:t xml:space="preserve">ka </w:t>
            </w:r>
            <w:r w:rsidR="002B52F7" w:rsidRPr="008404B2">
              <w:rPr>
                <w:rFonts w:ascii="Times New Roman" w:hAnsi="Times New Roman"/>
                <w:color w:val="000000" w:themeColor="text1"/>
                <w:sz w:val="24"/>
                <w:szCs w:val="24"/>
                <w:lang w:val="lv-LV"/>
              </w:rPr>
              <w:t xml:space="preserve">pacienta lietā </w:t>
            </w:r>
            <w:r w:rsidR="005A5BF1" w:rsidRPr="008404B2">
              <w:rPr>
                <w:rFonts w:ascii="Times New Roman" w:hAnsi="Times New Roman"/>
                <w:color w:val="000000" w:themeColor="text1"/>
                <w:sz w:val="24"/>
                <w:szCs w:val="24"/>
                <w:lang w:val="lv-LV"/>
              </w:rPr>
              <w:t>b</w:t>
            </w:r>
            <w:r w:rsidR="005A5BF1" w:rsidRPr="008404B2">
              <w:rPr>
                <w:rFonts w:ascii="Times New Roman" w:hAnsi="Times New Roman"/>
                <w:bCs/>
                <w:color w:val="000000" w:themeColor="text1"/>
                <w:sz w:val="24"/>
                <w:szCs w:val="24"/>
                <w:lang w:val="lv-LV"/>
              </w:rPr>
              <w:t>ioloģiskas izcelsmes zāļu blakusparādību uzraudzības un zāļu izsekojamības nolūkā</w:t>
            </w:r>
            <w:r w:rsidR="005A5BF1" w:rsidRPr="008404B2">
              <w:rPr>
                <w:rFonts w:ascii="Times New Roman" w:hAnsi="Times New Roman"/>
                <w:color w:val="000000" w:themeColor="text1"/>
                <w:sz w:val="24"/>
                <w:szCs w:val="24"/>
                <w:lang w:val="lv-LV"/>
              </w:rPr>
              <w:t xml:space="preserve"> </w:t>
            </w:r>
            <w:r w:rsidR="002B52F7" w:rsidRPr="008404B2">
              <w:rPr>
                <w:rFonts w:ascii="Times New Roman" w:hAnsi="Times New Roman"/>
                <w:color w:val="000000" w:themeColor="text1"/>
                <w:sz w:val="24"/>
                <w:szCs w:val="24"/>
                <w:lang w:val="lv-LV"/>
              </w:rPr>
              <w:t>ir jānorāda zāļu nosaukums un sērijas numurs</w:t>
            </w:r>
            <w:r w:rsidRPr="008404B2">
              <w:rPr>
                <w:rFonts w:ascii="Times New Roman" w:hAnsi="Times New Roman"/>
                <w:color w:val="000000" w:themeColor="text1"/>
                <w:sz w:val="24"/>
                <w:szCs w:val="24"/>
                <w:lang w:val="lv-LV"/>
              </w:rPr>
              <w:t>,</w:t>
            </w:r>
            <w:r w:rsidR="00282199" w:rsidRPr="008404B2">
              <w:rPr>
                <w:rFonts w:ascii="Times New Roman" w:hAnsi="Times New Roman"/>
                <w:color w:val="000000" w:themeColor="text1"/>
                <w:sz w:val="24"/>
                <w:szCs w:val="24"/>
                <w:lang w:val="lv-LV"/>
              </w:rPr>
              <w:t xml:space="preserve"> nav ņemts vērā, jo jautājumus </w:t>
            </w:r>
            <w:r w:rsidRPr="008404B2">
              <w:rPr>
                <w:rFonts w:ascii="Times New Roman" w:hAnsi="Times New Roman"/>
                <w:color w:val="000000" w:themeColor="text1"/>
                <w:sz w:val="24"/>
                <w:szCs w:val="24"/>
                <w:lang w:val="lv-LV"/>
              </w:rPr>
              <w:t xml:space="preserve">neskar </w:t>
            </w:r>
            <w:r w:rsidR="00282199" w:rsidRPr="008404B2">
              <w:rPr>
                <w:rFonts w:ascii="Times New Roman" w:hAnsi="Times New Roman"/>
                <w:color w:val="000000" w:themeColor="text1"/>
                <w:sz w:val="24"/>
                <w:szCs w:val="24"/>
                <w:lang w:val="lv-LV"/>
              </w:rPr>
              <w:t xml:space="preserve">zāļu reģistrēšanas kārtību un nav </w:t>
            </w:r>
            <w:r w:rsidRPr="008404B2">
              <w:rPr>
                <w:rFonts w:ascii="Times New Roman" w:hAnsi="Times New Roman"/>
                <w:color w:val="000000" w:themeColor="text1"/>
                <w:sz w:val="24"/>
                <w:szCs w:val="24"/>
                <w:lang w:val="lv-LV"/>
              </w:rPr>
              <w:t>saistīts</w:t>
            </w:r>
            <w:r w:rsidR="00282199" w:rsidRPr="008404B2">
              <w:rPr>
                <w:rFonts w:ascii="Times New Roman" w:hAnsi="Times New Roman"/>
                <w:color w:val="000000" w:themeColor="text1"/>
                <w:sz w:val="24"/>
                <w:szCs w:val="24"/>
                <w:lang w:val="lv-LV"/>
              </w:rPr>
              <w:t xml:space="preserve"> ar šajā noteikumu projektā iekļautajām normām.</w:t>
            </w:r>
            <w:r w:rsidR="00C920E6" w:rsidRPr="008404B2">
              <w:rPr>
                <w:rFonts w:ascii="Times New Roman" w:hAnsi="Times New Roman"/>
                <w:color w:val="000000" w:themeColor="text1"/>
                <w:sz w:val="24"/>
                <w:szCs w:val="24"/>
                <w:lang w:val="lv-LV"/>
              </w:rPr>
              <w:t xml:space="preserve"> </w:t>
            </w:r>
            <w:r w:rsidRPr="008404B2">
              <w:rPr>
                <w:rFonts w:ascii="Times New Roman" w:hAnsi="Times New Roman"/>
                <w:color w:val="000000" w:themeColor="text1"/>
                <w:sz w:val="24"/>
                <w:szCs w:val="24"/>
                <w:lang w:val="lv-LV"/>
              </w:rPr>
              <w:t>“</w:t>
            </w:r>
            <w:r w:rsidR="00C920E6" w:rsidRPr="008404B2">
              <w:rPr>
                <w:rFonts w:ascii="Times New Roman" w:hAnsi="Times New Roman"/>
                <w:color w:val="000000" w:themeColor="text1"/>
                <w:sz w:val="24"/>
                <w:szCs w:val="24"/>
                <w:lang w:val="lv-LV"/>
              </w:rPr>
              <w:t>Standartizētā</w:t>
            </w:r>
            <w:r w:rsidRPr="008404B2">
              <w:rPr>
                <w:rFonts w:ascii="Times New Roman" w:hAnsi="Times New Roman"/>
                <w:color w:val="000000" w:themeColor="text1"/>
                <w:sz w:val="24"/>
                <w:szCs w:val="24"/>
                <w:lang w:val="lv-LV"/>
              </w:rPr>
              <w:t>”</w:t>
            </w:r>
            <w:r w:rsidR="00C920E6" w:rsidRPr="008404B2">
              <w:rPr>
                <w:rFonts w:ascii="Times New Roman" w:hAnsi="Times New Roman"/>
                <w:color w:val="000000" w:themeColor="text1"/>
                <w:sz w:val="24"/>
                <w:szCs w:val="24"/>
                <w:lang w:val="lv-LV"/>
              </w:rPr>
              <w:t xml:space="preserve"> teksta: “Šīs zāles tiek papildus uzraudzītas” iekļaušana zāļu aprakstā </w:t>
            </w:r>
            <w:r w:rsidRPr="008404B2">
              <w:rPr>
                <w:rFonts w:ascii="Times New Roman" w:hAnsi="Times New Roman"/>
                <w:color w:val="000000" w:themeColor="text1"/>
                <w:sz w:val="24"/>
                <w:szCs w:val="24"/>
                <w:lang w:val="lv-LV"/>
              </w:rPr>
              <w:t xml:space="preserve">nosaka </w:t>
            </w:r>
            <w:r w:rsidR="00C920E6" w:rsidRPr="008404B2">
              <w:rPr>
                <w:rFonts w:ascii="Times New Roman" w:hAnsi="Times New Roman"/>
                <w:color w:val="000000" w:themeColor="text1"/>
                <w:sz w:val="24"/>
                <w:szCs w:val="24"/>
                <w:lang w:val="lv-LV"/>
              </w:rPr>
              <w:t xml:space="preserve">Eiropas Parlamenta un Padomes 2010. gada 15. decembra Direktīvas Nr. 2010/84/ES, ar kuru attiecībā uz </w:t>
            </w:r>
            <w:proofErr w:type="spellStart"/>
            <w:r w:rsidR="00C920E6" w:rsidRPr="008404B2">
              <w:rPr>
                <w:rFonts w:ascii="Times New Roman" w:hAnsi="Times New Roman"/>
                <w:color w:val="000000" w:themeColor="text1"/>
                <w:sz w:val="24"/>
                <w:szCs w:val="24"/>
                <w:lang w:val="lv-LV"/>
              </w:rPr>
              <w:t>farmakovigilanci</w:t>
            </w:r>
            <w:proofErr w:type="spellEnd"/>
            <w:r w:rsidR="00C920E6" w:rsidRPr="008404B2">
              <w:rPr>
                <w:rFonts w:ascii="Times New Roman" w:hAnsi="Times New Roman"/>
                <w:color w:val="000000" w:themeColor="text1"/>
                <w:sz w:val="24"/>
                <w:szCs w:val="24"/>
                <w:lang w:val="lv-LV"/>
              </w:rPr>
              <w:t xml:space="preserve"> groza Direktīvu 2001/83/EK par Kopienas kodeksu, kas attiecas uz cilvēkiem paredzētām zālēm 1. panta</w:t>
            </w:r>
            <w:r w:rsidRPr="008404B2">
              <w:rPr>
                <w:rFonts w:ascii="Times New Roman" w:hAnsi="Times New Roman"/>
                <w:color w:val="000000" w:themeColor="text1"/>
                <w:sz w:val="24"/>
                <w:szCs w:val="24"/>
                <w:lang w:val="lv-LV"/>
              </w:rPr>
              <w:t xml:space="preserve"> 3. punkta norma</w:t>
            </w:r>
            <w:r w:rsidR="00C920E6" w:rsidRPr="008404B2">
              <w:rPr>
                <w:rFonts w:ascii="Times New Roman" w:hAnsi="Times New Roman"/>
                <w:color w:val="000000" w:themeColor="text1"/>
                <w:sz w:val="24"/>
                <w:szCs w:val="24"/>
                <w:lang w:val="lv-LV"/>
              </w:rPr>
              <w:t xml:space="preserve">, un tā </w:t>
            </w:r>
            <w:r w:rsidRPr="008404B2">
              <w:rPr>
                <w:rFonts w:ascii="Times New Roman" w:hAnsi="Times New Roman"/>
                <w:color w:val="000000" w:themeColor="text1"/>
                <w:sz w:val="24"/>
                <w:szCs w:val="24"/>
                <w:lang w:val="lv-LV"/>
              </w:rPr>
              <w:t>neparedz detalizētāku skaidrojumu.</w:t>
            </w:r>
            <w:r w:rsidR="00785A61" w:rsidRPr="008404B2">
              <w:rPr>
                <w:rFonts w:ascii="Times New Roman" w:hAnsi="Times New Roman"/>
                <w:color w:val="000000" w:themeColor="text1"/>
                <w:sz w:val="24"/>
                <w:szCs w:val="24"/>
                <w:lang w:val="lv-LV"/>
              </w:rPr>
              <w:t xml:space="preserve"> Savukārt Eiropas Zāļu aģentūra ir apstiprinājusi zāļu apraksta standartizēto formu, līdz ar to papildus informācijas iekļaušana tajā ir jāsaskaņo ar visām dalībvalstīm. </w:t>
            </w:r>
            <w:r w:rsidR="00785A61" w:rsidRPr="008404B2">
              <w:rPr>
                <w:rFonts w:ascii="Times New Roman" w:hAnsi="Times New Roman"/>
                <w:bCs/>
                <w:color w:val="000000" w:themeColor="text1"/>
                <w:sz w:val="24"/>
                <w:szCs w:val="24"/>
                <w:lang w:val="lv-LV"/>
              </w:rPr>
              <w:t xml:space="preserve">Tā kā zāļu reģistrācijā papildus uzraudzība tiek noteikta ne visām bioloģiskas izcelsmes zālēm, prasība par zāļu nosaukuma un sērijas norādi pacienta lietā nebūtu attiecināma uz visām bioloģiskas izcelsmes zālēm (piemēram, fermentu preparāti). </w:t>
            </w:r>
            <w:r w:rsidR="001B59C2" w:rsidRPr="008404B2">
              <w:rPr>
                <w:rFonts w:ascii="Times New Roman" w:hAnsi="Times New Roman"/>
                <w:bCs/>
                <w:color w:val="000000" w:themeColor="text1"/>
                <w:sz w:val="24"/>
                <w:szCs w:val="24"/>
                <w:lang w:val="lv-LV"/>
              </w:rPr>
              <w:t xml:space="preserve">Skatoties </w:t>
            </w:r>
            <w:proofErr w:type="spellStart"/>
            <w:r w:rsidR="001B59C2" w:rsidRPr="008404B2">
              <w:rPr>
                <w:rFonts w:ascii="Times New Roman" w:hAnsi="Times New Roman"/>
                <w:bCs/>
                <w:color w:val="000000" w:themeColor="text1"/>
                <w:sz w:val="24"/>
                <w:szCs w:val="24"/>
                <w:lang w:val="lv-LV"/>
              </w:rPr>
              <w:t>SIFFAs</w:t>
            </w:r>
            <w:proofErr w:type="spellEnd"/>
            <w:r w:rsidR="001B59C2" w:rsidRPr="008404B2">
              <w:rPr>
                <w:rFonts w:ascii="Times New Roman" w:hAnsi="Times New Roman"/>
                <w:bCs/>
                <w:color w:val="000000" w:themeColor="text1"/>
                <w:sz w:val="24"/>
                <w:szCs w:val="24"/>
                <w:lang w:val="lv-LV"/>
              </w:rPr>
              <w:t xml:space="preserve"> ierosinājumu noteikt ar regulējumu prasību </w:t>
            </w:r>
            <w:r w:rsidR="001B59C2" w:rsidRPr="008404B2">
              <w:rPr>
                <w:rFonts w:ascii="Times New Roman" w:hAnsi="Times New Roman"/>
                <w:color w:val="000000" w:themeColor="text1"/>
                <w:sz w:val="24"/>
                <w:szCs w:val="24"/>
                <w:lang w:val="lv-LV"/>
              </w:rPr>
              <w:t>pacienta lietā norādīt zāļu nosaukumu un sērijas numuru b</w:t>
            </w:r>
            <w:r w:rsidR="001B59C2" w:rsidRPr="008404B2">
              <w:rPr>
                <w:rFonts w:ascii="Times New Roman" w:hAnsi="Times New Roman"/>
                <w:bCs/>
                <w:color w:val="000000" w:themeColor="text1"/>
                <w:sz w:val="24"/>
                <w:szCs w:val="24"/>
                <w:lang w:val="lv-LV"/>
              </w:rPr>
              <w:t xml:space="preserve">ioloģiskas izcelsmes zāļu blakusparādību uzraudzības un zāļu izsekojamības nolūkā, </w:t>
            </w:r>
            <w:r w:rsidR="00C56320" w:rsidRPr="008404B2">
              <w:rPr>
                <w:rFonts w:ascii="Times New Roman" w:hAnsi="Times New Roman"/>
                <w:bCs/>
                <w:color w:val="000000" w:themeColor="text1"/>
                <w:sz w:val="24"/>
                <w:szCs w:val="24"/>
                <w:lang w:val="lv-LV"/>
              </w:rPr>
              <w:t>izskatāms, kā</w:t>
            </w:r>
            <w:r w:rsidR="001B59C2" w:rsidRPr="008404B2">
              <w:rPr>
                <w:rFonts w:ascii="Times New Roman" w:hAnsi="Times New Roman"/>
                <w:bCs/>
                <w:color w:val="000000" w:themeColor="text1"/>
                <w:sz w:val="24"/>
                <w:szCs w:val="24"/>
                <w:lang w:val="lv-LV"/>
              </w:rPr>
              <w:t xml:space="preserve"> ārsts </w:t>
            </w:r>
            <w:r w:rsidR="00C56320" w:rsidRPr="008404B2">
              <w:rPr>
                <w:rFonts w:ascii="Times New Roman" w:hAnsi="Times New Roman"/>
                <w:bCs/>
                <w:color w:val="000000" w:themeColor="text1"/>
                <w:sz w:val="24"/>
                <w:szCs w:val="24"/>
                <w:lang w:val="lv-LV"/>
              </w:rPr>
              <w:t xml:space="preserve">var iegūt informāciju attiecībā uz pacientam izsniegtajām </w:t>
            </w:r>
            <w:r w:rsidR="001B59C2" w:rsidRPr="008404B2">
              <w:rPr>
                <w:rFonts w:ascii="Times New Roman" w:hAnsi="Times New Roman"/>
                <w:bCs/>
                <w:color w:val="000000" w:themeColor="text1"/>
                <w:sz w:val="24"/>
                <w:szCs w:val="24"/>
                <w:lang w:val="lv-LV"/>
              </w:rPr>
              <w:t>bioloģiskās izcelsmes zālēm</w:t>
            </w:r>
            <w:r w:rsidR="00785A61" w:rsidRPr="008404B2">
              <w:rPr>
                <w:rFonts w:ascii="Times New Roman" w:hAnsi="Times New Roman"/>
                <w:bCs/>
                <w:color w:val="000000" w:themeColor="text1"/>
                <w:sz w:val="24"/>
                <w:szCs w:val="24"/>
                <w:lang w:val="lv-LV"/>
              </w:rPr>
              <w:t xml:space="preserve"> </w:t>
            </w:r>
            <w:r w:rsidR="00C56320" w:rsidRPr="008404B2">
              <w:rPr>
                <w:rFonts w:ascii="Times New Roman" w:hAnsi="Times New Roman"/>
                <w:bCs/>
                <w:color w:val="000000" w:themeColor="text1"/>
                <w:sz w:val="24"/>
                <w:szCs w:val="24"/>
                <w:lang w:val="lv-LV"/>
              </w:rPr>
              <w:lastRenderedPageBreak/>
              <w:t xml:space="preserve">(piemēram, e -veselības ietvarā) un, </w:t>
            </w:r>
            <w:r w:rsidR="001B59C2" w:rsidRPr="008404B2">
              <w:rPr>
                <w:rFonts w:ascii="Times New Roman" w:hAnsi="Times New Roman"/>
                <w:bCs/>
                <w:color w:val="000000" w:themeColor="text1"/>
                <w:sz w:val="24"/>
                <w:szCs w:val="24"/>
                <w:lang w:val="lv-LV"/>
              </w:rPr>
              <w:t>nepieciešamības gadījumā</w:t>
            </w:r>
            <w:r w:rsidR="00C56320" w:rsidRPr="008404B2">
              <w:rPr>
                <w:rFonts w:ascii="Times New Roman" w:hAnsi="Times New Roman"/>
                <w:bCs/>
                <w:color w:val="000000" w:themeColor="text1"/>
                <w:sz w:val="24"/>
                <w:szCs w:val="24"/>
                <w:lang w:val="lv-LV"/>
              </w:rPr>
              <w:t>,</w:t>
            </w:r>
            <w:r w:rsidR="001B59C2" w:rsidRPr="008404B2">
              <w:rPr>
                <w:rFonts w:ascii="Times New Roman" w:hAnsi="Times New Roman"/>
                <w:bCs/>
                <w:color w:val="000000" w:themeColor="text1"/>
                <w:sz w:val="24"/>
                <w:szCs w:val="24"/>
                <w:lang w:val="lv-LV"/>
              </w:rPr>
              <w:t xml:space="preserve"> attiecīgu regulējumu paredzot citos normatīvajos aktos, piemēram, </w:t>
            </w:r>
            <w:r w:rsidR="00785A61" w:rsidRPr="008404B2">
              <w:rPr>
                <w:rFonts w:ascii="Times New Roman" w:hAnsi="Times New Roman"/>
                <w:bCs/>
                <w:color w:val="000000" w:themeColor="text1"/>
                <w:sz w:val="24"/>
                <w:szCs w:val="24"/>
                <w:lang w:val="lv-LV"/>
              </w:rPr>
              <w:t>par medicīnisko dokumentāciju</w:t>
            </w:r>
            <w:r w:rsidR="00C56320" w:rsidRPr="008404B2">
              <w:rPr>
                <w:rFonts w:ascii="Times New Roman" w:hAnsi="Times New Roman"/>
                <w:bCs/>
                <w:color w:val="000000" w:themeColor="text1"/>
                <w:sz w:val="24"/>
                <w:szCs w:val="24"/>
                <w:lang w:val="lv-LV"/>
              </w:rPr>
              <w:t>.</w:t>
            </w:r>
          </w:p>
        </w:tc>
      </w:tr>
      <w:tr w:rsidR="008404B2" w:rsidRPr="008404B2" w:rsidTr="00D8608E">
        <w:tblPrEx>
          <w:jc w:val="left"/>
          <w:shd w:val="clear" w:color="auto" w:fill="FFFFFF"/>
          <w:tblCellMar>
            <w:top w:w="30" w:type="dxa"/>
            <w:left w:w="30" w:type="dxa"/>
            <w:bottom w:w="30" w:type="dxa"/>
            <w:right w:w="30" w:type="dxa"/>
          </w:tblCellMar>
        </w:tblPrEx>
        <w:trPr>
          <w:trHeight w:val="465"/>
        </w:trPr>
        <w:tc>
          <w:tcPr>
            <w:tcW w:w="385" w:type="pct"/>
            <w:tcBorders>
              <w:top w:val="outset" w:sz="6" w:space="0" w:color="414142"/>
              <w:left w:val="outset" w:sz="6" w:space="0" w:color="414142"/>
              <w:bottom w:val="outset" w:sz="6" w:space="0" w:color="414142"/>
              <w:right w:val="outset" w:sz="6" w:space="0" w:color="414142"/>
            </w:tcBorders>
            <w:shd w:val="clear" w:color="auto" w:fill="FFFFFF"/>
            <w:hideMark/>
          </w:tcPr>
          <w:p w:rsidR="00F30391" w:rsidRPr="008404B2" w:rsidRDefault="00F30391" w:rsidP="00134C22">
            <w:pPr>
              <w:pStyle w:val="NoSpacing"/>
              <w:jc w:val="both"/>
              <w:rPr>
                <w:color w:val="000000" w:themeColor="text1"/>
              </w:rPr>
            </w:pPr>
            <w:r w:rsidRPr="008404B2">
              <w:rPr>
                <w:color w:val="000000" w:themeColor="text1"/>
              </w:rPr>
              <w:lastRenderedPageBreak/>
              <w:t>4.</w:t>
            </w:r>
          </w:p>
        </w:tc>
        <w:tc>
          <w:tcPr>
            <w:tcW w:w="123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F30391" w:rsidRPr="008404B2" w:rsidRDefault="00F30391" w:rsidP="00134C22">
            <w:pPr>
              <w:pStyle w:val="NoSpacing"/>
              <w:jc w:val="both"/>
              <w:rPr>
                <w:color w:val="000000" w:themeColor="text1"/>
              </w:rPr>
            </w:pPr>
            <w:r w:rsidRPr="008404B2">
              <w:rPr>
                <w:color w:val="000000" w:themeColor="text1"/>
              </w:rPr>
              <w:t>Cita informācija</w:t>
            </w:r>
          </w:p>
        </w:tc>
        <w:tc>
          <w:tcPr>
            <w:tcW w:w="338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F30391" w:rsidRPr="008404B2" w:rsidRDefault="00F30391" w:rsidP="00134C22">
            <w:pPr>
              <w:pStyle w:val="NoSpacing"/>
              <w:jc w:val="both"/>
              <w:rPr>
                <w:color w:val="000000" w:themeColor="text1"/>
              </w:rPr>
            </w:pPr>
            <w:r w:rsidRPr="008404B2">
              <w:rPr>
                <w:color w:val="000000" w:themeColor="text1"/>
              </w:rPr>
              <w:t>Nav</w:t>
            </w:r>
          </w:p>
        </w:tc>
      </w:tr>
    </w:tbl>
    <w:p w:rsidR="00F30391" w:rsidRPr="008404B2" w:rsidRDefault="00F30391" w:rsidP="00F30391">
      <w:pPr>
        <w:shd w:val="clear" w:color="auto" w:fill="FFFFFF"/>
        <w:spacing w:after="0" w:line="240" w:lineRule="auto"/>
        <w:ind w:firstLine="301"/>
        <w:rPr>
          <w:rFonts w:ascii="Times New Roman" w:eastAsia="Times New Roman" w:hAnsi="Times New Roman"/>
          <w:color w:val="000000" w:themeColor="text1"/>
          <w:sz w:val="24"/>
          <w:szCs w:val="24"/>
          <w:lang w:eastAsia="lv-LV"/>
        </w:rPr>
      </w:pPr>
    </w:p>
    <w:p w:rsidR="00CE6A77" w:rsidRPr="008404B2" w:rsidRDefault="00CE6A77" w:rsidP="00A95855">
      <w:pPr>
        <w:pStyle w:val="NoSpacing"/>
        <w:jc w:val="both"/>
        <w:rPr>
          <w:color w:val="000000" w:themeColor="text1"/>
          <w:sz w:val="28"/>
          <w:szCs w:val="28"/>
        </w:rPr>
      </w:pPr>
    </w:p>
    <w:tbl>
      <w:tblPr>
        <w:tblW w:w="5009"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600"/>
        <w:gridCol w:w="4077"/>
        <w:gridCol w:w="4394"/>
      </w:tblGrid>
      <w:tr w:rsidR="008404B2" w:rsidRPr="008404B2" w:rsidTr="00594BB9">
        <w:trPr>
          <w:trHeight w:val="375"/>
        </w:trPr>
        <w:tc>
          <w:tcPr>
            <w:tcW w:w="5000" w:type="pct"/>
            <w:gridSpan w:val="3"/>
            <w:tcBorders>
              <w:top w:val="outset" w:sz="6" w:space="0" w:color="414142"/>
              <w:bottom w:val="outset" w:sz="6" w:space="0" w:color="414142"/>
            </w:tcBorders>
            <w:shd w:val="clear" w:color="auto" w:fill="FFFFFF"/>
            <w:vAlign w:val="center"/>
          </w:tcPr>
          <w:p w:rsidR="00A95855" w:rsidRPr="008404B2" w:rsidRDefault="00A95855" w:rsidP="001A2287">
            <w:pPr>
              <w:pStyle w:val="NoSpacing"/>
              <w:jc w:val="both"/>
              <w:rPr>
                <w:b/>
                <w:color w:val="000000" w:themeColor="text1"/>
              </w:rPr>
            </w:pPr>
            <w:r w:rsidRPr="008404B2">
              <w:rPr>
                <w:b/>
                <w:color w:val="000000" w:themeColor="text1"/>
              </w:rPr>
              <w:t>VII. Tiesību akta projekta izpildes nodrošināšana un tās ietekme uz institūcijām</w:t>
            </w:r>
          </w:p>
        </w:tc>
      </w:tr>
      <w:tr w:rsidR="008404B2" w:rsidRPr="008404B2" w:rsidTr="004E3F71">
        <w:trPr>
          <w:trHeight w:val="420"/>
        </w:trPr>
        <w:tc>
          <w:tcPr>
            <w:tcW w:w="331" w:type="pct"/>
            <w:tcBorders>
              <w:top w:val="outset" w:sz="6" w:space="0" w:color="414142"/>
              <w:bottom w:val="outset" w:sz="6" w:space="0" w:color="414142"/>
              <w:right w:val="outset" w:sz="6" w:space="0" w:color="414142"/>
            </w:tcBorders>
            <w:shd w:val="clear" w:color="auto" w:fill="FFFFFF"/>
          </w:tcPr>
          <w:p w:rsidR="00A95855" w:rsidRPr="008404B2" w:rsidRDefault="00A95855" w:rsidP="001A2287">
            <w:pPr>
              <w:pStyle w:val="NoSpacing"/>
              <w:jc w:val="both"/>
              <w:rPr>
                <w:color w:val="000000" w:themeColor="text1"/>
              </w:rPr>
            </w:pPr>
            <w:r w:rsidRPr="008404B2">
              <w:rPr>
                <w:color w:val="000000" w:themeColor="text1"/>
              </w:rPr>
              <w:t>1.</w:t>
            </w:r>
          </w:p>
        </w:tc>
        <w:tc>
          <w:tcPr>
            <w:tcW w:w="2247" w:type="pct"/>
            <w:tcBorders>
              <w:top w:val="outset" w:sz="6" w:space="0" w:color="414142"/>
              <w:left w:val="outset" w:sz="6" w:space="0" w:color="414142"/>
              <w:bottom w:val="outset" w:sz="6" w:space="0" w:color="414142"/>
              <w:right w:val="outset" w:sz="6" w:space="0" w:color="414142"/>
            </w:tcBorders>
            <w:shd w:val="clear" w:color="auto" w:fill="FFFFFF"/>
          </w:tcPr>
          <w:p w:rsidR="00A95855" w:rsidRPr="008404B2" w:rsidRDefault="00A95855" w:rsidP="001A2287">
            <w:pPr>
              <w:pStyle w:val="NoSpacing"/>
              <w:jc w:val="both"/>
              <w:rPr>
                <w:color w:val="000000" w:themeColor="text1"/>
              </w:rPr>
            </w:pPr>
            <w:r w:rsidRPr="008404B2">
              <w:rPr>
                <w:color w:val="000000" w:themeColor="text1"/>
              </w:rPr>
              <w:t>Projekta izpildē iesaistītās institūcijas</w:t>
            </w:r>
          </w:p>
        </w:tc>
        <w:tc>
          <w:tcPr>
            <w:tcW w:w="2421" w:type="pct"/>
            <w:tcBorders>
              <w:top w:val="outset" w:sz="6" w:space="0" w:color="414142"/>
              <w:left w:val="outset" w:sz="6" w:space="0" w:color="414142"/>
              <w:bottom w:val="outset" w:sz="6" w:space="0" w:color="414142"/>
            </w:tcBorders>
            <w:shd w:val="clear" w:color="auto" w:fill="FFFFFF"/>
          </w:tcPr>
          <w:p w:rsidR="00A95855" w:rsidRPr="008404B2" w:rsidRDefault="00453930" w:rsidP="00FF6EBF">
            <w:pPr>
              <w:pStyle w:val="tv213"/>
              <w:spacing w:before="0" w:beforeAutospacing="0" w:after="0" w:afterAutospacing="0" w:line="293" w:lineRule="atLeast"/>
              <w:jc w:val="both"/>
              <w:rPr>
                <w:color w:val="000000" w:themeColor="text1"/>
                <w:lang w:val="lv-LV"/>
              </w:rPr>
            </w:pPr>
            <w:r w:rsidRPr="008404B2">
              <w:rPr>
                <w:color w:val="000000" w:themeColor="text1"/>
                <w:lang w:val="lv-LV"/>
              </w:rPr>
              <w:t>Veselības ministri</w:t>
            </w:r>
            <w:r w:rsidR="002764A5" w:rsidRPr="008404B2">
              <w:rPr>
                <w:color w:val="000000" w:themeColor="text1"/>
                <w:lang w:val="lv-LV"/>
              </w:rPr>
              <w:t>ja</w:t>
            </w:r>
            <w:r w:rsidR="00536788" w:rsidRPr="008404B2">
              <w:rPr>
                <w:color w:val="000000" w:themeColor="text1"/>
                <w:lang w:val="lv-LV"/>
              </w:rPr>
              <w:t xml:space="preserve"> un Zāļu valsts aģentūra</w:t>
            </w:r>
          </w:p>
        </w:tc>
      </w:tr>
      <w:tr w:rsidR="008404B2" w:rsidRPr="008404B2" w:rsidTr="004E3F71">
        <w:trPr>
          <w:trHeight w:val="450"/>
        </w:trPr>
        <w:tc>
          <w:tcPr>
            <w:tcW w:w="331" w:type="pct"/>
            <w:tcBorders>
              <w:top w:val="outset" w:sz="6" w:space="0" w:color="414142"/>
              <w:bottom w:val="outset" w:sz="6" w:space="0" w:color="414142"/>
              <w:right w:val="outset" w:sz="6" w:space="0" w:color="414142"/>
            </w:tcBorders>
            <w:shd w:val="clear" w:color="auto" w:fill="FFFFFF"/>
          </w:tcPr>
          <w:p w:rsidR="00A95855" w:rsidRPr="008404B2" w:rsidRDefault="00A95855" w:rsidP="001A2287">
            <w:pPr>
              <w:pStyle w:val="NoSpacing"/>
              <w:jc w:val="both"/>
              <w:rPr>
                <w:color w:val="000000" w:themeColor="text1"/>
              </w:rPr>
            </w:pPr>
            <w:r w:rsidRPr="008404B2">
              <w:rPr>
                <w:color w:val="000000" w:themeColor="text1"/>
              </w:rPr>
              <w:t>2.</w:t>
            </w:r>
          </w:p>
        </w:tc>
        <w:tc>
          <w:tcPr>
            <w:tcW w:w="2247" w:type="pct"/>
            <w:tcBorders>
              <w:top w:val="outset" w:sz="6" w:space="0" w:color="414142"/>
              <w:left w:val="outset" w:sz="6" w:space="0" w:color="414142"/>
              <w:bottom w:val="outset" w:sz="6" w:space="0" w:color="414142"/>
              <w:right w:val="outset" w:sz="6" w:space="0" w:color="414142"/>
            </w:tcBorders>
            <w:shd w:val="clear" w:color="auto" w:fill="FFFFFF"/>
          </w:tcPr>
          <w:p w:rsidR="00A95855" w:rsidRPr="008404B2" w:rsidRDefault="00A95855" w:rsidP="001A2287">
            <w:pPr>
              <w:pStyle w:val="NoSpacing"/>
              <w:jc w:val="both"/>
              <w:rPr>
                <w:color w:val="000000" w:themeColor="text1"/>
              </w:rPr>
            </w:pPr>
            <w:r w:rsidRPr="008404B2">
              <w:rPr>
                <w:color w:val="000000" w:themeColor="text1"/>
              </w:rPr>
              <w:t>Projekta izpildes ietekme uz pārvaldes funkcijām un institucionālo struktūru.</w:t>
            </w:r>
          </w:p>
          <w:p w:rsidR="00A95855" w:rsidRPr="008404B2" w:rsidRDefault="00A95855" w:rsidP="001A2287">
            <w:pPr>
              <w:pStyle w:val="NoSpacing"/>
              <w:jc w:val="both"/>
              <w:rPr>
                <w:color w:val="000000" w:themeColor="text1"/>
              </w:rPr>
            </w:pPr>
            <w:r w:rsidRPr="008404B2">
              <w:rPr>
                <w:color w:val="000000" w:themeColor="text1"/>
              </w:rPr>
              <w:t>Jaunu institūciju izveide, esošu institūciju likvidācija vai reorganizācija, to ietekme uz institūcijas cilvēkresursiem</w:t>
            </w:r>
          </w:p>
        </w:tc>
        <w:tc>
          <w:tcPr>
            <w:tcW w:w="2421" w:type="pct"/>
            <w:tcBorders>
              <w:top w:val="outset" w:sz="6" w:space="0" w:color="414142"/>
              <w:left w:val="outset" w:sz="6" w:space="0" w:color="414142"/>
              <w:bottom w:val="outset" w:sz="6" w:space="0" w:color="414142"/>
            </w:tcBorders>
            <w:shd w:val="clear" w:color="auto" w:fill="FFFFFF"/>
          </w:tcPr>
          <w:p w:rsidR="00A95855" w:rsidRPr="008404B2" w:rsidRDefault="00453930" w:rsidP="001A2287">
            <w:pPr>
              <w:pStyle w:val="NoSpacing"/>
              <w:jc w:val="both"/>
              <w:rPr>
                <w:color w:val="000000" w:themeColor="text1"/>
              </w:rPr>
            </w:pPr>
            <w:r w:rsidRPr="008404B2">
              <w:rPr>
                <w:color w:val="000000" w:themeColor="text1"/>
              </w:rPr>
              <w:t>Projekts neietekmē pārvaldes funkcijas un institucionālo struktūru. Jaunu institūciju izveide vai esošo institūciju reorganizācija nav nepieciešama. Projekts neietekmē institūciju cilvēkresursus.</w:t>
            </w:r>
          </w:p>
        </w:tc>
      </w:tr>
      <w:tr w:rsidR="008404B2" w:rsidRPr="008404B2" w:rsidTr="004E3F71">
        <w:trPr>
          <w:trHeight w:val="390"/>
        </w:trPr>
        <w:tc>
          <w:tcPr>
            <w:tcW w:w="331" w:type="pct"/>
            <w:tcBorders>
              <w:top w:val="outset" w:sz="6" w:space="0" w:color="414142"/>
              <w:bottom w:val="outset" w:sz="6" w:space="0" w:color="414142"/>
              <w:right w:val="outset" w:sz="6" w:space="0" w:color="414142"/>
            </w:tcBorders>
            <w:shd w:val="clear" w:color="auto" w:fill="FFFFFF"/>
          </w:tcPr>
          <w:p w:rsidR="00A95855" w:rsidRPr="008404B2" w:rsidRDefault="00A95855" w:rsidP="001A2287">
            <w:pPr>
              <w:pStyle w:val="NoSpacing"/>
              <w:jc w:val="both"/>
              <w:rPr>
                <w:color w:val="000000" w:themeColor="text1"/>
              </w:rPr>
            </w:pPr>
            <w:r w:rsidRPr="008404B2">
              <w:rPr>
                <w:color w:val="000000" w:themeColor="text1"/>
              </w:rPr>
              <w:t>3.</w:t>
            </w:r>
          </w:p>
        </w:tc>
        <w:tc>
          <w:tcPr>
            <w:tcW w:w="2247" w:type="pct"/>
            <w:tcBorders>
              <w:top w:val="outset" w:sz="6" w:space="0" w:color="414142"/>
              <w:left w:val="outset" w:sz="6" w:space="0" w:color="414142"/>
              <w:bottom w:val="outset" w:sz="6" w:space="0" w:color="414142"/>
              <w:right w:val="outset" w:sz="6" w:space="0" w:color="414142"/>
            </w:tcBorders>
            <w:shd w:val="clear" w:color="auto" w:fill="FFFFFF"/>
          </w:tcPr>
          <w:p w:rsidR="00A95855" w:rsidRPr="008404B2" w:rsidRDefault="00A95855" w:rsidP="001A2287">
            <w:pPr>
              <w:pStyle w:val="NoSpacing"/>
              <w:jc w:val="both"/>
              <w:rPr>
                <w:color w:val="000000" w:themeColor="text1"/>
              </w:rPr>
            </w:pPr>
            <w:r w:rsidRPr="008404B2">
              <w:rPr>
                <w:color w:val="000000" w:themeColor="text1"/>
              </w:rPr>
              <w:t>Cita informācija</w:t>
            </w:r>
          </w:p>
        </w:tc>
        <w:tc>
          <w:tcPr>
            <w:tcW w:w="2421" w:type="pct"/>
            <w:tcBorders>
              <w:top w:val="outset" w:sz="6" w:space="0" w:color="414142"/>
              <w:left w:val="outset" w:sz="6" w:space="0" w:color="414142"/>
              <w:bottom w:val="outset" w:sz="6" w:space="0" w:color="414142"/>
            </w:tcBorders>
            <w:shd w:val="clear" w:color="auto" w:fill="FFFFFF"/>
          </w:tcPr>
          <w:p w:rsidR="00A95855" w:rsidRPr="008404B2" w:rsidRDefault="00A95855" w:rsidP="001A2287">
            <w:pPr>
              <w:pStyle w:val="NoSpacing"/>
              <w:jc w:val="both"/>
              <w:rPr>
                <w:color w:val="000000" w:themeColor="text1"/>
              </w:rPr>
            </w:pPr>
            <w:r w:rsidRPr="008404B2">
              <w:rPr>
                <w:color w:val="000000" w:themeColor="text1"/>
              </w:rPr>
              <w:t>Nav</w:t>
            </w:r>
          </w:p>
        </w:tc>
      </w:tr>
    </w:tbl>
    <w:p w:rsidR="00F93EA2" w:rsidRPr="008404B2" w:rsidRDefault="00F93EA2" w:rsidP="00A95855">
      <w:pPr>
        <w:pStyle w:val="ListParagraph"/>
        <w:tabs>
          <w:tab w:val="left" w:pos="6804"/>
        </w:tabs>
        <w:ind w:left="0"/>
        <w:jc w:val="both"/>
        <w:rPr>
          <w:bCs/>
          <w:i/>
          <w:color w:val="000000" w:themeColor="text1"/>
          <w:sz w:val="28"/>
          <w:szCs w:val="28"/>
        </w:rPr>
      </w:pPr>
    </w:p>
    <w:p w:rsidR="00A95855" w:rsidRPr="008404B2" w:rsidRDefault="00102CD1" w:rsidP="00A95855">
      <w:pPr>
        <w:pStyle w:val="ListParagraph"/>
        <w:tabs>
          <w:tab w:val="left" w:pos="6804"/>
        </w:tabs>
        <w:ind w:left="0"/>
        <w:jc w:val="both"/>
        <w:rPr>
          <w:bCs/>
          <w:i/>
          <w:color w:val="000000" w:themeColor="text1"/>
          <w:sz w:val="28"/>
          <w:szCs w:val="28"/>
        </w:rPr>
      </w:pPr>
      <w:r w:rsidRPr="008404B2">
        <w:rPr>
          <w:bCs/>
          <w:i/>
          <w:color w:val="000000" w:themeColor="text1"/>
          <w:sz w:val="28"/>
          <w:szCs w:val="28"/>
        </w:rPr>
        <w:t xml:space="preserve">Anotācijas </w:t>
      </w:r>
      <w:r w:rsidR="00A95855" w:rsidRPr="008404B2">
        <w:rPr>
          <w:bCs/>
          <w:i/>
          <w:color w:val="000000" w:themeColor="text1"/>
          <w:sz w:val="28"/>
          <w:szCs w:val="28"/>
        </w:rPr>
        <w:t>III</w:t>
      </w:r>
      <w:r w:rsidR="00F44137" w:rsidRPr="008404B2">
        <w:rPr>
          <w:bCs/>
          <w:i/>
          <w:color w:val="000000" w:themeColor="text1"/>
          <w:sz w:val="28"/>
          <w:szCs w:val="28"/>
        </w:rPr>
        <w:t> </w:t>
      </w:r>
      <w:r w:rsidR="00646063" w:rsidRPr="008404B2">
        <w:rPr>
          <w:bCs/>
          <w:i/>
          <w:color w:val="000000" w:themeColor="text1"/>
          <w:sz w:val="28"/>
          <w:szCs w:val="28"/>
        </w:rPr>
        <w:t xml:space="preserve"> </w:t>
      </w:r>
      <w:r w:rsidR="00A95855" w:rsidRPr="008404B2">
        <w:rPr>
          <w:bCs/>
          <w:i/>
          <w:color w:val="000000" w:themeColor="text1"/>
          <w:sz w:val="28"/>
          <w:szCs w:val="28"/>
        </w:rPr>
        <w:t>sadaļa</w:t>
      </w:r>
      <w:r w:rsidR="00F44137" w:rsidRPr="008404B2">
        <w:rPr>
          <w:bCs/>
          <w:i/>
          <w:color w:val="000000" w:themeColor="text1"/>
          <w:sz w:val="28"/>
          <w:szCs w:val="28"/>
        </w:rPr>
        <w:t> - </w:t>
      </w:r>
      <w:r w:rsidR="00A95855" w:rsidRPr="008404B2">
        <w:rPr>
          <w:bCs/>
          <w:i/>
          <w:color w:val="000000" w:themeColor="text1"/>
          <w:sz w:val="28"/>
          <w:szCs w:val="28"/>
        </w:rPr>
        <w:t xml:space="preserve"> projekts šo jomu neskar.</w:t>
      </w:r>
    </w:p>
    <w:p w:rsidR="00FF6EBF" w:rsidRPr="008404B2" w:rsidRDefault="00FF6EBF" w:rsidP="00A95855">
      <w:pPr>
        <w:pStyle w:val="ListParagraph"/>
        <w:tabs>
          <w:tab w:val="left" w:pos="6804"/>
        </w:tabs>
        <w:ind w:left="0"/>
        <w:jc w:val="both"/>
        <w:rPr>
          <w:bCs/>
          <w:color w:val="000000" w:themeColor="text1"/>
          <w:sz w:val="28"/>
          <w:szCs w:val="28"/>
        </w:rPr>
      </w:pPr>
    </w:p>
    <w:p w:rsidR="002A7284" w:rsidRPr="008404B2" w:rsidRDefault="002A7284" w:rsidP="00A95855">
      <w:pPr>
        <w:pStyle w:val="ListParagraph"/>
        <w:tabs>
          <w:tab w:val="left" w:pos="6804"/>
        </w:tabs>
        <w:ind w:left="0"/>
        <w:jc w:val="both"/>
        <w:rPr>
          <w:bCs/>
          <w:color w:val="000000" w:themeColor="text1"/>
          <w:sz w:val="28"/>
          <w:szCs w:val="28"/>
        </w:rPr>
      </w:pPr>
    </w:p>
    <w:p w:rsidR="004E3FD4" w:rsidRPr="008404B2" w:rsidRDefault="009F7288" w:rsidP="004E3FD4">
      <w:pPr>
        <w:tabs>
          <w:tab w:val="left" w:pos="7230"/>
        </w:tabs>
        <w:spacing w:after="0" w:line="240" w:lineRule="auto"/>
        <w:ind w:right="-766"/>
        <w:rPr>
          <w:rFonts w:ascii="Times New Roman" w:hAnsi="Times New Roman"/>
          <w:color w:val="000000" w:themeColor="text1"/>
          <w:sz w:val="28"/>
          <w:szCs w:val="28"/>
        </w:rPr>
      </w:pPr>
      <w:r w:rsidRPr="008404B2">
        <w:rPr>
          <w:rFonts w:ascii="Times New Roman" w:hAnsi="Times New Roman"/>
          <w:color w:val="000000" w:themeColor="text1"/>
          <w:sz w:val="28"/>
          <w:szCs w:val="28"/>
        </w:rPr>
        <w:t>Veselības ministre</w:t>
      </w:r>
      <w:r w:rsidRPr="008404B2">
        <w:rPr>
          <w:rFonts w:ascii="Times New Roman" w:hAnsi="Times New Roman"/>
          <w:color w:val="000000" w:themeColor="text1"/>
          <w:sz w:val="28"/>
          <w:szCs w:val="28"/>
        </w:rPr>
        <w:tab/>
        <w:t xml:space="preserve">Anda </w:t>
      </w:r>
      <w:proofErr w:type="spellStart"/>
      <w:r w:rsidRPr="008404B2">
        <w:rPr>
          <w:rFonts w:ascii="Times New Roman" w:hAnsi="Times New Roman"/>
          <w:color w:val="000000" w:themeColor="text1"/>
          <w:sz w:val="28"/>
          <w:szCs w:val="28"/>
        </w:rPr>
        <w:t>Čakša</w:t>
      </w:r>
      <w:proofErr w:type="spellEnd"/>
      <w:r w:rsidRPr="008404B2">
        <w:rPr>
          <w:rFonts w:ascii="Times New Roman" w:hAnsi="Times New Roman"/>
          <w:color w:val="000000" w:themeColor="text1"/>
          <w:sz w:val="28"/>
          <w:szCs w:val="28"/>
        </w:rPr>
        <w:tab/>
      </w:r>
    </w:p>
    <w:p w:rsidR="004E3FD4" w:rsidRPr="008404B2" w:rsidRDefault="004E3FD4" w:rsidP="004E3FD4">
      <w:pPr>
        <w:tabs>
          <w:tab w:val="left" w:pos="7230"/>
        </w:tabs>
        <w:spacing w:after="0" w:line="240" w:lineRule="auto"/>
        <w:ind w:right="-766"/>
        <w:rPr>
          <w:rFonts w:ascii="Times New Roman" w:hAnsi="Times New Roman"/>
          <w:color w:val="000000" w:themeColor="text1"/>
          <w:sz w:val="28"/>
          <w:szCs w:val="28"/>
        </w:rPr>
      </w:pPr>
    </w:p>
    <w:p w:rsidR="002A7284" w:rsidRPr="008404B2" w:rsidRDefault="002A7284" w:rsidP="004E3FD4">
      <w:pPr>
        <w:tabs>
          <w:tab w:val="left" w:pos="7230"/>
        </w:tabs>
        <w:spacing w:after="0" w:line="240" w:lineRule="auto"/>
        <w:ind w:right="-766"/>
        <w:rPr>
          <w:rFonts w:ascii="Times New Roman" w:hAnsi="Times New Roman"/>
          <w:color w:val="000000" w:themeColor="text1"/>
          <w:sz w:val="28"/>
          <w:szCs w:val="28"/>
        </w:rPr>
      </w:pPr>
    </w:p>
    <w:p w:rsidR="00DE552D" w:rsidRPr="008404B2" w:rsidRDefault="00DE552D" w:rsidP="00DE552D">
      <w:pPr>
        <w:tabs>
          <w:tab w:val="right" w:pos="9356"/>
        </w:tabs>
        <w:spacing w:after="0" w:line="240" w:lineRule="auto"/>
        <w:contextualSpacing/>
        <w:rPr>
          <w:rFonts w:ascii="Times New Roman" w:hAnsi="Times New Roman"/>
          <w:color w:val="000000" w:themeColor="text1"/>
          <w:sz w:val="28"/>
          <w:szCs w:val="28"/>
        </w:rPr>
      </w:pPr>
      <w:r w:rsidRPr="008404B2">
        <w:rPr>
          <w:rFonts w:ascii="Times New Roman" w:hAnsi="Times New Roman"/>
          <w:color w:val="000000" w:themeColor="text1"/>
          <w:sz w:val="28"/>
          <w:szCs w:val="28"/>
        </w:rPr>
        <w:t xml:space="preserve">Vīza: </w:t>
      </w:r>
      <w:r w:rsidRPr="008404B2">
        <w:rPr>
          <w:rFonts w:ascii="Times New Roman" w:hAnsi="Times New Roman"/>
          <w:color w:val="000000" w:themeColor="text1"/>
          <w:sz w:val="28"/>
          <w:szCs w:val="28"/>
          <w:lang w:bidi="gu-IN"/>
        </w:rPr>
        <w:t xml:space="preserve">Valsts sekretāra </w:t>
      </w:r>
      <w:proofErr w:type="spellStart"/>
      <w:r w:rsidRPr="008404B2">
        <w:rPr>
          <w:rFonts w:ascii="Times New Roman" w:hAnsi="Times New Roman"/>
          <w:color w:val="000000" w:themeColor="text1"/>
          <w:sz w:val="28"/>
          <w:szCs w:val="28"/>
          <w:lang w:bidi="gu-IN"/>
        </w:rPr>
        <w:t>p.i</w:t>
      </w:r>
      <w:proofErr w:type="spellEnd"/>
      <w:r w:rsidRPr="008404B2">
        <w:rPr>
          <w:rFonts w:ascii="Times New Roman" w:hAnsi="Times New Roman"/>
          <w:color w:val="000000" w:themeColor="text1"/>
          <w:sz w:val="28"/>
          <w:szCs w:val="28"/>
          <w:lang w:bidi="gu-IN"/>
        </w:rPr>
        <w:t>.</w:t>
      </w:r>
      <w:r w:rsidRPr="008404B2">
        <w:rPr>
          <w:rFonts w:ascii="Times New Roman" w:hAnsi="Times New Roman"/>
          <w:color w:val="000000" w:themeColor="text1"/>
          <w:sz w:val="28"/>
          <w:szCs w:val="28"/>
          <w:lang w:bidi="gu-IN"/>
        </w:rPr>
        <w:tab/>
        <w:t xml:space="preserve">Daina </w:t>
      </w:r>
      <w:proofErr w:type="spellStart"/>
      <w:r w:rsidRPr="008404B2">
        <w:rPr>
          <w:rFonts w:ascii="Times New Roman" w:hAnsi="Times New Roman"/>
          <w:color w:val="000000" w:themeColor="text1"/>
          <w:sz w:val="28"/>
          <w:szCs w:val="28"/>
          <w:lang w:bidi="gu-IN"/>
        </w:rPr>
        <w:t>Mūrmane-Umbraško</w:t>
      </w:r>
      <w:proofErr w:type="spellEnd"/>
    </w:p>
    <w:p w:rsidR="00E851AB" w:rsidRPr="008404B2" w:rsidRDefault="00E851AB" w:rsidP="007E53C7">
      <w:pPr>
        <w:pStyle w:val="NoSpacing"/>
        <w:rPr>
          <w:color w:val="000000" w:themeColor="text1"/>
        </w:rPr>
      </w:pPr>
    </w:p>
    <w:p w:rsidR="00E851AB" w:rsidRPr="008404B2" w:rsidRDefault="00E851AB" w:rsidP="007E53C7">
      <w:pPr>
        <w:pStyle w:val="NoSpacing"/>
        <w:rPr>
          <w:color w:val="000000" w:themeColor="text1"/>
        </w:rPr>
      </w:pPr>
    </w:p>
    <w:p w:rsidR="00E851AB" w:rsidRPr="008404B2" w:rsidRDefault="00E851AB" w:rsidP="007E53C7">
      <w:pPr>
        <w:pStyle w:val="NoSpacing"/>
        <w:rPr>
          <w:color w:val="000000" w:themeColor="text1"/>
        </w:rPr>
      </w:pPr>
    </w:p>
    <w:p w:rsidR="00DF5D5D" w:rsidRPr="008404B2" w:rsidRDefault="00DF5D5D" w:rsidP="007E53C7">
      <w:pPr>
        <w:pStyle w:val="NoSpacing"/>
        <w:rPr>
          <w:color w:val="000000" w:themeColor="text1"/>
        </w:rPr>
      </w:pPr>
    </w:p>
    <w:p w:rsidR="00DF5D5D" w:rsidRPr="008404B2" w:rsidRDefault="00DF5D5D" w:rsidP="007E53C7">
      <w:pPr>
        <w:pStyle w:val="NoSpacing"/>
        <w:rPr>
          <w:color w:val="000000" w:themeColor="text1"/>
        </w:rPr>
      </w:pPr>
    </w:p>
    <w:p w:rsidR="00DF5D5D" w:rsidRPr="008404B2" w:rsidRDefault="00DF5D5D" w:rsidP="007E53C7">
      <w:pPr>
        <w:pStyle w:val="NoSpacing"/>
        <w:rPr>
          <w:color w:val="000000" w:themeColor="text1"/>
        </w:rPr>
      </w:pPr>
    </w:p>
    <w:p w:rsidR="00DF5D5D" w:rsidRPr="008404B2" w:rsidRDefault="00DF5D5D" w:rsidP="007E53C7">
      <w:pPr>
        <w:pStyle w:val="NoSpacing"/>
        <w:rPr>
          <w:color w:val="000000" w:themeColor="text1"/>
        </w:rPr>
      </w:pPr>
    </w:p>
    <w:p w:rsidR="00401C6B" w:rsidRPr="008404B2" w:rsidRDefault="00401C6B" w:rsidP="007E53C7">
      <w:pPr>
        <w:pStyle w:val="NoSpacing"/>
        <w:rPr>
          <w:color w:val="000000" w:themeColor="text1"/>
        </w:rPr>
      </w:pPr>
    </w:p>
    <w:p w:rsidR="00401C6B" w:rsidRPr="008404B2" w:rsidRDefault="00401C6B" w:rsidP="007E53C7">
      <w:pPr>
        <w:pStyle w:val="NoSpacing"/>
        <w:rPr>
          <w:color w:val="000000" w:themeColor="text1"/>
        </w:rPr>
      </w:pPr>
    </w:p>
    <w:p w:rsidR="00D0441F" w:rsidRPr="008404B2" w:rsidRDefault="00D0441F" w:rsidP="007E53C7">
      <w:pPr>
        <w:pStyle w:val="NoSpacing"/>
        <w:rPr>
          <w:color w:val="000000" w:themeColor="text1"/>
        </w:rPr>
      </w:pPr>
    </w:p>
    <w:p w:rsidR="00D0441F" w:rsidRPr="008404B2" w:rsidRDefault="00D0441F" w:rsidP="007E53C7">
      <w:pPr>
        <w:pStyle w:val="NoSpacing"/>
        <w:rPr>
          <w:color w:val="000000" w:themeColor="text1"/>
        </w:rPr>
      </w:pPr>
    </w:p>
    <w:p w:rsidR="00D0441F" w:rsidRPr="008404B2" w:rsidRDefault="00D0441F" w:rsidP="007E53C7">
      <w:pPr>
        <w:pStyle w:val="NoSpacing"/>
        <w:rPr>
          <w:color w:val="000000" w:themeColor="text1"/>
        </w:rPr>
      </w:pPr>
    </w:p>
    <w:p w:rsidR="00D0441F" w:rsidRPr="008404B2" w:rsidRDefault="00D0441F" w:rsidP="007E53C7">
      <w:pPr>
        <w:pStyle w:val="NoSpacing"/>
        <w:rPr>
          <w:color w:val="000000" w:themeColor="text1"/>
        </w:rPr>
      </w:pPr>
    </w:p>
    <w:p w:rsidR="00D0441F" w:rsidRPr="008404B2" w:rsidRDefault="00D0441F" w:rsidP="007E53C7">
      <w:pPr>
        <w:pStyle w:val="NoSpacing"/>
        <w:rPr>
          <w:color w:val="000000" w:themeColor="text1"/>
        </w:rPr>
      </w:pPr>
    </w:p>
    <w:p w:rsidR="00D0441F" w:rsidRPr="008404B2" w:rsidRDefault="00D0441F" w:rsidP="007E53C7">
      <w:pPr>
        <w:pStyle w:val="NoSpacing"/>
        <w:rPr>
          <w:color w:val="000000" w:themeColor="text1"/>
        </w:rPr>
      </w:pPr>
    </w:p>
    <w:p w:rsidR="00D0441F" w:rsidRPr="008404B2" w:rsidRDefault="00D0441F" w:rsidP="007E53C7">
      <w:pPr>
        <w:pStyle w:val="NoSpacing"/>
        <w:rPr>
          <w:color w:val="000000" w:themeColor="text1"/>
        </w:rPr>
      </w:pPr>
    </w:p>
    <w:p w:rsidR="00D0441F" w:rsidRPr="008404B2" w:rsidRDefault="00D0441F" w:rsidP="007E53C7">
      <w:pPr>
        <w:pStyle w:val="NoSpacing"/>
        <w:rPr>
          <w:color w:val="000000" w:themeColor="text1"/>
        </w:rPr>
      </w:pPr>
    </w:p>
    <w:p w:rsidR="00F41805" w:rsidRDefault="00F41805" w:rsidP="007E53C7">
      <w:pPr>
        <w:pStyle w:val="NoSpacing"/>
        <w:rPr>
          <w:color w:val="000000" w:themeColor="text1"/>
        </w:rPr>
      </w:pPr>
    </w:p>
    <w:p w:rsidR="00F41805" w:rsidRDefault="00F41805" w:rsidP="007E53C7">
      <w:pPr>
        <w:pStyle w:val="NoSpacing"/>
        <w:rPr>
          <w:color w:val="000000" w:themeColor="text1"/>
        </w:rPr>
      </w:pPr>
    </w:p>
    <w:p w:rsidR="009F7288" w:rsidRPr="008404B2" w:rsidRDefault="00771CB9" w:rsidP="007E53C7">
      <w:pPr>
        <w:pStyle w:val="NoSpacing"/>
        <w:rPr>
          <w:color w:val="000000" w:themeColor="text1"/>
          <w:sz w:val="28"/>
        </w:rPr>
      </w:pPr>
      <w:r w:rsidRPr="008404B2">
        <w:rPr>
          <w:color w:val="000000" w:themeColor="text1"/>
        </w:rPr>
        <w:t>Mača</w:t>
      </w:r>
      <w:r w:rsidR="009F7288" w:rsidRPr="008404B2">
        <w:rPr>
          <w:color w:val="000000" w:themeColor="text1"/>
        </w:rPr>
        <w:t xml:space="preserve"> </w:t>
      </w:r>
      <w:r w:rsidRPr="008404B2">
        <w:rPr>
          <w:color w:val="000000" w:themeColor="text1"/>
        </w:rPr>
        <w:t>67876117</w:t>
      </w:r>
    </w:p>
    <w:p w:rsidR="007B03DE" w:rsidRPr="008404B2" w:rsidRDefault="00771CB9" w:rsidP="007E53C7">
      <w:pPr>
        <w:pStyle w:val="NoSpacing"/>
        <w:rPr>
          <w:color w:val="000000" w:themeColor="text1"/>
        </w:rPr>
      </w:pPr>
      <w:r w:rsidRPr="008404B2">
        <w:rPr>
          <w:color w:val="000000" w:themeColor="text1"/>
        </w:rPr>
        <w:t>inguna</w:t>
      </w:r>
      <w:r w:rsidR="008A61E3" w:rsidRPr="008404B2">
        <w:rPr>
          <w:color w:val="000000" w:themeColor="text1"/>
        </w:rPr>
        <w:t>.</w:t>
      </w:r>
      <w:r w:rsidRPr="008404B2">
        <w:rPr>
          <w:color w:val="000000" w:themeColor="text1"/>
        </w:rPr>
        <w:t>maca</w:t>
      </w:r>
      <w:r w:rsidR="009F7288" w:rsidRPr="008404B2">
        <w:rPr>
          <w:color w:val="000000" w:themeColor="text1"/>
        </w:rPr>
        <w:t>@vm.gov.lv</w:t>
      </w:r>
    </w:p>
    <w:sectPr w:rsidR="007B03DE" w:rsidRPr="008404B2" w:rsidSect="00F30391">
      <w:headerReference w:type="even" r:id="rId24"/>
      <w:headerReference w:type="default" r:id="rId25"/>
      <w:footerReference w:type="even" r:id="rId26"/>
      <w:footerReference w:type="default" r:id="rId27"/>
      <w:headerReference w:type="first" r:id="rId28"/>
      <w:footerReference w:type="first" r:id="rId29"/>
      <w:pgSz w:w="11906" w:h="16838" w:code="9"/>
      <w:pgMar w:top="1418" w:right="1134" w:bottom="1134" w:left="1701" w:header="72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F2F" w:rsidRDefault="00CB6F2F" w:rsidP="00A95855">
      <w:pPr>
        <w:spacing w:after="0" w:line="240" w:lineRule="auto"/>
      </w:pPr>
      <w:r>
        <w:separator/>
      </w:r>
    </w:p>
  </w:endnote>
  <w:endnote w:type="continuationSeparator" w:id="0">
    <w:p w:rsidR="00CB6F2F" w:rsidRDefault="00CB6F2F" w:rsidP="00A9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4B" w:rsidRDefault="00775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2F" w:rsidRDefault="00CB6F2F" w:rsidP="00642B6E">
    <w:pPr>
      <w:pStyle w:val="NoSpacing"/>
      <w:jc w:val="both"/>
      <w:rPr>
        <w:sz w:val="20"/>
        <w:szCs w:val="20"/>
      </w:rPr>
    </w:pPr>
  </w:p>
  <w:p w:rsidR="00CB6F2F" w:rsidRPr="00E255BB" w:rsidRDefault="00CB6F2F" w:rsidP="00642B6E">
    <w:pPr>
      <w:pStyle w:val="NoSpacing"/>
      <w:jc w:val="both"/>
      <w:rPr>
        <w:sz w:val="20"/>
        <w:szCs w:val="20"/>
      </w:rPr>
    </w:pPr>
    <w:r w:rsidRPr="00E255BB">
      <w:rPr>
        <w:sz w:val="20"/>
        <w:szCs w:val="20"/>
      </w:rPr>
      <w:t>VManot_</w:t>
    </w:r>
    <w:r w:rsidR="009F7FE2">
      <w:rPr>
        <w:sz w:val="20"/>
        <w:szCs w:val="20"/>
      </w:rPr>
      <w:t>2009</w:t>
    </w:r>
    <w:r>
      <w:rPr>
        <w:sz w:val="20"/>
        <w:szCs w:val="20"/>
      </w:rPr>
      <w:t>17_mk376</w:t>
    </w:r>
  </w:p>
  <w:p w:rsidR="00CB6F2F" w:rsidRPr="00642B6E" w:rsidRDefault="00CB6F2F" w:rsidP="00642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2F" w:rsidRDefault="00CB6F2F" w:rsidP="000179D2">
    <w:pPr>
      <w:pStyle w:val="NoSpacing"/>
      <w:jc w:val="both"/>
      <w:rPr>
        <w:sz w:val="20"/>
        <w:szCs w:val="20"/>
      </w:rPr>
    </w:pPr>
  </w:p>
  <w:p w:rsidR="00CB6F2F" w:rsidRPr="00E255BB" w:rsidRDefault="00CB6F2F" w:rsidP="000179D2">
    <w:pPr>
      <w:pStyle w:val="NoSpacing"/>
      <w:jc w:val="both"/>
      <w:rPr>
        <w:sz w:val="20"/>
        <w:szCs w:val="20"/>
      </w:rPr>
    </w:pPr>
    <w:r w:rsidRPr="00E255BB">
      <w:rPr>
        <w:sz w:val="20"/>
        <w:szCs w:val="20"/>
      </w:rPr>
      <w:t>VManot_</w:t>
    </w:r>
    <w:r w:rsidR="0077504B">
      <w:rPr>
        <w:sz w:val="20"/>
        <w:szCs w:val="20"/>
      </w:rPr>
      <w:t>2009</w:t>
    </w:r>
    <w:bookmarkStart w:id="6" w:name="_GoBack"/>
    <w:bookmarkEnd w:id="6"/>
    <w:r>
      <w:rPr>
        <w:sz w:val="20"/>
        <w:szCs w:val="20"/>
      </w:rPr>
      <w:t>17_mk376</w:t>
    </w:r>
  </w:p>
  <w:p w:rsidR="00CB6F2F" w:rsidRDefault="00CB6F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F2F" w:rsidRDefault="00CB6F2F" w:rsidP="00A95855">
      <w:pPr>
        <w:spacing w:after="0" w:line="240" w:lineRule="auto"/>
      </w:pPr>
      <w:r>
        <w:separator/>
      </w:r>
    </w:p>
  </w:footnote>
  <w:footnote w:type="continuationSeparator" w:id="0">
    <w:p w:rsidR="00CB6F2F" w:rsidRDefault="00CB6F2F" w:rsidP="00A95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4B" w:rsidRDefault="00775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2F" w:rsidRPr="00291CDE" w:rsidRDefault="00CB6F2F">
    <w:pPr>
      <w:pStyle w:val="Header"/>
      <w:jc w:val="center"/>
      <w:rPr>
        <w:rFonts w:ascii="Times New Roman" w:hAnsi="Times New Roman"/>
        <w:sz w:val="24"/>
        <w:szCs w:val="24"/>
      </w:rPr>
    </w:pPr>
    <w:r w:rsidRPr="00291CDE">
      <w:rPr>
        <w:rFonts w:ascii="Times New Roman" w:hAnsi="Times New Roman"/>
        <w:sz w:val="24"/>
        <w:szCs w:val="24"/>
      </w:rPr>
      <w:fldChar w:fldCharType="begin"/>
    </w:r>
    <w:r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77504B">
      <w:rPr>
        <w:rFonts w:ascii="Times New Roman" w:hAnsi="Times New Roman"/>
        <w:noProof/>
        <w:sz w:val="24"/>
        <w:szCs w:val="24"/>
      </w:rPr>
      <w:t>11</w:t>
    </w:r>
    <w:r w:rsidRPr="00291CDE">
      <w:rPr>
        <w:rFonts w:ascii="Times New Roman" w:hAnsi="Times New Roman"/>
        <w:sz w:val="24"/>
        <w:szCs w:val="24"/>
      </w:rPr>
      <w:fldChar w:fldCharType="end"/>
    </w:r>
  </w:p>
  <w:p w:rsidR="00CB6F2F" w:rsidRDefault="00CB6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2F" w:rsidRDefault="00CB6F2F">
    <w:pPr>
      <w:pStyle w:val="Header"/>
      <w:jc w:val="center"/>
    </w:pPr>
  </w:p>
  <w:p w:rsidR="00CB6F2F" w:rsidRDefault="00CB6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 w15:restartNumberingAfterBreak="0">
    <w:nsid w:val="14204234"/>
    <w:multiLevelType w:val="hybridMultilevel"/>
    <w:tmpl w:val="C0BC6E5E"/>
    <w:lvl w:ilvl="0" w:tplc="828E14BA">
      <w:start w:val="2"/>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00973"/>
    <w:multiLevelType w:val="hybridMultilevel"/>
    <w:tmpl w:val="155E37E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4520DA"/>
    <w:multiLevelType w:val="hybridMultilevel"/>
    <w:tmpl w:val="3B9064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6868AC"/>
    <w:multiLevelType w:val="hybridMultilevel"/>
    <w:tmpl w:val="C846CD34"/>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E0747D"/>
    <w:multiLevelType w:val="hybridMultilevel"/>
    <w:tmpl w:val="611E2F4A"/>
    <w:lvl w:ilvl="0" w:tplc="17D6B868">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F065E2C"/>
    <w:multiLevelType w:val="hybridMultilevel"/>
    <w:tmpl w:val="81D40B32"/>
    <w:lvl w:ilvl="0" w:tplc="4F2CCDE6">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3A65A48"/>
    <w:multiLevelType w:val="hybridMultilevel"/>
    <w:tmpl w:val="78AA6DA6"/>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0" w15:restartNumberingAfterBreak="0">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6E254401"/>
    <w:multiLevelType w:val="multilevel"/>
    <w:tmpl w:val="28B297F0"/>
    <w:lvl w:ilvl="0">
      <w:start w:val="1"/>
      <w:numFmt w:val="decimal"/>
      <w:lvlText w:val="%1."/>
      <w:lvlJc w:val="left"/>
      <w:pPr>
        <w:ind w:left="814" w:hanging="360"/>
      </w:pPr>
      <w:rPr>
        <w:rFonts w:hint="default"/>
      </w:rPr>
    </w:lvl>
    <w:lvl w:ilvl="1">
      <w:start w:val="1"/>
      <w:numFmt w:val="decimal"/>
      <w:isLgl/>
      <w:lvlText w:val="%1.%2."/>
      <w:lvlJc w:val="left"/>
      <w:pPr>
        <w:ind w:left="1249" w:hanging="435"/>
      </w:pPr>
      <w:rPr>
        <w:rFonts w:hint="default"/>
        <w:b/>
      </w:rPr>
    </w:lvl>
    <w:lvl w:ilvl="2">
      <w:start w:val="1"/>
      <w:numFmt w:val="decimal"/>
      <w:isLgl/>
      <w:lvlText w:val="%1.%2.%3."/>
      <w:lvlJc w:val="left"/>
      <w:pPr>
        <w:ind w:left="1894" w:hanging="720"/>
      </w:pPr>
      <w:rPr>
        <w:rFonts w:hint="default"/>
        <w:b/>
      </w:rPr>
    </w:lvl>
    <w:lvl w:ilvl="3">
      <w:start w:val="1"/>
      <w:numFmt w:val="decimal"/>
      <w:isLgl/>
      <w:lvlText w:val="%1.%2.%3.%4."/>
      <w:lvlJc w:val="left"/>
      <w:pPr>
        <w:ind w:left="2254" w:hanging="720"/>
      </w:pPr>
      <w:rPr>
        <w:rFonts w:hint="default"/>
        <w:b/>
      </w:rPr>
    </w:lvl>
    <w:lvl w:ilvl="4">
      <w:start w:val="1"/>
      <w:numFmt w:val="decimal"/>
      <w:isLgl/>
      <w:lvlText w:val="%1.%2.%3.%4.%5."/>
      <w:lvlJc w:val="left"/>
      <w:pPr>
        <w:ind w:left="2974" w:hanging="1080"/>
      </w:pPr>
      <w:rPr>
        <w:rFonts w:hint="default"/>
        <w:b/>
      </w:rPr>
    </w:lvl>
    <w:lvl w:ilvl="5">
      <w:start w:val="1"/>
      <w:numFmt w:val="decimal"/>
      <w:isLgl/>
      <w:lvlText w:val="%1.%2.%3.%4.%5.%6."/>
      <w:lvlJc w:val="left"/>
      <w:pPr>
        <w:ind w:left="3334" w:hanging="1080"/>
      </w:pPr>
      <w:rPr>
        <w:rFonts w:hint="default"/>
        <w:b/>
      </w:rPr>
    </w:lvl>
    <w:lvl w:ilvl="6">
      <w:start w:val="1"/>
      <w:numFmt w:val="decimal"/>
      <w:isLgl/>
      <w:lvlText w:val="%1.%2.%3.%4.%5.%6.%7."/>
      <w:lvlJc w:val="left"/>
      <w:pPr>
        <w:ind w:left="4054" w:hanging="1440"/>
      </w:pPr>
      <w:rPr>
        <w:rFonts w:hint="default"/>
        <w:b/>
      </w:rPr>
    </w:lvl>
    <w:lvl w:ilvl="7">
      <w:start w:val="1"/>
      <w:numFmt w:val="decimal"/>
      <w:isLgl/>
      <w:lvlText w:val="%1.%2.%3.%4.%5.%6.%7.%8."/>
      <w:lvlJc w:val="left"/>
      <w:pPr>
        <w:ind w:left="4414" w:hanging="1440"/>
      </w:pPr>
      <w:rPr>
        <w:rFonts w:hint="default"/>
        <w:b/>
      </w:rPr>
    </w:lvl>
    <w:lvl w:ilvl="8">
      <w:start w:val="1"/>
      <w:numFmt w:val="decimal"/>
      <w:isLgl/>
      <w:lvlText w:val="%1.%2.%3.%4.%5.%6.%7.%8.%9."/>
      <w:lvlJc w:val="left"/>
      <w:pPr>
        <w:ind w:left="5134" w:hanging="1800"/>
      </w:pPr>
      <w:rPr>
        <w:rFonts w:hint="default"/>
        <w:b/>
      </w:rPr>
    </w:lvl>
  </w:abstractNum>
  <w:abstractNum w:abstractNumId="12" w15:restartNumberingAfterBreak="0">
    <w:nsid w:val="72B42320"/>
    <w:multiLevelType w:val="hybridMultilevel"/>
    <w:tmpl w:val="4E44174C"/>
    <w:lvl w:ilvl="0" w:tplc="1AF4747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748449A8"/>
    <w:multiLevelType w:val="hybridMultilevel"/>
    <w:tmpl w:val="E80E06A4"/>
    <w:lvl w:ilvl="0" w:tplc="17D6B868">
      <w:start w:val="2"/>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77B2417B"/>
    <w:multiLevelType w:val="hybridMultilevel"/>
    <w:tmpl w:val="E94A60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7D99234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85776A"/>
    <w:multiLevelType w:val="hybridMultilevel"/>
    <w:tmpl w:val="32F085D2"/>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5"/>
  </w:num>
  <w:num w:numId="4">
    <w:abstractNumId w:val="4"/>
  </w:num>
  <w:num w:numId="5">
    <w:abstractNumId w:val="10"/>
  </w:num>
  <w:num w:numId="6">
    <w:abstractNumId w:val="0"/>
  </w:num>
  <w:num w:numId="7">
    <w:abstractNumId w:val="15"/>
  </w:num>
  <w:num w:numId="8">
    <w:abstractNumId w:val="13"/>
  </w:num>
  <w:num w:numId="9">
    <w:abstractNumId w:val="1"/>
  </w:num>
  <w:num w:numId="10">
    <w:abstractNumId w:val="8"/>
  </w:num>
  <w:num w:numId="11">
    <w:abstractNumId w:val="6"/>
  </w:num>
  <w:num w:numId="12">
    <w:abstractNumId w:val="11"/>
  </w:num>
  <w:num w:numId="13">
    <w:abstractNumId w:val="12"/>
  </w:num>
  <w:num w:numId="14">
    <w:abstractNumId w:val="3"/>
  </w:num>
  <w:num w:numId="15">
    <w:abstractNumId w:val="18"/>
  </w:num>
  <w:num w:numId="16">
    <w:abstractNumId w:val="2"/>
  </w:num>
  <w:num w:numId="17">
    <w:abstractNumId w:val="1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55"/>
    <w:rsid w:val="00000375"/>
    <w:rsid w:val="0000258A"/>
    <w:rsid w:val="00007F09"/>
    <w:rsid w:val="00014168"/>
    <w:rsid w:val="00015004"/>
    <w:rsid w:val="000179D2"/>
    <w:rsid w:val="0002396B"/>
    <w:rsid w:val="00034339"/>
    <w:rsid w:val="00034914"/>
    <w:rsid w:val="00034E7D"/>
    <w:rsid w:val="000350C6"/>
    <w:rsid w:val="000403FF"/>
    <w:rsid w:val="000404DA"/>
    <w:rsid w:val="0004124A"/>
    <w:rsid w:val="000412C1"/>
    <w:rsid w:val="0004246C"/>
    <w:rsid w:val="00044533"/>
    <w:rsid w:val="00047F86"/>
    <w:rsid w:val="0005472D"/>
    <w:rsid w:val="00056523"/>
    <w:rsid w:val="00057163"/>
    <w:rsid w:val="0005755D"/>
    <w:rsid w:val="00063EA9"/>
    <w:rsid w:val="00064670"/>
    <w:rsid w:val="00067723"/>
    <w:rsid w:val="000709AB"/>
    <w:rsid w:val="00072801"/>
    <w:rsid w:val="000734BD"/>
    <w:rsid w:val="00073871"/>
    <w:rsid w:val="00074FDC"/>
    <w:rsid w:val="0007577F"/>
    <w:rsid w:val="00081D1D"/>
    <w:rsid w:val="00082DC5"/>
    <w:rsid w:val="00084441"/>
    <w:rsid w:val="000848CC"/>
    <w:rsid w:val="00084CA3"/>
    <w:rsid w:val="00087B1D"/>
    <w:rsid w:val="00090837"/>
    <w:rsid w:val="00091990"/>
    <w:rsid w:val="00092E0B"/>
    <w:rsid w:val="00093692"/>
    <w:rsid w:val="00097E46"/>
    <w:rsid w:val="000A3F99"/>
    <w:rsid w:val="000A6F06"/>
    <w:rsid w:val="000B48AF"/>
    <w:rsid w:val="000B50F4"/>
    <w:rsid w:val="000C0840"/>
    <w:rsid w:val="000C4FC1"/>
    <w:rsid w:val="000C5A32"/>
    <w:rsid w:val="000D1D85"/>
    <w:rsid w:val="000D6FBB"/>
    <w:rsid w:val="000E3989"/>
    <w:rsid w:val="000E3FB0"/>
    <w:rsid w:val="000E5CD1"/>
    <w:rsid w:val="000E78E8"/>
    <w:rsid w:val="000F118C"/>
    <w:rsid w:val="000F14AD"/>
    <w:rsid w:val="000F445E"/>
    <w:rsid w:val="001002F1"/>
    <w:rsid w:val="00101380"/>
    <w:rsid w:val="00102CD1"/>
    <w:rsid w:val="0010368D"/>
    <w:rsid w:val="0010728B"/>
    <w:rsid w:val="00113170"/>
    <w:rsid w:val="00113DAE"/>
    <w:rsid w:val="00117685"/>
    <w:rsid w:val="001179DD"/>
    <w:rsid w:val="00120216"/>
    <w:rsid w:val="0012037D"/>
    <w:rsid w:val="0012129C"/>
    <w:rsid w:val="001220F4"/>
    <w:rsid w:val="00124089"/>
    <w:rsid w:val="001245BD"/>
    <w:rsid w:val="00125B13"/>
    <w:rsid w:val="00126BED"/>
    <w:rsid w:val="00132CFF"/>
    <w:rsid w:val="00134658"/>
    <w:rsid w:val="00134C22"/>
    <w:rsid w:val="00136A7A"/>
    <w:rsid w:val="0014324F"/>
    <w:rsid w:val="00147D50"/>
    <w:rsid w:val="00151D01"/>
    <w:rsid w:val="00153272"/>
    <w:rsid w:val="00155891"/>
    <w:rsid w:val="00157CDB"/>
    <w:rsid w:val="001615C4"/>
    <w:rsid w:val="00161723"/>
    <w:rsid w:val="0016784D"/>
    <w:rsid w:val="001748B7"/>
    <w:rsid w:val="00174FC8"/>
    <w:rsid w:val="0018177E"/>
    <w:rsid w:val="001830E1"/>
    <w:rsid w:val="00185D63"/>
    <w:rsid w:val="00191591"/>
    <w:rsid w:val="00191BA7"/>
    <w:rsid w:val="00192C09"/>
    <w:rsid w:val="00196A76"/>
    <w:rsid w:val="001A08A8"/>
    <w:rsid w:val="001A2287"/>
    <w:rsid w:val="001A29FA"/>
    <w:rsid w:val="001A3DEB"/>
    <w:rsid w:val="001B0A15"/>
    <w:rsid w:val="001B1C14"/>
    <w:rsid w:val="001B59C2"/>
    <w:rsid w:val="001B75BE"/>
    <w:rsid w:val="001C39CD"/>
    <w:rsid w:val="001D3312"/>
    <w:rsid w:val="001D7C4C"/>
    <w:rsid w:val="001D7F63"/>
    <w:rsid w:val="001E4E32"/>
    <w:rsid w:val="001E5D04"/>
    <w:rsid w:val="001E6902"/>
    <w:rsid w:val="001E69CD"/>
    <w:rsid w:val="001E739D"/>
    <w:rsid w:val="001F0EE1"/>
    <w:rsid w:val="001F2EBE"/>
    <w:rsid w:val="001F3983"/>
    <w:rsid w:val="001F3BDB"/>
    <w:rsid w:val="001F4622"/>
    <w:rsid w:val="001F4EC7"/>
    <w:rsid w:val="001F6161"/>
    <w:rsid w:val="001F72E7"/>
    <w:rsid w:val="002012FE"/>
    <w:rsid w:val="002050E7"/>
    <w:rsid w:val="002052EF"/>
    <w:rsid w:val="002073F9"/>
    <w:rsid w:val="00210825"/>
    <w:rsid w:val="0021273D"/>
    <w:rsid w:val="00214E1F"/>
    <w:rsid w:val="00215BDA"/>
    <w:rsid w:val="002201CC"/>
    <w:rsid w:val="00221DFE"/>
    <w:rsid w:val="00227622"/>
    <w:rsid w:val="00233478"/>
    <w:rsid w:val="002364A1"/>
    <w:rsid w:val="002371B1"/>
    <w:rsid w:val="00240E5E"/>
    <w:rsid w:val="00242477"/>
    <w:rsid w:val="0024406B"/>
    <w:rsid w:val="00245ED5"/>
    <w:rsid w:val="00246D41"/>
    <w:rsid w:val="00253172"/>
    <w:rsid w:val="002605CC"/>
    <w:rsid w:val="00264044"/>
    <w:rsid w:val="00265BA6"/>
    <w:rsid w:val="00266227"/>
    <w:rsid w:val="002671EB"/>
    <w:rsid w:val="002703AC"/>
    <w:rsid w:val="0027262B"/>
    <w:rsid w:val="00272DCC"/>
    <w:rsid w:val="00273F8B"/>
    <w:rsid w:val="0027631E"/>
    <w:rsid w:val="002764A5"/>
    <w:rsid w:val="00282199"/>
    <w:rsid w:val="00284FC5"/>
    <w:rsid w:val="00285731"/>
    <w:rsid w:val="00290099"/>
    <w:rsid w:val="00295107"/>
    <w:rsid w:val="002966C1"/>
    <w:rsid w:val="00297048"/>
    <w:rsid w:val="002A03D3"/>
    <w:rsid w:val="002A3537"/>
    <w:rsid w:val="002A39DB"/>
    <w:rsid w:val="002A7284"/>
    <w:rsid w:val="002B52F7"/>
    <w:rsid w:val="002B6AC7"/>
    <w:rsid w:val="002B6FE1"/>
    <w:rsid w:val="002C01BE"/>
    <w:rsid w:val="002C377A"/>
    <w:rsid w:val="002C52B6"/>
    <w:rsid w:val="002C75A6"/>
    <w:rsid w:val="002D0996"/>
    <w:rsid w:val="002D1CD1"/>
    <w:rsid w:val="002D1F9C"/>
    <w:rsid w:val="002D4768"/>
    <w:rsid w:val="002D6112"/>
    <w:rsid w:val="002E04DE"/>
    <w:rsid w:val="002E36D6"/>
    <w:rsid w:val="002E5847"/>
    <w:rsid w:val="002F3CC9"/>
    <w:rsid w:val="002F6552"/>
    <w:rsid w:val="002F6609"/>
    <w:rsid w:val="0030025B"/>
    <w:rsid w:val="00301EA4"/>
    <w:rsid w:val="003044FB"/>
    <w:rsid w:val="003074F4"/>
    <w:rsid w:val="00307790"/>
    <w:rsid w:val="003133DE"/>
    <w:rsid w:val="00313E40"/>
    <w:rsid w:val="003172CC"/>
    <w:rsid w:val="003210A3"/>
    <w:rsid w:val="00331309"/>
    <w:rsid w:val="00333257"/>
    <w:rsid w:val="00335335"/>
    <w:rsid w:val="00337905"/>
    <w:rsid w:val="00343AA8"/>
    <w:rsid w:val="00352204"/>
    <w:rsid w:val="003543CB"/>
    <w:rsid w:val="00356419"/>
    <w:rsid w:val="00370D90"/>
    <w:rsid w:val="00371680"/>
    <w:rsid w:val="003761C2"/>
    <w:rsid w:val="00381721"/>
    <w:rsid w:val="0038172A"/>
    <w:rsid w:val="0038483D"/>
    <w:rsid w:val="00384DBF"/>
    <w:rsid w:val="003862A7"/>
    <w:rsid w:val="003873F3"/>
    <w:rsid w:val="003878D5"/>
    <w:rsid w:val="00393880"/>
    <w:rsid w:val="00395624"/>
    <w:rsid w:val="003A0BD0"/>
    <w:rsid w:val="003A1D81"/>
    <w:rsid w:val="003A2EE8"/>
    <w:rsid w:val="003B0BFB"/>
    <w:rsid w:val="003C14F6"/>
    <w:rsid w:val="003D01ED"/>
    <w:rsid w:val="003D1013"/>
    <w:rsid w:val="003D1762"/>
    <w:rsid w:val="003D34A6"/>
    <w:rsid w:val="003D4F00"/>
    <w:rsid w:val="003E0243"/>
    <w:rsid w:val="003E0C6D"/>
    <w:rsid w:val="003E26F5"/>
    <w:rsid w:val="003E2712"/>
    <w:rsid w:val="003E5E43"/>
    <w:rsid w:val="003F05CD"/>
    <w:rsid w:val="003F0AB5"/>
    <w:rsid w:val="003F47E6"/>
    <w:rsid w:val="00401C6B"/>
    <w:rsid w:val="00406E2A"/>
    <w:rsid w:val="00410594"/>
    <w:rsid w:val="00413F83"/>
    <w:rsid w:val="00415F1D"/>
    <w:rsid w:val="0042367D"/>
    <w:rsid w:val="004238F0"/>
    <w:rsid w:val="00430BBD"/>
    <w:rsid w:val="00433C6A"/>
    <w:rsid w:val="00434181"/>
    <w:rsid w:val="00436914"/>
    <w:rsid w:val="0044089F"/>
    <w:rsid w:val="00440E07"/>
    <w:rsid w:val="00441A03"/>
    <w:rsid w:val="004477A6"/>
    <w:rsid w:val="00450210"/>
    <w:rsid w:val="0045021C"/>
    <w:rsid w:val="00450DE6"/>
    <w:rsid w:val="00452BB6"/>
    <w:rsid w:val="00453930"/>
    <w:rsid w:val="00454FFA"/>
    <w:rsid w:val="004630EA"/>
    <w:rsid w:val="00472A3F"/>
    <w:rsid w:val="0047329B"/>
    <w:rsid w:val="0048526B"/>
    <w:rsid w:val="00493F09"/>
    <w:rsid w:val="00494A51"/>
    <w:rsid w:val="00496DBA"/>
    <w:rsid w:val="004A0E67"/>
    <w:rsid w:val="004A1E64"/>
    <w:rsid w:val="004B2421"/>
    <w:rsid w:val="004B3FEC"/>
    <w:rsid w:val="004B5EC8"/>
    <w:rsid w:val="004B67BD"/>
    <w:rsid w:val="004B69E7"/>
    <w:rsid w:val="004C4168"/>
    <w:rsid w:val="004C5312"/>
    <w:rsid w:val="004D0555"/>
    <w:rsid w:val="004D2189"/>
    <w:rsid w:val="004D253A"/>
    <w:rsid w:val="004D5F3C"/>
    <w:rsid w:val="004D785A"/>
    <w:rsid w:val="004D7EE6"/>
    <w:rsid w:val="004E1116"/>
    <w:rsid w:val="004E2532"/>
    <w:rsid w:val="004E3F71"/>
    <w:rsid w:val="004E3FD4"/>
    <w:rsid w:val="004E4129"/>
    <w:rsid w:val="004E46A8"/>
    <w:rsid w:val="004E7455"/>
    <w:rsid w:val="004F0238"/>
    <w:rsid w:val="004F230E"/>
    <w:rsid w:val="004F3088"/>
    <w:rsid w:val="004F3735"/>
    <w:rsid w:val="004F6CE0"/>
    <w:rsid w:val="00500D4F"/>
    <w:rsid w:val="005046CE"/>
    <w:rsid w:val="00505267"/>
    <w:rsid w:val="00507766"/>
    <w:rsid w:val="0051070E"/>
    <w:rsid w:val="005128EF"/>
    <w:rsid w:val="0051558E"/>
    <w:rsid w:val="00515659"/>
    <w:rsid w:val="00517AC4"/>
    <w:rsid w:val="005204AF"/>
    <w:rsid w:val="0052163A"/>
    <w:rsid w:val="005276AF"/>
    <w:rsid w:val="00532FA3"/>
    <w:rsid w:val="005333FC"/>
    <w:rsid w:val="00536788"/>
    <w:rsid w:val="00536A0B"/>
    <w:rsid w:val="00537A30"/>
    <w:rsid w:val="0054035E"/>
    <w:rsid w:val="00541328"/>
    <w:rsid w:val="00543743"/>
    <w:rsid w:val="00547ADC"/>
    <w:rsid w:val="00555038"/>
    <w:rsid w:val="005553B0"/>
    <w:rsid w:val="00557D97"/>
    <w:rsid w:val="00562E42"/>
    <w:rsid w:val="005639C3"/>
    <w:rsid w:val="00565528"/>
    <w:rsid w:val="00570DEC"/>
    <w:rsid w:val="00573850"/>
    <w:rsid w:val="00575278"/>
    <w:rsid w:val="00575A28"/>
    <w:rsid w:val="005769CE"/>
    <w:rsid w:val="0058108E"/>
    <w:rsid w:val="00582311"/>
    <w:rsid w:val="00583AF7"/>
    <w:rsid w:val="00586060"/>
    <w:rsid w:val="0059214E"/>
    <w:rsid w:val="00594BB9"/>
    <w:rsid w:val="00594F9A"/>
    <w:rsid w:val="00595DCB"/>
    <w:rsid w:val="005A16A9"/>
    <w:rsid w:val="005A5BF1"/>
    <w:rsid w:val="005A6C3C"/>
    <w:rsid w:val="005A7EEB"/>
    <w:rsid w:val="005B4191"/>
    <w:rsid w:val="005B44F0"/>
    <w:rsid w:val="005C2723"/>
    <w:rsid w:val="005C2EFF"/>
    <w:rsid w:val="005C2FC0"/>
    <w:rsid w:val="005C4968"/>
    <w:rsid w:val="005C5807"/>
    <w:rsid w:val="005D2170"/>
    <w:rsid w:val="005D31A1"/>
    <w:rsid w:val="005D336D"/>
    <w:rsid w:val="005D7331"/>
    <w:rsid w:val="005E0610"/>
    <w:rsid w:val="005E1501"/>
    <w:rsid w:val="005E4F46"/>
    <w:rsid w:val="005F2917"/>
    <w:rsid w:val="005F5180"/>
    <w:rsid w:val="005F6402"/>
    <w:rsid w:val="00600645"/>
    <w:rsid w:val="0060470E"/>
    <w:rsid w:val="006055B1"/>
    <w:rsid w:val="00605AB5"/>
    <w:rsid w:val="00606216"/>
    <w:rsid w:val="006116C8"/>
    <w:rsid w:val="0062386C"/>
    <w:rsid w:val="00623BD2"/>
    <w:rsid w:val="00624783"/>
    <w:rsid w:val="00624C42"/>
    <w:rsid w:val="00625360"/>
    <w:rsid w:val="00625C80"/>
    <w:rsid w:val="006272A6"/>
    <w:rsid w:val="0063257B"/>
    <w:rsid w:val="00633BC2"/>
    <w:rsid w:val="00634632"/>
    <w:rsid w:val="006350D2"/>
    <w:rsid w:val="00635C3E"/>
    <w:rsid w:val="006366DE"/>
    <w:rsid w:val="0063777E"/>
    <w:rsid w:val="00637954"/>
    <w:rsid w:val="00637D57"/>
    <w:rsid w:val="0064142B"/>
    <w:rsid w:val="0064184D"/>
    <w:rsid w:val="0064218F"/>
    <w:rsid w:val="00642B6E"/>
    <w:rsid w:val="00643314"/>
    <w:rsid w:val="00643E75"/>
    <w:rsid w:val="00646063"/>
    <w:rsid w:val="0064761B"/>
    <w:rsid w:val="00651E5F"/>
    <w:rsid w:val="0065385A"/>
    <w:rsid w:val="00655EFE"/>
    <w:rsid w:val="0066321C"/>
    <w:rsid w:val="0066669D"/>
    <w:rsid w:val="006701EA"/>
    <w:rsid w:val="00670BD3"/>
    <w:rsid w:val="00671759"/>
    <w:rsid w:val="00673F0A"/>
    <w:rsid w:val="0067496F"/>
    <w:rsid w:val="0067536A"/>
    <w:rsid w:val="00677C80"/>
    <w:rsid w:val="00680834"/>
    <w:rsid w:val="0068651A"/>
    <w:rsid w:val="00691860"/>
    <w:rsid w:val="00696AB5"/>
    <w:rsid w:val="006977A3"/>
    <w:rsid w:val="006A037E"/>
    <w:rsid w:val="006A3774"/>
    <w:rsid w:val="006A6203"/>
    <w:rsid w:val="006B143D"/>
    <w:rsid w:val="006B1566"/>
    <w:rsid w:val="006B1F96"/>
    <w:rsid w:val="006B52FD"/>
    <w:rsid w:val="006B6E63"/>
    <w:rsid w:val="006C0696"/>
    <w:rsid w:val="006C41CB"/>
    <w:rsid w:val="006D124A"/>
    <w:rsid w:val="006D14E6"/>
    <w:rsid w:val="006D6B31"/>
    <w:rsid w:val="006E1CFB"/>
    <w:rsid w:val="006E725D"/>
    <w:rsid w:val="006F0A5F"/>
    <w:rsid w:val="006F2F6B"/>
    <w:rsid w:val="006F4372"/>
    <w:rsid w:val="006F6F8D"/>
    <w:rsid w:val="00700F00"/>
    <w:rsid w:val="00707414"/>
    <w:rsid w:val="007112F1"/>
    <w:rsid w:val="00714B21"/>
    <w:rsid w:val="007177C5"/>
    <w:rsid w:val="0072099F"/>
    <w:rsid w:val="00727438"/>
    <w:rsid w:val="007334A6"/>
    <w:rsid w:val="00740DF4"/>
    <w:rsid w:val="00742E43"/>
    <w:rsid w:val="00744D37"/>
    <w:rsid w:val="00747D07"/>
    <w:rsid w:val="00747FAC"/>
    <w:rsid w:val="00754082"/>
    <w:rsid w:val="00755601"/>
    <w:rsid w:val="007575E4"/>
    <w:rsid w:val="00757BB3"/>
    <w:rsid w:val="00761159"/>
    <w:rsid w:val="00761BB7"/>
    <w:rsid w:val="00771CB9"/>
    <w:rsid w:val="0077504B"/>
    <w:rsid w:val="00780B90"/>
    <w:rsid w:val="00783962"/>
    <w:rsid w:val="00783D6D"/>
    <w:rsid w:val="00785A61"/>
    <w:rsid w:val="00785E31"/>
    <w:rsid w:val="00786188"/>
    <w:rsid w:val="00787ACE"/>
    <w:rsid w:val="00790234"/>
    <w:rsid w:val="0079229B"/>
    <w:rsid w:val="00792BE8"/>
    <w:rsid w:val="0079366A"/>
    <w:rsid w:val="00797AC5"/>
    <w:rsid w:val="007A0D7E"/>
    <w:rsid w:val="007A3866"/>
    <w:rsid w:val="007A4B47"/>
    <w:rsid w:val="007A4BB9"/>
    <w:rsid w:val="007A569A"/>
    <w:rsid w:val="007A571B"/>
    <w:rsid w:val="007A7870"/>
    <w:rsid w:val="007B03DE"/>
    <w:rsid w:val="007B554B"/>
    <w:rsid w:val="007C00DB"/>
    <w:rsid w:val="007C13CA"/>
    <w:rsid w:val="007C30E0"/>
    <w:rsid w:val="007C3663"/>
    <w:rsid w:val="007C4254"/>
    <w:rsid w:val="007D376B"/>
    <w:rsid w:val="007D5721"/>
    <w:rsid w:val="007D6A1E"/>
    <w:rsid w:val="007E09B0"/>
    <w:rsid w:val="007E1D26"/>
    <w:rsid w:val="007E3AA2"/>
    <w:rsid w:val="007E53C7"/>
    <w:rsid w:val="007F245F"/>
    <w:rsid w:val="007F4FDA"/>
    <w:rsid w:val="007F650D"/>
    <w:rsid w:val="008015DB"/>
    <w:rsid w:val="00804DCF"/>
    <w:rsid w:val="00805A29"/>
    <w:rsid w:val="00820393"/>
    <w:rsid w:val="00821D71"/>
    <w:rsid w:val="00827E2D"/>
    <w:rsid w:val="00830F5F"/>
    <w:rsid w:val="00833DD4"/>
    <w:rsid w:val="008404B2"/>
    <w:rsid w:val="00841B43"/>
    <w:rsid w:val="00841ECE"/>
    <w:rsid w:val="008425D4"/>
    <w:rsid w:val="00857931"/>
    <w:rsid w:val="00861570"/>
    <w:rsid w:val="00865D94"/>
    <w:rsid w:val="0086720B"/>
    <w:rsid w:val="00867DB5"/>
    <w:rsid w:val="00871000"/>
    <w:rsid w:val="008711F5"/>
    <w:rsid w:val="00872151"/>
    <w:rsid w:val="00875347"/>
    <w:rsid w:val="00882882"/>
    <w:rsid w:val="00885649"/>
    <w:rsid w:val="008863F3"/>
    <w:rsid w:val="008925F0"/>
    <w:rsid w:val="008935A2"/>
    <w:rsid w:val="00896FBD"/>
    <w:rsid w:val="008A2390"/>
    <w:rsid w:val="008A61E3"/>
    <w:rsid w:val="008B3D44"/>
    <w:rsid w:val="008C0060"/>
    <w:rsid w:val="008C1FAB"/>
    <w:rsid w:val="008C28D0"/>
    <w:rsid w:val="008C35DB"/>
    <w:rsid w:val="008D06B1"/>
    <w:rsid w:val="008D0788"/>
    <w:rsid w:val="008D0C6C"/>
    <w:rsid w:val="008D4944"/>
    <w:rsid w:val="008E3A18"/>
    <w:rsid w:val="008E5417"/>
    <w:rsid w:val="008E789C"/>
    <w:rsid w:val="008F0094"/>
    <w:rsid w:val="008F050D"/>
    <w:rsid w:val="008F519C"/>
    <w:rsid w:val="0090367D"/>
    <w:rsid w:val="009051E5"/>
    <w:rsid w:val="00905B24"/>
    <w:rsid w:val="009077FC"/>
    <w:rsid w:val="00911279"/>
    <w:rsid w:val="009114E6"/>
    <w:rsid w:val="009202B5"/>
    <w:rsid w:val="009217A2"/>
    <w:rsid w:val="009229A6"/>
    <w:rsid w:val="00924972"/>
    <w:rsid w:val="00925489"/>
    <w:rsid w:val="009275B3"/>
    <w:rsid w:val="009301BB"/>
    <w:rsid w:val="00930407"/>
    <w:rsid w:val="00934AD8"/>
    <w:rsid w:val="00935BAF"/>
    <w:rsid w:val="00945059"/>
    <w:rsid w:val="009452B5"/>
    <w:rsid w:val="009464BE"/>
    <w:rsid w:val="00946902"/>
    <w:rsid w:val="00947336"/>
    <w:rsid w:val="00951C68"/>
    <w:rsid w:val="009527F4"/>
    <w:rsid w:val="00952F9C"/>
    <w:rsid w:val="00954F63"/>
    <w:rsid w:val="0095513E"/>
    <w:rsid w:val="00956886"/>
    <w:rsid w:val="00957D2E"/>
    <w:rsid w:val="009602B7"/>
    <w:rsid w:val="009605EE"/>
    <w:rsid w:val="009609CB"/>
    <w:rsid w:val="00961A06"/>
    <w:rsid w:val="00961DF0"/>
    <w:rsid w:val="009639A5"/>
    <w:rsid w:val="00963B1A"/>
    <w:rsid w:val="00963DA7"/>
    <w:rsid w:val="0096442B"/>
    <w:rsid w:val="00964F68"/>
    <w:rsid w:val="00965015"/>
    <w:rsid w:val="009654D5"/>
    <w:rsid w:val="00966B49"/>
    <w:rsid w:val="009677E2"/>
    <w:rsid w:val="00970CCC"/>
    <w:rsid w:val="00970CEE"/>
    <w:rsid w:val="00971589"/>
    <w:rsid w:val="0097260B"/>
    <w:rsid w:val="009732E6"/>
    <w:rsid w:val="0097461F"/>
    <w:rsid w:val="0097715E"/>
    <w:rsid w:val="00983F17"/>
    <w:rsid w:val="009846C6"/>
    <w:rsid w:val="009850BC"/>
    <w:rsid w:val="009879D8"/>
    <w:rsid w:val="009913B2"/>
    <w:rsid w:val="0099235F"/>
    <w:rsid w:val="0099324D"/>
    <w:rsid w:val="009968E3"/>
    <w:rsid w:val="00996F2C"/>
    <w:rsid w:val="0099746A"/>
    <w:rsid w:val="009A06C4"/>
    <w:rsid w:val="009A149F"/>
    <w:rsid w:val="009A2526"/>
    <w:rsid w:val="009A7959"/>
    <w:rsid w:val="009B341B"/>
    <w:rsid w:val="009B487A"/>
    <w:rsid w:val="009C4A3F"/>
    <w:rsid w:val="009C77FA"/>
    <w:rsid w:val="009D0E50"/>
    <w:rsid w:val="009D19B2"/>
    <w:rsid w:val="009D1F45"/>
    <w:rsid w:val="009D391C"/>
    <w:rsid w:val="009E1C67"/>
    <w:rsid w:val="009E318A"/>
    <w:rsid w:val="009F0C2C"/>
    <w:rsid w:val="009F56D2"/>
    <w:rsid w:val="009F6263"/>
    <w:rsid w:val="009F647A"/>
    <w:rsid w:val="009F684F"/>
    <w:rsid w:val="009F7288"/>
    <w:rsid w:val="009F7FE2"/>
    <w:rsid w:val="00A04273"/>
    <w:rsid w:val="00A06083"/>
    <w:rsid w:val="00A073B7"/>
    <w:rsid w:val="00A07713"/>
    <w:rsid w:val="00A07F70"/>
    <w:rsid w:val="00A1042F"/>
    <w:rsid w:val="00A10E38"/>
    <w:rsid w:val="00A11E8A"/>
    <w:rsid w:val="00A12EC7"/>
    <w:rsid w:val="00A22CC6"/>
    <w:rsid w:val="00A4069F"/>
    <w:rsid w:val="00A40A05"/>
    <w:rsid w:val="00A41B66"/>
    <w:rsid w:val="00A42C64"/>
    <w:rsid w:val="00A461CE"/>
    <w:rsid w:val="00A51DF0"/>
    <w:rsid w:val="00A528B7"/>
    <w:rsid w:val="00A56AC8"/>
    <w:rsid w:val="00A63A53"/>
    <w:rsid w:val="00A64103"/>
    <w:rsid w:val="00A64B4D"/>
    <w:rsid w:val="00A6667D"/>
    <w:rsid w:val="00A70487"/>
    <w:rsid w:val="00A72D06"/>
    <w:rsid w:val="00A72E7F"/>
    <w:rsid w:val="00A74F71"/>
    <w:rsid w:val="00A75F29"/>
    <w:rsid w:val="00A761A8"/>
    <w:rsid w:val="00A778E9"/>
    <w:rsid w:val="00A77AE3"/>
    <w:rsid w:val="00A80DEB"/>
    <w:rsid w:val="00A81008"/>
    <w:rsid w:val="00A82E7C"/>
    <w:rsid w:val="00A92E67"/>
    <w:rsid w:val="00A95855"/>
    <w:rsid w:val="00A95B32"/>
    <w:rsid w:val="00AA1BC4"/>
    <w:rsid w:val="00AA2854"/>
    <w:rsid w:val="00AA624A"/>
    <w:rsid w:val="00AA68C3"/>
    <w:rsid w:val="00AB3DC0"/>
    <w:rsid w:val="00AB4595"/>
    <w:rsid w:val="00AB574D"/>
    <w:rsid w:val="00AB5918"/>
    <w:rsid w:val="00AD116A"/>
    <w:rsid w:val="00AD2AEF"/>
    <w:rsid w:val="00AD464A"/>
    <w:rsid w:val="00AD5D17"/>
    <w:rsid w:val="00AD7D4A"/>
    <w:rsid w:val="00AE3474"/>
    <w:rsid w:val="00B00CC2"/>
    <w:rsid w:val="00B01408"/>
    <w:rsid w:val="00B02B6D"/>
    <w:rsid w:val="00B067A8"/>
    <w:rsid w:val="00B10C48"/>
    <w:rsid w:val="00B11B5A"/>
    <w:rsid w:val="00B12742"/>
    <w:rsid w:val="00B15730"/>
    <w:rsid w:val="00B222E1"/>
    <w:rsid w:val="00B24FB2"/>
    <w:rsid w:val="00B311BF"/>
    <w:rsid w:val="00B320CA"/>
    <w:rsid w:val="00B35284"/>
    <w:rsid w:val="00B365F2"/>
    <w:rsid w:val="00B426B9"/>
    <w:rsid w:val="00B42B82"/>
    <w:rsid w:val="00B45C35"/>
    <w:rsid w:val="00B47325"/>
    <w:rsid w:val="00B51D28"/>
    <w:rsid w:val="00B52387"/>
    <w:rsid w:val="00B5359E"/>
    <w:rsid w:val="00B5633C"/>
    <w:rsid w:val="00B625BB"/>
    <w:rsid w:val="00B64469"/>
    <w:rsid w:val="00B660DD"/>
    <w:rsid w:val="00B67D46"/>
    <w:rsid w:val="00B76E20"/>
    <w:rsid w:val="00B803A9"/>
    <w:rsid w:val="00B8069E"/>
    <w:rsid w:val="00B844FA"/>
    <w:rsid w:val="00B847BC"/>
    <w:rsid w:val="00B85517"/>
    <w:rsid w:val="00B85BAA"/>
    <w:rsid w:val="00B85D61"/>
    <w:rsid w:val="00B938F1"/>
    <w:rsid w:val="00B93F18"/>
    <w:rsid w:val="00BA0C51"/>
    <w:rsid w:val="00BA229A"/>
    <w:rsid w:val="00BB1B95"/>
    <w:rsid w:val="00BC173A"/>
    <w:rsid w:val="00BC72A2"/>
    <w:rsid w:val="00BD160A"/>
    <w:rsid w:val="00BD1AD3"/>
    <w:rsid w:val="00BD5DE7"/>
    <w:rsid w:val="00BE420B"/>
    <w:rsid w:val="00BE49EE"/>
    <w:rsid w:val="00BF778D"/>
    <w:rsid w:val="00C068CD"/>
    <w:rsid w:val="00C075B5"/>
    <w:rsid w:val="00C10D74"/>
    <w:rsid w:val="00C11925"/>
    <w:rsid w:val="00C128C3"/>
    <w:rsid w:val="00C12E2A"/>
    <w:rsid w:val="00C16C02"/>
    <w:rsid w:val="00C20203"/>
    <w:rsid w:val="00C24307"/>
    <w:rsid w:val="00C312A0"/>
    <w:rsid w:val="00C312F4"/>
    <w:rsid w:val="00C33AE4"/>
    <w:rsid w:val="00C33C2E"/>
    <w:rsid w:val="00C3632C"/>
    <w:rsid w:val="00C411EA"/>
    <w:rsid w:val="00C412CA"/>
    <w:rsid w:val="00C43036"/>
    <w:rsid w:val="00C43F46"/>
    <w:rsid w:val="00C44523"/>
    <w:rsid w:val="00C45547"/>
    <w:rsid w:val="00C46952"/>
    <w:rsid w:val="00C5115B"/>
    <w:rsid w:val="00C52B1A"/>
    <w:rsid w:val="00C541D8"/>
    <w:rsid w:val="00C56320"/>
    <w:rsid w:val="00C60257"/>
    <w:rsid w:val="00C61A6D"/>
    <w:rsid w:val="00C62706"/>
    <w:rsid w:val="00C6312C"/>
    <w:rsid w:val="00C67623"/>
    <w:rsid w:val="00C67B5A"/>
    <w:rsid w:val="00C67E79"/>
    <w:rsid w:val="00C72E8E"/>
    <w:rsid w:val="00C7465A"/>
    <w:rsid w:val="00C76F7B"/>
    <w:rsid w:val="00C810B9"/>
    <w:rsid w:val="00C84D66"/>
    <w:rsid w:val="00C907E5"/>
    <w:rsid w:val="00C909F3"/>
    <w:rsid w:val="00C920E6"/>
    <w:rsid w:val="00C94EB8"/>
    <w:rsid w:val="00C9705A"/>
    <w:rsid w:val="00CA1D65"/>
    <w:rsid w:val="00CA3AF8"/>
    <w:rsid w:val="00CA626D"/>
    <w:rsid w:val="00CA7E00"/>
    <w:rsid w:val="00CB2873"/>
    <w:rsid w:val="00CB4A54"/>
    <w:rsid w:val="00CB6F2F"/>
    <w:rsid w:val="00CC0D58"/>
    <w:rsid w:val="00CC126F"/>
    <w:rsid w:val="00CC3AFE"/>
    <w:rsid w:val="00CC6F69"/>
    <w:rsid w:val="00CD23B3"/>
    <w:rsid w:val="00CD2A06"/>
    <w:rsid w:val="00CD3A10"/>
    <w:rsid w:val="00CD42C5"/>
    <w:rsid w:val="00CD57B9"/>
    <w:rsid w:val="00CD6E10"/>
    <w:rsid w:val="00CE126F"/>
    <w:rsid w:val="00CE1F11"/>
    <w:rsid w:val="00CE286B"/>
    <w:rsid w:val="00CE6A77"/>
    <w:rsid w:val="00CE79C9"/>
    <w:rsid w:val="00CF1119"/>
    <w:rsid w:val="00CF4828"/>
    <w:rsid w:val="00D01A63"/>
    <w:rsid w:val="00D0441F"/>
    <w:rsid w:val="00D07AB0"/>
    <w:rsid w:val="00D11806"/>
    <w:rsid w:val="00D11863"/>
    <w:rsid w:val="00D128FD"/>
    <w:rsid w:val="00D151F8"/>
    <w:rsid w:val="00D15BE8"/>
    <w:rsid w:val="00D17F74"/>
    <w:rsid w:val="00D21D4A"/>
    <w:rsid w:val="00D2442D"/>
    <w:rsid w:val="00D24CB9"/>
    <w:rsid w:val="00D33061"/>
    <w:rsid w:val="00D354F9"/>
    <w:rsid w:val="00D3788D"/>
    <w:rsid w:val="00D402DA"/>
    <w:rsid w:val="00D414B8"/>
    <w:rsid w:val="00D414B9"/>
    <w:rsid w:val="00D423A5"/>
    <w:rsid w:val="00D443ED"/>
    <w:rsid w:val="00D458E9"/>
    <w:rsid w:val="00D46D01"/>
    <w:rsid w:val="00D506B4"/>
    <w:rsid w:val="00D50E36"/>
    <w:rsid w:val="00D52822"/>
    <w:rsid w:val="00D565D0"/>
    <w:rsid w:val="00D56CDD"/>
    <w:rsid w:val="00D609FB"/>
    <w:rsid w:val="00D64480"/>
    <w:rsid w:val="00D678C4"/>
    <w:rsid w:val="00D73A67"/>
    <w:rsid w:val="00D74858"/>
    <w:rsid w:val="00D74DD7"/>
    <w:rsid w:val="00D85768"/>
    <w:rsid w:val="00D8608E"/>
    <w:rsid w:val="00D873BA"/>
    <w:rsid w:val="00D92953"/>
    <w:rsid w:val="00D9481F"/>
    <w:rsid w:val="00D9579F"/>
    <w:rsid w:val="00D978DF"/>
    <w:rsid w:val="00D97C17"/>
    <w:rsid w:val="00DA1433"/>
    <w:rsid w:val="00DA3E31"/>
    <w:rsid w:val="00DA591B"/>
    <w:rsid w:val="00DA5985"/>
    <w:rsid w:val="00DA77DB"/>
    <w:rsid w:val="00DB0A3D"/>
    <w:rsid w:val="00DB1D69"/>
    <w:rsid w:val="00DB49FF"/>
    <w:rsid w:val="00DB7A20"/>
    <w:rsid w:val="00DC0EE0"/>
    <w:rsid w:val="00DC55FF"/>
    <w:rsid w:val="00DC5F83"/>
    <w:rsid w:val="00DD38C8"/>
    <w:rsid w:val="00DE092D"/>
    <w:rsid w:val="00DE35ED"/>
    <w:rsid w:val="00DE552D"/>
    <w:rsid w:val="00DE5559"/>
    <w:rsid w:val="00DE66EF"/>
    <w:rsid w:val="00DF5D5D"/>
    <w:rsid w:val="00E0197B"/>
    <w:rsid w:val="00E029A3"/>
    <w:rsid w:val="00E03693"/>
    <w:rsid w:val="00E05197"/>
    <w:rsid w:val="00E05FF6"/>
    <w:rsid w:val="00E11845"/>
    <w:rsid w:val="00E15829"/>
    <w:rsid w:val="00E21ED0"/>
    <w:rsid w:val="00E2251A"/>
    <w:rsid w:val="00E24A37"/>
    <w:rsid w:val="00E255BB"/>
    <w:rsid w:val="00E2585E"/>
    <w:rsid w:val="00E31BD0"/>
    <w:rsid w:val="00E3205B"/>
    <w:rsid w:val="00E34197"/>
    <w:rsid w:val="00E3553F"/>
    <w:rsid w:val="00E40056"/>
    <w:rsid w:val="00E401B7"/>
    <w:rsid w:val="00E41115"/>
    <w:rsid w:val="00E455F2"/>
    <w:rsid w:val="00E460A0"/>
    <w:rsid w:val="00E462D4"/>
    <w:rsid w:val="00E505EA"/>
    <w:rsid w:val="00E61C65"/>
    <w:rsid w:val="00E62A7D"/>
    <w:rsid w:val="00E63134"/>
    <w:rsid w:val="00E66B89"/>
    <w:rsid w:val="00E71EB7"/>
    <w:rsid w:val="00E72475"/>
    <w:rsid w:val="00E72C21"/>
    <w:rsid w:val="00E736A3"/>
    <w:rsid w:val="00E8410E"/>
    <w:rsid w:val="00E851AB"/>
    <w:rsid w:val="00E92DE2"/>
    <w:rsid w:val="00E9362E"/>
    <w:rsid w:val="00EA1E96"/>
    <w:rsid w:val="00EA6C78"/>
    <w:rsid w:val="00EB5805"/>
    <w:rsid w:val="00EB5CD2"/>
    <w:rsid w:val="00EC11B2"/>
    <w:rsid w:val="00EC2BD2"/>
    <w:rsid w:val="00EC4BF5"/>
    <w:rsid w:val="00EC6355"/>
    <w:rsid w:val="00EC6964"/>
    <w:rsid w:val="00EC6ECA"/>
    <w:rsid w:val="00ED6D58"/>
    <w:rsid w:val="00EE024D"/>
    <w:rsid w:val="00EE6249"/>
    <w:rsid w:val="00EF0AB2"/>
    <w:rsid w:val="00EF1EB9"/>
    <w:rsid w:val="00EF3146"/>
    <w:rsid w:val="00EF35BE"/>
    <w:rsid w:val="00EF6169"/>
    <w:rsid w:val="00EF669A"/>
    <w:rsid w:val="00F00F7F"/>
    <w:rsid w:val="00F015BA"/>
    <w:rsid w:val="00F044AF"/>
    <w:rsid w:val="00F064B5"/>
    <w:rsid w:val="00F138A5"/>
    <w:rsid w:val="00F17E56"/>
    <w:rsid w:val="00F17F3E"/>
    <w:rsid w:val="00F20B79"/>
    <w:rsid w:val="00F20C2E"/>
    <w:rsid w:val="00F229B4"/>
    <w:rsid w:val="00F229D3"/>
    <w:rsid w:val="00F2778C"/>
    <w:rsid w:val="00F30391"/>
    <w:rsid w:val="00F30C32"/>
    <w:rsid w:val="00F3130C"/>
    <w:rsid w:val="00F32A99"/>
    <w:rsid w:val="00F34554"/>
    <w:rsid w:val="00F37EA1"/>
    <w:rsid w:val="00F414CA"/>
    <w:rsid w:val="00F416DB"/>
    <w:rsid w:val="00F41805"/>
    <w:rsid w:val="00F4216A"/>
    <w:rsid w:val="00F44137"/>
    <w:rsid w:val="00F46325"/>
    <w:rsid w:val="00F53E10"/>
    <w:rsid w:val="00F5725B"/>
    <w:rsid w:val="00F64A07"/>
    <w:rsid w:val="00F65A52"/>
    <w:rsid w:val="00F65D68"/>
    <w:rsid w:val="00F7150D"/>
    <w:rsid w:val="00F72D7C"/>
    <w:rsid w:val="00F73777"/>
    <w:rsid w:val="00F7387E"/>
    <w:rsid w:val="00F76EBA"/>
    <w:rsid w:val="00F84FD3"/>
    <w:rsid w:val="00F8686F"/>
    <w:rsid w:val="00F91AEF"/>
    <w:rsid w:val="00F92DBC"/>
    <w:rsid w:val="00F93EA2"/>
    <w:rsid w:val="00F94F04"/>
    <w:rsid w:val="00F951AA"/>
    <w:rsid w:val="00FA400E"/>
    <w:rsid w:val="00FA7206"/>
    <w:rsid w:val="00FB06F9"/>
    <w:rsid w:val="00FB1690"/>
    <w:rsid w:val="00FB3FCD"/>
    <w:rsid w:val="00FC0D85"/>
    <w:rsid w:val="00FC1379"/>
    <w:rsid w:val="00FC5638"/>
    <w:rsid w:val="00FC595F"/>
    <w:rsid w:val="00FC6F31"/>
    <w:rsid w:val="00FD2554"/>
    <w:rsid w:val="00FD4F57"/>
    <w:rsid w:val="00FD69FB"/>
    <w:rsid w:val="00FD6AD6"/>
    <w:rsid w:val="00FE0B62"/>
    <w:rsid w:val="00FE387A"/>
    <w:rsid w:val="00FF0CA8"/>
    <w:rsid w:val="00FF32DC"/>
    <w:rsid w:val="00FF519F"/>
    <w:rsid w:val="00FF6EBF"/>
    <w:rsid w:val="00FF73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5202C3D"/>
  <w15:docId w15:val="{66297E7D-4FAE-4A33-B1D4-20869C9F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Times 10 Point,Exposant 3 Point,Footnote symbol,Footnote reference number,note TESI,Footnote,Ref,de nota al pie,SUPERS,fr,Footnote Reference Number,ftref"/>
    <w:basedOn w:val="DefaultParagraphFont"/>
    <w:uiPriority w:val="99"/>
    <w:rsid w:val="00A95855"/>
    <w:rPr>
      <w:rFonts w:cs="Times New Roman"/>
      <w:b/>
      <w:vertAlign w:val="superscript"/>
    </w:rPr>
  </w:style>
  <w:style w:type="paragraph" w:styleId="FootnoteText">
    <w:name w:val="footnote text"/>
    <w:aliases w:val="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rsid w:val="00A95855"/>
    <w:pPr>
      <w:spacing w:after="0" w:line="240" w:lineRule="auto"/>
    </w:pPr>
    <w:rPr>
      <w:sz w:val="20"/>
      <w:szCs w:val="20"/>
    </w:rPr>
  </w:style>
  <w:style w:type="character" w:customStyle="1" w:styleId="FootnoteTextChar">
    <w:name w:val="Footnote Text Char"/>
    <w:aliases w:val="Fußnote Char1,Footnote Char Char,Fußnote Char Char,Vēres teksts Char Char Char Char Char Char,Char Char Char Char Char Char Char Char Char Char Char Char Char,Reference Rakstz. Char Char Char Char Char Char Char Char,single space Char"/>
    <w:basedOn w:val="DefaultParagraphFont"/>
    <w:link w:val="FootnoteText"/>
    <w:uiPriority w:val="99"/>
    <w:rsid w:val="00A95855"/>
    <w:rPr>
      <w:rFonts w:ascii="Calibri" w:eastAsia="Calibri" w:hAnsi="Calibri"/>
      <w:sz w:val="20"/>
      <w:szCs w:val="20"/>
      <w:vertAlign w:val="baseline"/>
    </w:rPr>
  </w:style>
  <w:style w:type="paragraph" w:styleId="Header">
    <w:name w:val="header"/>
    <w:aliases w:val="normal"/>
    <w:basedOn w:val="Normal"/>
    <w:link w:val="HeaderChar"/>
    <w:rsid w:val="00A95855"/>
    <w:pPr>
      <w:tabs>
        <w:tab w:val="center" w:pos="4153"/>
        <w:tab w:val="right" w:pos="8306"/>
      </w:tabs>
      <w:spacing w:after="0" w:line="240" w:lineRule="auto"/>
    </w:pPr>
  </w:style>
  <w:style w:type="character" w:customStyle="1" w:styleId="HeaderChar">
    <w:name w:val="Header Char"/>
    <w:aliases w:val="normal Char"/>
    <w:basedOn w:val="DefaultParagraphFont"/>
    <w:link w:val="Header"/>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34"/>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A95855"/>
    <w:rPr>
      <w:rFonts w:cs="Times New Roman"/>
    </w:rPr>
  </w:style>
  <w:style w:type="paragraph" w:customStyle="1" w:styleId="tv213">
    <w:name w:val="tv213"/>
    <w:basedOn w:val="Normal"/>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rsid w:val="000179D2"/>
    <w:pPr>
      <w:spacing w:before="100" w:beforeAutospacing="1" w:after="100" w:afterAutospacing="1" w:line="240" w:lineRule="auto"/>
      <w:jc w:val="both"/>
    </w:pPr>
    <w:rPr>
      <w:rFonts w:ascii="Times New Roman" w:eastAsia="Times New Roman" w:hAnsi="Times New Roman"/>
      <w:color w:val="000000"/>
      <w:sz w:val="20"/>
      <w:szCs w:val="20"/>
      <w:lang w:eastAsia="lv-LV"/>
    </w:rPr>
  </w:style>
  <w:style w:type="character" w:styleId="CommentReference">
    <w:name w:val="annotation reference"/>
    <w:basedOn w:val="DefaultParagraphFont"/>
    <w:uiPriority w:val="99"/>
    <w:semiHidden/>
    <w:unhideWhenUsed/>
    <w:rsid w:val="00185D63"/>
    <w:rPr>
      <w:sz w:val="16"/>
      <w:szCs w:val="16"/>
    </w:rPr>
  </w:style>
  <w:style w:type="paragraph" w:styleId="CommentText">
    <w:name w:val="annotation text"/>
    <w:basedOn w:val="Normal"/>
    <w:link w:val="CommentTextChar"/>
    <w:unhideWhenUsed/>
    <w:rsid w:val="00185D63"/>
    <w:pPr>
      <w:spacing w:line="240" w:lineRule="auto"/>
    </w:pPr>
    <w:rPr>
      <w:sz w:val="20"/>
      <w:szCs w:val="20"/>
    </w:rPr>
  </w:style>
  <w:style w:type="character" w:customStyle="1" w:styleId="CommentTextChar">
    <w:name w:val="Comment Text Char"/>
    <w:basedOn w:val="DefaultParagraphFont"/>
    <w:link w:val="CommentText"/>
    <w:rsid w:val="00185D63"/>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185D63"/>
    <w:rPr>
      <w:b/>
      <w:bCs/>
    </w:rPr>
  </w:style>
  <w:style w:type="character" w:customStyle="1" w:styleId="CommentSubjectChar">
    <w:name w:val="Comment Subject Char"/>
    <w:basedOn w:val="CommentTextChar"/>
    <w:link w:val="CommentSubject"/>
    <w:uiPriority w:val="99"/>
    <w:semiHidden/>
    <w:rsid w:val="00185D63"/>
    <w:rPr>
      <w:rFonts w:ascii="Calibri" w:eastAsia="Calibri" w:hAnsi="Calibri"/>
      <w:b/>
      <w:bCs/>
      <w:sz w:val="20"/>
      <w:szCs w:val="20"/>
      <w:vertAlign w:val="baseline"/>
    </w:rPr>
  </w:style>
  <w:style w:type="paragraph" w:styleId="BalloonText">
    <w:name w:val="Balloon Text"/>
    <w:basedOn w:val="Normal"/>
    <w:link w:val="BalloonTextChar"/>
    <w:uiPriority w:val="99"/>
    <w:semiHidden/>
    <w:unhideWhenUsed/>
    <w:rsid w:val="0018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63"/>
    <w:rPr>
      <w:rFonts w:ascii="Tahoma" w:eastAsia="Calibri" w:hAnsi="Tahoma" w:cs="Tahoma"/>
      <w:sz w:val="16"/>
      <w:szCs w:val="16"/>
      <w:vertAlign w:val="baseline"/>
    </w:rPr>
  </w:style>
  <w:style w:type="character" w:styleId="Strong">
    <w:name w:val="Strong"/>
    <w:basedOn w:val="DefaultParagraphFont"/>
    <w:qFormat/>
    <w:rsid w:val="00AD2AEF"/>
    <w:rPr>
      <w:rFonts w:cs="Times New Roman"/>
      <w:b/>
      <w:bCs/>
    </w:rPr>
  </w:style>
  <w:style w:type="character" w:styleId="Hyperlink">
    <w:name w:val="Hyperlink"/>
    <w:basedOn w:val="DefaultParagraphFont"/>
    <w:uiPriority w:val="99"/>
    <w:unhideWhenUsed/>
    <w:rsid w:val="009F7288"/>
    <w:rPr>
      <w:color w:val="0000FF" w:themeColor="hyperlink"/>
      <w:u w:val="single"/>
    </w:rPr>
  </w:style>
  <w:style w:type="paragraph" w:customStyle="1" w:styleId="naiskr">
    <w:name w:val="naiskr"/>
    <w:basedOn w:val="Normal"/>
    <w:rsid w:val="00331309"/>
    <w:pPr>
      <w:spacing w:before="75" w:after="75" w:line="240" w:lineRule="auto"/>
    </w:pPr>
    <w:rPr>
      <w:rFonts w:ascii="Times New Roman" w:eastAsia="Times New Roman" w:hAnsi="Times New Roman"/>
      <w:sz w:val="24"/>
      <w:szCs w:val="24"/>
      <w:lang w:eastAsia="lv-LV"/>
    </w:rPr>
  </w:style>
  <w:style w:type="character" w:customStyle="1" w:styleId="NoSpacingChar">
    <w:name w:val="No Spacing Char"/>
    <w:basedOn w:val="DefaultParagraphFont"/>
    <w:link w:val="NoSpacing"/>
    <w:uiPriority w:val="1"/>
    <w:rsid w:val="009C4A3F"/>
    <w:rPr>
      <w:rFonts w:eastAsia="Times New Roman"/>
      <w:sz w:val="24"/>
      <w:szCs w:val="24"/>
      <w:vertAlign w:val="baseline"/>
      <w:lang w:eastAsia="lv-LV"/>
    </w:rPr>
  </w:style>
  <w:style w:type="paragraph" w:customStyle="1" w:styleId="naisf">
    <w:name w:val="naisf"/>
    <w:basedOn w:val="Normal"/>
    <w:rsid w:val="001830E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uiPriority w:val="1"/>
    <w:qFormat/>
    <w:rsid w:val="00CA1D65"/>
    <w:pPr>
      <w:spacing w:after="0" w:line="240" w:lineRule="auto"/>
    </w:pPr>
    <w:rPr>
      <w:rFonts w:ascii="Calibri" w:eastAsia="Times New Roman" w:hAnsi="Calibri"/>
      <w:sz w:val="22"/>
      <w:szCs w:val="22"/>
      <w:vertAlign w:val="baseline"/>
      <w:lang w:val="en-US"/>
    </w:rPr>
  </w:style>
  <w:style w:type="paragraph" w:customStyle="1" w:styleId="popup">
    <w:name w:val="popup"/>
    <w:basedOn w:val="Normal"/>
    <w:rsid w:val="005F6402"/>
    <w:pPr>
      <w:pBdr>
        <w:top w:val="single" w:sz="6" w:space="1" w:color="A7D6CE"/>
        <w:left w:val="single" w:sz="6" w:space="1" w:color="A7D6CE"/>
        <w:bottom w:val="single" w:sz="6" w:space="1" w:color="A7D6CE"/>
        <w:right w:val="single" w:sz="6" w:space="1" w:color="A7D6CE"/>
      </w:pBdr>
      <w:shd w:val="clear" w:color="auto" w:fill="E2F1F1"/>
      <w:spacing w:before="75" w:after="75" w:line="240" w:lineRule="auto"/>
    </w:pPr>
    <w:rPr>
      <w:rFonts w:ascii="Times New Roman" w:eastAsia="Times New Roman" w:hAnsi="Times New Roman"/>
      <w:sz w:val="24"/>
      <w:szCs w:val="24"/>
      <w:lang w:eastAsia="lv-LV"/>
    </w:rPr>
  </w:style>
  <w:style w:type="character" w:customStyle="1" w:styleId="spelle">
    <w:name w:val="spelle"/>
    <w:basedOn w:val="DefaultParagraphFont"/>
    <w:rsid w:val="001B75BE"/>
  </w:style>
  <w:style w:type="character" w:customStyle="1" w:styleId="Mention1">
    <w:name w:val="Mention1"/>
    <w:basedOn w:val="DefaultParagraphFont"/>
    <w:uiPriority w:val="99"/>
    <w:semiHidden/>
    <w:unhideWhenUsed/>
    <w:rsid w:val="008935A2"/>
    <w:rPr>
      <w:color w:val="2B579A"/>
      <w:shd w:val="clear" w:color="auto" w:fill="E6E6E6"/>
    </w:rPr>
  </w:style>
  <w:style w:type="character" w:customStyle="1" w:styleId="BodytextNotBold">
    <w:name w:val="Body text + Not Bold"/>
    <w:basedOn w:val="DefaultParagraphFont"/>
    <w:rsid w:val="00557D9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styleId="Mention">
    <w:name w:val="Mention"/>
    <w:basedOn w:val="DefaultParagraphFont"/>
    <w:uiPriority w:val="99"/>
    <w:semiHidden/>
    <w:unhideWhenUsed/>
    <w:rsid w:val="00F17E56"/>
    <w:rPr>
      <w:color w:val="2B579A"/>
      <w:shd w:val="clear" w:color="auto" w:fill="E6E6E6"/>
    </w:rPr>
  </w:style>
  <w:style w:type="paragraph" w:styleId="TOC6">
    <w:name w:val="toc 6"/>
    <w:basedOn w:val="Normal"/>
    <w:next w:val="Normal"/>
    <w:uiPriority w:val="39"/>
    <w:semiHidden/>
    <w:rsid w:val="00D11806"/>
    <w:pPr>
      <w:tabs>
        <w:tab w:val="right" w:leader="dot" w:pos="9071"/>
      </w:tabs>
      <w:spacing w:before="240" w:after="120" w:line="240" w:lineRule="auto"/>
    </w:pPr>
    <w:rPr>
      <w:rFonts w:ascii="Times New Roman" w:eastAsia="Times New Roman" w:hAnsi="Times New Roman"/>
      <w:snapToGrid w:val="0"/>
      <w:sz w:val="24"/>
      <w:szCs w:val="24"/>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10273">
      <w:bodyDiv w:val="1"/>
      <w:marLeft w:val="0"/>
      <w:marRight w:val="0"/>
      <w:marTop w:val="0"/>
      <w:marBottom w:val="0"/>
      <w:divBdr>
        <w:top w:val="none" w:sz="0" w:space="0" w:color="auto"/>
        <w:left w:val="none" w:sz="0" w:space="0" w:color="auto"/>
        <w:bottom w:val="none" w:sz="0" w:space="0" w:color="auto"/>
        <w:right w:val="none" w:sz="0" w:space="0" w:color="auto"/>
      </w:divBdr>
    </w:div>
    <w:div w:id="573124573">
      <w:bodyDiv w:val="1"/>
      <w:marLeft w:val="0"/>
      <w:marRight w:val="0"/>
      <w:marTop w:val="0"/>
      <w:marBottom w:val="0"/>
      <w:divBdr>
        <w:top w:val="none" w:sz="0" w:space="0" w:color="auto"/>
        <w:left w:val="none" w:sz="0" w:space="0" w:color="auto"/>
        <w:bottom w:val="none" w:sz="0" w:space="0" w:color="auto"/>
        <w:right w:val="none" w:sz="0" w:space="0" w:color="auto"/>
      </w:divBdr>
      <w:divsChild>
        <w:div w:id="554584544">
          <w:marLeft w:val="0"/>
          <w:marRight w:val="0"/>
          <w:marTop w:val="0"/>
          <w:marBottom w:val="0"/>
          <w:divBdr>
            <w:top w:val="none" w:sz="0" w:space="0" w:color="auto"/>
            <w:left w:val="none" w:sz="0" w:space="0" w:color="auto"/>
            <w:bottom w:val="none" w:sz="0" w:space="0" w:color="auto"/>
            <w:right w:val="none" w:sz="0" w:space="0" w:color="auto"/>
          </w:divBdr>
          <w:divsChild>
            <w:div w:id="722875958">
              <w:marLeft w:val="0"/>
              <w:marRight w:val="0"/>
              <w:marTop w:val="0"/>
              <w:marBottom w:val="0"/>
              <w:divBdr>
                <w:top w:val="none" w:sz="0" w:space="0" w:color="auto"/>
                <w:left w:val="none" w:sz="0" w:space="0" w:color="auto"/>
                <w:bottom w:val="none" w:sz="0" w:space="0" w:color="auto"/>
                <w:right w:val="none" w:sz="0" w:space="0" w:color="auto"/>
              </w:divBdr>
            </w:div>
            <w:div w:id="1354769665">
              <w:marLeft w:val="0"/>
              <w:marRight w:val="0"/>
              <w:marTop w:val="0"/>
              <w:marBottom w:val="0"/>
              <w:divBdr>
                <w:top w:val="none" w:sz="0" w:space="0" w:color="auto"/>
                <w:left w:val="none" w:sz="0" w:space="0" w:color="auto"/>
                <w:bottom w:val="none" w:sz="0" w:space="0" w:color="auto"/>
                <w:right w:val="none" w:sz="0" w:space="0" w:color="auto"/>
              </w:divBdr>
            </w:div>
            <w:div w:id="616256203">
              <w:marLeft w:val="0"/>
              <w:marRight w:val="0"/>
              <w:marTop w:val="0"/>
              <w:marBottom w:val="0"/>
              <w:divBdr>
                <w:top w:val="none" w:sz="0" w:space="0" w:color="auto"/>
                <w:left w:val="none" w:sz="0" w:space="0" w:color="auto"/>
                <w:bottom w:val="none" w:sz="0" w:space="0" w:color="auto"/>
                <w:right w:val="none" w:sz="0" w:space="0" w:color="auto"/>
              </w:divBdr>
            </w:div>
            <w:div w:id="12321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9464">
      <w:bodyDiv w:val="1"/>
      <w:marLeft w:val="0"/>
      <w:marRight w:val="0"/>
      <w:marTop w:val="0"/>
      <w:marBottom w:val="0"/>
      <w:divBdr>
        <w:top w:val="none" w:sz="0" w:space="0" w:color="auto"/>
        <w:left w:val="none" w:sz="0" w:space="0" w:color="auto"/>
        <w:bottom w:val="none" w:sz="0" w:space="0" w:color="auto"/>
        <w:right w:val="none" w:sz="0" w:space="0" w:color="auto"/>
      </w:divBdr>
      <w:divsChild>
        <w:div w:id="1277062092">
          <w:marLeft w:val="0"/>
          <w:marRight w:val="0"/>
          <w:marTop w:val="480"/>
          <w:marBottom w:val="240"/>
          <w:divBdr>
            <w:top w:val="none" w:sz="0" w:space="0" w:color="auto"/>
            <w:left w:val="none" w:sz="0" w:space="0" w:color="auto"/>
            <w:bottom w:val="none" w:sz="0" w:space="0" w:color="auto"/>
            <w:right w:val="none" w:sz="0" w:space="0" w:color="auto"/>
          </w:divBdr>
        </w:div>
        <w:div w:id="315494672">
          <w:marLeft w:val="0"/>
          <w:marRight w:val="0"/>
          <w:marTop w:val="0"/>
          <w:marBottom w:val="567"/>
          <w:divBdr>
            <w:top w:val="none" w:sz="0" w:space="0" w:color="auto"/>
            <w:left w:val="none" w:sz="0" w:space="0" w:color="auto"/>
            <w:bottom w:val="none" w:sz="0" w:space="0" w:color="auto"/>
            <w:right w:val="none" w:sz="0" w:space="0" w:color="auto"/>
          </w:divBdr>
        </w:div>
      </w:divsChild>
    </w:div>
    <w:div w:id="913198650">
      <w:bodyDiv w:val="1"/>
      <w:marLeft w:val="0"/>
      <w:marRight w:val="0"/>
      <w:marTop w:val="0"/>
      <w:marBottom w:val="0"/>
      <w:divBdr>
        <w:top w:val="none" w:sz="0" w:space="0" w:color="auto"/>
        <w:left w:val="none" w:sz="0" w:space="0" w:color="auto"/>
        <w:bottom w:val="none" w:sz="0" w:space="0" w:color="auto"/>
        <w:right w:val="none" w:sz="0" w:space="0" w:color="auto"/>
      </w:divBdr>
    </w:div>
    <w:div w:id="184951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a.eu" TargetMode="External"/><Relationship Id="rId13" Type="http://schemas.openxmlformats.org/officeDocument/2006/relationships/hyperlink" Target="http://eur-lex.europa.eu/eli/dir/2001/83/oj/?locale=LV" TargetMode="External"/><Relationship Id="rId18" Type="http://schemas.openxmlformats.org/officeDocument/2006/relationships/hyperlink" Target="http://esubmission.ema.europa.eu/ea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eli/dir/2001/83/oj/?locale=LV" TargetMode="External"/><Relationship Id="rId7" Type="http://schemas.openxmlformats.org/officeDocument/2006/relationships/endnotes" Target="endnotes.xml"/><Relationship Id="rId12" Type="http://schemas.openxmlformats.org/officeDocument/2006/relationships/hyperlink" Target="http://eur-lex.europa.eu/eli/dir/2001/83/oj/?locale=LV" TargetMode="External"/><Relationship Id="rId17" Type="http://schemas.openxmlformats.org/officeDocument/2006/relationships/hyperlink" Target="http://esubmission.ema.europa.eu/ea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zva.gov.lv" TargetMode="External"/><Relationship Id="rId20" Type="http://schemas.openxmlformats.org/officeDocument/2006/relationships/hyperlink" Target="http://likumi.lv/ta/id/260015-zalu-valsts-agenturas-maksas-pakalpojumu-cenradi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a.eu/fileadmin/dateien/Human_Medicines/CMD_h_/procedural_guidance/Variations/CMDh_295_2013_Rev22_2016_07_-_Chapter_5_tracked.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ur-lex.europa.eu/eli/dir/2001/83/oj/?locale=LV" TargetMode="External"/><Relationship Id="rId23" Type="http://schemas.openxmlformats.org/officeDocument/2006/relationships/hyperlink" Target="http://www.vm.gov.lv" TargetMode="External"/><Relationship Id="rId28" Type="http://schemas.openxmlformats.org/officeDocument/2006/relationships/header" Target="header3.xml"/><Relationship Id="rId10" Type="http://schemas.openxmlformats.org/officeDocument/2006/relationships/hyperlink" Target="http://www.hma.eu/96.html" TargetMode="External"/><Relationship Id="rId19" Type="http://schemas.openxmlformats.org/officeDocument/2006/relationships/hyperlink" Target="http://eur-lex.europa.eu/eli/reg/2008/1234?locale=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ma.eu/cmdh.html" TargetMode="External"/><Relationship Id="rId14" Type="http://schemas.openxmlformats.org/officeDocument/2006/relationships/hyperlink" Target="http://www.zva.gov.lv" TargetMode="External"/><Relationship Id="rId22" Type="http://schemas.openxmlformats.org/officeDocument/2006/relationships/hyperlink" Target="http://www.vm.gov.lv"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67A28-F09E-4A0E-83C7-D5DBD883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11</Pages>
  <Words>17163</Words>
  <Characters>9783</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 gada 9.maija noteikumos Nr. 376 "Zāļu reģistrēšanas kārtība"" sākotnējās ietekmes novērtējuma ziņojums (anotācija)</vt:lpstr>
    </vt:vector>
  </TitlesOfParts>
  <Company>Veselības ministrija</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9.maija noteikumos Nr. 376 "Zāļu reģistrēšanas kārtība"" sākotnējās ietekmes novērtējuma ziņojums (anotācija)</dc:title>
  <dc:subject>Anotācija</dc:subject>
  <dc:creator>Ingūna Mača</dc:creator>
  <dc:description>67876117, inguna.maca@vm.gov.lv</dc:description>
  <cp:lastModifiedBy>Inguna Mača</cp:lastModifiedBy>
  <cp:revision>221</cp:revision>
  <cp:lastPrinted>2017-05-12T07:46:00Z</cp:lastPrinted>
  <dcterms:created xsi:type="dcterms:W3CDTF">2017-09-07T06:20:00Z</dcterms:created>
  <dcterms:modified xsi:type="dcterms:W3CDTF">2017-09-20T14:10:00Z</dcterms:modified>
</cp:coreProperties>
</file>