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7D50" w14:textId="5EBA6F6D" w:rsidR="00EA6CD3" w:rsidRPr="003F45F7" w:rsidRDefault="00EA6CD3" w:rsidP="00EA6CD3">
      <w:pPr>
        <w:jc w:val="center"/>
        <w:rPr>
          <w:rFonts w:eastAsia="Times New Roman"/>
          <w:b/>
          <w:sz w:val="28"/>
          <w:szCs w:val="28"/>
          <w:lang w:val="lv-LV" w:eastAsia="lv-LV"/>
        </w:rPr>
      </w:pPr>
      <w:bookmarkStart w:id="0" w:name="OLE_LINK3"/>
      <w:bookmarkStart w:id="1" w:name="OLE_LINK1"/>
      <w:bookmarkStart w:id="2" w:name="OLE_LINK2"/>
      <w:r w:rsidRPr="003F45F7">
        <w:rPr>
          <w:b/>
          <w:sz w:val="28"/>
          <w:szCs w:val="28"/>
          <w:lang w:val="lv-LV"/>
        </w:rPr>
        <w:t>Ministru kabineta noteikumu projekta ,,</w:t>
      </w:r>
      <w:bookmarkStart w:id="3" w:name="OLE_LINK7"/>
      <w:bookmarkStart w:id="4" w:name="OLE_LINK8"/>
      <w:r w:rsidR="003F45F7">
        <w:rPr>
          <w:rFonts w:eastAsia="Times New Roman"/>
          <w:b/>
          <w:sz w:val="28"/>
          <w:szCs w:val="28"/>
          <w:lang w:val="lv-LV" w:eastAsia="lv-LV"/>
        </w:rPr>
        <w:t xml:space="preserve"> Grozījums</w:t>
      </w:r>
      <w:r w:rsidR="00E37F50" w:rsidRPr="003F45F7">
        <w:rPr>
          <w:rFonts w:eastAsia="Times New Roman"/>
          <w:b/>
          <w:sz w:val="28"/>
          <w:szCs w:val="28"/>
          <w:lang w:val="lv-LV" w:eastAsia="lv-LV"/>
        </w:rPr>
        <w:t xml:space="preserve"> Ministru kabineta 2016.gada 15.jūlija noteikumos Nr.469 „</w:t>
      </w:r>
      <w:r w:rsidR="00E37F50" w:rsidRPr="003F45F7">
        <w:rPr>
          <w:b/>
          <w:bCs/>
          <w:sz w:val="28"/>
          <w:szCs w:val="28"/>
          <w:shd w:val="clear" w:color="auto" w:fill="FFFFFF"/>
          <w:lang w:val="lv-LV"/>
        </w:rPr>
        <w:t>Noteikumi par paralēlajiem aizdevumiem saimnieciskās darbības veicējiem konkurētspējas uzlabošanai</w:t>
      </w:r>
      <w:r w:rsidR="00CA0BCB" w:rsidRPr="003F45F7">
        <w:rPr>
          <w:b/>
          <w:sz w:val="28"/>
          <w:szCs w:val="28"/>
          <w:lang w:val="lv-LV"/>
        </w:rPr>
        <w:t>”</w:t>
      </w:r>
      <w:r w:rsidRPr="003F45F7">
        <w:rPr>
          <w:b/>
          <w:sz w:val="28"/>
          <w:szCs w:val="28"/>
          <w:lang w:val="lv-LV"/>
        </w:rPr>
        <w:t>”</w:t>
      </w:r>
      <w:bookmarkEnd w:id="3"/>
      <w:bookmarkEnd w:id="4"/>
      <w:r w:rsidR="00844176" w:rsidRPr="003F45F7">
        <w:rPr>
          <w:b/>
          <w:sz w:val="28"/>
          <w:szCs w:val="28"/>
          <w:lang w:val="lv-LV"/>
        </w:rPr>
        <w:t xml:space="preserve"> </w:t>
      </w:r>
    </w:p>
    <w:p w14:paraId="13882E5F" w14:textId="77777777" w:rsidR="00EA6CD3" w:rsidRPr="003F45F7" w:rsidRDefault="00EA6CD3" w:rsidP="00EA6CD3">
      <w:pPr>
        <w:pStyle w:val="BodyText"/>
        <w:jc w:val="center"/>
        <w:rPr>
          <w:b/>
          <w:szCs w:val="28"/>
        </w:rPr>
      </w:pPr>
      <w:r w:rsidRPr="003F45F7">
        <w:rPr>
          <w:b/>
          <w:szCs w:val="28"/>
        </w:rPr>
        <w:t>sākotnējās ietekmes novērtējuma ziņojums (anotācija)</w:t>
      </w:r>
    </w:p>
    <w:p w14:paraId="6A67B0DA" w14:textId="77777777" w:rsidR="00EA6CD3" w:rsidRPr="003F45F7" w:rsidRDefault="00EA6CD3" w:rsidP="00E15447">
      <w:pPr>
        <w:pStyle w:val="BodyText"/>
        <w:rPr>
          <w:b/>
          <w:szCs w:val="28"/>
        </w:rPr>
      </w:pPr>
    </w:p>
    <w:bookmarkEnd w:id="0"/>
    <w:bookmarkEnd w:id="1"/>
    <w:bookmarkEnd w:id="2"/>
    <w:p w14:paraId="5E74745E" w14:textId="77777777" w:rsidR="003E171B" w:rsidRPr="003F45F7" w:rsidRDefault="003E171B" w:rsidP="00EA6CD3">
      <w:pPr>
        <w:tabs>
          <w:tab w:val="right" w:pos="9072"/>
        </w:tabs>
        <w:rPr>
          <w:sz w:val="28"/>
          <w:szCs w:val="28"/>
          <w:lang w:val="lv-LV"/>
        </w:rPr>
      </w:pPr>
    </w:p>
    <w:tbl>
      <w:tblPr>
        <w:tblW w:w="935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3"/>
        <w:gridCol w:w="1482"/>
        <w:gridCol w:w="7547"/>
      </w:tblGrid>
      <w:tr w:rsidR="00844176" w:rsidRPr="003F45F7" w14:paraId="3B854522" w14:textId="77777777" w:rsidTr="000472EA">
        <w:trPr>
          <w:trHeight w:val="405"/>
        </w:trPr>
        <w:tc>
          <w:tcPr>
            <w:tcW w:w="9352" w:type="dxa"/>
            <w:gridSpan w:val="3"/>
            <w:tcBorders>
              <w:top w:val="outset" w:sz="6" w:space="0" w:color="414142"/>
              <w:left w:val="outset" w:sz="6" w:space="0" w:color="414142"/>
              <w:bottom w:val="outset" w:sz="6" w:space="0" w:color="414142"/>
              <w:right w:val="outset" w:sz="6" w:space="0" w:color="414142"/>
            </w:tcBorders>
            <w:hideMark/>
          </w:tcPr>
          <w:p w14:paraId="6EEAA9E9"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I. Tiesību akta projekta izstrādes nepieciešamība</w:t>
            </w:r>
          </w:p>
        </w:tc>
      </w:tr>
      <w:tr w:rsidR="00844176" w:rsidRPr="003F45F7" w14:paraId="13C64775" w14:textId="77777777" w:rsidTr="000472EA">
        <w:trPr>
          <w:trHeight w:val="405"/>
        </w:trPr>
        <w:tc>
          <w:tcPr>
            <w:tcW w:w="323" w:type="dxa"/>
            <w:tcBorders>
              <w:top w:val="outset" w:sz="6" w:space="0" w:color="414142"/>
              <w:left w:val="outset" w:sz="6" w:space="0" w:color="414142"/>
              <w:bottom w:val="outset" w:sz="6" w:space="0" w:color="414142"/>
              <w:right w:val="outset" w:sz="6" w:space="0" w:color="414142"/>
            </w:tcBorders>
            <w:hideMark/>
          </w:tcPr>
          <w:p w14:paraId="02B9FC0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1482" w:type="dxa"/>
            <w:tcBorders>
              <w:top w:val="outset" w:sz="6" w:space="0" w:color="414142"/>
              <w:left w:val="outset" w:sz="6" w:space="0" w:color="414142"/>
              <w:bottom w:val="outset" w:sz="6" w:space="0" w:color="414142"/>
              <w:right w:val="outset" w:sz="6" w:space="0" w:color="414142"/>
            </w:tcBorders>
            <w:hideMark/>
          </w:tcPr>
          <w:p w14:paraId="34054CE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Pamatojums</w:t>
            </w:r>
          </w:p>
        </w:tc>
        <w:tc>
          <w:tcPr>
            <w:tcW w:w="7547" w:type="dxa"/>
            <w:tcBorders>
              <w:top w:val="outset" w:sz="6" w:space="0" w:color="414142"/>
              <w:left w:val="outset" w:sz="6" w:space="0" w:color="414142"/>
              <w:bottom w:val="outset" w:sz="6" w:space="0" w:color="414142"/>
              <w:right w:val="outset" w:sz="6" w:space="0" w:color="414142"/>
            </w:tcBorders>
            <w:hideMark/>
          </w:tcPr>
          <w:p w14:paraId="4A6385D8" w14:textId="77777777" w:rsidR="00844176" w:rsidRPr="003F45F7" w:rsidRDefault="00844176" w:rsidP="00A459E6">
            <w:pPr>
              <w:ind w:right="344"/>
              <w:jc w:val="both"/>
              <w:rPr>
                <w:sz w:val="28"/>
                <w:szCs w:val="28"/>
                <w:lang w:val="lv-LV"/>
              </w:rPr>
            </w:pPr>
            <w:r w:rsidRPr="003F45F7">
              <w:rPr>
                <w:sz w:val="28"/>
                <w:szCs w:val="28"/>
                <w:lang w:val="lv-LV"/>
              </w:rPr>
              <w:t>Noteikumu projekts sagatavots, pamatojoties uz:</w:t>
            </w:r>
          </w:p>
          <w:p w14:paraId="4F3B5593" w14:textId="77777777" w:rsidR="00844176" w:rsidRPr="003F45F7" w:rsidRDefault="00844176" w:rsidP="00844176">
            <w:pPr>
              <w:pStyle w:val="ListParagraph"/>
              <w:numPr>
                <w:ilvl w:val="0"/>
                <w:numId w:val="14"/>
              </w:numPr>
              <w:ind w:right="344"/>
              <w:jc w:val="both"/>
              <w:rPr>
                <w:sz w:val="28"/>
                <w:szCs w:val="28"/>
                <w:lang w:val="lv-LV"/>
              </w:rPr>
            </w:pPr>
            <w:r w:rsidRPr="003F45F7">
              <w:rPr>
                <w:sz w:val="28"/>
                <w:szCs w:val="28"/>
                <w:lang w:val="lv-LV"/>
              </w:rPr>
              <w:t>Attīstības finanšu institūcijas likuma 12.panta ceturto daļu;</w:t>
            </w:r>
          </w:p>
          <w:p w14:paraId="324ECAC9" w14:textId="7780F2E9" w:rsidR="00844176" w:rsidRPr="003F45F7" w:rsidRDefault="001B58F4" w:rsidP="00844176">
            <w:pPr>
              <w:pStyle w:val="ListParagraph"/>
              <w:numPr>
                <w:ilvl w:val="0"/>
                <w:numId w:val="14"/>
              </w:numPr>
              <w:ind w:right="344"/>
              <w:jc w:val="both"/>
              <w:rPr>
                <w:sz w:val="28"/>
                <w:szCs w:val="28"/>
                <w:lang w:val="lv-LV"/>
              </w:rPr>
            </w:pPr>
            <w:hyperlink r:id="rId8" w:tgtFrame="_blank" w:history="1">
              <w:r w:rsidR="00844176" w:rsidRPr="003F45F7">
                <w:rPr>
                  <w:rStyle w:val="Hyperlink"/>
                  <w:iCs/>
                  <w:color w:val="auto"/>
                  <w:sz w:val="28"/>
                  <w:szCs w:val="28"/>
                  <w:u w:val="none"/>
                  <w:shd w:val="clear" w:color="auto" w:fill="FFFFFF"/>
                  <w:lang w:val="lv-LV"/>
                </w:rPr>
                <w:t>Eiropas Savienības struktūrfondu un</w:t>
              </w:r>
              <w:r w:rsidR="00844176" w:rsidRPr="003F45F7">
                <w:rPr>
                  <w:iCs/>
                  <w:sz w:val="28"/>
                  <w:szCs w:val="28"/>
                  <w:shd w:val="clear" w:color="auto" w:fill="FFFFFF"/>
                  <w:lang w:val="lv-LV"/>
                </w:rPr>
                <w:br/>
              </w:r>
              <w:r w:rsidR="00844176" w:rsidRPr="003F45F7">
                <w:rPr>
                  <w:rStyle w:val="Hyperlink"/>
                  <w:iCs/>
                  <w:color w:val="auto"/>
                  <w:sz w:val="28"/>
                  <w:szCs w:val="28"/>
                  <w:u w:val="none"/>
                  <w:shd w:val="clear" w:color="auto" w:fill="FFFFFF"/>
                  <w:lang w:val="lv-LV"/>
                </w:rPr>
                <w:t>Kohēzijas fonda 2014.–2020. gada plānošanas perioda</w:t>
              </w:r>
              <w:r w:rsidR="00844176" w:rsidRPr="003F45F7">
                <w:rPr>
                  <w:iCs/>
                  <w:sz w:val="28"/>
                  <w:szCs w:val="28"/>
                  <w:shd w:val="clear" w:color="auto" w:fill="FFFFFF"/>
                  <w:lang w:val="lv-LV"/>
                </w:rPr>
                <w:br/>
              </w:r>
              <w:r w:rsidR="00844176" w:rsidRPr="003F45F7">
                <w:rPr>
                  <w:rStyle w:val="Hyperlink"/>
                  <w:iCs/>
                  <w:color w:val="auto"/>
                  <w:sz w:val="28"/>
                  <w:szCs w:val="28"/>
                  <w:u w:val="none"/>
                  <w:shd w:val="clear" w:color="auto" w:fill="FFFFFF"/>
                  <w:lang w:val="lv-LV"/>
                </w:rPr>
                <w:t>vadības likuma</w:t>
              </w:r>
            </w:hyperlink>
            <w:r w:rsidR="00844176" w:rsidRPr="003F45F7">
              <w:rPr>
                <w:rStyle w:val="apple-converted-space"/>
                <w:iCs/>
                <w:sz w:val="28"/>
                <w:szCs w:val="28"/>
                <w:shd w:val="clear" w:color="auto" w:fill="FFFFFF"/>
                <w:lang w:val="lv-LV"/>
              </w:rPr>
              <w:t> </w:t>
            </w:r>
            <w:hyperlink r:id="rId9" w:anchor="p20" w:tgtFrame="_blank" w:history="1">
              <w:r w:rsidR="00844176" w:rsidRPr="003F45F7">
                <w:rPr>
                  <w:rStyle w:val="Hyperlink"/>
                  <w:iCs/>
                  <w:color w:val="auto"/>
                  <w:sz w:val="28"/>
                  <w:szCs w:val="28"/>
                  <w:u w:val="none"/>
                  <w:shd w:val="clear" w:color="auto" w:fill="FFFFFF"/>
                  <w:lang w:val="lv-LV"/>
                </w:rPr>
                <w:t>20. pant</w:t>
              </w:r>
            </w:hyperlink>
            <w:r w:rsidR="001C2832" w:rsidRPr="003F45F7">
              <w:rPr>
                <w:rStyle w:val="Hyperlink"/>
                <w:iCs/>
                <w:color w:val="auto"/>
                <w:sz w:val="28"/>
                <w:szCs w:val="28"/>
                <w:u w:val="none"/>
                <w:shd w:val="clear" w:color="auto" w:fill="FFFFFF"/>
                <w:lang w:val="lv-LV"/>
              </w:rPr>
              <w:t>a 14.punktu</w:t>
            </w:r>
            <w:r w:rsidR="00844176" w:rsidRPr="003F45F7">
              <w:rPr>
                <w:sz w:val="28"/>
                <w:szCs w:val="28"/>
                <w:lang w:val="lv-LV"/>
              </w:rPr>
              <w:t>.</w:t>
            </w:r>
          </w:p>
        </w:tc>
      </w:tr>
      <w:tr w:rsidR="00844176" w:rsidRPr="003F45F7" w14:paraId="0FF0CCE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38AFFD1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1482" w:type="dxa"/>
            <w:tcBorders>
              <w:top w:val="outset" w:sz="6" w:space="0" w:color="414142"/>
              <w:left w:val="outset" w:sz="6" w:space="0" w:color="414142"/>
              <w:bottom w:val="outset" w:sz="6" w:space="0" w:color="414142"/>
              <w:right w:val="outset" w:sz="6" w:space="0" w:color="414142"/>
            </w:tcBorders>
            <w:hideMark/>
          </w:tcPr>
          <w:p w14:paraId="528D2DED"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Pašreizējā situācija un problēmas, kuru risināšanai tiesību akta projekts izstrādāts, tiesiskā regulējuma mērķis un būtība</w:t>
            </w:r>
          </w:p>
        </w:tc>
        <w:tc>
          <w:tcPr>
            <w:tcW w:w="7547" w:type="dxa"/>
            <w:tcBorders>
              <w:top w:val="outset" w:sz="6" w:space="0" w:color="414142"/>
              <w:left w:val="outset" w:sz="6" w:space="0" w:color="414142"/>
              <w:bottom w:val="outset" w:sz="6" w:space="0" w:color="414142"/>
              <w:right w:val="outset" w:sz="6" w:space="0" w:color="414142"/>
            </w:tcBorders>
          </w:tcPr>
          <w:p w14:paraId="38C2457E" w14:textId="26D87A9A" w:rsidR="004C2CD6" w:rsidRPr="003F45F7" w:rsidRDefault="00B77807" w:rsidP="00B77807">
            <w:pPr>
              <w:spacing w:before="120"/>
              <w:ind w:left="201" w:right="346"/>
              <w:jc w:val="both"/>
              <w:rPr>
                <w:sz w:val="28"/>
                <w:szCs w:val="28"/>
                <w:lang w:val="lv-LV"/>
              </w:rPr>
            </w:pPr>
            <w:r w:rsidRPr="003F45F7">
              <w:rPr>
                <w:sz w:val="28"/>
                <w:szCs w:val="28"/>
                <w:lang w:val="lv-LV"/>
              </w:rPr>
              <w:t>Ar Komisijas Regulu (ES) 2017/1084 (2017.gada 14.jūnijs), ar ko Regulu (ES) Nr</w:t>
            </w:r>
            <w:r w:rsidRPr="003F45F7">
              <w:rPr>
                <w:sz w:val="28"/>
                <w:szCs w:val="28"/>
                <w:lang w:val="lv-LV"/>
              </w:rPr>
              <w:t>.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(turpmāk – Regula Nr. 2017/1084), veikti grozījumi Komisijas Regulā (ES) Nr.651/2014. Lai MK noteikumi Nr.</w:t>
            </w:r>
            <w:r w:rsidR="00B86997">
              <w:rPr>
                <w:sz w:val="28"/>
                <w:szCs w:val="28"/>
                <w:lang w:val="lv-LV"/>
              </w:rPr>
              <w:t>469</w:t>
            </w:r>
            <w:r w:rsidR="00822B60">
              <w:t xml:space="preserve"> “</w:t>
            </w:r>
            <w:r w:rsidR="00822B60" w:rsidRPr="00822B60">
              <w:rPr>
                <w:sz w:val="28"/>
                <w:szCs w:val="28"/>
                <w:lang w:val="lv-LV"/>
              </w:rPr>
              <w:t>Noteikumi par paralēlajiem aizdevumiem saimnieciskās darbības veicējiem k</w:t>
            </w:r>
            <w:bookmarkStart w:id="5" w:name="_GoBack"/>
            <w:bookmarkEnd w:id="5"/>
            <w:r w:rsidR="00822B60" w:rsidRPr="00822B60">
              <w:rPr>
                <w:sz w:val="28"/>
                <w:szCs w:val="28"/>
                <w:lang w:val="lv-LV"/>
              </w:rPr>
              <w:t>onkurētspējas uzlabošanai</w:t>
            </w:r>
            <w:r w:rsidR="00822B60">
              <w:rPr>
                <w:sz w:val="28"/>
                <w:szCs w:val="28"/>
                <w:lang w:val="lv-LV"/>
              </w:rPr>
              <w:t>”</w:t>
            </w:r>
            <w:r w:rsidRPr="003F45F7">
              <w:rPr>
                <w:sz w:val="28"/>
                <w:szCs w:val="28"/>
                <w:lang w:val="lv-LV"/>
              </w:rPr>
              <w:t xml:space="preserve"> atbilstu Komisijas Regulas (ES) Nr.651/2014 prasībām, noteikumu projekts paredz veikt atbilstošu grozījumu MK noteikumos Nr.469, ietverot atsauci uz Regulas Nr.651/2014 14.panta 16. un 17. punktu, kā arī Regulas Nr.651/2014 2.panta 61.punkta </w:t>
            </w:r>
            <w:r w:rsidRPr="003F45F7">
              <w:rPr>
                <w:sz w:val="28"/>
                <w:szCs w:val="28"/>
                <w:lang w:val="lv-LV"/>
              </w:rPr>
              <w:t>“a” apakšpunktu.</w:t>
            </w:r>
          </w:p>
        </w:tc>
      </w:tr>
      <w:tr w:rsidR="00844176" w:rsidRPr="003F45F7" w14:paraId="3AE1E35A" w14:textId="77777777" w:rsidTr="000472EA">
        <w:trPr>
          <w:trHeight w:val="465"/>
        </w:trPr>
        <w:tc>
          <w:tcPr>
            <w:tcW w:w="323" w:type="dxa"/>
            <w:tcBorders>
              <w:top w:val="outset" w:sz="6" w:space="0" w:color="414142"/>
              <w:left w:val="outset" w:sz="6" w:space="0" w:color="414142"/>
              <w:bottom w:val="outset" w:sz="6" w:space="0" w:color="414142"/>
              <w:right w:val="outset" w:sz="6" w:space="0" w:color="414142"/>
            </w:tcBorders>
            <w:hideMark/>
          </w:tcPr>
          <w:p w14:paraId="23F1F431"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3.</w:t>
            </w:r>
          </w:p>
        </w:tc>
        <w:tc>
          <w:tcPr>
            <w:tcW w:w="1482" w:type="dxa"/>
            <w:tcBorders>
              <w:top w:val="outset" w:sz="6" w:space="0" w:color="414142"/>
              <w:left w:val="outset" w:sz="6" w:space="0" w:color="414142"/>
              <w:bottom w:val="outset" w:sz="6" w:space="0" w:color="414142"/>
              <w:right w:val="outset" w:sz="6" w:space="0" w:color="414142"/>
            </w:tcBorders>
            <w:hideMark/>
          </w:tcPr>
          <w:p w14:paraId="1431C4B6"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Projekta izstrādē iesaistītās institūcijas</w:t>
            </w:r>
          </w:p>
        </w:tc>
        <w:tc>
          <w:tcPr>
            <w:tcW w:w="7547" w:type="dxa"/>
            <w:tcBorders>
              <w:top w:val="outset" w:sz="6" w:space="0" w:color="414142"/>
              <w:left w:val="outset" w:sz="6" w:space="0" w:color="414142"/>
              <w:bottom w:val="outset" w:sz="6" w:space="0" w:color="414142"/>
              <w:right w:val="outset" w:sz="6" w:space="0" w:color="414142"/>
            </w:tcBorders>
            <w:hideMark/>
          </w:tcPr>
          <w:p w14:paraId="5454237A" w14:textId="4E57960D" w:rsidR="00844176" w:rsidRPr="003F45F7" w:rsidRDefault="00B86997" w:rsidP="00A459E6">
            <w:pPr>
              <w:spacing w:before="100" w:beforeAutospacing="1" w:after="100" w:afterAutospacing="1"/>
              <w:ind w:left="60"/>
              <w:rPr>
                <w:rFonts w:eastAsia="Times New Roman"/>
                <w:sz w:val="28"/>
                <w:szCs w:val="28"/>
                <w:lang w:val="lv-LV" w:eastAsia="lv-LV"/>
              </w:rPr>
            </w:pPr>
            <w:r>
              <w:rPr>
                <w:sz w:val="28"/>
                <w:szCs w:val="28"/>
                <w:lang w:val="lv-LV"/>
              </w:rPr>
              <w:t>Akciju sabiedrība</w:t>
            </w:r>
            <w:r w:rsidR="00B77807" w:rsidRPr="003F45F7">
              <w:rPr>
                <w:sz w:val="28"/>
                <w:szCs w:val="28"/>
                <w:lang w:val="lv-LV"/>
              </w:rPr>
              <w:t xml:space="preserve"> “</w:t>
            </w:r>
            <w:r w:rsidR="00B77807" w:rsidRPr="003F45F7">
              <w:rPr>
                <w:sz w:val="28"/>
                <w:szCs w:val="28"/>
                <w:lang w:val="lv-LV"/>
              </w:rPr>
              <w:t>Attīst</w:t>
            </w:r>
            <w:r w:rsidR="00600073">
              <w:rPr>
                <w:sz w:val="28"/>
                <w:szCs w:val="28"/>
                <w:lang w:val="lv-LV"/>
              </w:rPr>
              <w:t>ības finanšu institūcija Altum”, Ekonomiks ministrija.</w:t>
            </w:r>
          </w:p>
        </w:tc>
      </w:tr>
      <w:tr w:rsidR="00844176" w:rsidRPr="003F45F7" w14:paraId="2828825B" w14:textId="77777777" w:rsidTr="000472EA">
        <w:tc>
          <w:tcPr>
            <w:tcW w:w="323" w:type="dxa"/>
            <w:tcBorders>
              <w:top w:val="outset" w:sz="6" w:space="0" w:color="414142"/>
              <w:left w:val="outset" w:sz="6" w:space="0" w:color="414142"/>
              <w:bottom w:val="outset" w:sz="6" w:space="0" w:color="414142"/>
              <w:right w:val="outset" w:sz="6" w:space="0" w:color="414142"/>
            </w:tcBorders>
            <w:hideMark/>
          </w:tcPr>
          <w:p w14:paraId="06DBB9FB"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4.</w:t>
            </w:r>
          </w:p>
        </w:tc>
        <w:tc>
          <w:tcPr>
            <w:tcW w:w="1482" w:type="dxa"/>
            <w:tcBorders>
              <w:top w:val="outset" w:sz="6" w:space="0" w:color="414142"/>
              <w:left w:val="outset" w:sz="6" w:space="0" w:color="414142"/>
              <w:bottom w:val="outset" w:sz="6" w:space="0" w:color="414142"/>
              <w:right w:val="outset" w:sz="6" w:space="0" w:color="414142"/>
            </w:tcBorders>
            <w:hideMark/>
          </w:tcPr>
          <w:p w14:paraId="367A9432"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Cita informācija</w:t>
            </w:r>
          </w:p>
        </w:tc>
        <w:tc>
          <w:tcPr>
            <w:tcW w:w="7547" w:type="dxa"/>
            <w:tcBorders>
              <w:top w:val="outset" w:sz="6" w:space="0" w:color="414142"/>
              <w:left w:val="outset" w:sz="6" w:space="0" w:color="414142"/>
              <w:bottom w:val="outset" w:sz="6" w:space="0" w:color="414142"/>
              <w:right w:val="outset" w:sz="6" w:space="0" w:color="414142"/>
            </w:tcBorders>
            <w:hideMark/>
          </w:tcPr>
          <w:p w14:paraId="17941CFB"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 xml:space="preserve">Nav. </w:t>
            </w:r>
          </w:p>
        </w:tc>
      </w:tr>
      <w:tr w:rsidR="00844176" w:rsidRPr="003F45F7" w14:paraId="4DA5A241" w14:textId="77777777" w:rsidTr="000472EA">
        <w:trPr>
          <w:trHeight w:val="128"/>
        </w:trPr>
        <w:tc>
          <w:tcPr>
            <w:tcW w:w="9352" w:type="dxa"/>
            <w:gridSpan w:val="3"/>
            <w:tcBorders>
              <w:top w:val="outset" w:sz="6" w:space="0" w:color="414142"/>
              <w:left w:val="nil"/>
              <w:bottom w:val="outset" w:sz="6" w:space="0" w:color="414142"/>
              <w:right w:val="nil"/>
            </w:tcBorders>
            <w:hideMark/>
          </w:tcPr>
          <w:p w14:paraId="351DA73D" w14:textId="77777777" w:rsidR="00844176" w:rsidRPr="003F45F7" w:rsidRDefault="00844176" w:rsidP="00A459E6">
            <w:pPr>
              <w:tabs>
                <w:tab w:val="left" w:pos="990"/>
              </w:tabs>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ab/>
            </w:r>
          </w:p>
        </w:tc>
      </w:tr>
    </w:tbl>
    <w:p w14:paraId="664E824F" w14:textId="77777777" w:rsidR="00844176" w:rsidRPr="003F45F7" w:rsidRDefault="00844176" w:rsidP="00844176">
      <w:pPr>
        <w:rPr>
          <w:rFonts w:eastAsia="Times New Roman"/>
          <w:vanish/>
          <w:sz w:val="28"/>
          <w:szCs w:val="28"/>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944"/>
      </w:tblGrid>
      <w:tr w:rsidR="00844176" w:rsidRPr="003F45F7" w14:paraId="689D5659" w14:textId="77777777" w:rsidTr="003F45F7">
        <w:trPr>
          <w:trHeight w:val="555"/>
        </w:trPr>
        <w:tc>
          <w:tcPr>
            <w:tcW w:w="9348" w:type="dxa"/>
            <w:gridSpan w:val="3"/>
            <w:tcBorders>
              <w:top w:val="nil"/>
              <w:left w:val="outset" w:sz="6" w:space="0" w:color="414142"/>
              <w:bottom w:val="outset" w:sz="6" w:space="0" w:color="414142"/>
              <w:right w:val="outset" w:sz="6" w:space="0" w:color="414142"/>
            </w:tcBorders>
            <w:hideMark/>
          </w:tcPr>
          <w:p w14:paraId="6CEA03B6"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II. Tiesību akta projekta ietekme uz sabiedrību, tautsaimniecības attīstību un administratīvo slogu</w:t>
            </w:r>
          </w:p>
        </w:tc>
      </w:tr>
      <w:tr w:rsidR="00844176" w:rsidRPr="003F45F7" w14:paraId="7AC99F78" w14:textId="77777777" w:rsidTr="00C64334">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770690A3"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51E7A42A"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 xml:space="preserve">Sabiedrības mērķgrupas, kuras tiesiskais </w:t>
            </w:r>
            <w:r w:rsidRPr="003F45F7">
              <w:rPr>
                <w:rFonts w:eastAsia="Times New Roman"/>
                <w:color w:val="000000"/>
                <w:sz w:val="28"/>
                <w:szCs w:val="28"/>
                <w:lang w:val="lv-LV" w:eastAsia="lv-LV"/>
              </w:rPr>
              <w:lastRenderedPageBreak/>
              <w:t>regulējums ietekmē vai varētu ietekmēt</w:t>
            </w:r>
          </w:p>
        </w:tc>
        <w:tc>
          <w:tcPr>
            <w:tcW w:w="6944" w:type="dxa"/>
            <w:tcBorders>
              <w:top w:val="outset" w:sz="6" w:space="0" w:color="414142"/>
              <w:left w:val="outset" w:sz="6" w:space="0" w:color="414142"/>
              <w:bottom w:val="outset" w:sz="6" w:space="0" w:color="414142"/>
              <w:right w:val="outset" w:sz="6" w:space="0" w:color="414142"/>
            </w:tcBorders>
            <w:hideMark/>
          </w:tcPr>
          <w:p w14:paraId="3E91CF47" w14:textId="788679AE" w:rsidR="00844176" w:rsidRPr="003F45F7" w:rsidRDefault="00844176" w:rsidP="006640F1">
            <w:pPr>
              <w:ind w:right="201"/>
              <w:jc w:val="both"/>
              <w:rPr>
                <w:sz w:val="28"/>
                <w:szCs w:val="28"/>
                <w:lang w:val="lv-LV"/>
              </w:rPr>
            </w:pPr>
            <w:r w:rsidRPr="003F45F7">
              <w:rPr>
                <w:sz w:val="28"/>
                <w:szCs w:val="28"/>
                <w:lang w:val="lv-LV"/>
              </w:rPr>
              <w:lastRenderedPageBreak/>
              <w:t xml:space="preserve">Latvijā reģistrēti saimnieciskās darbības veicēji, </w:t>
            </w:r>
            <w:r w:rsidR="00B86997">
              <w:rPr>
                <w:sz w:val="28"/>
                <w:szCs w:val="28"/>
                <w:lang w:val="lv-LV"/>
              </w:rPr>
              <w:t>akciju sabiedrība</w:t>
            </w:r>
            <w:r w:rsidR="00B77807" w:rsidRPr="003F45F7">
              <w:rPr>
                <w:sz w:val="28"/>
                <w:szCs w:val="28"/>
                <w:lang w:val="lv-LV"/>
              </w:rPr>
              <w:t xml:space="preserve"> “Attīstības finanšu institūcija Altum”.</w:t>
            </w:r>
          </w:p>
        </w:tc>
      </w:tr>
      <w:tr w:rsidR="00844176" w:rsidRPr="003F45F7" w14:paraId="17B9E99D" w14:textId="77777777" w:rsidTr="00C6433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23F7C62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73791D2E"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Tiesiskā regulējuma ietekme uz tautsaimniecību un administratīvo slogu</w:t>
            </w:r>
          </w:p>
        </w:tc>
        <w:tc>
          <w:tcPr>
            <w:tcW w:w="6944" w:type="dxa"/>
            <w:tcBorders>
              <w:top w:val="outset" w:sz="6" w:space="0" w:color="414142"/>
              <w:left w:val="outset" w:sz="6" w:space="0" w:color="414142"/>
              <w:bottom w:val="outset" w:sz="6" w:space="0" w:color="414142"/>
              <w:right w:val="outset" w:sz="6" w:space="0" w:color="414142"/>
            </w:tcBorders>
            <w:hideMark/>
          </w:tcPr>
          <w:p w14:paraId="1AB47359" w14:textId="1E08AD8B" w:rsidR="00844176" w:rsidRPr="003F45F7" w:rsidRDefault="00B77807" w:rsidP="003F45F7">
            <w:pPr>
              <w:pStyle w:val="BodyText"/>
              <w:ind w:right="201"/>
              <w:rPr>
                <w:rFonts w:eastAsia="Calibri"/>
                <w:szCs w:val="28"/>
                <w:lang w:eastAsia="en-US"/>
              </w:rPr>
            </w:pPr>
            <w:r w:rsidRPr="003F45F7">
              <w:rPr>
                <w:rFonts w:eastAsia="Calibri"/>
                <w:szCs w:val="28"/>
                <w:lang w:eastAsia="en-US"/>
              </w:rPr>
              <w:t>Noteikumu projekts šo jomu neskar.</w:t>
            </w:r>
          </w:p>
        </w:tc>
      </w:tr>
      <w:tr w:rsidR="00844176" w:rsidRPr="003F45F7" w14:paraId="3D6187D5" w14:textId="77777777" w:rsidTr="00C6433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243DC1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05E3C3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Administratīvo izmaksu monetārs novērtējums</w:t>
            </w:r>
          </w:p>
        </w:tc>
        <w:tc>
          <w:tcPr>
            <w:tcW w:w="6944" w:type="dxa"/>
            <w:tcBorders>
              <w:top w:val="outset" w:sz="6" w:space="0" w:color="414142"/>
              <w:left w:val="outset" w:sz="6" w:space="0" w:color="414142"/>
              <w:bottom w:val="outset" w:sz="6" w:space="0" w:color="414142"/>
              <w:right w:val="outset" w:sz="6" w:space="0" w:color="414142"/>
            </w:tcBorders>
            <w:hideMark/>
          </w:tcPr>
          <w:p w14:paraId="0A38BAC3" w14:textId="0F4B269B" w:rsidR="00844176" w:rsidRPr="003F45F7" w:rsidRDefault="00B86997" w:rsidP="006640F1">
            <w:pPr>
              <w:pStyle w:val="BodyText"/>
              <w:ind w:right="201"/>
              <w:rPr>
                <w:rFonts w:eastAsia="Calibri"/>
                <w:szCs w:val="28"/>
                <w:lang w:eastAsia="en-US"/>
              </w:rPr>
            </w:pPr>
            <w:r w:rsidRPr="00B86997">
              <w:rPr>
                <w:rFonts w:eastAsia="Calibri"/>
                <w:szCs w:val="28"/>
                <w:lang w:eastAsia="en-US"/>
              </w:rPr>
              <w:t>Noteikumu projekts šo jomu neskar.</w:t>
            </w:r>
          </w:p>
        </w:tc>
      </w:tr>
      <w:tr w:rsidR="00844176" w:rsidRPr="003F45F7" w14:paraId="4B29DDB0" w14:textId="77777777" w:rsidTr="00C6433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1A4CAAC"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0A000F97"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Cita informācija</w:t>
            </w:r>
          </w:p>
        </w:tc>
        <w:tc>
          <w:tcPr>
            <w:tcW w:w="6944" w:type="dxa"/>
            <w:tcBorders>
              <w:top w:val="outset" w:sz="6" w:space="0" w:color="414142"/>
              <w:left w:val="outset" w:sz="6" w:space="0" w:color="414142"/>
              <w:bottom w:val="outset" w:sz="6" w:space="0" w:color="414142"/>
              <w:right w:val="outset" w:sz="6" w:space="0" w:color="414142"/>
            </w:tcBorders>
            <w:hideMark/>
          </w:tcPr>
          <w:p w14:paraId="3F62C4EF" w14:textId="77777777" w:rsidR="00844176" w:rsidRPr="003F45F7" w:rsidRDefault="00844176" w:rsidP="006640F1">
            <w:pPr>
              <w:ind w:right="201"/>
              <w:jc w:val="both"/>
              <w:rPr>
                <w:sz w:val="28"/>
                <w:szCs w:val="28"/>
                <w:lang w:val="lv-LV"/>
              </w:rPr>
            </w:pPr>
            <w:r w:rsidRPr="003F45F7">
              <w:rPr>
                <w:sz w:val="28"/>
                <w:szCs w:val="28"/>
                <w:lang w:val="lv-LV"/>
              </w:rPr>
              <w:t>Nav</w:t>
            </w:r>
          </w:p>
        </w:tc>
      </w:tr>
    </w:tbl>
    <w:p w14:paraId="1AF20C3F" w14:textId="77777777" w:rsidR="00C64334" w:rsidRPr="00C64334" w:rsidRDefault="00C64334" w:rsidP="00C64334">
      <w:pPr>
        <w:jc w:val="both"/>
        <w:rPr>
          <w:rFonts w:eastAsia="PMingLiU"/>
          <w:sz w:val="24"/>
          <w:szCs w:val="24"/>
          <w:lang w:val="lv-LV" w:eastAsia="ja-JP"/>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64334" w:rsidRPr="00C64334" w14:paraId="09822BA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52CC7A71" w14:textId="77777777" w:rsidR="00C64334" w:rsidRPr="00C64334" w:rsidRDefault="00C64334" w:rsidP="00C64334">
            <w:pPr>
              <w:tabs>
                <w:tab w:val="left" w:pos="2268"/>
                <w:tab w:val="left" w:pos="2410"/>
              </w:tabs>
              <w:jc w:val="center"/>
              <w:rPr>
                <w:rFonts w:eastAsia="PMingLiU"/>
                <w:b/>
                <w:sz w:val="28"/>
                <w:szCs w:val="28"/>
                <w:lang w:val="lv-LV"/>
              </w:rPr>
            </w:pPr>
            <w:r w:rsidRPr="00C64334">
              <w:rPr>
                <w:rFonts w:eastAsia="PMingLiU"/>
                <w:b/>
                <w:bCs/>
                <w:sz w:val="28"/>
                <w:szCs w:val="28"/>
                <w:lang w:val="lv-LV" w:eastAsia="ja-JP"/>
              </w:rPr>
              <w:t>III. Tiesību akta projekta ietekme uz valsts budžetu un pašvaldību budžetiem</w:t>
            </w:r>
          </w:p>
        </w:tc>
      </w:tr>
      <w:tr w:rsidR="00C64334" w:rsidRPr="00C64334" w14:paraId="5C8EA566"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61D25187" w14:textId="281BC4D4" w:rsidR="00C64334" w:rsidRPr="00C64334" w:rsidRDefault="00822B60" w:rsidP="00C64334">
            <w:pPr>
              <w:tabs>
                <w:tab w:val="left" w:pos="2268"/>
                <w:tab w:val="left" w:pos="2410"/>
              </w:tabs>
              <w:jc w:val="center"/>
              <w:rPr>
                <w:rFonts w:eastAsia="PMingLiU"/>
                <w:bCs/>
                <w:sz w:val="28"/>
                <w:szCs w:val="28"/>
                <w:lang w:val="lv-LV" w:eastAsia="ja-JP"/>
              </w:rPr>
            </w:pPr>
            <w:r>
              <w:rPr>
                <w:rFonts w:eastAsia="PMingLiU"/>
                <w:bCs/>
                <w:sz w:val="28"/>
                <w:szCs w:val="28"/>
                <w:lang w:val="lv-LV" w:eastAsia="ja-JP"/>
              </w:rPr>
              <w:t>Noteikumu p</w:t>
            </w:r>
            <w:r w:rsidR="00C64334" w:rsidRPr="00C64334">
              <w:rPr>
                <w:rFonts w:eastAsia="PMingLiU"/>
                <w:bCs/>
                <w:sz w:val="28"/>
                <w:szCs w:val="28"/>
                <w:lang w:val="lv-LV" w:eastAsia="ja-JP"/>
              </w:rPr>
              <w:t>rojekts šo jomu neskar.</w:t>
            </w:r>
          </w:p>
        </w:tc>
      </w:tr>
    </w:tbl>
    <w:p w14:paraId="676C0F79" w14:textId="77777777" w:rsidR="00C64334" w:rsidRPr="00C64334" w:rsidRDefault="00C64334" w:rsidP="00C64334">
      <w:pPr>
        <w:jc w:val="both"/>
        <w:rPr>
          <w:rFonts w:eastAsia="PMingLiU"/>
          <w:sz w:val="28"/>
          <w:szCs w:val="28"/>
          <w:lang w:val="lv-LV" w:eastAsia="ja-JP"/>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64334" w:rsidRPr="00C64334" w14:paraId="3B00D520"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79A717F" w14:textId="77777777" w:rsidR="00C64334" w:rsidRPr="00C64334" w:rsidRDefault="00C64334" w:rsidP="00C64334">
            <w:pPr>
              <w:tabs>
                <w:tab w:val="left" w:pos="2268"/>
                <w:tab w:val="left" w:pos="2410"/>
              </w:tabs>
              <w:jc w:val="center"/>
              <w:rPr>
                <w:rFonts w:eastAsia="PMingLiU"/>
                <w:b/>
                <w:sz w:val="28"/>
                <w:szCs w:val="28"/>
                <w:lang w:val="lv-LV"/>
              </w:rPr>
            </w:pPr>
            <w:r w:rsidRPr="00C64334">
              <w:rPr>
                <w:rFonts w:eastAsia="PMingLiU"/>
                <w:b/>
                <w:bCs/>
                <w:sz w:val="28"/>
                <w:szCs w:val="28"/>
                <w:lang w:val="lv-LV" w:eastAsia="ja-JP"/>
              </w:rPr>
              <w:t>IV. Tiesību akta projekta ietekme uz spēkā esošo tiesību normu sistēmu</w:t>
            </w:r>
          </w:p>
        </w:tc>
      </w:tr>
      <w:tr w:rsidR="00C64334" w:rsidRPr="00C64334" w14:paraId="6BA00CE2"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29FD0B1C" w14:textId="67361ED6" w:rsidR="00C64334" w:rsidRPr="00C64334" w:rsidRDefault="00822B60" w:rsidP="00C64334">
            <w:pPr>
              <w:tabs>
                <w:tab w:val="left" w:pos="2268"/>
                <w:tab w:val="left" w:pos="2410"/>
              </w:tabs>
              <w:jc w:val="center"/>
              <w:rPr>
                <w:rFonts w:eastAsia="PMingLiU"/>
                <w:bCs/>
                <w:sz w:val="28"/>
                <w:szCs w:val="28"/>
                <w:lang w:val="lv-LV" w:eastAsia="ja-JP"/>
              </w:rPr>
            </w:pPr>
            <w:r>
              <w:rPr>
                <w:rFonts w:eastAsia="PMingLiU"/>
                <w:bCs/>
                <w:sz w:val="28"/>
                <w:szCs w:val="28"/>
                <w:lang w:val="lv-LV" w:eastAsia="ja-JP"/>
              </w:rPr>
              <w:t>Noteikumu p</w:t>
            </w:r>
            <w:r w:rsidR="00C64334" w:rsidRPr="00C64334">
              <w:rPr>
                <w:rFonts w:eastAsia="PMingLiU"/>
                <w:bCs/>
                <w:sz w:val="28"/>
                <w:szCs w:val="28"/>
                <w:lang w:val="lv-LV" w:eastAsia="ja-JP"/>
              </w:rPr>
              <w:t>rojekts šo jomu neskar.</w:t>
            </w:r>
          </w:p>
        </w:tc>
      </w:tr>
    </w:tbl>
    <w:p w14:paraId="761B2087" w14:textId="77777777" w:rsidR="00C64334" w:rsidRPr="00C64334" w:rsidRDefault="00C64334" w:rsidP="00C64334">
      <w:pPr>
        <w:jc w:val="both"/>
        <w:rPr>
          <w:rFonts w:eastAsia="PMingLiU"/>
          <w:sz w:val="24"/>
          <w:szCs w:val="24"/>
          <w:lang w:val="lv-LV" w:eastAsia="ja-JP"/>
        </w:rPr>
      </w:pPr>
    </w:p>
    <w:p w14:paraId="405D6DEB" w14:textId="77777777" w:rsidR="00844176" w:rsidRPr="003F45F7" w:rsidRDefault="00844176" w:rsidP="00844176">
      <w:pPr>
        <w:rPr>
          <w:rFonts w:eastAsia="Times New Roman"/>
          <w:sz w:val="28"/>
          <w:szCs w:val="28"/>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
        <w:gridCol w:w="2985"/>
        <w:gridCol w:w="6082"/>
      </w:tblGrid>
      <w:tr w:rsidR="00844176" w:rsidRPr="003F45F7" w14:paraId="73DEEB8B" w14:textId="77777777" w:rsidTr="003F45F7">
        <w:tc>
          <w:tcPr>
            <w:tcW w:w="9348" w:type="dxa"/>
            <w:gridSpan w:val="3"/>
            <w:tcBorders>
              <w:top w:val="outset" w:sz="6" w:space="0" w:color="414142"/>
              <w:left w:val="outset" w:sz="6" w:space="0" w:color="414142"/>
              <w:bottom w:val="outset" w:sz="6" w:space="0" w:color="414142"/>
              <w:right w:val="outset" w:sz="6" w:space="0" w:color="414142"/>
            </w:tcBorders>
            <w:hideMark/>
          </w:tcPr>
          <w:p w14:paraId="5B4EAA0F"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V. Tiesību akta projekta atbilstība Latvijas Republikas starptautiskajām saistībām</w:t>
            </w:r>
          </w:p>
        </w:tc>
      </w:tr>
      <w:tr w:rsidR="00844176" w:rsidRPr="003F45F7" w14:paraId="6E5D1512"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49FF3B7E"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1.</w:t>
            </w:r>
          </w:p>
        </w:tc>
        <w:tc>
          <w:tcPr>
            <w:tcW w:w="2985" w:type="dxa"/>
            <w:tcBorders>
              <w:top w:val="outset" w:sz="6" w:space="0" w:color="414142"/>
              <w:left w:val="outset" w:sz="6" w:space="0" w:color="414142"/>
              <w:bottom w:val="outset" w:sz="6" w:space="0" w:color="414142"/>
              <w:right w:val="outset" w:sz="6" w:space="0" w:color="414142"/>
            </w:tcBorders>
            <w:hideMark/>
          </w:tcPr>
          <w:p w14:paraId="5F9A1E53"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Saistības pret Eiropas Savienību</w:t>
            </w:r>
          </w:p>
        </w:tc>
        <w:tc>
          <w:tcPr>
            <w:tcW w:w="6082" w:type="dxa"/>
            <w:tcBorders>
              <w:top w:val="outset" w:sz="6" w:space="0" w:color="414142"/>
              <w:left w:val="outset" w:sz="6" w:space="0" w:color="414142"/>
              <w:bottom w:val="outset" w:sz="6" w:space="0" w:color="414142"/>
              <w:right w:val="outset" w:sz="6" w:space="0" w:color="414142"/>
            </w:tcBorders>
            <w:hideMark/>
          </w:tcPr>
          <w:p w14:paraId="368A2FEB" w14:textId="71BB9589" w:rsidR="00844176" w:rsidRPr="003F45F7" w:rsidRDefault="00F117F6" w:rsidP="00A459E6">
            <w:pPr>
              <w:ind w:left="177" w:right="92"/>
              <w:jc w:val="both"/>
              <w:rPr>
                <w:sz w:val="28"/>
                <w:szCs w:val="28"/>
                <w:lang w:val="lv-LV"/>
              </w:rPr>
            </w:pPr>
            <w:r w:rsidRPr="003F45F7">
              <w:rPr>
                <w:sz w:val="28"/>
                <w:szCs w:val="28"/>
                <w:lang w:val="lv-LV"/>
              </w:rPr>
              <w:t>Ar normatīvo aktu tiek ieviestas prasības no Regulas Nr.651/2014.</w:t>
            </w:r>
          </w:p>
        </w:tc>
      </w:tr>
      <w:tr w:rsidR="00844176" w:rsidRPr="003F45F7" w14:paraId="2AC6A840"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03FE576B"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2.</w:t>
            </w:r>
          </w:p>
        </w:tc>
        <w:tc>
          <w:tcPr>
            <w:tcW w:w="2985" w:type="dxa"/>
            <w:tcBorders>
              <w:top w:val="outset" w:sz="6" w:space="0" w:color="414142"/>
              <w:left w:val="outset" w:sz="6" w:space="0" w:color="414142"/>
              <w:bottom w:val="outset" w:sz="6" w:space="0" w:color="414142"/>
              <w:right w:val="outset" w:sz="6" w:space="0" w:color="414142"/>
            </w:tcBorders>
            <w:hideMark/>
          </w:tcPr>
          <w:p w14:paraId="4F6C4B5C"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Citas starptautiskās saistības</w:t>
            </w:r>
          </w:p>
        </w:tc>
        <w:tc>
          <w:tcPr>
            <w:tcW w:w="6082" w:type="dxa"/>
            <w:tcBorders>
              <w:top w:val="outset" w:sz="6" w:space="0" w:color="414142"/>
              <w:left w:val="outset" w:sz="6" w:space="0" w:color="414142"/>
              <w:bottom w:val="outset" w:sz="6" w:space="0" w:color="414142"/>
              <w:right w:val="outset" w:sz="6" w:space="0" w:color="414142"/>
            </w:tcBorders>
            <w:hideMark/>
          </w:tcPr>
          <w:p w14:paraId="0893D7B3" w14:textId="77777777" w:rsidR="00844176" w:rsidRPr="003F45F7" w:rsidRDefault="00844176" w:rsidP="00A459E6">
            <w:pPr>
              <w:ind w:left="177" w:right="92"/>
              <w:jc w:val="both"/>
              <w:rPr>
                <w:rFonts w:eastAsia="Times New Roman"/>
                <w:sz w:val="28"/>
                <w:szCs w:val="28"/>
                <w:lang w:val="lv-LV" w:eastAsia="lv-LV"/>
              </w:rPr>
            </w:pPr>
            <w:r w:rsidRPr="003F45F7">
              <w:rPr>
                <w:rFonts w:eastAsia="Times New Roman"/>
                <w:sz w:val="28"/>
                <w:szCs w:val="28"/>
                <w:lang w:val="lv-LV" w:eastAsia="lv-LV"/>
              </w:rPr>
              <w:t>Projekts šo jomu neskar.</w:t>
            </w:r>
          </w:p>
        </w:tc>
      </w:tr>
      <w:tr w:rsidR="00844176" w:rsidRPr="003F45F7" w14:paraId="54A4C739" w14:textId="77777777" w:rsidTr="003F45F7">
        <w:tc>
          <w:tcPr>
            <w:tcW w:w="281" w:type="dxa"/>
            <w:tcBorders>
              <w:top w:val="outset" w:sz="6" w:space="0" w:color="414142"/>
              <w:left w:val="outset" w:sz="6" w:space="0" w:color="414142"/>
              <w:bottom w:val="outset" w:sz="6" w:space="0" w:color="414142"/>
              <w:right w:val="outset" w:sz="6" w:space="0" w:color="414142"/>
            </w:tcBorders>
            <w:hideMark/>
          </w:tcPr>
          <w:p w14:paraId="223157E6" w14:textId="77777777" w:rsidR="00844176" w:rsidRPr="003F45F7" w:rsidRDefault="00844176" w:rsidP="00A459E6">
            <w:pPr>
              <w:rPr>
                <w:rFonts w:eastAsia="Times New Roman"/>
                <w:sz w:val="28"/>
                <w:szCs w:val="28"/>
                <w:lang w:val="lv-LV" w:eastAsia="lv-LV"/>
              </w:rPr>
            </w:pPr>
            <w:r w:rsidRPr="003F45F7">
              <w:rPr>
                <w:rFonts w:eastAsia="Times New Roman"/>
                <w:sz w:val="28"/>
                <w:szCs w:val="28"/>
                <w:lang w:val="lv-LV" w:eastAsia="lv-LV"/>
              </w:rPr>
              <w:t>3.</w:t>
            </w:r>
          </w:p>
        </w:tc>
        <w:tc>
          <w:tcPr>
            <w:tcW w:w="2985" w:type="dxa"/>
            <w:tcBorders>
              <w:top w:val="outset" w:sz="6" w:space="0" w:color="414142"/>
              <w:left w:val="outset" w:sz="6" w:space="0" w:color="414142"/>
              <w:bottom w:val="outset" w:sz="6" w:space="0" w:color="414142"/>
              <w:right w:val="outset" w:sz="6" w:space="0" w:color="414142"/>
            </w:tcBorders>
            <w:hideMark/>
          </w:tcPr>
          <w:p w14:paraId="5A05D251"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 informācija</w:t>
            </w:r>
          </w:p>
        </w:tc>
        <w:tc>
          <w:tcPr>
            <w:tcW w:w="6082" w:type="dxa"/>
            <w:tcBorders>
              <w:top w:val="outset" w:sz="6" w:space="0" w:color="414142"/>
              <w:left w:val="outset" w:sz="6" w:space="0" w:color="414142"/>
              <w:bottom w:val="outset" w:sz="6" w:space="0" w:color="414142"/>
              <w:right w:val="outset" w:sz="6" w:space="0" w:color="414142"/>
            </w:tcBorders>
            <w:hideMark/>
          </w:tcPr>
          <w:p w14:paraId="45A07861" w14:textId="77777777" w:rsidR="00F117F6" w:rsidRPr="003F45F7" w:rsidRDefault="00F117F6" w:rsidP="00F117F6">
            <w:pPr>
              <w:shd w:val="clear" w:color="auto" w:fill="FFFFFF"/>
              <w:ind w:left="57" w:right="113"/>
              <w:jc w:val="both"/>
              <w:rPr>
                <w:sz w:val="28"/>
                <w:szCs w:val="28"/>
              </w:rPr>
            </w:pPr>
            <w:r w:rsidRPr="003F45F7">
              <w:rPr>
                <w:sz w:val="28"/>
                <w:szCs w:val="28"/>
              </w:rPr>
              <w:t>Grozījumi noteikumu projektā saistīti ar atsevišķu Regulas Nr. 651/2014 normu ieviešanu, kas tiek ieviestas atbilstoši grozījumiem, kas veikti ar Regulu Nr. 2017/1084:</w:t>
            </w:r>
          </w:p>
          <w:p w14:paraId="3836F0E3" w14:textId="11310CB6" w:rsidR="00F117F6" w:rsidRPr="003F45F7" w:rsidRDefault="00F117F6" w:rsidP="00F117F6">
            <w:pPr>
              <w:pStyle w:val="ListParagraph"/>
              <w:numPr>
                <w:ilvl w:val="0"/>
                <w:numId w:val="16"/>
              </w:numPr>
              <w:shd w:val="clear" w:color="auto" w:fill="FFFFFF"/>
              <w:ind w:right="113"/>
              <w:jc w:val="both"/>
              <w:rPr>
                <w:sz w:val="28"/>
                <w:szCs w:val="28"/>
              </w:rPr>
            </w:pPr>
            <w:r w:rsidRPr="003F45F7">
              <w:rPr>
                <w:sz w:val="28"/>
                <w:szCs w:val="28"/>
              </w:rPr>
              <w:t>Regulas Nr.651/2014 14. panta 16. un 17. punkts;</w:t>
            </w:r>
          </w:p>
          <w:p w14:paraId="2C625D5F" w14:textId="08E4301C" w:rsidR="00844176" w:rsidRPr="003F45F7" w:rsidRDefault="00F117F6" w:rsidP="00F117F6">
            <w:pPr>
              <w:pStyle w:val="ListParagraph"/>
              <w:numPr>
                <w:ilvl w:val="0"/>
                <w:numId w:val="16"/>
              </w:numPr>
              <w:shd w:val="clear" w:color="auto" w:fill="FFFFFF"/>
              <w:ind w:right="113"/>
              <w:jc w:val="both"/>
              <w:rPr>
                <w:sz w:val="28"/>
                <w:szCs w:val="28"/>
              </w:rPr>
            </w:pPr>
            <w:r w:rsidRPr="003F45F7">
              <w:rPr>
                <w:sz w:val="28"/>
                <w:szCs w:val="28"/>
              </w:rPr>
              <w:t>Regulas Nr.651/2014 2.panta 61.punkta “a” apakšpunkts.</w:t>
            </w:r>
          </w:p>
        </w:tc>
      </w:tr>
    </w:tbl>
    <w:p w14:paraId="2CFEC8F1" w14:textId="77777777" w:rsidR="00F117F6" w:rsidRPr="003F45F7" w:rsidRDefault="00844176" w:rsidP="00844176">
      <w:pPr>
        <w:rPr>
          <w:rFonts w:eastAsia="Times New Roman"/>
          <w:color w:val="000000"/>
          <w:sz w:val="28"/>
          <w:szCs w:val="28"/>
          <w:lang w:val="lv-LV" w:eastAsia="lv-LV"/>
        </w:rPr>
      </w:pPr>
      <w:r w:rsidRPr="003F45F7">
        <w:rPr>
          <w:rFonts w:eastAsia="Times New Roman"/>
          <w:color w:val="000000"/>
          <w:sz w:val="28"/>
          <w:szCs w:val="28"/>
          <w:lang w:val="lv-LV" w:eastAsia="lv-LV"/>
        </w:rPr>
        <w:t>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23"/>
        <w:gridCol w:w="2260"/>
        <w:gridCol w:w="2521"/>
      </w:tblGrid>
      <w:tr w:rsidR="00F117F6" w:rsidRPr="00F117F6" w14:paraId="656AFAB3" w14:textId="77777777" w:rsidTr="00255234">
        <w:tc>
          <w:tcPr>
            <w:tcW w:w="9208" w:type="dxa"/>
            <w:gridSpan w:val="4"/>
            <w:tcBorders>
              <w:top w:val="single" w:sz="4" w:space="0" w:color="auto"/>
              <w:left w:val="single" w:sz="4" w:space="0" w:color="auto"/>
              <w:bottom w:val="single" w:sz="4" w:space="0" w:color="auto"/>
              <w:right w:val="single" w:sz="4" w:space="0" w:color="auto"/>
            </w:tcBorders>
            <w:hideMark/>
          </w:tcPr>
          <w:p w14:paraId="456F99C5" w14:textId="77777777" w:rsidR="00F117F6" w:rsidRPr="00F117F6" w:rsidRDefault="00F117F6" w:rsidP="00F117F6">
            <w:pPr>
              <w:jc w:val="center"/>
              <w:rPr>
                <w:rFonts w:eastAsia="Times New Roman"/>
                <w:color w:val="000000"/>
                <w:sz w:val="28"/>
                <w:szCs w:val="28"/>
                <w:lang w:val="lv-LV"/>
              </w:rPr>
            </w:pPr>
            <w:r w:rsidRPr="00F117F6">
              <w:rPr>
                <w:rFonts w:eastAsia="Times New Roman"/>
                <w:b/>
                <w:color w:val="000000"/>
                <w:sz w:val="28"/>
                <w:szCs w:val="28"/>
                <w:lang w:val="lv-LV"/>
              </w:rPr>
              <w:t>1.tabula. Tiesību akta projekta atbilstība ES tiesību aktiem</w:t>
            </w:r>
          </w:p>
        </w:tc>
      </w:tr>
      <w:tr w:rsidR="00F117F6" w:rsidRPr="00F117F6" w14:paraId="46F792AA" w14:textId="77777777" w:rsidTr="00255234">
        <w:tc>
          <w:tcPr>
            <w:tcW w:w="2304" w:type="dxa"/>
            <w:tcBorders>
              <w:top w:val="single" w:sz="4" w:space="0" w:color="auto"/>
              <w:left w:val="single" w:sz="4" w:space="0" w:color="auto"/>
              <w:bottom w:val="single" w:sz="4" w:space="0" w:color="auto"/>
              <w:right w:val="single" w:sz="4" w:space="0" w:color="auto"/>
            </w:tcBorders>
            <w:hideMark/>
          </w:tcPr>
          <w:p w14:paraId="54208097"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Attiecīgā ES tiesību akta datums, numurs un nosaukums</w:t>
            </w:r>
          </w:p>
        </w:tc>
        <w:tc>
          <w:tcPr>
            <w:tcW w:w="6904" w:type="dxa"/>
            <w:gridSpan w:val="3"/>
            <w:tcBorders>
              <w:top w:val="single" w:sz="4" w:space="0" w:color="auto"/>
              <w:left w:val="single" w:sz="4" w:space="0" w:color="auto"/>
              <w:bottom w:val="single" w:sz="4" w:space="0" w:color="auto"/>
              <w:right w:val="single" w:sz="4" w:space="0" w:color="auto"/>
            </w:tcBorders>
            <w:hideMark/>
          </w:tcPr>
          <w:p w14:paraId="7DF1F958" w14:textId="77777777" w:rsidR="00F117F6" w:rsidRPr="00F117F6" w:rsidRDefault="00F117F6" w:rsidP="00F117F6">
            <w:pPr>
              <w:jc w:val="both"/>
              <w:rPr>
                <w:rFonts w:eastAsia="Times New Roman"/>
                <w:color w:val="000000"/>
                <w:sz w:val="28"/>
                <w:szCs w:val="28"/>
                <w:lang w:val="lv-LV"/>
              </w:rPr>
            </w:pPr>
            <w:r w:rsidRPr="00F117F6">
              <w:rPr>
                <w:rFonts w:eastAsia="Times New Roman"/>
                <w:sz w:val="28"/>
                <w:szCs w:val="28"/>
                <w:lang w:val="lv-LV" w:eastAsia="lv-LV"/>
              </w:rPr>
              <w:t>Ar normatīvo aktu tiek ieviestas prasības no Regulas Nr.651/2014.</w:t>
            </w:r>
          </w:p>
        </w:tc>
      </w:tr>
      <w:tr w:rsidR="00F117F6" w:rsidRPr="00F117F6" w14:paraId="0329A0DA" w14:textId="77777777" w:rsidTr="00255234">
        <w:tc>
          <w:tcPr>
            <w:tcW w:w="2304" w:type="dxa"/>
            <w:tcBorders>
              <w:top w:val="single" w:sz="4" w:space="0" w:color="auto"/>
              <w:left w:val="single" w:sz="4" w:space="0" w:color="auto"/>
              <w:bottom w:val="single" w:sz="4" w:space="0" w:color="auto"/>
              <w:right w:val="single" w:sz="4" w:space="0" w:color="auto"/>
            </w:tcBorders>
            <w:hideMark/>
          </w:tcPr>
          <w:p w14:paraId="22C25A9A"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lastRenderedPageBreak/>
              <w:t>A</w:t>
            </w:r>
          </w:p>
        </w:tc>
        <w:tc>
          <w:tcPr>
            <w:tcW w:w="2123" w:type="dxa"/>
            <w:tcBorders>
              <w:top w:val="single" w:sz="4" w:space="0" w:color="auto"/>
              <w:left w:val="single" w:sz="4" w:space="0" w:color="auto"/>
              <w:bottom w:val="single" w:sz="4" w:space="0" w:color="auto"/>
              <w:right w:val="single" w:sz="4" w:space="0" w:color="auto"/>
            </w:tcBorders>
            <w:hideMark/>
          </w:tcPr>
          <w:p w14:paraId="151A8D6E"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B</w:t>
            </w:r>
          </w:p>
        </w:tc>
        <w:tc>
          <w:tcPr>
            <w:tcW w:w="2260" w:type="dxa"/>
            <w:tcBorders>
              <w:top w:val="single" w:sz="4" w:space="0" w:color="auto"/>
              <w:left w:val="single" w:sz="4" w:space="0" w:color="auto"/>
              <w:bottom w:val="single" w:sz="4" w:space="0" w:color="auto"/>
              <w:right w:val="single" w:sz="4" w:space="0" w:color="auto"/>
            </w:tcBorders>
            <w:hideMark/>
          </w:tcPr>
          <w:p w14:paraId="36B07361"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C</w:t>
            </w:r>
          </w:p>
        </w:tc>
        <w:tc>
          <w:tcPr>
            <w:tcW w:w="2521" w:type="dxa"/>
            <w:tcBorders>
              <w:top w:val="single" w:sz="4" w:space="0" w:color="auto"/>
              <w:left w:val="single" w:sz="4" w:space="0" w:color="auto"/>
              <w:bottom w:val="single" w:sz="4" w:space="0" w:color="auto"/>
              <w:right w:val="single" w:sz="4" w:space="0" w:color="auto"/>
            </w:tcBorders>
            <w:hideMark/>
          </w:tcPr>
          <w:p w14:paraId="2A470F7B" w14:textId="77777777" w:rsidR="00F117F6" w:rsidRPr="00F117F6" w:rsidRDefault="00F117F6" w:rsidP="00F117F6">
            <w:pPr>
              <w:jc w:val="center"/>
              <w:rPr>
                <w:rFonts w:eastAsia="PMingLiU"/>
                <w:color w:val="000000"/>
                <w:sz w:val="28"/>
                <w:szCs w:val="28"/>
                <w:lang w:val="lv-LV"/>
              </w:rPr>
            </w:pPr>
            <w:r w:rsidRPr="00F117F6">
              <w:rPr>
                <w:rFonts w:eastAsia="PMingLiU"/>
                <w:color w:val="000000"/>
                <w:sz w:val="28"/>
                <w:szCs w:val="28"/>
                <w:lang w:val="lv-LV" w:eastAsia="ja-JP"/>
              </w:rPr>
              <w:t>D</w:t>
            </w:r>
          </w:p>
        </w:tc>
      </w:tr>
      <w:tr w:rsidR="00F117F6" w:rsidRPr="00F117F6" w14:paraId="46528B47" w14:textId="77777777" w:rsidTr="00255234">
        <w:tc>
          <w:tcPr>
            <w:tcW w:w="2304" w:type="dxa"/>
            <w:tcBorders>
              <w:top w:val="single" w:sz="4" w:space="0" w:color="auto"/>
              <w:left w:val="single" w:sz="4" w:space="0" w:color="auto"/>
              <w:bottom w:val="single" w:sz="4" w:space="0" w:color="auto"/>
              <w:right w:val="single" w:sz="4" w:space="0" w:color="auto"/>
            </w:tcBorders>
            <w:hideMark/>
          </w:tcPr>
          <w:p w14:paraId="6F0C8364"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 xml:space="preserve">Attiecīgā ES tiesību akta panta numurs (uzskaitot katru tiesību akta </w:t>
            </w:r>
            <w:r w:rsidRPr="00F117F6">
              <w:rPr>
                <w:rFonts w:eastAsia="PMingLiU"/>
                <w:color w:val="000000"/>
                <w:sz w:val="28"/>
                <w:szCs w:val="28"/>
                <w:lang w:val="lv-LV" w:eastAsia="ja-JP"/>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4E197603"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Projekta vienība, kas pārņem vai ievieš katru šīs tabulas A ailē minēto ES tiesību akta vienību, vai tiesību akts, kur attiecīgā ES tiesību akta vienība pārņemta vai ieviesta</w:t>
            </w:r>
          </w:p>
        </w:tc>
        <w:tc>
          <w:tcPr>
            <w:tcW w:w="2260" w:type="dxa"/>
            <w:tcBorders>
              <w:top w:val="single" w:sz="4" w:space="0" w:color="auto"/>
              <w:left w:val="single" w:sz="4" w:space="0" w:color="auto"/>
              <w:bottom w:val="single" w:sz="4" w:space="0" w:color="auto"/>
              <w:right w:val="single" w:sz="4" w:space="0" w:color="auto"/>
            </w:tcBorders>
            <w:hideMark/>
          </w:tcPr>
          <w:p w14:paraId="41D12409"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Informācija par to, vai šīs tabulas A ailē minētās ES tiesību akta vienības tiek pārņemtas vai ieviestas pilnībā vai daļēji.</w:t>
            </w:r>
          </w:p>
          <w:p w14:paraId="0F604A09"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Ja attiecīgā ES tiesību akta vienība tiek pārņemta vai ieviesta daļēji, – sniedz attiecīgu skaidrojumu, kā arī precīzi norāda, kad un kādā veidā ES tiesību akta vienība tiks pārņemta vai ieviesta pilnībā.</w:t>
            </w:r>
          </w:p>
          <w:p w14:paraId="7C04E9CC"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Norāda institūciju, kas ir atbildīga par šo saistību izpildi pilnībā</w:t>
            </w:r>
          </w:p>
        </w:tc>
        <w:tc>
          <w:tcPr>
            <w:tcW w:w="2521" w:type="dxa"/>
            <w:tcBorders>
              <w:top w:val="single" w:sz="4" w:space="0" w:color="auto"/>
              <w:left w:val="single" w:sz="4" w:space="0" w:color="auto"/>
              <w:bottom w:val="single" w:sz="4" w:space="0" w:color="auto"/>
              <w:right w:val="single" w:sz="4" w:space="0" w:color="auto"/>
            </w:tcBorders>
            <w:hideMark/>
          </w:tcPr>
          <w:p w14:paraId="638A2F98"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Informācija par to, vai šīs tabulas B ailē minētās projekta vienības paredz stingrākas prasības nekā šīs tabulas A ailē minētās ES tiesību akta vienības.</w:t>
            </w:r>
          </w:p>
          <w:p w14:paraId="4750B70E"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Ja projekts satur stingrākas prasības nekā attiecīgais ES tiesību akts, – norāda pamatojumu un samērīgumu.</w:t>
            </w:r>
          </w:p>
          <w:p w14:paraId="7E8B6FF2"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Norāda iespējamās alternatīvas (t.sk. alternatīvas, kas neparedz tiesiskā regulējuma izstrādi) – kādos gadījumos būtu iespējams izvairīties no stingrāku prasību noteikšanas, nekā paredzēts attiecīgajos ES tiesību aktos</w:t>
            </w:r>
          </w:p>
        </w:tc>
      </w:tr>
      <w:tr w:rsidR="00F117F6" w:rsidRPr="00F117F6" w14:paraId="4AB36FEE" w14:textId="77777777" w:rsidTr="00255234">
        <w:tc>
          <w:tcPr>
            <w:tcW w:w="2304" w:type="dxa"/>
            <w:tcBorders>
              <w:top w:val="single" w:sz="4" w:space="0" w:color="auto"/>
              <w:left w:val="single" w:sz="4" w:space="0" w:color="auto"/>
              <w:bottom w:val="single" w:sz="4" w:space="0" w:color="auto"/>
              <w:right w:val="single" w:sz="4" w:space="0" w:color="auto"/>
            </w:tcBorders>
          </w:tcPr>
          <w:p w14:paraId="67B60014" w14:textId="77777777" w:rsidR="00F117F6" w:rsidRPr="00F117F6" w:rsidRDefault="00F117F6" w:rsidP="00F117F6">
            <w:pPr>
              <w:rPr>
                <w:rFonts w:eastAsia="PMingLiU"/>
                <w:i/>
                <w:color w:val="000000"/>
                <w:sz w:val="28"/>
                <w:szCs w:val="28"/>
                <w:lang w:val="lv-LV" w:eastAsia="ja-JP"/>
              </w:rPr>
            </w:pPr>
            <w:r w:rsidRPr="00F117F6">
              <w:rPr>
                <w:rFonts w:eastAsia="PMingLiU"/>
                <w:i/>
                <w:color w:val="000000"/>
                <w:sz w:val="28"/>
                <w:szCs w:val="28"/>
                <w:lang w:val="lv-LV" w:eastAsia="ja-JP"/>
              </w:rPr>
              <w:t>Regulas Nr.651/2014 14.panta 16. un 17. punkts</w:t>
            </w:r>
          </w:p>
        </w:tc>
        <w:tc>
          <w:tcPr>
            <w:tcW w:w="2123" w:type="dxa"/>
            <w:tcBorders>
              <w:top w:val="single" w:sz="4" w:space="0" w:color="auto"/>
              <w:left w:val="single" w:sz="4" w:space="0" w:color="auto"/>
              <w:bottom w:val="single" w:sz="4" w:space="0" w:color="auto"/>
              <w:right w:val="single" w:sz="4" w:space="0" w:color="auto"/>
            </w:tcBorders>
          </w:tcPr>
          <w:p w14:paraId="4C2DDE93" w14:textId="0F3EA392" w:rsidR="00F117F6" w:rsidRPr="00F117F6" w:rsidRDefault="00F117F6" w:rsidP="00F117F6">
            <w:pPr>
              <w:jc w:val="center"/>
              <w:rPr>
                <w:rFonts w:eastAsia="PMingLiU"/>
                <w:i/>
                <w:iCs/>
                <w:color w:val="000000"/>
                <w:sz w:val="28"/>
                <w:szCs w:val="28"/>
                <w:lang w:val="lv-LV"/>
              </w:rPr>
            </w:pPr>
            <w:r w:rsidRPr="003F45F7">
              <w:rPr>
                <w:rFonts w:eastAsia="PMingLiU"/>
                <w:i/>
                <w:color w:val="000000"/>
                <w:sz w:val="28"/>
                <w:szCs w:val="28"/>
                <w:lang w:val="lv-LV" w:eastAsia="ja-JP"/>
              </w:rPr>
              <w:t>Noteikumu projekta 36</w:t>
            </w:r>
            <w:r w:rsidRPr="00F117F6">
              <w:rPr>
                <w:rFonts w:eastAsia="PMingLiU"/>
                <w:i/>
                <w:color w:val="000000"/>
                <w:sz w:val="28"/>
                <w:szCs w:val="28"/>
                <w:lang w:val="lv-LV" w:eastAsia="ja-JP"/>
              </w:rPr>
              <w:t>. punkts.</w:t>
            </w:r>
          </w:p>
        </w:tc>
        <w:tc>
          <w:tcPr>
            <w:tcW w:w="2260" w:type="dxa"/>
            <w:tcBorders>
              <w:top w:val="single" w:sz="4" w:space="0" w:color="auto"/>
              <w:left w:val="single" w:sz="4" w:space="0" w:color="auto"/>
              <w:bottom w:val="single" w:sz="4" w:space="0" w:color="auto"/>
              <w:right w:val="single" w:sz="4" w:space="0" w:color="auto"/>
            </w:tcBorders>
          </w:tcPr>
          <w:p w14:paraId="16C0890B" w14:textId="77777777" w:rsidR="00F117F6" w:rsidRPr="00F117F6" w:rsidRDefault="00F117F6" w:rsidP="00F117F6">
            <w:pPr>
              <w:jc w:val="center"/>
              <w:rPr>
                <w:rFonts w:eastAsia="PMingLiU"/>
                <w:i/>
                <w:iCs/>
                <w:color w:val="000000"/>
                <w:sz w:val="28"/>
                <w:szCs w:val="28"/>
                <w:lang w:val="lv-LV" w:eastAsia="ja-JP"/>
              </w:rPr>
            </w:pPr>
            <w:r w:rsidRPr="00F117F6">
              <w:rPr>
                <w:rFonts w:eastAsia="PMingLiU"/>
                <w:i/>
                <w:color w:val="000000"/>
                <w:sz w:val="28"/>
                <w:szCs w:val="28"/>
                <w:lang w:val="lv-LV" w:eastAsia="ja-JP"/>
              </w:rPr>
              <w:t>Ieviests pilnībā.</w:t>
            </w:r>
          </w:p>
        </w:tc>
        <w:tc>
          <w:tcPr>
            <w:tcW w:w="2521" w:type="dxa"/>
            <w:tcBorders>
              <w:top w:val="single" w:sz="4" w:space="0" w:color="auto"/>
              <w:left w:val="single" w:sz="4" w:space="0" w:color="auto"/>
              <w:bottom w:val="single" w:sz="4" w:space="0" w:color="auto"/>
              <w:right w:val="single" w:sz="4" w:space="0" w:color="auto"/>
            </w:tcBorders>
          </w:tcPr>
          <w:p w14:paraId="73562417" w14:textId="6FF8AAEF" w:rsidR="00F117F6" w:rsidRPr="00F117F6" w:rsidRDefault="00F117F6" w:rsidP="00F117F6">
            <w:pPr>
              <w:jc w:val="center"/>
              <w:rPr>
                <w:rFonts w:eastAsia="PMingLiU"/>
                <w:i/>
                <w:iCs/>
                <w:color w:val="000000"/>
                <w:sz w:val="28"/>
                <w:szCs w:val="28"/>
                <w:lang w:val="lv-LV" w:eastAsia="ja-JP"/>
              </w:rPr>
            </w:pPr>
            <w:r w:rsidRPr="00F117F6">
              <w:rPr>
                <w:rFonts w:eastAsia="PMingLiU"/>
                <w:i/>
                <w:color w:val="000000"/>
                <w:sz w:val="28"/>
                <w:szCs w:val="28"/>
                <w:lang w:val="lv-LV" w:eastAsia="ja-JP"/>
              </w:rPr>
              <w:t xml:space="preserve">Neparedz stingrākas prasības </w:t>
            </w:r>
          </w:p>
        </w:tc>
      </w:tr>
      <w:tr w:rsidR="00F117F6" w:rsidRPr="00F117F6" w14:paraId="3E907504" w14:textId="77777777" w:rsidTr="00255234">
        <w:tc>
          <w:tcPr>
            <w:tcW w:w="2304" w:type="dxa"/>
            <w:tcBorders>
              <w:top w:val="single" w:sz="4" w:space="0" w:color="auto"/>
              <w:left w:val="single" w:sz="4" w:space="0" w:color="auto"/>
              <w:bottom w:val="single" w:sz="4" w:space="0" w:color="auto"/>
              <w:right w:val="single" w:sz="4" w:space="0" w:color="auto"/>
            </w:tcBorders>
          </w:tcPr>
          <w:p w14:paraId="60D9D4C0" w14:textId="77777777" w:rsidR="00F117F6" w:rsidRPr="00F117F6" w:rsidRDefault="00F117F6" w:rsidP="00F117F6">
            <w:pPr>
              <w:rPr>
                <w:rFonts w:eastAsia="PMingLiU"/>
                <w:i/>
                <w:color w:val="000000"/>
                <w:sz w:val="28"/>
                <w:szCs w:val="28"/>
                <w:lang w:val="lv-LV" w:eastAsia="ja-JP"/>
              </w:rPr>
            </w:pPr>
            <w:r w:rsidRPr="00F117F6">
              <w:rPr>
                <w:rFonts w:eastAsia="PMingLiU"/>
                <w:i/>
                <w:color w:val="000000"/>
                <w:sz w:val="28"/>
                <w:szCs w:val="28"/>
                <w:lang w:val="lv-LV" w:eastAsia="ja-JP"/>
              </w:rPr>
              <w:t>Regulas Nr.651/2014 2.panta 61.punkta “a” apakšpunkts</w:t>
            </w:r>
          </w:p>
        </w:tc>
        <w:tc>
          <w:tcPr>
            <w:tcW w:w="2123" w:type="dxa"/>
            <w:tcBorders>
              <w:top w:val="single" w:sz="4" w:space="0" w:color="auto"/>
              <w:left w:val="single" w:sz="4" w:space="0" w:color="auto"/>
              <w:bottom w:val="single" w:sz="4" w:space="0" w:color="auto"/>
              <w:right w:val="single" w:sz="4" w:space="0" w:color="auto"/>
            </w:tcBorders>
          </w:tcPr>
          <w:p w14:paraId="1FC3BB0B" w14:textId="3AE35FEC" w:rsidR="00F117F6" w:rsidRPr="00F117F6" w:rsidRDefault="00F117F6" w:rsidP="00F117F6">
            <w:pPr>
              <w:jc w:val="center"/>
              <w:rPr>
                <w:rFonts w:eastAsia="PMingLiU"/>
                <w:i/>
                <w:color w:val="000000"/>
                <w:sz w:val="28"/>
                <w:szCs w:val="28"/>
                <w:lang w:val="lv-LV" w:eastAsia="ja-JP"/>
              </w:rPr>
            </w:pPr>
            <w:r w:rsidRPr="00F117F6">
              <w:rPr>
                <w:rFonts w:eastAsia="PMingLiU"/>
                <w:i/>
                <w:color w:val="000000"/>
                <w:sz w:val="28"/>
                <w:szCs w:val="28"/>
                <w:lang w:val="lv-LV" w:eastAsia="ja-JP"/>
              </w:rPr>
              <w:t>Noteikumu</w:t>
            </w:r>
            <w:r w:rsidRPr="003F45F7">
              <w:rPr>
                <w:rFonts w:eastAsia="PMingLiU"/>
                <w:i/>
                <w:color w:val="000000"/>
                <w:sz w:val="28"/>
                <w:szCs w:val="28"/>
                <w:lang w:val="lv-LV" w:eastAsia="ja-JP"/>
              </w:rPr>
              <w:t xml:space="preserve"> projekta 36</w:t>
            </w:r>
            <w:r w:rsidRPr="00F117F6">
              <w:rPr>
                <w:rFonts w:eastAsia="PMingLiU"/>
                <w:i/>
                <w:color w:val="000000"/>
                <w:sz w:val="28"/>
                <w:szCs w:val="28"/>
                <w:lang w:val="lv-LV" w:eastAsia="ja-JP"/>
              </w:rPr>
              <w:t>. punkts.</w:t>
            </w:r>
          </w:p>
        </w:tc>
        <w:tc>
          <w:tcPr>
            <w:tcW w:w="2260" w:type="dxa"/>
            <w:tcBorders>
              <w:top w:val="single" w:sz="4" w:space="0" w:color="auto"/>
              <w:left w:val="single" w:sz="4" w:space="0" w:color="auto"/>
              <w:bottom w:val="single" w:sz="4" w:space="0" w:color="auto"/>
              <w:right w:val="single" w:sz="4" w:space="0" w:color="auto"/>
            </w:tcBorders>
          </w:tcPr>
          <w:p w14:paraId="32EB610D" w14:textId="77777777" w:rsidR="00F117F6" w:rsidRPr="00F117F6" w:rsidRDefault="00F117F6" w:rsidP="00F117F6">
            <w:pPr>
              <w:jc w:val="center"/>
              <w:rPr>
                <w:rFonts w:eastAsia="PMingLiU"/>
                <w:i/>
                <w:color w:val="000000"/>
                <w:sz w:val="28"/>
                <w:szCs w:val="28"/>
                <w:lang w:val="lv-LV" w:eastAsia="ja-JP"/>
              </w:rPr>
            </w:pPr>
            <w:r w:rsidRPr="00F117F6">
              <w:rPr>
                <w:rFonts w:eastAsia="PMingLiU"/>
                <w:i/>
                <w:color w:val="000000"/>
                <w:sz w:val="28"/>
                <w:szCs w:val="28"/>
                <w:lang w:val="lv-LV" w:eastAsia="ja-JP"/>
              </w:rPr>
              <w:t>Ieviests pilnībā.</w:t>
            </w:r>
          </w:p>
        </w:tc>
        <w:tc>
          <w:tcPr>
            <w:tcW w:w="2521" w:type="dxa"/>
            <w:tcBorders>
              <w:top w:val="single" w:sz="4" w:space="0" w:color="auto"/>
              <w:left w:val="single" w:sz="4" w:space="0" w:color="auto"/>
              <w:bottom w:val="single" w:sz="4" w:space="0" w:color="auto"/>
              <w:right w:val="single" w:sz="4" w:space="0" w:color="auto"/>
            </w:tcBorders>
          </w:tcPr>
          <w:p w14:paraId="0AF6F137" w14:textId="2C7AEB9A" w:rsidR="00F117F6" w:rsidRPr="00F117F6" w:rsidRDefault="00F117F6" w:rsidP="00F117F6">
            <w:pPr>
              <w:jc w:val="center"/>
              <w:rPr>
                <w:rFonts w:eastAsia="PMingLiU"/>
                <w:i/>
                <w:color w:val="000000"/>
                <w:sz w:val="28"/>
                <w:szCs w:val="28"/>
                <w:lang w:val="lv-LV" w:eastAsia="ja-JP"/>
              </w:rPr>
            </w:pPr>
            <w:r w:rsidRPr="00F117F6">
              <w:rPr>
                <w:rFonts w:eastAsia="PMingLiU"/>
                <w:i/>
                <w:color w:val="000000"/>
                <w:sz w:val="28"/>
                <w:szCs w:val="28"/>
                <w:lang w:val="lv-LV" w:eastAsia="ja-JP"/>
              </w:rPr>
              <w:t xml:space="preserve">Neparedz stingrākas prasības </w:t>
            </w:r>
          </w:p>
        </w:tc>
      </w:tr>
      <w:tr w:rsidR="00F117F6" w:rsidRPr="00F117F6" w14:paraId="08AAA257" w14:textId="77777777" w:rsidTr="00255234">
        <w:tc>
          <w:tcPr>
            <w:tcW w:w="4427" w:type="dxa"/>
            <w:gridSpan w:val="2"/>
            <w:tcBorders>
              <w:top w:val="single" w:sz="4" w:space="0" w:color="auto"/>
              <w:left w:val="single" w:sz="4" w:space="0" w:color="auto"/>
              <w:bottom w:val="single" w:sz="4" w:space="0" w:color="auto"/>
              <w:right w:val="single" w:sz="4" w:space="0" w:color="auto"/>
            </w:tcBorders>
            <w:hideMark/>
          </w:tcPr>
          <w:p w14:paraId="46E5F079" w14:textId="77777777" w:rsidR="00F117F6" w:rsidRPr="00F117F6" w:rsidRDefault="00F117F6" w:rsidP="00F117F6">
            <w:pPr>
              <w:rPr>
                <w:rFonts w:eastAsia="PMingLiU"/>
                <w:color w:val="000000"/>
                <w:sz w:val="28"/>
                <w:szCs w:val="28"/>
                <w:lang w:val="lv-LV" w:eastAsia="ja-JP"/>
              </w:rPr>
            </w:pPr>
            <w:r w:rsidRPr="00F117F6">
              <w:rPr>
                <w:rFonts w:eastAsia="PMingLiU"/>
                <w:color w:val="000000"/>
                <w:sz w:val="28"/>
                <w:szCs w:val="28"/>
                <w:lang w:val="lv-LV" w:eastAsia="ja-JP"/>
              </w:rPr>
              <w:t>Kā ir izmantota ES tiesību aktā paredzētā rīcības brīvība dalībvalstij pārņemt vai ieviest noteiktas ES tiesību akta normas? Kādēļ?</w:t>
            </w:r>
          </w:p>
        </w:tc>
        <w:tc>
          <w:tcPr>
            <w:tcW w:w="4781" w:type="dxa"/>
            <w:gridSpan w:val="2"/>
            <w:tcBorders>
              <w:top w:val="single" w:sz="4" w:space="0" w:color="auto"/>
              <w:left w:val="single" w:sz="4" w:space="0" w:color="auto"/>
              <w:bottom w:val="single" w:sz="4" w:space="0" w:color="auto"/>
              <w:right w:val="single" w:sz="4" w:space="0" w:color="auto"/>
            </w:tcBorders>
            <w:hideMark/>
          </w:tcPr>
          <w:p w14:paraId="7E471983" w14:textId="77777777" w:rsidR="00F117F6" w:rsidRPr="00F117F6" w:rsidRDefault="00F117F6" w:rsidP="00F117F6">
            <w:pPr>
              <w:rPr>
                <w:rFonts w:eastAsia="PMingLiU"/>
                <w:color w:val="000000"/>
                <w:sz w:val="28"/>
                <w:szCs w:val="28"/>
                <w:lang w:val="lv-LV"/>
              </w:rPr>
            </w:pPr>
            <w:r w:rsidRPr="00F117F6">
              <w:rPr>
                <w:rFonts w:eastAsia="PMingLiU"/>
                <w:iCs/>
                <w:color w:val="000000"/>
                <w:sz w:val="28"/>
                <w:szCs w:val="28"/>
                <w:lang w:val="lv-LV" w:eastAsia="ja-JP"/>
              </w:rPr>
              <w:t>Noteikumu projekts šo jomu neskar.</w:t>
            </w:r>
          </w:p>
        </w:tc>
      </w:tr>
      <w:tr w:rsidR="00F117F6" w:rsidRPr="00F117F6" w14:paraId="65CDB1FD" w14:textId="77777777" w:rsidTr="00255234">
        <w:tc>
          <w:tcPr>
            <w:tcW w:w="4427" w:type="dxa"/>
            <w:gridSpan w:val="2"/>
            <w:tcBorders>
              <w:top w:val="single" w:sz="4" w:space="0" w:color="auto"/>
              <w:left w:val="single" w:sz="4" w:space="0" w:color="auto"/>
              <w:bottom w:val="single" w:sz="4" w:space="0" w:color="auto"/>
              <w:right w:val="single" w:sz="4" w:space="0" w:color="auto"/>
            </w:tcBorders>
            <w:hideMark/>
          </w:tcPr>
          <w:p w14:paraId="15229EE0" w14:textId="77777777" w:rsidR="00F117F6" w:rsidRPr="00F117F6" w:rsidRDefault="00F117F6" w:rsidP="00F117F6">
            <w:pPr>
              <w:rPr>
                <w:rFonts w:eastAsia="PMingLiU"/>
                <w:i/>
                <w:color w:val="000000"/>
                <w:sz w:val="28"/>
                <w:szCs w:val="28"/>
                <w:lang w:val="lv-LV"/>
              </w:rPr>
            </w:pPr>
            <w:r w:rsidRPr="00F117F6">
              <w:rPr>
                <w:rFonts w:eastAsia="PMingLiU"/>
                <w:color w:val="000000"/>
                <w:sz w:val="28"/>
                <w:szCs w:val="28"/>
                <w:lang w:val="lv-LV" w:eastAsia="ja-JP"/>
              </w:rPr>
              <w:t xml:space="preserve">Saistības sniegt paziņojumu ES institūcijām un ES dalībvalstīm atbilstoši normatīvajiem aktiem, kas </w:t>
            </w:r>
            <w:r w:rsidRPr="00F117F6">
              <w:rPr>
                <w:rFonts w:eastAsia="PMingLiU"/>
                <w:color w:val="000000"/>
                <w:sz w:val="28"/>
                <w:szCs w:val="28"/>
                <w:lang w:val="lv-LV" w:eastAsia="ja-JP"/>
              </w:rPr>
              <w:lastRenderedPageBreak/>
              <w:t>regulē informācijas sniegšanu par tehnisko noteikumu, valsts atbalsta piešķiršanas un finanšu noteikumu (attiecībā uz monetāro politiku) projektiem</w:t>
            </w:r>
          </w:p>
        </w:tc>
        <w:tc>
          <w:tcPr>
            <w:tcW w:w="4781" w:type="dxa"/>
            <w:gridSpan w:val="2"/>
            <w:tcBorders>
              <w:top w:val="single" w:sz="4" w:space="0" w:color="auto"/>
              <w:left w:val="single" w:sz="4" w:space="0" w:color="auto"/>
              <w:bottom w:val="single" w:sz="4" w:space="0" w:color="auto"/>
              <w:right w:val="single" w:sz="4" w:space="0" w:color="auto"/>
            </w:tcBorders>
            <w:hideMark/>
          </w:tcPr>
          <w:p w14:paraId="6C35C4D9" w14:textId="77777777" w:rsidR="00F117F6" w:rsidRPr="00F117F6" w:rsidRDefault="00F117F6" w:rsidP="00F117F6">
            <w:pPr>
              <w:jc w:val="both"/>
              <w:rPr>
                <w:rFonts w:eastAsia="PMingLiU"/>
                <w:color w:val="000000"/>
                <w:sz w:val="28"/>
                <w:szCs w:val="28"/>
                <w:lang w:val="lv-LV"/>
              </w:rPr>
            </w:pPr>
            <w:r w:rsidRPr="00F117F6">
              <w:rPr>
                <w:rFonts w:eastAsia="PMingLiU"/>
                <w:iCs/>
                <w:color w:val="000000"/>
                <w:sz w:val="28"/>
                <w:szCs w:val="28"/>
                <w:lang w:val="lv-LV" w:eastAsia="ja-JP"/>
              </w:rPr>
              <w:lastRenderedPageBreak/>
              <w:t>Noteikumu projekts šo jomu neskar.</w:t>
            </w:r>
          </w:p>
        </w:tc>
      </w:tr>
      <w:tr w:rsidR="00F117F6" w:rsidRPr="00F117F6" w14:paraId="326CD79C" w14:textId="77777777" w:rsidTr="00255234">
        <w:tc>
          <w:tcPr>
            <w:tcW w:w="4427" w:type="dxa"/>
            <w:gridSpan w:val="2"/>
            <w:tcBorders>
              <w:top w:val="single" w:sz="4" w:space="0" w:color="auto"/>
              <w:left w:val="single" w:sz="4" w:space="0" w:color="auto"/>
              <w:bottom w:val="single" w:sz="4" w:space="0" w:color="auto"/>
              <w:right w:val="single" w:sz="4" w:space="0" w:color="auto"/>
            </w:tcBorders>
            <w:hideMark/>
          </w:tcPr>
          <w:p w14:paraId="1F322C2D" w14:textId="77777777" w:rsidR="00F117F6" w:rsidRPr="00F117F6" w:rsidRDefault="00F117F6" w:rsidP="00F117F6">
            <w:pPr>
              <w:rPr>
                <w:rFonts w:eastAsia="Times New Roman"/>
                <w:i/>
                <w:color w:val="000000"/>
                <w:sz w:val="28"/>
                <w:szCs w:val="28"/>
                <w:lang w:val="lv-LV"/>
              </w:rPr>
            </w:pPr>
            <w:r w:rsidRPr="00F117F6">
              <w:rPr>
                <w:rFonts w:eastAsia="Times New Roman"/>
                <w:color w:val="000000"/>
                <w:sz w:val="28"/>
                <w:szCs w:val="28"/>
                <w:lang w:val="lv-LV"/>
              </w:rPr>
              <w:t>Cita informācija</w:t>
            </w:r>
          </w:p>
        </w:tc>
        <w:tc>
          <w:tcPr>
            <w:tcW w:w="4781" w:type="dxa"/>
            <w:gridSpan w:val="2"/>
            <w:tcBorders>
              <w:top w:val="single" w:sz="4" w:space="0" w:color="auto"/>
              <w:left w:val="single" w:sz="4" w:space="0" w:color="auto"/>
              <w:bottom w:val="single" w:sz="4" w:space="0" w:color="auto"/>
              <w:right w:val="single" w:sz="4" w:space="0" w:color="auto"/>
            </w:tcBorders>
            <w:hideMark/>
          </w:tcPr>
          <w:p w14:paraId="62D57816" w14:textId="77777777" w:rsidR="00F117F6" w:rsidRPr="00F117F6" w:rsidRDefault="00F117F6" w:rsidP="00F117F6">
            <w:pPr>
              <w:rPr>
                <w:rFonts w:eastAsia="PMingLiU"/>
                <w:color w:val="000000"/>
                <w:sz w:val="28"/>
                <w:szCs w:val="28"/>
                <w:lang w:val="lv-LV"/>
              </w:rPr>
            </w:pPr>
            <w:r w:rsidRPr="00F117F6">
              <w:rPr>
                <w:rFonts w:eastAsia="PMingLiU"/>
                <w:color w:val="000000"/>
                <w:sz w:val="28"/>
                <w:szCs w:val="28"/>
                <w:lang w:val="lv-LV" w:eastAsia="ja-JP"/>
              </w:rPr>
              <w:t>Nav.</w:t>
            </w:r>
          </w:p>
        </w:tc>
      </w:tr>
    </w:tbl>
    <w:p w14:paraId="68253D41" w14:textId="77777777" w:rsidR="00C64334" w:rsidRPr="00C64334" w:rsidRDefault="00C64334" w:rsidP="00C64334">
      <w:pPr>
        <w:jc w:val="center"/>
        <w:rPr>
          <w:rFonts w:eastAsia="PMingLiU"/>
          <w:sz w:val="24"/>
          <w:szCs w:val="24"/>
          <w:lang w:val="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C64334" w:rsidRPr="00822B60" w14:paraId="74D9D8C4" w14:textId="77777777" w:rsidTr="002E7B7E">
        <w:tc>
          <w:tcPr>
            <w:tcW w:w="9208" w:type="dxa"/>
            <w:gridSpan w:val="3"/>
            <w:tcBorders>
              <w:top w:val="single" w:sz="4" w:space="0" w:color="auto"/>
              <w:left w:val="single" w:sz="4" w:space="0" w:color="auto"/>
              <w:bottom w:val="single" w:sz="4" w:space="0" w:color="auto"/>
              <w:right w:val="single" w:sz="4" w:space="0" w:color="auto"/>
            </w:tcBorders>
            <w:hideMark/>
          </w:tcPr>
          <w:p w14:paraId="77ABD1C2" w14:textId="77777777" w:rsidR="00C64334" w:rsidRPr="00822B60" w:rsidRDefault="00C64334" w:rsidP="00C64334">
            <w:pPr>
              <w:jc w:val="center"/>
              <w:rPr>
                <w:rFonts w:eastAsia="Times New Roman"/>
                <w:b/>
                <w:color w:val="000000"/>
                <w:sz w:val="28"/>
                <w:szCs w:val="28"/>
                <w:lang w:val="lv-LV"/>
              </w:rPr>
            </w:pPr>
            <w:r w:rsidRPr="00822B60">
              <w:rPr>
                <w:rFonts w:eastAsia="Times New Roman"/>
                <w:b/>
                <w:color w:val="000000"/>
                <w:sz w:val="28"/>
                <w:szCs w:val="28"/>
                <w:lang w:val="lv-LV"/>
              </w:rPr>
              <w:t>2.tabula. Ar tiesību akta projektu uzņemtās saistības, kas izriet no starptautiskajiem tiesību aktiem vai starptautiskas institūcijas vai organizācijas dokumentiem</w:t>
            </w:r>
          </w:p>
          <w:p w14:paraId="159AF5F1" w14:textId="77777777" w:rsidR="00C64334" w:rsidRPr="00822B60" w:rsidRDefault="00C64334" w:rsidP="00C64334">
            <w:pPr>
              <w:jc w:val="center"/>
              <w:rPr>
                <w:rFonts w:eastAsia="PMingLiU"/>
                <w:color w:val="000000"/>
                <w:sz w:val="28"/>
                <w:szCs w:val="28"/>
                <w:lang w:val="lv-LV"/>
              </w:rPr>
            </w:pPr>
            <w:r w:rsidRPr="00822B60">
              <w:rPr>
                <w:rFonts w:eastAsia="PMingLiU"/>
                <w:b/>
                <w:color w:val="000000"/>
                <w:sz w:val="28"/>
                <w:szCs w:val="28"/>
                <w:lang w:val="lv-LV" w:eastAsia="ja-JP"/>
              </w:rPr>
              <w:t>Pasākumi šo saistību izpildei</w:t>
            </w:r>
          </w:p>
        </w:tc>
      </w:tr>
      <w:tr w:rsidR="00C64334" w:rsidRPr="00822B60" w14:paraId="631CFFFC"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645DDC93"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14:paraId="7FE3D987" w14:textId="77777777" w:rsidR="00C64334" w:rsidRPr="00822B60" w:rsidRDefault="00C64334" w:rsidP="00C64334">
            <w:pPr>
              <w:tabs>
                <w:tab w:val="left" w:pos="325"/>
              </w:tabs>
              <w:rPr>
                <w:rFonts w:eastAsia="PMingLiU"/>
                <w:i/>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3439FC8A"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6A954EC5"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A</w:t>
            </w:r>
          </w:p>
        </w:tc>
        <w:tc>
          <w:tcPr>
            <w:tcW w:w="2564" w:type="dxa"/>
            <w:tcBorders>
              <w:top w:val="single" w:sz="4" w:space="0" w:color="auto"/>
              <w:left w:val="single" w:sz="4" w:space="0" w:color="auto"/>
              <w:bottom w:val="single" w:sz="4" w:space="0" w:color="auto"/>
              <w:right w:val="single" w:sz="4" w:space="0" w:color="auto"/>
            </w:tcBorders>
            <w:hideMark/>
          </w:tcPr>
          <w:p w14:paraId="7CFBCECD"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B</w:t>
            </w:r>
          </w:p>
        </w:tc>
        <w:tc>
          <w:tcPr>
            <w:tcW w:w="3260" w:type="dxa"/>
            <w:tcBorders>
              <w:top w:val="single" w:sz="4" w:space="0" w:color="auto"/>
              <w:left w:val="single" w:sz="4" w:space="0" w:color="auto"/>
              <w:bottom w:val="single" w:sz="4" w:space="0" w:color="auto"/>
              <w:right w:val="single" w:sz="4" w:space="0" w:color="auto"/>
            </w:tcBorders>
            <w:hideMark/>
          </w:tcPr>
          <w:p w14:paraId="63399C9C" w14:textId="77777777" w:rsidR="00C64334" w:rsidRPr="00822B60" w:rsidRDefault="00C64334" w:rsidP="00C64334">
            <w:pPr>
              <w:jc w:val="center"/>
              <w:rPr>
                <w:rFonts w:eastAsia="PMingLiU"/>
                <w:color w:val="000000"/>
                <w:sz w:val="28"/>
                <w:szCs w:val="28"/>
                <w:lang w:val="lv-LV"/>
              </w:rPr>
            </w:pPr>
            <w:r w:rsidRPr="00822B60">
              <w:rPr>
                <w:rFonts w:eastAsia="PMingLiU"/>
                <w:color w:val="000000"/>
                <w:sz w:val="28"/>
                <w:szCs w:val="28"/>
                <w:lang w:val="lv-LV" w:eastAsia="ja-JP"/>
              </w:rPr>
              <w:t>C</w:t>
            </w:r>
          </w:p>
        </w:tc>
      </w:tr>
      <w:tr w:rsidR="00C64334" w:rsidRPr="00822B60" w14:paraId="74C536D4"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2F9A1B3E"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Starptautiskās saistības (pēc būtības), kas izriet no norādītā starptautiskā dokumenta.</w:t>
            </w:r>
          </w:p>
          <w:p w14:paraId="4613DC96"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03022FC7"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14:paraId="05EF8B23"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Informācija par to, vai starptautiskās saistības, kas minētas šīs tabulas A ailē, tiek izpildītas pilnībā vai daļēji.</w:t>
            </w:r>
          </w:p>
          <w:p w14:paraId="51B966C7" w14:textId="77777777" w:rsidR="00C64334" w:rsidRPr="00822B60" w:rsidRDefault="00C64334" w:rsidP="00C64334">
            <w:pPr>
              <w:rPr>
                <w:rFonts w:eastAsia="PMingLiU"/>
                <w:color w:val="000000"/>
                <w:sz w:val="28"/>
                <w:szCs w:val="28"/>
                <w:lang w:val="lv-LV" w:eastAsia="ja-JP"/>
              </w:rPr>
            </w:pPr>
            <w:r w:rsidRPr="00822B60">
              <w:rPr>
                <w:rFonts w:eastAsia="PMingLiU"/>
                <w:color w:val="000000"/>
                <w:sz w:val="28"/>
                <w:szCs w:val="28"/>
                <w:lang w:val="lv-LV" w:eastAsia="ja-JP"/>
              </w:rPr>
              <w:t>Ja attiecīgās starptautiskās saistības tiek izpildītas daļēji, sniedz attiecīgu skaidrojumu, kā arī precīzi norāda, kad un kādā veidā starptautiskās saistības tiks izpildītas pilnībā.</w:t>
            </w:r>
          </w:p>
          <w:p w14:paraId="50A8BF71"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Norāda institūciju, kas ir atbildīga par šo saistību izpildi pilnībā</w:t>
            </w:r>
          </w:p>
        </w:tc>
      </w:tr>
      <w:tr w:rsidR="00C64334" w:rsidRPr="00822B60" w14:paraId="6030B3B6"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4CD5489E"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2D4FBAEE"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14:paraId="66C2F4A8" w14:textId="77777777" w:rsidR="00C64334" w:rsidRPr="00822B60" w:rsidRDefault="00C64334" w:rsidP="00C64334">
            <w:pPr>
              <w:rPr>
                <w:rFonts w:eastAsia="PMingLiU"/>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0B98C1E3"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476B2F6C"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14:paraId="7607280F" w14:textId="77777777" w:rsidR="00C64334" w:rsidRPr="00822B60" w:rsidRDefault="00C64334" w:rsidP="00C64334">
            <w:pPr>
              <w:rPr>
                <w:rFonts w:eastAsia="PMingLiU"/>
                <w:i/>
                <w:color w:val="000000"/>
                <w:sz w:val="28"/>
                <w:szCs w:val="28"/>
                <w:lang w:val="lv-LV"/>
              </w:rPr>
            </w:pPr>
            <w:r w:rsidRPr="00822B60">
              <w:rPr>
                <w:rFonts w:eastAsia="PMingLiU"/>
                <w:iCs/>
                <w:color w:val="000000"/>
                <w:sz w:val="28"/>
                <w:szCs w:val="28"/>
                <w:lang w:val="lv-LV" w:eastAsia="ja-JP"/>
              </w:rPr>
              <w:t>Noteikumu projekts šo jomu neskar.</w:t>
            </w:r>
          </w:p>
        </w:tc>
      </w:tr>
      <w:tr w:rsidR="00C64334" w:rsidRPr="00822B60" w14:paraId="2D614E2E" w14:textId="77777777" w:rsidTr="002E7B7E">
        <w:tc>
          <w:tcPr>
            <w:tcW w:w="3384" w:type="dxa"/>
            <w:tcBorders>
              <w:top w:val="single" w:sz="4" w:space="0" w:color="auto"/>
              <w:left w:val="single" w:sz="4" w:space="0" w:color="auto"/>
              <w:bottom w:val="single" w:sz="4" w:space="0" w:color="auto"/>
              <w:right w:val="single" w:sz="4" w:space="0" w:color="auto"/>
            </w:tcBorders>
            <w:hideMark/>
          </w:tcPr>
          <w:p w14:paraId="7E52CD72"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14:paraId="49A08028" w14:textId="77777777" w:rsidR="00C64334" w:rsidRPr="00822B60" w:rsidRDefault="00C64334" w:rsidP="00C64334">
            <w:pPr>
              <w:rPr>
                <w:rFonts w:eastAsia="PMingLiU"/>
                <w:color w:val="000000"/>
                <w:sz w:val="28"/>
                <w:szCs w:val="28"/>
                <w:lang w:val="lv-LV"/>
              </w:rPr>
            </w:pPr>
            <w:r w:rsidRPr="00822B60">
              <w:rPr>
                <w:rFonts w:eastAsia="PMingLiU"/>
                <w:color w:val="000000"/>
                <w:sz w:val="28"/>
                <w:szCs w:val="28"/>
                <w:lang w:val="lv-LV" w:eastAsia="ja-JP"/>
              </w:rPr>
              <w:t>Nav.</w:t>
            </w:r>
          </w:p>
        </w:tc>
      </w:tr>
    </w:tbl>
    <w:p w14:paraId="090117C7" w14:textId="77777777" w:rsidR="00C64334" w:rsidRPr="00C64334" w:rsidRDefault="00C64334" w:rsidP="00C64334">
      <w:pPr>
        <w:rPr>
          <w:rFonts w:eastAsia="PMingLiU"/>
          <w:sz w:val="24"/>
          <w:szCs w:val="24"/>
          <w:lang w:val="lv-LV"/>
        </w:rPr>
      </w:pPr>
    </w:p>
    <w:tbl>
      <w:tblPr>
        <w:tblW w:w="9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0"/>
      </w:tblGrid>
      <w:tr w:rsidR="00C64334" w:rsidRPr="00822B60" w14:paraId="4FE091E1" w14:textId="77777777" w:rsidTr="00822B60">
        <w:trPr>
          <w:trHeight w:val="249"/>
        </w:trPr>
        <w:tc>
          <w:tcPr>
            <w:tcW w:w="9450" w:type="dxa"/>
            <w:vAlign w:val="center"/>
          </w:tcPr>
          <w:p w14:paraId="09F9D156" w14:textId="77777777" w:rsidR="00C64334" w:rsidRPr="00822B60" w:rsidRDefault="00C64334" w:rsidP="00C64334">
            <w:pPr>
              <w:ind w:left="57" w:right="57"/>
              <w:jc w:val="center"/>
              <w:rPr>
                <w:rFonts w:eastAsia="Times New Roman"/>
                <w:sz w:val="28"/>
                <w:szCs w:val="28"/>
                <w:lang w:val="lv-LV" w:eastAsia="lv-LV"/>
              </w:rPr>
            </w:pPr>
            <w:r w:rsidRPr="00822B60">
              <w:rPr>
                <w:rFonts w:eastAsia="Times New Roman"/>
                <w:b/>
                <w:sz w:val="28"/>
                <w:szCs w:val="28"/>
                <w:lang w:val="lv-LV" w:eastAsia="lv-LV"/>
              </w:rPr>
              <w:t>VI. Sabiedrības līdzdalība un komunikācijas aktivitātes</w:t>
            </w:r>
          </w:p>
        </w:tc>
      </w:tr>
      <w:tr w:rsidR="00822B60" w:rsidRPr="00822B60" w14:paraId="2363A066" w14:textId="77777777" w:rsidTr="00822B60">
        <w:trPr>
          <w:trHeight w:val="218"/>
        </w:trPr>
        <w:tc>
          <w:tcPr>
            <w:tcW w:w="9450" w:type="dxa"/>
          </w:tcPr>
          <w:p w14:paraId="6C76C4AA" w14:textId="00A4C78E" w:rsidR="00822B60" w:rsidRPr="00822B60" w:rsidRDefault="00822B60" w:rsidP="00822B60">
            <w:pPr>
              <w:ind w:left="57" w:right="57"/>
              <w:jc w:val="center"/>
              <w:rPr>
                <w:rFonts w:eastAsia="PMingLiU"/>
                <w:sz w:val="28"/>
                <w:szCs w:val="28"/>
                <w:lang w:val="lv-LV" w:eastAsia="ja-JP"/>
              </w:rPr>
            </w:pPr>
            <w:r>
              <w:rPr>
                <w:bCs/>
                <w:sz w:val="28"/>
                <w:szCs w:val="28"/>
              </w:rPr>
              <w:t>Noteikumu p</w:t>
            </w:r>
            <w:r w:rsidRPr="00822B60">
              <w:rPr>
                <w:bCs/>
                <w:sz w:val="28"/>
                <w:szCs w:val="28"/>
              </w:rPr>
              <w:t>rojekts šo jomu neskar.</w:t>
            </w:r>
            <w:bookmarkStart w:id="6" w:name="p61"/>
            <w:bookmarkEnd w:id="6"/>
          </w:p>
        </w:tc>
      </w:tr>
    </w:tbl>
    <w:p w14:paraId="7A376ED9" w14:textId="77777777" w:rsidR="00C64334" w:rsidRPr="00C64334" w:rsidRDefault="00C64334" w:rsidP="00C64334">
      <w:pPr>
        <w:jc w:val="both"/>
        <w:rPr>
          <w:rFonts w:eastAsia="PMingLiU"/>
          <w:sz w:val="24"/>
          <w:szCs w:val="24"/>
          <w:lang w:val="lv-LV" w:eastAsia="ja-JP"/>
        </w:rPr>
      </w:pPr>
    </w:p>
    <w:p w14:paraId="44AB9C1C" w14:textId="0E9263FE" w:rsidR="00844176" w:rsidRPr="003F45F7" w:rsidRDefault="00844176" w:rsidP="00844176">
      <w:pPr>
        <w:rPr>
          <w:rFonts w:eastAsia="Times New Roman"/>
          <w:sz w:val="28"/>
          <w:szCs w:val="28"/>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39"/>
        <w:gridCol w:w="6197"/>
      </w:tblGrid>
      <w:tr w:rsidR="00844176" w:rsidRPr="003F45F7" w14:paraId="79E751A3" w14:textId="77777777" w:rsidTr="00822B60">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0690BE75" w14:textId="77777777" w:rsidR="00844176" w:rsidRPr="003F45F7" w:rsidRDefault="00844176" w:rsidP="00A459E6">
            <w:pPr>
              <w:spacing w:before="100" w:beforeAutospacing="1" w:after="100" w:afterAutospacing="1"/>
              <w:ind w:firstLine="300"/>
              <w:jc w:val="center"/>
              <w:rPr>
                <w:rFonts w:eastAsia="Times New Roman"/>
                <w:sz w:val="28"/>
                <w:szCs w:val="28"/>
                <w:lang w:val="lv-LV" w:eastAsia="lv-LV"/>
              </w:rPr>
            </w:pPr>
            <w:r w:rsidRPr="003F45F7">
              <w:rPr>
                <w:rFonts w:eastAsia="Times New Roman"/>
                <w:b/>
                <w:bCs/>
                <w:color w:val="000000"/>
                <w:sz w:val="28"/>
                <w:szCs w:val="28"/>
                <w:lang w:val="lv-LV" w:eastAsia="lv-LV"/>
              </w:rPr>
              <w:t>VII. Tiesību akta projekta izpildes nodrošināšana un tās ietekme uz institūcijām</w:t>
            </w:r>
          </w:p>
        </w:tc>
      </w:tr>
      <w:tr w:rsidR="00844176" w:rsidRPr="003F45F7" w14:paraId="4E2367C7" w14:textId="77777777" w:rsidTr="00822B60">
        <w:trPr>
          <w:trHeight w:val="420"/>
        </w:trPr>
        <w:tc>
          <w:tcPr>
            <w:tcW w:w="270" w:type="dxa"/>
            <w:tcBorders>
              <w:top w:val="outset" w:sz="6" w:space="0" w:color="414142"/>
              <w:left w:val="outset" w:sz="6" w:space="0" w:color="414142"/>
              <w:bottom w:val="outset" w:sz="6" w:space="0" w:color="414142"/>
              <w:right w:val="outset" w:sz="6" w:space="0" w:color="414142"/>
            </w:tcBorders>
            <w:hideMark/>
          </w:tcPr>
          <w:p w14:paraId="3A33D0D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70DF1D2B" w14:textId="77777777" w:rsidR="00844176" w:rsidRPr="003F45F7" w:rsidRDefault="00844176" w:rsidP="00A459E6">
            <w:pPr>
              <w:ind w:right="112"/>
              <w:jc w:val="both"/>
              <w:rPr>
                <w:sz w:val="28"/>
                <w:szCs w:val="28"/>
                <w:lang w:val="lv-LV"/>
              </w:rPr>
            </w:pPr>
            <w:r w:rsidRPr="003F45F7">
              <w:rPr>
                <w:sz w:val="28"/>
                <w:szCs w:val="28"/>
                <w:lang w:val="lv-LV"/>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14:paraId="3A6EF7C1" w14:textId="58E309C8" w:rsidR="00844176" w:rsidRPr="003F45F7" w:rsidRDefault="00844176" w:rsidP="00A459E6">
            <w:pPr>
              <w:ind w:left="82" w:right="161"/>
              <w:jc w:val="both"/>
              <w:rPr>
                <w:sz w:val="28"/>
                <w:szCs w:val="28"/>
                <w:lang w:val="lv-LV"/>
              </w:rPr>
            </w:pPr>
            <w:r w:rsidRPr="003F45F7">
              <w:rPr>
                <w:sz w:val="28"/>
                <w:szCs w:val="28"/>
                <w:lang w:val="lv-LV"/>
              </w:rPr>
              <w:t>Ministru kabineta noteikum</w:t>
            </w:r>
            <w:r w:rsidR="003F45F7" w:rsidRPr="003F45F7">
              <w:rPr>
                <w:sz w:val="28"/>
                <w:szCs w:val="28"/>
                <w:lang w:val="lv-LV"/>
              </w:rPr>
              <w:t>u projekta izpildi nodrošinās Ekonomikas ministrija</w:t>
            </w:r>
            <w:r w:rsidRPr="003F45F7">
              <w:rPr>
                <w:sz w:val="28"/>
                <w:szCs w:val="28"/>
                <w:lang w:val="lv-LV"/>
              </w:rPr>
              <w:t xml:space="preserve"> un </w:t>
            </w:r>
            <w:r w:rsidR="00B86997">
              <w:rPr>
                <w:sz w:val="28"/>
                <w:szCs w:val="28"/>
                <w:lang w:val="lv-LV"/>
              </w:rPr>
              <w:t>akciju sabiedrība</w:t>
            </w:r>
            <w:r w:rsidR="003F45F7" w:rsidRPr="003F45F7">
              <w:rPr>
                <w:sz w:val="28"/>
                <w:szCs w:val="28"/>
                <w:lang w:val="lv-LV"/>
              </w:rPr>
              <w:t xml:space="preserve"> “Attīstības finanšu institūcija Altum”</w:t>
            </w:r>
            <w:r w:rsidRPr="003F45F7">
              <w:rPr>
                <w:sz w:val="28"/>
                <w:szCs w:val="28"/>
                <w:lang w:val="lv-LV"/>
              </w:rPr>
              <w:t>.</w:t>
            </w:r>
          </w:p>
        </w:tc>
      </w:tr>
      <w:tr w:rsidR="00844176" w:rsidRPr="003F45F7" w14:paraId="5A8DB668" w14:textId="77777777" w:rsidTr="00822B60">
        <w:trPr>
          <w:trHeight w:val="450"/>
        </w:trPr>
        <w:tc>
          <w:tcPr>
            <w:tcW w:w="270" w:type="dxa"/>
            <w:tcBorders>
              <w:top w:val="outset" w:sz="6" w:space="0" w:color="414142"/>
              <w:left w:val="outset" w:sz="6" w:space="0" w:color="414142"/>
              <w:bottom w:val="outset" w:sz="6" w:space="0" w:color="414142"/>
              <w:right w:val="outset" w:sz="6" w:space="0" w:color="414142"/>
            </w:tcBorders>
            <w:hideMark/>
          </w:tcPr>
          <w:p w14:paraId="3F510DC4"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2389F531" w14:textId="77777777" w:rsidR="00844176" w:rsidRPr="003F45F7" w:rsidRDefault="00844176" w:rsidP="00A459E6">
            <w:pPr>
              <w:ind w:right="112"/>
              <w:jc w:val="both"/>
              <w:rPr>
                <w:sz w:val="28"/>
                <w:szCs w:val="28"/>
                <w:lang w:val="lv-LV"/>
              </w:rPr>
            </w:pPr>
            <w:r w:rsidRPr="003F45F7">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14:paraId="7E901C3C" w14:textId="657F33BA" w:rsidR="00844176" w:rsidRPr="003F45F7" w:rsidRDefault="00844176" w:rsidP="00A459E6">
            <w:pPr>
              <w:ind w:left="82" w:right="161"/>
              <w:jc w:val="both"/>
              <w:rPr>
                <w:sz w:val="28"/>
                <w:szCs w:val="28"/>
                <w:lang w:val="lv-LV"/>
              </w:rPr>
            </w:pPr>
            <w:r w:rsidRPr="003F45F7">
              <w:rPr>
                <w:sz w:val="28"/>
                <w:szCs w:val="28"/>
                <w:lang w:val="lv-LV"/>
              </w:rPr>
              <w:t>Ministru kabineta noteikumu proj</w:t>
            </w:r>
            <w:r w:rsidR="003F45F7" w:rsidRPr="003F45F7">
              <w:rPr>
                <w:sz w:val="28"/>
                <w:szCs w:val="28"/>
                <w:lang w:val="lv-LV"/>
              </w:rPr>
              <w:t>ekta izpilde tiks nodrošināta Ekonomikas ministrijas</w:t>
            </w:r>
            <w:r w:rsidRPr="003F45F7">
              <w:rPr>
                <w:sz w:val="28"/>
                <w:szCs w:val="28"/>
                <w:lang w:val="lv-LV"/>
              </w:rPr>
              <w:t xml:space="preserve"> un </w:t>
            </w:r>
            <w:r w:rsidR="00B86997">
              <w:rPr>
                <w:sz w:val="28"/>
                <w:szCs w:val="28"/>
                <w:lang w:val="lv-LV"/>
              </w:rPr>
              <w:t>akciju sabiedrības</w:t>
            </w:r>
            <w:r w:rsidR="003F45F7" w:rsidRPr="003F45F7">
              <w:rPr>
                <w:sz w:val="28"/>
                <w:szCs w:val="28"/>
                <w:lang w:val="lv-LV"/>
              </w:rPr>
              <w:t xml:space="preserve"> “Attīstības finanšu institūcija Altum” </w:t>
            </w:r>
            <w:r w:rsidRPr="003F45F7">
              <w:rPr>
                <w:sz w:val="28"/>
                <w:szCs w:val="28"/>
                <w:lang w:val="lv-LV"/>
              </w:rPr>
              <w:t>esošo funkciju ietvaros.</w:t>
            </w:r>
          </w:p>
          <w:p w14:paraId="799815EA" w14:textId="77777777" w:rsidR="00844176" w:rsidRPr="003F45F7" w:rsidRDefault="00844176" w:rsidP="00A459E6">
            <w:pPr>
              <w:ind w:left="82" w:right="161" w:firstLine="720"/>
              <w:jc w:val="both"/>
              <w:rPr>
                <w:sz w:val="28"/>
                <w:szCs w:val="28"/>
                <w:lang w:val="lv-LV"/>
              </w:rPr>
            </w:pPr>
          </w:p>
        </w:tc>
      </w:tr>
      <w:tr w:rsidR="00844176" w:rsidRPr="003F45F7" w14:paraId="78F1F3A6" w14:textId="77777777" w:rsidTr="00822B60">
        <w:trPr>
          <w:trHeight w:val="390"/>
        </w:trPr>
        <w:tc>
          <w:tcPr>
            <w:tcW w:w="270" w:type="dxa"/>
            <w:tcBorders>
              <w:top w:val="outset" w:sz="6" w:space="0" w:color="414142"/>
              <w:left w:val="outset" w:sz="6" w:space="0" w:color="414142"/>
              <w:bottom w:val="outset" w:sz="6" w:space="0" w:color="414142"/>
              <w:right w:val="outset" w:sz="6" w:space="0" w:color="414142"/>
            </w:tcBorders>
            <w:hideMark/>
          </w:tcPr>
          <w:p w14:paraId="099B8C20" w14:textId="77777777" w:rsidR="00844176" w:rsidRPr="003F45F7" w:rsidRDefault="00844176" w:rsidP="00A459E6">
            <w:pPr>
              <w:spacing w:before="100" w:beforeAutospacing="1" w:after="100" w:afterAutospacing="1"/>
              <w:rPr>
                <w:rFonts w:eastAsia="Times New Roman"/>
                <w:sz w:val="28"/>
                <w:szCs w:val="28"/>
                <w:lang w:val="lv-LV" w:eastAsia="lv-LV"/>
              </w:rPr>
            </w:pPr>
            <w:r w:rsidRPr="003F45F7">
              <w:rPr>
                <w:rFonts w:eastAsia="Times New Roman"/>
                <w:color w:val="000000"/>
                <w:sz w:val="28"/>
                <w:szCs w:val="28"/>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2F5B6105" w14:textId="77777777" w:rsidR="00844176" w:rsidRPr="003F45F7" w:rsidRDefault="00844176" w:rsidP="00A459E6">
            <w:pPr>
              <w:jc w:val="both"/>
              <w:rPr>
                <w:rFonts w:eastAsia="Times New Roman"/>
                <w:sz w:val="28"/>
                <w:szCs w:val="28"/>
                <w:lang w:val="lv-LV" w:eastAsia="lv-LV"/>
              </w:rPr>
            </w:pPr>
            <w:r w:rsidRPr="003F45F7">
              <w:rPr>
                <w:rFonts w:eastAsia="Times New Roman"/>
                <w:sz w:val="28"/>
                <w:szCs w:val="28"/>
                <w:lang w:val="lv-LV" w:eastAsia="lv-LV"/>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14:paraId="5FA5DBE6" w14:textId="77777777" w:rsidR="00844176" w:rsidRPr="003F45F7" w:rsidRDefault="00844176" w:rsidP="00A459E6">
            <w:pPr>
              <w:ind w:firstLine="720"/>
              <w:jc w:val="both"/>
              <w:rPr>
                <w:rFonts w:eastAsia="Times New Roman"/>
                <w:sz w:val="28"/>
                <w:szCs w:val="28"/>
                <w:lang w:val="lv-LV" w:eastAsia="lv-LV"/>
              </w:rPr>
            </w:pPr>
            <w:r w:rsidRPr="003F45F7">
              <w:rPr>
                <w:rFonts w:eastAsia="Times New Roman"/>
                <w:sz w:val="28"/>
                <w:szCs w:val="28"/>
                <w:lang w:val="lv-LV" w:eastAsia="lv-LV"/>
              </w:rPr>
              <w:t>Nav</w:t>
            </w:r>
          </w:p>
        </w:tc>
      </w:tr>
    </w:tbl>
    <w:p w14:paraId="34A12F6A" w14:textId="77777777" w:rsidR="004E6C7D" w:rsidRPr="003F45F7" w:rsidRDefault="004E6C7D" w:rsidP="00EA6CD3">
      <w:pPr>
        <w:tabs>
          <w:tab w:val="right" w:pos="9072"/>
        </w:tabs>
        <w:rPr>
          <w:sz w:val="28"/>
          <w:szCs w:val="28"/>
          <w:lang w:val="lv-LV"/>
        </w:rPr>
      </w:pPr>
    </w:p>
    <w:p w14:paraId="77A8F9C3" w14:textId="77777777" w:rsidR="000A0059" w:rsidRPr="003F45F7" w:rsidRDefault="000A0059" w:rsidP="00EA6CD3">
      <w:pPr>
        <w:tabs>
          <w:tab w:val="right" w:pos="9072"/>
        </w:tabs>
        <w:rPr>
          <w:sz w:val="28"/>
          <w:szCs w:val="28"/>
          <w:lang w:val="lv-LV"/>
        </w:rPr>
      </w:pPr>
    </w:p>
    <w:p w14:paraId="5233A7A9" w14:textId="77777777" w:rsidR="00EB184B" w:rsidRPr="003F45F7" w:rsidRDefault="00EB184B" w:rsidP="00EB184B">
      <w:pPr>
        <w:jc w:val="both"/>
        <w:rPr>
          <w:sz w:val="28"/>
          <w:szCs w:val="28"/>
          <w:lang w:val="lv-LV"/>
        </w:rPr>
      </w:pPr>
      <w:r w:rsidRPr="003F45F7">
        <w:rPr>
          <w:sz w:val="28"/>
          <w:szCs w:val="28"/>
          <w:lang w:val="lv-LV"/>
        </w:rPr>
        <w:t>Ministru prezidenta biedrs,</w:t>
      </w:r>
    </w:p>
    <w:p w14:paraId="22B3D324" w14:textId="7567DA13" w:rsidR="00EB184B" w:rsidRPr="003F45F7" w:rsidRDefault="00EB184B" w:rsidP="00EB184B">
      <w:pPr>
        <w:jc w:val="both"/>
        <w:rPr>
          <w:sz w:val="28"/>
          <w:szCs w:val="28"/>
          <w:lang w:val="lv-LV"/>
        </w:rPr>
      </w:pPr>
      <w:r w:rsidRPr="003F45F7">
        <w:rPr>
          <w:sz w:val="28"/>
          <w:szCs w:val="28"/>
          <w:lang w:val="lv-LV"/>
        </w:rPr>
        <w:t>ekonomikas ministrs</w:t>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640F1">
        <w:rPr>
          <w:sz w:val="28"/>
          <w:szCs w:val="28"/>
          <w:lang w:val="lv-LV"/>
        </w:rPr>
        <w:tab/>
      </w:r>
      <w:r w:rsidR="006C20C5" w:rsidRPr="003F45F7">
        <w:rPr>
          <w:sz w:val="28"/>
          <w:szCs w:val="28"/>
          <w:lang w:val="lv-LV"/>
        </w:rPr>
        <w:tab/>
      </w:r>
      <w:r w:rsidRPr="003F45F7">
        <w:rPr>
          <w:sz w:val="28"/>
          <w:szCs w:val="28"/>
          <w:lang w:val="lv-LV"/>
        </w:rPr>
        <w:t>A. Ašeradens</w:t>
      </w:r>
    </w:p>
    <w:p w14:paraId="67B7D043" w14:textId="77777777" w:rsidR="00EB184B" w:rsidRPr="003F45F7" w:rsidRDefault="00EB184B" w:rsidP="00EB184B">
      <w:pPr>
        <w:jc w:val="both"/>
        <w:rPr>
          <w:sz w:val="28"/>
          <w:szCs w:val="28"/>
          <w:lang w:val="lv-LV"/>
        </w:rPr>
      </w:pPr>
    </w:p>
    <w:p w14:paraId="68588B83" w14:textId="77777777" w:rsidR="000A0059" w:rsidRPr="003F45F7" w:rsidRDefault="00EB184B" w:rsidP="00EB184B">
      <w:pPr>
        <w:jc w:val="both"/>
        <w:rPr>
          <w:sz w:val="28"/>
          <w:szCs w:val="28"/>
          <w:lang w:val="lv-LV"/>
        </w:rPr>
      </w:pPr>
      <w:r w:rsidRPr="003F45F7">
        <w:rPr>
          <w:sz w:val="28"/>
          <w:szCs w:val="28"/>
          <w:lang w:val="lv-LV"/>
        </w:rPr>
        <w:t>Vīza:</w:t>
      </w:r>
    </w:p>
    <w:p w14:paraId="25E7447C" w14:textId="6E685865" w:rsidR="002C504B" w:rsidRPr="003F45F7" w:rsidRDefault="00EB184B" w:rsidP="006C20C5">
      <w:pPr>
        <w:jc w:val="both"/>
        <w:rPr>
          <w:sz w:val="28"/>
          <w:szCs w:val="28"/>
          <w:lang w:val="lv-LV"/>
        </w:rPr>
      </w:pPr>
      <w:r w:rsidRPr="003F45F7">
        <w:rPr>
          <w:sz w:val="28"/>
          <w:szCs w:val="28"/>
          <w:lang w:val="lv-LV"/>
        </w:rPr>
        <w:t>Valsts sekretār</w:t>
      </w:r>
      <w:r w:rsidR="006C20C5" w:rsidRPr="003F45F7">
        <w:rPr>
          <w:sz w:val="28"/>
          <w:szCs w:val="28"/>
          <w:lang w:val="lv-LV"/>
        </w:rPr>
        <w:t>s</w:t>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r>
      <w:r w:rsidR="006C20C5" w:rsidRPr="003F45F7">
        <w:rPr>
          <w:sz w:val="28"/>
          <w:szCs w:val="28"/>
          <w:lang w:val="lv-LV"/>
        </w:rPr>
        <w:tab/>
        <w:t>J.Stinka</w:t>
      </w:r>
    </w:p>
    <w:p w14:paraId="0A456EEB" w14:textId="77777777" w:rsidR="00EB184B" w:rsidRPr="004232A9" w:rsidRDefault="00EB184B" w:rsidP="00EB184B">
      <w:pPr>
        <w:jc w:val="both"/>
        <w:rPr>
          <w:sz w:val="24"/>
          <w:szCs w:val="24"/>
          <w:lang w:val="lv-LV"/>
        </w:rPr>
      </w:pPr>
    </w:p>
    <w:p w14:paraId="77EA9A20" w14:textId="09ABE2C9" w:rsidR="0001286B" w:rsidRDefault="0001286B" w:rsidP="00EE573A">
      <w:pPr>
        <w:spacing w:after="60"/>
        <w:jc w:val="both"/>
        <w:rPr>
          <w:lang w:val="lv-LV"/>
        </w:rPr>
      </w:pPr>
      <w:r>
        <w:rPr>
          <w:lang w:val="lv-LV"/>
        </w:rPr>
        <w:fldChar w:fldCharType="begin"/>
      </w:r>
      <w:r>
        <w:rPr>
          <w:lang w:val="lv-LV"/>
        </w:rPr>
        <w:instrText xml:space="preserve"> USERNAME   \* MERGEFORMAT </w:instrText>
      </w:r>
      <w:r>
        <w:rPr>
          <w:lang w:val="lv-LV"/>
        </w:rPr>
        <w:fldChar w:fldCharType="separate"/>
      </w:r>
      <w:r w:rsidR="002A2E61">
        <w:rPr>
          <w:noProof/>
          <w:lang w:val="lv-LV"/>
        </w:rPr>
        <w:t>Signe Tuklere</w:t>
      </w:r>
      <w:r>
        <w:rPr>
          <w:lang w:val="lv-LV"/>
        </w:rPr>
        <w:fldChar w:fldCharType="end"/>
      </w:r>
      <w:r w:rsidR="00600073">
        <w:rPr>
          <w:lang w:val="lv-LV"/>
        </w:rPr>
        <w:t>, 67013298</w:t>
      </w:r>
    </w:p>
    <w:p w14:paraId="46C3419F" w14:textId="709CFC35" w:rsidR="00E57209" w:rsidRPr="00EE573A" w:rsidRDefault="0001286B" w:rsidP="00EE573A">
      <w:pPr>
        <w:spacing w:after="60"/>
        <w:jc w:val="both"/>
        <w:rPr>
          <w:lang w:val="lv-LV"/>
        </w:rPr>
      </w:pPr>
      <w:r>
        <w:fldChar w:fldCharType="begin"/>
      </w:r>
      <w:r>
        <w:instrText xml:space="preserve"> USERADDRESS   \* MERGEFORMAT </w:instrText>
      </w:r>
      <w:r>
        <w:fldChar w:fldCharType="end"/>
      </w:r>
      <w:r>
        <w:t>Signe.Tuklere@em.gov.lv</w:t>
      </w:r>
    </w:p>
    <w:sectPr w:rsidR="00E57209" w:rsidRPr="00EE573A" w:rsidSect="000472EA">
      <w:headerReference w:type="default" r:id="rId10"/>
      <w:footerReference w:type="default" r:id="rId11"/>
      <w:footerReference w:type="first" r:id="rId12"/>
      <w:endnotePr>
        <w:numFmt w:val="decimal"/>
      </w:endnotePr>
      <w:type w:val="continuous"/>
      <w:pgSz w:w="11906" w:h="16838"/>
      <w:pgMar w:top="1411" w:right="1008" w:bottom="1138"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CA17D" w14:textId="77777777" w:rsidR="001B58F4" w:rsidRDefault="001B58F4" w:rsidP="006B2FEF">
      <w:r>
        <w:separator/>
      </w:r>
    </w:p>
  </w:endnote>
  <w:endnote w:type="continuationSeparator" w:id="0">
    <w:p w14:paraId="3FC1057D" w14:textId="77777777" w:rsidR="001B58F4" w:rsidRDefault="001B58F4"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2588" w14:textId="75348F84" w:rsidR="00E37F50" w:rsidRDefault="005A5AE7" w:rsidP="00E37F50">
    <w:pPr>
      <w:pStyle w:val="Footer"/>
      <w:jc w:val="both"/>
    </w:pPr>
    <w:r>
      <w:rPr>
        <w:lang w:val="lv-LV"/>
      </w:rPr>
      <w:fldChar w:fldCharType="begin"/>
    </w:r>
    <w:r>
      <w:rPr>
        <w:lang w:val="lv-LV"/>
      </w:rPr>
      <w:instrText xml:space="preserve"> FILENAME   \* MERGEFORMAT </w:instrText>
    </w:r>
    <w:r>
      <w:rPr>
        <w:lang w:val="lv-LV"/>
      </w:rPr>
      <w:fldChar w:fldCharType="separate"/>
    </w:r>
    <w:r w:rsidR="003F45F7">
      <w:rPr>
        <w:noProof/>
        <w:lang w:val="lv-LV"/>
      </w:rPr>
      <w:t>EMAnot_2</w:t>
    </w:r>
    <w:r w:rsidR="00EF602C">
      <w:rPr>
        <w:noProof/>
        <w:lang w:val="lv-LV"/>
      </w:rPr>
      <w:t>4</w:t>
    </w:r>
    <w:r w:rsidR="003F45F7">
      <w:rPr>
        <w:noProof/>
        <w:lang w:val="lv-LV"/>
      </w:rPr>
      <w:t>10</w:t>
    </w:r>
    <w:r w:rsidR="00AB7503">
      <w:rPr>
        <w:noProof/>
        <w:lang w:val="lv-LV"/>
      </w:rPr>
      <w:t>17_groz469.docx</w:t>
    </w:r>
    <w:r>
      <w:rPr>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D70E9" w14:textId="1256B8C8" w:rsidR="003B7B62" w:rsidRDefault="00FE37E7" w:rsidP="003B7B62">
    <w:pPr>
      <w:pStyle w:val="Footer"/>
      <w:jc w:val="both"/>
    </w:pPr>
    <w:fldSimple w:instr=" FILENAME   \* MERGEFORMAT ">
      <w:r w:rsidR="00B86997">
        <w:rPr>
          <w:noProof/>
        </w:rPr>
        <w:t>EMAnot_2</w:t>
      </w:r>
      <w:r w:rsidR="00EF602C">
        <w:rPr>
          <w:noProof/>
        </w:rPr>
        <w:t>4</w:t>
      </w:r>
      <w:r w:rsidR="00B86997">
        <w:rPr>
          <w:noProof/>
        </w:rPr>
        <w:t>10</w:t>
      </w:r>
      <w:r w:rsidR="00AB7503">
        <w:rPr>
          <w:noProof/>
        </w:rPr>
        <w:t>17_groz469.docx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BEA6" w14:textId="77777777" w:rsidR="001B58F4" w:rsidRDefault="001B58F4" w:rsidP="006B2FEF">
      <w:r>
        <w:separator/>
      </w:r>
    </w:p>
  </w:footnote>
  <w:footnote w:type="continuationSeparator" w:id="0">
    <w:p w14:paraId="7F342045" w14:textId="77777777" w:rsidR="001B58F4" w:rsidRDefault="001B58F4"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27235"/>
      <w:docPartObj>
        <w:docPartGallery w:val="Page Numbers (Top of Page)"/>
        <w:docPartUnique/>
      </w:docPartObj>
    </w:sdtPr>
    <w:sdtEndPr>
      <w:rPr>
        <w:sz w:val="24"/>
        <w:szCs w:val="24"/>
      </w:rPr>
    </w:sdtEndPr>
    <w:sdtContent>
      <w:p w14:paraId="5B9CF147" w14:textId="6F55A9CD" w:rsidR="00C2517F" w:rsidRPr="00B014C2" w:rsidRDefault="00C2517F">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E8572D">
          <w:rPr>
            <w:noProof/>
            <w:sz w:val="24"/>
            <w:szCs w:val="24"/>
          </w:rPr>
          <w:t>2</w:t>
        </w:r>
        <w:r w:rsidRPr="00B014C2">
          <w:rPr>
            <w:sz w:val="24"/>
            <w:szCs w:val="24"/>
          </w:rPr>
          <w:fldChar w:fldCharType="end"/>
        </w:r>
      </w:p>
    </w:sdtContent>
  </w:sdt>
  <w:p w14:paraId="2EE12AED" w14:textId="77777777" w:rsidR="00C2517F" w:rsidRDefault="00C2517F">
    <w:pPr>
      <w:pStyle w:val="Header"/>
    </w:pPr>
  </w:p>
  <w:p w14:paraId="598329DB" w14:textId="77777777" w:rsidR="00290EE2" w:rsidRDefault="00290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61A"/>
    <w:multiLevelType w:val="hybridMultilevel"/>
    <w:tmpl w:val="E90AB3D0"/>
    <w:lvl w:ilvl="0" w:tplc="69484720">
      <w:start w:val="5"/>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32C43B72"/>
    <w:multiLevelType w:val="hybridMultilevel"/>
    <w:tmpl w:val="B0F05EA0"/>
    <w:lvl w:ilvl="0" w:tplc="BA7A8BB2">
      <w:numFmt w:val="bullet"/>
      <w:lvlText w:val="-"/>
      <w:lvlJc w:val="left"/>
      <w:pPr>
        <w:ind w:left="417" w:hanging="360"/>
      </w:pPr>
      <w:rPr>
        <w:rFonts w:ascii="Times New Roman" w:eastAsia="Calibr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581559EF"/>
    <w:multiLevelType w:val="hybridMultilevel"/>
    <w:tmpl w:val="E1DA156C"/>
    <w:lvl w:ilvl="0" w:tplc="1626F4B4">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15"/>
  </w:num>
  <w:num w:numId="3">
    <w:abstractNumId w:val="10"/>
  </w:num>
  <w:num w:numId="4">
    <w:abstractNumId w:val="4"/>
  </w:num>
  <w:num w:numId="5">
    <w:abstractNumId w:val="6"/>
  </w:num>
  <w:num w:numId="6">
    <w:abstractNumId w:val="3"/>
  </w:num>
  <w:num w:numId="7">
    <w:abstractNumId w:val="9"/>
  </w:num>
  <w:num w:numId="8">
    <w:abstractNumId w:val="16"/>
  </w:num>
  <w:num w:numId="9">
    <w:abstractNumId w:val="12"/>
  </w:num>
  <w:num w:numId="10">
    <w:abstractNumId w:val="0"/>
  </w:num>
  <w:num w:numId="11">
    <w:abstractNumId w:val="1"/>
  </w:num>
  <w:num w:numId="12">
    <w:abstractNumId w:val="7"/>
  </w:num>
  <w:num w:numId="13">
    <w:abstractNumId w:val="13"/>
  </w:num>
  <w:num w:numId="14">
    <w:abstractNumId w:val="14"/>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8A9"/>
    <w:rsid w:val="000058AA"/>
    <w:rsid w:val="0001048C"/>
    <w:rsid w:val="0001286B"/>
    <w:rsid w:val="00013B61"/>
    <w:rsid w:val="0002003C"/>
    <w:rsid w:val="0002596F"/>
    <w:rsid w:val="00026F18"/>
    <w:rsid w:val="0003245D"/>
    <w:rsid w:val="0003265E"/>
    <w:rsid w:val="000430AC"/>
    <w:rsid w:val="00044743"/>
    <w:rsid w:val="00047095"/>
    <w:rsid w:val="000472EA"/>
    <w:rsid w:val="000527A4"/>
    <w:rsid w:val="000678CD"/>
    <w:rsid w:val="00070F56"/>
    <w:rsid w:val="00071082"/>
    <w:rsid w:val="00072B02"/>
    <w:rsid w:val="0007330D"/>
    <w:rsid w:val="00074090"/>
    <w:rsid w:val="000773A5"/>
    <w:rsid w:val="0008002B"/>
    <w:rsid w:val="00080352"/>
    <w:rsid w:val="0008515E"/>
    <w:rsid w:val="00085640"/>
    <w:rsid w:val="0009324B"/>
    <w:rsid w:val="00094B1E"/>
    <w:rsid w:val="00095280"/>
    <w:rsid w:val="00096060"/>
    <w:rsid w:val="000964C6"/>
    <w:rsid w:val="000A0059"/>
    <w:rsid w:val="000A14E3"/>
    <w:rsid w:val="000B0748"/>
    <w:rsid w:val="000B1926"/>
    <w:rsid w:val="000B1B64"/>
    <w:rsid w:val="000B2C54"/>
    <w:rsid w:val="000B3449"/>
    <w:rsid w:val="000B492B"/>
    <w:rsid w:val="000C33C1"/>
    <w:rsid w:val="000C4418"/>
    <w:rsid w:val="000C7FCE"/>
    <w:rsid w:val="000D3D56"/>
    <w:rsid w:val="000D43D9"/>
    <w:rsid w:val="000D74B9"/>
    <w:rsid w:val="000E257B"/>
    <w:rsid w:val="000E2AD8"/>
    <w:rsid w:val="000E53C3"/>
    <w:rsid w:val="000E5DD2"/>
    <w:rsid w:val="000E68EC"/>
    <w:rsid w:val="000F0A62"/>
    <w:rsid w:val="000F4230"/>
    <w:rsid w:val="00102922"/>
    <w:rsid w:val="00102B1D"/>
    <w:rsid w:val="0011154E"/>
    <w:rsid w:val="0011606F"/>
    <w:rsid w:val="0012624C"/>
    <w:rsid w:val="00135F4C"/>
    <w:rsid w:val="00137388"/>
    <w:rsid w:val="00143BB6"/>
    <w:rsid w:val="00145366"/>
    <w:rsid w:val="00146697"/>
    <w:rsid w:val="00151BBD"/>
    <w:rsid w:val="00152387"/>
    <w:rsid w:val="00161BA7"/>
    <w:rsid w:val="001650AC"/>
    <w:rsid w:val="001655DD"/>
    <w:rsid w:val="00165747"/>
    <w:rsid w:val="0016668A"/>
    <w:rsid w:val="00166A8B"/>
    <w:rsid w:val="00172082"/>
    <w:rsid w:val="00177882"/>
    <w:rsid w:val="00177C69"/>
    <w:rsid w:val="00180E2B"/>
    <w:rsid w:val="00183B65"/>
    <w:rsid w:val="00186A4D"/>
    <w:rsid w:val="00187140"/>
    <w:rsid w:val="001935C8"/>
    <w:rsid w:val="001946C8"/>
    <w:rsid w:val="00195D43"/>
    <w:rsid w:val="001A1368"/>
    <w:rsid w:val="001A3ED2"/>
    <w:rsid w:val="001A7C3A"/>
    <w:rsid w:val="001B58F4"/>
    <w:rsid w:val="001B7454"/>
    <w:rsid w:val="001C0801"/>
    <w:rsid w:val="001C1B72"/>
    <w:rsid w:val="001C2832"/>
    <w:rsid w:val="001C4ED0"/>
    <w:rsid w:val="001C5ED6"/>
    <w:rsid w:val="001C6208"/>
    <w:rsid w:val="001C68A2"/>
    <w:rsid w:val="001D0800"/>
    <w:rsid w:val="001D2C0E"/>
    <w:rsid w:val="001D3167"/>
    <w:rsid w:val="001D7397"/>
    <w:rsid w:val="001D7DC1"/>
    <w:rsid w:val="001E1B0F"/>
    <w:rsid w:val="001E3588"/>
    <w:rsid w:val="001E4C2F"/>
    <w:rsid w:val="001E5FBC"/>
    <w:rsid w:val="001F0219"/>
    <w:rsid w:val="001F2BA2"/>
    <w:rsid w:val="001F469B"/>
    <w:rsid w:val="001F7086"/>
    <w:rsid w:val="001F7AAD"/>
    <w:rsid w:val="00200E7D"/>
    <w:rsid w:val="0020468C"/>
    <w:rsid w:val="002107BF"/>
    <w:rsid w:val="00211315"/>
    <w:rsid w:val="00215C6A"/>
    <w:rsid w:val="00217F5B"/>
    <w:rsid w:val="00220185"/>
    <w:rsid w:val="00224E84"/>
    <w:rsid w:val="002267E7"/>
    <w:rsid w:val="00237878"/>
    <w:rsid w:val="002438ED"/>
    <w:rsid w:val="00244A9E"/>
    <w:rsid w:val="00250127"/>
    <w:rsid w:val="0025023B"/>
    <w:rsid w:val="002525BF"/>
    <w:rsid w:val="00254901"/>
    <w:rsid w:val="00255BAC"/>
    <w:rsid w:val="002601C7"/>
    <w:rsid w:val="00261B97"/>
    <w:rsid w:val="00263FD2"/>
    <w:rsid w:val="002651EA"/>
    <w:rsid w:val="0027369F"/>
    <w:rsid w:val="00273700"/>
    <w:rsid w:val="00273B21"/>
    <w:rsid w:val="00290EE2"/>
    <w:rsid w:val="00292062"/>
    <w:rsid w:val="002957B7"/>
    <w:rsid w:val="002A0435"/>
    <w:rsid w:val="002A0BC1"/>
    <w:rsid w:val="002A166A"/>
    <w:rsid w:val="002A2E61"/>
    <w:rsid w:val="002A3EC2"/>
    <w:rsid w:val="002A6400"/>
    <w:rsid w:val="002B3EAE"/>
    <w:rsid w:val="002B407B"/>
    <w:rsid w:val="002B4900"/>
    <w:rsid w:val="002B6364"/>
    <w:rsid w:val="002B7F82"/>
    <w:rsid w:val="002C15A0"/>
    <w:rsid w:val="002C22CF"/>
    <w:rsid w:val="002C3E51"/>
    <w:rsid w:val="002C504B"/>
    <w:rsid w:val="002D6A10"/>
    <w:rsid w:val="002D6BDB"/>
    <w:rsid w:val="002E024D"/>
    <w:rsid w:val="002E1075"/>
    <w:rsid w:val="002E678E"/>
    <w:rsid w:val="002E708A"/>
    <w:rsid w:val="002E7A48"/>
    <w:rsid w:val="002F06CE"/>
    <w:rsid w:val="002F5587"/>
    <w:rsid w:val="002F5700"/>
    <w:rsid w:val="002F741D"/>
    <w:rsid w:val="00300B84"/>
    <w:rsid w:val="00301A6D"/>
    <w:rsid w:val="0030247A"/>
    <w:rsid w:val="00303955"/>
    <w:rsid w:val="00304810"/>
    <w:rsid w:val="003061FB"/>
    <w:rsid w:val="00306270"/>
    <w:rsid w:val="0031259B"/>
    <w:rsid w:val="003176D3"/>
    <w:rsid w:val="003228DE"/>
    <w:rsid w:val="00326096"/>
    <w:rsid w:val="003334FB"/>
    <w:rsid w:val="0033779C"/>
    <w:rsid w:val="00337AC6"/>
    <w:rsid w:val="003406E7"/>
    <w:rsid w:val="0034476B"/>
    <w:rsid w:val="00346CE0"/>
    <w:rsid w:val="00354ABE"/>
    <w:rsid w:val="00366AFE"/>
    <w:rsid w:val="0036787F"/>
    <w:rsid w:val="00367B98"/>
    <w:rsid w:val="00374F73"/>
    <w:rsid w:val="00375F30"/>
    <w:rsid w:val="00376F09"/>
    <w:rsid w:val="00380AC5"/>
    <w:rsid w:val="00381382"/>
    <w:rsid w:val="003814A5"/>
    <w:rsid w:val="00381905"/>
    <w:rsid w:val="00381B26"/>
    <w:rsid w:val="00385772"/>
    <w:rsid w:val="00387734"/>
    <w:rsid w:val="0039139B"/>
    <w:rsid w:val="003913FB"/>
    <w:rsid w:val="00392998"/>
    <w:rsid w:val="00395460"/>
    <w:rsid w:val="00396152"/>
    <w:rsid w:val="00397D0E"/>
    <w:rsid w:val="003A1D77"/>
    <w:rsid w:val="003A24AD"/>
    <w:rsid w:val="003A40AD"/>
    <w:rsid w:val="003A6A32"/>
    <w:rsid w:val="003A6D12"/>
    <w:rsid w:val="003B1693"/>
    <w:rsid w:val="003B32EC"/>
    <w:rsid w:val="003B5E55"/>
    <w:rsid w:val="003B5F6A"/>
    <w:rsid w:val="003B63BE"/>
    <w:rsid w:val="003B7B62"/>
    <w:rsid w:val="003C072B"/>
    <w:rsid w:val="003C3D3D"/>
    <w:rsid w:val="003D1A86"/>
    <w:rsid w:val="003D7F0B"/>
    <w:rsid w:val="003E171B"/>
    <w:rsid w:val="003E4132"/>
    <w:rsid w:val="003E58C7"/>
    <w:rsid w:val="003E5A6D"/>
    <w:rsid w:val="003E5D7B"/>
    <w:rsid w:val="003E637A"/>
    <w:rsid w:val="003F2B20"/>
    <w:rsid w:val="003F2C34"/>
    <w:rsid w:val="003F30FC"/>
    <w:rsid w:val="003F45CD"/>
    <w:rsid w:val="003F45F7"/>
    <w:rsid w:val="003F7C94"/>
    <w:rsid w:val="0040104F"/>
    <w:rsid w:val="00401397"/>
    <w:rsid w:val="004038BC"/>
    <w:rsid w:val="00406AE2"/>
    <w:rsid w:val="0041036A"/>
    <w:rsid w:val="004118CF"/>
    <w:rsid w:val="0041316A"/>
    <w:rsid w:val="004158F6"/>
    <w:rsid w:val="00415A66"/>
    <w:rsid w:val="00416A31"/>
    <w:rsid w:val="00417136"/>
    <w:rsid w:val="00421830"/>
    <w:rsid w:val="004232A9"/>
    <w:rsid w:val="00423B46"/>
    <w:rsid w:val="00425AA9"/>
    <w:rsid w:val="00426250"/>
    <w:rsid w:val="00426A69"/>
    <w:rsid w:val="00426B77"/>
    <w:rsid w:val="00431019"/>
    <w:rsid w:val="00433EC2"/>
    <w:rsid w:val="004352F7"/>
    <w:rsid w:val="0043554A"/>
    <w:rsid w:val="004362D3"/>
    <w:rsid w:val="00442A8B"/>
    <w:rsid w:val="00442D1E"/>
    <w:rsid w:val="00443016"/>
    <w:rsid w:val="00443194"/>
    <w:rsid w:val="00445945"/>
    <w:rsid w:val="00450D9C"/>
    <w:rsid w:val="00452140"/>
    <w:rsid w:val="00453BB3"/>
    <w:rsid w:val="004619FE"/>
    <w:rsid w:val="00463574"/>
    <w:rsid w:val="004666F3"/>
    <w:rsid w:val="00467343"/>
    <w:rsid w:val="0047031A"/>
    <w:rsid w:val="00481C20"/>
    <w:rsid w:val="00483B86"/>
    <w:rsid w:val="00485293"/>
    <w:rsid w:val="00485E47"/>
    <w:rsid w:val="00490499"/>
    <w:rsid w:val="00497AB8"/>
    <w:rsid w:val="004A5EEF"/>
    <w:rsid w:val="004B0B1D"/>
    <w:rsid w:val="004C0738"/>
    <w:rsid w:val="004C0FE6"/>
    <w:rsid w:val="004C20F1"/>
    <w:rsid w:val="004C253C"/>
    <w:rsid w:val="004C2CD6"/>
    <w:rsid w:val="004C2FC4"/>
    <w:rsid w:val="004D232B"/>
    <w:rsid w:val="004D3ABB"/>
    <w:rsid w:val="004E322D"/>
    <w:rsid w:val="004E3FAA"/>
    <w:rsid w:val="004E5D38"/>
    <w:rsid w:val="004E603B"/>
    <w:rsid w:val="004E6C7D"/>
    <w:rsid w:val="0050230D"/>
    <w:rsid w:val="0050364D"/>
    <w:rsid w:val="005116FB"/>
    <w:rsid w:val="00515D44"/>
    <w:rsid w:val="00531AFF"/>
    <w:rsid w:val="00534305"/>
    <w:rsid w:val="00537FF8"/>
    <w:rsid w:val="005464E6"/>
    <w:rsid w:val="00546938"/>
    <w:rsid w:val="00552639"/>
    <w:rsid w:val="00555557"/>
    <w:rsid w:val="00557AA8"/>
    <w:rsid w:val="00566916"/>
    <w:rsid w:val="00566F71"/>
    <w:rsid w:val="00567FC5"/>
    <w:rsid w:val="00571CCF"/>
    <w:rsid w:val="00572180"/>
    <w:rsid w:val="00572337"/>
    <w:rsid w:val="00573FFE"/>
    <w:rsid w:val="00575FC3"/>
    <w:rsid w:val="0057625C"/>
    <w:rsid w:val="00576743"/>
    <w:rsid w:val="005771D5"/>
    <w:rsid w:val="00590033"/>
    <w:rsid w:val="00591838"/>
    <w:rsid w:val="00592336"/>
    <w:rsid w:val="00592809"/>
    <w:rsid w:val="00593343"/>
    <w:rsid w:val="00594A83"/>
    <w:rsid w:val="005A4807"/>
    <w:rsid w:val="005A5A80"/>
    <w:rsid w:val="005A5AE7"/>
    <w:rsid w:val="005B29EF"/>
    <w:rsid w:val="005B2DA5"/>
    <w:rsid w:val="005B476F"/>
    <w:rsid w:val="005B6095"/>
    <w:rsid w:val="005B65B8"/>
    <w:rsid w:val="005B6A0D"/>
    <w:rsid w:val="005C04E5"/>
    <w:rsid w:val="005C3D03"/>
    <w:rsid w:val="005C51FA"/>
    <w:rsid w:val="005C5413"/>
    <w:rsid w:val="005C63C7"/>
    <w:rsid w:val="005C6B2C"/>
    <w:rsid w:val="005D06E8"/>
    <w:rsid w:val="005D1195"/>
    <w:rsid w:val="005D688E"/>
    <w:rsid w:val="005E1192"/>
    <w:rsid w:val="005E4164"/>
    <w:rsid w:val="005F3FC6"/>
    <w:rsid w:val="005F75C4"/>
    <w:rsid w:val="00600073"/>
    <w:rsid w:val="0060393A"/>
    <w:rsid w:val="00611ADA"/>
    <w:rsid w:val="00611E18"/>
    <w:rsid w:val="00611FC0"/>
    <w:rsid w:val="00613A4A"/>
    <w:rsid w:val="00614157"/>
    <w:rsid w:val="006146CA"/>
    <w:rsid w:val="00614ECD"/>
    <w:rsid w:val="006231D7"/>
    <w:rsid w:val="00626031"/>
    <w:rsid w:val="00630C6C"/>
    <w:rsid w:val="00630ED2"/>
    <w:rsid w:val="00631935"/>
    <w:rsid w:val="00636B91"/>
    <w:rsid w:val="006373FF"/>
    <w:rsid w:val="00640665"/>
    <w:rsid w:val="00646A6F"/>
    <w:rsid w:val="006529FC"/>
    <w:rsid w:val="00653397"/>
    <w:rsid w:val="0065438E"/>
    <w:rsid w:val="006553CD"/>
    <w:rsid w:val="006559F5"/>
    <w:rsid w:val="00661782"/>
    <w:rsid w:val="00662C11"/>
    <w:rsid w:val="006640F1"/>
    <w:rsid w:val="00666A01"/>
    <w:rsid w:val="00670249"/>
    <w:rsid w:val="00672822"/>
    <w:rsid w:val="006729D2"/>
    <w:rsid w:val="00673BC6"/>
    <w:rsid w:val="006775B3"/>
    <w:rsid w:val="00684808"/>
    <w:rsid w:val="00685E59"/>
    <w:rsid w:val="006876CB"/>
    <w:rsid w:val="006B2D92"/>
    <w:rsid w:val="006B2FEF"/>
    <w:rsid w:val="006B6581"/>
    <w:rsid w:val="006B6D6C"/>
    <w:rsid w:val="006C20C5"/>
    <w:rsid w:val="006C5ECD"/>
    <w:rsid w:val="006D1520"/>
    <w:rsid w:val="006D2482"/>
    <w:rsid w:val="006D2F0C"/>
    <w:rsid w:val="006D3604"/>
    <w:rsid w:val="006E2082"/>
    <w:rsid w:val="006E67BA"/>
    <w:rsid w:val="006F2362"/>
    <w:rsid w:val="006F47EB"/>
    <w:rsid w:val="006F4DE9"/>
    <w:rsid w:val="006F61D4"/>
    <w:rsid w:val="006F71C2"/>
    <w:rsid w:val="00700AC3"/>
    <w:rsid w:val="00700E68"/>
    <w:rsid w:val="00701065"/>
    <w:rsid w:val="0070175E"/>
    <w:rsid w:val="00703DC5"/>
    <w:rsid w:val="007040F2"/>
    <w:rsid w:val="007153C5"/>
    <w:rsid w:val="007161D3"/>
    <w:rsid w:val="00722D55"/>
    <w:rsid w:val="00723991"/>
    <w:rsid w:val="007262F0"/>
    <w:rsid w:val="00731BE9"/>
    <w:rsid w:val="00731E2B"/>
    <w:rsid w:val="007420D7"/>
    <w:rsid w:val="00752DBC"/>
    <w:rsid w:val="00753FF4"/>
    <w:rsid w:val="0075411D"/>
    <w:rsid w:val="00756F8A"/>
    <w:rsid w:val="00757367"/>
    <w:rsid w:val="00760295"/>
    <w:rsid w:val="00762675"/>
    <w:rsid w:val="00762FC8"/>
    <w:rsid w:val="00765825"/>
    <w:rsid w:val="007700D3"/>
    <w:rsid w:val="0077131C"/>
    <w:rsid w:val="0077138B"/>
    <w:rsid w:val="0077534E"/>
    <w:rsid w:val="0078045E"/>
    <w:rsid w:val="00780B70"/>
    <w:rsid w:val="00782847"/>
    <w:rsid w:val="00783777"/>
    <w:rsid w:val="00783D20"/>
    <w:rsid w:val="007862D0"/>
    <w:rsid w:val="0079247D"/>
    <w:rsid w:val="00794F2D"/>
    <w:rsid w:val="0079516D"/>
    <w:rsid w:val="007954D3"/>
    <w:rsid w:val="0079636E"/>
    <w:rsid w:val="00797AAD"/>
    <w:rsid w:val="007A2F02"/>
    <w:rsid w:val="007A5127"/>
    <w:rsid w:val="007A5C51"/>
    <w:rsid w:val="007B41D7"/>
    <w:rsid w:val="007C1A7D"/>
    <w:rsid w:val="007C4094"/>
    <w:rsid w:val="007D50AE"/>
    <w:rsid w:val="007E107E"/>
    <w:rsid w:val="007E1EA6"/>
    <w:rsid w:val="007E2FDE"/>
    <w:rsid w:val="007E4C1F"/>
    <w:rsid w:val="007E6943"/>
    <w:rsid w:val="007F0204"/>
    <w:rsid w:val="007F5C3C"/>
    <w:rsid w:val="007F5C58"/>
    <w:rsid w:val="00807142"/>
    <w:rsid w:val="008074E3"/>
    <w:rsid w:val="00807802"/>
    <w:rsid w:val="0080799C"/>
    <w:rsid w:val="00810C18"/>
    <w:rsid w:val="00814421"/>
    <w:rsid w:val="00814AFC"/>
    <w:rsid w:val="00822B60"/>
    <w:rsid w:val="0082350A"/>
    <w:rsid w:val="00831A5D"/>
    <w:rsid w:val="00831DB4"/>
    <w:rsid w:val="008365EC"/>
    <w:rsid w:val="00837390"/>
    <w:rsid w:val="00844176"/>
    <w:rsid w:val="008503CA"/>
    <w:rsid w:val="0085318D"/>
    <w:rsid w:val="008565FB"/>
    <w:rsid w:val="00871516"/>
    <w:rsid w:val="008764DD"/>
    <w:rsid w:val="00877499"/>
    <w:rsid w:val="008841EB"/>
    <w:rsid w:val="0088562C"/>
    <w:rsid w:val="00891C00"/>
    <w:rsid w:val="00895E41"/>
    <w:rsid w:val="0089734D"/>
    <w:rsid w:val="008A0A32"/>
    <w:rsid w:val="008A7CC5"/>
    <w:rsid w:val="008B206C"/>
    <w:rsid w:val="008B56DF"/>
    <w:rsid w:val="008B5EFB"/>
    <w:rsid w:val="008C7959"/>
    <w:rsid w:val="008D4F09"/>
    <w:rsid w:val="008D51A3"/>
    <w:rsid w:val="008D65D5"/>
    <w:rsid w:val="008D75EB"/>
    <w:rsid w:val="008D7F23"/>
    <w:rsid w:val="008E1F57"/>
    <w:rsid w:val="008E751B"/>
    <w:rsid w:val="008F2317"/>
    <w:rsid w:val="00900C33"/>
    <w:rsid w:val="009034C7"/>
    <w:rsid w:val="00904C91"/>
    <w:rsid w:val="009165D6"/>
    <w:rsid w:val="00917D6F"/>
    <w:rsid w:val="00921504"/>
    <w:rsid w:val="00922352"/>
    <w:rsid w:val="009244A6"/>
    <w:rsid w:val="0092710C"/>
    <w:rsid w:val="0093112B"/>
    <w:rsid w:val="00942D63"/>
    <w:rsid w:val="009455DB"/>
    <w:rsid w:val="00954428"/>
    <w:rsid w:val="00954541"/>
    <w:rsid w:val="00954C0F"/>
    <w:rsid w:val="00955548"/>
    <w:rsid w:val="00956218"/>
    <w:rsid w:val="00956C4B"/>
    <w:rsid w:val="00957122"/>
    <w:rsid w:val="00957E64"/>
    <w:rsid w:val="00961605"/>
    <w:rsid w:val="00963C88"/>
    <w:rsid w:val="00966814"/>
    <w:rsid w:val="00970D58"/>
    <w:rsid w:val="009A692C"/>
    <w:rsid w:val="009A7E10"/>
    <w:rsid w:val="009B1CEB"/>
    <w:rsid w:val="009B2576"/>
    <w:rsid w:val="009B3AE3"/>
    <w:rsid w:val="009B584C"/>
    <w:rsid w:val="009B6613"/>
    <w:rsid w:val="009B7000"/>
    <w:rsid w:val="009B75D4"/>
    <w:rsid w:val="009C061A"/>
    <w:rsid w:val="009C108E"/>
    <w:rsid w:val="009C228A"/>
    <w:rsid w:val="009C2E2D"/>
    <w:rsid w:val="009C7F6E"/>
    <w:rsid w:val="009D0A96"/>
    <w:rsid w:val="009D26B6"/>
    <w:rsid w:val="009D43B2"/>
    <w:rsid w:val="009E5C84"/>
    <w:rsid w:val="009F0FC9"/>
    <w:rsid w:val="009F1A7E"/>
    <w:rsid w:val="00A03E32"/>
    <w:rsid w:val="00A13FC8"/>
    <w:rsid w:val="00A14369"/>
    <w:rsid w:val="00A2067E"/>
    <w:rsid w:val="00A229AC"/>
    <w:rsid w:val="00A23E8B"/>
    <w:rsid w:val="00A25225"/>
    <w:rsid w:val="00A26676"/>
    <w:rsid w:val="00A267B2"/>
    <w:rsid w:val="00A27A02"/>
    <w:rsid w:val="00A30DAB"/>
    <w:rsid w:val="00A32A3F"/>
    <w:rsid w:val="00A337C5"/>
    <w:rsid w:val="00A33B10"/>
    <w:rsid w:val="00A34EAB"/>
    <w:rsid w:val="00A37CD5"/>
    <w:rsid w:val="00A459E6"/>
    <w:rsid w:val="00A468F1"/>
    <w:rsid w:val="00A562DC"/>
    <w:rsid w:val="00A56E9B"/>
    <w:rsid w:val="00A66F1F"/>
    <w:rsid w:val="00A73448"/>
    <w:rsid w:val="00A849DF"/>
    <w:rsid w:val="00A86F1C"/>
    <w:rsid w:val="00A9174A"/>
    <w:rsid w:val="00A950FC"/>
    <w:rsid w:val="00A969CC"/>
    <w:rsid w:val="00A96C8D"/>
    <w:rsid w:val="00A9708B"/>
    <w:rsid w:val="00AB3EB4"/>
    <w:rsid w:val="00AB6AE8"/>
    <w:rsid w:val="00AB7503"/>
    <w:rsid w:val="00AC24BD"/>
    <w:rsid w:val="00AD5C75"/>
    <w:rsid w:val="00AD64FB"/>
    <w:rsid w:val="00AD6AEF"/>
    <w:rsid w:val="00AE0055"/>
    <w:rsid w:val="00AE091D"/>
    <w:rsid w:val="00AE5675"/>
    <w:rsid w:val="00AE57EC"/>
    <w:rsid w:val="00AF254A"/>
    <w:rsid w:val="00AF36C9"/>
    <w:rsid w:val="00AF5DF5"/>
    <w:rsid w:val="00B10B94"/>
    <w:rsid w:val="00B111A5"/>
    <w:rsid w:val="00B11FB8"/>
    <w:rsid w:val="00B13379"/>
    <w:rsid w:val="00B13C6F"/>
    <w:rsid w:val="00B14D75"/>
    <w:rsid w:val="00B15DBA"/>
    <w:rsid w:val="00B2297A"/>
    <w:rsid w:val="00B230F6"/>
    <w:rsid w:val="00B300C7"/>
    <w:rsid w:val="00B32793"/>
    <w:rsid w:val="00B4164D"/>
    <w:rsid w:val="00B450C4"/>
    <w:rsid w:val="00B457C4"/>
    <w:rsid w:val="00B462F7"/>
    <w:rsid w:val="00B4697F"/>
    <w:rsid w:val="00B46A16"/>
    <w:rsid w:val="00B51427"/>
    <w:rsid w:val="00B5564B"/>
    <w:rsid w:val="00B55A30"/>
    <w:rsid w:val="00B618A9"/>
    <w:rsid w:val="00B652FE"/>
    <w:rsid w:val="00B65CF6"/>
    <w:rsid w:val="00B700CC"/>
    <w:rsid w:val="00B74B38"/>
    <w:rsid w:val="00B77807"/>
    <w:rsid w:val="00B77E56"/>
    <w:rsid w:val="00B80371"/>
    <w:rsid w:val="00B837AE"/>
    <w:rsid w:val="00B868AD"/>
    <w:rsid w:val="00B86997"/>
    <w:rsid w:val="00B9742D"/>
    <w:rsid w:val="00BB0BAA"/>
    <w:rsid w:val="00BB1EA2"/>
    <w:rsid w:val="00BB4E62"/>
    <w:rsid w:val="00BC608E"/>
    <w:rsid w:val="00BC69DC"/>
    <w:rsid w:val="00BC7045"/>
    <w:rsid w:val="00BD20AE"/>
    <w:rsid w:val="00BD2AD6"/>
    <w:rsid w:val="00BD7AE1"/>
    <w:rsid w:val="00BE1471"/>
    <w:rsid w:val="00BE15E4"/>
    <w:rsid w:val="00BF15B9"/>
    <w:rsid w:val="00BF7D60"/>
    <w:rsid w:val="00C0447C"/>
    <w:rsid w:val="00C04CAF"/>
    <w:rsid w:val="00C050AF"/>
    <w:rsid w:val="00C05EF2"/>
    <w:rsid w:val="00C12263"/>
    <w:rsid w:val="00C12CF8"/>
    <w:rsid w:val="00C220E6"/>
    <w:rsid w:val="00C23427"/>
    <w:rsid w:val="00C23F73"/>
    <w:rsid w:val="00C25016"/>
    <w:rsid w:val="00C2517F"/>
    <w:rsid w:val="00C26333"/>
    <w:rsid w:val="00C264E6"/>
    <w:rsid w:val="00C26E37"/>
    <w:rsid w:val="00C32C97"/>
    <w:rsid w:val="00C35A54"/>
    <w:rsid w:val="00C416DB"/>
    <w:rsid w:val="00C423B7"/>
    <w:rsid w:val="00C42887"/>
    <w:rsid w:val="00C42ACD"/>
    <w:rsid w:val="00C446A5"/>
    <w:rsid w:val="00C52004"/>
    <w:rsid w:val="00C64334"/>
    <w:rsid w:val="00C65AAE"/>
    <w:rsid w:val="00C66A4D"/>
    <w:rsid w:val="00C7141D"/>
    <w:rsid w:val="00C72945"/>
    <w:rsid w:val="00C77C68"/>
    <w:rsid w:val="00C85115"/>
    <w:rsid w:val="00C86896"/>
    <w:rsid w:val="00C86AE5"/>
    <w:rsid w:val="00C95656"/>
    <w:rsid w:val="00CA082C"/>
    <w:rsid w:val="00CA0BCB"/>
    <w:rsid w:val="00CA373F"/>
    <w:rsid w:val="00CB2A80"/>
    <w:rsid w:val="00CB5A26"/>
    <w:rsid w:val="00CB6AC4"/>
    <w:rsid w:val="00CD1C12"/>
    <w:rsid w:val="00CE1DD6"/>
    <w:rsid w:val="00CE35E1"/>
    <w:rsid w:val="00CE5541"/>
    <w:rsid w:val="00CE6A30"/>
    <w:rsid w:val="00CF4607"/>
    <w:rsid w:val="00CF747C"/>
    <w:rsid w:val="00D00576"/>
    <w:rsid w:val="00D0207F"/>
    <w:rsid w:val="00D04299"/>
    <w:rsid w:val="00D05A7A"/>
    <w:rsid w:val="00D12B80"/>
    <w:rsid w:val="00D13BD0"/>
    <w:rsid w:val="00D13D6F"/>
    <w:rsid w:val="00D15E1F"/>
    <w:rsid w:val="00D165F4"/>
    <w:rsid w:val="00D20CC5"/>
    <w:rsid w:val="00D217AC"/>
    <w:rsid w:val="00D31BE1"/>
    <w:rsid w:val="00D3493F"/>
    <w:rsid w:val="00D37973"/>
    <w:rsid w:val="00D41F46"/>
    <w:rsid w:val="00D42754"/>
    <w:rsid w:val="00D4323D"/>
    <w:rsid w:val="00D455A4"/>
    <w:rsid w:val="00D5265D"/>
    <w:rsid w:val="00D62E09"/>
    <w:rsid w:val="00D64101"/>
    <w:rsid w:val="00D64FFD"/>
    <w:rsid w:val="00D70AAA"/>
    <w:rsid w:val="00D71684"/>
    <w:rsid w:val="00D767E6"/>
    <w:rsid w:val="00D76D7C"/>
    <w:rsid w:val="00D77A0C"/>
    <w:rsid w:val="00D8131B"/>
    <w:rsid w:val="00D81D94"/>
    <w:rsid w:val="00D8420C"/>
    <w:rsid w:val="00D84DE0"/>
    <w:rsid w:val="00D9193B"/>
    <w:rsid w:val="00D96FBA"/>
    <w:rsid w:val="00DA239C"/>
    <w:rsid w:val="00DB3228"/>
    <w:rsid w:val="00DB3721"/>
    <w:rsid w:val="00DB3D04"/>
    <w:rsid w:val="00DC72F1"/>
    <w:rsid w:val="00DD00BE"/>
    <w:rsid w:val="00DD02D4"/>
    <w:rsid w:val="00DD0953"/>
    <w:rsid w:val="00DD1CB9"/>
    <w:rsid w:val="00DD1F77"/>
    <w:rsid w:val="00DD2637"/>
    <w:rsid w:val="00DE644A"/>
    <w:rsid w:val="00DF47DC"/>
    <w:rsid w:val="00DF6884"/>
    <w:rsid w:val="00DF6E16"/>
    <w:rsid w:val="00DF703D"/>
    <w:rsid w:val="00E00218"/>
    <w:rsid w:val="00E018E1"/>
    <w:rsid w:val="00E024C1"/>
    <w:rsid w:val="00E0484E"/>
    <w:rsid w:val="00E07AC4"/>
    <w:rsid w:val="00E10305"/>
    <w:rsid w:val="00E1136D"/>
    <w:rsid w:val="00E116BA"/>
    <w:rsid w:val="00E11D29"/>
    <w:rsid w:val="00E15447"/>
    <w:rsid w:val="00E15B7B"/>
    <w:rsid w:val="00E17864"/>
    <w:rsid w:val="00E20773"/>
    <w:rsid w:val="00E2107F"/>
    <w:rsid w:val="00E23059"/>
    <w:rsid w:val="00E33146"/>
    <w:rsid w:val="00E37F50"/>
    <w:rsid w:val="00E40942"/>
    <w:rsid w:val="00E50E6F"/>
    <w:rsid w:val="00E539B3"/>
    <w:rsid w:val="00E55EC8"/>
    <w:rsid w:val="00E56469"/>
    <w:rsid w:val="00E57209"/>
    <w:rsid w:val="00E5727D"/>
    <w:rsid w:val="00E67CE0"/>
    <w:rsid w:val="00E713A7"/>
    <w:rsid w:val="00E72404"/>
    <w:rsid w:val="00E74A15"/>
    <w:rsid w:val="00E7567F"/>
    <w:rsid w:val="00E773D7"/>
    <w:rsid w:val="00E821B6"/>
    <w:rsid w:val="00E8572D"/>
    <w:rsid w:val="00E85807"/>
    <w:rsid w:val="00E900E0"/>
    <w:rsid w:val="00E9122B"/>
    <w:rsid w:val="00E93CFE"/>
    <w:rsid w:val="00E953B9"/>
    <w:rsid w:val="00EA0EBB"/>
    <w:rsid w:val="00EA1619"/>
    <w:rsid w:val="00EA49CE"/>
    <w:rsid w:val="00EA6CD3"/>
    <w:rsid w:val="00EB184B"/>
    <w:rsid w:val="00EC03E6"/>
    <w:rsid w:val="00EC218F"/>
    <w:rsid w:val="00EC4F17"/>
    <w:rsid w:val="00ED053C"/>
    <w:rsid w:val="00ED0A46"/>
    <w:rsid w:val="00ED18C9"/>
    <w:rsid w:val="00ED377A"/>
    <w:rsid w:val="00ED4255"/>
    <w:rsid w:val="00ED5CF7"/>
    <w:rsid w:val="00ED603E"/>
    <w:rsid w:val="00EE44FE"/>
    <w:rsid w:val="00EE4A54"/>
    <w:rsid w:val="00EE4C51"/>
    <w:rsid w:val="00EE573A"/>
    <w:rsid w:val="00EE61BD"/>
    <w:rsid w:val="00EE7BA0"/>
    <w:rsid w:val="00EF2696"/>
    <w:rsid w:val="00EF55B6"/>
    <w:rsid w:val="00EF602C"/>
    <w:rsid w:val="00F019FA"/>
    <w:rsid w:val="00F02EB7"/>
    <w:rsid w:val="00F0662E"/>
    <w:rsid w:val="00F066C5"/>
    <w:rsid w:val="00F117F6"/>
    <w:rsid w:val="00F149F8"/>
    <w:rsid w:val="00F15773"/>
    <w:rsid w:val="00F30608"/>
    <w:rsid w:val="00F32822"/>
    <w:rsid w:val="00F352DD"/>
    <w:rsid w:val="00F40762"/>
    <w:rsid w:val="00F40F20"/>
    <w:rsid w:val="00F418C2"/>
    <w:rsid w:val="00F449A8"/>
    <w:rsid w:val="00F44B3E"/>
    <w:rsid w:val="00F51164"/>
    <w:rsid w:val="00F52F0B"/>
    <w:rsid w:val="00F53217"/>
    <w:rsid w:val="00F542FA"/>
    <w:rsid w:val="00F652EB"/>
    <w:rsid w:val="00F70443"/>
    <w:rsid w:val="00F7097D"/>
    <w:rsid w:val="00F716EF"/>
    <w:rsid w:val="00F77D50"/>
    <w:rsid w:val="00F81A0A"/>
    <w:rsid w:val="00F9016C"/>
    <w:rsid w:val="00F929ED"/>
    <w:rsid w:val="00F9305D"/>
    <w:rsid w:val="00F948CA"/>
    <w:rsid w:val="00F9522F"/>
    <w:rsid w:val="00FA3AB1"/>
    <w:rsid w:val="00FA4EC5"/>
    <w:rsid w:val="00FA5EE1"/>
    <w:rsid w:val="00FB0CA1"/>
    <w:rsid w:val="00FB1472"/>
    <w:rsid w:val="00FC3C7A"/>
    <w:rsid w:val="00FC6839"/>
    <w:rsid w:val="00FD061B"/>
    <w:rsid w:val="00FD5F34"/>
    <w:rsid w:val="00FD5FEF"/>
    <w:rsid w:val="00FE2D33"/>
    <w:rsid w:val="00FE37E7"/>
    <w:rsid w:val="00FE6FC3"/>
    <w:rsid w:val="00FE76D2"/>
    <w:rsid w:val="00FE7A91"/>
    <w:rsid w:val="00FF22AC"/>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Revision">
    <w:name w:val="Revision"/>
    <w:hidden/>
    <w:uiPriority w:val="99"/>
    <w:semiHidden/>
    <w:rsid w:val="00822B60"/>
    <w:pPr>
      <w:spacing w:after="0" w:line="240" w:lineRule="auto"/>
    </w:pPr>
    <w:rPr>
      <w:rFonts w:ascii="Times New Roman" w:eastAsia="Calibr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73505203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20927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F979-1D5A-45DC-A767-291AC526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4922</Words>
  <Characters>2807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2017-10-24T08:40:00Z</dcterms:created>
  <dcterms:modified xsi:type="dcterms:W3CDTF">2017-10-24T11:20:00Z</dcterms:modified>
</cp:coreProperties>
</file>