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97" w:rsidRPr="008331E1" w:rsidRDefault="00C56397" w:rsidP="00C56397">
      <w:pPr>
        <w:pStyle w:val="naisf"/>
        <w:spacing w:before="0" w:after="0"/>
        <w:ind w:firstLine="0"/>
        <w:jc w:val="center"/>
        <w:rPr>
          <w:b/>
          <w:sz w:val="28"/>
          <w:szCs w:val="28"/>
          <w:lang w:val="lv-LV"/>
        </w:rPr>
      </w:pPr>
      <w:bookmarkStart w:id="0" w:name="_GoBack"/>
      <w:bookmarkEnd w:id="0"/>
      <w:r w:rsidRPr="008331E1">
        <w:rPr>
          <w:b/>
          <w:sz w:val="28"/>
          <w:szCs w:val="28"/>
          <w:lang w:val="lv-LV"/>
        </w:rPr>
        <w:t>Informatīvais ziņojums</w:t>
      </w:r>
    </w:p>
    <w:p w:rsidR="00C56397" w:rsidRPr="008331E1" w:rsidRDefault="00C56397" w:rsidP="00C56397">
      <w:pPr>
        <w:tabs>
          <w:tab w:val="left" w:pos="6740"/>
        </w:tabs>
        <w:jc w:val="center"/>
        <w:rPr>
          <w:b/>
          <w:sz w:val="28"/>
          <w:szCs w:val="28"/>
        </w:rPr>
      </w:pPr>
      <w:r w:rsidRPr="008331E1">
        <w:rPr>
          <w:b/>
          <w:sz w:val="28"/>
          <w:szCs w:val="28"/>
        </w:rPr>
        <w:t xml:space="preserve">“Par </w:t>
      </w:r>
      <w:r>
        <w:rPr>
          <w:b/>
          <w:sz w:val="28"/>
          <w:szCs w:val="28"/>
        </w:rPr>
        <w:t xml:space="preserve">Ministru kabineta 2017.gada 24.janvāra sēdes </w:t>
      </w:r>
      <w:proofErr w:type="spellStart"/>
      <w:r>
        <w:rPr>
          <w:b/>
          <w:sz w:val="28"/>
          <w:szCs w:val="28"/>
        </w:rPr>
        <w:t>protokoluzdevum</w:t>
      </w:r>
      <w:r w:rsidR="00BC7021">
        <w:rPr>
          <w:b/>
          <w:sz w:val="28"/>
          <w:szCs w:val="28"/>
        </w:rPr>
        <w:t>u</w:t>
      </w:r>
      <w:proofErr w:type="spellEnd"/>
      <w:r>
        <w:rPr>
          <w:b/>
          <w:sz w:val="28"/>
          <w:szCs w:val="28"/>
        </w:rPr>
        <w:t xml:space="preserve"> (protokola Nr.4 40</w:t>
      </w:r>
      <w:r w:rsidRPr="00C56397">
        <w:rPr>
          <w:b/>
          <w:sz w:val="28"/>
          <w:szCs w:val="28"/>
        </w:rPr>
        <w:t>.§ 3</w:t>
      </w:r>
      <w:r>
        <w:rPr>
          <w:b/>
          <w:sz w:val="28"/>
          <w:szCs w:val="28"/>
        </w:rPr>
        <w:t>.</w:t>
      </w:r>
      <w:r w:rsidR="00BC7021">
        <w:rPr>
          <w:b/>
          <w:sz w:val="28"/>
          <w:szCs w:val="28"/>
        </w:rPr>
        <w:t xml:space="preserve"> un 4.</w:t>
      </w:r>
      <w:r>
        <w:rPr>
          <w:b/>
          <w:sz w:val="28"/>
          <w:szCs w:val="28"/>
        </w:rPr>
        <w:t xml:space="preserve">punkts) </w:t>
      </w:r>
      <w:r w:rsidR="00553CCF">
        <w:rPr>
          <w:b/>
          <w:sz w:val="28"/>
          <w:szCs w:val="28"/>
        </w:rPr>
        <w:t>atzīšanu par aktualitāti zaudējušiem</w:t>
      </w:r>
      <w:r w:rsidRPr="008331E1">
        <w:rPr>
          <w:b/>
          <w:sz w:val="28"/>
          <w:szCs w:val="28"/>
        </w:rPr>
        <w:t>”</w:t>
      </w:r>
    </w:p>
    <w:p w:rsidR="00C56397" w:rsidRDefault="00C56397" w:rsidP="00C56397">
      <w:pPr>
        <w:pStyle w:val="Heading1"/>
      </w:pPr>
      <w:bookmarkStart w:id="1" w:name="_Toc475637480"/>
    </w:p>
    <w:p w:rsidR="00C56397" w:rsidRDefault="00C56397" w:rsidP="00C56397">
      <w:pPr>
        <w:pStyle w:val="Heading1"/>
        <w:ind w:firstLine="0"/>
      </w:pPr>
      <w:r>
        <w:t>SAĪSINĀJUMI</w:t>
      </w:r>
      <w:bookmarkEnd w:id="1"/>
    </w:p>
    <w:p w:rsidR="00C56397" w:rsidRPr="00D24A56" w:rsidRDefault="00C56397" w:rsidP="00C56397"/>
    <w:p w:rsidR="00C56397" w:rsidRDefault="00C56397" w:rsidP="00C56397">
      <w:pPr>
        <w:pStyle w:val="NoSpacing"/>
        <w:rPr>
          <w:b/>
        </w:rPr>
      </w:pPr>
      <w:r>
        <w:rPr>
          <w:b/>
        </w:rPr>
        <w:t>BIS</w:t>
      </w:r>
      <w:r w:rsidRPr="00007C11">
        <w:rPr>
          <w:b/>
        </w:rPr>
        <w:t xml:space="preserve"> -</w:t>
      </w:r>
      <w:r>
        <w:rPr>
          <w:b/>
        </w:rPr>
        <w:t xml:space="preserve"> </w:t>
      </w:r>
      <w:r>
        <w:rPr>
          <w:szCs w:val="28"/>
        </w:rPr>
        <w:t>Būvniecības informācijas sistēma</w:t>
      </w:r>
    </w:p>
    <w:p w:rsidR="00C56397" w:rsidRDefault="00C56397" w:rsidP="00C56397">
      <w:pPr>
        <w:pStyle w:val="NoSpacing"/>
        <w:rPr>
          <w:b/>
        </w:rPr>
      </w:pPr>
      <w:r>
        <w:rPr>
          <w:b/>
        </w:rPr>
        <w:t xml:space="preserve">BVKB – </w:t>
      </w:r>
      <w:r w:rsidRPr="007736D5">
        <w:t>Būvniecības valsts kontroles birojs</w:t>
      </w:r>
    </w:p>
    <w:p w:rsidR="00DA1BC7" w:rsidRDefault="00DA1BC7" w:rsidP="00C56397">
      <w:pPr>
        <w:pStyle w:val="NoSpacing"/>
        <w:rPr>
          <w:b/>
        </w:rPr>
      </w:pPr>
      <w:r>
        <w:rPr>
          <w:b/>
        </w:rPr>
        <w:t xml:space="preserve">CSP </w:t>
      </w:r>
      <w:r w:rsidRPr="00DA1BC7">
        <w:t>– Centrālā statistikas pārvalde</w:t>
      </w:r>
    </w:p>
    <w:p w:rsidR="00A11999" w:rsidRPr="00A11999" w:rsidRDefault="00A11999" w:rsidP="00C56397">
      <w:pPr>
        <w:pStyle w:val="NoSpacing"/>
      </w:pPr>
      <w:r>
        <w:rPr>
          <w:b/>
        </w:rPr>
        <w:t xml:space="preserve">EDS </w:t>
      </w:r>
      <w:r w:rsidRPr="00A11999">
        <w:t>– elektroniskā</w:t>
      </w:r>
      <w:r w:rsidR="0066614D">
        <w:t>s</w:t>
      </w:r>
      <w:r w:rsidRPr="00A11999">
        <w:t xml:space="preserve"> deklarēšan</w:t>
      </w:r>
      <w:r w:rsidR="0066614D">
        <w:t>a</w:t>
      </w:r>
      <w:r w:rsidRPr="00A11999">
        <w:t>s sistēma</w:t>
      </w:r>
    </w:p>
    <w:p w:rsidR="00C56397" w:rsidRDefault="00C56397" w:rsidP="00C56397">
      <w:pPr>
        <w:pStyle w:val="NoSpacing"/>
      </w:pPr>
      <w:r w:rsidRPr="0016708A">
        <w:rPr>
          <w:b/>
        </w:rPr>
        <w:t>EM</w:t>
      </w:r>
      <w:r>
        <w:t xml:space="preserve"> – Ekonomikas ministrija</w:t>
      </w:r>
    </w:p>
    <w:p w:rsidR="002D4965" w:rsidRDefault="002D4965" w:rsidP="00C56397">
      <w:pPr>
        <w:pStyle w:val="NoSpacing"/>
      </w:pPr>
      <w:r>
        <w:rPr>
          <w:b/>
        </w:rPr>
        <w:t xml:space="preserve">IT </w:t>
      </w:r>
      <w:r w:rsidRPr="002D4965">
        <w:t>– informācijas tehnoloģijas</w:t>
      </w:r>
    </w:p>
    <w:p w:rsidR="00ED4AA0" w:rsidRDefault="00ED4AA0" w:rsidP="00C56397">
      <w:pPr>
        <w:pStyle w:val="NoSpacing"/>
        <w:rPr>
          <w:b/>
        </w:rPr>
      </w:pPr>
      <w:r>
        <w:rPr>
          <w:b/>
        </w:rPr>
        <w:t xml:space="preserve">LBP </w:t>
      </w:r>
      <w:r w:rsidRPr="00ED4AA0">
        <w:t>– Latvijas Būvniecības padome</w:t>
      </w:r>
    </w:p>
    <w:p w:rsidR="00C56397" w:rsidRDefault="00C56397" w:rsidP="00C56397">
      <w:pPr>
        <w:pStyle w:val="NoSpacing"/>
        <w:rPr>
          <w:b/>
        </w:rPr>
      </w:pPr>
      <w:r>
        <w:rPr>
          <w:b/>
        </w:rPr>
        <w:t xml:space="preserve">VARAM - </w:t>
      </w:r>
      <w:r w:rsidRPr="007F1907">
        <w:rPr>
          <w:szCs w:val="28"/>
        </w:rPr>
        <w:t>Vides aizsardzības un r</w:t>
      </w:r>
      <w:r>
        <w:rPr>
          <w:szCs w:val="28"/>
        </w:rPr>
        <w:t>eģionālās attīstības ministrija</w:t>
      </w:r>
    </w:p>
    <w:p w:rsidR="00AC6E8B" w:rsidRDefault="00AC6E8B" w:rsidP="00AC6E8B">
      <w:pPr>
        <w:pStyle w:val="NoSpacing"/>
      </w:pPr>
      <w:r>
        <w:rPr>
          <w:b/>
        </w:rPr>
        <w:t xml:space="preserve">VID </w:t>
      </w:r>
      <w:r>
        <w:t>– Valsts ieņēmumu dienests</w:t>
      </w:r>
    </w:p>
    <w:p w:rsidR="00C56397" w:rsidRDefault="00C56397" w:rsidP="00C56397">
      <w:pPr>
        <w:pStyle w:val="NoSpacing"/>
      </w:pPr>
      <w:r>
        <w:rPr>
          <w:b/>
        </w:rPr>
        <w:t xml:space="preserve">VRAA – </w:t>
      </w:r>
      <w:r w:rsidRPr="00C56397">
        <w:t xml:space="preserve">Valsts </w:t>
      </w:r>
      <w:r>
        <w:t>r</w:t>
      </w:r>
      <w:r w:rsidRPr="00C56397">
        <w:t>eģionālās attīstības aģentūra</w:t>
      </w:r>
    </w:p>
    <w:p w:rsidR="00AC6E8B" w:rsidRDefault="00AC6E8B" w:rsidP="00C56397">
      <w:pPr>
        <w:pStyle w:val="NoSpacing"/>
        <w:rPr>
          <w:b/>
        </w:rPr>
      </w:pPr>
      <w:r>
        <w:rPr>
          <w:b/>
        </w:rPr>
        <w:t xml:space="preserve">VSS </w:t>
      </w:r>
      <w:r w:rsidRPr="00AC6E8B">
        <w:t>– Valsts Sekretāru sanāksme</w:t>
      </w:r>
    </w:p>
    <w:p w:rsidR="001C03FF" w:rsidRDefault="001C03FF"/>
    <w:p w:rsidR="00F073AC" w:rsidRDefault="00F073AC" w:rsidP="00BC7021">
      <w:pPr>
        <w:spacing w:before="60" w:after="60"/>
        <w:ind w:firstLine="851"/>
        <w:jc w:val="both"/>
        <w:rPr>
          <w:sz w:val="28"/>
          <w:szCs w:val="28"/>
        </w:rPr>
      </w:pPr>
    </w:p>
    <w:p w:rsidR="00F073AC" w:rsidRDefault="00F073AC" w:rsidP="00BC7021">
      <w:pPr>
        <w:spacing w:before="60" w:after="60"/>
        <w:ind w:firstLine="851"/>
        <w:jc w:val="both"/>
        <w:rPr>
          <w:sz w:val="28"/>
          <w:szCs w:val="28"/>
        </w:rPr>
      </w:pPr>
    </w:p>
    <w:p w:rsidR="00F073AC" w:rsidRDefault="00F073AC" w:rsidP="00BC7021">
      <w:pPr>
        <w:spacing w:before="60" w:after="60"/>
        <w:ind w:firstLine="851"/>
        <w:jc w:val="both"/>
        <w:rPr>
          <w:sz w:val="28"/>
          <w:szCs w:val="28"/>
        </w:rPr>
      </w:pPr>
    </w:p>
    <w:p w:rsidR="00BC7021" w:rsidRDefault="00BC7021" w:rsidP="00BC7021">
      <w:pPr>
        <w:spacing w:before="60" w:after="60"/>
        <w:ind w:firstLine="851"/>
        <w:jc w:val="both"/>
        <w:rPr>
          <w:sz w:val="28"/>
          <w:szCs w:val="28"/>
        </w:rPr>
      </w:pPr>
      <w:r w:rsidRPr="00BC7021">
        <w:rPr>
          <w:sz w:val="28"/>
          <w:szCs w:val="28"/>
        </w:rPr>
        <w:t xml:space="preserve">Informatīvais ziņojums “Par Ministru kabineta 2017.gada 24.janvāra sēdes </w:t>
      </w:r>
      <w:proofErr w:type="spellStart"/>
      <w:r w:rsidRPr="00BC7021">
        <w:rPr>
          <w:sz w:val="28"/>
          <w:szCs w:val="28"/>
        </w:rPr>
        <w:t>protokoluzdevumu</w:t>
      </w:r>
      <w:proofErr w:type="spellEnd"/>
      <w:r w:rsidRPr="00BC7021">
        <w:rPr>
          <w:sz w:val="28"/>
          <w:szCs w:val="28"/>
        </w:rPr>
        <w:t xml:space="preserve"> (protokola Nr.4 40.§ 3. un 4.punkts) grozīšanu” (turpmāk – informatīvais ziņojums) sagatavots </w:t>
      </w:r>
      <w:r>
        <w:rPr>
          <w:sz w:val="28"/>
          <w:szCs w:val="28"/>
        </w:rPr>
        <w:t>pēc EM iniciatīvas</w:t>
      </w:r>
      <w:r w:rsidR="00FF26E8">
        <w:rPr>
          <w:sz w:val="28"/>
          <w:szCs w:val="28"/>
        </w:rPr>
        <w:t xml:space="preserve"> atbilstoši Ministru kabineta 2009.gada 17.aprīļ noteikumu Nr.300 “Ministru kabineta kārtības rullis” </w:t>
      </w:r>
      <w:r w:rsidR="005F1DE4">
        <w:rPr>
          <w:sz w:val="28"/>
          <w:szCs w:val="28"/>
        </w:rPr>
        <w:t xml:space="preserve">58. un </w:t>
      </w:r>
      <w:r w:rsidR="005F1DE4" w:rsidRPr="005F1DE4">
        <w:rPr>
          <w:sz w:val="28"/>
          <w:szCs w:val="28"/>
        </w:rPr>
        <w:t>249</w:t>
      </w:r>
      <w:r w:rsidR="00FF26E8">
        <w:rPr>
          <w:sz w:val="28"/>
          <w:szCs w:val="28"/>
        </w:rPr>
        <w:t>. punktā noteiktajam</w:t>
      </w:r>
      <w:r w:rsidRPr="00BC7021">
        <w:rPr>
          <w:sz w:val="28"/>
          <w:szCs w:val="28"/>
        </w:rPr>
        <w:t>.</w:t>
      </w:r>
    </w:p>
    <w:p w:rsidR="00C60974" w:rsidRDefault="00C60974" w:rsidP="00C60974">
      <w:pPr>
        <w:spacing w:before="60" w:after="60"/>
        <w:ind w:firstLine="851"/>
        <w:jc w:val="center"/>
        <w:rPr>
          <w:b/>
          <w:sz w:val="28"/>
          <w:szCs w:val="28"/>
        </w:rPr>
      </w:pPr>
    </w:p>
    <w:p w:rsidR="00C60974" w:rsidRPr="00C60974" w:rsidRDefault="00C60974" w:rsidP="00C60974">
      <w:pPr>
        <w:spacing w:before="60" w:after="60"/>
        <w:jc w:val="center"/>
        <w:rPr>
          <w:b/>
          <w:sz w:val="28"/>
          <w:szCs w:val="28"/>
        </w:rPr>
      </w:pPr>
      <w:r w:rsidRPr="00C60974">
        <w:rPr>
          <w:b/>
          <w:sz w:val="28"/>
          <w:szCs w:val="28"/>
        </w:rPr>
        <w:t>1. Situācijas raksturojums</w:t>
      </w:r>
    </w:p>
    <w:p w:rsidR="00C60974" w:rsidRDefault="00C60974" w:rsidP="00BC7021">
      <w:pPr>
        <w:spacing w:before="60" w:after="60"/>
        <w:ind w:firstLine="851"/>
        <w:jc w:val="both"/>
        <w:rPr>
          <w:sz w:val="28"/>
          <w:szCs w:val="28"/>
        </w:rPr>
      </w:pPr>
    </w:p>
    <w:p w:rsidR="00C0752D" w:rsidRDefault="004D7EDF" w:rsidP="00BC7021">
      <w:pPr>
        <w:spacing w:before="60" w:after="60"/>
        <w:ind w:firstLine="851"/>
        <w:jc w:val="both"/>
        <w:rPr>
          <w:sz w:val="28"/>
          <w:szCs w:val="28"/>
        </w:rPr>
      </w:pPr>
      <w:r>
        <w:rPr>
          <w:sz w:val="28"/>
          <w:szCs w:val="28"/>
        </w:rPr>
        <w:t xml:space="preserve">Atbilstoši Ministru kabineta </w:t>
      </w:r>
      <w:r w:rsidRPr="004D7EDF">
        <w:rPr>
          <w:sz w:val="28"/>
          <w:szCs w:val="28"/>
        </w:rPr>
        <w:t xml:space="preserve">2017.gada 24.janvāra sēdes </w:t>
      </w:r>
      <w:proofErr w:type="spellStart"/>
      <w:r w:rsidRPr="004D7EDF">
        <w:rPr>
          <w:sz w:val="28"/>
          <w:szCs w:val="28"/>
        </w:rPr>
        <w:t>protokoluzdevum</w:t>
      </w:r>
      <w:r w:rsidR="003C13DA">
        <w:rPr>
          <w:sz w:val="28"/>
          <w:szCs w:val="28"/>
        </w:rPr>
        <w:t>a</w:t>
      </w:r>
      <w:r>
        <w:rPr>
          <w:sz w:val="28"/>
          <w:szCs w:val="28"/>
        </w:rPr>
        <w:t>m</w:t>
      </w:r>
      <w:proofErr w:type="spellEnd"/>
      <w:r w:rsidRPr="004D7EDF">
        <w:rPr>
          <w:sz w:val="28"/>
          <w:szCs w:val="28"/>
        </w:rPr>
        <w:t xml:space="preserve"> (protokola Nr.4 40.§</w:t>
      </w:r>
      <w:r w:rsidR="0074163E">
        <w:rPr>
          <w:sz w:val="28"/>
          <w:szCs w:val="28"/>
        </w:rPr>
        <w:t>)</w:t>
      </w:r>
      <w:r w:rsidR="003C13DA">
        <w:rPr>
          <w:sz w:val="28"/>
          <w:szCs w:val="28"/>
        </w:rPr>
        <w:t xml:space="preserve"> (turpmāk – </w:t>
      </w:r>
      <w:proofErr w:type="spellStart"/>
      <w:r w:rsidR="003C13DA">
        <w:rPr>
          <w:sz w:val="28"/>
          <w:szCs w:val="28"/>
        </w:rPr>
        <w:t>protokoluzdevum</w:t>
      </w:r>
      <w:r w:rsidR="00AC6E8B">
        <w:rPr>
          <w:sz w:val="28"/>
          <w:szCs w:val="28"/>
        </w:rPr>
        <w:t>s</w:t>
      </w:r>
      <w:proofErr w:type="spellEnd"/>
      <w:r w:rsidR="00AC6E8B">
        <w:rPr>
          <w:sz w:val="28"/>
          <w:szCs w:val="28"/>
        </w:rPr>
        <w:t>)</w:t>
      </w:r>
      <w:r w:rsidR="003C13DA">
        <w:rPr>
          <w:sz w:val="28"/>
          <w:szCs w:val="28"/>
        </w:rPr>
        <w:t xml:space="preserve"> 3.punkt</w:t>
      </w:r>
      <w:r w:rsidR="00AC6E8B">
        <w:rPr>
          <w:sz w:val="28"/>
          <w:szCs w:val="28"/>
        </w:rPr>
        <w:t>am</w:t>
      </w:r>
      <w:r w:rsidR="003C13DA">
        <w:rPr>
          <w:sz w:val="28"/>
          <w:szCs w:val="28"/>
        </w:rPr>
        <w:t>,</w:t>
      </w:r>
      <w:r>
        <w:rPr>
          <w:sz w:val="28"/>
          <w:szCs w:val="28"/>
        </w:rPr>
        <w:t xml:space="preserve"> </w:t>
      </w:r>
      <w:r w:rsidR="003C13DA">
        <w:rPr>
          <w:sz w:val="28"/>
          <w:szCs w:val="28"/>
        </w:rPr>
        <w:t>nolūkā i</w:t>
      </w:r>
      <w:r w:rsidR="003C13DA" w:rsidRPr="003C13DA">
        <w:rPr>
          <w:sz w:val="28"/>
          <w:szCs w:val="28"/>
        </w:rPr>
        <w:t>zstrādāt un iesniegt izskatīšanai Ministru kabinetā grozījumus Ministru kabineta 2016.gada 12.aprīļa noteikumos Nr.211 "Būvkomersantu klasifikācijas noteikumi"</w:t>
      </w:r>
      <w:r w:rsidR="003C13DA">
        <w:rPr>
          <w:sz w:val="28"/>
          <w:szCs w:val="28"/>
        </w:rPr>
        <w:t xml:space="preserve"> (turpmāk – noteikumi Nr.211)</w:t>
      </w:r>
      <w:r w:rsidR="003C13DA" w:rsidRPr="003C13DA">
        <w:rPr>
          <w:sz w:val="28"/>
          <w:szCs w:val="28"/>
        </w:rPr>
        <w:t xml:space="preserve">, </w:t>
      </w:r>
      <w:r w:rsidR="003C13DA">
        <w:rPr>
          <w:sz w:val="28"/>
          <w:szCs w:val="28"/>
        </w:rPr>
        <w:t xml:space="preserve">ar kuriem tiktu </w:t>
      </w:r>
      <w:r w:rsidR="003C13DA" w:rsidRPr="003C13DA">
        <w:rPr>
          <w:sz w:val="28"/>
          <w:szCs w:val="28"/>
        </w:rPr>
        <w:t>no</w:t>
      </w:r>
      <w:r w:rsidR="003C13DA">
        <w:rPr>
          <w:sz w:val="28"/>
          <w:szCs w:val="28"/>
        </w:rPr>
        <w:t>teikts</w:t>
      </w:r>
      <w:r w:rsidR="003C13DA" w:rsidRPr="003C13DA">
        <w:rPr>
          <w:sz w:val="28"/>
          <w:szCs w:val="28"/>
        </w:rPr>
        <w:t xml:space="preserve"> zemāk</w:t>
      </w:r>
      <w:r w:rsidR="003C13DA">
        <w:rPr>
          <w:sz w:val="28"/>
          <w:szCs w:val="28"/>
        </w:rPr>
        <w:t>s</w:t>
      </w:r>
      <w:r w:rsidR="003C13DA" w:rsidRPr="003C13DA">
        <w:rPr>
          <w:sz w:val="28"/>
          <w:szCs w:val="28"/>
        </w:rPr>
        <w:t xml:space="preserve"> vērtējum</w:t>
      </w:r>
      <w:r w:rsidR="003C13DA">
        <w:rPr>
          <w:sz w:val="28"/>
          <w:szCs w:val="28"/>
        </w:rPr>
        <w:t>s</w:t>
      </w:r>
      <w:r w:rsidR="003C13DA" w:rsidRPr="003C13DA">
        <w:rPr>
          <w:sz w:val="28"/>
          <w:szCs w:val="28"/>
        </w:rPr>
        <w:t xml:space="preserve"> tiem būvkomersantiem, kas maksā darba algas zem vidējās stund</w:t>
      </w:r>
      <w:r w:rsidR="002A6C6B">
        <w:rPr>
          <w:sz w:val="28"/>
          <w:szCs w:val="28"/>
        </w:rPr>
        <w:t>as</w:t>
      </w:r>
      <w:r w:rsidR="003C13DA" w:rsidRPr="003C13DA">
        <w:rPr>
          <w:sz w:val="28"/>
          <w:szCs w:val="28"/>
        </w:rPr>
        <w:t xml:space="preserve"> tarifa likmes attiecīgajā būvniecības profesiju grupā</w:t>
      </w:r>
      <w:r w:rsidR="003C13DA">
        <w:rPr>
          <w:sz w:val="28"/>
          <w:szCs w:val="28"/>
        </w:rPr>
        <w:t xml:space="preserve">, EM, </w:t>
      </w:r>
      <w:r w:rsidR="00135734">
        <w:rPr>
          <w:sz w:val="28"/>
          <w:szCs w:val="28"/>
        </w:rPr>
        <w:t xml:space="preserve">konsultējoties </w:t>
      </w:r>
      <w:r w:rsidR="003C13DA">
        <w:rPr>
          <w:sz w:val="28"/>
          <w:szCs w:val="28"/>
        </w:rPr>
        <w:t>ar VRAA un VID par E</w:t>
      </w:r>
      <w:r w:rsidR="003C13DA" w:rsidRPr="004D7EDF">
        <w:rPr>
          <w:sz w:val="28"/>
          <w:szCs w:val="28"/>
        </w:rPr>
        <w:t>iropas Reģionālās attīstības fonda finansētā projekta "E-iepirkumu un e-izsoļu platformas attīstība" ietvaros izstrādā</w:t>
      </w:r>
      <w:r w:rsidR="003C13DA">
        <w:rPr>
          <w:sz w:val="28"/>
          <w:szCs w:val="28"/>
        </w:rPr>
        <w:t>jamā</w:t>
      </w:r>
      <w:r w:rsidR="003C13DA" w:rsidRPr="004D7EDF">
        <w:rPr>
          <w:sz w:val="28"/>
          <w:szCs w:val="28"/>
        </w:rPr>
        <w:t xml:space="preserve"> integrācijas servisu datu apmaiņ</w:t>
      </w:r>
      <w:r w:rsidR="003C13DA">
        <w:rPr>
          <w:sz w:val="28"/>
          <w:szCs w:val="28"/>
        </w:rPr>
        <w:t>ai</w:t>
      </w:r>
      <w:r w:rsidR="003C13DA" w:rsidRPr="004D7EDF">
        <w:rPr>
          <w:sz w:val="28"/>
          <w:szCs w:val="28"/>
        </w:rPr>
        <w:t xml:space="preserve"> vidējās stundas tarifa likmes profesiju grupās uzņēmumā salīdzināšanai ar attiecīgo vidējo likmi valstī</w:t>
      </w:r>
      <w:r w:rsidR="000513F6">
        <w:rPr>
          <w:sz w:val="28"/>
          <w:szCs w:val="28"/>
        </w:rPr>
        <w:t xml:space="preserve"> </w:t>
      </w:r>
      <w:r w:rsidR="00135734">
        <w:rPr>
          <w:sz w:val="28"/>
          <w:szCs w:val="28"/>
        </w:rPr>
        <w:t xml:space="preserve">funkcionalitāti un sadarbojoties piemērotākā risinājuma izstrādē, </w:t>
      </w:r>
      <w:r w:rsidR="0034687A">
        <w:rPr>
          <w:sz w:val="28"/>
          <w:szCs w:val="28"/>
        </w:rPr>
        <w:t>sagatavoja</w:t>
      </w:r>
      <w:r w:rsidR="00AC6E8B">
        <w:rPr>
          <w:sz w:val="28"/>
          <w:szCs w:val="28"/>
        </w:rPr>
        <w:t xml:space="preserve"> </w:t>
      </w:r>
      <w:r w:rsidR="000A2A25">
        <w:rPr>
          <w:sz w:val="28"/>
          <w:szCs w:val="28"/>
        </w:rPr>
        <w:t xml:space="preserve">un </w:t>
      </w:r>
      <w:r w:rsidR="000A2A25">
        <w:rPr>
          <w:sz w:val="28"/>
          <w:szCs w:val="28"/>
        </w:rPr>
        <w:lastRenderedPageBreak/>
        <w:t>iesniedza izsludināšana VSS</w:t>
      </w:r>
      <w:r w:rsidR="000A2A25">
        <w:rPr>
          <w:rStyle w:val="FootnoteReference"/>
          <w:sz w:val="28"/>
          <w:szCs w:val="28"/>
        </w:rPr>
        <w:footnoteReference w:id="1"/>
      </w:r>
      <w:r w:rsidR="00AC6E8B">
        <w:rPr>
          <w:sz w:val="28"/>
          <w:szCs w:val="28"/>
        </w:rPr>
        <w:t xml:space="preserve"> </w:t>
      </w:r>
      <w:r w:rsidR="0034687A">
        <w:rPr>
          <w:sz w:val="28"/>
          <w:szCs w:val="28"/>
        </w:rPr>
        <w:t>grozījumus noteikumu Nr.211 28.</w:t>
      </w:r>
      <w:r w:rsidR="00C0752D">
        <w:rPr>
          <w:sz w:val="28"/>
          <w:szCs w:val="28"/>
        </w:rPr>
        <w:t>7.</w:t>
      </w:r>
      <w:r w:rsidR="0034687A">
        <w:rPr>
          <w:sz w:val="28"/>
          <w:szCs w:val="28"/>
        </w:rPr>
        <w:t xml:space="preserve"> un 34.3.</w:t>
      </w:r>
      <w:r w:rsidR="00C0752D">
        <w:rPr>
          <w:sz w:val="28"/>
          <w:szCs w:val="28"/>
        </w:rPr>
        <w:t>apakš</w:t>
      </w:r>
      <w:r w:rsidR="0034687A">
        <w:rPr>
          <w:sz w:val="28"/>
          <w:szCs w:val="28"/>
        </w:rPr>
        <w:t xml:space="preserve">punktā (8.kritērijs </w:t>
      </w:r>
      <w:r w:rsidR="0034687A" w:rsidRPr="0034687A">
        <w:rPr>
          <w:sz w:val="28"/>
          <w:szCs w:val="28"/>
        </w:rPr>
        <w:t>– darba samaksas rādītājs par iepriekšējo triju gadu periodu attiecībā pret vidējo darba samaksu nozarē</w:t>
      </w:r>
      <w:r w:rsidR="0034687A">
        <w:rPr>
          <w:sz w:val="28"/>
          <w:szCs w:val="28"/>
        </w:rPr>
        <w:t xml:space="preserve">). </w:t>
      </w:r>
    </w:p>
    <w:p w:rsidR="00883846" w:rsidRDefault="00E756E2" w:rsidP="00BC7021">
      <w:pPr>
        <w:spacing w:before="60" w:after="60"/>
        <w:ind w:firstLine="851"/>
        <w:jc w:val="both"/>
        <w:rPr>
          <w:sz w:val="28"/>
          <w:szCs w:val="28"/>
        </w:rPr>
      </w:pPr>
      <w:r w:rsidRPr="000A2A25">
        <w:rPr>
          <w:sz w:val="28"/>
          <w:szCs w:val="28"/>
        </w:rPr>
        <w:t>No noteikumos Nr.211</w:t>
      </w:r>
      <w:r w:rsidR="002A6C6B" w:rsidRPr="000A2A25">
        <w:rPr>
          <w:sz w:val="28"/>
          <w:szCs w:val="28"/>
        </w:rPr>
        <w:t xml:space="preserve"> ietvertā vērtējuma</w:t>
      </w:r>
      <w:r w:rsidRPr="000A2A25">
        <w:rPr>
          <w:sz w:val="28"/>
          <w:szCs w:val="28"/>
        </w:rPr>
        <w:t xml:space="preserve"> atšķirīga </w:t>
      </w:r>
      <w:r w:rsidR="002A6C6B" w:rsidRPr="000A2A25">
        <w:rPr>
          <w:sz w:val="28"/>
          <w:szCs w:val="28"/>
        </w:rPr>
        <w:t xml:space="preserve">principa </w:t>
      </w:r>
      <w:r w:rsidR="007751F1" w:rsidRPr="000A2A25">
        <w:rPr>
          <w:sz w:val="28"/>
          <w:szCs w:val="28"/>
        </w:rPr>
        <w:t>noteikšana</w:t>
      </w:r>
      <w:r w:rsidR="0034687A" w:rsidRPr="000A2A25">
        <w:rPr>
          <w:sz w:val="28"/>
          <w:szCs w:val="28"/>
        </w:rPr>
        <w:t xml:space="preserve"> faktiski izrietēja no vēlmes</w:t>
      </w:r>
      <w:r w:rsidR="0034687A" w:rsidRPr="00883846">
        <w:rPr>
          <w:b/>
          <w:sz w:val="28"/>
          <w:szCs w:val="28"/>
        </w:rPr>
        <w:t xml:space="preserve"> </w:t>
      </w:r>
      <w:r w:rsidR="002A6C6B" w:rsidRPr="00883846">
        <w:rPr>
          <w:b/>
          <w:sz w:val="28"/>
          <w:szCs w:val="28"/>
        </w:rPr>
        <w:t>veicināt reālās darba samaksas un nostrādātā darba laika uzrādīšanu, tādējādi uzlabojot konkurences apstākļus nozarē</w:t>
      </w:r>
      <w:r w:rsidR="000513F6">
        <w:rPr>
          <w:sz w:val="28"/>
          <w:szCs w:val="28"/>
        </w:rPr>
        <w:t>.</w:t>
      </w:r>
      <w:r w:rsidR="002A6C6B">
        <w:rPr>
          <w:sz w:val="28"/>
          <w:szCs w:val="28"/>
        </w:rPr>
        <w:t xml:space="preserve"> </w:t>
      </w:r>
    </w:p>
    <w:p w:rsidR="00AE0672" w:rsidRDefault="00AE0672" w:rsidP="00AE0672">
      <w:pPr>
        <w:spacing w:before="60" w:after="60"/>
        <w:ind w:firstLine="851"/>
        <w:jc w:val="both"/>
        <w:rPr>
          <w:sz w:val="28"/>
          <w:szCs w:val="28"/>
        </w:rPr>
      </w:pPr>
      <w:r>
        <w:rPr>
          <w:sz w:val="28"/>
          <w:szCs w:val="28"/>
        </w:rPr>
        <w:t xml:space="preserve">Uz problēmas apmēru norāda </w:t>
      </w:r>
      <w:r w:rsidR="000A2A25">
        <w:rPr>
          <w:sz w:val="28"/>
          <w:szCs w:val="28"/>
        </w:rPr>
        <w:t>profesora</w:t>
      </w:r>
      <w:r w:rsidR="00883846">
        <w:rPr>
          <w:sz w:val="28"/>
          <w:szCs w:val="28"/>
        </w:rPr>
        <w:t xml:space="preserve"> A</w:t>
      </w:r>
      <w:r w:rsidR="002D4965">
        <w:rPr>
          <w:sz w:val="28"/>
          <w:szCs w:val="28"/>
        </w:rPr>
        <w:t xml:space="preserve">rņa </w:t>
      </w:r>
      <w:r w:rsidR="00883846">
        <w:rPr>
          <w:sz w:val="28"/>
          <w:szCs w:val="28"/>
        </w:rPr>
        <w:t>Saukas pētījum</w:t>
      </w:r>
      <w:r>
        <w:rPr>
          <w:sz w:val="28"/>
          <w:szCs w:val="28"/>
        </w:rPr>
        <w:t>s</w:t>
      </w:r>
      <w:r w:rsidR="00883846">
        <w:rPr>
          <w:sz w:val="28"/>
          <w:szCs w:val="28"/>
        </w:rPr>
        <w:t xml:space="preserve"> “Ēnu ekonomika Latvijas būvniecības nozarē 2015-2016”</w:t>
      </w:r>
      <w:r w:rsidR="00883846">
        <w:rPr>
          <w:rStyle w:val="FootnoteReference"/>
          <w:sz w:val="28"/>
          <w:szCs w:val="28"/>
        </w:rPr>
        <w:footnoteReference w:id="2"/>
      </w:r>
      <w:r>
        <w:rPr>
          <w:sz w:val="28"/>
          <w:szCs w:val="28"/>
        </w:rPr>
        <w:t xml:space="preserve">, kurā konstatēts, ka </w:t>
      </w:r>
      <w:r w:rsidR="00C557FB">
        <w:rPr>
          <w:sz w:val="28"/>
          <w:szCs w:val="28"/>
        </w:rPr>
        <w:t>ēnu ekonomika nozarē 2016.gadā bijusi 38,5%</w:t>
      </w:r>
      <w:r>
        <w:rPr>
          <w:sz w:val="28"/>
          <w:szCs w:val="28"/>
        </w:rPr>
        <w:t>.</w:t>
      </w:r>
      <w:r w:rsidR="00C557FB">
        <w:rPr>
          <w:sz w:val="28"/>
          <w:szCs w:val="28"/>
        </w:rPr>
        <w:t xml:space="preserve"> </w:t>
      </w:r>
      <w:r>
        <w:rPr>
          <w:sz w:val="28"/>
          <w:szCs w:val="28"/>
        </w:rPr>
        <w:t>N</w:t>
      </w:r>
      <w:r w:rsidR="00C557FB">
        <w:rPr>
          <w:sz w:val="28"/>
          <w:szCs w:val="28"/>
        </w:rPr>
        <w:t xml:space="preserve">o tās uzņēmumu </w:t>
      </w:r>
      <w:r w:rsidR="00883846" w:rsidRPr="00883846">
        <w:rPr>
          <w:sz w:val="28"/>
          <w:szCs w:val="28"/>
        </w:rPr>
        <w:t xml:space="preserve">ienākumu neuzrādīšana </w:t>
      </w:r>
      <w:r w:rsidR="00883846">
        <w:rPr>
          <w:sz w:val="28"/>
          <w:szCs w:val="28"/>
        </w:rPr>
        <w:t xml:space="preserve">veido </w:t>
      </w:r>
      <w:r w:rsidR="00883846" w:rsidRPr="00883846">
        <w:rPr>
          <w:sz w:val="28"/>
          <w:szCs w:val="28"/>
        </w:rPr>
        <w:t>3</w:t>
      </w:r>
      <w:r w:rsidR="00C557FB">
        <w:rPr>
          <w:sz w:val="28"/>
          <w:szCs w:val="28"/>
        </w:rPr>
        <w:t>0</w:t>
      </w:r>
      <w:r w:rsidR="00883846" w:rsidRPr="00883846">
        <w:rPr>
          <w:sz w:val="28"/>
          <w:szCs w:val="28"/>
        </w:rPr>
        <w:t>,</w:t>
      </w:r>
      <w:r w:rsidR="00C557FB">
        <w:rPr>
          <w:sz w:val="28"/>
          <w:szCs w:val="28"/>
        </w:rPr>
        <w:t>0</w:t>
      </w:r>
      <w:r w:rsidR="00883846" w:rsidRPr="00883846">
        <w:rPr>
          <w:sz w:val="28"/>
          <w:szCs w:val="28"/>
        </w:rPr>
        <w:t>%</w:t>
      </w:r>
      <w:r w:rsidR="00C557FB">
        <w:rPr>
          <w:sz w:val="28"/>
          <w:szCs w:val="28"/>
        </w:rPr>
        <w:t>,</w:t>
      </w:r>
      <w:r w:rsidR="00883846">
        <w:rPr>
          <w:sz w:val="28"/>
          <w:szCs w:val="28"/>
        </w:rPr>
        <w:t xml:space="preserve"> </w:t>
      </w:r>
      <w:r w:rsidR="00883846" w:rsidRPr="00C557FB">
        <w:rPr>
          <w:sz w:val="28"/>
          <w:szCs w:val="28"/>
          <w:u w:val="single"/>
        </w:rPr>
        <w:t xml:space="preserve">darba samaksas neuzrādīšana </w:t>
      </w:r>
      <w:r w:rsidR="00883846" w:rsidRPr="00C557FB">
        <w:rPr>
          <w:sz w:val="28"/>
          <w:szCs w:val="28"/>
        </w:rPr>
        <w:t>(“aplokšņu algas</w:t>
      </w:r>
      <w:r w:rsidR="000A2A25" w:rsidRPr="00C557FB">
        <w:rPr>
          <w:sz w:val="28"/>
          <w:szCs w:val="28"/>
        </w:rPr>
        <w:t>”</w:t>
      </w:r>
      <w:r w:rsidR="00C557FB" w:rsidRPr="00C557FB">
        <w:rPr>
          <w:sz w:val="28"/>
          <w:szCs w:val="28"/>
        </w:rPr>
        <w:t xml:space="preserve"> </w:t>
      </w:r>
      <w:r w:rsidR="000A2A25">
        <w:rPr>
          <w:sz w:val="28"/>
          <w:szCs w:val="28"/>
        </w:rPr>
        <w:t>procentos</w:t>
      </w:r>
      <w:r w:rsidR="00C557FB" w:rsidRPr="00C557FB">
        <w:rPr>
          <w:sz w:val="28"/>
          <w:szCs w:val="28"/>
        </w:rPr>
        <w:t xml:space="preserve"> no faktiski izmaksātās darbinieku algas, vidēji)</w:t>
      </w:r>
      <w:r w:rsidR="00883846" w:rsidRPr="00C557FB">
        <w:rPr>
          <w:sz w:val="28"/>
          <w:szCs w:val="28"/>
          <w:u w:val="single"/>
        </w:rPr>
        <w:t xml:space="preserve"> </w:t>
      </w:r>
      <w:r w:rsidR="00C557FB" w:rsidRPr="00C557FB">
        <w:rPr>
          <w:sz w:val="28"/>
          <w:szCs w:val="28"/>
          <w:u w:val="single"/>
        </w:rPr>
        <w:t>34</w:t>
      </w:r>
      <w:r w:rsidR="00C557FB">
        <w:rPr>
          <w:sz w:val="28"/>
          <w:szCs w:val="28"/>
          <w:u w:val="single"/>
        </w:rPr>
        <w:t>,</w:t>
      </w:r>
      <w:r w:rsidR="00C557FB" w:rsidRPr="00C557FB">
        <w:rPr>
          <w:sz w:val="28"/>
          <w:szCs w:val="28"/>
          <w:u w:val="single"/>
        </w:rPr>
        <w:t>6%</w:t>
      </w:r>
      <w:r w:rsidR="00C557FB">
        <w:rPr>
          <w:sz w:val="28"/>
          <w:szCs w:val="28"/>
        </w:rPr>
        <w:t xml:space="preserve"> un</w:t>
      </w:r>
      <w:r w:rsidR="00883846" w:rsidRPr="00883846">
        <w:rPr>
          <w:sz w:val="28"/>
          <w:szCs w:val="28"/>
        </w:rPr>
        <w:t xml:space="preserve"> </w:t>
      </w:r>
      <w:r w:rsidR="00883846" w:rsidRPr="00C557FB">
        <w:rPr>
          <w:sz w:val="28"/>
          <w:szCs w:val="28"/>
          <w:u w:val="single"/>
        </w:rPr>
        <w:t xml:space="preserve">darbinieku skaita neuzrādīšana </w:t>
      </w:r>
      <w:r w:rsidR="00C557FB" w:rsidRPr="00C557FB">
        <w:rPr>
          <w:sz w:val="28"/>
          <w:szCs w:val="28"/>
        </w:rPr>
        <w:t>(</w:t>
      </w:r>
      <w:r w:rsidR="000A2A25">
        <w:rPr>
          <w:sz w:val="28"/>
          <w:szCs w:val="28"/>
        </w:rPr>
        <w:t>procentos</w:t>
      </w:r>
      <w:r w:rsidR="00C557FB" w:rsidRPr="00C557FB">
        <w:rPr>
          <w:sz w:val="28"/>
          <w:szCs w:val="28"/>
        </w:rPr>
        <w:t xml:space="preserve"> no attiecīgā gada pārskata gada faktiskā darbinieku skaita</w:t>
      </w:r>
      <w:r w:rsidR="00C557FB" w:rsidRPr="002D4965">
        <w:rPr>
          <w:sz w:val="28"/>
          <w:szCs w:val="28"/>
        </w:rPr>
        <w:t>, vidēji) attiecīgi</w:t>
      </w:r>
      <w:r w:rsidR="00C557FB">
        <w:rPr>
          <w:sz w:val="28"/>
          <w:szCs w:val="28"/>
          <w:u w:val="single"/>
        </w:rPr>
        <w:t xml:space="preserve"> </w:t>
      </w:r>
      <w:r w:rsidR="00C557FB" w:rsidRPr="00C557FB">
        <w:rPr>
          <w:sz w:val="28"/>
          <w:szCs w:val="28"/>
          <w:u w:val="single"/>
        </w:rPr>
        <w:t>20</w:t>
      </w:r>
      <w:r w:rsidR="00C557FB">
        <w:rPr>
          <w:sz w:val="28"/>
          <w:szCs w:val="28"/>
          <w:u w:val="single"/>
        </w:rPr>
        <w:t>,</w:t>
      </w:r>
      <w:r w:rsidR="00C557FB" w:rsidRPr="00C557FB">
        <w:rPr>
          <w:sz w:val="28"/>
          <w:szCs w:val="28"/>
          <w:u w:val="single"/>
        </w:rPr>
        <w:t>5%</w:t>
      </w:r>
      <w:r w:rsidR="00C557FB" w:rsidRPr="002D4965">
        <w:rPr>
          <w:sz w:val="28"/>
          <w:szCs w:val="28"/>
        </w:rPr>
        <w:t xml:space="preserve">, </w:t>
      </w:r>
      <w:r w:rsidR="00C557FB" w:rsidRPr="00C557FB">
        <w:rPr>
          <w:sz w:val="28"/>
          <w:szCs w:val="28"/>
        </w:rPr>
        <w:t xml:space="preserve">bet </w:t>
      </w:r>
      <w:r w:rsidR="00C557FB">
        <w:rPr>
          <w:sz w:val="28"/>
          <w:szCs w:val="28"/>
        </w:rPr>
        <w:t>n</w:t>
      </w:r>
      <w:r w:rsidR="00C557FB" w:rsidRPr="00C557FB">
        <w:rPr>
          <w:sz w:val="28"/>
          <w:szCs w:val="28"/>
        </w:rPr>
        <w:t>eoficiālo maksājumu</w:t>
      </w:r>
      <w:r w:rsidR="00C557FB">
        <w:rPr>
          <w:sz w:val="28"/>
          <w:szCs w:val="28"/>
        </w:rPr>
        <w:t xml:space="preserve"> </w:t>
      </w:r>
      <w:r w:rsidR="00C557FB" w:rsidRPr="00C557FB">
        <w:rPr>
          <w:sz w:val="28"/>
          <w:szCs w:val="28"/>
        </w:rPr>
        <w:t>līmenis</w:t>
      </w:r>
      <w:r w:rsidR="00C557FB">
        <w:rPr>
          <w:sz w:val="28"/>
          <w:szCs w:val="28"/>
        </w:rPr>
        <w:t xml:space="preserve"> jeb </w:t>
      </w:r>
      <w:r w:rsidR="00C557FB" w:rsidRPr="00C557FB">
        <w:rPr>
          <w:sz w:val="28"/>
          <w:szCs w:val="28"/>
        </w:rPr>
        <w:t>korupcija</w:t>
      </w:r>
      <w:r w:rsidR="00C557FB">
        <w:rPr>
          <w:sz w:val="28"/>
          <w:szCs w:val="28"/>
        </w:rPr>
        <w:t xml:space="preserve"> </w:t>
      </w:r>
      <w:r w:rsidR="00C557FB" w:rsidRPr="00C557FB">
        <w:rPr>
          <w:sz w:val="28"/>
          <w:szCs w:val="28"/>
        </w:rPr>
        <w:t>(</w:t>
      </w:r>
      <w:r w:rsidR="000A2A25">
        <w:rPr>
          <w:sz w:val="28"/>
          <w:szCs w:val="28"/>
        </w:rPr>
        <w:t>procentos</w:t>
      </w:r>
      <w:r w:rsidR="00C557FB" w:rsidRPr="00C557FB">
        <w:rPr>
          <w:sz w:val="28"/>
          <w:szCs w:val="28"/>
        </w:rPr>
        <w:t xml:space="preserve"> no attiecīgā gada</w:t>
      </w:r>
      <w:r w:rsidR="00C557FB">
        <w:rPr>
          <w:sz w:val="28"/>
          <w:szCs w:val="28"/>
        </w:rPr>
        <w:t xml:space="preserve"> </w:t>
      </w:r>
      <w:r w:rsidR="00C557FB" w:rsidRPr="00C557FB">
        <w:rPr>
          <w:sz w:val="28"/>
          <w:szCs w:val="28"/>
        </w:rPr>
        <w:t>apgr</w:t>
      </w:r>
      <w:r w:rsidR="00C557FB">
        <w:rPr>
          <w:sz w:val="28"/>
          <w:szCs w:val="28"/>
        </w:rPr>
        <w:t>o</w:t>
      </w:r>
      <w:r w:rsidR="00C557FB" w:rsidRPr="00C557FB">
        <w:rPr>
          <w:sz w:val="28"/>
          <w:szCs w:val="28"/>
        </w:rPr>
        <w:t>zījuma, vidēji)</w:t>
      </w:r>
      <w:r w:rsidR="00C557FB">
        <w:rPr>
          <w:sz w:val="28"/>
          <w:szCs w:val="28"/>
        </w:rPr>
        <w:t xml:space="preserve"> </w:t>
      </w:r>
      <w:r w:rsidR="00C557FB" w:rsidRPr="00C557FB">
        <w:rPr>
          <w:sz w:val="28"/>
          <w:szCs w:val="28"/>
        </w:rPr>
        <w:t>15</w:t>
      </w:r>
      <w:r w:rsidR="00C557FB">
        <w:rPr>
          <w:sz w:val="28"/>
          <w:szCs w:val="28"/>
        </w:rPr>
        <w:t>,</w:t>
      </w:r>
      <w:r w:rsidR="00C557FB" w:rsidRPr="00C557FB">
        <w:rPr>
          <w:sz w:val="28"/>
          <w:szCs w:val="28"/>
        </w:rPr>
        <w:t>1%</w:t>
      </w:r>
      <w:r w:rsidR="00C557FB">
        <w:rPr>
          <w:sz w:val="28"/>
          <w:szCs w:val="28"/>
        </w:rPr>
        <w:t>.</w:t>
      </w:r>
      <w:r w:rsidR="002D4965">
        <w:rPr>
          <w:sz w:val="28"/>
          <w:szCs w:val="28"/>
        </w:rPr>
        <w:t xml:space="preserve"> “Aplokšņu algas” kā būtisku konkurenci kropļojošu faktoru minējušas vairākums noteikumu Nr.211 saskaņošanā iesaistīto nozares organizāciju. </w:t>
      </w:r>
    </w:p>
    <w:p w:rsidR="00AE0672" w:rsidRDefault="00AE0672" w:rsidP="00AE0672">
      <w:pPr>
        <w:spacing w:before="60" w:after="60"/>
        <w:ind w:firstLine="851"/>
        <w:jc w:val="both"/>
        <w:rPr>
          <w:sz w:val="28"/>
          <w:szCs w:val="28"/>
        </w:rPr>
      </w:pPr>
      <w:r>
        <w:rPr>
          <w:sz w:val="28"/>
          <w:szCs w:val="28"/>
        </w:rPr>
        <w:t xml:space="preserve">Atbilstoši spēkā esošajai noteikumu Nr.211 29.punkta, kā arī 28.7. un 34.3.apakšpunkta redakcijai, kvalificējot tiek salīdzināta viena kalendārā gada laikā </w:t>
      </w:r>
      <w:r w:rsidRPr="00C0752D">
        <w:rPr>
          <w:sz w:val="28"/>
          <w:szCs w:val="28"/>
        </w:rPr>
        <w:t>komersantā strādājošo vidējie mēneša darba ienākumi (pa gadiem iepriekšējo triju gadu periodā</w:t>
      </w:r>
      <w:r>
        <w:rPr>
          <w:sz w:val="28"/>
          <w:szCs w:val="28"/>
        </w:rPr>
        <w:t xml:space="preserve">) pret strādājošo vidējo darba samaksu būvniecības nozarē valstī attiecīgajā kalendārajā gadā. Šāda vērtējums nenodrošina darba samaksas salīdzināšanu tieši būvniecības nozares profesijās (kur atbilstoši  VID datiem darba samaksa ir zem vidējās valstī, bet saskaņā ar prof. A.Saukas pētījumu – ēnu ekonomika nozaru griezumā ir visaugstākā) nodarbinātajiem daudznozaru uzņēmumos. </w:t>
      </w:r>
    </w:p>
    <w:p w:rsidR="002D4965" w:rsidRDefault="002D4965" w:rsidP="00C557FB">
      <w:pPr>
        <w:spacing w:before="60" w:after="60"/>
        <w:ind w:firstLine="851"/>
        <w:jc w:val="both"/>
        <w:rPr>
          <w:sz w:val="28"/>
          <w:szCs w:val="28"/>
        </w:rPr>
      </w:pPr>
      <w:r>
        <w:rPr>
          <w:sz w:val="28"/>
          <w:szCs w:val="28"/>
        </w:rPr>
        <w:t xml:space="preserve">Tā kā noteikumu Nr.211 izstrādes brīdī nebija pieejams IT risinājums darba samaksas salīdzināšanai profesiju vai profesiju grupu līmenī, Ministru kabinets uzdeva EM  </w:t>
      </w:r>
      <w:r w:rsidRPr="002D4965">
        <w:rPr>
          <w:sz w:val="28"/>
          <w:szCs w:val="28"/>
        </w:rPr>
        <w:t>izstrādāt</w:t>
      </w:r>
      <w:r>
        <w:rPr>
          <w:sz w:val="28"/>
          <w:szCs w:val="28"/>
        </w:rPr>
        <w:t xml:space="preserve"> </w:t>
      </w:r>
      <w:r w:rsidRPr="002D4965">
        <w:rPr>
          <w:sz w:val="28"/>
          <w:szCs w:val="28"/>
        </w:rPr>
        <w:t xml:space="preserve">priekšlikumus par </w:t>
      </w:r>
      <w:r>
        <w:rPr>
          <w:sz w:val="28"/>
          <w:szCs w:val="28"/>
        </w:rPr>
        <w:t>VID</w:t>
      </w:r>
      <w:r w:rsidRPr="002D4965">
        <w:rPr>
          <w:sz w:val="28"/>
          <w:szCs w:val="28"/>
        </w:rPr>
        <w:t xml:space="preserve"> un citu institūciju reģistru datu elektronisko apstrādi </w:t>
      </w:r>
      <w:r>
        <w:rPr>
          <w:sz w:val="28"/>
          <w:szCs w:val="28"/>
        </w:rPr>
        <w:t>BIS</w:t>
      </w:r>
      <w:r w:rsidRPr="002D4965">
        <w:rPr>
          <w:sz w:val="28"/>
          <w:szCs w:val="28"/>
        </w:rPr>
        <w:t>, lai nodrošinātu būvuzņēmumā strādājošo mēneša darba ienākum</w:t>
      </w:r>
      <w:r w:rsidR="001565C5">
        <w:rPr>
          <w:sz w:val="28"/>
          <w:szCs w:val="28"/>
        </w:rPr>
        <w:t>u</w:t>
      </w:r>
      <w:r w:rsidRPr="002D4965">
        <w:rPr>
          <w:sz w:val="28"/>
          <w:szCs w:val="28"/>
        </w:rPr>
        <w:t xml:space="preserve"> profesiju grupās </w:t>
      </w:r>
      <w:r>
        <w:rPr>
          <w:sz w:val="28"/>
          <w:szCs w:val="28"/>
        </w:rPr>
        <w:t>salīdzinājumu ar</w:t>
      </w:r>
      <w:r w:rsidRPr="002D4965">
        <w:rPr>
          <w:sz w:val="28"/>
          <w:szCs w:val="28"/>
        </w:rPr>
        <w:t xml:space="preserve"> attiecīgajās profesiju grupās strādājošo darba ienākum</w:t>
      </w:r>
      <w:r>
        <w:rPr>
          <w:sz w:val="28"/>
          <w:szCs w:val="28"/>
        </w:rPr>
        <w:t xml:space="preserve">iem </w:t>
      </w:r>
      <w:r w:rsidRPr="002D4965">
        <w:rPr>
          <w:sz w:val="28"/>
          <w:szCs w:val="28"/>
        </w:rPr>
        <w:t>valstī</w:t>
      </w:r>
      <w:r w:rsidR="005F394D">
        <w:rPr>
          <w:rStyle w:val="FootnoteReference"/>
          <w:sz w:val="28"/>
          <w:szCs w:val="28"/>
        </w:rPr>
        <w:footnoteReference w:id="3"/>
      </w:r>
      <w:r>
        <w:rPr>
          <w:sz w:val="28"/>
          <w:szCs w:val="28"/>
        </w:rPr>
        <w:t>, ko EM  izpildīja, izstrādājot un iesniedzot izskatīšanai Ministru kabinet</w:t>
      </w:r>
      <w:r w:rsidR="00866DD2">
        <w:rPr>
          <w:sz w:val="28"/>
          <w:szCs w:val="28"/>
        </w:rPr>
        <w:t>ā</w:t>
      </w:r>
      <w:r>
        <w:rPr>
          <w:sz w:val="28"/>
          <w:szCs w:val="28"/>
        </w:rPr>
        <w:t xml:space="preserve"> </w:t>
      </w:r>
      <w:r w:rsidR="00866DD2">
        <w:rPr>
          <w:sz w:val="28"/>
          <w:szCs w:val="28"/>
        </w:rPr>
        <w:t xml:space="preserve">(izskatīts Ministru kabineta </w:t>
      </w:r>
      <w:r>
        <w:rPr>
          <w:sz w:val="28"/>
          <w:szCs w:val="28"/>
        </w:rPr>
        <w:t>2017.gada 24.janvāra sēdē</w:t>
      </w:r>
      <w:r w:rsidR="00866DD2">
        <w:rPr>
          <w:sz w:val="28"/>
          <w:szCs w:val="28"/>
        </w:rPr>
        <w:t>)</w:t>
      </w:r>
      <w:r>
        <w:rPr>
          <w:sz w:val="28"/>
          <w:szCs w:val="28"/>
        </w:rPr>
        <w:t xml:space="preserve"> informatīvo ziņojumu </w:t>
      </w:r>
      <w:r w:rsidR="001649B6" w:rsidRPr="001649B6">
        <w:rPr>
          <w:sz w:val="28"/>
          <w:szCs w:val="28"/>
        </w:rPr>
        <w:t xml:space="preserve">"Par Ministru kabineta 2016.gada 12.aprīļa sēdes </w:t>
      </w:r>
      <w:proofErr w:type="spellStart"/>
      <w:r w:rsidR="001649B6" w:rsidRPr="001649B6">
        <w:rPr>
          <w:sz w:val="28"/>
          <w:szCs w:val="28"/>
        </w:rPr>
        <w:t>protokollēmuma</w:t>
      </w:r>
      <w:proofErr w:type="spellEnd"/>
      <w:r w:rsidR="001649B6" w:rsidRPr="001649B6">
        <w:rPr>
          <w:sz w:val="28"/>
          <w:szCs w:val="28"/>
        </w:rPr>
        <w:t xml:space="preserve"> (prot. Nr.17 5.§) "Noteikumu projekts "Būvkomersantu klasifikācijas noteikumi"" 3.punktā dotā uzdevuma izpildi"</w:t>
      </w:r>
      <w:r w:rsidR="005F394D">
        <w:rPr>
          <w:rStyle w:val="FootnoteReference"/>
          <w:sz w:val="28"/>
          <w:szCs w:val="28"/>
        </w:rPr>
        <w:footnoteReference w:id="4"/>
      </w:r>
      <w:r w:rsidR="001649B6">
        <w:rPr>
          <w:sz w:val="28"/>
          <w:szCs w:val="28"/>
        </w:rPr>
        <w:t xml:space="preserve">. </w:t>
      </w:r>
    </w:p>
    <w:p w:rsidR="00C847E2" w:rsidRDefault="00AE0672" w:rsidP="00C557FB">
      <w:pPr>
        <w:spacing w:before="60" w:after="60"/>
        <w:ind w:firstLine="851"/>
        <w:jc w:val="both"/>
        <w:rPr>
          <w:sz w:val="28"/>
          <w:szCs w:val="28"/>
        </w:rPr>
      </w:pPr>
      <w:r>
        <w:rPr>
          <w:sz w:val="28"/>
          <w:szCs w:val="28"/>
        </w:rPr>
        <w:t>Turpmāk, i</w:t>
      </w:r>
      <w:r w:rsidR="00F93483">
        <w:rPr>
          <w:sz w:val="28"/>
          <w:szCs w:val="28"/>
        </w:rPr>
        <w:t xml:space="preserve">zpildot </w:t>
      </w:r>
      <w:proofErr w:type="spellStart"/>
      <w:r w:rsidR="00F93483">
        <w:rPr>
          <w:sz w:val="28"/>
          <w:szCs w:val="28"/>
        </w:rPr>
        <w:t>protokoluzdevuma</w:t>
      </w:r>
      <w:proofErr w:type="spellEnd"/>
      <w:r w:rsidR="00F93483">
        <w:rPr>
          <w:sz w:val="28"/>
          <w:szCs w:val="28"/>
        </w:rPr>
        <w:t xml:space="preserve"> 2. un 3.punktu</w:t>
      </w:r>
      <w:r>
        <w:rPr>
          <w:sz w:val="28"/>
          <w:szCs w:val="28"/>
        </w:rPr>
        <w:t>,</w:t>
      </w:r>
      <w:r w:rsidR="00F93483">
        <w:rPr>
          <w:sz w:val="28"/>
          <w:szCs w:val="28"/>
        </w:rPr>
        <w:t xml:space="preserve"> EM konsultējās ar VID un VRAA un izstrādāja redakcionālu priekšlikumu noteikumu Nr.211 grozījumiem</w:t>
      </w:r>
      <w:r w:rsidR="00C05F67">
        <w:rPr>
          <w:sz w:val="28"/>
          <w:szCs w:val="28"/>
        </w:rPr>
        <w:t xml:space="preserve"> </w:t>
      </w:r>
      <w:r w:rsidR="00C05F67" w:rsidRPr="00C05F67">
        <w:rPr>
          <w:sz w:val="28"/>
          <w:szCs w:val="28"/>
        </w:rPr>
        <w:t>vidējās stundas tarifa likmes profesiju grupās uzņēmumā salīdzināšanai ar attiecīgo vidējo likmi valstī</w:t>
      </w:r>
      <w:r w:rsidR="00F93483">
        <w:rPr>
          <w:sz w:val="28"/>
          <w:szCs w:val="28"/>
        </w:rPr>
        <w:t>.</w:t>
      </w:r>
    </w:p>
    <w:p w:rsidR="00F93483" w:rsidRDefault="00F93483" w:rsidP="00C557FB">
      <w:pPr>
        <w:spacing w:before="60" w:after="60"/>
        <w:ind w:firstLine="851"/>
        <w:jc w:val="both"/>
        <w:rPr>
          <w:sz w:val="28"/>
          <w:szCs w:val="28"/>
        </w:rPr>
      </w:pPr>
    </w:p>
    <w:p w:rsidR="001565C5" w:rsidRPr="0072451C" w:rsidRDefault="001565C5" w:rsidP="001565C5">
      <w:pPr>
        <w:spacing w:before="60" w:after="60"/>
        <w:ind w:firstLine="851"/>
        <w:jc w:val="both"/>
        <w:rPr>
          <w:b/>
          <w:sz w:val="28"/>
          <w:szCs w:val="28"/>
        </w:rPr>
      </w:pPr>
      <w:r w:rsidRPr="0072451C">
        <w:rPr>
          <w:b/>
          <w:sz w:val="28"/>
          <w:szCs w:val="28"/>
        </w:rPr>
        <w:t>2. Strādājošo mēneša darba ienākumu profesiju grupās salīdzinājums ar attiecīgajās profesiju grupās strādājošo darba ienākumiem valstī</w:t>
      </w:r>
    </w:p>
    <w:p w:rsidR="00366DDF" w:rsidRDefault="009B223A" w:rsidP="00C557FB">
      <w:pPr>
        <w:spacing w:before="60" w:after="60"/>
        <w:ind w:firstLine="851"/>
        <w:jc w:val="both"/>
        <w:rPr>
          <w:sz w:val="28"/>
          <w:szCs w:val="28"/>
        </w:rPr>
      </w:pPr>
      <w:r>
        <w:rPr>
          <w:sz w:val="28"/>
          <w:szCs w:val="28"/>
        </w:rPr>
        <w:t xml:space="preserve">Tā kā 2017.gada maijā </w:t>
      </w:r>
      <w:r w:rsidR="006A4A89">
        <w:rPr>
          <w:sz w:val="28"/>
          <w:szCs w:val="28"/>
        </w:rPr>
        <w:t xml:space="preserve">saskaņā ar noteikumiem Nr.211 </w:t>
      </w:r>
      <w:r>
        <w:rPr>
          <w:sz w:val="28"/>
          <w:szCs w:val="28"/>
        </w:rPr>
        <w:t>uzsākt</w:t>
      </w:r>
      <w:r w:rsidR="006A4A89">
        <w:rPr>
          <w:sz w:val="28"/>
          <w:szCs w:val="28"/>
        </w:rPr>
        <w:t>ās</w:t>
      </w:r>
      <w:r>
        <w:rPr>
          <w:sz w:val="28"/>
          <w:szCs w:val="28"/>
        </w:rPr>
        <w:t xml:space="preserve"> būvuzņēmumu klasifikācija</w:t>
      </w:r>
      <w:r w:rsidR="006A4A89">
        <w:rPr>
          <w:sz w:val="28"/>
          <w:szCs w:val="28"/>
        </w:rPr>
        <w:t xml:space="preserve">s rezultātā 2017.gada jūlijā </w:t>
      </w:r>
      <w:r w:rsidR="005913E7" w:rsidRPr="005913E7">
        <w:rPr>
          <w:sz w:val="28"/>
          <w:szCs w:val="28"/>
        </w:rPr>
        <w:t xml:space="preserve">vispārējā kārtībā īstenotās būvkomersantu klasifikācijas </w:t>
      </w:r>
      <w:r w:rsidR="00D521DA">
        <w:rPr>
          <w:sz w:val="28"/>
          <w:szCs w:val="28"/>
        </w:rPr>
        <w:t>procesā</w:t>
      </w:r>
      <w:r w:rsidR="005913E7" w:rsidRPr="005913E7">
        <w:rPr>
          <w:sz w:val="28"/>
          <w:szCs w:val="28"/>
        </w:rPr>
        <w:t xml:space="preserve"> kvalifikācijas klasi neieguva 1317</w:t>
      </w:r>
      <w:r w:rsidR="00574BBE">
        <w:rPr>
          <w:sz w:val="28"/>
          <w:szCs w:val="28"/>
        </w:rPr>
        <w:t> </w:t>
      </w:r>
      <w:r w:rsidR="005913E7" w:rsidRPr="005913E7">
        <w:rPr>
          <w:sz w:val="28"/>
          <w:szCs w:val="28"/>
        </w:rPr>
        <w:t>būvkomersanti  jeb puse no tiem būvkomersantiem, kuri varēja pretendē</w:t>
      </w:r>
      <w:r w:rsidR="005913E7">
        <w:rPr>
          <w:sz w:val="28"/>
          <w:szCs w:val="28"/>
        </w:rPr>
        <w:t>t uz klasifikāciju šajā kārtībā</w:t>
      </w:r>
      <w:r w:rsidR="005913E7">
        <w:rPr>
          <w:rStyle w:val="FootnoteReference"/>
          <w:sz w:val="28"/>
          <w:szCs w:val="28"/>
        </w:rPr>
        <w:footnoteReference w:id="5"/>
      </w:r>
      <w:r>
        <w:rPr>
          <w:sz w:val="28"/>
          <w:szCs w:val="28"/>
        </w:rPr>
        <w:t xml:space="preserve">, </w:t>
      </w:r>
      <w:r w:rsidR="005913E7">
        <w:rPr>
          <w:sz w:val="28"/>
          <w:szCs w:val="28"/>
        </w:rPr>
        <w:t xml:space="preserve">EM rosināja </w:t>
      </w:r>
      <w:r>
        <w:rPr>
          <w:sz w:val="28"/>
          <w:szCs w:val="28"/>
        </w:rPr>
        <w:t>LBP</w:t>
      </w:r>
      <w:r w:rsidR="005913E7">
        <w:rPr>
          <w:sz w:val="28"/>
          <w:szCs w:val="28"/>
        </w:rPr>
        <w:t xml:space="preserve"> izvērtēt noteikumus Nr.211</w:t>
      </w:r>
      <w:r w:rsidR="00366DDF">
        <w:rPr>
          <w:sz w:val="28"/>
          <w:szCs w:val="28"/>
        </w:rPr>
        <w:t>, lai</w:t>
      </w:r>
      <w:r w:rsidR="005913E7">
        <w:rPr>
          <w:sz w:val="28"/>
          <w:szCs w:val="28"/>
        </w:rPr>
        <w:t xml:space="preserve"> </w:t>
      </w:r>
      <w:r w:rsidR="00AE0672">
        <w:rPr>
          <w:sz w:val="28"/>
          <w:szCs w:val="28"/>
        </w:rPr>
        <w:t>identificētu</w:t>
      </w:r>
      <w:r w:rsidR="005913E7">
        <w:rPr>
          <w:sz w:val="28"/>
          <w:szCs w:val="28"/>
        </w:rPr>
        <w:t xml:space="preserve"> iespējas palielināt klasificēto būvuzņēmumu skaitu. </w:t>
      </w:r>
      <w:r w:rsidR="009C37ED">
        <w:rPr>
          <w:sz w:val="28"/>
          <w:szCs w:val="28"/>
        </w:rPr>
        <w:t>EM veica klasifikācijas rezultātu, tai skaitā – detalizētu nekvalificēšanas iemeslu – analīzi, ko prezentēja</w:t>
      </w:r>
      <w:r w:rsidR="00ED28F5">
        <w:rPr>
          <w:sz w:val="28"/>
          <w:szCs w:val="28"/>
        </w:rPr>
        <w:t xml:space="preserve"> un izvērtēja</w:t>
      </w:r>
      <w:r w:rsidR="009C37ED">
        <w:rPr>
          <w:sz w:val="28"/>
          <w:szCs w:val="28"/>
        </w:rPr>
        <w:t xml:space="preserve"> </w:t>
      </w:r>
      <w:r w:rsidR="00574BBE">
        <w:rPr>
          <w:sz w:val="28"/>
          <w:szCs w:val="28"/>
        </w:rPr>
        <w:t>trijās</w:t>
      </w:r>
      <w:r w:rsidR="009C37ED">
        <w:rPr>
          <w:sz w:val="28"/>
          <w:szCs w:val="28"/>
        </w:rPr>
        <w:t xml:space="preserve"> </w:t>
      </w:r>
      <w:r w:rsidR="005913E7">
        <w:rPr>
          <w:sz w:val="28"/>
          <w:szCs w:val="28"/>
        </w:rPr>
        <w:t xml:space="preserve">LBP </w:t>
      </w:r>
      <w:r w:rsidR="009C37ED">
        <w:rPr>
          <w:sz w:val="28"/>
          <w:szCs w:val="28"/>
        </w:rPr>
        <w:t>darba grupa</w:t>
      </w:r>
      <w:r w:rsidR="00574BBE">
        <w:rPr>
          <w:sz w:val="28"/>
          <w:szCs w:val="28"/>
        </w:rPr>
        <w:t>s</w:t>
      </w:r>
      <w:r w:rsidR="009C37ED">
        <w:rPr>
          <w:sz w:val="28"/>
          <w:szCs w:val="28"/>
        </w:rPr>
        <w:t xml:space="preserve"> sanāksmēs. LBP darba grupas sastāvā bija sešu </w:t>
      </w:r>
      <w:r w:rsidR="00866DD2">
        <w:rPr>
          <w:sz w:val="28"/>
          <w:szCs w:val="28"/>
        </w:rPr>
        <w:t>nozares organizāciju</w:t>
      </w:r>
      <w:r w:rsidR="009C37ED">
        <w:rPr>
          <w:sz w:val="28"/>
          <w:szCs w:val="28"/>
        </w:rPr>
        <w:t xml:space="preserve"> </w:t>
      </w:r>
      <w:r w:rsidR="00866DD2">
        <w:rPr>
          <w:sz w:val="28"/>
          <w:szCs w:val="28"/>
        </w:rPr>
        <w:t>dalībnieki</w:t>
      </w:r>
      <w:r w:rsidR="009C37ED">
        <w:rPr>
          <w:sz w:val="28"/>
          <w:szCs w:val="28"/>
        </w:rPr>
        <w:t xml:space="preserve"> un </w:t>
      </w:r>
      <w:r w:rsidR="004135D7">
        <w:rPr>
          <w:sz w:val="28"/>
          <w:szCs w:val="28"/>
        </w:rPr>
        <w:t>EM</w:t>
      </w:r>
      <w:r w:rsidR="00866DD2">
        <w:rPr>
          <w:sz w:val="28"/>
          <w:szCs w:val="28"/>
        </w:rPr>
        <w:t xml:space="preserve"> </w:t>
      </w:r>
      <w:r w:rsidR="009C37ED">
        <w:rPr>
          <w:sz w:val="28"/>
          <w:szCs w:val="28"/>
        </w:rPr>
        <w:t>pārstāv</w:t>
      </w:r>
      <w:r w:rsidR="00866DD2">
        <w:rPr>
          <w:sz w:val="28"/>
          <w:szCs w:val="28"/>
        </w:rPr>
        <w:t>ji</w:t>
      </w:r>
      <w:r w:rsidR="00574BBE">
        <w:rPr>
          <w:rStyle w:val="FootnoteReference"/>
          <w:sz w:val="28"/>
          <w:szCs w:val="28"/>
        </w:rPr>
        <w:footnoteReference w:id="6"/>
      </w:r>
      <w:r w:rsidR="009C37ED">
        <w:rPr>
          <w:sz w:val="28"/>
          <w:szCs w:val="28"/>
        </w:rPr>
        <w:t>.</w:t>
      </w:r>
      <w:r w:rsidR="00ED28F5">
        <w:rPr>
          <w:sz w:val="28"/>
          <w:szCs w:val="28"/>
        </w:rPr>
        <w:t xml:space="preserve"> </w:t>
      </w:r>
      <w:r w:rsidR="00366DDF">
        <w:rPr>
          <w:sz w:val="28"/>
          <w:szCs w:val="28"/>
        </w:rPr>
        <w:t>Vienlaikus darba grupā tika pārrunātas arī tehniskās iespējas realizēt darba samaks</w:t>
      </w:r>
      <w:r w:rsidR="009B2A41">
        <w:rPr>
          <w:sz w:val="28"/>
          <w:szCs w:val="28"/>
        </w:rPr>
        <w:t>as vērtējumu</w:t>
      </w:r>
      <w:r w:rsidR="00366DDF">
        <w:rPr>
          <w:sz w:val="28"/>
          <w:szCs w:val="28"/>
        </w:rPr>
        <w:t xml:space="preserve"> atbi</w:t>
      </w:r>
      <w:r w:rsidR="009B2A41">
        <w:rPr>
          <w:sz w:val="28"/>
          <w:szCs w:val="28"/>
        </w:rPr>
        <w:t xml:space="preserve">lstoši </w:t>
      </w:r>
      <w:proofErr w:type="spellStart"/>
      <w:r w:rsidR="009B2A41">
        <w:rPr>
          <w:sz w:val="28"/>
          <w:szCs w:val="28"/>
        </w:rPr>
        <w:t>protokoluzdevuma</w:t>
      </w:r>
      <w:proofErr w:type="spellEnd"/>
      <w:r w:rsidR="009B2A41">
        <w:rPr>
          <w:sz w:val="28"/>
          <w:szCs w:val="28"/>
        </w:rPr>
        <w:t xml:space="preserve"> 3.pukta</w:t>
      </w:r>
      <w:r w:rsidR="00366DDF">
        <w:rPr>
          <w:sz w:val="28"/>
          <w:szCs w:val="28"/>
        </w:rPr>
        <w:t>am, kā arī saskaņota noteikumu Nr.211 grozījumu 1.4. un 1.11.apakšpunktu redakcija</w:t>
      </w:r>
      <w:r w:rsidR="00242A32">
        <w:rPr>
          <w:rStyle w:val="FootnoteReference"/>
          <w:sz w:val="28"/>
          <w:szCs w:val="28"/>
        </w:rPr>
        <w:footnoteReference w:id="7"/>
      </w:r>
      <w:r w:rsidR="0061723C">
        <w:rPr>
          <w:sz w:val="28"/>
          <w:szCs w:val="28"/>
        </w:rPr>
        <w:t xml:space="preserve">, kas paredz vidējo darba samaksu uzņēmumā vērtēt </w:t>
      </w:r>
      <w:r w:rsidR="0061723C" w:rsidRPr="0061723C">
        <w:rPr>
          <w:sz w:val="28"/>
          <w:szCs w:val="28"/>
        </w:rPr>
        <w:t>attiecībā pret vidējo darba samaksu būvniecības nozarē piecās būvniecības profesiju kopās</w:t>
      </w:r>
      <w:r w:rsidR="004135D7">
        <w:rPr>
          <w:sz w:val="28"/>
          <w:szCs w:val="28"/>
        </w:rPr>
        <w:t>. Kopas</w:t>
      </w:r>
      <w:r w:rsidR="00E900D7">
        <w:rPr>
          <w:sz w:val="28"/>
          <w:szCs w:val="28"/>
        </w:rPr>
        <w:t xml:space="preserve"> veidotas, grupējot astoņas</w:t>
      </w:r>
      <w:r w:rsidR="0061723C" w:rsidRPr="0061723C">
        <w:rPr>
          <w:sz w:val="28"/>
          <w:szCs w:val="28"/>
        </w:rPr>
        <w:t xml:space="preserve"> Starptautiskās standartizēto profesiju klasifikācijas (ISCO-08) profesiju grup</w:t>
      </w:r>
      <w:r w:rsidR="00E900D7">
        <w:rPr>
          <w:sz w:val="28"/>
          <w:szCs w:val="28"/>
        </w:rPr>
        <w:t>as</w:t>
      </w:r>
      <w:r w:rsidR="00F1699B">
        <w:rPr>
          <w:sz w:val="28"/>
          <w:szCs w:val="28"/>
        </w:rPr>
        <w:t xml:space="preserve">. Šāds komplicēts salīdzinājums tika izvēlēts, jo nozares organizāciju pārstāvji </w:t>
      </w:r>
      <w:r w:rsidR="00BB3560">
        <w:rPr>
          <w:sz w:val="28"/>
          <w:szCs w:val="28"/>
        </w:rPr>
        <w:t xml:space="preserve">LBP darba grupas 2017.gada 14.augusta sēdē </w:t>
      </w:r>
      <w:r w:rsidR="00F1699B">
        <w:rPr>
          <w:sz w:val="28"/>
          <w:szCs w:val="28"/>
        </w:rPr>
        <w:t>pauda bažas, ka, salīdzinot darba samaksu profesiju grupu līmenī, varētu tikt iegūts pārāk zemas likmes.</w:t>
      </w:r>
    </w:p>
    <w:p w:rsidR="004971C5" w:rsidRDefault="009C37ED" w:rsidP="004971C5">
      <w:pPr>
        <w:spacing w:before="60" w:after="60"/>
        <w:ind w:firstLine="851"/>
        <w:jc w:val="both"/>
        <w:rPr>
          <w:sz w:val="28"/>
          <w:szCs w:val="28"/>
        </w:rPr>
      </w:pPr>
      <w:r>
        <w:rPr>
          <w:sz w:val="28"/>
          <w:szCs w:val="28"/>
        </w:rPr>
        <w:t xml:space="preserve"> </w:t>
      </w:r>
      <w:r w:rsidR="00F1699B">
        <w:rPr>
          <w:sz w:val="28"/>
          <w:szCs w:val="28"/>
        </w:rPr>
        <w:t xml:space="preserve">Tā kā EM rīcībā nebija datu, kas apstiprinātu nozares pārstāvju paustās bažas, EM lūdza VID datus par </w:t>
      </w:r>
      <w:r w:rsidR="00F1699B" w:rsidRPr="00F1699B">
        <w:rPr>
          <w:sz w:val="28"/>
          <w:szCs w:val="28"/>
        </w:rPr>
        <w:t xml:space="preserve">stundas tarifa likmēm un darba vietu </w:t>
      </w:r>
      <w:r w:rsidR="00F1699B">
        <w:rPr>
          <w:sz w:val="28"/>
          <w:szCs w:val="28"/>
        </w:rPr>
        <w:t>skaitu sadalījumā pa profesijām, ko VID arī sniedza</w:t>
      </w:r>
      <w:r w:rsidR="00F1699B">
        <w:rPr>
          <w:rStyle w:val="FootnoteReference"/>
          <w:sz w:val="28"/>
          <w:szCs w:val="28"/>
        </w:rPr>
        <w:footnoteReference w:id="8"/>
      </w:r>
      <w:r w:rsidR="00F1699B">
        <w:rPr>
          <w:sz w:val="28"/>
          <w:szCs w:val="28"/>
        </w:rPr>
        <w:t xml:space="preserve">. </w:t>
      </w:r>
      <w:r w:rsidR="004971C5">
        <w:rPr>
          <w:sz w:val="28"/>
          <w:szCs w:val="28"/>
        </w:rPr>
        <w:t xml:space="preserve">Vienlaikus, lai atbilstoši Ministru kabineta uzdevumam izpildītu </w:t>
      </w:r>
      <w:proofErr w:type="spellStart"/>
      <w:r w:rsidR="004971C5">
        <w:rPr>
          <w:sz w:val="28"/>
          <w:szCs w:val="28"/>
        </w:rPr>
        <w:t>protokoluzdevuma</w:t>
      </w:r>
      <w:proofErr w:type="spellEnd"/>
      <w:r w:rsidR="004971C5">
        <w:rPr>
          <w:sz w:val="28"/>
          <w:szCs w:val="28"/>
        </w:rPr>
        <w:t xml:space="preserve"> 3.punktu, EM iesniedza izsludināšanai VSS noteikumu Nr.211 grozījumu projektu (TA-922). </w:t>
      </w:r>
    </w:p>
    <w:p w:rsidR="00BB3560" w:rsidRDefault="004971C5" w:rsidP="00C557FB">
      <w:pPr>
        <w:spacing w:before="60" w:after="60"/>
        <w:ind w:firstLine="851"/>
        <w:jc w:val="both"/>
        <w:rPr>
          <w:sz w:val="28"/>
          <w:szCs w:val="28"/>
        </w:rPr>
      </w:pPr>
      <w:r>
        <w:rPr>
          <w:sz w:val="28"/>
          <w:szCs w:val="28"/>
        </w:rPr>
        <w:t>Izanalizējot no VID saņemtos datus</w:t>
      </w:r>
      <w:r w:rsidR="00D44D90">
        <w:rPr>
          <w:sz w:val="28"/>
          <w:szCs w:val="28"/>
        </w:rPr>
        <w:t>,</w:t>
      </w:r>
      <w:r>
        <w:rPr>
          <w:sz w:val="28"/>
          <w:szCs w:val="28"/>
        </w:rPr>
        <w:t xml:space="preserve"> EM konstatēja, ka</w:t>
      </w:r>
      <w:r w:rsidR="00BB3560">
        <w:rPr>
          <w:sz w:val="28"/>
          <w:szCs w:val="28"/>
        </w:rPr>
        <w:t>,</w:t>
      </w:r>
      <w:r>
        <w:rPr>
          <w:sz w:val="28"/>
          <w:szCs w:val="28"/>
        </w:rPr>
        <w:t xml:space="preserve"> salīdzinot datus par </w:t>
      </w:r>
      <w:r w:rsidRPr="00F1699B">
        <w:rPr>
          <w:sz w:val="28"/>
          <w:szCs w:val="28"/>
        </w:rPr>
        <w:t xml:space="preserve">stundas tarifa likmēm un darba vietu </w:t>
      </w:r>
      <w:r>
        <w:rPr>
          <w:sz w:val="28"/>
          <w:szCs w:val="28"/>
        </w:rPr>
        <w:t xml:space="preserve">skaitu sadalījumā pa profesijām ar datiem par </w:t>
      </w:r>
      <w:r w:rsidRPr="00F1699B">
        <w:rPr>
          <w:sz w:val="28"/>
          <w:szCs w:val="28"/>
        </w:rPr>
        <w:t xml:space="preserve">stundas tarifa likmēm un darba vietu </w:t>
      </w:r>
      <w:r>
        <w:rPr>
          <w:sz w:val="28"/>
          <w:szCs w:val="28"/>
        </w:rPr>
        <w:t>skaitu sadalījumā pa profesiju grupām, kas apkopotas profesiju kopās, atbilstoši būvniecībā nodarbināto darba ņēmēju profesiju struktūrai</w:t>
      </w:r>
      <w:r>
        <w:rPr>
          <w:rStyle w:val="FootnoteReference"/>
          <w:sz w:val="28"/>
          <w:szCs w:val="28"/>
        </w:rPr>
        <w:footnoteReference w:id="9"/>
      </w:r>
      <w:r>
        <w:rPr>
          <w:sz w:val="28"/>
          <w:szCs w:val="28"/>
        </w:rPr>
        <w:t xml:space="preserve">, </w:t>
      </w:r>
      <w:r w:rsidR="00BB3560">
        <w:rPr>
          <w:sz w:val="28"/>
          <w:szCs w:val="28"/>
        </w:rPr>
        <w:t>neiegūst būtiski atšķirīgas darba samaksas likmes.</w:t>
      </w:r>
    </w:p>
    <w:p w:rsidR="00BB3560" w:rsidRDefault="00BB3560" w:rsidP="00BB3560">
      <w:pPr>
        <w:spacing w:before="60" w:after="60"/>
        <w:ind w:firstLine="851"/>
        <w:jc w:val="center"/>
        <w:rPr>
          <w:b/>
          <w:sz w:val="28"/>
          <w:szCs w:val="28"/>
        </w:rPr>
      </w:pPr>
      <w:r>
        <w:rPr>
          <w:b/>
          <w:sz w:val="28"/>
          <w:szCs w:val="28"/>
        </w:rPr>
        <w:lastRenderedPageBreak/>
        <w:t>V</w:t>
      </w:r>
      <w:r w:rsidRPr="002730E0">
        <w:rPr>
          <w:b/>
          <w:sz w:val="28"/>
          <w:szCs w:val="28"/>
        </w:rPr>
        <w:t>idējā</w:t>
      </w:r>
      <w:r>
        <w:rPr>
          <w:b/>
          <w:sz w:val="28"/>
          <w:szCs w:val="28"/>
        </w:rPr>
        <w:t>s</w:t>
      </w:r>
      <w:r w:rsidRPr="002730E0">
        <w:rPr>
          <w:b/>
          <w:sz w:val="28"/>
          <w:szCs w:val="28"/>
        </w:rPr>
        <w:t xml:space="preserve"> stundas tarifa likm</w:t>
      </w:r>
      <w:r>
        <w:rPr>
          <w:b/>
          <w:sz w:val="28"/>
          <w:szCs w:val="28"/>
        </w:rPr>
        <w:t>es</w:t>
      </w:r>
      <w:r w:rsidRPr="002730E0">
        <w:rPr>
          <w:b/>
          <w:sz w:val="28"/>
          <w:szCs w:val="28"/>
        </w:rPr>
        <w:t xml:space="preserve"> </w:t>
      </w:r>
      <w:r>
        <w:rPr>
          <w:b/>
          <w:sz w:val="28"/>
          <w:szCs w:val="28"/>
        </w:rPr>
        <w:t xml:space="preserve">salīdzinājums </w:t>
      </w:r>
      <w:r w:rsidRPr="002730E0">
        <w:rPr>
          <w:b/>
          <w:sz w:val="28"/>
          <w:szCs w:val="28"/>
        </w:rPr>
        <w:t xml:space="preserve">atbilstoši </w:t>
      </w:r>
      <w:r>
        <w:rPr>
          <w:b/>
          <w:sz w:val="28"/>
          <w:szCs w:val="28"/>
        </w:rPr>
        <w:t xml:space="preserve">LBP </w:t>
      </w:r>
      <w:r w:rsidRPr="002730E0">
        <w:rPr>
          <w:b/>
          <w:sz w:val="28"/>
          <w:szCs w:val="28"/>
        </w:rPr>
        <w:t>darba grupas atbalstītajam vērtēšanas principam</w:t>
      </w:r>
      <w:r>
        <w:rPr>
          <w:b/>
          <w:sz w:val="28"/>
          <w:szCs w:val="28"/>
        </w:rPr>
        <w:t xml:space="preserve"> </w:t>
      </w:r>
      <w:r>
        <w:rPr>
          <w:b/>
          <w:sz w:val="28"/>
          <w:szCs w:val="28"/>
        </w:rPr>
        <w:br/>
      </w:r>
      <w:r w:rsidRPr="00BB3560">
        <w:rPr>
          <w:i/>
          <w:sz w:val="28"/>
          <w:szCs w:val="28"/>
        </w:rPr>
        <w:t>(periods no 2016.gada septembra līdz 2017.gada maijam)</w:t>
      </w:r>
      <w:r w:rsidR="004135D7">
        <w:rPr>
          <w:i/>
          <w:sz w:val="28"/>
          <w:szCs w:val="28"/>
        </w:rPr>
        <w:t>*</w:t>
      </w:r>
    </w:p>
    <w:p w:rsidR="00BB3560" w:rsidRDefault="00BB3560" w:rsidP="00BB3560">
      <w:pPr>
        <w:spacing w:before="60" w:after="60"/>
        <w:ind w:left="-284"/>
        <w:jc w:val="both"/>
        <w:rPr>
          <w:b/>
          <w:sz w:val="28"/>
          <w:szCs w:val="28"/>
        </w:rPr>
      </w:pPr>
      <w:r w:rsidRPr="002730E0">
        <w:rPr>
          <w:b/>
          <w:noProof/>
          <w:sz w:val="28"/>
          <w:szCs w:val="28"/>
          <w:lang w:eastAsia="lv-LV"/>
        </w:rPr>
        <w:drawing>
          <wp:inline distT="0" distB="0" distL="0" distR="0" wp14:anchorId="08A3B900" wp14:editId="0BFCDAEB">
            <wp:extent cx="6248400" cy="2738755"/>
            <wp:effectExtent l="0" t="0" r="0" b="4445"/>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F4A5A0-6AF8-4FA0-B515-54F62EAA5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3560" w:rsidRDefault="00BB3560" w:rsidP="00BB3560">
      <w:pPr>
        <w:spacing w:before="60" w:after="60"/>
        <w:ind w:left="-284"/>
        <w:jc w:val="both"/>
        <w:rPr>
          <w:b/>
          <w:sz w:val="28"/>
          <w:szCs w:val="28"/>
        </w:rPr>
      </w:pPr>
    </w:p>
    <w:tbl>
      <w:tblPr>
        <w:tblW w:w="9191" w:type="dxa"/>
        <w:tblLook w:val="04A0" w:firstRow="1" w:lastRow="0" w:firstColumn="1" w:lastColumn="0" w:noHBand="0" w:noVBand="1"/>
      </w:tblPr>
      <w:tblGrid>
        <w:gridCol w:w="1395"/>
        <w:gridCol w:w="1581"/>
        <w:gridCol w:w="2246"/>
        <w:gridCol w:w="1701"/>
        <w:gridCol w:w="2268"/>
      </w:tblGrid>
      <w:tr w:rsidR="00BB3560" w:rsidRPr="00BB3560" w:rsidTr="00F939BD">
        <w:trPr>
          <w:trHeight w:val="636"/>
        </w:trPr>
        <w:tc>
          <w:tcPr>
            <w:tcW w:w="1395" w:type="dxa"/>
            <w:tcBorders>
              <w:top w:val="double" w:sz="6" w:space="0" w:color="auto"/>
              <w:left w:val="double" w:sz="6" w:space="0" w:color="auto"/>
              <w:bottom w:val="double" w:sz="6" w:space="0" w:color="auto"/>
              <w:right w:val="single" w:sz="4" w:space="0" w:color="auto"/>
            </w:tcBorders>
            <w:shd w:val="clear" w:color="4F81BD" w:fill="4F81BD"/>
            <w:vAlign w:val="center"/>
            <w:hideMark/>
          </w:tcPr>
          <w:p w:rsidR="00BB3560" w:rsidRPr="00BB3560" w:rsidRDefault="00BB3560" w:rsidP="00F939BD">
            <w:pPr>
              <w:jc w:val="center"/>
              <w:rPr>
                <w:rFonts w:eastAsia="Times New Roman" w:cs="Times New Roman"/>
                <w:b/>
                <w:bCs/>
                <w:color w:val="FFFFFF"/>
                <w:szCs w:val="24"/>
                <w:lang w:eastAsia="lv-LV"/>
              </w:rPr>
            </w:pPr>
            <w:r w:rsidRPr="00BB3560">
              <w:rPr>
                <w:rFonts w:eastAsia="Times New Roman" w:cs="Times New Roman"/>
                <w:b/>
                <w:bCs/>
                <w:color w:val="FFFFFF"/>
                <w:szCs w:val="24"/>
                <w:lang w:eastAsia="lv-LV"/>
              </w:rPr>
              <w:t>Profesiju grupa</w:t>
            </w:r>
          </w:p>
        </w:tc>
        <w:tc>
          <w:tcPr>
            <w:tcW w:w="1581" w:type="dxa"/>
            <w:tcBorders>
              <w:top w:val="double" w:sz="6" w:space="0" w:color="auto"/>
              <w:left w:val="double" w:sz="6"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Vidējā svērtā likme profesiju grupā (4 zīmes), EUR</w:t>
            </w:r>
          </w:p>
        </w:tc>
        <w:tc>
          <w:tcPr>
            <w:tcW w:w="2246" w:type="dxa"/>
            <w:tcBorders>
              <w:top w:val="double" w:sz="6" w:space="0" w:color="auto"/>
              <w:left w:val="double" w:sz="6"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Vidējā svērtā likme profesijā (6 zīmes), EUR</w:t>
            </w:r>
          </w:p>
        </w:tc>
        <w:tc>
          <w:tcPr>
            <w:tcW w:w="1701" w:type="dxa"/>
            <w:tcBorders>
              <w:top w:val="double" w:sz="6" w:space="0" w:color="auto"/>
              <w:left w:val="double" w:sz="6"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Likmes starpība 4 un 6 zīmju profesiju klasifikatora līmenī, %</w:t>
            </w:r>
          </w:p>
        </w:tc>
        <w:tc>
          <w:tcPr>
            <w:tcW w:w="2268" w:type="dxa"/>
            <w:tcBorders>
              <w:top w:val="double" w:sz="6" w:space="0" w:color="auto"/>
              <w:left w:val="single" w:sz="4" w:space="0" w:color="auto"/>
              <w:bottom w:val="double" w:sz="6" w:space="0" w:color="auto"/>
              <w:right w:val="double" w:sz="6" w:space="0" w:color="auto"/>
            </w:tcBorders>
            <w:shd w:val="clear" w:color="4F81BD" w:fill="4F81BD"/>
            <w:vAlign w:val="center"/>
            <w:hideMark/>
          </w:tcPr>
          <w:p w:rsidR="00BB3560" w:rsidRPr="00BB3560" w:rsidRDefault="00BB3560" w:rsidP="00F939BD">
            <w:pPr>
              <w:rPr>
                <w:rFonts w:eastAsia="Times New Roman" w:cs="Times New Roman"/>
                <w:b/>
                <w:bCs/>
                <w:color w:val="FFFFFF"/>
                <w:szCs w:val="24"/>
                <w:lang w:eastAsia="lv-LV"/>
              </w:rPr>
            </w:pPr>
            <w:r w:rsidRPr="00BB3560">
              <w:rPr>
                <w:rFonts w:eastAsia="Times New Roman" w:cs="Times New Roman"/>
                <w:b/>
                <w:bCs/>
                <w:color w:val="FFFFFF"/>
                <w:szCs w:val="24"/>
                <w:lang w:eastAsia="lv-LV"/>
              </w:rPr>
              <w:t>Būvniecības nozares profesiju kopa</w:t>
            </w:r>
          </w:p>
        </w:tc>
      </w:tr>
      <w:tr w:rsidR="00BB3560" w:rsidRPr="00BB3560" w:rsidTr="00F939BD">
        <w:trPr>
          <w:trHeight w:val="276"/>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9###</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4,11</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3,95</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104,05%</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1.kopa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8###</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4,77</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4,38</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108,90%</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2.kopa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7###</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5,39</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5,42</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99,45%</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2.kopa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6###</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5,08</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3,24</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156,79%</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4###</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6,35</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6,32</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100,47%</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6,5</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6,35</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102,36%</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3.kopa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2###</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8,5</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8,47</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100,35%</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4.kopa</w:t>
            </w:r>
          </w:p>
        </w:tc>
      </w:tr>
      <w:tr w:rsidR="00BB3560" w:rsidRPr="00BB3560" w:rsidTr="00F939BD">
        <w:trPr>
          <w:trHeight w:val="264"/>
        </w:trPr>
        <w:tc>
          <w:tcPr>
            <w:tcW w:w="1395" w:type="dxa"/>
            <w:tcBorders>
              <w:top w:val="single" w:sz="4" w:space="0" w:color="4F81BD"/>
              <w:left w:val="single" w:sz="4" w:space="0" w:color="4F81BD"/>
              <w:bottom w:val="nil"/>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1###</w:t>
            </w:r>
          </w:p>
        </w:tc>
        <w:tc>
          <w:tcPr>
            <w:tcW w:w="158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9,36</w:t>
            </w:r>
          </w:p>
        </w:tc>
        <w:tc>
          <w:tcPr>
            <w:tcW w:w="2246"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9,17</w:t>
            </w:r>
          </w:p>
        </w:tc>
        <w:tc>
          <w:tcPr>
            <w:tcW w:w="1701" w:type="dxa"/>
            <w:tcBorders>
              <w:top w:val="single" w:sz="4" w:space="0" w:color="4F81BD"/>
              <w:left w:val="nil"/>
              <w:bottom w:val="nil"/>
              <w:right w:val="nil"/>
            </w:tcBorders>
            <w:shd w:val="clear" w:color="auto" w:fill="auto"/>
            <w:noWrap/>
            <w:vAlign w:val="bottom"/>
            <w:hideMark/>
          </w:tcPr>
          <w:p w:rsidR="00BB3560" w:rsidRPr="00BB3560" w:rsidRDefault="00BB3560" w:rsidP="00F939BD">
            <w:pPr>
              <w:jc w:val="right"/>
              <w:rPr>
                <w:rFonts w:eastAsia="Times New Roman" w:cs="Times New Roman"/>
                <w:color w:val="000000"/>
                <w:szCs w:val="24"/>
                <w:lang w:eastAsia="lv-LV"/>
              </w:rPr>
            </w:pPr>
            <w:r w:rsidRPr="00BB3560">
              <w:rPr>
                <w:rFonts w:eastAsia="Times New Roman" w:cs="Times New Roman"/>
                <w:color w:val="000000"/>
                <w:szCs w:val="24"/>
                <w:lang w:eastAsia="lv-LV"/>
              </w:rPr>
              <w:t>102,07%</w:t>
            </w:r>
          </w:p>
        </w:tc>
        <w:tc>
          <w:tcPr>
            <w:tcW w:w="2268" w:type="dxa"/>
            <w:tcBorders>
              <w:top w:val="single" w:sz="4" w:space="0" w:color="4F81BD"/>
              <w:left w:val="nil"/>
              <w:bottom w:val="nil"/>
              <w:right w:val="single" w:sz="4" w:space="0" w:color="4F81BD"/>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r w:rsidRPr="00BB3560">
              <w:rPr>
                <w:rFonts w:eastAsia="Times New Roman" w:cs="Times New Roman"/>
                <w:color w:val="000000"/>
                <w:szCs w:val="24"/>
                <w:lang w:eastAsia="lv-LV"/>
              </w:rPr>
              <w:t>5.kopa</w:t>
            </w:r>
          </w:p>
        </w:tc>
      </w:tr>
      <w:tr w:rsidR="00BB3560" w:rsidRPr="00BB3560" w:rsidTr="00F939BD">
        <w:trPr>
          <w:trHeight w:val="264"/>
        </w:trPr>
        <w:tc>
          <w:tcPr>
            <w:tcW w:w="1395" w:type="dxa"/>
            <w:tcBorders>
              <w:top w:val="double" w:sz="6" w:space="0" w:color="4F81BD"/>
              <w:left w:val="single" w:sz="4" w:space="0" w:color="4F81BD"/>
              <w:bottom w:val="single" w:sz="4" w:space="0" w:color="4F81BD"/>
              <w:right w:val="nil"/>
            </w:tcBorders>
            <w:shd w:val="clear" w:color="auto" w:fill="auto"/>
            <w:noWrap/>
            <w:vAlign w:val="bottom"/>
            <w:hideMark/>
          </w:tcPr>
          <w:p w:rsidR="00BB3560" w:rsidRPr="00BB3560" w:rsidRDefault="00BB3560" w:rsidP="00F939BD">
            <w:pPr>
              <w:rPr>
                <w:rFonts w:eastAsia="Times New Roman" w:cs="Times New Roman"/>
                <w:color w:val="000000"/>
                <w:szCs w:val="24"/>
                <w:lang w:eastAsia="lv-LV"/>
              </w:rPr>
            </w:pPr>
          </w:p>
        </w:tc>
        <w:tc>
          <w:tcPr>
            <w:tcW w:w="1581" w:type="dxa"/>
            <w:tcBorders>
              <w:top w:val="double" w:sz="6" w:space="0" w:color="4F81BD"/>
              <w:left w:val="nil"/>
              <w:bottom w:val="single" w:sz="4" w:space="0" w:color="4F81BD"/>
              <w:right w:val="nil"/>
            </w:tcBorders>
            <w:shd w:val="clear" w:color="auto" w:fill="auto"/>
            <w:noWrap/>
            <w:vAlign w:val="bottom"/>
            <w:hideMark/>
          </w:tcPr>
          <w:p w:rsidR="00BB3560" w:rsidRPr="00BB3560" w:rsidRDefault="00BB3560" w:rsidP="00F939BD">
            <w:pPr>
              <w:rPr>
                <w:rFonts w:eastAsia="Times New Roman" w:cs="Times New Roman"/>
                <w:szCs w:val="24"/>
                <w:lang w:eastAsia="lv-LV"/>
              </w:rPr>
            </w:pPr>
          </w:p>
        </w:tc>
        <w:tc>
          <w:tcPr>
            <w:tcW w:w="2246" w:type="dxa"/>
            <w:tcBorders>
              <w:top w:val="double" w:sz="6" w:space="0" w:color="4F81BD"/>
              <w:left w:val="nil"/>
              <w:bottom w:val="single" w:sz="4" w:space="0" w:color="4F81BD"/>
              <w:right w:val="nil"/>
            </w:tcBorders>
            <w:shd w:val="clear" w:color="auto" w:fill="auto"/>
            <w:noWrap/>
            <w:vAlign w:val="bottom"/>
            <w:hideMark/>
          </w:tcPr>
          <w:p w:rsidR="00BB3560" w:rsidRPr="00BB3560" w:rsidRDefault="00BB3560" w:rsidP="00F939BD">
            <w:pPr>
              <w:rPr>
                <w:rFonts w:eastAsia="Times New Roman" w:cs="Times New Roman"/>
                <w:szCs w:val="24"/>
                <w:lang w:eastAsia="lv-LV"/>
              </w:rPr>
            </w:pPr>
          </w:p>
        </w:tc>
        <w:tc>
          <w:tcPr>
            <w:tcW w:w="1701" w:type="dxa"/>
            <w:tcBorders>
              <w:top w:val="double" w:sz="6" w:space="0" w:color="4F81BD"/>
              <w:left w:val="nil"/>
              <w:bottom w:val="single" w:sz="4" w:space="0" w:color="4F81BD"/>
              <w:right w:val="nil"/>
            </w:tcBorders>
            <w:shd w:val="clear" w:color="auto" w:fill="auto"/>
            <w:noWrap/>
            <w:vAlign w:val="bottom"/>
            <w:hideMark/>
          </w:tcPr>
          <w:p w:rsidR="00BB3560" w:rsidRPr="00BB3560" w:rsidRDefault="00BB3560" w:rsidP="00F939BD">
            <w:pPr>
              <w:jc w:val="right"/>
              <w:rPr>
                <w:rFonts w:eastAsia="Times New Roman" w:cs="Times New Roman"/>
                <w:b/>
                <w:bCs/>
                <w:color w:val="000000"/>
                <w:szCs w:val="24"/>
                <w:lang w:eastAsia="lv-LV"/>
              </w:rPr>
            </w:pPr>
            <w:r w:rsidRPr="00BB3560">
              <w:rPr>
                <w:rFonts w:eastAsia="Times New Roman" w:cs="Times New Roman"/>
                <w:b/>
                <w:bCs/>
                <w:color w:val="000000"/>
                <w:szCs w:val="24"/>
                <w:lang w:eastAsia="lv-LV"/>
              </w:rPr>
              <w:t>102,52%</w:t>
            </w:r>
          </w:p>
        </w:tc>
        <w:tc>
          <w:tcPr>
            <w:tcW w:w="2268" w:type="dxa"/>
            <w:tcBorders>
              <w:top w:val="double" w:sz="6" w:space="0" w:color="4F81BD"/>
              <w:left w:val="nil"/>
              <w:bottom w:val="single" w:sz="4" w:space="0" w:color="4F81BD"/>
              <w:right w:val="single" w:sz="4" w:space="0" w:color="4F81BD"/>
            </w:tcBorders>
            <w:shd w:val="clear" w:color="auto" w:fill="auto"/>
            <w:noWrap/>
            <w:vAlign w:val="bottom"/>
            <w:hideMark/>
          </w:tcPr>
          <w:p w:rsidR="00BB3560" w:rsidRPr="00BB3560" w:rsidRDefault="00BB3560" w:rsidP="00F939BD">
            <w:pPr>
              <w:jc w:val="right"/>
              <w:rPr>
                <w:rFonts w:eastAsia="Times New Roman" w:cs="Times New Roman"/>
                <w:b/>
                <w:bCs/>
                <w:color w:val="000000"/>
                <w:szCs w:val="24"/>
                <w:lang w:eastAsia="lv-LV"/>
              </w:rPr>
            </w:pPr>
          </w:p>
        </w:tc>
      </w:tr>
    </w:tbl>
    <w:p w:rsidR="00913B9B" w:rsidRPr="00913B9B" w:rsidRDefault="004135D7" w:rsidP="00C557FB">
      <w:pPr>
        <w:spacing w:before="60" w:after="60"/>
        <w:ind w:firstLine="851"/>
        <w:jc w:val="both"/>
        <w:rPr>
          <w:color w:val="404040" w:themeColor="text1" w:themeTint="BF"/>
          <w:szCs w:val="28"/>
        </w:rPr>
      </w:pPr>
      <w:r>
        <w:rPr>
          <w:color w:val="404040" w:themeColor="text1" w:themeTint="BF"/>
          <w:szCs w:val="28"/>
        </w:rPr>
        <w:t xml:space="preserve">* EM veiktā </w:t>
      </w:r>
      <w:r w:rsidR="00913B9B" w:rsidRPr="00913B9B">
        <w:rPr>
          <w:color w:val="404040" w:themeColor="text1" w:themeTint="BF"/>
          <w:szCs w:val="28"/>
        </w:rPr>
        <w:t>VID datu analīze</w:t>
      </w:r>
    </w:p>
    <w:p w:rsidR="00913B9B" w:rsidRDefault="00913B9B" w:rsidP="00C557FB">
      <w:pPr>
        <w:spacing w:before="60" w:after="60"/>
        <w:ind w:firstLine="851"/>
        <w:jc w:val="both"/>
        <w:rPr>
          <w:sz w:val="28"/>
          <w:szCs w:val="28"/>
        </w:rPr>
      </w:pPr>
    </w:p>
    <w:p w:rsidR="00BB3560" w:rsidRPr="0066614D" w:rsidRDefault="0066614D" w:rsidP="00C557FB">
      <w:pPr>
        <w:spacing w:before="60" w:after="60"/>
        <w:ind w:firstLine="851"/>
        <w:jc w:val="both"/>
        <w:rPr>
          <w:sz w:val="28"/>
          <w:szCs w:val="28"/>
        </w:rPr>
      </w:pPr>
      <w:r w:rsidRPr="0066614D">
        <w:rPr>
          <w:sz w:val="28"/>
          <w:szCs w:val="28"/>
        </w:rPr>
        <w:t>Turklāt vidēji šādi vērtējot iegūst likmi, kas ir zemāka, nekā vidējā darba samaksas likme valstī atbilstoši</w:t>
      </w:r>
      <w:r>
        <w:rPr>
          <w:sz w:val="28"/>
          <w:szCs w:val="28"/>
        </w:rPr>
        <w:t xml:space="preserve"> CSP veiktajam darbinieku apsekojumam. </w:t>
      </w:r>
      <w:r w:rsidRPr="0066614D">
        <w:rPr>
          <w:sz w:val="28"/>
          <w:szCs w:val="28"/>
        </w:rPr>
        <w:t xml:space="preserve"> </w:t>
      </w:r>
    </w:p>
    <w:p w:rsidR="0066614D" w:rsidRDefault="0066614D" w:rsidP="00C557FB">
      <w:pPr>
        <w:spacing w:before="60" w:after="60"/>
        <w:ind w:firstLine="851"/>
        <w:jc w:val="both"/>
        <w:rPr>
          <w:b/>
          <w:sz w:val="28"/>
          <w:szCs w:val="28"/>
        </w:rPr>
      </w:pPr>
    </w:p>
    <w:p w:rsidR="00F1699B" w:rsidRPr="00BB3560" w:rsidRDefault="00BB3560" w:rsidP="00C557FB">
      <w:pPr>
        <w:spacing w:before="60" w:after="60"/>
        <w:ind w:firstLine="851"/>
        <w:jc w:val="both"/>
        <w:rPr>
          <w:b/>
          <w:sz w:val="28"/>
          <w:szCs w:val="28"/>
        </w:rPr>
      </w:pPr>
      <w:r w:rsidRPr="00BB3560">
        <w:rPr>
          <w:b/>
          <w:sz w:val="28"/>
          <w:szCs w:val="28"/>
        </w:rPr>
        <w:t>3. Secinājumi</w:t>
      </w:r>
    </w:p>
    <w:p w:rsidR="00CE16B9" w:rsidRPr="00C557FB" w:rsidRDefault="00BB3560" w:rsidP="00C557FB">
      <w:pPr>
        <w:spacing w:before="60" w:after="60"/>
        <w:ind w:firstLine="851"/>
        <w:jc w:val="both"/>
        <w:rPr>
          <w:sz w:val="28"/>
          <w:szCs w:val="28"/>
        </w:rPr>
      </w:pPr>
      <w:r w:rsidRPr="00A11999">
        <w:rPr>
          <w:sz w:val="28"/>
          <w:szCs w:val="28"/>
        </w:rPr>
        <w:t>Vērtējot EM veiktās analīzes rezultātu jāsecina, ka komplicētais vērtēšanas modelis, kura īstenošanai BIS</w:t>
      </w:r>
      <w:r w:rsidR="00783873">
        <w:rPr>
          <w:sz w:val="28"/>
          <w:szCs w:val="28"/>
        </w:rPr>
        <w:t>,</w:t>
      </w:r>
      <w:r w:rsidRPr="00A11999">
        <w:rPr>
          <w:sz w:val="28"/>
          <w:szCs w:val="28"/>
        </w:rPr>
        <w:t xml:space="preserve"> atbilstoši BVKB speciālistu aplēsēm</w:t>
      </w:r>
      <w:r w:rsidR="00783873">
        <w:rPr>
          <w:sz w:val="28"/>
          <w:szCs w:val="28"/>
        </w:rPr>
        <w:t xml:space="preserve">, </w:t>
      </w:r>
      <w:r w:rsidRPr="00A11999">
        <w:rPr>
          <w:sz w:val="28"/>
          <w:szCs w:val="28"/>
        </w:rPr>
        <w:t>būtu nepieciešami 1</w:t>
      </w:r>
      <w:r w:rsidR="004135D7">
        <w:rPr>
          <w:sz w:val="28"/>
          <w:szCs w:val="28"/>
        </w:rPr>
        <w:t>1</w:t>
      </w:r>
      <w:r w:rsidR="00783873">
        <w:rPr>
          <w:sz w:val="28"/>
          <w:szCs w:val="28"/>
        </w:rPr>
        <w:t> </w:t>
      </w:r>
      <w:r w:rsidR="004135D7">
        <w:rPr>
          <w:sz w:val="28"/>
          <w:szCs w:val="28"/>
        </w:rPr>
        <w:t>0</w:t>
      </w:r>
      <w:r w:rsidRPr="00A11999">
        <w:rPr>
          <w:sz w:val="28"/>
          <w:szCs w:val="28"/>
        </w:rPr>
        <w:t>00</w:t>
      </w:r>
      <w:r w:rsidR="00783873">
        <w:rPr>
          <w:sz w:val="28"/>
          <w:szCs w:val="28"/>
        </w:rPr>
        <w:t> </w:t>
      </w:r>
      <w:proofErr w:type="spellStart"/>
      <w:r w:rsidR="00783873" w:rsidRPr="00783873">
        <w:rPr>
          <w:i/>
          <w:sz w:val="28"/>
          <w:szCs w:val="28"/>
        </w:rPr>
        <w:t>euro</w:t>
      </w:r>
      <w:proofErr w:type="spellEnd"/>
      <w:r w:rsidRPr="00A11999">
        <w:rPr>
          <w:sz w:val="28"/>
          <w:szCs w:val="28"/>
        </w:rPr>
        <w:t xml:space="preserve">, sevi neattaisno. Tāpat jāņem vērā, ka būvniecību </w:t>
      </w:r>
      <w:r w:rsidRPr="00A11999">
        <w:rPr>
          <w:sz w:val="28"/>
          <w:szCs w:val="28"/>
        </w:rPr>
        <w:lastRenderedPageBreak/>
        <w:t xml:space="preserve">regulējošie normatīvie akti nereglamentē, kādu profesiju strādājošos drīkst nodarbināt būvlaukumos. Attiecīgi </w:t>
      </w:r>
      <w:r w:rsidR="00A11999" w:rsidRPr="00A11999">
        <w:rPr>
          <w:sz w:val="28"/>
          <w:szCs w:val="28"/>
        </w:rPr>
        <w:t>teorētiski jebkuru vērtējumu profesiju griezumā var apiet, noslēdzot darba līgumu par nodarbināšanu tādā profesijā, kas nebūtu iekļauta vērtējamo profesiju sarakstā. Bez tam 2017.gada 8.septembra sanāksmē</w:t>
      </w:r>
      <w:r w:rsidR="00485EB2">
        <w:rPr>
          <w:sz w:val="28"/>
          <w:szCs w:val="28"/>
        </w:rPr>
        <w:t xml:space="preserve"> par darba samaksas vērtējumam nepieciešamajiem datiem un atbilstošu IT risinājumu, kurā piedalījās </w:t>
      </w:r>
      <w:r w:rsidR="00A11999" w:rsidRPr="00A11999">
        <w:rPr>
          <w:sz w:val="28"/>
          <w:szCs w:val="28"/>
        </w:rPr>
        <w:t>VID, VRAA, EM un BVKB pārstāvj</w:t>
      </w:r>
      <w:r w:rsidR="00485EB2">
        <w:rPr>
          <w:sz w:val="28"/>
          <w:szCs w:val="28"/>
        </w:rPr>
        <w:t xml:space="preserve">i, </w:t>
      </w:r>
      <w:r w:rsidR="00A11999" w:rsidRPr="00A11999">
        <w:rPr>
          <w:sz w:val="28"/>
          <w:szCs w:val="28"/>
        </w:rPr>
        <w:t>VID norādīja, ka komersanti izmanto tiesības labot darba devēju ziņojumu</w:t>
      </w:r>
      <w:r w:rsidR="00BE6D0D">
        <w:rPr>
          <w:sz w:val="28"/>
          <w:szCs w:val="28"/>
        </w:rPr>
        <w:t>s</w:t>
      </w:r>
      <w:r w:rsidR="00A11999" w:rsidRPr="00A11999">
        <w:rPr>
          <w:sz w:val="28"/>
          <w:szCs w:val="28"/>
        </w:rPr>
        <w:t xml:space="preserve"> vēl trīs </w:t>
      </w:r>
      <w:r w:rsidRPr="00A11999">
        <w:rPr>
          <w:sz w:val="28"/>
          <w:szCs w:val="28"/>
        </w:rPr>
        <w:t xml:space="preserve">gadus pēc to iesniegšanas </w:t>
      </w:r>
      <w:r w:rsidR="00A11999" w:rsidRPr="00A11999">
        <w:rPr>
          <w:sz w:val="28"/>
          <w:szCs w:val="28"/>
        </w:rPr>
        <w:t>EDS.</w:t>
      </w:r>
    </w:p>
    <w:p w:rsidR="0034687A" w:rsidRDefault="00485EB2" w:rsidP="00485EB2">
      <w:pPr>
        <w:spacing w:before="60" w:after="60"/>
        <w:ind w:firstLine="851"/>
        <w:jc w:val="both"/>
        <w:rPr>
          <w:sz w:val="28"/>
          <w:szCs w:val="28"/>
        </w:rPr>
      </w:pPr>
      <w:r w:rsidRPr="00485EB2">
        <w:rPr>
          <w:sz w:val="28"/>
          <w:szCs w:val="28"/>
        </w:rPr>
        <w:t xml:space="preserve">Attiecīgi </w:t>
      </w:r>
      <w:r w:rsidR="00BE6D0D">
        <w:rPr>
          <w:sz w:val="28"/>
          <w:szCs w:val="28"/>
        </w:rPr>
        <w:t xml:space="preserve">pašlaik </w:t>
      </w:r>
      <w:r w:rsidR="00D44D90">
        <w:rPr>
          <w:sz w:val="28"/>
          <w:szCs w:val="28"/>
        </w:rPr>
        <w:t xml:space="preserve">optimālākais </w:t>
      </w:r>
      <w:r w:rsidR="0034687A" w:rsidRPr="00485EB2">
        <w:rPr>
          <w:sz w:val="28"/>
          <w:szCs w:val="28"/>
        </w:rPr>
        <w:t xml:space="preserve">darba samaksas </w:t>
      </w:r>
      <w:r w:rsidRPr="00485EB2">
        <w:rPr>
          <w:sz w:val="28"/>
          <w:szCs w:val="28"/>
        </w:rPr>
        <w:t xml:space="preserve">vērtējums, kas visprecīzāk atbilst kritērija mērķim </w:t>
      </w:r>
      <w:r>
        <w:rPr>
          <w:sz w:val="28"/>
          <w:szCs w:val="28"/>
        </w:rPr>
        <w:t>–</w:t>
      </w:r>
      <w:r w:rsidRPr="00485EB2">
        <w:rPr>
          <w:sz w:val="28"/>
          <w:szCs w:val="28"/>
        </w:rPr>
        <w:t xml:space="preserve"> </w:t>
      </w:r>
      <w:r w:rsidRPr="00485EB2">
        <w:rPr>
          <w:b/>
          <w:sz w:val="28"/>
          <w:szCs w:val="28"/>
        </w:rPr>
        <w:t>veicināt</w:t>
      </w:r>
      <w:r>
        <w:rPr>
          <w:b/>
          <w:sz w:val="28"/>
          <w:szCs w:val="28"/>
        </w:rPr>
        <w:t xml:space="preserve"> </w:t>
      </w:r>
      <w:r w:rsidRPr="00485EB2">
        <w:rPr>
          <w:b/>
          <w:sz w:val="28"/>
          <w:szCs w:val="28"/>
        </w:rPr>
        <w:t>reālās darba samaksas un nostrādātā darba laika uzrādīšanu, tādējādi uzlabojot konkurences apstākļus nozarē</w:t>
      </w:r>
      <w:r w:rsidRPr="00485EB2">
        <w:rPr>
          <w:sz w:val="28"/>
          <w:szCs w:val="28"/>
        </w:rPr>
        <w:t xml:space="preserve"> – ir </w:t>
      </w:r>
      <w:r w:rsidR="0034687A" w:rsidRPr="00485EB2">
        <w:rPr>
          <w:sz w:val="28"/>
          <w:szCs w:val="28"/>
        </w:rPr>
        <w:t>vidējās darba samaksas vērtējums uzņēmumā pret vidējo samaksu valstī</w:t>
      </w:r>
      <w:r w:rsidRPr="00485EB2">
        <w:rPr>
          <w:sz w:val="28"/>
          <w:szCs w:val="28"/>
        </w:rPr>
        <w:t xml:space="preserve">, </w:t>
      </w:r>
      <w:r w:rsidR="0034687A" w:rsidRPr="00485EB2">
        <w:rPr>
          <w:sz w:val="28"/>
          <w:szCs w:val="28"/>
        </w:rPr>
        <w:t>k</w:t>
      </w:r>
      <w:r w:rsidRPr="00485EB2">
        <w:rPr>
          <w:sz w:val="28"/>
          <w:szCs w:val="28"/>
        </w:rPr>
        <w:t xml:space="preserve">as atbilst esošajam </w:t>
      </w:r>
      <w:r>
        <w:rPr>
          <w:sz w:val="28"/>
          <w:szCs w:val="28"/>
        </w:rPr>
        <w:t xml:space="preserve">noteikumos Nr.211 ietvertajam </w:t>
      </w:r>
      <w:r w:rsidRPr="00485EB2">
        <w:rPr>
          <w:sz w:val="28"/>
          <w:szCs w:val="28"/>
        </w:rPr>
        <w:t>regulējumam</w:t>
      </w:r>
      <w:r w:rsidR="0034687A" w:rsidRPr="00485EB2">
        <w:rPr>
          <w:sz w:val="28"/>
          <w:szCs w:val="28"/>
        </w:rPr>
        <w:t>.</w:t>
      </w:r>
    </w:p>
    <w:p w:rsidR="00485EB2" w:rsidRDefault="00485EB2" w:rsidP="00485EB2">
      <w:pPr>
        <w:spacing w:before="60" w:after="60"/>
        <w:ind w:firstLine="851"/>
        <w:jc w:val="both"/>
        <w:rPr>
          <w:sz w:val="28"/>
          <w:szCs w:val="28"/>
        </w:rPr>
      </w:pPr>
      <w:r>
        <w:rPr>
          <w:sz w:val="28"/>
          <w:szCs w:val="28"/>
        </w:rPr>
        <w:t xml:space="preserve">Ar </w:t>
      </w:r>
      <w:r w:rsidR="00BE6D0D">
        <w:rPr>
          <w:sz w:val="28"/>
          <w:szCs w:val="28"/>
        </w:rPr>
        <w:t>minētajiem</w:t>
      </w:r>
      <w:r>
        <w:rPr>
          <w:sz w:val="28"/>
          <w:szCs w:val="28"/>
        </w:rPr>
        <w:t xml:space="preserve"> apsvērumiem EM iepazīstināja </w:t>
      </w:r>
      <w:r w:rsidRPr="00485EB2">
        <w:rPr>
          <w:sz w:val="28"/>
          <w:szCs w:val="28"/>
        </w:rPr>
        <w:t xml:space="preserve">starpministriju (starpinstitūciju) </w:t>
      </w:r>
      <w:r>
        <w:rPr>
          <w:sz w:val="28"/>
          <w:szCs w:val="28"/>
        </w:rPr>
        <w:t xml:space="preserve">2017.gada 29.septembra </w:t>
      </w:r>
      <w:r w:rsidR="00A719F8">
        <w:rPr>
          <w:sz w:val="28"/>
          <w:szCs w:val="28"/>
        </w:rPr>
        <w:t xml:space="preserve">VSS-922 skaņošanas </w:t>
      </w:r>
      <w:r w:rsidRPr="00485EB2">
        <w:rPr>
          <w:sz w:val="28"/>
          <w:szCs w:val="28"/>
        </w:rPr>
        <w:t>sanāksm</w:t>
      </w:r>
      <w:r>
        <w:rPr>
          <w:sz w:val="28"/>
          <w:szCs w:val="28"/>
        </w:rPr>
        <w:t xml:space="preserve">es dalībniekus, vienlaikus informējot par nodomu lūgt Ministru kabinetam </w:t>
      </w:r>
      <w:r w:rsidR="005511CC" w:rsidRPr="005511CC">
        <w:rPr>
          <w:b/>
          <w:sz w:val="28"/>
          <w:szCs w:val="28"/>
        </w:rPr>
        <w:t>atzīt</w:t>
      </w:r>
      <w:r w:rsidR="005511CC">
        <w:rPr>
          <w:sz w:val="28"/>
          <w:szCs w:val="28"/>
        </w:rPr>
        <w:t xml:space="preserve"> </w:t>
      </w:r>
      <w:proofErr w:type="spellStart"/>
      <w:r w:rsidR="009B2A41">
        <w:rPr>
          <w:b/>
          <w:sz w:val="28"/>
          <w:szCs w:val="28"/>
        </w:rPr>
        <w:t>protokoluzdevumau</w:t>
      </w:r>
      <w:proofErr w:type="spellEnd"/>
      <w:r w:rsidR="00A719F8" w:rsidRPr="00A719F8">
        <w:rPr>
          <w:b/>
          <w:sz w:val="28"/>
          <w:szCs w:val="28"/>
        </w:rPr>
        <w:t xml:space="preserve"> </w:t>
      </w:r>
      <w:r w:rsidR="005511CC">
        <w:rPr>
          <w:b/>
          <w:sz w:val="28"/>
          <w:szCs w:val="28"/>
        </w:rPr>
        <w:t xml:space="preserve">par aktualitāti zaudējušu </w:t>
      </w:r>
      <w:r w:rsidR="00A719F8" w:rsidRPr="00A719F8">
        <w:rPr>
          <w:b/>
          <w:sz w:val="28"/>
          <w:szCs w:val="28"/>
        </w:rPr>
        <w:t xml:space="preserve">un </w:t>
      </w:r>
      <w:r w:rsidRPr="00A719F8">
        <w:rPr>
          <w:b/>
          <w:sz w:val="28"/>
          <w:szCs w:val="28"/>
        </w:rPr>
        <w:t xml:space="preserve"> no</w:t>
      </w:r>
      <w:r w:rsidR="00A719F8" w:rsidRPr="00A719F8">
        <w:rPr>
          <w:b/>
          <w:sz w:val="28"/>
          <w:szCs w:val="28"/>
        </w:rPr>
        <w:t>teikt</w:t>
      </w:r>
      <w:r w:rsidRPr="00A719F8">
        <w:rPr>
          <w:b/>
          <w:sz w:val="28"/>
          <w:szCs w:val="28"/>
        </w:rPr>
        <w:t>, ka EM izstrādā un iesniedz grozījumus noteikumu Nr.211 8.kritērijā pēc tam, kad būvniecības nozarē ir noslēgta ģenerālvienošanās par minimālajām darba samaksas likmēm</w:t>
      </w:r>
      <w:r>
        <w:rPr>
          <w:sz w:val="28"/>
          <w:szCs w:val="28"/>
        </w:rPr>
        <w:t xml:space="preserve">. </w:t>
      </w:r>
    </w:p>
    <w:p w:rsidR="0034687A" w:rsidRDefault="0034687A" w:rsidP="00BC7021">
      <w:pPr>
        <w:spacing w:before="60" w:after="60"/>
        <w:ind w:firstLine="851"/>
        <w:jc w:val="both"/>
        <w:rPr>
          <w:sz w:val="28"/>
          <w:szCs w:val="28"/>
        </w:rPr>
      </w:pPr>
    </w:p>
    <w:p w:rsidR="000513F6" w:rsidRPr="00627F5A" w:rsidRDefault="00943AC3" w:rsidP="00BC7021">
      <w:pPr>
        <w:spacing w:before="60" w:after="60"/>
        <w:ind w:firstLine="851"/>
        <w:jc w:val="both"/>
        <w:rPr>
          <w:b/>
          <w:sz w:val="28"/>
          <w:szCs w:val="28"/>
        </w:rPr>
      </w:pPr>
      <w:r w:rsidRPr="00627F5A">
        <w:rPr>
          <w:b/>
          <w:sz w:val="28"/>
          <w:szCs w:val="28"/>
        </w:rPr>
        <w:t>4</w:t>
      </w:r>
      <w:r w:rsidR="00135734" w:rsidRPr="00627F5A">
        <w:rPr>
          <w:b/>
          <w:sz w:val="28"/>
          <w:szCs w:val="28"/>
        </w:rPr>
        <w:t xml:space="preserve">. </w:t>
      </w:r>
      <w:r w:rsidR="00277B99" w:rsidRPr="00627F5A">
        <w:rPr>
          <w:b/>
          <w:sz w:val="28"/>
          <w:szCs w:val="28"/>
        </w:rPr>
        <w:t>Priekšlikumi turpmākai rīcībai</w:t>
      </w:r>
    </w:p>
    <w:p w:rsidR="002730E0" w:rsidRDefault="004B5ABC" w:rsidP="004B5ABC">
      <w:pPr>
        <w:spacing w:before="60" w:after="60"/>
        <w:ind w:firstLine="851"/>
        <w:jc w:val="both"/>
        <w:rPr>
          <w:sz w:val="28"/>
          <w:szCs w:val="28"/>
        </w:rPr>
      </w:pPr>
      <w:r>
        <w:rPr>
          <w:sz w:val="28"/>
          <w:szCs w:val="28"/>
        </w:rPr>
        <w:t xml:space="preserve">Slēdzot ģenerālvienošanos, lai </w:t>
      </w:r>
      <w:r w:rsidR="00BE6D0D">
        <w:rPr>
          <w:sz w:val="28"/>
          <w:szCs w:val="28"/>
        </w:rPr>
        <w:t xml:space="preserve">noteiktu </w:t>
      </w:r>
      <w:r>
        <w:rPr>
          <w:sz w:val="28"/>
          <w:szCs w:val="28"/>
        </w:rPr>
        <w:t xml:space="preserve">būvniecības nozarē obligāti piemērojamās darba samaksas likmes, ģenerālvienošanās pusēm būs jāvienojas par darba samaksas prasību attiecināšanas principu – piemēram, nodarbinātā profesija, profesionālā kvalifikācija vai cits atskaites mehānisms. Attiecīgi </w:t>
      </w:r>
      <w:r w:rsidRPr="00BE6D0D">
        <w:rPr>
          <w:b/>
          <w:sz w:val="28"/>
          <w:szCs w:val="28"/>
        </w:rPr>
        <w:t>darba samaksas</w:t>
      </w:r>
      <w:r w:rsidR="00552C04">
        <w:rPr>
          <w:b/>
          <w:sz w:val="28"/>
          <w:szCs w:val="28"/>
        </w:rPr>
        <w:t xml:space="preserve"> (vai </w:t>
      </w:r>
      <w:r w:rsidR="00552C04" w:rsidRPr="00552C04">
        <w:rPr>
          <w:b/>
          <w:sz w:val="28"/>
          <w:szCs w:val="28"/>
        </w:rPr>
        <w:t xml:space="preserve">vidējās stundas </w:t>
      </w:r>
      <w:r w:rsidR="00552C04">
        <w:rPr>
          <w:b/>
          <w:sz w:val="28"/>
          <w:szCs w:val="28"/>
        </w:rPr>
        <w:t>tarifa likmes)</w:t>
      </w:r>
      <w:r w:rsidRPr="00BE6D0D">
        <w:rPr>
          <w:b/>
          <w:sz w:val="28"/>
          <w:szCs w:val="28"/>
        </w:rPr>
        <w:t xml:space="preserve"> atbilstības vērtējums, kas būtu ņemams vērā klasificējot būvuzņēmumu noteikumos Nr.211 paredzētajā kārtībā, jāsaskaņo ar ģenerālvienošanās </w:t>
      </w:r>
      <w:r w:rsidR="00BE6D0D" w:rsidRPr="00BE6D0D">
        <w:rPr>
          <w:b/>
          <w:sz w:val="28"/>
          <w:szCs w:val="28"/>
        </w:rPr>
        <w:t xml:space="preserve">noteikto </w:t>
      </w:r>
      <w:r w:rsidRPr="00BE6D0D">
        <w:rPr>
          <w:b/>
          <w:sz w:val="28"/>
          <w:szCs w:val="28"/>
        </w:rPr>
        <w:t>principu</w:t>
      </w:r>
      <w:r w:rsidR="00BE6D0D" w:rsidRPr="00BE6D0D">
        <w:rPr>
          <w:sz w:val="28"/>
          <w:szCs w:val="28"/>
        </w:rPr>
        <w:t xml:space="preserve">, kad </w:t>
      </w:r>
      <w:r w:rsidR="00BE6D0D">
        <w:rPr>
          <w:sz w:val="28"/>
          <w:szCs w:val="28"/>
        </w:rPr>
        <w:t>tāds būs izstrādāts</w:t>
      </w:r>
      <w:r>
        <w:rPr>
          <w:sz w:val="28"/>
          <w:szCs w:val="28"/>
        </w:rPr>
        <w:t xml:space="preserve">. </w:t>
      </w:r>
    </w:p>
    <w:p w:rsidR="00BE6D0D" w:rsidRDefault="00BE6D0D" w:rsidP="004B5ABC">
      <w:pPr>
        <w:spacing w:before="60" w:after="60"/>
        <w:ind w:firstLine="851"/>
        <w:jc w:val="both"/>
        <w:rPr>
          <w:sz w:val="28"/>
          <w:szCs w:val="28"/>
        </w:rPr>
      </w:pPr>
      <w:r>
        <w:rPr>
          <w:sz w:val="28"/>
          <w:szCs w:val="28"/>
        </w:rPr>
        <w:t>Tā kā v</w:t>
      </w:r>
      <w:r w:rsidRPr="00BE6D0D">
        <w:rPr>
          <w:sz w:val="28"/>
          <w:szCs w:val="28"/>
        </w:rPr>
        <w:t>idējās stundas tarifa likmes salīdzinājums</w:t>
      </w:r>
      <w:r>
        <w:rPr>
          <w:sz w:val="28"/>
          <w:szCs w:val="28"/>
        </w:rPr>
        <w:t xml:space="preserve"> profesijās un profesiju grupās parādīja, ka </w:t>
      </w:r>
      <w:r w:rsidR="00F073AC">
        <w:rPr>
          <w:sz w:val="28"/>
          <w:szCs w:val="28"/>
        </w:rPr>
        <w:t>atbilstības konstatēšana</w:t>
      </w:r>
      <w:r>
        <w:rPr>
          <w:sz w:val="28"/>
          <w:szCs w:val="28"/>
        </w:rPr>
        <w:t xml:space="preserve"> šādā griezumā nenodrošina darba samaksas vērtēšanai noteiktā mērķa sasniegšanu, </w:t>
      </w:r>
      <w:r w:rsidRPr="00BE6D0D">
        <w:rPr>
          <w:b/>
          <w:sz w:val="28"/>
          <w:szCs w:val="28"/>
        </w:rPr>
        <w:t>nav lietderīgi paredzēt komplicēta un dārga vērtējuma iekļaušanu klasifikācijas sistēmā</w:t>
      </w:r>
      <w:r>
        <w:rPr>
          <w:sz w:val="28"/>
          <w:szCs w:val="28"/>
        </w:rPr>
        <w:t xml:space="preserve">. </w:t>
      </w:r>
    </w:p>
    <w:p w:rsidR="00BE6D0D" w:rsidRDefault="00BE6D0D" w:rsidP="004B5ABC">
      <w:pPr>
        <w:spacing w:before="60" w:after="60"/>
        <w:ind w:firstLine="851"/>
        <w:jc w:val="both"/>
        <w:rPr>
          <w:b/>
          <w:sz w:val="28"/>
          <w:szCs w:val="28"/>
        </w:rPr>
      </w:pPr>
      <w:r w:rsidRPr="00F073AC">
        <w:rPr>
          <w:sz w:val="28"/>
          <w:szCs w:val="28"/>
        </w:rPr>
        <w:t>Attiecīgi</w:t>
      </w:r>
      <w:r w:rsidRPr="00F073AC">
        <w:rPr>
          <w:b/>
          <w:sz w:val="28"/>
          <w:szCs w:val="28"/>
        </w:rPr>
        <w:t xml:space="preserve"> </w:t>
      </w:r>
      <w:r w:rsidRPr="00F073AC">
        <w:rPr>
          <w:sz w:val="28"/>
          <w:szCs w:val="28"/>
        </w:rPr>
        <w:t>nepieciešams</w:t>
      </w:r>
      <w:r w:rsidRPr="00F073AC">
        <w:rPr>
          <w:b/>
          <w:sz w:val="28"/>
          <w:szCs w:val="28"/>
        </w:rPr>
        <w:t xml:space="preserve"> </w:t>
      </w:r>
      <w:r w:rsidR="005511CC">
        <w:rPr>
          <w:b/>
          <w:sz w:val="28"/>
          <w:szCs w:val="28"/>
        </w:rPr>
        <w:t>atzīt</w:t>
      </w:r>
      <w:r w:rsidRPr="00F073AC">
        <w:rPr>
          <w:b/>
          <w:sz w:val="28"/>
          <w:szCs w:val="28"/>
        </w:rPr>
        <w:t xml:space="preserve"> </w:t>
      </w:r>
      <w:proofErr w:type="spellStart"/>
      <w:r w:rsidRPr="00F073AC">
        <w:rPr>
          <w:b/>
          <w:sz w:val="28"/>
          <w:szCs w:val="28"/>
        </w:rPr>
        <w:t>protokollēmuma</w:t>
      </w:r>
      <w:proofErr w:type="spellEnd"/>
      <w:r w:rsidRPr="00F073AC">
        <w:rPr>
          <w:b/>
          <w:sz w:val="28"/>
          <w:szCs w:val="28"/>
        </w:rPr>
        <w:t xml:space="preserve"> 3. un 4.punktu</w:t>
      </w:r>
      <w:r w:rsidR="005511CC">
        <w:rPr>
          <w:b/>
          <w:sz w:val="28"/>
          <w:szCs w:val="28"/>
        </w:rPr>
        <w:t xml:space="preserve"> par aktualitāti zaudējušu un </w:t>
      </w:r>
      <w:r w:rsidRPr="00F073AC">
        <w:rPr>
          <w:b/>
          <w:sz w:val="28"/>
          <w:szCs w:val="28"/>
        </w:rPr>
        <w:t>no</w:t>
      </w:r>
      <w:r w:rsidR="005511CC">
        <w:rPr>
          <w:b/>
          <w:sz w:val="28"/>
          <w:szCs w:val="28"/>
        </w:rPr>
        <w:t>teikt</w:t>
      </w:r>
      <w:r w:rsidRPr="00F073AC">
        <w:rPr>
          <w:b/>
          <w:sz w:val="28"/>
          <w:szCs w:val="28"/>
        </w:rPr>
        <w:t xml:space="preserve">, ka no noteikumiem Nr.211 atšķirīgu darba samaksas vērtējumu EM izstrādā </w:t>
      </w:r>
      <w:r w:rsidR="00EE2AD7">
        <w:rPr>
          <w:b/>
          <w:sz w:val="28"/>
          <w:szCs w:val="28"/>
        </w:rPr>
        <w:t xml:space="preserve">un iesniedz noteikumu Nr.211 grozījumus Ministru kabinetā </w:t>
      </w:r>
      <w:r w:rsidRPr="00F073AC">
        <w:rPr>
          <w:b/>
          <w:sz w:val="28"/>
          <w:szCs w:val="28"/>
        </w:rPr>
        <w:t>pēc tam, kad ir skaidrs</w:t>
      </w:r>
      <w:r w:rsidR="00F073AC" w:rsidRPr="00F073AC">
        <w:rPr>
          <w:b/>
          <w:sz w:val="28"/>
          <w:szCs w:val="28"/>
        </w:rPr>
        <w:t xml:space="preserve"> ar</w:t>
      </w:r>
      <w:r w:rsidRPr="00F073AC">
        <w:rPr>
          <w:b/>
          <w:sz w:val="28"/>
          <w:szCs w:val="28"/>
        </w:rPr>
        <w:t xml:space="preserve"> </w:t>
      </w:r>
      <w:r w:rsidR="00F073AC" w:rsidRPr="00F073AC">
        <w:rPr>
          <w:b/>
          <w:sz w:val="28"/>
          <w:szCs w:val="28"/>
        </w:rPr>
        <w:t>ģenerālvienošanos nosakāmais darba samaksas prasību attiecināšanas princips</w:t>
      </w:r>
      <w:r w:rsidR="00EE2AD7">
        <w:rPr>
          <w:b/>
          <w:sz w:val="28"/>
          <w:szCs w:val="28"/>
        </w:rPr>
        <w:t>, bet BVKB saprātīgā termiņā nodrošina attiecīgo klasifikācijas funkcionalitāti BIS.</w:t>
      </w:r>
    </w:p>
    <w:p w:rsidR="00D44D90" w:rsidRDefault="00D44D90" w:rsidP="00D44D90">
      <w:pPr>
        <w:spacing w:before="60" w:after="60"/>
        <w:jc w:val="both"/>
        <w:rPr>
          <w:b/>
          <w:sz w:val="28"/>
          <w:szCs w:val="28"/>
        </w:rPr>
      </w:pPr>
    </w:p>
    <w:p w:rsidR="00385849" w:rsidRDefault="00385849" w:rsidP="00D44D90">
      <w:pPr>
        <w:spacing w:before="60" w:after="60"/>
        <w:jc w:val="both"/>
        <w:rPr>
          <w:b/>
          <w:sz w:val="28"/>
          <w:szCs w:val="28"/>
        </w:rPr>
      </w:pPr>
    </w:p>
    <w:p w:rsidR="00D44D90" w:rsidRPr="00D44D90" w:rsidRDefault="00D44D90" w:rsidP="00D44D90">
      <w:pPr>
        <w:jc w:val="both"/>
        <w:rPr>
          <w:sz w:val="28"/>
          <w:szCs w:val="28"/>
        </w:rPr>
      </w:pPr>
      <w:r w:rsidRPr="00D44D90">
        <w:rPr>
          <w:sz w:val="28"/>
          <w:szCs w:val="28"/>
        </w:rPr>
        <w:lastRenderedPageBreak/>
        <w:t>Ministru prezidenta biedrs</w:t>
      </w:r>
    </w:p>
    <w:p w:rsidR="00D44D90" w:rsidRDefault="00D44D90" w:rsidP="00D44D90">
      <w:pPr>
        <w:tabs>
          <w:tab w:val="left" w:pos="7371"/>
        </w:tabs>
        <w:jc w:val="both"/>
        <w:rPr>
          <w:sz w:val="28"/>
          <w:szCs w:val="28"/>
        </w:rPr>
      </w:pPr>
      <w:r w:rsidRPr="00D44D90">
        <w:rPr>
          <w:sz w:val="28"/>
          <w:szCs w:val="28"/>
        </w:rPr>
        <w:t>Ekonomikas ministrs</w:t>
      </w:r>
      <w:r w:rsidRPr="00D44D90">
        <w:rPr>
          <w:sz w:val="28"/>
          <w:szCs w:val="28"/>
        </w:rPr>
        <w:tab/>
      </w:r>
      <w:proofErr w:type="spellStart"/>
      <w:r>
        <w:rPr>
          <w:sz w:val="28"/>
          <w:szCs w:val="28"/>
        </w:rPr>
        <w:t>A.</w:t>
      </w:r>
      <w:r w:rsidRPr="00D44D90">
        <w:rPr>
          <w:sz w:val="28"/>
          <w:szCs w:val="28"/>
        </w:rPr>
        <w:t>Ašeradens</w:t>
      </w:r>
      <w:proofErr w:type="spellEnd"/>
    </w:p>
    <w:p w:rsidR="00D44D90" w:rsidRDefault="00D44D90" w:rsidP="00D44D90">
      <w:pPr>
        <w:tabs>
          <w:tab w:val="left" w:pos="7371"/>
        </w:tabs>
        <w:jc w:val="both"/>
        <w:rPr>
          <w:sz w:val="28"/>
          <w:szCs w:val="28"/>
        </w:rPr>
      </w:pPr>
    </w:p>
    <w:p w:rsidR="00385849" w:rsidRDefault="00385849" w:rsidP="00D44D90">
      <w:pPr>
        <w:tabs>
          <w:tab w:val="left" w:pos="7371"/>
        </w:tabs>
        <w:jc w:val="both"/>
        <w:rPr>
          <w:sz w:val="28"/>
          <w:szCs w:val="28"/>
        </w:rPr>
      </w:pPr>
    </w:p>
    <w:p w:rsidR="00385849" w:rsidRDefault="00385849" w:rsidP="00D44D90">
      <w:pPr>
        <w:tabs>
          <w:tab w:val="left" w:pos="7371"/>
        </w:tabs>
        <w:jc w:val="both"/>
        <w:rPr>
          <w:sz w:val="28"/>
          <w:szCs w:val="28"/>
        </w:rPr>
      </w:pPr>
    </w:p>
    <w:p w:rsidR="00385849" w:rsidRDefault="00385849"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C70E5A" w:rsidRDefault="00C70E5A" w:rsidP="00D44D90">
      <w:pPr>
        <w:tabs>
          <w:tab w:val="left" w:pos="7371"/>
        </w:tabs>
        <w:jc w:val="both"/>
        <w:rPr>
          <w:sz w:val="28"/>
          <w:szCs w:val="28"/>
        </w:rPr>
      </w:pPr>
    </w:p>
    <w:p w:rsidR="00385849" w:rsidRDefault="00385849" w:rsidP="00D44D90">
      <w:pPr>
        <w:tabs>
          <w:tab w:val="left" w:pos="7371"/>
        </w:tabs>
        <w:jc w:val="both"/>
        <w:rPr>
          <w:sz w:val="28"/>
          <w:szCs w:val="28"/>
        </w:rPr>
      </w:pPr>
    </w:p>
    <w:p w:rsidR="00385849" w:rsidRDefault="00385849" w:rsidP="00D44D90">
      <w:pPr>
        <w:tabs>
          <w:tab w:val="left" w:pos="7371"/>
        </w:tabs>
        <w:jc w:val="both"/>
        <w:rPr>
          <w:sz w:val="28"/>
          <w:szCs w:val="28"/>
        </w:rPr>
      </w:pPr>
    </w:p>
    <w:p w:rsidR="00385849" w:rsidRDefault="00385849" w:rsidP="00D44D90">
      <w:pPr>
        <w:tabs>
          <w:tab w:val="left" w:pos="7371"/>
        </w:tabs>
        <w:jc w:val="both"/>
        <w:rPr>
          <w:sz w:val="28"/>
          <w:szCs w:val="28"/>
        </w:rPr>
      </w:pPr>
    </w:p>
    <w:p w:rsidR="00385849" w:rsidRDefault="00385849" w:rsidP="00D44D90">
      <w:pPr>
        <w:tabs>
          <w:tab w:val="left" w:pos="7371"/>
        </w:tabs>
        <w:jc w:val="both"/>
        <w:rPr>
          <w:sz w:val="28"/>
          <w:szCs w:val="28"/>
        </w:rPr>
      </w:pPr>
    </w:p>
    <w:p w:rsidR="00D44D90" w:rsidRDefault="00D44D90" w:rsidP="00D44D90">
      <w:pPr>
        <w:tabs>
          <w:tab w:val="left" w:pos="7371"/>
        </w:tabs>
        <w:jc w:val="both"/>
        <w:rPr>
          <w:sz w:val="28"/>
          <w:szCs w:val="28"/>
        </w:rPr>
      </w:pPr>
    </w:p>
    <w:p w:rsidR="00D44D90" w:rsidRPr="007F64BF" w:rsidRDefault="00D44D90" w:rsidP="00D44D90">
      <w:pPr>
        <w:pStyle w:val="ListParagraph"/>
        <w:spacing w:after="0"/>
        <w:ind w:left="0" w:firstLine="0"/>
        <w:rPr>
          <w:rFonts w:cs="Times New Roman"/>
          <w:sz w:val="20"/>
        </w:rPr>
      </w:pPr>
      <w:r w:rsidRPr="007F64BF">
        <w:rPr>
          <w:rFonts w:cs="Times New Roman"/>
          <w:sz w:val="20"/>
        </w:rPr>
        <w:t>Ķirule-Vīksne, 67013051</w:t>
      </w:r>
    </w:p>
    <w:p w:rsidR="00D44D90" w:rsidRPr="00D44D90" w:rsidRDefault="00D643AA" w:rsidP="00D44D90">
      <w:pPr>
        <w:tabs>
          <w:tab w:val="left" w:pos="7371"/>
        </w:tabs>
        <w:jc w:val="both"/>
        <w:rPr>
          <w:sz w:val="28"/>
          <w:szCs w:val="28"/>
        </w:rPr>
      </w:pPr>
      <w:hyperlink r:id="rId9" w:history="1">
        <w:r w:rsidR="00D44D90" w:rsidRPr="006237EC">
          <w:rPr>
            <w:rStyle w:val="Hyperlink"/>
            <w:rFonts w:cs="Times New Roman"/>
            <w:sz w:val="20"/>
          </w:rPr>
          <w:t>Brigita.Kirule-Viksne@em.gov.lv</w:t>
        </w:r>
      </w:hyperlink>
    </w:p>
    <w:sectPr w:rsidR="00D44D90" w:rsidRPr="00D44D90" w:rsidSect="00384CC8">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AA" w:rsidRDefault="00D643AA" w:rsidP="0034687A">
      <w:r>
        <w:separator/>
      </w:r>
    </w:p>
  </w:endnote>
  <w:endnote w:type="continuationSeparator" w:id="0">
    <w:p w:rsidR="00D643AA" w:rsidRDefault="00D643AA" w:rsidP="003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A" w:rsidRDefault="00271E9B">
    <w:pPr>
      <w:pStyle w:val="Footer"/>
    </w:pPr>
    <w:fldSimple w:instr=" FILENAME \* MERGEFORMAT ">
      <w:r w:rsidR="004135D7">
        <w:rPr>
          <w:noProof/>
        </w:rPr>
        <w:t>EMZino_12102017_Prot4_40.§_3&amp;4_groz.docx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7A" w:rsidRDefault="00271E9B">
    <w:pPr>
      <w:pStyle w:val="Footer"/>
    </w:pPr>
    <w:fldSimple w:instr=" FILENAME \* MERGEFORMAT ">
      <w:r w:rsidR="00384CC8">
        <w:rPr>
          <w:noProof/>
        </w:rPr>
        <w:t>EMZino_12102017_Prot4_40.§_3&amp;4_groz.docx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AA" w:rsidRDefault="00D643AA" w:rsidP="0034687A">
      <w:r>
        <w:separator/>
      </w:r>
    </w:p>
  </w:footnote>
  <w:footnote w:type="continuationSeparator" w:id="0">
    <w:p w:rsidR="00D643AA" w:rsidRDefault="00D643AA" w:rsidP="0034687A">
      <w:r>
        <w:continuationSeparator/>
      </w:r>
    </w:p>
  </w:footnote>
  <w:footnote w:id="1">
    <w:p w:rsidR="000A2A25" w:rsidRDefault="000A2A25" w:rsidP="00AE0672">
      <w:pPr>
        <w:pStyle w:val="FootnoteText"/>
        <w:jc w:val="both"/>
      </w:pPr>
      <w:r>
        <w:rPr>
          <w:rStyle w:val="FootnoteReference"/>
        </w:rPr>
        <w:footnoteRef/>
      </w:r>
      <w:r>
        <w:t xml:space="preserve"> </w:t>
      </w:r>
      <w:r w:rsidRPr="000A2A25">
        <w:t>2017.gada 31.augustā, prot. Nr. 34, 4.§, VSS-922</w:t>
      </w:r>
    </w:p>
  </w:footnote>
  <w:footnote w:id="2">
    <w:p w:rsidR="00883846" w:rsidRDefault="00883846" w:rsidP="00AE0672">
      <w:pPr>
        <w:pStyle w:val="FootnoteText"/>
        <w:jc w:val="both"/>
      </w:pPr>
      <w:r>
        <w:rPr>
          <w:rStyle w:val="FootnoteReference"/>
        </w:rPr>
        <w:footnoteRef/>
      </w:r>
      <w:r>
        <w:t xml:space="preserve"> </w:t>
      </w:r>
      <w:hyperlink r:id="rId1" w:history="1">
        <w:r w:rsidRPr="00B83A5A">
          <w:rPr>
            <w:rStyle w:val="Hyperlink"/>
          </w:rPr>
          <w:t>http://www.latvijasbuvnieki.lv/content/uploads/2017/07/Zinojums-buvnieciba-2017.pdf</w:t>
        </w:r>
      </w:hyperlink>
      <w:r>
        <w:t xml:space="preserve"> </w:t>
      </w:r>
    </w:p>
  </w:footnote>
  <w:footnote w:id="3">
    <w:p w:rsidR="005F394D" w:rsidRDefault="005F394D" w:rsidP="00AE0672">
      <w:pPr>
        <w:pStyle w:val="FootnoteText"/>
        <w:jc w:val="both"/>
      </w:pPr>
      <w:r>
        <w:rPr>
          <w:rStyle w:val="FootnoteReference"/>
        </w:rPr>
        <w:footnoteRef/>
      </w:r>
      <w:r>
        <w:t xml:space="preserve"> </w:t>
      </w:r>
      <w:r w:rsidRPr="005F394D">
        <w:t>Ministru kabineta 2017.gada 12.aprīļa sēdes prot. Nr.17  5.§ 3.punkts</w:t>
      </w:r>
    </w:p>
  </w:footnote>
  <w:footnote w:id="4">
    <w:p w:rsidR="005F394D" w:rsidRDefault="005F394D" w:rsidP="00AE0672">
      <w:pPr>
        <w:pStyle w:val="FootnoteText"/>
        <w:jc w:val="both"/>
      </w:pPr>
      <w:r>
        <w:rPr>
          <w:rStyle w:val="FootnoteReference"/>
        </w:rPr>
        <w:footnoteRef/>
      </w:r>
      <w:r>
        <w:t xml:space="preserve"> Ministru kabineta 2017.gada 24.janvāra sēdes </w:t>
      </w:r>
      <w:r w:rsidRPr="005F394D">
        <w:t>prot. Nr.4 40.§ TA-46</w:t>
      </w:r>
    </w:p>
  </w:footnote>
  <w:footnote w:id="5">
    <w:p w:rsidR="005913E7" w:rsidRDefault="005913E7">
      <w:pPr>
        <w:pStyle w:val="FootnoteText"/>
      </w:pPr>
      <w:r>
        <w:rPr>
          <w:rStyle w:val="FootnoteReference"/>
        </w:rPr>
        <w:footnoteRef/>
      </w:r>
      <w:r>
        <w:t xml:space="preserve"> BIS dati par klasifikācijas statusu 2017.gada jūlijā</w:t>
      </w:r>
    </w:p>
  </w:footnote>
  <w:footnote w:id="6">
    <w:p w:rsidR="00574BBE" w:rsidRDefault="00574BBE" w:rsidP="00574BBE">
      <w:pPr>
        <w:pStyle w:val="FootnoteText"/>
      </w:pPr>
      <w:r>
        <w:rPr>
          <w:rStyle w:val="FootnoteReference"/>
        </w:rPr>
        <w:footnoteRef/>
      </w:r>
      <w:r>
        <w:t xml:space="preserve"> LBP </w:t>
      </w:r>
      <w:r w:rsidRPr="00574BBE">
        <w:t xml:space="preserve">2017. gada 14. jūnija sēdē lēma par darba grupas izveidi (14.06.2017. sēdes darba kārtības 2.2.jautājuma lēmums Nr.4), </w:t>
      </w:r>
      <w:r>
        <w:t>darba grupā pārstāvētās institūcijas: biedrība “Latvijas Tirdzniecības un Rūpniecības kamera”, biedrība “Latvijas Būvuzņēmēju partnerība”, biedrība “Latvijas Siltuma, gāzes un ūdens tehnoloģijas inženieru savienība”, biedrība “Latvijas Ilgtspējīgas būvniecības padome”, biedrība “Latvijas Būvnieku asociācija”, biedrība “Latvijas Ceļu būvnieks”, “Latvijas hidromelioratīvo būvnieku asociācija”</w:t>
      </w:r>
      <w:r w:rsidR="00866DD2">
        <w:t xml:space="preserve"> un EM</w:t>
      </w:r>
      <w:r>
        <w:t>. 14.08.2017. sēdē pieaicināti arī VID un VRAA pārstāvji.</w:t>
      </w:r>
    </w:p>
  </w:footnote>
  <w:footnote w:id="7">
    <w:p w:rsidR="00242A32" w:rsidRPr="00277B99" w:rsidRDefault="00242A32">
      <w:pPr>
        <w:pStyle w:val="FootnoteText"/>
      </w:pPr>
      <w:r>
        <w:rPr>
          <w:rStyle w:val="FootnoteReference"/>
        </w:rPr>
        <w:footnoteRef/>
      </w:r>
      <w:r>
        <w:t xml:space="preserve"> </w:t>
      </w:r>
      <w:r w:rsidR="00277B99" w:rsidRPr="00277B99">
        <w:t>noteikumu Nr.211 grozījumu projekts izsludināts VSS 2017.gada 31.augustā, prot. Nr. 34, 4.§, VSS-922</w:t>
      </w:r>
      <w:r w:rsidR="00277B99">
        <w:t xml:space="preserve">: </w:t>
      </w:r>
      <w:hyperlink r:id="rId2" w:history="1">
        <w:r w:rsidRPr="00277B99">
          <w:rPr>
            <w:rStyle w:val="Hyperlink"/>
          </w:rPr>
          <w:t>http://tap.mk.gov.lv/mk/vsssanaksmes/saraksts/protokols/?protokols=2017-08-31</w:t>
        </w:r>
      </w:hyperlink>
      <w:r w:rsidRPr="00277B99">
        <w:t xml:space="preserve"> </w:t>
      </w:r>
    </w:p>
  </w:footnote>
  <w:footnote w:id="8">
    <w:p w:rsidR="00F1699B" w:rsidRDefault="00F1699B" w:rsidP="00E900D7">
      <w:pPr>
        <w:pStyle w:val="FootnoteText"/>
        <w:jc w:val="both"/>
      </w:pPr>
      <w:r>
        <w:rPr>
          <w:rStyle w:val="FootnoteReference"/>
        </w:rPr>
        <w:footnoteRef/>
      </w:r>
      <w:r>
        <w:t xml:space="preserve"> VID </w:t>
      </w:r>
      <w:r w:rsidRPr="00F1699B">
        <w:t xml:space="preserve">30.08.2017 </w:t>
      </w:r>
      <w:r>
        <w:t xml:space="preserve">nosūtīja EM e-pasta vēstuli </w:t>
      </w:r>
      <w:r w:rsidRPr="00F1699B">
        <w:t>Nr. 8.1.1-1/227395</w:t>
      </w:r>
      <w:r>
        <w:t xml:space="preserve"> “</w:t>
      </w:r>
      <w:r w:rsidRPr="00F1699B">
        <w:t>Par informācijas sniegšanu (par vidējām stundas tarifa likmēm un darba vietu skaitu sadalījumā pa profesijām periodā no 2016.gada septembra līdz 2017.gada maijam)</w:t>
      </w:r>
      <w:r>
        <w:t xml:space="preserve">” ar attiecīgajiem datiem. </w:t>
      </w:r>
    </w:p>
  </w:footnote>
  <w:footnote w:id="9">
    <w:p w:rsidR="004971C5" w:rsidRDefault="004971C5" w:rsidP="00E900D7">
      <w:pPr>
        <w:pStyle w:val="FootnoteText"/>
        <w:jc w:val="both"/>
      </w:pPr>
      <w:r>
        <w:rPr>
          <w:rStyle w:val="FootnoteReference"/>
        </w:rPr>
        <w:footnoteRef/>
      </w:r>
      <w:r>
        <w:t xml:space="preserve"> Profesiju apkopojums (VSS-922 </w:t>
      </w:r>
      <w:r w:rsidRPr="004971C5">
        <w:t>1.16.</w:t>
      </w:r>
      <w:r>
        <w:t xml:space="preserve">apakšpunkts, </w:t>
      </w:r>
      <w:r w:rsidR="00E900D7">
        <w:t xml:space="preserve">kas paredz papildināt </w:t>
      </w:r>
      <w:r>
        <w:t>noteikumu</w:t>
      </w:r>
      <w:r w:rsidR="00E900D7">
        <w:t>s</w:t>
      </w:r>
      <w:r>
        <w:t xml:space="preserve"> Nr.211</w:t>
      </w:r>
      <w:r w:rsidRPr="004971C5">
        <w:t xml:space="preserve"> </w:t>
      </w:r>
      <w:r w:rsidR="00E900D7">
        <w:t xml:space="preserve">ar </w:t>
      </w:r>
      <w:r>
        <w:t>9.pielikum</w:t>
      </w:r>
      <w:r w:rsidR="00E900D7">
        <w:t>u</w:t>
      </w:r>
      <w:r>
        <w:t xml:space="preserve">) un dalījums atbilst biedrības “Latvijas Būvuzņēmēju partnerība” un biedrības “Latvijas Celtnieku arodbiedrība” kopīgi izstrādātājam projektam, ko plānots izmantot darba samaksas likmju noteikšanai parakstot ģenerālvienošanos.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19694"/>
      <w:docPartObj>
        <w:docPartGallery w:val="Page Numbers (Top of Page)"/>
        <w:docPartUnique/>
      </w:docPartObj>
    </w:sdtPr>
    <w:sdtEndPr>
      <w:rPr>
        <w:noProof/>
      </w:rPr>
    </w:sdtEndPr>
    <w:sdtContent>
      <w:p w:rsidR="00384CC8" w:rsidRDefault="00384CC8">
        <w:pPr>
          <w:pStyle w:val="Header"/>
          <w:jc w:val="center"/>
        </w:pPr>
        <w:r>
          <w:fldChar w:fldCharType="begin"/>
        </w:r>
        <w:r>
          <w:instrText xml:space="preserve"> PAGE   \* MERGEFORMAT </w:instrText>
        </w:r>
        <w:r>
          <w:fldChar w:fldCharType="separate"/>
        </w:r>
        <w:r w:rsidR="00110ACF">
          <w:rPr>
            <w:noProof/>
          </w:rPr>
          <w:t>6</w:t>
        </w:r>
        <w:r>
          <w:rPr>
            <w:noProof/>
          </w:rPr>
          <w:fldChar w:fldCharType="end"/>
        </w:r>
      </w:p>
    </w:sdtContent>
  </w:sdt>
  <w:p w:rsidR="00384CC8" w:rsidRDefault="00384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AC" w:rsidRDefault="00F073AC">
    <w:pPr>
      <w:pStyle w:val="Header"/>
      <w:jc w:val="center"/>
    </w:pPr>
  </w:p>
  <w:p w:rsidR="00F073AC" w:rsidRDefault="00F0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97"/>
    <w:rsid w:val="000513F6"/>
    <w:rsid w:val="000568FF"/>
    <w:rsid w:val="000A2A25"/>
    <w:rsid w:val="00110ACF"/>
    <w:rsid w:val="00132960"/>
    <w:rsid w:val="00135734"/>
    <w:rsid w:val="001565C5"/>
    <w:rsid w:val="001649B6"/>
    <w:rsid w:val="001C03FF"/>
    <w:rsid w:val="00242A32"/>
    <w:rsid w:val="00271E9B"/>
    <w:rsid w:val="002730E0"/>
    <w:rsid w:val="00277B99"/>
    <w:rsid w:val="002A6C6B"/>
    <w:rsid w:val="002D4965"/>
    <w:rsid w:val="00340ED0"/>
    <w:rsid w:val="0034687A"/>
    <w:rsid w:val="00366DDF"/>
    <w:rsid w:val="00384CC8"/>
    <w:rsid w:val="00385849"/>
    <w:rsid w:val="003C13DA"/>
    <w:rsid w:val="004135D7"/>
    <w:rsid w:val="00485EB2"/>
    <w:rsid w:val="004971C5"/>
    <w:rsid w:val="004B5ABC"/>
    <w:rsid w:val="004D7EDF"/>
    <w:rsid w:val="005511CC"/>
    <w:rsid w:val="00552C04"/>
    <w:rsid w:val="00553CCF"/>
    <w:rsid w:val="00574BBE"/>
    <w:rsid w:val="005913E7"/>
    <w:rsid w:val="005C4F41"/>
    <w:rsid w:val="005D58C2"/>
    <w:rsid w:val="005F1DE4"/>
    <w:rsid w:val="005F3362"/>
    <w:rsid w:val="005F394D"/>
    <w:rsid w:val="0061723C"/>
    <w:rsid w:val="00627F5A"/>
    <w:rsid w:val="0065088C"/>
    <w:rsid w:val="0066614D"/>
    <w:rsid w:val="006A4A89"/>
    <w:rsid w:val="006F16E1"/>
    <w:rsid w:val="00713C30"/>
    <w:rsid w:val="0072451C"/>
    <w:rsid w:val="0074163E"/>
    <w:rsid w:val="007751F1"/>
    <w:rsid w:val="007804DF"/>
    <w:rsid w:val="00783873"/>
    <w:rsid w:val="00866DD2"/>
    <w:rsid w:val="00883846"/>
    <w:rsid w:val="00887080"/>
    <w:rsid w:val="008D388B"/>
    <w:rsid w:val="00913B9B"/>
    <w:rsid w:val="00943AC3"/>
    <w:rsid w:val="0099512D"/>
    <w:rsid w:val="009B223A"/>
    <w:rsid w:val="009B2A41"/>
    <w:rsid w:val="009C37ED"/>
    <w:rsid w:val="00A11999"/>
    <w:rsid w:val="00A45E75"/>
    <w:rsid w:val="00A719F8"/>
    <w:rsid w:val="00A771C2"/>
    <w:rsid w:val="00AC6E8B"/>
    <w:rsid w:val="00AE0672"/>
    <w:rsid w:val="00BA74AD"/>
    <w:rsid w:val="00BB3560"/>
    <w:rsid w:val="00BC7021"/>
    <w:rsid w:val="00BD542F"/>
    <w:rsid w:val="00BE6D0D"/>
    <w:rsid w:val="00C04CA7"/>
    <w:rsid w:val="00C05F67"/>
    <w:rsid w:val="00C0752D"/>
    <w:rsid w:val="00C557FB"/>
    <w:rsid w:val="00C56397"/>
    <w:rsid w:val="00C60974"/>
    <w:rsid w:val="00C70E5A"/>
    <w:rsid w:val="00C847E2"/>
    <w:rsid w:val="00CE16B9"/>
    <w:rsid w:val="00D44D90"/>
    <w:rsid w:val="00D521DA"/>
    <w:rsid w:val="00D643AA"/>
    <w:rsid w:val="00DA1BC7"/>
    <w:rsid w:val="00E756E2"/>
    <w:rsid w:val="00E900D7"/>
    <w:rsid w:val="00EB093E"/>
    <w:rsid w:val="00ED28F5"/>
    <w:rsid w:val="00ED4AA0"/>
    <w:rsid w:val="00EE2AD7"/>
    <w:rsid w:val="00EF55AB"/>
    <w:rsid w:val="00F073AC"/>
    <w:rsid w:val="00F1699B"/>
    <w:rsid w:val="00F93483"/>
    <w:rsid w:val="00FF26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97"/>
    <w:rPr>
      <w:sz w:val="24"/>
    </w:rPr>
  </w:style>
  <w:style w:type="paragraph" w:styleId="Heading1">
    <w:name w:val="heading 1"/>
    <w:basedOn w:val="Normal"/>
    <w:next w:val="Normal"/>
    <w:link w:val="Heading1Char"/>
    <w:uiPriority w:val="9"/>
    <w:qFormat/>
    <w:rsid w:val="00C56397"/>
    <w:pPr>
      <w:keepNext/>
      <w:keepLines/>
      <w:spacing w:before="60" w:after="60"/>
      <w:ind w:firstLine="510"/>
      <w:jc w:val="both"/>
      <w:outlineLvl w:val="0"/>
    </w:pPr>
    <w:rPr>
      <w:rFonts w:eastAsiaTheme="majorEastAsia" w:cstheme="majorBidi"/>
      <w:b/>
      <w:spacing w:val="22"/>
      <w:sz w:val="2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97"/>
    <w:rPr>
      <w:rFonts w:eastAsiaTheme="majorEastAsia" w:cstheme="majorBidi"/>
      <w:b/>
      <w:spacing w:val="22"/>
      <w:sz w:val="29"/>
      <w:szCs w:val="32"/>
    </w:rPr>
  </w:style>
  <w:style w:type="paragraph" w:customStyle="1" w:styleId="naisf">
    <w:name w:val="naisf"/>
    <w:basedOn w:val="Normal"/>
    <w:rsid w:val="00C56397"/>
    <w:pPr>
      <w:spacing w:before="107" w:after="107"/>
      <w:ind w:firstLine="537"/>
      <w:jc w:val="both"/>
    </w:pPr>
    <w:rPr>
      <w:rFonts w:eastAsia="Times New Roman" w:cs="Times New Roman"/>
      <w:szCs w:val="24"/>
      <w:lang w:val="en-US"/>
    </w:rPr>
  </w:style>
  <w:style w:type="paragraph" w:styleId="NoSpacing">
    <w:name w:val="No Spacing"/>
    <w:uiPriority w:val="1"/>
    <w:qFormat/>
    <w:rsid w:val="00C56397"/>
    <w:pPr>
      <w:ind w:left="851" w:hanging="851"/>
      <w:jc w:val="both"/>
    </w:pPr>
  </w:style>
  <w:style w:type="paragraph" w:styleId="Header">
    <w:name w:val="header"/>
    <w:basedOn w:val="Normal"/>
    <w:link w:val="HeaderChar"/>
    <w:uiPriority w:val="99"/>
    <w:unhideWhenUsed/>
    <w:rsid w:val="0034687A"/>
    <w:pPr>
      <w:tabs>
        <w:tab w:val="center" w:pos="4153"/>
        <w:tab w:val="right" w:pos="8306"/>
      </w:tabs>
    </w:pPr>
  </w:style>
  <w:style w:type="character" w:customStyle="1" w:styleId="HeaderChar">
    <w:name w:val="Header Char"/>
    <w:basedOn w:val="DefaultParagraphFont"/>
    <w:link w:val="Header"/>
    <w:uiPriority w:val="99"/>
    <w:rsid w:val="0034687A"/>
    <w:rPr>
      <w:sz w:val="24"/>
    </w:rPr>
  </w:style>
  <w:style w:type="paragraph" w:styleId="Footer">
    <w:name w:val="footer"/>
    <w:basedOn w:val="Normal"/>
    <w:link w:val="FooterChar"/>
    <w:uiPriority w:val="99"/>
    <w:unhideWhenUsed/>
    <w:rsid w:val="0034687A"/>
    <w:pPr>
      <w:tabs>
        <w:tab w:val="center" w:pos="4153"/>
        <w:tab w:val="right" w:pos="8306"/>
      </w:tabs>
    </w:pPr>
  </w:style>
  <w:style w:type="character" w:customStyle="1" w:styleId="FooterChar">
    <w:name w:val="Footer Char"/>
    <w:basedOn w:val="DefaultParagraphFont"/>
    <w:link w:val="Footer"/>
    <w:uiPriority w:val="99"/>
    <w:rsid w:val="0034687A"/>
    <w:rPr>
      <w:sz w:val="24"/>
    </w:rPr>
  </w:style>
  <w:style w:type="paragraph" w:styleId="FootnoteText">
    <w:name w:val="footnote text"/>
    <w:basedOn w:val="Normal"/>
    <w:link w:val="FootnoteTextChar"/>
    <w:uiPriority w:val="99"/>
    <w:semiHidden/>
    <w:unhideWhenUsed/>
    <w:rsid w:val="00883846"/>
    <w:rPr>
      <w:sz w:val="20"/>
      <w:szCs w:val="20"/>
    </w:rPr>
  </w:style>
  <w:style w:type="character" w:customStyle="1" w:styleId="FootnoteTextChar">
    <w:name w:val="Footnote Text Char"/>
    <w:basedOn w:val="DefaultParagraphFont"/>
    <w:link w:val="FootnoteText"/>
    <w:uiPriority w:val="99"/>
    <w:semiHidden/>
    <w:rsid w:val="00883846"/>
    <w:rPr>
      <w:sz w:val="20"/>
      <w:szCs w:val="20"/>
    </w:rPr>
  </w:style>
  <w:style w:type="character" w:styleId="FootnoteReference">
    <w:name w:val="footnote reference"/>
    <w:basedOn w:val="DefaultParagraphFont"/>
    <w:uiPriority w:val="99"/>
    <w:semiHidden/>
    <w:unhideWhenUsed/>
    <w:rsid w:val="00883846"/>
    <w:rPr>
      <w:vertAlign w:val="superscript"/>
    </w:rPr>
  </w:style>
  <w:style w:type="character" w:styleId="Hyperlink">
    <w:name w:val="Hyperlink"/>
    <w:basedOn w:val="DefaultParagraphFont"/>
    <w:uiPriority w:val="99"/>
    <w:unhideWhenUsed/>
    <w:rsid w:val="00883846"/>
    <w:rPr>
      <w:color w:val="0563C1" w:themeColor="hyperlink"/>
      <w:u w:val="single"/>
    </w:rPr>
  </w:style>
  <w:style w:type="paragraph" w:styleId="EndnoteText">
    <w:name w:val="endnote text"/>
    <w:basedOn w:val="Normal"/>
    <w:link w:val="EndnoteTextChar"/>
    <w:uiPriority w:val="99"/>
    <w:semiHidden/>
    <w:unhideWhenUsed/>
    <w:rsid w:val="005F394D"/>
    <w:rPr>
      <w:sz w:val="20"/>
      <w:szCs w:val="20"/>
    </w:rPr>
  </w:style>
  <w:style w:type="character" w:customStyle="1" w:styleId="EndnoteTextChar">
    <w:name w:val="Endnote Text Char"/>
    <w:basedOn w:val="DefaultParagraphFont"/>
    <w:link w:val="EndnoteText"/>
    <w:uiPriority w:val="99"/>
    <w:semiHidden/>
    <w:rsid w:val="005F394D"/>
    <w:rPr>
      <w:sz w:val="20"/>
      <w:szCs w:val="20"/>
    </w:rPr>
  </w:style>
  <w:style w:type="character" w:styleId="EndnoteReference">
    <w:name w:val="endnote reference"/>
    <w:basedOn w:val="DefaultParagraphFont"/>
    <w:uiPriority w:val="99"/>
    <w:semiHidden/>
    <w:unhideWhenUsed/>
    <w:rsid w:val="005F394D"/>
    <w:rPr>
      <w:vertAlign w:val="superscript"/>
    </w:rPr>
  </w:style>
  <w:style w:type="paragraph" w:styleId="ListParagraph">
    <w:name w:val="List Paragraph"/>
    <w:basedOn w:val="Normal"/>
    <w:uiPriority w:val="34"/>
    <w:qFormat/>
    <w:rsid w:val="00D44D90"/>
    <w:pPr>
      <w:spacing w:after="160"/>
      <w:ind w:left="720" w:firstLine="680"/>
      <w:contextualSpacing/>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397"/>
    <w:rPr>
      <w:sz w:val="24"/>
    </w:rPr>
  </w:style>
  <w:style w:type="paragraph" w:styleId="Heading1">
    <w:name w:val="heading 1"/>
    <w:basedOn w:val="Normal"/>
    <w:next w:val="Normal"/>
    <w:link w:val="Heading1Char"/>
    <w:uiPriority w:val="9"/>
    <w:qFormat/>
    <w:rsid w:val="00C56397"/>
    <w:pPr>
      <w:keepNext/>
      <w:keepLines/>
      <w:spacing w:before="60" w:after="60"/>
      <w:ind w:firstLine="510"/>
      <w:jc w:val="both"/>
      <w:outlineLvl w:val="0"/>
    </w:pPr>
    <w:rPr>
      <w:rFonts w:eastAsiaTheme="majorEastAsia" w:cstheme="majorBidi"/>
      <w:b/>
      <w:spacing w:val="22"/>
      <w:sz w:val="2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397"/>
    <w:rPr>
      <w:rFonts w:eastAsiaTheme="majorEastAsia" w:cstheme="majorBidi"/>
      <w:b/>
      <w:spacing w:val="22"/>
      <w:sz w:val="29"/>
      <w:szCs w:val="32"/>
    </w:rPr>
  </w:style>
  <w:style w:type="paragraph" w:customStyle="1" w:styleId="naisf">
    <w:name w:val="naisf"/>
    <w:basedOn w:val="Normal"/>
    <w:rsid w:val="00C56397"/>
    <w:pPr>
      <w:spacing w:before="107" w:after="107"/>
      <w:ind w:firstLine="537"/>
      <w:jc w:val="both"/>
    </w:pPr>
    <w:rPr>
      <w:rFonts w:eastAsia="Times New Roman" w:cs="Times New Roman"/>
      <w:szCs w:val="24"/>
      <w:lang w:val="en-US"/>
    </w:rPr>
  </w:style>
  <w:style w:type="paragraph" w:styleId="NoSpacing">
    <w:name w:val="No Spacing"/>
    <w:uiPriority w:val="1"/>
    <w:qFormat/>
    <w:rsid w:val="00C56397"/>
    <w:pPr>
      <w:ind w:left="851" w:hanging="851"/>
      <w:jc w:val="both"/>
    </w:pPr>
  </w:style>
  <w:style w:type="paragraph" w:styleId="Header">
    <w:name w:val="header"/>
    <w:basedOn w:val="Normal"/>
    <w:link w:val="HeaderChar"/>
    <w:uiPriority w:val="99"/>
    <w:unhideWhenUsed/>
    <w:rsid w:val="0034687A"/>
    <w:pPr>
      <w:tabs>
        <w:tab w:val="center" w:pos="4153"/>
        <w:tab w:val="right" w:pos="8306"/>
      </w:tabs>
    </w:pPr>
  </w:style>
  <w:style w:type="character" w:customStyle="1" w:styleId="HeaderChar">
    <w:name w:val="Header Char"/>
    <w:basedOn w:val="DefaultParagraphFont"/>
    <w:link w:val="Header"/>
    <w:uiPriority w:val="99"/>
    <w:rsid w:val="0034687A"/>
    <w:rPr>
      <w:sz w:val="24"/>
    </w:rPr>
  </w:style>
  <w:style w:type="paragraph" w:styleId="Footer">
    <w:name w:val="footer"/>
    <w:basedOn w:val="Normal"/>
    <w:link w:val="FooterChar"/>
    <w:uiPriority w:val="99"/>
    <w:unhideWhenUsed/>
    <w:rsid w:val="0034687A"/>
    <w:pPr>
      <w:tabs>
        <w:tab w:val="center" w:pos="4153"/>
        <w:tab w:val="right" w:pos="8306"/>
      </w:tabs>
    </w:pPr>
  </w:style>
  <w:style w:type="character" w:customStyle="1" w:styleId="FooterChar">
    <w:name w:val="Footer Char"/>
    <w:basedOn w:val="DefaultParagraphFont"/>
    <w:link w:val="Footer"/>
    <w:uiPriority w:val="99"/>
    <w:rsid w:val="0034687A"/>
    <w:rPr>
      <w:sz w:val="24"/>
    </w:rPr>
  </w:style>
  <w:style w:type="paragraph" w:styleId="FootnoteText">
    <w:name w:val="footnote text"/>
    <w:basedOn w:val="Normal"/>
    <w:link w:val="FootnoteTextChar"/>
    <w:uiPriority w:val="99"/>
    <w:semiHidden/>
    <w:unhideWhenUsed/>
    <w:rsid w:val="00883846"/>
    <w:rPr>
      <w:sz w:val="20"/>
      <w:szCs w:val="20"/>
    </w:rPr>
  </w:style>
  <w:style w:type="character" w:customStyle="1" w:styleId="FootnoteTextChar">
    <w:name w:val="Footnote Text Char"/>
    <w:basedOn w:val="DefaultParagraphFont"/>
    <w:link w:val="FootnoteText"/>
    <w:uiPriority w:val="99"/>
    <w:semiHidden/>
    <w:rsid w:val="00883846"/>
    <w:rPr>
      <w:sz w:val="20"/>
      <w:szCs w:val="20"/>
    </w:rPr>
  </w:style>
  <w:style w:type="character" w:styleId="FootnoteReference">
    <w:name w:val="footnote reference"/>
    <w:basedOn w:val="DefaultParagraphFont"/>
    <w:uiPriority w:val="99"/>
    <w:semiHidden/>
    <w:unhideWhenUsed/>
    <w:rsid w:val="00883846"/>
    <w:rPr>
      <w:vertAlign w:val="superscript"/>
    </w:rPr>
  </w:style>
  <w:style w:type="character" w:styleId="Hyperlink">
    <w:name w:val="Hyperlink"/>
    <w:basedOn w:val="DefaultParagraphFont"/>
    <w:uiPriority w:val="99"/>
    <w:unhideWhenUsed/>
    <w:rsid w:val="00883846"/>
    <w:rPr>
      <w:color w:val="0563C1" w:themeColor="hyperlink"/>
      <w:u w:val="single"/>
    </w:rPr>
  </w:style>
  <w:style w:type="paragraph" w:styleId="EndnoteText">
    <w:name w:val="endnote text"/>
    <w:basedOn w:val="Normal"/>
    <w:link w:val="EndnoteTextChar"/>
    <w:uiPriority w:val="99"/>
    <w:semiHidden/>
    <w:unhideWhenUsed/>
    <w:rsid w:val="005F394D"/>
    <w:rPr>
      <w:sz w:val="20"/>
      <w:szCs w:val="20"/>
    </w:rPr>
  </w:style>
  <w:style w:type="character" w:customStyle="1" w:styleId="EndnoteTextChar">
    <w:name w:val="Endnote Text Char"/>
    <w:basedOn w:val="DefaultParagraphFont"/>
    <w:link w:val="EndnoteText"/>
    <w:uiPriority w:val="99"/>
    <w:semiHidden/>
    <w:rsid w:val="005F394D"/>
    <w:rPr>
      <w:sz w:val="20"/>
      <w:szCs w:val="20"/>
    </w:rPr>
  </w:style>
  <w:style w:type="character" w:styleId="EndnoteReference">
    <w:name w:val="endnote reference"/>
    <w:basedOn w:val="DefaultParagraphFont"/>
    <w:uiPriority w:val="99"/>
    <w:semiHidden/>
    <w:unhideWhenUsed/>
    <w:rsid w:val="005F394D"/>
    <w:rPr>
      <w:vertAlign w:val="superscript"/>
    </w:rPr>
  </w:style>
  <w:style w:type="paragraph" w:styleId="ListParagraph">
    <w:name w:val="List Paragraph"/>
    <w:basedOn w:val="Normal"/>
    <w:uiPriority w:val="34"/>
    <w:qFormat/>
    <w:rsid w:val="00D44D90"/>
    <w:pPr>
      <w:spacing w:after="160"/>
      <w:ind w:left="720" w:firstLine="680"/>
      <w:contextualSpacing/>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78688">
      <w:bodyDiv w:val="1"/>
      <w:marLeft w:val="0"/>
      <w:marRight w:val="0"/>
      <w:marTop w:val="0"/>
      <w:marBottom w:val="0"/>
      <w:divBdr>
        <w:top w:val="none" w:sz="0" w:space="0" w:color="auto"/>
        <w:left w:val="none" w:sz="0" w:space="0" w:color="auto"/>
        <w:bottom w:val="none" w:sz="0" w:space="0" w:color="auto"/>
        <w:right w:val="none" w:sz="0" w:space="0" w:color="auto"/>
      </w:divBdr>
    </w:div>
    <w:div w:id="20237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gita.Kirule-Viksne@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vsssanaksmes/saraksts/protokols/?protokols=2017-08-31" TargetMode="External"/><Relationship Id="rId1" Type="http://schemas.openxmlformats.org/officeDocument/2006/relationships/hyperlink" Target="http://www.latvijasbuvnieki.lv/content/uploads/2017/07/Zinojums-buvnieciba-201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ruleB\Documents\05_DARBA\MKnot_BK_Klasifikacija\2017-1885_24012017_protNr.40_40.&#167;_3.,4.p\VID\Informacija%20par%20videjam%20stundas%20tarifa%20likmem%202016.gada%20septembris%20l&#299;dz%202017.gada%20maijs_pil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pivotSource>
    <c:name>[Informacija par videjam stundas tarifa likmem 2016.gada septembris līdz 2017.gada maijs_pilns.xlsx]graf!PivotTable3</c:name>
    <c:fmtId val="-1"/>
  </c:pivotSource>
  <c:chart>
    <c:autoTitleDeleted val="0"/>
    <c:pivotFmts>
      <c:pivotFmt>
        <c:idx val="0"/>
      </c:pivotFmt>
      <c:pivotFmt>
        <c:idx val="1"/>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349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effectLst>
                    <a:glow rad="114300">
                      <a:schemeClr val="bg1"/>
                    </a:glow>
                  </a:effectLst>
                  <a:latin typeface="+mn-lt"/>
                  <a:ea typeface="+mn-ea"/>
                  <a:cs typeface="+mn-cs"/>
                </a:defRPr>
              </a:pPr>
              <a:endParaRPr lang="lv-L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741E-2"/>
              <c:y val="-1.89086980010804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1643379906852899E-2"/>
              <c:y val="-8.1037277147487843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497005988023946E-2"/>
              <c:y val="-5.4024851431659551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9.9800399201596807E-3"/>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6533599467731202E-3"/>
              <c:y val="-2.701242571582928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8276779773785763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3286759813705905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8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6533599467731202E-3"/>
              <c:y val="-2.701242571582928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741E-2"/>
              <c:y val="-1.89086980010804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3286759813705905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8276779773785763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8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1643379906852899E-2"/>
              <c:y val="-8.1037277147487843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497005988023946E-2"/>
              <c:y val="-5.4024851431659551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9.9800399201596807E-3"/>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349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effectLst>
                    <a:glow rad="114300">
                      <a:schemeClr val="bg1"/>
                    </a:glow>
                  </a:effectLst>
                  <a:latin typeface="+mn-lt"/>
                  <a:ea typeface="+mn-ea"/>
                  <a:cs typeface="+mn-cs"/>
                </a:defRPr>
              </a:pPr>
              <a:endParaRPr lang="lv-L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6533599467731202E-3"/>
              <c:y val="-2.701242571582928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741E-2"/>
              <c:y val="-1.89086980010804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3286759813705905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8276779773785763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66333998669328E-2"/>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1643379906852899E-2"/>
              <c:y val="-8.1037277147487843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1.497005988023946E-2"/>
              <c:y val="-5.4024851431659551E-3"/>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9.9800399201596807E-3"/>
              <c:y val="0"/>
            </c:manualLayout>
          </c:layout>
          <c:spPr>
            <a:noFill/>
            <a:ln>
              <a:noFill/>
            </a:ln>
            <a:effectLst/>
          </c:spPr>
          <c:txPr>
            <a:bodyPr rot="0" spcFirstLastPara="1" vertOverflow="ellipsis" vert="horz" wrap="square" lIns="38100" tIns="19050" rIns="38100" bIns="19050" anchor="t" anchorCtr="0">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349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
          <c:idx val="0"/>
          <c:numFmt formatCode="0.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effectLst>
                    <a:glow rad="114300">
                      <a:schemeClr val="bg1"/>
                    </a:glow>
                  </a:effectLst>
                  <a:latin typeface="+mn-lt"/>
                  <a:ea typeface="+mn-ea"/>
                  <a:cs typeface="+mn-cs"/>
                </a:defRPr>
              </a:pPr>
              <a:endParaRPr lang="lv-LV"/>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6.3300628376143753E-2"/>
          <c:y val="5.399971885035354E-2"/>
          <c:w val="0.62371180286402028"/>
          <c:h val="0.63821006260143753"/>
        </c:manualLayout>
      </c:layout>
      <c:barChart>
        <c:barDir val="col"/>
        <c:grouping val="clustered"/>
        <c:varyColors val="0"/>
        <c:ser>
          <c:idx val="0"/>
          <c:order val="0"/>
          <c:tx>
            <c:strRef>
              <c:f>graf!$B$3</c:f>
              <c:strCache>
                <c:ptCount val="1"/>
                <c:pt idx="0">
                  <c:v>'Vidējā svērtā likme profesiju grupā (4 zīmes), EUR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3"/>
            <c:invertIfNegative val="0"/>
            <c:bubble3D val="0"/>
            <c:extLst xmlns:c16r2="http://schemas.microsoft.com/office/drawing/2015/06/chart">
              <c:ext xmlns:c16="http://schemas.microsoft.com/office/drawing/2014/chart" uri="{C3380CC4-5D6E-409C-BE32-E72D297353CC}">
                <c16:uniqueId val="{00000001-3101-4D36-AE3C-9D891CF85AD3}"/>
              </c:ext>
            </c:extLst>
          </c:dPt>
          <c:dPt>
            <c:idx val="5"/>
            <c:invertIfNegative val="0"/>
            <c:bubble3D val="0"/>
            <c:extLst xmlns:c16r2="http://schemas.microsoft.com/office/drawing/2015/06/chart">
              <c:ext xmlns:c16="http://schemas.microsoft.com/office/drawing/2014/chart" uri="{C3380CC4-5D6E-409C-BE32-E72D297353CC}">
                <c16:uniqueId val="{00000003-3101-4D36-AE3C-9D891CF85AD3}"/>
              </c:ext>
            </c:extLst>
          </c:dPt>
          <c:dLbls>
            <c:dLbl>
              <c:idx val="3"/>
              <c:layout>
                <c:manualLayout>
                  <c:x val="-6.6533599467731202E-3"/>
                  <c:y val="-2.70124257158292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01-4D36-AE3C-9D891CF85AD3}"/>
                </c:ext>
              </c:extLst>
            </c:dLbl>
            <c:dLbl>
              <c:idx val="5"/>
              <c:layout>
                <c:manualLayout>
                  <c:x val="-1.6633399866932741E-2"/>
                  <c:y val="-1.89086980010804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01-4D36-AE3C-9D891CF85AD3}"/>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graf!$A$4:$A$20</c:f>
              <c:multiLvlStrCache>
                <c:ptCount val="8"/>
                <c:lvl>
                  <c:pt idx="0">
                    <c:v>5.kopa</c:v>
                  </c:pt>
                  <c:pt idx="1">
                    <c:v>4.kopa</c:v>
                  </c:pt>
                  <c:pt idx="2">
                    <c:v>3.kopa</c:v>
                  </c:pt>
                  <c:pt idx="3">
                    <c:v>3.kopa</c:v>
                  </c:pt>
                  <c:pt idx="4">
                    <c:v>3.kopa</c:v>
                  </c:pt>
                  <c:pt idx="5">
                    <c:v>2.kopa</c:v>
                  </c:pt>
                  <c:pt idx="6">
                    <c:v>2.kopa</c:v>
                  </c:pt>
                  <c:pt idx="7">
                    <c:v>1.kopa</c:v>
                  </c:pt>
                </c:lvl>
                <c:lvl>
                  <c:pt idx="0">
                    <c:v>1###</c:v>
                  </c:pt>
                  <c:pt idx="1">
                    <c:v>2###</c:v>
                  </c:pt>
                  <c:pt idx="2">
                    <c:v>3###</c:v>
                  </c:pt>
                  <c:pt idx="3">
                    <c:v>4###</c:v>
                  </c:pt>
                  <c:pt idx="4">
                    <c:v>6###</c:v>
                  </c:pt>
                  <c:pt idx="5">
                    <c:v>7###</c:v>
                  </c:pt>
                  <c:pt idx="6">
                    <c:v>8###</c:v>
                  </c:pt>
                  <c:pt idx="7">
                    <c:v>9###</c:v>
                  </c:pt>
                </c:lvl>
              </c:multiLvlStrCache>
            </c:multiLvlStrRef>
          </c:cat>
          <c:val>
            <c:numRef>
              <c:f>graf!$B$4:$B$20</c:f>
              <c:numCache>
                <c:formatCode>General</c:formatCode>
                <c:ptCount val="8"/>
                <c:pt idx="0">
                  <c:v>9.36</c:v>
                </c:pt>
                <c:pt idx="1">
                  <c:v>8.5</c:v>
                </c:pt>
                <c:pt idx="2">
                  <c:v>6.5</c:v>
                </c:pt>
                <c:pt idx="3">
                  <c:v>6.35</c:v>
                </c:pt>
                <c:pt idx="4">
                  <c:v>5.08</c:v>
                </c:pt>
                <c:pt idx="5">
                  <c:v>5.39</c:v>
                </c:pt>
                <c:pt idx="6">
                  <c:v>4.7699999999999996</c:v>
                </c:pt>
                <c:pt idx="7">
                  <c:v>4.1100000000000003</c:v>
                </c:pt>
              </c:numCache>
            </c:numRef>
          </c:val>
          <c:extLst xmlns:c16r2="http://schemas.microsoft.com/office/drawing/2015/06/chart">
            <c:ext xmlns:c16="http://schemas.microsoft.com/office/drawing/2014/chart" uri="{C3380CC4-5D6E-409C-BE32-E72D297353CC}">
              <c16:uniqueId val="{00000004-3101-4D36-AE3C-9D891CF85AD3}"/>
            </c:ext>
          </c:extLst>
        </c:ser>
        <c:ser>
          <c:idx val="1"/>
          <c:order val="1"/>
          <c:tx>
            <c:strRef>
              <c:f>graf!$C$3</c:f>
              <c:strCache>
                <c:ptCount val="1"/>
                <c:pt idx="0">
                  <c:v>'Vidējā svērtā likme profesijā (6 zīmes), EUR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extLst xmlns:c16r2="http://schemas.microsoft.com/office/drawing/2015/06/chart">
              <c:ext xmlns:c16="http://schemas.microsoft.com/office/drawing/2014/chart" uri="{C3380CC4-5D6E-409C-BE32-E72D297353CC}">
                <c16:uniqueId val="{00000006-3101-4D36-AE3C-9D891CF85AD3}"/>
              </c:ext>
            </c:extLst>
          </c:dPt>
          <c:dPt>
            <c:idx val="1"/>
            <c:invertIfNegative val="0"/>
            <c:bubble3D val="0"/>
            <c:extLst xmlns:c16r2="http://schemas.microsoft.com/office/drawing/2015/06/chart">
              <c:ext xmlns:c16="http://schemas.microsoft.com/office/drawing/2014/chart" uri="{C3380CC4-5D6E-409C-BE32-E72D297353CC}">
                <c16:uniqueId val="{00000008-3101-4D36-AE3C-9D891CF85AD3}"/>
              </c:ext>
            </c:extLst>
          </c:dPt>
          <c:dPt>
            <c:idx val="2"/>
            <c:invertIfNegative val="0"/>
            <c:bubble3D val="0"/>
            <c:extLst xmlns:c16r2="http://schemas.microsoft.com/office/drawing/2015/06/chart">
              <c:ext xmlns:c16="http://schemas.microsoft.com/office/drawing/2014/chart" uri="{C3380CC4-5D6E-409C-BE32-E72D297353CC}">
                <c16:uniqueId val="{0000000A-3101-4D36-AE3C-9D891CF85AD3}"/>
              </c:ext>
            </c:extLst>
          </c:dPt>
          <c:dPt>
            <c:idx val="4"/>
            <c:invertIfNegative val="0"/>
            <c:bubble3D val="0"/>
            <c:extLst xmlns:c16r2="http://schemas.microsoft.com/office/drawing/2015/06/chart">
              <c:ext xmlns:c16="http://schemas.microsoft.com/office/drawing/2014/chart" uri="{C3380CC4-5D6E-409C-BE32-E72D297353CC}">
                <c16:uniqueId val="{0000000C-3101-4D36-AE3C-9D891CF85AD3}"/>
              </c:ext>
            </c:extLst>
          </c:dPt>
          <c:dPt>
            <c:idx val="6"/>
            <c:invertIfNegative val="0"/>
            <c:bubble3D val="0"/>
            <c:extLst xmlns:c16r2="http://schemas.microsoft.com/office/drawing/2015/06/chart">
              <c:ext xmlns:c16="http://schemas.microsoft.com/office/drawing/2014/chart" uri="{C3380CC4-5D6E-409C-BE32-E72D297353CC}">
                <c16:uniqueId val="{0000000E-3101-4D36-AE3C-9D891CF85AD3}"/>
              </c:ext>
            </c:extLst>
          </c:dPt>
          <c:dPt>
            <c:idx val="7"/>
            <c:invertIfNegative val="0"/>
            <c:bubble3D val="0"/>
            <c:extLst xmlns:c16r2="http://schemas.microsoft.com/office/drawing/2015/06/chart">
              <c:ext xmlns:c16="http://schemas.microsoft.com/office/drawing/2014/chart" uri="{C3380CC4-5D6E-409C-BE32-E72D297353CC}">
                <c16:uniqueId val="{00000010-3101-4D36-AE3C-9D891CF85AD3}"/>
              </c:ext>
            </c:extLst>
          </c:dPt>
          <c:dLbls>
            <c:dLbl>
              <c:idx val="0"/>
              <c:layout>
                <c:manualLayout>
                  <c:x val="2.328675981370590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101-4D36-AE3C-9D891CF85AD3}"/>
                </c:ext>
              </c:extLst>
            </c:dLbl>
            <c:dLbl>
              <c:idx val="1"/>
              <c:layout>
                <c:manualLayout>
                  <c:x val="2.827677977378576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101-4D36-AE3C-9D891CF85AD3}"/>
                </c:ext>
              </c:extLst>
            </c:dLbl>
            <c:dLbl>
              <c:idx val="2"/>
              <c:layout>
                <c:manualLayout>
                  <c:x val="1.6633399866932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101-4D36-AE3C-9D891CF85AD3}"/>
                </c:ext>
              </c:extLst>
            </c:dLbl>
            <c:dLbl>
              <c:idx val="3"/>
              <c:layout>
                <c:manualLayout>
                  <c:x val="3.4367951884867319E-2"/>
                  <c:y val="-2.78228611175515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101-4D36-AE3C-9D891CF85AD3}"/>
                </c:ext>
              </c:extLst>
            </c:dLbl>
            <c:dLbl>
              <c:idx val="4"/>
              <c:layout>
                <c:manualLayout>
                  <c:x val="1.1643379906852899E-2"/>
                  <c:y val="-8.103727714748784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101-4D36-AE3C-9D891CF85AD3}"/>
                </c:ext>
              </c:extLst>
            </c:dLbl>
            <c:dLbl>
              <c:idx val="5"/>
              <c:layout>
                <c:manualLayout>
                  <c:x val="3.6515948877671491E-2"/>
                  <c:y val="-3.24600046371435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101-4D36-AE3C-9D891CF85AD3}"/>
                </c:ext>
              </c:extLst>
            </c:dLbl>
            <c:dLbl>
              <c:idx val="6"/>
              <c:layout>
                <c:manualLayout>
                  <c:x val="1.497005988023946E-2"/>
                  <c:y val="-5.40248514316595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101-4D36-AE3C-9D891CF85AD3}"/>
                </c:ext>
              </c:extLst>
            </c:dLbl>
            <c:dLbl>
              <c:idx val="7"/>
              <c:layout>
                <c:manualLayout>
                  <c:x val="3.146003753075060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101-4D36-AE3C-9D891CF85AD3}"/>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graf!$A$4:$A$20</c:f>
              <c:multiLvlStrCache>
                <c:ptCount val="8"/>
                <c:lvl>
                  <c:pt idx="0">
                    <c:v>5.kopa</c:v>
                  </c:pt>
                  <c:pt idx="1">
                    <c:v>4.kopa</c:v>
                  </c:pt>
                  <c:pt idx="2">
                    <c:v>3.kopa</c:v>
                  </c:pt>
                  <c:pt idx="3">
                    <c:v>3.kopa</c:v>
                  </c:pt>
                  <c:pt idx="4">
                    <c:v>3.kopa</c:v>
                  </c:pt>
                  <c:pt idx="5">
                    <c:v>2.kopa</c:v>
                  </c:pt>
                  <c:pt idx="6">
                    <c:v>2.kopa</c:v>
                  </c:pt>
                  <c:pt idx="7">
                    <c:v>1.kopa</c:v>
                  </c:pt>
                </c:lvl>
                <c:lvl>
                  <c:pt idx="0">
                    <c:v>1###</c:v>
                  </c:pt>
                  <c:pt idx="1">
                    <c:v>2###</c:v>
                  </c:pt>
                  <c:pt idx="2">
                    <c:v>3###</c:v>
                  </c:pt>
                  <c:pt idx="3">
                    <c:v>4###</c:v>
                  </c:pt>
                  <c:pt idx="4">
                    <c:v>6###</c:v>
                  </c:pt>
                  <c:pt idx="5">
                    <c:v>7###</c:v>
                  </c:pt>
                  <c:pt idx="6">
                    <c:v>8###</c:v>
                  </c:pt>
                  <c:pt idx="7">
                    <c:v>9###</c:v>
                  </c:pt>
                </c:lvl>
              </c:multiLvlStrCache>
            </c:multiLvlStrRef>
          </c:cat>
          <c:val>
            <c:numRef>
              <c:f>graf!$C$4:$C$20</c:f>
              <c:numCache>
                <c:formatCode>General</c:formatCode>
                <c:ptCount val="8"/>
                <c:pt idx="0">
                  <c:v>9.17</c:v>
                </c:pt>
                <c:pt idx="1">
                  <c:v>8.4700000000000006</c:v>
                </c:pt>
                <c:pt idx="2">
                  <c:v>6.35</c:v>
                </c:pt>
                <c:pt idx="3">
                  <c:v>6.32</c:v>
                </c:pt>
                <c:pt idx="4">
                  <c:v>3.24</c:v>
                </c:pt>
                <c:pt idx="5">
                  <c:v>5.42</c:v>
                </c:pt>
                <c:pt idx="6">
                  <c:v>4.38</c:v>
                </c:pt>
                <c:pt idx="7">
                  <c:v>3.95</c:v>
                </c:pt>
              </c:numCache>
            </c:numRef>
          </c:val>
          <c:extLst xmlns:c16r2="http://schemas.microsoft.com/office/drawing/2015/06/chart">
            <c:ext xmlns:c16="http://schemas.microsoft.com/office/drawing/2014/chart" uri="{C3380CC4-5D6E-409C-BE32-E72D297353CC}">
              <c16:uniqueId val="{00000013-3101-4D36-AE3C-9D891CF85AD3}"/>
            </c:ext>
          </c:extLst>
        </c:ser>
        <c:dLbls>
          <c:showLegendKey val="0"/>
          <c:showVal val="0"/>
          <c:showCatName val="0"/>
          <c:showSerName val="0"/>
          <c:showPercent val="0"/>
          <c:showBubbleSize val="0"/>
        </c:dLbls>
        <c:gapWidth val="219"/>
        <c:axId val="117614848"/>
        <c:axId val="117620736"/>
      </c:barChart>
      <c:lineChart>
        <c:grouping val="standard"/>
        <c:varyColors val="0"/>
        <c:ser>
          <c:idx val="2"/>
          <c:order val="2"/>
          <c:tx>
            <c:strRef>
              <c:f>graf!$D$3</c:f>
              <c:strCache>
                <c:ptCount val="1"/>
                <c:pt idx="0">
                  <c:v>'Likmes starpība 4 un 6 zīmju profesiju klasifikatora līmenī, %</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numFmt formatCode="0.00%" sourceLinked="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graf!$A$4:$A$20</c:f>
              <c:multiLvlStrCache>
                <c:ptCount val="8"/>
                <c:lvl>
                  <c:pt idx="0">
                    <c:v>5.kopa</c:v>
                  </c:pt>
                  <c:pt idx="1">
                    <c:v>4.kopa</c:v>
                  </c:pt>
                  <c:pt idx="2">
                    <c:v>3.kopa</c:v>
                  </c:pt>
                  <c:pt idx="3">
                    <c:v>3.kopa</c:v>
                  </c:pt>
                  <c:pt idx="4">
                    <c:v>3.kopa</c:v>
                  </c:pt>
                  <c:pt idx="5">
                    <c:v>2.kopa</c:v>
                  </c:pt>
                  <c:pt idx="6">
                    <c:v>2.kopa</c:v>
                  </c:pt>
                  <c:pt idx="7">
                    <c:v>1.kopa</c:v>
                  </c:pt>
                </c:lvl>
                <c:lvl>
                  <c:pt idx="0">
                    <c:v>1###</c:v>
                  </c:pt>
                  <c:pt idx="1">
                    <c:v>2###</c:v>
                  </c:pt>
                  <c:pt idx="2">
                    <c:v>3###</c:v>
                  </c:pt>
                  <c:pt idx="3">
                    <c:v>4###</c:v>
                  </c:pt>
                  <c:pt idx="4">
                    <c:v>6###</c:v>
                  </c:pt>
                  <c:pt idx="5">
                    <c:v>7###</c:v>
                  </c:pt>
                  <c:pt idx="6">
                    <c:v>8###</c:v>
                  </c:pt>
                  <c:pt idx="7">
                    <c:v>9###</c:v>
                  </c:pt>
                </c:lvl>
              </c:multiLvlStrCache>
            </c:multiLvlStrRef>
          </c:cat>
          <c:val>
            <c:numRef>
              <c:f>graf!$D$4:$D$20</c:f>
              <c:numCache>
                <c:formatCode>General</c:formatCode>
                <c:ptCount val="8"/>
                <c:pt idx="0">
                  <c:v>1.0207197382769901</c:v>
                </c:pt>
                <c:pt idx="1">
                  <c:v>1.0035419126328216</c:v>
                </c:pt>
                <c:pt idx="2">
                  <c:v>1.0236220472440944</c:v>
                </c:pt>
                <c:pt idx="3">
                  <c:v>1.0047468354430378</c:v>
                </c:pt>
                <c:pt idx="4">
                  <c:v>1.5679012345679011</c:v>
                </c:pt>
                <c:pt idx="5">
                  <c:v>0.99446494464944646</c:v>
                </c:pt>
                <c:pt idx="6">
                  <c:v>1.0890410958904109</c:v>
                </c:pt>
                <c:pt idx="7">
                  <c:v>1.040506329113924</c:v>
                </c:pt>
              </c:numCache>
            </c:numRef>
          </c:val>
          <c:smooth val="0"/>
          <c:extLst xmlns:c16r2="http://schemas.microsoft.com/office/drawing/2015/06/chart">
            <c:ext xmlns:c16="http://schemas.microsoft.com/office/drawing/2014/chart" uri="{C3380CC4-5D6E-409C-BE32-E72D297353CC}">
              <c16:uniqueId val="{00000014-3101-4D36-AE3C-9D891CF85AD3}"/>
            </c:ext>
          </c:extLst>
        </c:ser>
        <c:dLbls>
          <c:showLegendKey val="0"/>
          <c:showVal val="0"/>
          <c:showCatName val="0"/>
          <c:showSerName val="0"/>
          <c:showPercent val="0"/>
          <c:showBubbleSize val="0"/>
        </c:dLbls>
        <c:marker val="1"/>
        <c:smooth val="0"/>
        <c:axId val="117614848"/>
        <c:axId val="117620736"/>
      </c:lineChart>
      <c:catAx>
        <c:axId val="117614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7620736"/>
        <c:crosses val="autoZero"/>
        <c:auto val="1"/>
        <c:lblAlgn val="ctr"/>
        <c:lblOffset val="100"/>
        <c:noMultiLvlLbl val="0"/>
      </c:catAx>
      <c:valAx>
        <c:axId val="11762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7614848"/>
        <c:crosses val="autoZero"/>
        <c:crossBetween val="between"/>
      </c:valAx>
      <c:spPr>
        <a:noFill/>
        <a:ln>
          <a:noFill/>
        </a:ln>
        <a:effectLst/>
      </c:spPr>
    </c:plotArea>
    <c:legend>
      <c:legendPos val="r"/>
      <c:layout>
        <c:manualLayout>
          <c:xMode val="edge"/>
          <c:yMode val="edge"/>
          <c:x val="0.70685588841136893"/>
          <c:y val="9.5609136268121828E-2"/>
          <c:w val="0.27991514014116115"/>
          <c:h val="0.8644274496988595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lv-LV"/>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DB14-828A-4BD9-BCAE-E4177335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6848</Words>
  <Characters>3904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Ministru kabineta 2017.gada 24.janvāra sēdes protokoluzdevumu (protokola Nr.4 40.§ 3. un 4.punkts) grozīšanu</vt:lpstr>
    </vt:vector>
  </TitlesOfParts>
  <Company>Ekonomikas ministrija</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24.janvāra sēdes protokoluzdevumu (protokola Nr.4 40.§ 3. un 4.punkts) grozīšanu</dc:title>
  <dc:subject>Informatīvais ziņojums</dc:subject>
  <dc:creator>Brigita Ķirule-Vīksne</dc:creator>
  <dc:description>Brigita.Kirule-Viksne@em.gov.lv, tālr. 67013051</dc:description>
  <cp:lastModifiedBy>Jekaterina Borovika</cp:lastModifiedBy>
  <cp:revision>2</cp:revision>
  <dcterms:created xsi:type="dcterms:W3CDTF">2017-10-17T09:11:00Z</dcterms:created>
  <dcterms:modified xsi:type="dcterms:W3CDTF">2017-10-17T09:11:00Z</dcterms:modified>
</cp:coreProperties>
</file>