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0C9A" w14:textId="77777777" w:rsidR="00992071" w:rsidRPr="00992071" w:rsidRDefault="00992071" w:rsidP="0099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 „Par nekustamā īpašuma „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gabals Nr.</w:t>
      </w:r>
      <w:r w:rsidR="00A14C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105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Sējas</w:t>
      </w:r>
      <w:r w:rsidR="00C259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novadā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pirkšanu 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Ādažu poligona teritorijas paplašināšanai”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1965566" w14:textId="77777777" w:rsidR="00992071" w:rsidRPr="00992071" w:rsidRDefault="00992071" w:rsidP="0099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3F5701A5" w14:textId="77777777" w:rsidR="00992071" w:rsidRPr="00992071" w:rsidRDefault="00992071" w:rsidP="0099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558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797"/>
      </w:tblGrid>
      <w:tr w:rsidR="00992071" w:rsidRPr="00992071" w14:paraId="43A143F4" w14:textId="77777777" w:rsidTr="004B053B">
        <w:trPr>
          <w:trHeight w:val="1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6FDBF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="0049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Tiesību akta projekta izstrādes nepieciešamība</w:t>
            </w:r>
          </w:p>
        </w:tc>
      </w:tr>
      <w:tr w:rsidR="00992071" w:rsidRPr="00992071" w14:paraId="2406F4FA" w14:textId="77777777" w:rsidTr="004B053B"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8D0FE" w14:textId="77777777"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1.Pamatojums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6295" w14:textId="77777777" w:rsidR="00992071" w:rsidRPr="00992071" w:rsidRDefault="00992071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(turpmāk – rīkojums) sagatavots, pamatojoties uz Sabiedrības vajadzībām nepieciešamā nekustamā īpašuma atsavināšanas likuma 9.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pantu.</w:t>
            </w:r>
          </w:p>
          <w:p w14:paraId="3670E4D1" w14:textId="77777777" w:rsidR="00992071" w:rsidRPr="00992071" w:rsidRDefault="00C8533C" w:rsidP="00153E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Ministru kabineta 2015.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22.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sēdē konceptuāli apstiprināto Aizsardzības ministrijas informatīvo ziņojumu “Par Nacionālo bruņoto spēku mācību infrastruktūras attīstību un paplašināšanu”, TA-2853-DV, nekustamais īpašums “Zemes gabals Nr.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105” Sējas novadā (turpmāk – nekustamais īpašums) tiks iegādāts, lai 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paplašinātu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</w:t>
            </w:r>
            <w:r w:rsidR="00157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gona teritorij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157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92071" w:rsidRPr="00992071" w14:paraId="75AD59BD" w14:textId="77777777" w:rsidTr="004B053B"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0E680" w14:textId="77777777"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2.Pašreizējā situācija un problēmas, kuru risināšanai tiesību akta projekts izstrādāts, tiesiskā regulējuma mērķis un būtība</w:t>
            </w:r>
          </w:p>
          <w:p w14:paraId="69C78182" w14:textId="77777777"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C03D3B" w14:textId="77777777" w:rsidR="00FC41F0" w:rsidRDefault="00FC41F0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F9D494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5D0AEE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792C25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9F5F90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1BBCD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2E92EC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C72D7E" w14:textId="77777777" w:rsid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2918BB" w14:textId="77777777" w:rsidR="00DB0923" w:rsidRDefault="00DB0923" w:rsidP="00FC41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A6B597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916535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E465C3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20DCEF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C87BC3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40D7DB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A5DBAD" w14:textId="77777777" w:rsidR="00DB0923" w:rsidRPr="00DB0923" w:rsidRDefault="00DB0923" w:rsidP="00D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E96400" w14:textId="77777777" w:rsidR="00992071" w:rsidRPr="00DB0923" w:rsidRDefault="00992071" w:rsidP="00DB09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E1A0E" w14:textId="77777777" w:rsidR="00157F05" w:rsidRDefault="00157F05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</w:t>
            </w:r>
            <w:r w:rsidR="00A14C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Nacionālo bruņoto spēku mācību infrastruktūras attīstību, turpmākajos gados prognozējama Ādažu poligona noslodzes palielināšanās, nodrošinot uzņemošās valsts atbalstu sabiedroto spēku klātbūtnei Latvijas teritorijā. Paplašinot Ādažu poligona teritoriju, tiks 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pilnveidotas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nodarbību viet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as, radot atbilstošus apstākļus nodarbību norisei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nodarbību viet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rasta iespēja vairākām Nacionālo bruņoto spēku un sabiedroto apakšvienībām </w:t>
            </w:r>
            <w:r w:rsidR="007D32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vienlaicīgi 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 apmācības. </w:t>
            </w:r>
          </w:p>
          <w:p w14:paraId="6F2A84EB" w14:textId="77777777" w:rsidR="00153EA6" w:rsidRDefault="00707D28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īstenotu </w:t>
            </w:r>
            <w:r w:rsidR="00153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poligona infrastruktūras attīstīb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153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teritorijas paplašināšan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u, </w:t>
            </w:r>
            <w:r w:rsidR="00153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no zemes īpašnieka atsavināt nekustamo īpašumu “Zemes gabals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53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105” Sējas novadā (nekustamā īpašuma kadastra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4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8092 003 0080)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atsavināšana ir vienīgais veids šī mērķa sasniegšanai</w:t>
            </w:r>
            <w:r w:rsidR="00C4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Nekustamais īpašums ierakstīts Sējas novada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emesgrāmatas nodalījumā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100000289825 un sastāv no zemes vienības (zemes vienības kadastra apzīmējums 8092 003 0080) 2,28 ha platībā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ieskaitot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mežaudzi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</w:t>
            </w:r>
            <w:r w:rsidR="00A770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robežojas ar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esošo 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poligona teritoriju.</w:t>
            </w:r>
          </w:p>
          <w:p w14:paraId="4D3A128C" w14:textId="77777777" w:rsidR="00E25B02" w:rsidRDefault="00F22D2D" w:rsidP="00FC41F0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noteikumiem Nr.</w:t>
            </w:r>
            <w:r w:rsidR="00707D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204 „Kārtība, kādā nosaka taisnīgu atlīdzību par sabiedrības vajadzībām atsavināmo nekustamo īpašumu”, Aizsardzības ministrija izveidoja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aisnīgas atlīdzības noteikšanas komisiju (turpmāk – komisija). Komisijas uzdevumā nekustamā īpašuma tirgus vērtīb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ca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sertificēts sabiedrības ar ierobežotu atbildību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Dzieti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nekustamā īpašuma vērtētājs, nosakot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tirgus vērtību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7E66358" w14:textId="77777777" w:rsidR="00FC41F0" w:rsidRPr="00FC41F0" w:rsidRDefault="00DA2D89" w:rsidP="00FC41F0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 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izvērtējusi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aprēķinājusi atlīdzību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2400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nekustamā īpašuma atsavināšanu, tai skaitā nekustamā īpašuma 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tirgus vērtība 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1200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nekustam</w:t>
            </w:r>
            <w:r w:rsidR="00614F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īpašum</w:t>
            </w:r>
            <w:r w:rsidR="00614F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ietilpstošās mežaudzes vērtība 1200</w:t>
            </w:r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C41F0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2011.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C41F0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C41F0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 w:rsidR="00E2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C41F0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“Kārtība, kādā nosaka taisnīgu atlīdzību par sabiedrības vajadzībām atsavināmo nekustamo īpašumu” 36.1.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C41F0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apakšpunktu Aizsardzības ministrija </w:t>
            </w:r>
            <w:r w:rsidR="006C7F5C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C7F5C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5.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C7F5C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septembrī ar lēmumu Nr.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C7F5C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MV-N/248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ir </w:t>
            </w:r>
            <w:r w:rsidR="00FC41F0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apstiprinājusi komisijas aprēķināto atlīdzības apmēru.</w:t>
            </w:r>
          </w:p>
          <w:p w14:paraId="6C7E02AE" w14:textId="77777777" w:rsidR="008E239A" w:rsidRDefault="008E239A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īpašnieks 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piekritis nekustamā īpašuma atsavināšanai atbilstoši </w:t>
            </w:r>
            <w:r w:rsidR="00C85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ātajam atlīdzības apmēram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5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gada 3. marta </w:t>
            </w:r>
            <w:r w:rsidR="00B95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e-pasta vēstulē 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informēj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is, ka komisijas </w:t>
            </w:r>
            <w:r w:rsidR="007C44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izvērtēšanas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sēdē nepiedalīsies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939B3A3" w14:textId="77777777" w:rsidR="00992071" w:rsidRPr="00992071" w:rsidRDefault="00FC41F0" w:rsidP="00C25997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Atbilstoši Ministru kabineta 2011.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“Kārtība, kādā nosaka taisnīgu atlīdzību par sabiedrības vajadzībām atsavināmo nekustamo īpašumu” 2.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25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punktam</w:t>
            </w: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nekustamā īpašuma atsavināšanu nodarītie kompensējamie zaudējumi (notariālie izdevumi, valsts nodevas, kan</w:t>
            </w:r>
            <w:r w:rsidR="00AC4F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celejas nodevas, citi izdevumi),</w:t>
            </w:r>
            <w:r w:rsidR="00AC4FDB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var rasties pēc nekustamā īpašuma atsavināšanas, </w:t>
            </w:r>
            <w:r w:rsidR="00C25997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bijušajam īpašniekam</w:t>
            </w:r>
            <w:r w:rsidR="00C25997"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kompensēti to faktiskajā apmērā, pamatojoties uz atsavinātā nekustamā īpašuma bijušā īpašnieka iesniegumu, kuram pievienoti dokumenti, kas apliecina zaudējumu apmēru.</w:t>
            </w:r>
          </w:p>
        </w:tc>
      </w:tr>
      <w:tr w:rsidR="00992071" w:rsidRPr="00992071" w14:paraId="079B5140" w14:textId="77777777" w:rsidTr="004B053B"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8AC96" w14:textId="77777777"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3.Projekta izstrādē iesaistītās institūcijas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B2F5" w14:textId="77777777" w:rsidR="00992071" w:rsidRPr="00992071" w:rsidRDefault="00992071" w:rsidP="00223A19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 </w:t>
            </w:r>
            <w:r w:rsidR="00223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militāro objektu un iepirkumu centrs.</w:t>
            </w:r>
          </w:p>
        </w:tc>
      </w:tr>
      <w:tr w:rsidR="00992071" w:rsidRPr="00992071" w14:paraId="3C57CE72" w14:textId="77777777" w:rsidTr="004B053B"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8BB78" w14:textId="77777777"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4.Cita informācija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CE5C6" w14:textId="77777777" w:rsidR="00992071" w:rsidRPr="00992071" w:rsidRDefault="00992071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14:paraId="0F97CC60" w14:textId="77777777" w:rsid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883400" w14:textId="77777777" w:rsidR="004B053B" w:rsidRDefault="004B053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96"/>
        <w:gridCol w:w="4912"/>
        <w:gridCol w:w="4757"/>
      </w:tblGrid>
      <w:tr w:rsidR="00FC41F0" w:rsidRPr="00FC41F0" w14:paraId="1023A123" w14:textId="77777777" w:rsidTr="004B053B">
        <w:tc>
          <w:tcPr>
            <w:tcW w:w="10065" w:type="dxa"/>
            <w:gridSpan w:val="3"/>
          </w:tcPr>
          <w:p w14:paraId="7D3FB585" w14:textId="77777777" w:rsidR="00FC41F0" w:rsidRPr="00FC41F0" w:rsidRDefault="00FC41F0" w:rsidP="0049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C41F0" w:rsidRPr="00FC41F0" w14:paraId="5EDFE6A2" w14:textId="77777777" w:rsidTr="004B053B">
        <w:tc>
          <w:tcPr>
            <w:tcW w:w="396" w:type="dxa"/>
          </w:tcPr>
          <w:p w14:paraId="41E96BE5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12" w:type="dxa"/>
          </w:tcPr>
          <w:p w14:paraId="32DD022A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4757" w:type="dxa"/>
          </w:tcPr>
          <w:p w14:paraId="63A8D428" w14:textId="77777777" w:rsidR="00FC41F0" w:rsidRPr="00FC41F0" w:rsidRDefault="00FC41F0" w:rsidP="00FC4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Rīkojumā risinātie jautājumi skar tiesību subjektu – juridisko personu, kura zaudē īpašuma tiesības uz nekustamo īpašumu pret taisnīgu atlīdzību.</w:t>
            </w:r>
          </w:p>
        </w:tc>
      </w:tr>
      <w:tr w:rsidR="00FC41F0" w:rsidRPr="00FC41F0" w14:paraId="5634B2CF" w14:textId="77777777" w:rsidTr="004B053B">
        <w:tc>
          <w:tcPr>
            <w:tcW w:w="396" w:type="dxa"/>
          </w:tcPr>
          <w:p w14:paraId="4E9FC877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12" w:type="dxa"/>
          </w:tcPr>
          <w:p w14:paraId="62DA617C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4757" w:type="dxa"/>
          </w:tcPr>
          <w:p w14:paraId="6EDAAD3B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FC41F0" w:rsidRPr="00FC41F0" w14:paraId="22827E7A" w14:textId="77777777" w:rsidTr="004B053B">
        <w:tc>
          <w:tcPr>
            <w:tcW w:w="396" w:type="dxa"/>
          </w:tcPr>
          <w:p w14:paraId="3EBC8B23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12" w:type="dxa"/>
          </w:tcPr>
          <w:p w14:paraId="623292AF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4757" w:type="dxa"/>
          </w:tcPr>
          <w:p w14:paraId="49321CAA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FC41F0" w:rsidRPr="00FC41F0" w14:paraId="02688213" w14:textId="77777777" w:rsidTr="004B053B">
        <w:tc>
          <w:tcPr>
            <w:tcW w:w="396" w:type="dxa"/>
          </w:tcPr>
          <w:p w14:paraId="033AC433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12" w:type="dxa"/>
          </w:tcPr>
          <w:p w14:paraId="00857CA6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4757" w:type="dxa"/>
          </w:tcPr>
          <w:p w14:paraId="1C0B8E8D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FC41F0" w:rsidRPr="00FC41F0" w14:paraId="06943F72" w14:textId="77777777" w:rsidTr="004B053B">
        <w:tc>
          <w:tcPr>
            <w:tcW w:w="396" w:type="dxa"/>
          </w:tcPr>
          <w:p w14:paraId="7E52C4D7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912" w:type="dxa"/>
          </w:tcPr>
          <w:p w14:paraId="48565B90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757" w:type="dxa"/>
          </w:tcPr>
          <w:p w14:paraId="34038864" w14:textId="77777777" w:rsidR="00FC41F0" w:rsidRPr="00FC41F0" w:rsidRDefault="00FC41F0" w:rsidP="00FC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41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052A719" w14:textId="77777777" w:rsidR="004B053B" w:rsidRDefault="004B053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E123C6" w14:textId="77777777" w:rsidR="004B053B" w:rsidRDefault="004B053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8" w:type="pct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6"/>
        <w:gridCol w:w="1560"/>
        <w:gridCol w:w="2553"/>
        <w:gridCol w:w="1520"/>
        <w:gridCol w:w="1200"/>
        <w:gridCol w:w="1387"/>
      </w:tblGrid>
      <w:tr w:rsidR="00992071" w:rsidRPr="00992071" w14:paraId="77ECB889" w14:textId="77777777" w:rsidTr="004B053B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65DE4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92071" w:rsidRPr="00992071" w14:paraId="151AC640" w14:textId="77777777" w:rsidTr="004B053B">
        <w:tc>
          <w:tcPr>
            <w:tcW w:w="91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04F43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04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9DA1F8" w14:textId="77777777"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5B7EC3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(tūkst.</w:t>
            </w:r>
            <w:r w:rsidR="00AC4F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EUR)</w:t>
            </w:r>
          </w:p>
        </w:tc>
      </w:tr>
      <w:tr w:rsidR="00992071" w:rsidRPr="00992071" w14:paraId="7FF4EB3D" w14:textId="77777777" w:rsidTr="004B053B">
        <w:tc>
          <w:tcPr>
            <w:tcW w:w="91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43CB3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04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96263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10551E" w14:textId="77777777"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E41FC" w14:textId="77777777"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560B1C" w14:textId="77777777"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992071" w:rsidRPr="00992071" w14:paraId="754C9FA9" w14:textId="77777777" w:rsidTr="004B053B">
        <w:tc>
          <w:tcPr>
            <w:tcW w:w="91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17A98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F915F9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CDBEF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E1793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B1B47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2211A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992071" w:rsidRPr="00992071" w14:paraId="1D133D5C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95FF99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B5C08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869BBD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116CD1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8488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52F1CE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992071" w:rsidRPr="00992071" w14:paraId="119EA8B9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5BDE1" w14:textId="77777777" w:rsidR="00992071" w:rsidRPr="00992071" w:rsidRDefault="00520A7A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2071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Budžeta ieņēmumi:</w:t>
            </w:r>
          </w:p>
        </w:tc>
        <w:tc>
          <w:tcPr>
            <w:tcW w:w="408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2551"/>
              <w:gridCol w:w="1559"/>
              <w:gridCol w:w="1134"/>
              <w:gridCol w:w="1267"/>
            </w:tblGrid>
            <w:tr w:rsidR="00520A7A" w14:paraId="3205B457" w14:textId="77777777" w:rsidTr="00520A7A">
              <w:trPr>
                <w:trHeight w:val="2467"/>
              </w:trPr>
              <w:tc>
                <w:tcPr>
                  <w:tcW w:w="1524" w:type="dxa"/>
                </w:tcPr>
                <w:p w14:paraId="70F210D7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14:paraId="117CF97A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027B6A0E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53A05F6B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4A797EE3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14:paraId="1FE43A56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51BE4731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B6C8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valsts pamatbudžets, tai skaitā ieņēmumi no maksas pakalpojumiem un citi pašu ieņēmumi</w:t>
            </w:r>
          </w:p>
        </w:tc>
        <w:tc>
          <w:tcPr>
            <w:tcW w:w="4083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73EDD58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14FF0238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E14EC" w14:textId="77777777" w:rsidR="00992071" w:rsidRPr="00992071" w:rsidRDefault="00520A7A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2071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valsts speciālais budžets</w:t>
            </w:r>
          </w:p>
        </w:tc>
        <w:tc>
          <w:tcPr>
            <w:tcW w:w="4083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635475A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3EABF685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04CC81" w14:textId="77777777" w:rsidR="00992071" w:rsidRPr="00992071" w:rsidRDefault="00520A7A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2071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pašvaldību budžets</w:t>
            </w:r>
          </w:p>
        </w:tc>
        <w:tc>
          <w:tcPr>
            <w:tcW w:w="4083" w:type="pct"/>
            <w:gridSpan w:val="5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1262024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0E7F9F75" w14:textId="77777777" w:rsidTr="004B053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64E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Budžeta izdevumi:</w:t>
            </w:r>
          </w:p>
        </w:tc>
        <w:tc>
          <w:tcPr>
            <w:tcW w:w="40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2551"/>
              <w:gridCol w:w="1559"/>
              <w:gridCol w:w="1134"/>
              <w:gridCol w:w="1267"/>
            </w:tblGrid>
            <w:tr w:rsidR="00520A7A" w14:paraId="7CA0A254" w14:textId="77777777" w:rsidTr="00520A7A">
              <w:trPr>
                <w:trHeight w:val="1527"/>
              </w:trPr>
              <w:tc>
                <w:tcPr>
                  <w:tcW w:w="1524" w:type="dxa"/>
                </w:tcPr>
                <w:p w14:paraId="07535DF3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14:paraId="2447DE10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741EDAC9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5EBC3C17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765A2DEC" w14:textId="77777777"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14:paraId="39806A6D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49100220" w14:textId="77777777" w:rsidTr="004B053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666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08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3480E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6232371D" w14:textId="77777777" w:rsidTr="004B053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29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08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C026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1992C644" w14:textId="77777777" w:rsidTr="004B053B">
        <w:trPr>
          <w:trHeight w:val="153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E0D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08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C62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14109E16" w14:textId="77777777" w:rsidTr="004B053B">
        <w:tc>
          <w:tcPr>
            <w:tcW w:w="9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ECCF04D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40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2551"/>
              <w:gridCol w:w="1559"/>
              <w:gridCol w:w="1134"/>
              <w:gridCol w:w="1267"/>
            </w:tblGrid>
            <w:tr w:rsidR="001178E1" w14:paraId="4914ACD4" w14:textId="77777777" w:rsidTr="001178E1">
              <w:trPr>
                <w:trHeight w:val="1259"/>
              </w:trPr>
              <w:tc>
                <w:tcPr>
                  <w:tcW w:w="1524" w:type="dxa"/>
                </w:tcPr>
                <w:p w14:paraId="072B8C66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14:paraId="2CB5D10A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56213802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536E9A97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52D61FB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14:paraId="39372844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7575EF8A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C8D5C40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0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8EE2C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0937BF7B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8736E01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0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FF35C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114B4322" w14:textId="77777777" w:rsidTr="004B053B">
        <w:trPr>
          <w:trHeight w:val="20"/>
        </w:trPr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AB987DB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0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DC2E8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357DD185" w14:textId="77777777" w:rsidTr="004B053B">
        <w:trPr>
          <w:trHeight w:val="1661"/>
        </w:trPr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B24C7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EAD53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308" w:type="pct"/>
            <w:gridSpan w:val="4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1559"/>
              <w:gridCol w:w="1134"/>
              <w:gridCol w:w="1267"/>
            </w:tblGrid>
            <w:tr w:rsidR="001178E1" w14:paraId="41FCFF2E" w14:textId="77777777" w:rsidTr="004956A4">
              <w:trPr>
                <w:trHeight w:val="2176"/>
              </w:trPr>
              <w:tc>
                <w:tcPr>
                  <w:tcW w:w="2517" w:type="dxa"/>
                </w:tcPr>
                <w:p w14:paraId="006C2A7D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50A6AF03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2594E95F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CC9BA4D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14:paraId="21D64E12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2FFD6DD0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BB202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8D6A3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308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1556"/>
              <w:gridCol w:w="1132"/>
              <w:gridCol w:w="1264"/>
            </w:tblGrid>
            <w:tr w:rsidR="001178E1" w14:paraId="33658672" w14:textId="77777777" w:rsidTr="007A574C">
              <w:trPr>
                <w:trHeight w:val="1572"/>
              </w:trPr>
              <w:tc>
                <w:tcPr>
                  <w:tcW w:w="2512" w:type="dxa"/>
                </w:tcPr>
                <w:p w14:paraId="765EF1DF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6" w:type="dxa"/>
                </w:tcPr>
                <w:p w14:paraId="3371DCDE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2" w:type="dxa"/>
                </w:tcPr>
                <w:p w14:paraId="3232F702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4" w:type="dxa"/>
                </w:tcPr>
                <w:p w14:paraId="683AD0B4" w14:textId="77777777"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14:paraId="58E3A352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1B19719B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A830E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2764C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08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FF0FCA7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3EB767EC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8001B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98D983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08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1DD37EE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5C74BC6F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AA6FF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854B72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08" w:type="pct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C20D7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5292363D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DD08F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408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E6B672" w14:textId="77777777" w:rsidR="00992071" w:rsidRPr="00992071" w:rsidRDefault="00992071" w:rsidP="0099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0B9C" w14:textId="77777777" w:rsidR="00992071" w:rsidRPr="00992071" w:rsidRDefault="001178E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 0</w:t>
            </w:r>
          </w:p>
          <w:p w14:paraId="19B40B22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1BD851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466168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13C5A6" w14:textId="77777777" w:rsidR="00992071" w:rsidRPr="00992071" w:rsidRDefault="00992071" w:rsidP="0099207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511132C0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7A032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408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09766E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7BC603C3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4D2F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08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DC75C" w14:textId="77777777"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14:paraId="1AF9050D" w14:textId="77777777" w:rsidTr="004B053B"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B4CE4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408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1CD2C" w14:textId="77777777" w:rsidR="00992071" w:rsidRPr="00992071" w:rsidRDefault="00992071" w:rsidP="007A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Rīkojumam nav ietekmes uz valsts budžetu, jo </w:t>
            </w:r>
            <w:r w:rsidR="00C25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</w:t>
            </w:r>
            <w:bookmarkStart w:id="0" w:name="_GoBack"/>
            <w:bookmarkEnd w:id="0"/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līdzekļi no valsts budžeta nav nepieciešami. I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zdevumi, kas saistīti ar nekustamā īpašuma </w:t>
            </w:r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atsavināšanu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ierakstīšanu 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emesgrāmatā, tiks segti no </w:t>
            </w:r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2017.</w:t>
            </w:r>
            <w:r w:rsidR="006C7F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 Aizsardzības ministrijas budžeta programmā 33.00.00 “Aizsardzības īpašumu pārvaldīšana” paredzētajiem līdzekļiem.</w:t>
            </w:r>
          </w:p>
        </w:tc>
      </w:tr>
    </w:tbl>
    <w:p w14:paraId="5E43850F" w14:textId="77777777" w:rsid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547946" w14:textId="77777777" w:rsidR="004B053B" w:rsidRDefault="004B053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480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956A4" w14:paraId="67CD5D1B" w14:textId="77777777" w:rsidTr="004956A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D50B0" w14:textId="77777777" w:rsidR="004956A4" w:rsidRDefault="0049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956A4" w14:paraId="76EB1CE8" w14:textId="77777777" w:rsidTr="004956A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C799" w14:textId="77777777" w:rsidR="004956A4" w:rsidRDefault="0049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4C0F8CD" w14:textId="77777777" w:rsidR="004956A4" w:rsidRDefault="004956A4" w:rsidP="0049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15A883" w14:textId="77777777" w:rsidR="004B053B" w:rsidRDefault="004B053B" w:rsidP="0049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480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956A4" w14:paraId="6AAA684F" w14:textId="77777777" w:rsidTr="004956A4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E93D6" w14:textId="77777777" w:rsidR="004956A4" w:rsidRDefault="0049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V. Sabiedrības līdzdalība un komunikācijas aktivitātes</w:t>
            </w:r>
          </w:p>
        </w:tc>
      </w:tr>
      <w:tr w:rsidR="004956A4" w14:paraId="46765928" w14:textId="77777777" w:rsidTr="004956A4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08A4C" w14:textId="77777777" w:rsidR="004956A4" w:rsidRDefault="0049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5471B50" w14:textId="77777777" w:rsidR="004956A4" w:rsidRDefault="004956A4" w:rsidP="0049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EFA65A" w14:textId="77777777" w:rsidR="004B053B" w:rsidRDefault="004B053B" w:rsidP="0049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480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956A4" w14:paraId="0A78D598" w14:textId="77777777" w:rsidTr="004956A4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9FD1" w14:textId="77777777" w:rsidR="004956A4" w:rsidRDefault="0049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VI. Tiesību akta projekta atbilstība Latvijas Republikas starptautiskajām saistībām</w:t>
            </w:r>
          </w:p>
        </w:tc>
      </w:tr>
      <w:tr w:rsidR="004956A4" w14:paraId="12DFBD81" w14:textId="77777777" w:rsidTr="004956A4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6D254" w14:textId="77777777" w:rsidR="004956A4" w:rsidRDefault="0049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C75C14D" w14:textId="77777777" w:rsidR="004956A4" w:rsidRDefault="004956A4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856CBB" w14:textId="77777777" w:rsidR="004B053B" w:rsidRDefault="004B053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23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79"/>
        <w:gridCol w:w="3405"/>
        <w:gridCol w:w="5339"/>
      </w:tblGrid>
      <w:tr w:rsidR="00992071" w:rsidRPr="00992071" w14:paraId="2439657E" w14:textId="77777777" w:rsidTr="00EB25A9">
        <w:trPr>
          <w:trHeight w:val="36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1FE4" w14:textId="77777777"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92071" w:rsidRPr="00992071" w14:paraId="5FDC7329" w14:textId="77777777" w:rsidTr="00EB25A9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4952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B19E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EAA5" w14:textId="77777777" w:rsidR="00992071" w:rsidRPr="00992071" w:rsidRDefault="00992071" w:rsidP="009920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ministrija, Valsts aizsardzības militāro objektu un iepirkumu centrs.</w:t>
            </w:r>
          </w:p>
        </w:tc>
      </w:tr>
      <w:tr w:rsidR="00992071" w:rsidRPr="00992071" w14:paraId="7C78EEA2" w14:textId="77777777" w:rsidTr="00EB25A9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E71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CC6D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6E12231F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5EF0" w14:textId="77777777" w:rsidR="00992071" w:rsidRPr="00992071" w:rsidRDefault="00992071" w:rsidP="0099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neskar.</w:t>
            </w:r>
          </w:p>
        </w:tc>
      </w:tr>
      <w:tr w:rsidR="00992071" w:rsidRPr="00992071" w14:paraId="6D0866DD" w14:textId="77777777" w:rsidTr="00EB25A9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A7B3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58C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2FC5" w14:textId="77777777"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765F255E" w14:textId="77777777" w:rsid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29755E" w14:textId="77777777" w:rsidR="00CF197A" w:rsidRPr="00992071" w:rsidRDefault="00CF197A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88787B" w14:textId="77777777" w:rsidR="00FC41F0" w:rsidRPr="00992071" w:rsidRDefault="00FC41F0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82DEA6" w14:textId="77777777"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 w:rsidR="006C7F5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="007A57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14:paraId="0DA46997" w14:textId="77777777" w:rsid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736CD1" w14:textId="77777777" w:rsidR="00FC41F0" w:rsidRDefault="00FC41F0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227926" w14:textId="77777777" w:rsidR="00992071" w:rsidRPr="00992071" w:rsidRDefault="006C7F5C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C4FD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C4FD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C4FD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C4FD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A574C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</w:p>
    <w:p w14:paraId="1F8E7DF3" w14:textId="77777777"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829045" w14:textId="77777777" w:rsid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E57B5D" w14:textId="77777777" w:rsidR="00AC4FDB" w:rsidRDefault="00AC4FD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BA5F87" w14:textId="77777777" w:rsidR="00AC4FDB" w:rsidRDefault="00AC4FD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EF6F1F" w14:textId="77777777" w:rsidR="00AC4FDB" w:rsidRPr="00992071" w:rsidRDefault="00AC4FDB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86D120" w14:textId="77777777" w:rsidR="00F65F81" w:rsidRPr="006C7F5C" w:rsidRDefault="00F65F81" w:rsidP="00F65F8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C7F5C">
        <w:rPr>
          <w:rFonts w:ascii="Times New Roman" w:eastAsia="Times New Roman" w:hAnsi="Times New Roman" w:cs="Times New Roman"/>
          <w:sz w:val="20"/>
          <w:szCs w:val="20"/>
          <w:lang w:eastAsia="lv-LV"/>
        </w:rPr>
        <w:t>Dace Priedīte, 67300279</w:t>
      </w:r>
    </w:p>
    <w:p w14:paraId="0C11A2CD" w14:textId="77777777" w:rsidR="00F65F81" w:rsidRPr="006C7F5C" w:rsidRDefault="00F65F81" w:rsidP="00F65F8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C7F5C">
        <w:rPr>
          <w:rFonts w:ascii="Times New Roman" w:eastAsia="Times New Roman" w:hAnsi="Times New Roman" w:cs="Times New Roman"/>
          <w:sz w:val="20"/>
          <w:szCs w:val="20"/>
          <w:lang w:eastAsia="lv-LV"/>
        </w:rPr>
        <w:t>Dace.Priedite@vamoic.gov.lv</w:t>
      </w:r>
    </w:p>
    <w:p w14:paraId="1B9F54B6" w14:textId="77777777" w:rsidR="00AC4FDB" w:rsidRDefault="00AC4FDB" w:rsidP="00F65F8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19379" w14:textId="77777777" w:rsidR="00F65F81" w:rsidRPr="006C7F5C" w:rsidRDefault="00F65F81" w:rsidP="00F65F8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F5C">
        <w:rPr>
          <w:rFonts w:ascii="Times New Roman" w:hAnsi="Times New Roman" w:cs="Times New Roman"/>
          <w:sz w:val="20"/>
          <w:szCs w:val="20"/>
        </w:rPr>
        <w:t>Diāna Pulkstene, 67335154</w:t>
      </w:r>
    </w:p>
    <w:p w14:paraId="68035C20" w14:textId="77777777" w:rsidR="00482305" w:rsidRPr="006C7F5C" w:rsidRDefault="00C25997" w:rsidP="00EB25A9">
      <w:pPr>
        <w:tabs>
          <w:tab w:val="left" w:pos="7020"/>
        </w:tabs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F65F81" w:rsidRPr="006C7F5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Diana.Pulkstene@mod.gov.lv</w:t>
        </w:r>
      </w:hyperlink>
    </w:p>
    <w:sectPr w:rsidR="00482305" w:rsidRPr="006C7F5C" w:rsidSect="004B053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851" w:left="170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FDED" w14:textId="77777777" w:rsidR="00EC6248" w:rsidRDefault="00EC6248">
      <w:pPr>
        <w:spacing w:after="0" w:line="240" w:lineRule="auto"/>
      </w:pPr>
      <w:r>
        <w:separator/>
      </w:r>
    </w:p>
  </w:endnote>
  <w:endnote w:type="continuationSeparator" w:id="0">
    <w:p w14:paraId="385B5611" w14:textId="77777777" w:rsidR="00EC6248" w:rsidRDefault="00EC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FDBF" w14:textId="77777777" w:rsidR="00921F9E" w:rsidRPr="0029613B" w:rsidRDefault="00C8533C" w:rsidP="00752351">
    <w:pPr>
      <w:pStyle w:val="Footer"/>
      <w:jc w:val="both"/>
    </w:pPr>
    <w:r>
      <w:rPr>
        <w:sz w:val="20"/>
        <w:szCs w:val="20"/>
      </w:rPr>
      <w:t>AIM</w:t>
    </w:r>
    <w:r w:rsidR="008B01E0">
      <w:rPr>
        <w:sz w:val="20"/>
        <w:szCs w:val="20"/>
      </w:rPr>
      <w:t>A</w:t>
    </w:r>
    <w:r>
      <w:rPr>
        <w:sz w:val="20"/>
        <w:szCs w:val="20"/>
      </w:rPr>
      <w:t>not_</w:t>
    </w:r>
    <w:r w:rsidR="00AC4FDB">
      <w:rPr>
        <w:sz w:val="20"/>
        <w:szCs w:val="20"/>
      </w:rPr>
      <w:t>09</w:t>
    </w:r>
    <w:r w:rsidR="004956A4">
      <w:rPr>
        <w:sz w:val="20"/>
        <w:szCs w:val="20"/>
      </w:rPr>
      <w:t>10</w:t>
    </w:r>
    <w:r w:rsidR="008B01E0">
      <w:rPr>
        <w:sz w:val="20"/>
        <w:szCs w:val="20"/>
      </w:rPr>
      <w:t>17_Z</w:t>
    </w:r>
    <w:r w:rsidR="00FC41F0">
      <w:rPr>
        <w:sz w:val="20"/>
        <w:szCs w:val="20"/>
      </w:rPr>
      <w:t>emes gabals Nr.</w:t>
    </w:r>
    <w:r w:rsidR="008B01E0">
      <w:rPr>
        <w:sz w:val="20"/>
        <w:szCs w:val="20"/>
      </w:rPr>
      <w:t>105</w:t>
    </w:r>
    <w:r w:rsidR="00FC41F0">
      <w:rPr>
        <w:sz w:val="20"/>
        <w:szCs w:val="20"/>
      </w:rPr>
      <w:t xml:space="preserve">_VSS-748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0926" w14:textId="77777777" w:rsidR="00921F9E" w:rsidRPr="001E20B2" w:rsidRDefault="00C8533C" w:rsidP="001E20B2">
    <w:pPr>
      <w:pStyle w:val="Footer"/>
      <w:jc w:val="both"/>
    </w:pPr>
    <w:r>
      <w:rPr>
        <w:sz w:val="20"/>
        <w:szCs w:val="20"/>
      </w:rPr>
      <w:t>AIM</w:t>
    </w:r>
    <w:r w:rsidR="008B01E0">
      <w:rPr>
        <w:sz w:val="20"/>
        <w:szCs w:val="20"/>
      </w:rPr>
      <w:t>A</w:t>
    </w:r>
    <w:r>
      <w:rPr>
        <w:sz w:val="20"/>
        <w:szCs w:val="20"/>
      </w:rPr>
      <w:t>not_</w:t>
    </w:r>
    <w:r w:rsidR="00DB0923">
      <w:rPr>
        <w:sz w:val="20"/>
        <w:szCs w:val="20"/>
      </w:rPr>
      <w:t>0910</w:t>
    </w:r>
    <w:r w:rsidR="008B01E0">
      <w:rPr>
        <w:sz w:val="20"/>
        <w:szCs w:val="20"/>
      </w:rPr>
      <w:t>17_</w:t>
    </w:r>
    <w:r w:rsidR="00FC41F0">
      <w:rPr>
        <w:sz w:val="20"/>
        <w:szCs w:val="20"/>
      </w:rPr>
      <w:t>Zemes gabals Nr.</w:t>
    </w:r>
    <w:r w:rsidR="008B01E0">
      <w:rPr>
        <w:sz w:val="20"/>
        <w:szCs w:val="20"/>
      </w:rPr>
      <w:t>105</w:t>
    </w:r>
    <w:r w:rsidR="00FC41F0">
      <w:rPr>
        <w:sz w:val="20"/>
        <w:szCs w:val="20"/>
      </w:rPr>
      <w:t xml:space="preserve">_VSS-748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A789" w14:textId="77777777" w:rsidR="00EC6248" w:rsidRDefault="00EC6248">
      <w:pPr>
        <w:spacing w:after="0" w:line="240" w:lineRule="auto"/>
      </w:pPr>
      <w:r>
        <w:separator/>
      </w:r>
    </w:p>
  </w:footnote>
  <w:footnote w:type="continuationSeparator" w:id="0">
    <w:p w14:paraId="6C26F930" w14:textId="77777777" w:rsidR="00EC6248" w:rsidRDefault="00EC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13E0" w14:textId="77777777" w:rsidR="00921F9E" w:rsidRDefault="00C8533C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F4480" w14:textId="77777777" w:rsidR="00921F9E" w:rsidRDefault="00C25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0325" w14:textId="77777777" w:rsidR="00921F9E" w:rsidRDefault="00C8533C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99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CF5971" w14:textId="77777777" w:rsidR="00921F9E" w:rsidRDefault="00C25997" w:rsidP="00752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0A6"/>
    <w:multiLevelType w:val="hybridMultilevel"/>
    <w:tmpl w:val="9466A7D8"/>
    <w:lvl w:ilvl="0" w:tplc="820C70B6">
      <w:start w:val="1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71"/>
    <w:rsid w:val="001178E1"/>
    <w:rsid w:val="00153EA6"/>
    <w:rsid w:val="00157F05"/>
    <w:rsid w:val="00223A19"/>
    <w:rsid w:val="003F2F35"/>
    <w:rsid w:val="00482305"/>
    <w:rsid w:val="004956A4"/>
    <w:rsid w:val="004B053B"/>
    <w:rsid w:val="00520A7A"/>
    <w:rsid w:val="00543BA2"/>
    <w:rsid w:val="005852EC"/>
    <w:rsid w:val="00614F74"/>
    <w:rsid w:val="00623966"/>
    <w:rsid w:val="006C7F5C"/>
    <w:rsid w:val="00707D28"/>
    <w:rsid w:val="007502CF"/>
    <w:rsid w:val="007A574C"/>
    <w:rsid w:val="007C44B1"/>
    <w:rsid w:val="007D327A"/>
    <w:rsid w:val="008744CA"/>
    <w:rsid w:val="008B01E0"/>
    <w:rsid w:val="008E239A"/>
    <w:rsid w:val="00903EE2"/>
    <w:rsid w:val="009174AA"/>
    <w:rsid w:val="00992071"/>
    <w:rsid w:val="00A14C79"/>
    <w:rsid w:val="00A37193"/>
    <w:rsid w:val="00A7701E"/>
    <w:rsid w:val="00AC4FDB"/>
    <w:rsid w:val="00B95F6C"/>
    <w:rsid w:val="00BD2D98"/>
    <w:rsid w:val="00BE095C"/>
    <w:rsid w:val="00BE2A05"/>
    <w:rsid w:val="00C25997"/>
    <w:rsid w:val="00C30920"/>
    <w:rsid w:val="00C42DB4"/>
    <w:rsid w:val="00C852F6"/>
    <w:rsid w:val="00C8533C"/>
    <w:rsid w:val="00CF197A"/>
    <w:rsid w:val="00D2039D"/>
    <w:rsid w:val="00DA2D89"/>
    <w:rsid w:val="00DB0923"/>
    <w:rsid w:val="00E00D90"/>
    <w:rsid w:val="00E25B02"/>
    <w:rsid w:val="00EA6E77"/>
    <w:rsid w:val="00EB25A9"/>
    <w:rsid w:val="00EC6248"/>
    <w:rsid w:val="00EE7A2C"/>
    <w:rsid w:val="00F22D2D"/>
    <w:rsid w:val="00F65F81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0E91B"/>
  <w15:chartTrackingRefBased/>
  <w15:docId w15:val="{ADE4D066-FF2D-4C20-BE38-CA099A9E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2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920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992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9920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92071"/>
  </w:style>
  <w:style w:type="table" w:styleId="TableGrid">
    <w:name w:val="Table Grid"/>
    <w:basedOn w:val="TableNormal"/>
    <w:uiPriority w:val="39"/>
    <w:rsid w:val="0052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5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Pulkstene@mo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Nr.105" Sējas novadā, pirkšanu Ādažu poligona teritorijas paplašināšanai"</vt:lpstr>
    </vt:vector>
  </TitlesOfParts>
  <Company>VAMOIC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Nr.105" Sējas novadā, pirkšanu Ādažu poligona teritorijas paplašināšanai"</dc:title>
  <dc:subject>MK rīkojuma projekta anotācija, VSS-748</dc:subject>
  <dc:creator>Dace Priedite</dc:creator>
  <cp:keywords/>
  <dc:description>67300279
Dace.Priedite@vamoic.gov.lv</dc:description>
  <cp:lastModifiedBy>Inese Matisane</cp:lastModifiedBy>
  <cp:revision>17</cp:revision>
  <cp:lastPrinted>2017-06-02T07:37:00Z</cp:lastPrinted>
  <dcterms:created xsi:type="dcterms:W3CDTF">2017-10-05T11:17:00Z</dcterms:created>
  <dcterms:modified xsi:type="dcterms:W3CDTF">2017-10-11T07:29:00Z</dcterms:modified>
</cp:coreProperties>
</file>