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C1" w:rsidRPr="00EA0E86" w:rsidRDefault="004434C1" w:rsidP="004434C1">
      <w:pPr>
        <w:spacing w:after="0" w:line="240" w:lineRule="auto"/>
        <w:jc w:val="center"/>
        <w:rPr>
          <w:rFonts w:ascii="Times New Roman" w:eastAsia="Times New Roman" w:hAnsi="Times New Roman" w:cs="Times New Roman"/>
          <w:b/>
          <w:bCs/>
          <w:sz w:val="24"/>
          <w:szCs w:val="24"/>
          <w:lang w:eastAsia="lv-LV"/>
        </w:rPr>
      </w:pPr>
      <w:bookmarkStart w:id="0" w:name="OLE_LINK1"/>
      <w:bookmarkStart w:id="1" w:name="OLE_LINK2"/>
      <w:r w:rsidRPr="00EA0E86">
        <w:rPr>
          <w:rFonts w:ascii="Times New Roman" w:eastAsia="Times New Roman" w:hAnsi="Times New Roman" w:cs="Times New Roman"/>
          <w:b/>
          <w:bCs/>
          <w:sz w:val="24"/>
          <w:szCs w:val="24"/>
          <w:lang w:eastAsia="lv-LV"/>
        </w:rPr>
        <w:t xml:space="preserve">Likumprojekta </w:t>
      </w:r>
    </w:p>
    <w:p w:rsidR="005B61F2" w:rsidRDefault="004434C1" w:rsidP="004434C1">
      <w:pPr>
        <w:spacing w:after="0" w:line="240" w:lineRule="auto"/>
        <w:jc w:val="center"/>
        <w:rPr>
          <w:rFonts w:ascii="Times New Roman" w:eastAsia="Times New Roman" w:hAnsi="Times New Roman" w:cs="Times New Roman"/>
          <w:b/>
          <w:sz w:val="24"/>
          <w:szCs w:val="24"/>
          <w:lang w:eastAsia="lv-LV"/>
        </w:rPr>
      </w:pPr>
      <w:r w:rsidRPr="00EA0E86">
        <w:rPr>
          <w:rFonts w:ascii="Times New Roman" w:hAnsi="Times New Roman"/>
          <w:b/>
          <w:bCs/>
          <w:sz w:val="24"/>
          <w:szCs w:val="24"/>
        </w:rPr>
        <w:t xml:space="preserve">“Par Latvijas Republikas valdības un Čehijas Republikas valdības </w:t>
      </w:r>
      <w:r w:rsidR="005F0A56">
        <w:rPr>
          <w:rFonts w:ascii="Times New Roman" w:hAnsi="Times New Roman"/>
          <w:b/>
          <w:bCs/>
          <w:sz w:val="24"/>
          <w:szCs w:val="24"/>
        </w:rPr>
        <w:t xml:space="preserve">vienošanos par Latvijas Republikas valdības un Čehijas Republikas valdības </w:t>
      </w:r>
      <w:r w:rsidRPr="00EA0E86">
        <w:rPr>
          <w:rFonts w:ascii="Times New Roman" w:hAnsi="Times New Roman"/>
          <w:b/>
          <w:bCs/>
          <w:sz w:val="24"/>
          <w:szCs w:val="24"/>
        </w:rPr>
        <w:t xml:space="preserve">līguma par ieguldījumu veicināšanu un savstarpēju aizsardzību </w:t>
      </w:r>
      <w:r w:rsidRPr="00EA0E86">
        <w:rPr>
          <w:rFonts w:ascii="Times New Roman" w:hAnsi="Times New Roman"/>
          <w:b/>
          <w:bCs/>
          <w:sz w:val="24"/>
          <w:szCs w:val="24"/>
        </w:rPr>
        <w:br/>
        <w:t xml:space="preserve">grozīšanu un denonsēšanu” </w:t>
      </w:r>
      <w:r w:rsidRPr="00EA0E86">
        <w:rPr>
          <w:rFonts w:ascii="Times New Roman" w:eastAsia="Times New Roman" w:hAnsi="Times New Roman" w:cs="Times New Roman"/>
          <w:b/>
          <w:bCs/>
          <w:sz w:val="24"/>
          <w:szCs w:val="24"/>
          <w:lang w:eastAsia="lv-LV"/>
        </w:rPr>
        <w:t>sākotnējās ietekmes novērtējuma ziņojums (anotācija)</w:t>
      </w:r>
      <w:r w:rsidRPr="00EA0E86">
        <w:rPr>
          <w:rFonts w:ascii="Times New Roman" w:eastAsia="Times New Roman" w:hAnsi="Times New Roman" w:cs="Times New Roman"/>
          <w:b/>
          <w:sz w:val="24"/>
          <w:szCs w:val="24"/>
          <w:lang w:eastAsia="lv-LV"/>
        </w:rPr>
        <w:tab/>
      </w:r>
    </w:p>
    <w:p w:rsidR="005B61F2" w:rsidRDefault="005B61F2" w:rsidP="004434C1">
      <w:pPr>
        <w:spacing w:after="0" w:line="240" w:lineRule="auto"/>
        <w:jc w:val="center"/>
        <w:rPr>
          <w:rFonts w:ascii="Times New Roman" w:eastAsia="Times New Roman" w:hAnsi="Times New Roman" w:cs="Times New Roman"/>
          <w:b/>
          <w:sz w:val="24"/>
          <w:szCs w:val="24"/>
          <w:lang w:eastAsia="lv-LV"/>
        </w:rPr>
      </w:pPr>
      <w:bookmarkStart w:id="2" w:name="_GoBack"/>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
        <w:gridCol w:w="40"/>
        <w:gridCol w:w="231"/>
        <w:gridCol w:w="2298"/>
        <w:gridCol w:w="107"/>
        <w:gridCol w:w="556"/>
        <w:gridCol w:w="4732"/>
        <w:gridCol w:w="52"/>
      </w:tblGrid>
      <w:tr w:rsidR="005B61F2" w:rsidRPr="005B61F2" w:rsidTr="005B61F2">
        <w:trPr>
          <w:trHeight w:val="40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b/>
                <w:bCs/>
                <w:color w:val="414142"/>
                <w:sz w:val="24"/>
                <w:szCs w:val="24"/>
                <w:lang w:eastAsia="lv-LV"/>
              </w:rPr>
              <w:t>I. Tiesību akta projekta izstrādes nepieciešamība</w:t>
            </w:r>
          </w:p>
        </w:tc>
      </w:tr>
      <w:tr w:rsidR="005B61F2" w:rsidRPr="005B61F2" w:rsidTr="005147DD">
        <w:trPr>
          <w:trHeight w:val="405"/>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1.</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Pamatojums</w:t>
            </w:r>
          </w:p>
        </w:tc>
        <w:tc>
          <w:tcPr>
            <w:tcW w:w="3145" w:type="pct"/>
            <w:gridSpan w:val="3"/>
            <w:tcBorders>
              <w:top w:val="outset" w:sz="6" w:space="0" w:color="auto"/>
              <w:left w:val="outset" w:sz="6" w:space="0" w:color="auto"/>
              <w:bottom w:val="outset" w:sz="6" w:space="0" w:color="auto"/>
              <w:right w:val="outset" w:sz="6" w:space="0" w:color="auto"/>
            </w:tcBorders>
            <w:hideMark/>
          </w:tcPr>
          <w:p w:rsidR="005B61F2" w:rsidRPr="00DB62FE" w:rsidRDefault="00DB62FE" w:rsidP="00460643">
            <w:pPr>
              <w:pStyle w:val="NoSpacing"/>
              <w:jc w:val="both"/>
              <w:rPr>
                <w:rFonts w:ascii="Times New Roman" w:eastAsia="Times New Roman" w:hAnsi="Times New Roman" w:cs="Times New Roman"/>
                <w:color w:val="414142"/>
                <w:sz w:val="24"/>
                <w:szCs w:val="24"/>
                <w:lang w:eastAsia="lv-LV"/>
              </w:rPr>
            </w:pPr>
            <w:r w:rsidRPr="00DB62FE">
              <w:rPr>
                <w:rFonts w:ascii="Times New Roman" w:hAnsi="Times New Roman" w:cs="Times New Roman"/>
                <w:sz w:val="24"/>
                <w:szCs w:val="24"/>
              </w:rPr>
              <w:t xml:space="preserve">Likumprojekts </w:t>
            </w:r>
            <w:r w:rsidR="005F0A56">
              <w:rPr>
                <w:rFonts w:ascii="Times New Roman" w:hAnsi="Times New Roman" w:cs="Times New Roman"/>
                <w:sz w:val="24"/>
                <w:szCs w:val="24"/>
              </w:rPr>
              <w:t>“</w:t>
            </w:r>
            <w:r w:rsidRPr="00DB62FE">
              <w:rPr>
                <w:rFonts w:ascii="Times New Roman" w:hAnsi="Times New Roman" w:cs="Times New Roman"/>
                <w:sz w:val="24"/>
                <w:szCs w:val="24"/>
              </w:rPr>
              <w:t xml:space="preserve">Par Latvijas Republikas valdības un Čehijas Republikas valdības </w:t>
            </w:r>
            <w:r w:rsidR="005F0A56">
              <w:rPr>
                <w:rFonts w:ascii="Times New Roman" w:hAnsi="Times New Roman" w:cs="Times New Roman"/>
                <w:sz w:val="24"/>
                <w:szCs w:val="24"/>
              </w:rPr>
              <w:t xml:space="preserve">vienošanos par “Latvijas Republikas valdības un Čehijas Republikas valdības </w:t>
            </w:r>
            <w:r w:rsidRPr="00DB62FE">
              <w:rPr>
                <w:rFonts w:ascii="Times New Roman" w:hAnsi="Times New Roman" w:cs="Times New Roman"/>
                <w:sz w:val="24"/>
                <w:szCs w:val="24"/>
              </w:rPr>
              <w:t xml:space="preserve">līguma par ieguldījumu veicināšanu un savstarpēju aizsardzību” grozīšanu un denonsēšanu” </w:t>
            </w:r>
            <w:r w:rsidRPr="00DB62FE">
              <w:rPr>
                <w:rFonts w:ascii="Times New Roman" w:eastAsia="Times New Roman" w:hAnsi="Times New Roman" w:cs="Times New Roman"/>
                <w:sz w:val="24"/>
                <w:szCs w:val="24"/>
                <w:lang w:eastAsia="lv-LV"/>
              </w:rPr>
              <w:t>(turpmāk – likumprojekts</w:t>
            </w:r>
            <w:r w:rsidRPr="00604F97">
              <w:rPr>
                <w:rFonts w:ascii="Times New Roman" w:eastAsia="Times New Roman" w:hAnsi="Times New Roman" w:cs="Times New Roman"/>
                <w:sz w:val="24"/>
                <w:szCs w:val="24"/>
                <w:lang w:eastAsia="lv-LV"/>
              </w:rPr>
              <w:t xml:space="preserve">) </w:t>
            </w:r>
            <w:r w:rsidR="00701702" w:rsidRPr="00604F97">
              <w:rPr>
                <w:rFonts w:ascii="Times New Roman" w:eastAsia="Times New Roman" w:hAnsi="Times New Roman" w:cs="Times New Roman"/>
                <w:sz w:val="24"/>
                <w:szCs w:val="24"/>
                <w:lang w:eastAsia="lv-LV"/>
              </w:rPr>
              <w:t>ir izstrādāts, pamatojoties uz Čehijas</w:t>
            </w:r>
            <w:r w:rsidR="00045DD2">
              <w:rPr>
                <w:rFonts w:ascii="Times New Roman" w:eastAsia="Times New Roman" w:hAnsi="Times New Roman" w:cs="Times New Roman"/>
                <w:sz w:val="24"/>
                <w:szCs w:val="24"/>
                <w:lang w:eastAsia="lv-LV"/>
              </w:rPr>
              <w:t xml:space="preserve"> Republikas</w:t>
            </w:r>
            <w:r w:rsidR="00701702" w:rsidRPr="00604F97">
              <w:rPr>
                <w:rFonts w:ascii="Times New Roman" w:eastAsia="Times New Roman" w:hAnsi="Times New Roman" w:cs="Times New Roman"/>
                <w:sz w:val="24"/>
                <w:szCs w:val="24"/>
                <w:lang w:eastAsia="lv-LV"/>
              </w:rPr>
              <w:t xml:space="preserve"> valdības izteikto piedāvājumu</w:t>
            </w:r>
            <w:r w:rsidR="00914806">
              <w:rPr>
                <w:rFonts w:ascii="Times New Roman" w:eastAsia="Times New Roman" w:hAnsi="Times New Roman" w:cs="Times New Roman"/>
                <w:sz w:val="24"/>
                <w:szCs w:val="24"/>
                <w:lang w:eastAsia="lv-LV"/>
              </w:rPr>
              <w:t xml:space="preserve">, kā arī pildot </w:t>
            </w:r>
            <w:r w:rsidR="00914806" w:rsidRPr="00404C7F">
              <w:rPr>
                <w:rFonts w:ascii="Times New Roman" w:hAnsi="Times New Roman" w:cs="Times New Roman"/>
                <w:bCs/>
                <w:iCs/>
                <w:sz w:val="24"/>
                <w:szCs w:val="24"/>
              </w:rPr>
              <w:t xml:space="preserve">ES </w:t>
            </w:r>
            <w:proofErr w:type="spellStart"/>
            <w:r w:rsidR="00914806" w:rsidRPr="00404C7F">
              <w:rPr>
                <w:rFonts w:ascii="Times New Roman" w:hAnsi="Times New Roman" w:cs="Times New Roman"/>
                <w:bCs/>
                <w:iCs/>
                <w:sz w:val="24"/>
                <w:szCs w:val="24"/>
              </w:rPr>
              <w:t>pirmspārkāpuma</w:t>
            </w:r>
            <w:proofErr w:type="spellEnd"/>
            <w:r w:rsidR="00914806" w:rsidRPr="00404C7F">
              <w:rPr>
                <w:rFonts w:ascii="Times New Roman" w:hAnsi="Times New Roman" w:cs="Times New Roman"/>
                <w:bCs/>
                <w:iCs/>
                <w:sz w:val="24"/>
                <w:szCs w:val="24"/>
              </w:rPr>
              <w:t xml:space="preserve"> procedūr</w:t>
            </w:r>
            <w:r w:rsidR="00914806">
              <w:rPr>
                <w:rFonts w:ascii="Times New Roman" w:hAnsi="Times New Roman" w:cs="Times New Roman"/>
                <w:bCs/>
                <w:iCs/>
                <w:sz w:val="24"/>
                <w:szCs w:val="24"/>
              </w:rPr>
              <w:t>as</w:t>
            </w:r>
            <w:r w:rsidR="00914806" w:rsidRPr="00404C7F">
              <w:rPr>
                <w:rFonts w:ascii="Times New Roman" w:hAnsi="Times New Roman" w:cs="Times New Roman"/>
                <w:bCs/>
                <w:iCs/>
                <w:sz w:val="24"/>
                <w:szCs w:val="24"/>
              </w:rPr>
              <w:t xml:space="preserve"> („EU pilot” 7687/15/FISM)</w:t>
            </w:r>
            <w:r w:rsidR="00914806">
              <w:rPr>
                <w:rFonts w:ascii="Times New Roman" w:hAnsi="Times New Roman" w:cs="Times New Roman"/>
                <w:bCs/>
                <w:iCs/>
                <w:sz w:val="24"/>
                <w:szCs w:val="24"/>
              </w:rPr>
              <w:t xml:space="preserve"> ietvaros Eiropas Komisijas (EK) izteikto aicinājumu denonsēt divpusējos ES dalībvalstu ieguldījumu veicināšanas un savstarpējās aizsardzības līgumus. </w:t>
            </w:r>
          </w:p>
        </w:tc>
      </w:tr>
      <w:tr w:rsidR="005B61F2" w:rsidRPr="005B61F2" w:rsidTr="005147DD">
        <w:trPr>
          <w:trHeight w:val="465"/>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2.</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145" w:type="pct"/>
            <w:gridSpan w:val="3"/>
            <w:tcBorders>
              <w:top w:val="outset" w:sz="6" w:space="0" w:color="auto"/>
              <w:left w:val="outset" w:sz="6" w:space="0" w:color="auto"/>
              <w:bottom w:val="outset" w:sz="6" w:space="0" w:color="auto"/>
              <w:right w:val="outset" w:sz="6" w:space="0" w:color="auto"/>
            </w:tcBorders>
            <w:hideMark/>
          </w:tcPr>
          <w:p w:rsidR="000D5E7B" w:rsidRDefault="005B61F2" w:rsidP="005B61F2">
            <w:pPr>
              <w:pStyle w:val="NoSpacing"/>
              <w:jc w:val="both"/>
              <w:rPr>
                <w:rFonts w:ascii="Times New Roman" w:hAnsi="Times New Roman" w:cs="Times New Roman"/>
                <w:sz w:val="24"/>
                <w:szCs w:val="24"/>
              </w:rPr>
            </w:pPr>
            <w:r w:rsidRPr="00EA0E86">
              <w:rPr>
                <w:rFonts w:ascii="Times New Roman" w:hAnsi="Times New Roman" w:cs="Times New Roman"/>
                <w:sz w:val="24"/>
                <w:szCs w:val="24"/>
              </w:rPr>
              <w:t>Latvija ir noslēgusi divpusējos i</w:t>
            </w:r>
            <w:r w:rsidR="00DB62FE">
              <w:rPr>
                <w:rFonts w:ascii="Times New Roman" w:hAnsi="Times New Roman" w:cs="Times New Roman"/>
                <w:sz w:val="24"/>
                <w:szCs w:val="24"/>
              </w:rPr>
              <w:t>eguldījumu</w:t>
            </w:r>
            <w:r w:rsidRPr="00EA0E86">
              <w:rPr>
                <w:rFonts w:ascii="Times New Roman" w:hAnsi="Times New Roman" w:cs="Times New Roman"/>
                <w:sz w:val="24"/>
                <w:szCs w:val="24"/>
              </w:rPr>
              <w:t xml:space="preserve"> </w:t>
            </w:r>
            <w:r w:rsidR="00DB62FE">
              <w:rPr>
                <w:rFonts w:ascii="Times New Roman" w:hAnsi="Times New Roman" w:cs="Times New Roman"/>
                <w:sz w:val="24"/>
                <w:szCs w:val="24"/>
              </w:rPr>
              <w:t xml:space="preserve">veicināšanas un savstarpējās aizsardzības </w:t>
            </w:r>
            <w:r w:rsidRPr="00EA0E86">
              <w:rPr>
                <w:rFonts w:ascii="Times New Roman" w:hAnsi="Times New Roman" w:cs="Times New Roman"/>
                <w:sz w:val="24"/>
                <w:szCs w:val="24"/>
              </w:rPr>
              <w:t>līgumus</w:t>
            </w:r>
            <w:r w:rsidR="00DB62FE">
              <w:rPr>
                <w:rFonts w:ascii="Times New Roman" w:hAnsi="Times New Roman" w:cs="Times New Roman"/>
                <w:sz w:val="24"/>
                <w:szCs w:val="24"/>
              </w:rPr>
              <w:t xml:space="preserve"> (turpmāk – ieguldījumu līgumi)</w:t>
            </w:r>
            <w:r w:rsidRPr="00EA0E86">
              <w:rPr>
                <w:rFonts w:ascii="Times New Roman" w:hAnsi="Times New Roman" w:cs="Times New Roman"/>
                <w:sz w:val="24"/>
                <w:szCs w:val="24"/>
              </w:rPr>
              <w:t xml:space="preserve"> ar 2</w:t>
            </w:r>
            <w:r w:rsidR="00D7200E">
              <w:rPr>
                <w:rFonts w:ascii="Times New Roman" w:hAnsi="Times New Roman" w:cs="Times New Roman"/>
                <w:sz w:val="24"/>
                <w:szCs w:val="24"/>
              </w:rPr>
              <w:t>2</w:t>
            </w:r>
            <w:r w:rsidRPr="00EA0E86">
              <w:rPr>
                <w:rFonts w:ascii="Times New Roman" w:hAnsi="Times New Roman" w:cs="Times New Roman"/>
                <w:sz w:val="24"/>
                <w:szCs w:val="24"/>
              </w:rPr>
              <w:t xml:space="preserve"> ES dalībvalstīm</w:t>
            </w:r>
            <w:r w:rsidR="00F5385A">
              <w:rPr>
                <w:rFonts w:ascii="Times New Roman" w:hAnsi="Times New Roman" w:cs="Times New Roman"/>
                <w:sz w:val="24"/>
                <w:szCs w:val="24"/>
              </w:rPr>
              <w:t xml:space="preserve"> (</w:t>
            </w:r>
            <w:proofErr w:type="gramStart"/>
            <w:r w:rsidR="00F5385A">
              <w:rPr>
                <w:rFonts w:ascii="Times New Roman" w:hAnsi="Times New Roman" w:cs="Times New Roman"/>
                <w:sz w:val="24"/>
                <w:szCs w:val="24"/>
              </w:rPr>
              <w:t>2009.gadā</w:t>
            </w:r>
            <w:proofErr w:type="gramEnd"/>
            <w:r w:rsidR="00F5385A">
              <w:rPr>
                <w:rFonts w:ascii="Times New Roman" w:hAnsi="Times New Roman" w:cs="Times New Roman"/>
                <w:sz w:val="24"/>
                <w:szCs w:val="24"/>
              </w:rPr>
              <w:t xml:space="preserve"> līgums ar Itāliju tika denonsēts)</w:t>
            </w:r>
            <w:r w:rsidR="00B45D49">
              <w:rPr>
                <w:rFonts w:ascii="Times New Roman" w:hAnsi="Times New Roman" w:cs="Times New Roman"/>
                <w:sz w:val="24"/>
                <w:szCs w:val="24"/>
              </w:rPr>
              <w:t>, t</w:t>
            </w:r>
            <w:r w:rsidR="00397272">
              <w:rPr>
                <w:rFonts w:ascii="Times New Roman" w:hAnsi="Times New Roman" w:cs="Times New Roman"/>
                <w:sz w:val="24"/>
                <w:szCs w:val="24"/>
              </w:rPr>
              <w:t>o</w:t>
            </w:r>
            <w:r w:rsidR="00B45D49">
              <w:rPr>
                <w:rFonts w:ascii="Times New Roman" w:hAnsi="Times New Roman" w:cs="Times New Roman"/>
                <w:sz w:val="24"/>
                <w:szCs w:val="24"/>
              </w:rPr>
              <w:t xml:space="preserve"> skaitā </w:t>
            </w:r>
            <w:r w:rsidR="00397272">
              <w:rPr>
                <w:rFonts w:ascii="Times New Roman" w:hAnsi="Times New Roman" w:cs="Times New Roman"/>
                <w:sz w:val="24"/>
                <w:szCs w:val="24"/>
              </w:rPr>
              <w:t xml:space="preserve"> 1994.gada 25.oktobrī Rīgā tika noslēgts Latvijas Republikas valdības un Čehijas Republikas valdības </w:t>
            </w:r>
            <w:r w:rsidR="00397272" w:rsidRPr="00DB62FE">
              <w:rPr>
                <w:rFonts w:ascii="Times New Roman" w:hAnsi="Times New Roman" w:cs="Times New Roman"/>
                <w:sz w:val="24"/>
                <w:szCs w:val="24"/>
              </w:rPr>
              <w:t>līgum</w:t>
            </w:r>
            <w:r w:rsidR="00397272">
              <w:rPr>
                <w:rFonts w:ascii="Times New Roman" w:hAnsi="Times New Roman" w:cs="Times New Roman"/>
                <w:sz w:val="24"/>
                <w:szCs w:val="24"/>
              </w:rPr>
              <w:t>s</w:t>
            </w:r>
            <w:r w:rsidR="00397272" w:rsidRPr="00DB62FE">
              <w:rPr>
                <w:rFonts w:ascii="Times New Roman" w:hAnsi="Times New Roman" w:cs="Times New Roman"/>
                <w:sz w:val="24"/>
                <w:szCs w:val="24"/>
              </w:rPr>
              <w:t xml:space="preserve"> par ieguldījumu veicināšanu un savstarpēju aizsardzību</w:t>
            </w:r>
            <w:r w:rsidR="00397272">
              <w:rPr>
                <w:rFonts w:ascii="Times New Roman" w:hAnsi="Times New Roman" w:cs="Times New Roman"/>
                <w:sz w:val="24"/>
                <w:szCs w:val="24"/>
              </w:rPr>
              <w:t xml:space="preserve"> (turpmāk – Līgums)</w:t>
            </w:r>
            <w:r w:rsidRPr="00EA0E86">
              <w:rPr>
                <w:rFonts w:ascii="Times New Roman" w:hAnsi="Times New Roman" w:cs="Times New Roman"/>
                <w:sz w:val="24"/>
                <w:szCs w:val="24"/>
              </w:rPr>
              <w:t xml:space="preserve">. </w:t>
            </w:r>
          </w:p>
          <w:p w:rsidR="005B61F2" w:rsidRPr="00EA0E86" w:rsidRDefault="005B61F2" w:rsidP="005B61F2">
            <w:pPr>
              <w:pStyle w:val="NoSpacing"/>
              <w:jc w:val="both"/>
              <w:rPr>
                <w:rFonts w:ascii="Times New Roman" w:hAnsi="Times New Roman" w:cs="Times New Roman"/>
                <w:bCs/>
                <w:iCs/>
                <w:sz w:val="24"/>
                <w:szCs w:val="24"/>
              </w:rPr>
            </w:pPr>
            <w:proofErr w:type="gramStart"/>
            <w:r w:rsidRPr="00EA0E86">
              <w:rPr>
                <w:rFonts w:ascii="Times New Roman" w:hAnsi="Times New Roman" w:cs="Times New Roman"/>
                <w:bCs/>
                <w:iCs/>
                <w:sz w:val="24"/>
                <w:szCs w:val="24"/>
              </w:rPr>
              <w:t>2009.gadā</w:t>
            </w:r>
            <w:proofErr w:type="gramEnd"/>
            <w:r w:rsidRPr="00EA0E86">
              <w:rPr>
                <w:rFonts w:ascii="Times New Roman" w:hAnsi="Times New Roman" w:cs="Times New Roman"/>
                <w:bCs/>
                <w:iCs/>
                <w:sz w:val="24"/>
                <w:szCs w:val="24"/>
              </w:rPr>
              <w:t xml:space="preserve"> EK pirmo reizi norādīja, ka situācija, kad starp atsevišķām ES dalībvalstīm pastāv savstarpējie 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ir pretrunā ES tiesiskajam regulējumam. EK vērtējumā divpusējie 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pārkāpj vai pieļauj paralēlu jurisdikciju vairāku ES iekšējā tirgus pamatprincipu tulkošanai: brīva kapitāla kustība, brīvība veikt uzņēmējdarbību, brīvība sniegt pakalpojumus. </w:t>
            </w:r>
          </w:p>
          <w:p w:rsidR="005B61F2" w:rsidRPr="00EA0E86" w:rsidRDefault="005B61F2" w:rsidP="005B61F2">
            <w:pPr>
              <w:pStyle w:val="NoSpacing"/>
              <w:jc w:val="both"/>
              <w:rPr>
                <w:rFonts w:ascii="Times New Roman" w:hAnsi="Times New Roman" w:cs="Times New Roman"/>
                <w:bCs/>
                <w:iCs/>
                <w:sz w:val="24"/>
                <w:szCs w:val="24"/>
              </w:rPr>
            </w:pPr>
            <w:r w:rsidRPr="00EA0E86">
              <w:rPr>
                <w:rFonts w:ascii="Times New Roman" w:hAnsi="Times New Roman" w:cs="Times New Roman"/>
                <w:bCs/>
                <w:iCs/>
                <w:sz w:val="24"/>
                <w:szCs w:val="24"/>
              </w:rPr>
              <w:t>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būtībā nosaka tās pašas tiesības, kas izriet no ES regulējuma – investoriem taisnīga un vienlīdzīga attieksme, drošība un aizsardzība, ekspropriācija tikai pret kompensāciju. Vienīgā būtiskā atšķirība, ko nodrošina 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ir ārpus tiesas strīdu izšķiršanas mehānisms investora prasībai pret valsti.</w:t>
            </w:r>
            <w:r w:rsidR="00051D09">
              <w:rPr>
                <w:rFonts w:ascii="Times New Roman" w:hAnsi="Times New Roman" w:cs="Times New Roman"/>
                <w:bCs/>
                <w:iCs/>
                <w:sz w:val="24"/>
                <w:szCs w:val="24"/>
              </w:rPr>
              <w:t xml:space="preserve"> EK uzskata, ka dalībvalstis, kas savā starpā ir noslēgušas ieguldījumu līgumus, ir radījušas labvēlīgākus nosacījumus to investoriem nekā dalībvalstis, kas nav noslēguš</w:t>
            </w:r>
            <w:r w:rsidR="00EE6C07">
              <w:rPr>
                <w:rFonts w:ascii="Times New Roman" w:hAnsi="Times New Roman" w:cs="Times New Roman"/>
                <w:bCs/>
                <w:iCs/>
                <w:sz w:val="24"/>
                <w:szCs w:val="24"/>
              </w:rPr>
              <w:t>a</w:t>
            </w:r>
            <w:r w:rsidR="00051D09">
              <w:rPr>
                <w:rFonts w:ascii="Times New Roman" w:hAnsi="Times New Roman" w:cs="Times New Roman"/>
                <w:bCs/>
                <w:iCs/>
                <w:sz w:val="24"/>
                <w:szCs w:val="24"/>
              </w:rPr>
              <w:t>s šādus līgumus, kas savukārt nav pieļaujams saskaņā ar ES pamatprincipiem</w:t>
            </w:r>
            <w:r w:rsidR="006637E4">
              <w:rPr>
                <w:rFonts w:ascii="Times New Roman" w:hAnsi="Times New Roman" w:cs="Times New Roman"/>
                <w:bCs/>
                <w:iCs/>
                <w:sz w:val="24"/>
                <w:szCs w:val="24"/>
              </w:rPr>
              <w:t xml:space="preserve"> (tiek pārkāpts aizliegums </w:t>
            </w:r>
            <w:r w:rsidR="006637E4">
              <w:rPr>
                <w:rFonts w:ascii="Times New Roman" w:hAnsi="Times New Roman" w:cs="Times New Roman"/>
                <w:bCs/>
                <w:iCs/>
                <w:sz w:val="24"/>
                <w:szCs w:val="24"/>
              </w:rPr>
              <w:lastRenderedPageBreak/>
              <w:t>diskriminēt pēc valstspiederības)</w:t>
            </w:r>
            <w:r w:rsidR="00051D09">
              <w:rPr>
                <w:rFonts w:ascii="Times New Roman" w:hAnsi="Times New Roman" w:cs="Times New Roman"/>
                <w:bCs/>
                <w:iCs/>
                <w:sz w:val="24"/>
                <w:szCs w:val="24"/>
              </w:rPr>
              <w:t>.</w:t>
            </w:r>
          </w:p>
          <w:p w:rsidR="005B61F2" w:rsidRPr="00EA0E86" w:rsidRDefault="005B61F2" w:rsidP="005B61F2">
            <w:pPr>
              <w:pStyle w:val="NoSpacing"/>
              <w:jc w:val="both"/>
              <w:rPr>
                <w:rFonts w:ascii="Times New Roman" w:hAnsi="Times New Roman" w:cs="Times New Roman"/>
                <w:bCs/>
                <w:iCs/>
                <w:sz w:val="24"/>
                <w:szCs w:val="24"/>
              </w:rPr>
            </w:pPr>
            <w:r w:rsidRPr="00EA0E86">
              <w:rPr>
                <w:rFonts w:ascii="Times New Roman" w:hAnsi="Times New Roman" w:cs="Times New Roman"/>
                <w:bCs/>
                <w:iCs/>
                <w:sz w:val="24"/>
                <w:szCs w:val="24"/>
              </w:rPr>
              <w:t xml:space="preserve">EK neformālās konsultācijas, lai izbeigtu šādu situāciju, nav sniegušas rezultātu. </w:t>
            </w:r>
            <w:proofErr w:type="gramStart"/>
            <w:r w:rsidRPr="00EA0E86">
              <w:rPr>
                <w:rFonts w:ascii="Times New Roman" w:hAnsi="Times New Roman" w:cs="Times New Roman"/>
                <w:bCs/>
                <w:iCs/>
                <w:sz w:val="24"/>
                <w:szCs w:val="24"/>
              </w:rPr>
              <w:t>2016.g.</w:t>
            </w:r>
            <w:proofErr w:type="gramEnd"/>
            <w:r w:rsidRPr="00EA0E86">
              <w:rPr>
                <w:rFonts w:ascii="Times New Roman" w:hAnsi="Times New Roman" w:cs="Times New Roman"/>
                <w:bCs/>
                <w:iCs/>
                <w:sz w:val="24"/>
                <w:szCs w:val="24"/>
              </w:rPr>
              <w:t xml:space="preserve"> jūlijā tika uzsāktas formālās procedūras:</w:t>
            </w:r>
          </w:p>
          <w:p w:rsidR="005B61F2" w:rsidRDefault="005B61F2" w:rsidP="005B61F2">
            <w:pPr>
              <w:pStyle w:val="NoSpacing"/>
              <w:numPr>
                <w:ilvl w:val="0"/>
                <w:numId w:val="2"/>
              </w:numPr>
              <w:jc w:val="both"/>
              <w:rPr>
                <w:rFonts w:ascii="Times New Roman" w:hAnsi="Times New Roman" w:cs="Times New Roman"/>
                <w:bCs/>
                <w:iCs/>
                <w:sz w:val="24"/>
                <w:szCs w:val="24"/>
              </w:rPr>
            </w:pPr>
            <w:r w:rsidRPr="00EA0E86">
              <w:rPr>
                <w:rFonts w:ascii="Times New Roman" w:hAnsi="Times New Roman" w:cs="Times New Roman"/>
                <w:bCs/>
                <w:iCs/>
                <w:sz w:val="24"/>
                <w:szCs w:val="24"/>
              </w:rPr>
              <w:t xml:space="preserve">Pret 5 ES dalībvalstīm (Austrija, Nīderlande, Rumānija, Slovākija un Zviedrija) ir uzsākta pārkāpuma procedūra; </w:t>
            </w:r>
          </w:p>
          <w:p w:rsidR="005B61F2" w:rsidRPr="00404C7F" w:rsidRDefault="005B61F2" w:rsidP="005B61F2">
            <w:pPr>
              <w:pStyle w:val="NoSpacing"/>
              <w:numPr>
                <w:ilvl w:val="0"/>
                <w:numId w:val="2"/>
              </w:numPr>
              <w:jc w:val="both"/>
              <w:rPr>
                <w:rFonts w:ascii="Times New Roman" w:hAnsi="Times New Roman" w:cs="Times New Roman"/>
                <w:bCs/>
                <w:iCs/>
                <w:sz w:val="24"/>
                <w:szCs w:val="24"/>
              </w:rPr>
            </w:pPr>
            <w:r w:rsidRPr="00404C7F">
              <w:rPr>
                <w:rFonts w:ascii="Times New Roman" w:hAnsi="Times New Roman" w:cs="Times New Roman"/>
                <w:bCs/>
                <w:iCs/>
                <w:sz w:val="24"/>
                <w:szCs w:val="24"/>
              </w:rPr>
              <w:t xml:space="preserve">No pārējām ES dalībvalstīm (t.sk. Latvijas) ES </w:t>
            </w:r>
            <w:proofErr w:type="spellStart"/>
            <w:r w:rsidRPr="00404C7F">
              <w:rPr>
                <w:rFonts w:ascii="Times New Roman" w:hAnsi="Times New Roman" w:cs="Times New Roman"/>
                <w:bCs/>
                <w:iCs/>
                <w:sz w:val="24"/>
                <w:szCs w:val="24"/>
              </w:rPr>
              <w:t>pirmspārkāpuma</w:t>
            </w:r>
            <w:proofErr w:type="spellEnd"/>
            <w:r w:rsidRPr="00404C7F">
              <w:rPr>
                <w:rFonts w:ascii="Times New Roman" w:hAnsi="Times New Roman" w:cs="Times New Roman"/>
                <w:bCs/>
                <w:iCs/>
                <w:sz w:val="24"/>
                <w:szCs w:val="24"/>
              </w:rPr>
              <w:t xml:space="preserve"> procedūras sistēmas ietvaros („EU pilot” 7687/15/FISM) tika pieprasīta informācija par to i</w:t>
            </w:r>
            <w:r w:rsidR="00DB62FE">
              <w:rPr>
                <w:rFonts w:ascii="Times New Roman" w:hAnsi="Times New Roman" w:cs="Times New Roman"/>
                <w:bCs/>
                <w:iCs/>
                <w:sz w:val="24"/>
                <w:szCs w:val="24"/>
              </w:rPr>
              <w:t>eguldījumu</w:t>
            </w:r>
            <w:r w:rsidRPr="00404C7F">
              <w:rPr>
                <w:rFonts w:ascii="Times New Roman" w:hAnsi="Times New Roman" w:cs="Times New Roman"/>
                <w:bCs/>
                <w:iCs/>
                <w:sz w:val="24"/>
                <w:szCs w:val="24"/>
              </w:rPr>
              <w:t xml:space="preserve"> līgumu atbilstību ES regulējumam, kā arī uzdots jautājums par gatavību denonsēt savstarpējos i</w:t>
            </w:r>
            <w:r w:rsidR="00DB62FE">
              <w:rPr>
                <w:rFonts w:ascii="Times New Roman" w:hAnsi="Times New Roman" w:cs="Times New Roman"/>
                <w:bCs/>
                <w:iCs/>
                <w:sz w:val="24"/>
                <w:szCs w:val="24"/>
              </w:rPr>
              <w:t>eguldījumu</w:t>
            </w:r>
            <w:r w:rsidRPr="00404C7F">
              <w:rPr>
                <w:rFonts w:ascii="Times New Roman" w:hAnsi="Times New Roman" w:cs="Times New Roman"/>
                <w:bCs/>
                <w:iCs/>
                <w:sz w:val="24"/>
                <w:szCs w:val="24"/>
              </w:rPr>
              <w:t xml:space="preserve"> līgumus.</w:t>
            </w:r>
            <w:r w:rsidRPr="00404C7F">
              <w:rPr>
                <w:rFonts w:eastAsia="Calibri"/>
              </w:rPr>
              <w:t xml:space="preserve"> </w:t>
            </w:r>
          </w:p>
          <w:p w:rsidR="00604F97" w:rsidRDefault="00604F97" w:rsidP="008A053A">
            <w:pPr>
              <w:pStyle w:val="NoSpacing"/>
              <w:jc w:val="both"/>
              <w:rPr>
                <w:rFonts w:ascii="Times New Roman" w:hAnsi="Times New Roman" w:cs="Times New Roman"/>
                <w:sz w:val="24"/>
                <w:szCs w:val="24"/>
              </w:rPr>
            </w:pPr>
            <w:r>
              <w:rPr>
                <w:rFonts w:ascii="Times New Roman" w:hAnsi="Times New Roman" w:cs="Times New Roman"/>
                <w:sz w:val="24"/>
                <w:szCs w:val="24"/>
              </w:rPr>
              <w:t>Čehijas Republikas valdība atbalsta EK viedokli un piedāvā Latvijai denonsēt Līgumu.</w:t>
            </w:r>
          </w:p>
          <w:p w:rsidR="008A053A" w:rsidRPr="008A053A" w:rsidRDefault="00604F97" w:rsidP="008A053A">
            <w:pPr>
              <w:pStyle w:val="NoSpacing"/>
              <w:jc w:val="both"/>
              <w:rPr>
                <w:rFonts w:ascii="Times New Roman" w:hAnsi="Times New Roman" w:cs="Times New Roman"/>
                <w:sz w:val="24"/>
                <w:szCs w:val="24"/>
              </w:rPr>
            </w:pPr>
            <w:r>
              <w:rPr>
                <w:rFonts w:ascii="Times New Roman" w:hAnsi="Times New Roman" w:cs="Times New Roman"/>
                <w:sz w:val="24"/>
                <w:szCs w:val="24"/>
              </w:rPr>
              <w:t>Arī Latvija, i</w:t>
            </w:r>
            <w:r w:rsidR="005B61F2" w:rsidRPr="008A053A">
              <w:rPr>
                <w:rFonts w:ascii="Times New Roman" w:hAnsi="Times New Roman" w:cs="Times New Roman"/>
                <w:sz w:val="24"/>
                <w:szCs w:val="24"/>
              </w:rPr>
              <w:t xml:space="preserve">zvērtējot </w:t>
            </w:r>
            <w:r w:rsidR="005B61F2" w:rsidRPr="008A053A">
              <w:rPr>
                <w:rFonts w:ascii="Times New Roman" w:hAnsi="Times New Roman" w:cs="Times New Roman"/>
                <w:i/>
                <w:sz w:val="24"/>
                <w:szCs w:val="24"/>
              </w:rPr>
              <w:t>EU Pilot</w:t>
            </w:r>
            <w:r w:rsidR="005B61F2" w:rsidRPr="008A053A">
              <w:rPr>
                <w:rFonts w:ascii="Times New Roman" w:hAnsi="Times New Roman" w:cs="Times New Roman"/>
                <w:sz w:val="24"/>
                <w:szCs w:val="24"/>
              </w:rPr>
              <w:t xml:space="preserve"> lietas ietvaros saņemtos EK jautājumus, atz</w:t>
            </w:r>
            <w:r w:rsidR="00DB62FE" w:rsidRPr="008A053A">
              <w:rPr>
                <w:rFonts w:ascii="Times New Roman" w:hAnsi="Times New Roman" w:cs="Times New Roman"/>
                <w:sz w:val="24"/>
                <w:szCs w:val="24"/>
              </w:rPr>
              <w:t>īst</w:t>
            </w:r>
            <w:r w:rsidR="005B61F2" w:rsidRPr="008A053A">
              <w:rPr>
                <w:rFonts w:ascii="Times New Roman" w:hAnsi="Times New Roman" w:cs="Times New Roman"/>
                <w:sz w:val="24"/>
                <w:szCs w:val="24"/>
              </w:rPr>
              <w:t>, ka atsevišķi Latvijas noslēgto i</w:t>
            </w:r>
            <w:r w:rsidR="00DB62FE" w:rsidRPr="008A053A">
              <w:rPr>
                <w:rFonts w:ascii="Times New Roman" w:hAnsi="Times New Roman" w:cs="Times New Roman"/>
                <w:sz w:val="24"/>
                <w:szCs w:val="24"/>
              </w:rPr>
              <w:t>eguldījumu</w:t>
            </w:r>
            <w:r w:rsidR="005B61F2" w:rsidRPr="008A053A">
              <w:rPr>
                <w:rFonts w:ascii="Times New Roman" w:hAnsi="Times New Roman" w:cs="Times New Roman"/>
                <w:sz w:val="24"/>
                <w:szCs w:val="24"/>
              </w:rPr>
              <w:t xml:space="preserve"> līgumu nosacījumi pārkāpj ES regulējumu vai pieļauj paralēlu jurisdikciju par ES regulējuma tulkošanu. </w:t>
            </w:r>
            <w:r w:rsidR="008A053A">
              <w:rPr>
                <w:rFonts w:ascii="Times New Roman" w:hAnsi="Times New Roman" w:cs="Times New Roman"/>
                <w:sz w:val="24"/>
                <w:szCs w:val="24"/>
              </w:rPr>
              <w:t>Piemēram, s</w:t>
            </w:r>
            <w:r w:rsidR="008A053A" w:rsidRPr="008A053A">
              <w:rPr>
                <w:rFonts w:ascii="Times New Roman" w:hAnsi="Times New Roman" w:cs="Times New Roman"/>
                <w:sz w:val="24"/>
                <w:szCs w:val="24"/>
              </w:rPr>
              <w:t>trīdu starp ES dalībvalstīm sniegšana arbitrāžā ir pretrunā ES tiesību autonomijas principam</w:t>
            </w:r>
            <w:r w:rsidR="007E03CB">
              <w:rPr>
                <w:rFonts w:ascii="Times New Roman" w:hAnsi="Times New Roman" w:cs="Times New Roman"/>
                <w:sz w:val="24"/>
                <w:szCs w:val="24"/>
              </w:rPr>
              <w:t>,</w:t>
            </w:r>
            <w:r w:rsidR="007E03CB" w:rsidRPr="008A053A">
              <w:rPr>
                <w:rFonts w:ascii="Times New Roman" w:hAnsi="Times New Roman" w:cs="Times New Roman"/>
                <w:sz w:val="24"/>
                <w:szCs w:val="24"/>
              </w:rPr>
              <w:t xml:space="preserve"> </w:t>
            </w:r>
            <w:r w:rsidR="007E03CB">
              <w:rPr>
                <w:rFonts w:ascii="Times New Roman" w:hAnsi="Times New Roman" w:cs="Times New Roman"/>
                <w:sz w:val="24"/>
                <w:szCs w:val="24"/>
              </w:rPr>
              <w:t xml:space="preserve">jo </w:t>
            </w:r>
            <w:r w:rsidR="007E03CB" w:rsidRPr="008A053A">
              <w:rPr>
                <w:rFonts w:ascii="Times New Roman" w:hAnsi="Times New Roman" w:cs="Times New Roman"/>
                <w:sz w:val="24"/>
                <w:szCs w:val="24"/>
              </w:rPr>
              <w:t xml:space="preserve">pārkāpj </w:t>
            </w:r>
            <w:r w:rsidR="007E03CB">
              <w:rPr>
                <w:rFonts w:ascii="Times New Roman" w:hAnsi="Times New Roman" w:cs="Times New Roman"/>
                <w:sz w:val="24"/>
                <w:szCs w:val="24"/>
              </w:rPr>
              <w:t>LESD</w:t>
            </w:r>
            <w:r w:rsidR="007E03CB" w:rsidRPr="008A053A">
              <w:rPr>
                <w:rFonts w:ascii="Times New Roman" w:hAnsi="Times New Roman" w:cs="Times New Roman"/>
                <w:sz w:val="24"/>
                <w:szCs w:val="24"/>
              </w:rPr>
              <w:t xml:space="preserve"> 344.pantu, jo </w:t>
            </w:r>
            <w:r w:rsidR="00E04F4D">
              <w:rPr>
                <w:rFonts w:ascii="Times New Roman" w:hAnsi="Times New Roman" w:cs="Times New Roman"/>
                <w:sz w:val="24"/>
                <w:szCs w:val="24"/>
              </w:rPr>
              <w:t>pieļauj</w:t>
            </w:r>
            <w:r w:rsidR="007E03CB" w:rsidRPr="008A053A">
              <w:rPr>
                <w:rFonts w:ascii="Times New Roman" w:hAnsi="Times New Roman" w:cs="Times New Roman"/>
                <w:sz w:val="24"/>
                <w:szCs w:val="24"/>
              </w:rPr>
              <w:t xml:space="preserve"> arbitrāžas lēmu</w:t>
            </w:r>
            <w:r w:rsidR="007E03CB">
              <w:rPr>
                <w:rFonts w:ascii="Times New Roman" w:hAnsi="Times New Roman" w:cs="Times New Roman"/>
                <w:sz w:val="24"/>
                <w:szCs w:val="24"/>
              </w:rPr>
              <w:t xml:space="preserve">mu par, iespējams, ES normu interpretāciju (kaut vai netieši, pastarpināti). </w:t>
            </w:r>
            <w:r w:rsidR="008A053A">
              <w:rPr>
                <w:rFonts w:ascii="Times New Roman" w:hAnsi="Times New Roman" w:cs="Times New Roman"/>
                <w:sz w:val="24"/>
                <w:szCs w:val="24"/>
              </w:rPr>
              <w:t>Tāpat, s</w:t>
            </w:r>
            <w:r w:rsidR="008A053A" w:rsidRPr="008A053A">
              <w:rPr>
                <w:rFonts w:ascii="Times New Roman" w:hAnsi="Times New Roman" w:cs="Times New Roman"/>
                <w:sz w:val="24"/>
                <w:szCs w:val="24"/>
              </w:rPr>
              <w:t>askaņā ar E</w:t>
            </w:r>
            <w:r w:rsidR="008A053A">
              <w:rPr>
                <w:rFonts w:ascii="Times New Roman" w:hAnsi="Times New Roman" w:cs="Times New Roman"/>
                <w:sz w:val="24"/>
                <w:szCs w:val="24"/>
              </w:rPr>
              <w:t xml:space="preserve">iropas </w:t>
            </w:r>
            <w:r w:rsidR="008A053A" w:rsidRPr="008A053A">
              <w:rPr>
                <w:rFonts w:ascii="Times New Roman" w:hAnsi="Times New Roman" w:cs="Times New Roman"/>
                <w:sz w:val="24"/>
                <w:szCs w:val="24"/>
              </w:rPr>
              <w:t>T</w:t>
            </w:r>
            <w:r w:rsidR="008A053A">
              <w:rPr>
                <w:rFonts w:ascii="Times New Roman" w:hAnsi="Times New Roman" w:cs="Times New Roman"/>
                <w:sz w:val="24"/>
                <w:szCs w:val="24"/>
              </w:rPr>
              <w:t>iesas</w:t>
            </w:r>
            <w:r w:rsidR="008A053A" w:rsidRPr="008A053A">
              <w:rPr>
                <w:rFonts w:ascii="Times New Roman" w:hAnsi="Times New Roman" w:cs="Times New Roman"/>
                <w:sz w:val="24"/>
                <w:szCs w:val="24"/>
              </w:rPr>
              <w:t xml:space="preserve"> sniegto viedokli</w:t>
            </w:r>
            <w:r w:rsidR="005231C0">
              <w:rPr>
                <w:rFonts w:ascii="Times New Roman" w:hAnsi="Times New Roman" w:cs="Times New Roman"/>
                <w:sz w:val="24"/>
                <w:szCs w:val="24"/>
              </w:rPr>
              <w:t xml:space="preserve"> (</w:t>
            </w:r>
            <w:proofErr w:type="spellStart"/>
            <w:r w:rsidR="005231C0" w:rsidRPr="005231C0">
              <w:rPr>
                <w:rFonts w:ascii="Times New Roman" w:hAnsi="Times New Roman" w:cs="Times New Roman"/>
                <w:i/>
                <w:sz w:val="24"/>
                <w:szCs w:val="24"/>
              </w:rPr>
              <w:t>Opinion</w:t>
            </w:r>
            <w:proofErr w:type="spellEnd"/>
            <w:r w:rsidR="005231C0" w:rsidRPr="005231C0">
              <w:rPr>
                <w:rFonts w:ascii="Times New Roman" w:hAnsi="Times New Roman" w:cs="Times New Roman"/>
                <w:i/>
                <w:sz w:val="24"/>
                <w:szCs w:val="24"/>
              </w:rPr>
              <w:t xml:space="preserve"> 2/13</w:t>
            </w:r>
            <w:r w:rsidR="005231C0">
              <w:rPr>
                <w:rFonts w:ascii="Times New Roman" w:hAnsi="Times New Roman" w:cs="Times New Roman"/>
                <w:sz w:val="24"/>
                <w:szCs w:val="24"/>
              </w:rPr>
              <w:t>)</w:t>
            </w:r>
            <w:r w:rsidR="008A053A" w:rsidRPr="008A053A">
              <w:rPr>
                <w:rFonts w:ascii="Times New Roman" w:hAnsi="Times New Roman" w:cs="Times New Roman"/>
                <w:sz w:val="24"/>
                <w:szCs w:val="24"/>
              </w:rPr>
              <w:t xml:space="preserve">, nacionālā likumdošana jomā, kas </w:t>
            </w:r>
            <w:r w:rsidR="008C5354">
              <w:rPr>
                <w:rFonts w:ascii="Times New Roman" w:hAnsi="Times New Roman" w:cs="Times New Roman"/>
                <w:sz w:val="24"/>
                <w:szCs w:val="24"/>
              </w:rPr>
              <w:t xml:space="preserve">sakrīt ar dalīto </w:t>
            </w:r>
            <w:r w:rsidR="008A053A" w:rsidRPr="008A053A">
              <w:rPr>
                <w:rFonts w:ascii="Times New Roman" w:hAnsi="Times New Roman" w:cs="Times New Roman"/>
                <w:sz w:val="24"/>
                <w:szCs w:val="24"/>
              </w:rPr>
              <w:t>ES kompetenc</w:t>
            </w:r>
            <w:r w:rsidR="008C5354">
              <w:rPr>
                <w:rFonts w:ascii="Times New Roman" w:hAnsi="Times New Roman" w:cs="Times New Roman"/>
                <w:sz w:val="24"/>
                <w:szCs w:val="24"/>
              </w:rPr>
              <w:t>i</w:t>
            </w:r>
            <w:r w:rsidR="008A053A" w:rsidRPr="008A053A">
              <w:rPr>
                <w:rFonts w:ascii="Times New Roman" w:hAnsi="Times New Roman" w:cs="Times New Roman"/>
                <w:sz w:val="24"/>
                <w:szCs w:val="24"/>
              </w:rPr>
              <w:t xml:space="preserve">, nevar paredzēt augstākus aizsardzības standartus, nekā to paredz ES tiesības </w:t>
            </w:r>
            <w:proofErr w:type="gramStart"/>
            <w:r w:rsidR="008A053A" w:rsidRPr="008A053A">
              <w:rPr>
                <w:rFonts w:ascii="Times New Roman" w:hAnsi="Times New Roman" w:cs="Times New Roman"/>
                <w:sz w:val="24"/>
                <w:szCs w:val="24"/>
              </w:rPr>
              <w:t>(</w:t>
            </w:r>
            <w:proofErr w:type="gramEnd"/>
            <w:r w:rsidR="008A053A" w:rsidRPr="008A053A">
              <w:rPr>
                <w:rFonts w:ascii="Times New Roman" w:hAnsi="Times New Roman" w:cs="Times New Roman"/>
                <w:sz w:val="24"/>
                <w:szCs w:val="24"/>
              </w:rPr>
              <w:t xml:space="preserve">t.s. </w:t>
            </w:r>
            <w:proofErr w:type="spellStart"/>
            <w:r w:rsidR="008A053A" w:rsidRPr="008A053A">
              <w:rPr>
                <w:rFonts w:ascii="Times New Roman" w:hAnsi="Times New Roman" w:cs="Times New Roman"/>
                <w:i/>
                <w:sz w:val="24"/>
                <w:szCs w:val="24"/>
              </w:rPr>
              <w:t>Melloni</w:t>
            </w:r>
            <w:proofErr w:type="spellEnd"/>
            <w:r w:rsidR="008A053A" w:rsidRPr="008A053A">
              <w:rPr>
                <w:rFonts w:ascii="Times New Roman" w:hAnsi="Times New Roman" w:cs="Times New Roman"/>
                <w:sz w:val="24"/>
                <w:szCs w:val="24"/>
              </w:rPr>
              <w:t xml:space="preserve"> princips). Līdz ar to, divpusējie </w:t>
            </w:r>
            <w:r w:rsidR="008A053A">
              <w:rPr>
                <w:rFonts w:ascii="Times New Roman" w:hAnsi="Times New Roman" w:cs="Times New Roman"/>
                <w:sz w:val="24"/>
                <w:szCs w:val="24"/>
              </w:rPr>
              <w:t>ieguldījumu</w:t>
            </w:r>
            <w:r w:rsidR="008A053A" w:rsidRPr="008A053A">
              <w:rPr>
                <w:rFonts w:ascii="Times New Roman" w:hAnsi="Times New Roman" w:cs="Times New Roman"/>
                <w:sz w:val="24"/>
                <w:szCs w:val="24"/>
              </w:rPr>
              <w:t xml:space="preserve"> līgumi nevar sniegt lielākas drošības garantijas konkrētai ES </w:t>
            </w:r>
            <w:r w:rsidR="008A053A">
              <w:rPr>
                <w:rFonts w:ascii="Times New Roman" w:hAnsi="Times New Roman" w:cs="Times New Roman"/>
                <w:sz w:val="24"/>
                <w:szCs w:val="24"/>
              </w:rPr>
              <w:t>dalībvalstij</w:t>
            </w:r>
            <w:r w:rsidR="008A053A" w:rsidRPr="008A053A">
              <w:rPr>
                <w:rFonts w:ascii="Times New Roman" w:hAnsi="Times New Roman" w:cs="Times New Roman"/>
                <w:sz w:val="24"/>
                <w:szCs w:val="24"/>
              </w:rPr>
              <w:t>, nekā to paredz ES tiesības. Kas savukārt padara šos līgumus neatbilstošus ES</w:t>
            </w:r>
            <w:r w:rsidR="00EE6C07">
              <w:rPr>
                <w:rFonts w:ascii="Times New Roman" w:hAnsi="Times New Roman" w:cs="Times New Roman"/>
                <w:sz w:val="24"/>
                <w:szCs w:val="24"/>
              </w:rPr>
              <w:t xml:space="preserve"> tiesībām</w:t>
            </w:r>
            <w:r w:rsidR="008A053A" w:rsidRPr="008A053A">
              <w:rPr>
                <w:rFonts w:ascii="Times New Roman" w:hAnsi="Times New Roman" w:cs="Times New Roman"/>
                <w:sz w:val="24"/>
                <w:szCs w:val="24"/>
              </w:rPr>
              <w:t xml:space="preserve"> (investīciju aizsardzības sadaļā).  </w:t>
            </w:r>
          </w:p>
          <w:p w:rsidR="005231C0" w:rsidRPr="008A053A" w:rsidRDefault="005B61F2" w:rsidP="008A053A">
            <w:pPr>
              <w:pStyle w:val="NoSpacing"/>
              <w:jc w:val="both"/>
              <w:rPr>
                <w:rFonts w:ascii="Times New Roman" w:hAnsi="Times New Roman" w:cs="Times New Roman"/>
                <w:sz w:val="24"/>
                <w:szCs w:val="24"/>
              </w:rPr>
            </w:pPr>
            <w:r w:rsidRPr="008A053A">
              <w:rPr>
                <w:rFonts w:ascii="Times New Roman" w:hAnsi="Times New Roman" w:cs="Times New Roman"/>
                <w:sz w:val="24"/>
                <w:szCs w:val="24"/>
              </w:rPr>
              <w:t>Vienlai</w:t>
            </w:r>
            <w:r w:rsidR="008C5354">
              <w:rPr>
                <w:rFonts w:ascii="Times New Roman" w:hAnsi="Times New Roman" w:cs="Times New Roman"/>
                <w:sz w:val="24"/>
                <w:szCs w:val="24"/>
              </w:rPr>
              <w:t>kus</w:t>
            </w:r>
            <w:r w:rsidRPr="008A053A">
              <w:rPr>
                <w:rFonts w:ascii="Times New Roman" w:hAnsi="Times New Roman" w:cs="Times New Roman"/>
                <w:sz w:val="24"/>
                <w:szCs w:val="24"/>
              </w:rPr>
              <w:t>, minētās neatbilstības nav iespējams novērst, veicot grozījumus minētajos līgumos, jo tie ir saistīti ar līgumu</w:t>
            </w:r>
            <w:r w:rsidR="004C236B">
              <w:rPr>
                <w:rFonts w:ascii="Times New Roman" w:hAnsi="Times New Roman" w:cs="Times New Roman"/>
                <w:sz w:val="24"/>
                <w:szCs w:val="24"/>
              </w:rPr>
              <w:t xml:space="preserve"> būtiskām sastāvdaļām</w:t>
            </w:r>
            <w:r w:rsidRPr="008A053A">
              <w:rPr>
                <w:rFonts w:ascii="Times New Roman" w:hAnsi="Times New Roman" w:cs="Times New Roman"/>
                <w:sz w:val="24"/>
                <w:szCs w:val="24"/>
              </w:rPr>
              <w:t xml:space="preserve">, piemēram, investora un valsts strīdu izšķiršanas mehānismu. </w:t>
            </w:r>
          </w:p>
          <w:p w:rsidR="005B61F2" w:rsidRDefault="005B61F2" w:rsidP="00DB6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izvairītos no </w:t>
            </w:r>
            <w:r w:rsidR="00604F97">
              <w:rPr>
                <w:rFonts w:ascii="Times New Roman" w:hAnsi="Times New Roman" w:cs="Times New Roman"/>
                <w:sz w:val="24"/>
                <w:szCs w:val="24"/>
              </w:rPr>
              <w:t xml:space="preserve">iespējamas </w:t>
            </w:r>
            <w:r>
              <w:rPr>
                <w:rFonts w:ascii="Times New Roman" w:hAnsi="Times New Roman" w:cs="Times New Roman"/>
                <w:sz w:val="24"/>
                <w:szCs w:val="24"/>
              </w:rPr>
              <w:t>pārkāpumu procedūras uzsākšan</w:t>
            </w:r>
            <w:r w:rsidR="008A053A">
              <w:rPr>
                <w:rFonts w:ascii="Times New Roman" w:hAnsi="Times New Roman" w:cs="Times New Roman"/>
                <w:sz w:val="24"/>
                <w:szCs w:val="24"/>
              </w:rPr>
              <w:t>as</w:t>
            </w:r>
            <w:r w:rsidR="00DB62FE">
              <w:rPr>
                <w:rFonts w:ascii="Times New Roman" w:hAnsi="Times New Roman" w:cs="Times New Roman"/>
                <w:sz w:val="24"/>
                <w:szCs w:val="24"/>
              </w:rPr>
              <w:t xml:space="preserve"> pret Latviju</w:t>
            </w:r>
            <w:r w:rsidR="00E9251D">
              <w:rPr>
                <w:rFonts w:ascii="Times New Roman" w:hAnsi="Times New Roman" w:cs="Times New Roman"/>
                <w:sz w:val="24"/>
                <w:szCs w:val="24"/>
              </w:rPr>
              <w:t>,</w:t>
            </w:r>
            <w:r w:rsidR="008A053A">
              <w:rPr>
                <w:rFonts w:ascii="Times New Roman" w:hAnsi="Times New Roman" w:cs="Times New Roman"/>
                <w:sz w:val="24"/>
                <w:szCs w:val="24"/>
              </w:rPr>
              <w:t xml:space="preserve"> </w:t>
            </w:r>
            <w:r>
              <w:rPr>
                <w:rFonts w:ascii="Times New Roman" w:hAnsi="Times New Roman" w:cs="Times New Roman"/>
                <w:sz w:val="24"/>
                <w:szCs w:val="24"/>
              </w:rPr>
              <w:t>ir jā</w:t>
            </w:r>
            <w:r w:rsidR="005231C0">
              <w:rPr>
                <w:rFonts w:ascii="Times New Roman" w:hAnsi="Times New Roman" w:cs="Times New Roman"/>
                <w:sz w:val="24"/>
                <w:szCs w:val="24"/>
              </w:rPr>
              <w:t>uz</w:t>
            </w:r>
            <w:r>
              <w:rPr>
                <w:rFonts w:ascii="Times New Roman" w:hAnsi="Times New Roman" w:cs="Times New Roman"/>
                <w:sz w:val="24"/>
                <w:szCs w:val="24"/>
              </w:rPr>
              <w:t xml:space="preserve">sāk </w:t>
            </w:r>
            <w:r w:rsidR="00906CDB">
              <w:rPr>
                <w:rFonts w:ascii="Times New Roman" w:hAnsi="Times New Roman" w:cs="Times New Roman"/>
                <w:sz w:val="24"/>
                <w:szCs w:val="24"/>
              </w:rPr>
              <w:t xml:space="preserve">Līguma </w:t>
            </w:r>
            <w:r>
              <w:rPr>
                <w:rFonts w:ascii="Times New Roman" w:hAnsi="Times New Roman" w:cs="Times New Roman"/>
                <w:sz w:val="24"/>
                <w:szCs w:val="24"/>
              </w:rPr>
              <w:t>denonsēšanas process.</w:t>
            </w:r>
          </w:p>
          <w:p w:rsidR="00D255DE" w:rsidRDefault="00102243" w:rsidP="00D255DE">
            <w:pPr>
              <w:spacing w:after="0" w:line="240" w:lineRule="auto"/>
              <w:jc w:val="both"/>
            </w:pPr>
            <w:r>
              <w:rPr>
                <w:rFonts w:ascii="Times New Roman" w:hAnsi="Times New Roman" w:cs="Times New Roman"/>
                <w:sz w:val="24"/>
                <w:szCs w:val="24"/>
              </w:rPr>
              <w:t>Vienlai</w:t>
            </w:r>
            <w:r w:rsidR="00F962BB">
              <w:rPr>
                <w:rFonts w:ascii="Times New Roman" w:hAnsi="Times New Roman" w:cs="Times New Roman"/>
                <w:sz w:val="24"/>
                <w:szCs w:val="24"/>
              </w:rPr>
              <w:t>kus</w:t>
            </w:r>
            <w:r>
              <w:rPr>
                <w:rFonts w:ascii="Times New Roman" w:hAnsi="Times New Roman" w:cs="Times New Roman"/>
                <w:sz w:val="24"/>
                <w:szCs w:val="24"/>
              </w:rPr>
              <w:t xml:space="preserve"> ar</w:t>
            </w:r>
            <w:r w:rsidR="00DB62FE">
              <w:rPr>
                <w:rFonts w:ascii="Times New Roman" w:hAnsi="Times New Roman" w:cs="Times New Roman"/>
                <w:sz w:val="24"/>
                <w:szCs w:val="24"/>
              </w:rPr>
              <w:t xml:space="preserve"> </w:t>
            </w:r>
            <w:r w:rsidR="00906CDB">
              <w:rPr>
                <w:rFonts w:ascii="Times New Roman" w:hAnsi="Times New Roman" w:cs="Times New Roman"/>
                <w:sz w:val="24"/>
                <w:szCs w:val="24"/>
              </w:rPr>
              <w:t>L</w:t>
            </w:r>
            <w:r w:rsidR="00DB62FE">
              <w:rPr>
                <w:rFonts w:ascii="Times New Roman" w:hAnsi="Times New Roman" w:cs="Times New Roman"/>
                <w:sz w:val="24"/>
                <w:szCs w:val="24"/>
              </w:rPr>
              <w:t>īgum</w:t>
            </w:r>
            <w:r w:rsidR="008C5354">
              <w:rPr>
                <w:rFonts w:ascii="Times New Roman" w:hAnsi="Times New Roman" w:cs="Times New Roman"/>
                <w:sz w:val="24"/>
                <w:szCs w:val="24"/>
              </w:rPr>
              <w:t>a</w:t>
            </w:r>
            <w:r w:rsidR="00DB62FE">
              <w:rPr>
                <w:rFonts w:ascii="Times New Roman" w:hAnsi="Times New Roman" w:cs="Times New Roman"/>
                <w:sz w:val="24"/>
                <w:szCs w:val="24"/>
              </w:rPr>
              <w:t xml:space="preserve"> denonsēšan</w:t>
            </w:r>
            <w:r>
              <w:rPr>
                <w:rFonts w:ascii="Times New Roman" w:hAnsi="Times New Roman" w:cs="Times New Roman"/>
                <w:sz w:val="24"/>
                <w:szCs w:val="24"/>
              </w:rPr>
              <w:t>u</w:t>
            </w:r>
            <w:r w:rsidR="00DB62FE">
              <w:rPr>
                <w:rFonts w:ascii="Times New Roman" w:hAnsi="Times New Roman" w:cs="Times New Roman"/>
                <w:sz w:val="24"/>
                <w:szCs w:val="24"/>
              </w:rPr>
              <w:t xml:space="preserve">, </w:t>
            </w:r>
            <w:r w:rsidR="00906CDB">
              <w:rPr>
                <w:rFonts w:ascii="Times New Roman" w:hAnsi="Times New Roman" w:cs="Times New Roman"/>
                <w:sz w:val="24"/>
                <w:szCs w:val="24"/>
              </w:rPr>
              <w:t xml:space="preserve">tajā </w:t>
            </w:r>
            <w:r w:rsidR="00DB62FE">
              <w:rPr>
                <w:rFonts w:ascii="Times New Roman" w:hAnsi="Times New Roman" w:cs="Times New Roman"/>
                <w:sz w:val="24"/>
                <w:szCs w:val="24"/>
              </w:rPr>
              <w:t xml:space="preserve">ir jāveic grozījumi, </w:t>
            </w:r>
            <w:r w:rsidR="005F0A56">
              <w:rPr>
                <w:rFonts w:ascii="Times New Roman" w:hAnsi="Times New Roman" w:cs="Times New Roman"/>
                <w:sz w:val="24"/>
                <w:szCs w:val="24"/>
              </w:rPr>
              <w:t>izslēdzot</w:t>
            </w:r>
            <w:r w:rsidR="00DB62FE">
              <w:rPr>
                <w:rFonts w:ascii="Times New Roman" w:hAnsi="Times New Roman" w:cs="Times New Roman"/>
                <w:sz w:val="24"/>
                <w:szCs w:val="24"/>
              </w:rPr>
              <w:t xml:space="preserve"> </w:t>
            </w:r>
            <w:r w:rsidR="00E04F4D">
              <w:rPr>
                <w:rFonts w:ascii="Times New Roman" w:hAnsi="Times New Roman" w:cs="Times New Roman"/>
                <w:sz w:val="24"/>
                <w:szCs w:val="24"/>
              </w:rPr>
              <w:t xml:space="preserve">Līguma </w:t>
            </w:r>
            <w:proofErr w:type="gramStart"/>
            <w:r w:rsidR="00E04F4D">
              <w:rPr>
                <w:rFonts w:ascii="Times New Roman" w:hAnsi="Times New Roman" w:cs="Times New Roman"/>
                <w:sz w:val="24"/>
                <w:szCs w:val="24"/>
              </w:rPr>
              <w:t>12.panta</w:t>
            </w:r>
            <w:proofErr w:type="gramEnd"/>
            <w:r w:rsidR="00E04F4D">
              <w:rPr>
                <w:rFonts w:ascii="Times New Roman" w:hAnsi="Times New Roman" w:cs="Times New Roman"/>
                <w:sz w:val="24"/>
                <w:szCs w:val="24"/>
              </w:rPr>
              <w:t xml:space="preserve"> 3.punkt</w:t>
            </w:r>
            <w:r w:rsidR="00DB62FE">
              <w:rPr>
                <w:rFonts w:ascii="Times New Roman" w:hAnsi="Times New Roman" w:cs="Times New Roman"/>
                <w:sz w:val="24"/>
                <w:szCs w:val="24"/>
              </w:rPr>
              <w:t xml:space="preserve">u, kas paredz </w:t>
            </w:r>
            <w:r w:rsidR="00906CDB">
              <w:rPr>
                <w:rFonts w:ascii="Times New Roman" w:hAnsi="Times New Roman" w:cs="Times New Roman"/>
                <w:sz w:val="24"/>
                <w:szCs w:val="24"/>
              </w:rPr>
              <w:t>L</w:t>
            </w:r>
            <w:r w:rsidR="00DB62FE">
              <w:rPr>
                <w:rFonts w:ascii="Times New Roman" w:hAnsi="Times New Roman" w:cs="Times New Roman"/>
                <w:sz w:val="24"/>
                <w:szCs w:val="24"/>
              </w:rPr>
              <w:t>īgum</w:t>
            </w:r>
            <w:r w:rsidR="008C5354">
              <w:rPr>
                <w:rFonts w:ascii="Times New Roman" w:hAnsi="Times New Roman" w:cs="Times New Roman"/>
                <w:sz w:val="24"/>
                <w:szCs w:val="24"/>
              </w:rPr>
              <w:t>a</w:t>
            </w:r>
            <w:r w:rsidR="00DB62FE">
              <w:rPr>
                <w:rFonts w:ascii="Times New Roman" w:hAnsi="Times New Roman" w:cs="Times New Roman"/>
                <w:sz w:val="24"/>
                <w:szCs w:val="24"/>
              </w:rPr>
              <w:t xml:space="preserve"> piemērošanu </w:t>
            </w:r>
            <w:r w:rsidR="00906CDB">
              <w:rPr>
                <w:rFonts w:ascii="Times New Roman" w:hAnsi="Times New Roman" w:cs="Times New Roman"/>
                <w:sz w:val="24"/>
                <w:szCs w:val="24"/>
              </w:rPr>
              <w:t>vēl</w:t>
            </w:r>
            <w:r w:rsidR="009A638A">
              <w:rPr>
                <w:rFonts w:ascii="Times New Roman" w:hAnsi="Times New Roman" w:cs="Times New Roman"/>
                <w:sz w:val="24"/>
                <w:szCs w:val="24"/>
              </w:rPr>
              <w:t xml:space="preserve"> </w:t>
            </w:r>
            <w:r w:rsidR="00DB62FE">
              <w:rPr>
                <w:rFonts w:ascii="Times New Roman" w:hAnsi="Times New Roman" w:cs="Times New Roman"/>
                <w:sz w:val="24"/>
                <w:szCs w:val="24"/>
              </w:rPr>
              <w:t>10 gad</w:t>
            </w:r>
            <w:r w:rsidR="009A638A">
              <w:rPr>
                <w:rFonts w:ascii="Times New Roman" w:hAnsi="Times New Roman" w:cs="Times New Roman"/>
                <w:sz w:val="24"/>
                <w:szCs w:val="24"/>
              </w:rPr>
              <w:t>us</w:t>
            </w:r>
            <w:r w:rsidR="00DB62FE">
              <w:rPr>
                <w:rFonts w:ascii="Times New Roman" w:hAnsi="Times New Roman" w:cs="Times New Roman"/>
                <w:sz w:val="24"/>
                <w:szCs w:val="24"/>
              </w:rPr>
              <w:t xml:space="preserve"> pēc t</w:t>
            </w:r>
            <w:r w:rsidR="008C5354">
              <w:rPr>
                <w:rFonts w:ascii="Times New Roman" w:hAnsi="Times New Roman" w:cs="Times New Roman"/>
                <w:sz w:val="24"/>
                <w:szCs w:val="24"/>
              </w:rPr>
              <w:t>ā</w:t>
            </w:r>
            <w:r w:rsidR="00DB62FE">
              <w:rPr>
                <w:rFonts w:ascii="Times New Roman" w:hAnsi="Times New Roman" w:cs="Times New Roman"/>
                <w:sz w:val="24"/>
                <w:szCs w:val="24"/>
              </w:rPr>
              <w:t xml:space="preserve"> denonsēšanas. </w:t>
            </w:r>
            <w:r w:rsidR="00B95C7A">
              <w:rPr>
                <w:rFonts w:ascii="Times New Roman" w:hAnsi="Times New Roman" w:cs="Times New Roman"/>
                <w:sz w:val="24"/>
                <w:szCs w:val="24"/>
              </w:rPr>
              <w:t>Tas jāveic, lai novērstu situāciju, kad denonsēt</w:t>
            </w:r>
            <w:r w:rsidR="008C5354">
              <w:rPr>
                <w:rFonts w:ascii="Times New Roman" w:hAnsi="Times New Roman" w:cs="Times New Roman"/>
                <w:sz w:val="24"/>
                <w:szCs w:val="24"/>
              </w:rPr>
              <w:t>ais</w:t>
            </w:r>
            <w:r w:rsidR="00B95C7A">
              <w:rPr>
                <w:rFonts w:ascii="Times New Roman" w:hAnsi="Times New Roman" w:cs="Times New Roman"/>
                <w:sz w:val="24"/>
                <w:szCs w:val="24"/>
              </w:rPr>
              <w:t xml:space="preserve"> līgum</w:t>
            </w:r>
            <w:r w:rsidR="008C5354">
              <w:rPr>
                <w:rFonts w:ascii="Times New Roman" w:hAnsi="Times New Roman" w:cs="Times New Roman"/>
                <w:sz w:val="24"/>
                <w:szCs w:val="24"/>
              </w:rPr>
              <w:t>s</w:t>
            </w:r>
            <w:r w:rsidR="00B95C7A">
              <w:rPr>
                <w:rFonts w:ascii="Times New Roman" w:hAnsi="Times New Roman" w:cs="Times New Roman"/>
                <w:sz w:val="24"/>
                <w:szCs w:val="24"/>
              </w:rPr>
              <w:t xml:space="preserve"> ilgstoši turpina darboties, līdz ar to turpin</w:t>
            </w:r>
            <w:r w:rsidR="00F962BB">
              <w:rPr>
                <w:rFonts w:ascii="Times New Roman" w:hAnsi="Times New Roman" w:cs="Times New Roman"/>
                <w:sz w:val="24"/>
                <w:szCs w:val="24"/>
              </w:rPr>
              <w:t>ās ES tiesību pārkāpums</w:t>
            </w:r>
            <w:r w:rsidR="00B95C7A">
              <w:rPr>
                <w:rFonts w:ascii="Times New Roman" w:hAnsi="Times New Roman" w:cs="Times New Roman"/>
                <w:sz w:val="24"/>
                <w:szCs w:val="24"/>
              </w:rPr>
              <w:t>.</w:t>
            </w:r>
            <w:r w:rsidR="00DB62FE">
              <w:rPr>
                <w:rFonts w:ascii="Times New Roman" w:hAnsi="Times New Roman" w:cs="Times New Roman"/>
                <w:sz w:val="24"/>
                <w:szCs w:val="24"/>
              </w:rPr>
              <w:t xml:space="preserve"> </w:t>
            </w:r>
            <w:r w:rsidR="00F962BB" w:rsidRPr="00D255DE">
              <w:rPr>
                <w:rFonts w:ascii="Times New Roman" w:hAnsi="Times New Roman" w:cs="Times New Roman"/>
                <w:sz w:val="24"/>
                <w:szCs w:val="24"/>
              </w:rPr>
              <w:t xml:space="preserve">Līguma darbība tiks izbeigta, saskaņā ar “Vienošanās par Latvijas </w:t>
            </w:r>
            <w:r w:rsidR="00F962BB" w:rsidRPr="00D255DE">
              <w:rPr>
                <w:rFonts w:ascii="Times New Roman" w:hAnsi="Times New Roman" w:cs="Times New Roman"/>
                <w:sz w:val="24"/>
                <w:szCs w:val="24"/>
              </w:rPr>
              <w:lastRenderedPageBreak/>
              <w:t xml:space="preserve">Republikas valdības un Čehijas Republikas valdības līguma par ieguldījumu veicināšanu un savstarpēju aizsardzību, kas parakstīts Rīgā </w:t>
            </w:r>
            <w:proofErr w:type="gramStart"/>
            <w:r w:rsidR="00F962BB" w:rsidRPr="00D255DE">
              <w:rPr>
                <w:rFonts w:ascii="Times New Roman" w:hAnsi="Times New Roman" w:cs="Times New Roman"/>
                <w:sz w:val="24"/>
                <w:szCs w:val="24"/>
              </w:rPr>
              <w:t>1994.gada</w:t>
            </w:r>
            <w:proofErr w:type="gramEnd"/>
            <w:r w:rsidR="00F962BB" w:rsidRPr="00D255DE">
              <w:rPr>
                <w:rFonts w:ascii="Times New Roman" w:hAnsi="Times New Roman" w:cs="Times New Roman"/>
                <w:sz w:val="24"/>
                <w:szCs w:val="24"/>
              </w:rPr>
              <w:t xml:space="preserve"> 25.oktorbī, grozīšanu un tālāku denonsēšanu”  (turpmāk – Vienošanās) noteikto tās spēkā stāšanās kārtību, proti, Vienošanās stāsies spēkā nākošā mēneša pirmajā dienā, kad saņemts pēdējais rakstiskais paziņojums pa diplomātiskajiem kanāliem par valstu iekšējo procedūru izpildi, kas nepieciešamas, lai tā stātos spēkā.</w:t>
            </w:r>
            <w:r w:rsidR="00F962BB">
              <w:t xml:space="preserve">   </w:t>
            </w:r>
          </w:p>
          <w:p w:rsidR="00F5385A" w:rsidRPr="00460643" w:rsidRDefault="00D27352" w:rsidP="00D25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jānorāda, ka līdz šim Latvijas uzņēmēji tikai 2 reizes ir izmantojuši ieguldījumu līgumos paredzētās tiesības – </w:t>
            </w:r>
            <w:proofErr w:type="gramStart"/>
            <w:r>
              <w:rPr>
                <w:rFonts w:ascii="Times New Roman" w:hAnsi="Times New Roman" w:cs="Times New Roman"/>
                <w:sz w:val="24"/>
                <w:szCs w:val="24"/>
              </w:rPr>
              <w:t>2011.gadā</w:t>
            </w:r>
            <w:proofErr w:type="gramEnd"/>
            <w:r>
              <w:rPr>
                <w:rFonts w:ascii="Times New Roman" w:hAnsi="Times New Roman" w:cs="Times New Roman"/>
                <w:sz w:val="24"/>
                <w:szCs w:val="24"/>
              </w:rPr>
              <w:t xml:space="preserve"> pret Kirgīzijas Republiku, 2013.gadā pret Ukrainu.  Latvijas investori ne reizi nav izmantojuši ieguldījumu līgumus ar citām ES dalībvalstīm, t.sk. ar Čehijas Republiku.  </w:t>
            </w:r>
          </w:p>
        </w:tc>
      </w:tr>
      <w:tr w:rsidR="005B61F2" w:rsidRPr="005B61F2" w:rsidTr="005147DD">
        <w:trPr>
          <w:trHeight w:val="465"/>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lastRenderedPageBreak/>
              <w:t>3.</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Projekta izstrādē iesaistītās institūcijas</w:t>
            </w:r>
          </w:p>
        </w:tc>
        <w:tc>
          <w:tcPr>
            <w:tcW w:w="3145" w:type="pct"/>
            <w:gridSpan w:val="3"/>
            <w:tcBorders>
              <w:top w:val="outset" w:sz="6" w:space="0" w:color="auto"/>
              <w:left w:val="outset" w:sz="6" w:space="0" w:color="auto"/>
              <w:bottom w:val="outset" w:sz="6" w:space="0" w:color="auto"/>
              <w:right w:val="outset" w:sz="6" w:space="0" w:color="auto"/>
            </w:tcBorders>
            <w:hideMark/>
          </w:tcPr>
          <w:p w:rsidR="005B61F2" w:rsidRPr="00230ECB" w:rsidRDefault="00230ECB" w:rsidP="00604F97">
            <w:pPr>
              <w:pStyle w:val="NoSpacing"/>
              <w:jc w:val="both"/>
              <w:rPr>
                <w:rFonts w:ascii="Times New Roman" w:hAnsi="Times New Roman" w:cs="Times New Roman"/>
                <w:color w:val="414142"/>
                <w:sz w:val="24"/>
                <w:szCs w:val="24"/>
                <w:lang w:eastAsia="lv-LV"/>
              </w:rPr>
            </w:pPr>
            <w:r w:rsidRPr="00230ECB">
              <w:rPr>
                <w:rFonts w:ascii="Times New Roman" w:hAnsi="Times New Roman" w:cs="Times New Roman"/>
                <w:sz w:val="24"/>
                <w:szCs w:val="24"/>
                <w:lang w:eastAsia="lv-LV"/>
              </w:rPr>
              <w:t>Projekta izstrādē no Latvijas puses piedalījās Ārlietu ministrijas pārstāvji</w:t>
            </w:r>
            <w:r>
              <w:rPr>
                <w:rFonts w:ascii="Times New Roman" w:hAnsi="Times New Roman" w:cs="Times New Roman"/>
                <w:sz w:val="24"/>
                <w:szCs w:val="24"/>
                <w:lang w:eastAsia="lv-LV"/>
              </w:rPr>
              <w:t>.</w:t>
            </w:r>
            <w:r w:rsidRPr="00230ECB">
              <w:rPr>
                <w:rFonts w:ascii="Times New Roman" w:hAnsi="Times New Roman" w:cs="Times New Roman"/>
                <w:sz w:val="24"/>
                <w:szCs w:val="24"/>
                <w:lang w:eastAsia="lv-LV"/>
              </w:rPr>
              <w:t xml:space="preserve"> L</w:t>
            </w:r>
            <w:r>
              <w:rPr>
                <w:rFonts w:ascii="Times New Roman" w:hAnsi="Times New Roman" w:cs="Times New Roman"/>
                <w:sz w:val="24"/>
                <w:szCs w:val="24"/>
                <w:lang w:eastAsia="lv-LV"/>
              </w:rPr>
              <w:t>ikum</w:t>
            </w:r>
            <w:r w:rsidRPr="00230ECB">
              <w:rPr>
                <w:rFonts w:ascii="Times New Roman" w:hAnsi="Times New Roman" w:cs="Times New Roman"/>
                <w:sz w:val="24"/>
                <w:szCs w:val="24"/>
                <w:lang w:eastAsia="lv-LV"/>
              </w:rPr>
              <w:t>projekts tika saskaņots ar Tieslietu ministriju, Ekonomikas ministriju, Finanšu ministriju</w:t>
            </w:r>
            <w:r w:rsidR="00604F97">
              <w:rPr>
                <w:rFonts w:ascii="Times New Roman" w:hAnsi="Times New Roman" w:cs="Times New Roman"/>
                <w:sz w:val="24"/>
                <w:szCs w:val="24"/>
                <w:lang w:eastAsia="lv-LV"/>
              </w:rPr>
              <w:t>,</w:t>
            </w:r>
            <w:r w:rsidRPr="00230ECB">
              <w:rPr>
                <w:rFonts w:ascii="Times New Roman" w:hAnsi="Times New Roman" w:cs="Times New Roman"/>
                <w:sz w:val="24"/>
                <w:szCs w:val="24"/>
                <w:lang w:eastAsia="lv-LV"/>
              </w:rPr>
              <w:t xml:space="preserve"> Valsts kanceleju</w:t>
            </w:r>
            <w:r w:rsidR="00604F97">
              <w:rPr>
                <w:rFonts w:ascii="Times New Roman" w:hAnsi="Times New Roman" w:cs="Times New Roman"/>
                <w:sz w:val="24"/>
                <w:szCs w:val="24"/>
                <w:lang w:eastAsia="lv-LV"/>
              </w:rPr>
              <w:t>, Ārvalstu investoru padomi, Latvijas Darba devēju konfederāciju, Latvijas Tirdzniecības un rūpniecības kameru</w:t>
            </w:r>
            <w:r w:rsidRPr="00230ECB">
              <w:rPr>
                <w:rFonts w:ascii="Times New Roman" w:hAnsi="Times New Roman" w:cs="Times New Roman"/>
                <w:sz w:val="24"/>
                <w:szCs w:val="24"/>
                <w:lang w:eastAsia="lv-LV"/>
              </w:rPr>
              <w:t>.</w:t>
            </w:r>
          </w:p>
        </w:tc>
      </w:tr>
      <w:tr w:rsidR="005B61F2" w:rsidRPr="005B61F2" w:rsidTr="005147DD">
        <w:trPr>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4.</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Cita informācija</w:t>
            </w:r>
          </w:p>
        </w:tc>
        <w:tc>
          <w:tcPr>
            <w:tcW w:w="3145"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230ECB" w:rsidP="00F5385A">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B61F2" w:rsidRPr="005B61F2" w:rsidTr="005B61F2">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color w:val="414142"/>
                <w:sz w:val="24"/>
                <w:szCs w:val="24"/>
                <w:lang w:eastAsia="lv-LV"/>
              </w:rPr>
              <w:t> </w:t>
            </w:r>
            <w:r w:rsidRPr="005B61F2">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B61F2" w:rsidRPr="005B61F2" w:rsidTr="005147DD">
        <w:trPr>
          <w:trHeight w:val="465"/>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1.</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192" w:type="pct"/>
            <w:gridSpan w:val="4"/>
            <w:tcBorders>
              <w:top w:val="outset" w:sz="6" w:space="0" w:color="auto"/>
              <w:left w:val="outset" w:sz="6" w:space="0" w:color="auto"/>
              <w:bottom w:val="outset" w:sz="6" w:space="0" w:color="auto"/>
              <w:right w:val="outset" w:sz="6" w:space="0" w:color="auto"/>
            </w:tcBorders>
            <w:hideMark/>
          </w:tcPr>
          <w:p w:rsidR="00A837EF" w:rsidRDefault="00D7200E" w:rsidP="001C318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Pēc </w:t>
            </w:r>
            <w:r w:rsidR="00397272">
              <w:rPr>
                <w:rFonts w:ascii="Times New Roman" w:eastAsia="Times New Roman" w:hAnsi="Times New Roman" w:cs="Times New Roman"/>
                <w:color w:val="414142"/>
                <w:sz w:val="24"/>
                <w:szCs w:val="24"/>
                <w:lang w:eastAsia="lv-LV"/>
              </w:rPr>
              <w:t xml:space="preserve">Līguma </w:t>
            </w:r>
            <w:r>
              <w:rPr>
                <w:rFonts w:ascii="Times New Roman" w:eastAsia="Times New Roman" w:hAnsi="Times New Roman" w:cs="Times New Roman"/>
                <w:color w:val="414142"/>
                <w:sz w:val="24"/>
                <w:szCs w:val="24"/>
                <w:lang w:eastAsia="lv-LV"/>
              </w:rPr>
              <w:t>denonsēšanas t</w:t>
            </w:r>
            <w:r w:rsidR="002E6992">
              <w:rPr>
                <w:rFonts w:ascii="Times New Roman" w:eastAsia="Times New Roman" w:hAnsi="Times New Roman" w:cs="Times New Roman"/>
                <w:color w:val="414142"/>
                <w:sz w:val="24"/>
                <w:szCs w:val="24"/>
                <w:lang w:eastAsia="lv-LV"/>
              </w:rPr>
              <w:t>iks ietekmētas Latvijas Republikas un Čehijas Republikas investoru tiesības</w:t>
            </w:r>
            <w:r w:rsidR="009A638A">
              <w:rPr>
                <w:rFonts w:ascii="Times New Roman" w:eastAsia="Times New Roman" w:hAnsi="Times New Roman" w:cs="Times New Roman"/>
                <w:color w:val="414142"/>
                <w:sz w:val="24"/>
                <w:szCs w:val="24"/>
                <w:lang w:eastAsia="lv-LV"/>
              </w:rPr>
              <w:t xml:space="preserve"> </w:t>
            </w:r>
            <w:r w:rsidR="002E6992">
              <w:rPr>
                <w:rFonts w:ascii="Times New Roman" w:eastAsia="Times New Roman" w:hAnsi="Times New Roman" w:cs="Times New Roman"/>
                <w:color w:val="414142"/>
                <w:sz w:val="24"/>
                <w:szCs w:val="24"/>
                <w:lang w:eastAsia="lv-LV"/>
              </w:rPr>
              <w:t xml:space="preserve">risināt investīciju strīdus ar </w:t>
            </w:r>
            <w:r>
              <w:rPr>
                <w:rFonts w:ascii="Times New Roman" w:eastAsia="Times New Roman" w:hAnsi="Times New Roman" w:cs="Times New Roman"/>
                <w:color w:val="414142"/>
                <w:sz w:val="24"/>
                <w:szCs w:val="24"/>
                <w:lang w:eastAsia="lv-LV"/>
              </w:rPr>
              <w:t xml:space="preserve">uzņemošo valsti </w:t>
            </w:r>
            <w:r w:rsidR="002E6992">
              <w:rPr>
                <w:rFonts w:ascii="Times New Roman" w:eastAsia="Times New Roman" w:hAnsi="Times New Roman" w:cs="Times New Roman"/>
                <w:color w:val="414142"/>
                <w:sz w:val="24"/>
                <w:szCs w:val="24"/>
                <w:lang w:eastAsia="lv-LV"/>
              </w:rPr>
              <w:t>arbitrāž</w:t>
            </w:r>
            <w:r>
              <w:rPr>
                <w:rFonts w:ascii="Times New Roman" w:eastAsia="Times New Roman" w:hAnsi="Times New Roman" w:cs="Times New Roman"/>
                <w:color w:val="414142"/>
                <w:sz w:val="24"/>
                <w:szCs w:val="24"/>
                <w:lang w:eastAsia="lv-LV"/>
              </w:rPr>
              <w:t>ā</w:t>
            </w:r>
            <w:r w:rsidR="002E6992">
              <w:rPr>
                <w:rFonts w:ascii="Times New Roman" w:eastAsia="Times New Roman" w:hAnsi="Times New Roman" w:cs="Times New Roman"/>
                <w:color w:val="414142"/>
                <w:sz w:val="24"/>
                <w:szCs w:val="24"/>
                <w:lang w:eastAsia="lv-LV"/>
              </w:rPr>
              <w:t xml:space="preserve">s </w:t>
            </w:r>
            <w:r>
              <w:rPr>
                <w:rFonts w:ascii="Times New Roman" w:eastAsia="Times New Roman" w:hAnsi="Times New Roman" w:cs="Times New Roman"/>
                <w:color w:val="414142"/>
                <w:sz w:val="24"/>
                <w:szCs w:val="24"/>
                <w:lang w:eastAsia="lv-LV"/>
              </w:rPr>
              <w:t xml:space="preserve">– turpmāk strīdu izskatīšana būs nacionālo tiesu kompetence saskaņā ar </w:t>
            </w:r>
            <w:r w:rsidR="00E9251D">
              <w:rPr>
                <w:rFonts w:ascii="Times New Roman" w:eastAsia="Times New Roman" w:hAnsi="Times New Roman" w:cs="Times New Roman"/>
                <w:color w:val="414142"/>
                <w:sz w:val="24"/>
                <w:szCs w:val="24"/>
                <w:lang w:eastAsia="lv-LV"/>
              </w:rPr>
              <w:t xml:space="preserve">šobrīd spēkā esošajiem </w:t>
            </w:r>
            <w:r>
              <w:rPr>
                <w:rFonts w:ascii="Times New Roman" w:eastAsia="Times New Roman" w:hAnsi="Times New Roman" w:cs="Times New Roman"/>
                <w:color w:val="414142"/>
                <w:sz w:val="24"/>
                <w:szCs w:val="24"/>
                <w:lang w:eastAsia="lv-LV"/>
              </w:rPr>
              <w:t>ES normatīviem</w:t>
            </w:r>
            <w:r w:rsidR="00CC7935">
              <w:rPr>
                <w:rFonts w:ascii="Times New Roman" w:eastAsia="Times New Roman" w:hAnsi="Times New Roman" w:cs="Times New Roman"/>
                <w:color w:val="414142"/>
                <w:sz w:val="24"/>
                <w:szCs w:val="24"/>
                <w:lang w:eastAsia="lv-LV"/>
              </w:rPr>
              <w:t>, kā arī noteiktā pakāpē Eiropas Savienības Tiesas kompetence, piemēram, prejudiciālo nolēmumu procedūras ietvaros (LESD 267.p.)</w:t>
            </w:r>
            <w:r>
              <w:rPr>
                <w:rFonts w:ascii="Times New Roman" w:eastAsia="Times New Roman" w:hAnsi="Times New Roman" w:cs="Times New Roman"/>
                <w:color w:val="414142"/>
                <w:sz w:val="24"/>
                <w:szCs w:val="24"/>
                <w:lang w:eastAsia="lv-LV"/>
              </w:rPr>
              <w:t xml:space="preserve">. </w:t>
            </w:r>
          </w:p>
          <w:p w:rsidR="00251C44" w:rsidRDefault="006E39B1" w:rsidP="001C318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Tā kā plāni denonsēt ES dalībvalstu savstarpējos ieguldījumu līgumus skars ES uzņēmēju tiesiskās paļāvības principa nodrošināšanu, </w:t>
            </w:r>
            <w:r w:rsidR="00E9251D">
              <w:rPr>
                <w:rFonts w:ascii="Times New Roman" w:eastAsia="Times New Roman" w:hAnsi="Times New Roman" w:cs="Times New Roman"/>
                <w:color w:val="414142"/>
                <w:sz w:val="24"/>
                <w:szCs w:val="24"/>
                <w:lang w:eastAsia="lv-LV"/>
              </w:rPr>
              <w:t>ES Padome (ECOFIN) 11.07.2017. Secinājumos iekļāva uzdevumu EK izstrādāt alternatīvus investīciju strīdus risināšanas mehānismus, kas būtu saistoši strīda pusēm (alternatīvu investīciju arbitrāžām).</w:t>
            </w:r>
            <w:r w:rsidR="001B71B1">
              <w:rPr>
                <w:rFonts w:ascii="Times New Roman" w:eastAsia="Times New Roman" w:hAnsi="Times New Roman" w:cs="Times New Roman"/>
                <w:color w:val="414142"/>
                <w:sz w:val="24"/>
                <w:szCs w:val="24"/>
                <w:lang w:eastAsia="lv-LV"/>
              </w:rPr>
              <w:t xml:space="preserve"> Papildus, </w:t>
            </w:r>
            <w:r>
              <w:rPr>
                <w:rFonts w:ascii="Times New Roman" w:eastAsia="Times New Roman" w:hAnsi="Times New Roman" w:cs="Times New Roman"/>
                <w:color w:val="414142"/>
                <w:sz w:val="24"/>
                <w:szCs w:val="24"/>
                <w:lang w:eastAsia="lv-LV"/>
              </w:rPr>
              <w:t xml:space="preserve">EK ir uzsākusi darbu pie ES dalībvalstu labās prakses piemēru apkopošanas par investīciju strīdu </w:t>
            </w:r>
            <w:r w:rsidR="00AE303F">
              <w:rPr>
                <w:rFonts w:ascii="Times New Roman" w:eastAsia="Times New Roman" w:hAnsi="Times New Roman" w:cs="Times New Roman"/>
                <w:color w:val="414142"/>
                <w:sz w:val="24"/>
                <w:szCs w:val="24"/>
                <w:lang w:eastAsia="lv-LV"/>
              </w:rPr>
              <w:t>iz</w:t>
            </w:r>
            <w:r>
              <w:rPr>
                <w:rFonts w:ascii="Times New Roman" w:eastAsia="Times New Roman" w:hAnsi="Times New Roman" w:cs="Times New Roman"/>
                <w:color w:val="414142"/>
                <w:sz w:val="24"/>
                <w:szCs w:val="24"/>
                <w:lang w:eastAsia="lv-LV"/>
              </w:rPr>
              <w:t>šķiršanu ārpus arbitrāžām (tiks publicēts kā palīgmateriāls uzņēmējiem)</w:t>
            </w:r>
            <w:r w:rsidR="001B71B1">
              <w:rPr>
                <w:rFonts w:ascii="Times New Roman" w:eastAsia="Times New Roman" w:hAnsi="Times New Roman" w:cs="Times New Roman"/>
                <w:color w:val="414142"/>
                <w:sz w:val="24"/>
                <w:szCs w:val="24"/>
                <w:lang w:eastAsia="lv-LV"/>
              </w:rPr>
              <w:t xml:space="preserve">. Tāpat EK ir uzsākusi konsultācijas ar dalībvalstīm par plānu izstrādāt Mediācijas direktīvu, </w:t>
            </w:r>
            <w:r w:rsidR="001B71B1">
              <w:rPr>
                <w:rFonts w:ascii="Times New Roman" w:eastAsia="Times New Roman" w:hAnsi="Times New Roman" w:cs="Times New Roman"/>
                <w:color w:val="414142"/>
                <w:sz w:val="24"/>
                <w:szCs w:val="24"/>
                <w:lang w:eastAsia="lv-LV"/>
              </w:rPr>
              <w:lastRenderedPageBreak/>
              <w:t>kas noteiktu vispārēju kārtību, kādā ES dalībvalst</w:t>
            </w:r>
            <w:r w:rsidR="00AE303F">
              <w:rPr>
                <w:rFonts w:ascii="Times New Roman" w:eastAsia="Times New Roman" w:hAnsi="Times New Roman" w:cs="Times New Roman"/>
                <w:color w:val="414142"/>
                <w:sz w:val="24"/>
                <w:szCs w:val="24"/>
                <w:lang w:eastAsia="lv-LV"/>
              </w:rPr>
              <w:t>i</w:t>
            </w:r>
            <w:r w:rsidR="001B71B1">
              <w:rPr>
                <w:rFonts w:ascii="Times New Roman" w:eastAsia="Times New Roman" w:hAnsi="Times New Roman" w:cs="Times New Roman"/>
                <w:color w:val="414142"/>
                <w:sz w:val="24"/>
                <w:szCs w:val="24"/>
                <w:lang w:eastAsia="lv-LV"/>
              </w:rPr>
              <w:t>s risinā</w:t>
            </w:r>
            <w:r w:rsidR="00AE303F">
              <w:rPr>
                <w:rFonts w:ascii="Times New Roman" w:eastAsia="Times New Roman" w:hAnsi="Times New Roman" w:cs="Times New Roman"/>
                <w:color w:val="414142"/>
                <w:sz w:val="24"/>
                <w:szCs w:val="24"/>
                <w:lang w:eastAsia="lv-LV"/>
              </w:rPr>
              <w:t>s</w:t>
            </w:r>
            <w:r w:rsidR="001B71B1">
              <w:rPr>
                <w:rFonts w:ascii="Times New Roman" w:eastAsia="Times New Roman" w:hAnsi="Times New Roman" w:cs="Times New Roman"/>
                <w:color w:val="414142"/>
                <w:sz w:val="24"/>
                <w:szCs w:val="24"/>
                <w:lang w:eastAsia="lv-LV"/>
              </w:rPr>
              <w:t xml:space="preserve"> investīciju strīdus labprātīgā ceļā. </w:t>
            </w:r>
            <w:r w:rsidR="000C3294">
              <w:rPr>
                <w:rFonts w:ascii="Times New Roman" w:eastAsia="Times New Roman" w:hAnsi="Times New Roman" w:cs="Times New Roman"/>
                <w:color w:val="414142"/>
                <w:sz w:val="24"/>
                <w:szCs w:val="24"/>
                <w:lang w:eastAsia="lv-LV"/>
              </w:rPr>
              <w:t>Visbeidzot, ar aktīvu ES iesaisti, ANO Starptautisk</w:t>
            </w:r>
            <w:r w:rsidR="001C3188">
              <w:rPr>
                <w:rFonts w:ascii="Times New Roman" w:eastAsia="Times New Roman" w:hAnsi="Times New Roman" w:cs="Times New Roman"/>
                <w:color w:val="414142"/>
                <w:sz w:val="24"/>
                <w:szCs w:val="24"/>
                <w:lang w:eastAsia="lv-LV"/>
              </w:rPr>
              <w:t>ās</w:t>
            </w:r>
            <w:r w:rsidR="000C3294">
              <w:rPr>
                <w:rFonts w:ascii="Times New Roman" w:eastAsia="Times New Roman" w:hAnsi="Times New Roman" w:cs="Times New Roman"/>
                <w:color w:val="414142"/>
                <w:sz w:val="24"/>
                <w:szCs w:val="24"/>
                <w:lang w:eastAsia="lv-LV"/>
              </w:rPr>
              <w:t xml:space="preserve"> tirdzniecības</w:t>
            </w:r>
            <w:r w:rsidR="001C3188">
              <w:rPr>
                <w:rFonts w:ascii="Times New Roman" w:eastAsia="Times New Roman" w:hAnsi="Times New Roman" w:cs="Times New Roman"/>
                <w:color w:val="414142"/>
                <w:sz w:val="24"/>
                <w:szCs w:val="24"/>
                <w:lang w:eastAsia="lv-LV"/>
              </w:rPr>
              <w:t xml:space="preserve"> tiesību komisija</w:t>
            </w:r>
            <w:r w:rsidR="000C3294">
              <w:rPr>
                <w:rFonts w:ascii="Times New Roman" w:eastAsia="Times New Roman" w:hAnsi="Times New Roman" w:cs="Times New Roman"/>
                <w:color w:val="414142"/>
                <w:sz w:val="24"/>
                <w:szCs w:val="24"/>
                <w:lang w:eastAsia="lv-LV"/>
              </w:rPr>
              <w:t xml:space="preserve"> </w:t>
            </w:r>
            <w:r w:rsidR="001C3188">
              <w:rPr>
                <w:rFonts w:ascii="Times New Roman" w:eastAsia="Times New Roman" w:hAnsi="Times New Roman" w:cs="Times New Roman"/>
                <w:color w:val="414142"/>
                <w:sz w:val="24"/>
                <w:szCs w:val="24"/>
                <w:lang w:eastAsia="lv-LV"/>
              </w:rPr>
              <w:t>(</w:t>
            </w:r>
            <w:r w:rsidR="000C3294">
              <w:rPr>
                <w:rFonts w:ascii="Times New Roman" w:eastAsia="Times New Roman" w:hAnsi="Times New Roman" w:cs="Times New Roman"/>
                <w:color w:val="414142"/>
                <w:sz w:val="24"/>
                <w:szCs w:val="24"/>
                <w:lang w:eastAsia="lv-LV"/>
              </w:rPr>
              <w:t>UNC</w:t>
            </w:r>
            <w:r w:rsidR="001C3188">
              <w:rPr>
                <w:rFonts w:ascii="Times New Roman" w:eastAsia="Times New Roman" w:hAnsi="Times New Roman" w:cs="Times New Roman"/>
                <w:color w:val="414142"/>
                <w:sz w:val="24"/>
                <w:szCs w:val="24"/>
                <w:lang w:eastAsia="lv-LV"/>
              </w:rPr>
              <w:t>I</w:t>
            </w:r>
            <w:r w:rsidR="000C3294">
              <w:rPr>
                <w:rFonts w:ascii="Times New Roman" w:eastAsia="Times New Roman" w:hAnsi="Times New Roman" w:cs="Times New Roman"/>
                <w:color w:val="414142"/>
                <w:sz w:val="24"/>
                <w:szCs w:val="24"/>
                <w:lang w:eastAsia="lv-LV"/>
              </w:rPr>
              <w:t>T</w:t>
            </w:r>
            <w:r w:rsidR="001C3188">
              <w:rPr>
                <w:rFonts w:ascii="Times New Roman" w:eastAsia="Times New Roman" w:hAnsi="Times New Roman" w:cs="Times New Roman"/>
                <w:color w:val="414142"/>
                <w:sz w:val="24"/>
                <w:szCs w:val="24"/>
                <w:lang w:eastAsia="lv-LV"/>
              </w:rPr>
              <w:t>R</w:t>
            </w:r>
            <w:r w:rsidR="000C3294">
              <w:rPr>
                <w:rFonts w:ascii="Times New Roman" w:eastAsia="Times New Roman" w:hAnsi="Times New Roman" w:cs="Times New Roman"/>
                <w:color w:val="414142"/>
                <w:sz w:val="24"/>
                <w:szCs w:val="24"/>
                <w:lang w:eastAsia="lv-LV"/>
              </w:rPr>
              <w:t>A</w:t>
            </w:r>
            <w:r w:rsidR="001C3188">
              <w:rPr>
                <w:rFonts w:ascii="Times New Roman" w:eastAsia="Times New Roman" w:hAnsi="Times New Roman" w:cs="Times New Roman"/>
                <w:color w:val="414142"/>
                <w:sz w:val="24"/>
                <w:szCs w:val="24"/>
                <w:lang w:eastAsia="lv-LV"/>
              </w:rPr>
              <w:t>L)</w:t>
            </w:r>
            <w:r w:rsidR="000C3294">
              <w:rPr>
                <w:rFonts w:ascii="Times New Roman" w:eastAsia="Times New Roman" w:hAnsi="Times New Roman" w:cs="Times New Roman"/>
                <w:color w:val="414142"/>
                <w:sz w:val="24"/>
                <w:szCs w:val="24"/>
                <w:lang w:eastAsia="lv-LV"/>
              </w:rPr>
              <w:t xml:space="preserve"> ir uzsāk</w:t>
            </w:r>
            <w:r w:rsidR="001C3188">
              <w:rPr>
                <w:rFonts w:ascii="Times New Roman" w:eastAsia="Times New Roman" w:hAnsi="Times New Roman" w:cs="Times New Roman"/>
                <w:color w:val="414142"/>
                <w:sz w:val="24"/>
                <w:szCs w:val="24"/>
                <w:lang w:eastAsia="lv-LV"/>
              </w:rPr>
              <w:t>u</w:t>
            </w:r>
            <w:r w:rsidR="000C3294">
              <w:rPr>
                <w:rFonts w:ascii="Times New Roman" w:eastAsia="Times New Roman" w:hAnsi="Times New Roman" w:cs="Times New Roman"/>
                <w:color w:val="414142"/>
                <w:sz w:val="24"/>
                <w:szCs w:val="24"/>
                <w:lang w:eastAsia="lv-LV"/>
              </w:rPr>
              <w:t>s</w:t>
            </w:r>
            <w:r w:rsidR="001C3188">
              <w:rPr>
                <w:rFonts w:ascii="Times New Roman" w:eastAsia="Times New Roman" w:hAnsi="Times New Roman" w:cs="Times New Roman"/>
                <w:color w:val="414142"/>
                <w:sz w:val="24"/>
                <w:szCs w:val="24"/>
                <w:lang w:eastAsia="lv-LV"/>
              </w:rPr>
              <w:t>i</w:t>
            </w:r>
            <w:r w:rsidR="000C3294">
              <w:rPr>
                <w:rFonts w:ascii="Times New Roman" w:eastAsia="Times New Roman" w:hAnsi="Times New Roman" w:cs="Times New Roman"/>
                <w:color w:val="414142"/>
                <w:sz w:val="24"/>
                <w:szCs w:val="24"/>
                <w:lang w:eastAsia="lv-LV"/>
              </w:rPr>
              <w:t xml:space="preserve"> darb</w:t>
            </w:r>
            <w:r w:rsidR="001C3188">
              <w:rPr>
                <w:rFonts w:ascii="Times New Roman" w:eastAsia="Times New Roman" w:hAnsi="Times New Roman" w:cs="Times New Roman"/>
                <w:color w:val="414142"/>
                <w:sz w:val="24"/>
                <w:szCs w:val="24"/>
                <w:lang w:eastAsia="lv-LV"/>
              </w:rPr>
              <w:t>u</w:t>
            </w:r>
            <w:r w:rsidR="000C3294">
              <w:rPr>
                <w:rFonts w:ascii="Times New Roman" w:eastAsia="Times New Roman" w:hAnsi="Times New Roman" w:cs="Times New Roman"/>
                <w:color w:val="414142"/>
                <w:sz w:val="24"/>
                <w:szCs w:val="24"/>
                <w:lang w:eastAsia="lv-LV"/>
              </w:rPr>
              <w:t xml:space="preserve"> pie Daudzpusējās investīciju tiesas sistēmas izveides, kas nākotnē aizstātu investīciju arbitrāžas valstīm, k</w:t>
            </w:r>
            <w:r w:rsidR="001C3188">
              <w:rPr>
                <w:rFonts w:ascii="Times New Roman" w:eastAsia="Times New Roman" w:hAnsi="Times New Roman" w:cs="Times New Roman"/>
                <w:color w:val="414142"/>
                <w:sz w:val="24"/>
                <w:szCs w:val="24"/>
                <w:lang w:eastAsia="lv-LV"/>
              </w:rPr>
              <w:t>ura</w:t>
            </w:r>
            <w:r w:rsidR="000C3294">
              <w:rPr>
                <w:rFonts w:ascii="Times New Roman" w:eastAsia="Times New Roman" w:hAnsi="Times New Roman" w:cs="Times New Roman"/>
                <w:color w:val="414142"/>
                <w:sz w:val="24"/>
                <w:szCs w:val="24"/>
                <w:lang w:eastAsia="lv-LV"/>
              </w:rPr>
              <w:t xml:space="preserve">s pievienotos šai tiesu sistēmai. </w:t>
            </w:r>
          </w:p>
          <w:p w:rsidR="00701702" w:rsidRDefault="00701702" w:rsidP="001C318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Lai informētu </w:t>
            </w:r>
            <w:r w:rsidR="00CC7935">
              <w:rPr>
                <w:rFonts w:ascii="Times New Roman" w:eastAsia="Times New Roman" w:hAnsi="Times New Roman" w:cs="Times New Roman"/>
                <w:color w:val="414142"/>
                <w:sz w:val="24"/>
                <w:szCs w:val="24"/>
                <w:lang w:eastAsia="lv-LV"/>
              </w:rPr>
              <w:t xml:space="preserve">Latvijas </w:t>
            </w:r>
            <w:r>
              <w:rPr>
                <w:rFonts w:ascii="Times New Roman" w:eastAsia="Times New Roman" w:hAnsi="Times New Roman" w:cs="Times New Roman"/>
                <w:color w:val="414142"/>
                <w:sz w:val="24"/>
                <w:szCs w:val="24"/>
                <w:lang w:eastAsia="lv-LV"/>
              </w:rPr>
              <w:t xml:space="preserve">uzņēmējus par Līguma denonsēšanu un šī procesa iespējamo ietekmi uz uzņēmējiem, Likuma projekts un to pavadošā dokumentu pakete tiks izsūtīta arī </w:t>
            </w:r>
            <w:r w:rsidR="00897EA7">
              <w:rPr>
                <w:rFonts w:ascii="Times New Roman" w:eastAsia="Times New Roman" w:hAnsi="Times New Roman" w:cs="Times New Roman"/>
                <w:color w:val="414142"/>
                <w:sz w:val="24"/>
                <w:szCs w:val="24"/>
                <w:lang w:eastAsia="lv-LV"/>
              </w:rPr>
              <w:t>ĀIP</w:t>
            </w:r>
            <w:r>
              <w:rPr>
                <w:rFonts w:ascii="Times New Roman" w:eastAsia="Times New Roman" w:hAnsi="Times New Roman" w:cs="Times New Roman"/>
                <w:color w:val="414142"/>
                <w:sz w:val="24"/>
                <w:szCs w:val="24"/>
                <w:lang w:eastAsia="lv-LV"/>
              </w:rPr>
              <w:t xml:space="preserve">, LDDK un LTRK. </w:t>
            </w:r>
          </w:p>
          <w:p w:rsidR="00F61F6D" w:rsidRDefault="00701702" w:rsidP="006B183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Attiecībā uz Čehijas investoru tiesiskās paļāvības nodrošināšanu, jā</w:t>
            </w:r>
            <w:r w:rsidR="00A837EF">
              <w:rPr>
                <w:rFonts w:ascii="Times New Roman" w:eastAsia="Times New Roman" w:hAnsi="Times New Roman" w:cs="Times New Roman"/>
                <w:color w:val="414142"/>
                <w:sz w:val="24"/>
                <w:szCs w:val="24"/>
                <w:lang w:eastAsia="lv-LV"/>
              </w:rPr>
              <w:t>uzsver</w:t>
            </w:r>
            <w:r>
              <w:rPr>
                <w:rFonts w:ascii="Times New Roman" w:eastAsia="Times New Roman" w:hAnsi="Times New Roman" w:cs="Times New Roman"/>
                <w:color w:val="414142"/>
                <w:sz w:val="24"/>
                <w:szCs w:val="24"/>
                <w:lang w:eastAsia="lv-LV"/>
              </w:rPr>
              <w:t xml:space="preserve">, ka Līguma denonsēšanu iniciēja Čehijas valdība, </w:t>
            </w:r>
            <w:r w:rsidR="00914806">
              <w:rPr>
                <w:rFonts w:ascii="Times New Roman" w:eastAsia="Times New Roman" w:hAnsi="Times New Roman" w:cs="Times New Roman"/>
                <w:color w:val="414142"/>
                <w:sz w:val="24"/>
                <w:szCs w:val="24"/>
                <w:lang w:eastAsia="lv-LV"/>
              </w:rPr>
              <w:t xml:space="preserve">kas pārstāv Čehijas investoru intereses. </w:t>
            </w:r>
          </w:p>
          <w:p w:rsidR="00701702" w:rsidRPr="005B61F2" w:rsidRDefault="00A837EF" w:rsidP="006B183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La</w:t>
            </w:r>
            <w:r w:rsidR="00E869A0">
              <w:rPr>
                <w:rFonts w:ascii="Times New Roman" w:eastAsia="Times New Roman" w:hAnsi="Times New Roman" w:cs="Times New Roman"/>
                <w:color w:val="414142"/>
                <w:sz w:val="24"/>
                <w:szCs w:val="24"/>
                <w:lang w:eastAsia="lv-LV"/>
              </w:rPr>
              <w:t>tvijas tieš</w:t>
            </w:r>
            <w:r w:rsidR="006B1834">
              <w:rPr>
                <w:rFonts w:ascii="Times New Roman" w:eastAsia="Times New Roman" w:hAnsi="Times New Roman" w:cs="Times New Roman"/>
                <w:color w:val="414142"/>
                <w:sz w:val="24"/>
                <w:szCs w:val="24"/>
                <w:lang w:eastAsia="lv-LV"/>
              </w:rPr>
              <w:t>o</w:t>
            </w:r>
            <w:r w:rsidR="00E869A0">
              <w:rPr>
                <w:rFonts w:ascii="Times New Roman" w:eastAsia="Times New Roman" w:hAnsi="Times New Roman" w:cs="Times New Roman"/>
                <w:color w:val="414142"/>
                <w:sz w:val="24"/>
                <w:szCs w:val="24"/>
                <w:lang w:eastAsia="lv-LV"/>
              </w:rPr>
              <w:t xml:space="preserve"> investīcij</w:t>
            </w:r>
            <w:r w:rsidR="006B1834">
              <w:rPr>
                <w:rFonts w:ascii="Times New Roman" w:eastAsia="Times New Roman" w:hAnsi="Times New Roman" w:cs="Times New Roman"/>
                <w:color w:val="414142"/>
                <w:sz w:val="24"/>
                <w:szCs w:val="24"/>
                <w:lang w:eastAsia="lv-LV"/>
              </w:rPr>
              <w:t>u atlikums</w:t>
            </w:r>
            <w:r w:rsidR="00E869A0">
              <w:rPr>
                <w:rFonts w:ascii="Times New Roman" w:eastAsia="Times New Roman" w:hAnsi="Times New Roman" w:cs="Times New Roman"/>
                <w:color w:val="414142"/>
                <w:sz w:val="24"/>
                <w:szCs w:val="24"/>
                <w:lang w:eastAsia="lv-LV"/>
              </w:rPr>
              <w:t xml:space="preserve"> Čehijas Republikā ir salīdzinoši neliels - 5.4 </w:t>
            </w:r>
            <w:proofErr w:type="spellStart"/>
            <w:r w:rsidR="00E869A0">
              <w:rPr>
                <w:rFonts w:ascii="Times New Roman" w:eastAsia="Times New Roman" w:hAnsi="Times New Roman" w:cs="Times New Roman"/>
                <w:color w:val="414142"/>
                <w:sz w:val="24"/>
                <w:szCs w:val="24"/>
                <w:lang w:eastAsia="lv-LV"/>
              </w:rPr>
              <w:t>mlj</w:t>
            </w:r>
            <w:proofErr w:type="spellEnd"/>
            <w:r w:rsidR="00E869A0">
              <w:rPr>
                <w:rFonts w:ascii="Times New Roman" w:eastAsia="Times New Roman" w:hAnsi="Times New Roman" w:cs="Times New Roman"/>
                <w:color w:val="414142"/>
                <w:sz w:val="24"/>
                <w:szCs w:val="24"/>
                <w:lang w:eastAsia="lv-LV"/>
              </w:rPr>
              <w:t xml:space="preserve"> EUR (</w:t>
            </w:r>
            <w:proofErr w:type="gramStart"/>
            <w:r w:rsidR="00E869A0">
              <w:rPr>
                <w:rFonts w:ascii="Times New Roman" w:eastAsia="Times New Roman" w:hAnsi="Times New Roman" w:cs="Times New Roman"/>
                <w:color w:val="414142"/>
                <w:sz w:val="24"/>
                <w:szCs w:val="24"/>
                <w:lang w:eastAsia="lv-LV"/>
              </w:rPr>
              <w:t>2016.gada</w:t>
            </w:r>
            <w:proofErr w:type="gramEnd"/>
            <w:r w:rsidR="00E869A0">
              <w:rPr>
                <w:rFonts w:ascii="Times New Roman" w:eastAsia="Times New Roman" w:hAnsi="Times New Roman" w:cs="Times New Roman"/>
                <w:color w:val="414142"/>
                <w:sz w:val="24"/>
                <w:szCs w:val="24"/>
                <w:lang w:eastAsia="lv-LV"/>
              </w:rPr>
              <w:t xml:space="preserve"> 4.ceturksnis), kurpretim Čehijas tieš</w:t>
            </w:r>
            <w:r w:rsidR="006B1834">
              <w:rPr>
                <w:rFonts w:ascii="Times New Roman" w:eastAsia="Times New Roman" w:hAnsi="Times New Roman" w:cs="Times New Roman"/>
                <w:color w:val="414142"/>
                <w:sz w:val="24"/>
                <w:szCs w:val="24"/>
                <w:lang w:eastAsia="lv-LV"/>
              </w:rPr>
              <w:t>o</w:t>
            </w:r>
            <w:r w:rsidR="00E869A0">
              <w:rPr>
                <w:rFonts w:ascii="Times New Roman" w:eastAsia="Times New Roman" w:hAnsi="Times New Roman" w:cs="Times New Roman"/>
                <w:color w:val="414142"/>
                <w:sz w:val="24"/>
                <w:szCs w:val="24"/>
                <w:lang w:eastAsia="lv-LV"/>
              </w:rPr>
              <w:t xml:space="preserve"> investīcij</w:t>
            </w:r>
            <w:r w:rsidR="006B1834">
              <w:rPr>
                <w:rFonts w:ascii="Times New Roman" w:eastAsia="Times New Roman" w:hAnsi="Times New Roman" w:cs="Times New Roman"/>
                <w:color w:val="414142"/>
                <w:sz w:val="24"/>
                <w:szCs w:val="24"/>
                <w:lang w:eastAsia="lv-LV"/>
              </w:rPr>
              <w:t>u atlikums</w:t>
            </w:r>
            <w:r w:rsidR="00E869A0">
              <w:rPr>
                <w:rFonts w:ascii="Times New Roman" w:eastAsia="Times New Roman" w:hAnsi="Times New Roman" w:cs="Times New Roman"/>
                <w:color w:val="414142"/>
                <w:sz w:val="24"/>
                <w:szCs w:val="24"/>
                <w:lang w:eastAsia="lv-LV"/>
              </w:rPr>
              <w:t xml:space="preserve"> Latvijā – 18.7 </w:t>
            </w:r>
            <w:proofErr w:type="spellStart"/>
            <w:r w:rsidR="00E869A0">
              <w:rPr>
                <w:rFonts w:ascii="Times New Roman" w:eastAsia="Times New Roman" w:hAnsi="Times New Roman" w:cs="Times New Roman"/>
                <w:color w:val="414142"/>
                <w:sz w:val="24"/>
                <w:szCs w:val="24"/>
                <w:lang w:eastAsia="lv-LV"/>
              </w:rPr>
              <w:t>mlj</w:t>
            </w:r>
            <w:proofErr w:type="spellEnd"/>
            <w:r w:rsidR="00E869A0">
              <w:rPr>
                <w:rFonts w:ascii="Times New Roman" w:eastAsia="Times New Roman" w:hAnsi="Times New Roman" w:cs="Times New Roman"/>
                <w:color w:val="414142"/>
                <w:sz w:val="24"/>
                <w:szCs w:val="24"/>
                <w:lang w:eastAsia="lv-LV"/>
              </w:rPr>
              <w:t xml:space="preserve"> EUR (2016.gada 4.ceturksnis). Latvija šī Līguma kontekstā ir uzskatāma par investīciju uzņemošo valsti. </w:t>
            </w:r>
            <w:r w:rsidR="00AE0A3C">
              <w:rPr>
                <w:rFonts w:ascii="Times New Roman" w:eastAsia="Times New Roman" w:hAnsi="Times New Roman" w:cs="Times New Roman"/>
                <w:color w:val="414142"/>
                <w:sz w:val="24"/>
                <w:szCs w:val="24"/>
                <w:lang w:eastAsia="lv-LV"/>
              </w:rPr>
              <w:t>Līdz šim ne Latvijas investori, ne Čehijas investori nav izmantojuši Līgumā paredzētās tiesības</w:t>
            </w:r>
            <w:r w:rsidR="00897EA7">
              <w:rPr>
                <w:rFonts w:ascii="Times New Roman" w:eastAsia="Times New Roman" w:hAnsi="Times New Roman" w:cs="Times New Roman"/>
                <w:color w:val="414142"/>
                <w:sz w:val="24"/>
                <w:szCs w:val="24"/>
                <w:lang w:eastAsia="lv-LV"/>
              </w:rPr>
              <w:t xml:space="preserve"> risināt strīdus arbitrāžās</w:t>
            </w:r>
            <w:r w:rsidR="00AE0A3C">
              <w:rPr>
                <w:rFonts w:ascii="Times New Roman" w:eastAsia="Times New Roman" w:hAnsi="Times New Roman" w:cs="Times New Roman"/>
                <w:color w:val="414142"/>
                <w:sz w:val="24"/>
                <w:szCs w:val="24"/>
                <w:lang w:eastAsia="lv-LV"/>
              </w:rPr>
              <w:t>.</w:t>
            </w:r>
          </w:p>
        </w:tc>
      </w:tr>
      <w:tr w:rsidR="005B61F2" w:rsidRPr="005B61F2" w:rsidTr="005147DD">
        <w:trPr>
          <w:trHeight w:val="510"/>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lastRenderedPageBreak/>
              <w:t>2.</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Tiesiskā regulējuma ietekme uz tautsaimniecību un administratīvo slogu</w:t>
            </w:r>
          </w:p>
        </w:tc>
        <w:tc>
          <w:tcPr>
            <w:tcW w:w="3192" w:type="pct"/>
            <w:gridSpan w:val="4"/>
            <w:tcBorders>
              <w:top w:val="outset" w:sz="6" w:space="0" w:color="auto"/>
              <w:left w:val="outset" w:sz="6" w:space="0" w:color="auto"/>
              <w:bottom w:val="outset" w:sz="6" w:space="0" w:color="auto"/>
              <w:right w:val="outset" w:sz="6" w:space="0" w:color="auto"/>
            </w:tcBorders>
            <w:hideMark/>
          </w:tcPr>
          <w:p w:rsidR="005B61F2" w:rsidRPr="005B61F2" w:rsidRDefault="00F5385A" w:rsidP="005B61F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B61F2" w:rsidRPr="005B61F2" w:rsidTr="005147DD">
        <w:trPr>
          <w:trHeight w:val="510"/>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3.</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Administratīvo izmaksu monetārs novērtējums</w:t>
            </w:r>
          </w:p>
        </w:tc>
        <w:tc>
          <w:tcPr>
            <w:tcW w:w="3192" w:type="pct"/>
            <w:gridSpan w:val="4"/>
            <w:tcBorders>
              <w:top w:val="outset" w:sz="6" w:space="0" w:color="auto"/>
              <w:left w:val="outset" w:sz="6" w:space="0" w:color="auto"/>
              <w:bottom w:val="outset" w:sz="6" w:space="0" w:color="auto"/>
              <w:right w:val="outset" w:sz="6" w:space="0" w:color="auto"/>
            </w:tcBorders>
            <w:hideMark/>
          </w:tcPr>
          <w:p w:rsidR="005B61F2" w:rsidRPr="005B61F2" w:rsidRDefault="00F5385A" w:rsidP="005B61F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B61F2" w:rsidRPr="005B61F2" w:rsidTr="005147DD">
        <w:trPr>
          <w:trHeight w:val="345"/>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4.</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Cita informācija</w:t>
            </w:r>
          </w:p>
        </w:tc>
        <w:tc>
          <w:tcPr>
            <w:tcW w:w="3192" w:type="pct"/>
            <w:gridSpan w:val="4"/>
            <w:tcBorders>
              <w:top w:val="outset" w:sz="6" w:space="0" w:color="auto"/>
              <w:left w:val="outset" w:sz="6" w:space="0" w:color="auto"/>
              <w:bottom w:val="outset" w:sz="6" w:space="0" w:color="auto"/>
              <w:right w:val="outset" w:sz="6" w:space="0" w:color="auto"/>
            </w:tcBorders>
            <w:hideMark/>
          </w:tcPr>
          <w:p w:rsidR="005B61F2" w:rsidRPr="005B61F2" w:rsidRDefault="00F5385A" w:rsidP="00F5385A">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1F4012" w:rsidRPr="005B61F2" w:rsidTr="00397C06">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F4012" w:rsidRPr="005B61F2" w:rsidRDefault="001F4012" w:rsidP="001F401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I</w:t>
            </w:r>
            <w:r w:rsidRPr="005B61F2">
              <w:rPr>
                <w:rFonts w:ascii="Times New Roman" w:eastAsia="Times New Roman" w:hAnsi="Times New Roman" w:cs="Times New Roman"/>
                <w:b/>
                <w:bCs/>
                <w:color w:val="414142"/>
                <w:sz w:val="24"/>
                <w:szCs w:val="24"/>
                <w:lang w:eastAsia="lv-LV"/>
              </w:rPr>
              <w:t xml:space="preserve">. Tiesību akta projekta ietekme uz </w:t>
            </w:r>
            <w:r>
              <w:rPr>
                <w:rFonts w:ascii="Times New Roman" w:eastAsia="Times New Roman" w:hAnsi="Times New Roman" w:cs="Times New Roman"/>
                <w:b/>
                <w:bCs/>
                <w:color w:val="414142"/>
                <w:sz w:val="24"/>
                <w:szCs w:val="24"/>
                <w:lang w:eastAsia="lv-LV"/>
              </w:rPr>
              <w:t>valsts budžetu un pašvaldību budžetiem</w:t>
            </w:r>
          </w:p>
        </w:tc>
      </w:tr>
      <w:tr w:rsidR="001F4012" w:rsidRPr="005B61F2" w:rsidTr="005147DD">
        <w:trPr>
          <w:gridAfter w:val="1"/>
          <w:wAfter w:w="4" w:type="pct"/>
          <w:trHeight w:val="465"/>
          <w:tblCellSpacing w:w="15" w:type="dxa"/>
        </w:trPr>
        <w:tc>
          <w:tcPr>
            <w:tcW w:w="4943" w:type="pct"/>
            <w:gridSpan w:val="7"/>
            <w:tcBorders>
              <w:top w:val="outset" w:sz="6" w:space="0" w:color="auto"/>
              <w:left w:val="outset" w:sz="6" w:space="0" w:color="auto"/>
              <w:bottom w:val="outset" w:sz="6" w:space="0" w:color="auto"/>
              <w:right w:val="outset" w:sz="6" w:space="0" w:color="auto"/>
            </w:tcBorders>
            <w:hideMark/>
          </w:tcPr>
          <w:p w:rsidR="001F4012" w:rsidRPr="005B61F2" w:rsidRDefault="001F4012" w:rsidP="001F4012">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1F4012" w:rsidRPr="005B61F2" w:rsidTr="00397C06">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F4012" w:rsidRPr="005B61F2" w:rsidRDefault="001F4012" w:rsidP="001F401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w:t>
            </w:r>
            <w:r w:rsidRPr="005B61F2">
              <w:rPr>
                <w:rFonts w:ascii="Times New Roman" w:eastAsia="Times New Roman" w:hAnsi="Times New Roman" w:cs="Times New Roman"/>
                <w:b/>
                <w:bCs/>
                <w:color w:val="414142"/>
                <w:sz w:val="24"/>
                <w:szCs w:val="24"/>
                <w:lang w:eastAsia="lv-LV"/>
              </w:rPr>
              <w:t xml:space="preserve">. Tiesību akta projekta ietekme uz </w:t>
            </w:r>
            <w:r>
              <w:rPr>
                <w:rFonts w:ascii="Times New Roman" w:eastAsia="Times New Roman" w:hAnsi="Times New Roman" w:cs="Times New Roman"/>
                <w:b/>
                <w:bCs/>
                <w:color w:val="414142"/>
                <w:sz w:val="24"/>
                <w:szCs w:val="24"/>
                <w:lang w:eastAsia="lv-LV"/>
              </w:rPr>
              <w:t>spēkā esošo tiesību normu sistēmu</w:t>
            </w:r>
          </w:p>
        </w:tc>
      </w:tr>
      <w:tr w:rsidR="001F4012" w:rsidRPr="005B61F2" w:rsidTr="005147DD">
        <w:trPr>
          <w:gridAfter w:val="1"/>
          <w:wAfter w:w="4" w:type="pct"/>
          <w:trHeight w:val="465"/>
          <w:tblCellSpacing w:w="15" w:type="dxa"/>
        </w:trPr>
        <w:tc>
          <w:tcPr>
            <w:tcW w:w="4943" w:type="pct"/>
            <w:gridSpan w:val="7"/>
            <w:tcBorders>
              <w:top w:val="outset" w:sz="6" w:space="0" w:color="auto"/>
              <w:left w:val="outset" w:sz="6" w:space="0" w:color="auto"/>
              <w:bottom w:val="outset" w:sz="6" w:space="0" w:color="auto"/>
              <w:right w:val="outset" w:sz="6" w:space="0" w:color="auto"/>
            </w:tcBorders>
            <w:hideMark/>
          </w:tcPr>
          <w:p w:rsidR="001F4012" w:rsidRPr="005B61F2" w:rsidRDefault="001F4012" w:rsidP="001F4012">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5B61F2" w:rsidRPr="005B61F2" w:rsidTr="005B61F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F0A56" w:rsidRPr="00906CDB" w:rsidRDefault="005B61F2" w:rsidP="00906CDB">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1F4012" w:rsidRPr="005B61F2" w:rsidTr="005B61F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1F4012" w:rsidRPr="001F4012" w:rsidRDefault="001F4012" w:rsidP="00906CDB">
            <w:pPr>
              <w:spacing w:before="100" w:beforeAutospacing="1" w:after="100" w:afterAutospacing="1" w:line="360" w:lineRule="auto"/>
              <w:ind w:firstLine="300"/>
              <w:jc w:val="center"/>
              <w:rPr>
                <w:rFonts w:ascii="Times New Roman" w:eastAsia="Times New Roman" w:hAnsi="Times New Roman" w:cs="Times New Roman"/>
                <w:bCs/>
                <w:color w:val="414142"/>
                <w:sz w:val="24"/>
                <w:szCs w:val="24"/>
                <w:lang w:eastAsia="lv-LV"/>
              </w:rPr>
            </w:pPr>
            <w:r w:rsidRPr="001F4012">
              <w:rPr>
                <w:rFonts w:ascii="Times New Roman" w:eastAsia="Times New Roman" w:hAnsi="Times New Roman" w:cs="Times New Roman"/>
                <w:bCs/>
                <w:color w:val="414142"/>
                <w:sz w:val="24"/>
                <w:szCs w:val="24"/>
                <w:lang w:eastAsia="lv-LV"/>
              </w:rPr>
              <w:t>Projekts šo jomu neskar</w:t>
            </w:r>
          </w:p>
        </w:tc>
      </w:tr>
      <w:tr w:rsidR="001F4012" w:rsidRPr="005B61F2" w:rsidTr="00397C06">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F4012" w:rsidRPr="005B61F2" w:rsidRDefault="001F4012" w:rsidP="001F401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w:t>
            </w:r>
            <w:r w:rsidRPr="005B61F2">
              <w:rPr>
                <w:rFonts w:ascii="Times New Roman" w:eastAsia="Times New Roman" w:hAnsi="Times New Roman" w:cs="Times New Roman"/>
                <w:b/>
                <w:bCs/>
                <w:color w:val="414142"/>
                <w:sz w:val="24"/>
                <w:szCs w:val="24"/>
                <w:lang w:eastAsia="lv-LV"/>
              </w:rPr>
              <w:t xml:space="preserve">I. </w:t>
            </w:r>
            <w:r>
              <w:rPr>
                <w:rFonts w:ascii="Times New Roman" w:eastAsia="Times New Roman" w:hAnsi="Times New Roman" w:cs="Times New Roman"/>
                <w:b/>
                <w:bCs/>
                <w:color w:val="414142"/>
                <w:sz w:val="24"/>
                <w:szCs w:val="24"/>
                <w:lang w:eastAsia="lv-LV"/>
              </w:rPr>
              <w:t>S</w:t>
            </w:r>
            <w:r w:rsidRPr="005B61F2">
              <w:rPr>
                <w:rFonts w:ascii="Times New Roman" w:eastAsia="Times New Roman" w:hAnsi="Times New Roman" w:cs="Times New Roman"/>
                <w:b/>
                <w:bCs/>
                <w:color w:val="414142"/>
                <w:sz w:val="24"/>
                <w:szCs w:val="24"/>
                <w:lang w:eastAsia="lv-LV"/>
              </w:rPr>
              <w:t>abiedrīb</w:t>
            </w:r>
            <w:r>
              <w:rPr>
                <w:rFonts w:ascii="Times New Roman" w:eastAsia="Times New Roman" w:hAnsi="Times New Roman" w:cs="Times New Roman"/>
                <w:b/>
                <w:bCs/>
                <w:color w:val="414142"/>
                <w:sz w:val="24"/>
                <w:szCs w:val="24"/>
                <w:lang w:eastAsia="lv-LV"/>
              </w:rPr>
              <w:t>as līdzdalība un komunikācijas aktivitātes</w:t>
            </w:r>
          </w:p>
        </w:tc>
      </w:tr>
      <w:tr w:rsidR="001F4012" w:rsidRPr="005B61F2" w:rsidTr="005147DD">
        <w:trPr>
          <w:gridAfter w:val="1"/>
          <w:wAfter w:w="3" w:type="pct"/>
          <w:trHeight w:val="465"/>
          <w:tblCellSpacing w:w="15" w:type="dxa"/>
        </w:trPr>
        <w:tc>
          <w:tcPr>
            <w:tcW w:w="4944" w:type="pct"/>
            <w:gridSpan w:val="7"/>
            <w:tcBorders>
              <w:top w:val="outset" w:sz="6" w:space="0" w:color="auto"/>
              <w:left w:val="outset" w:sz="6" w:space="0" w:color="auto"/>
              <w:bottom w:val="outset" w:sz="6" w:space="0" w:color="auto"/>
              <w:right w:val="outset" w:sz="6" w:space="0" w:color="auto"/>
            </w:tcBorders>
            <w:hideMark/>
          </w:tcPr>
          <w:p w:rsidR="001F4012" w:rsidRPr="005B61F2" w:rsidRDefault="001F4012" w:rsidP="001F4012">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Projekts šo jomu neskar</w:t>
            </w:r>
          </w:p>
        </w:tc>
      </w:tr>
      <w:tr w:rsidR="005B61F2" w:rsidRPr="005B61F2" w:rsidTr="005B61F2">
        <w:tblPrEx>
          <w:jc w:val="center"/>
        </w:tblPrEx>
        <w:trPr>
          <w:trHeight w:val="375"/>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B61F2" w:rsidRPr="005F0A56" w:rsidRDefault="005B61F2" w:rsidP="005B61F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F0A56">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5B61F2" w:rsidRPr="005B61F2" w:rsidTr="005147DD">
        <w:tblPrEx>
          <w:jc w:val="center"/>
        </w:tblPrEx>
        <w:trPr>
          <w:trHeight w:val="420"/>
          <w:tblCellSpacing w:w="15" w:type="dxa"/>
          <w:jc w:val="center"/>
        </w:trPr>
        <w:tc>
          <w:tcPr>
            <w:tcW w:w="244"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1.</w:t>
            </w:r>
          </w:p>
        </w:tc>
        <w:tc>
          <w:tcPr>
            <w:tcW w:w="1858" w:type="pct"/>
            <w:gridSpan w:val="4"/>
            <w:tcBorders>
              <w:top w:val="outset" w:sz="6" w:space="0" w:color="auto"/>
              <w:left w:val="outset" w:sz="6" w:space="0" w:color="auto"/>
              <w:bottom w:val="outset" w:sz="6" w:space="0" w:color="auto"/>
              <w:right w:val="outset" w:sz="6" w:space="0" w:color="auto"/>
            </w:tcBorders>
            <w:hideMark/>
          </w:tcPr>
          <w:p w:rsidR="005B61F2" w:rsidRPr="005F0A56" w:rsidRDefault="005B61F2" w:rsidP="005B61F2">
            <w:pPr>
              <w:spacing w:after="0" w:line="240" w:lineRule="auto"/>
              <w:rPr>
                <w:rFonts w:ascii="Times New Roman" w:eastAsia="Times New Roman" w:hAnsi="Times New Roman" w:cs="Times New Roman"/>
                <w:color w:val="414142"/>
                <w:sz w:val="24"/>
                <w:szCs w:val="24"/>
                <w:lang w:eastAsia="lv-LV"/>
              </w:rPr>
            </w:pPr>
            <w:r w:rsidRPr="005F0A56">
              <w:rPr>
                <w:rFonts w:ascii="Times New Roman" w:eastAsia="Times New Roman" w:hAnsi="Times New Roman" w:cs="Times New Roman"/>
                <w:color w:val="414142"/>
                <w:sz w:val="24"/>
                <w:szCs w:val="24"/>
                <w:lang w:eastAsia="lv-LV"/>
              </w:rPr>
              <w:t>Projekta izpildē iesaistītās institūcijas</w:t>
            </w:r>
          </w:p>
        </w:tc>
        <w:tc>
          <w:tcPr>
            <w:tcW w:w="2827" w:type="pct"/>
            <w:gridSpan w:val="2"/>
            <w:tcBorders>
              <w:top w:val="outset" w:sz="6" w:space="0" w:color="auto"/>
              <w:left w:val="outset" w:sz="6" w:space="0" w:color="auto"/>
              <w:bottom w:val="outset" w:sz="6" w:space="0" w:color="auto"/>
              <w:right w:val="outset" w:sz="6" w:space="0" w:color="auto"/>
            </w:tcBorders>
            <w:hideMark/>
          </w:tcPr>
          <w:p w:rsidR="005B61F2" w:rsidRPr="005F0A56" w:rsidRDefault="005F0A56" w:rsidP="00D7200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Ārlietu ministrija</w:t>
            </w:r>
          </w:p>
        </w:tc>
      </w:tr>
      <w:tr w:rsidR="005B61F2" w:rsidRPr="005B61F2" w:rsidTr="005147DD">
        <w:tblPrEx>
          <w:jc w:val="center"/>
        </w:tblPrEx>
        <w:trPr>
          <w:trHeight w:val="450"/>
          <w:tblCellSpacing w:w="15" w:type="dxa"/>
          <w:jc w:val="center"/>
        </w:trPr>
        <w:tc>
          <w:tcPr>
            <w:tcW w:w="244"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2.</w:t>
            </w:r>
          </w:p>
        </w:tc>
        <w:tc>
          <w:tcPr>
            <w:tcW w:w="1858" w:type="pct"/>
            <w:gridSpan w:val="4"/>
            <w:tcBorders>
              <w:top w:val="outset" w:sz="6" w:space="0" w:color="auto"/>
              <w:left w:val="outset" w:sz="6" w:space="0" w:color="auto"/>
              <w:bottom w:val="outset" w:sz="6" w:space="0" w:color="auto"/>
              <w:right w:val="outset" w:sz="6" w:space="0" w:color="auto"/>
            </w:tcBorders>
            <w:hideMark/>
          </w:tcPr>
          <w:p w:rsidR="005B61F2" w:rsidRPr="005F0A56" w:rsidRDefault="005B61F2" w:rsidP="005B61F2">
            <w:pPr>
              <w:spacing w:after="0" w:line="240" w:lineRule="auto"/>
              <w:rPr>
                <w:rFonts w:ascii="Times New Roman" w:eastAsia="Times New Roman" w:hAnsi="Times New Roman" w:cs="Times New Roman"/>
                <w:color w:val="414142"/>
                <w:sz w:val="24"/>
                <w:szCs w:val="24"/>
                <w:lang w:eastAsia="lv-LV"/>
              </w:rPr>
            </w:pPr>
            <w:r w:rsidRPr="005F0A56">
              <w:rPr>
                <w:rFonts w:ascii="Times New Roman" w:eastAsia="Times New Roman" w:hAnsi="Times New Roman" w:cs="Times New Roman"/>
                <w:color w:val="414142"/>
                <w:sz w:val="24"/>
                <w:szCs w:val="24"/>
                <w:lang w:eastAsia="lv-LV"/>
              </w:rPr>
              <w:t xml:space="preserve">Projekta izpildes ietekme uz pārvaldes funkcijām un institucionālo struktūru. </w:t>
            </w:r>
          </w:p>
          <w:p w:rsidR="005B61F2" w:rsidRPr="001F4012" w:rsidRDefault="005B61F2" w:rsidP="001F4012">
            <w:pPr>
              <w:rPr>
                <w:rFonts w:ascii="Times New Roman" w:hAnsi="Times New Roman" w:cs="Times New Roman"/>
                <w:sz w:val="24"/>
                <w:szCs w:val="24"/>
                <w:lang w:eastAsia="lv-LV"/>
              </w:rPr>
            </w:pPr>
            <w:r w:rsidRPr="001F4012">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2827" w:type="pct"/>
            <w:gridSpan w:val="2"/>
            <w:tcBorders>
              <w:top w:val="outset" w:sz="6" w:space="0" w:color="auto"/>
              <w:left w:val="outset" w:sz="6" w:space="0" w:color="auto"/>
              <w:bottom w:val="outset" w:sz="6" w:space="0" w:color="auto"/>
              <w:right w:val="outset" w:sz="6" w:space="0" w:color="auto"/>
            </w:tcBorders>
            <w:hideMark/>
          </w:tcPr>
          <w:p w:rsidR="005B61F2" w:rsidRPr="005F0A56" w:rsidRDefault="005F0A56" w:rsidP="005F0A5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izpilde neietekmē Ārlietu ministrijas funkcijas un uzdevumus. </w:t>
            </w:r>
          </w:p>
        </w:tc>
      </w:tr>
      <w:tr w:rsidR="005B61F2" w:rsidRPr="005B61F2" w:rsidTr="005147DD">
        <w:tblPrEx>
          <w:jc w:val="center"/>
        </w:tblPrEx>
        <w:trPr>
          <w:trHeight w:val="390"/>
          <w:tblCellSpacing w:w="15" w:type="dxa"/>
          <w:jc w:val="center"/>
        </w:trPr>
        <w:tc>
          <w:tcPr>
            <w:tcW w:w="244"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3.</w:t>
            </w:r>
          </w:p>
        </w:tc>
        <w:tc>
          <w:tcPr>
            <w:tcW w:w="1858" w:type="pct"/>
            <w:gridSpan w:val="4"/>
            <w:tcBorders>
              <w:top w:val="outset" w:sz="6" w:space="0" w:color="auto"/>
              <w:left w:val="outset" w:sz="6" w:space="0" w:color="auto"/>
              <w:bottom w:val="outset" w:sz="6" w:space="0" w:color="auto"/>
              <w:right w:val="outset" w:sz="6" w:space="0" w:color="auto"/>
            </w:tcBorders>
            <w:hideMark/>
          </w:tcPr>
          <w:p w:rsidR="005B61F2" w:rsidRPr="005F0A56" w:rsidRDefault="005B61F2" w:rsidP="005B61F2">
            <w:pPr>
              <w:spacing w:after="0" w:line="240" w:lineRule="auto"/>
              <w:rPr>
                <w:rFonts w:ascii="Times New Roman" w:eastAsia="Times New Roman" w:hAnsi="Times New Roman" w:cs="Times New Roman"/>
                <w:color w:val="414142"/>
                <w:sz w:val="24"/>
                <w:szCs w:val="24"/>
                <w:lang w:eastAsia="lv-LV"/>
              </w:rPr>
            </w:pPr>
            <w:r w:rsidRPr="005F0A56">
              <w:rPr>
                <w:rFonts w:ascii="Times New Roman" w:eastAsia="Times New Roman" w:hAnsi="Times New Roman" w:cs="Times New Roman"/>
                <w:color w:val="414142"/>
                <w:sz w:val="24"/>
                <w:szCs w:val="24"/>
                <w:lang w:eastAsia="lv-LV"/>
              </w:rPr>
              <w:t>Cita informācija</w:t>
            </w:r>
          </w:p>
        </w:tc>
        <w:tc>
          <w:tcPr>
            <w:tcW w:w="2827" w:type="pct"/>
            <w:gridSpan w:val="2"/>
            <w:tcBorders>
              <w:top w:val="outset" w:sz="6" w:space="0" w:color="auto"/>
              <w:left w:val="outset" w:sz="6" w:space="0" w:color="auto"/>
              <w:bottom w:val="outset" w:sz="6" w:space="0" w:color="auto"/>
              <w:right w:val="outset" w:sz="6" w:space="0" w:color="auto"/>
            </w:tcBorders>
            <w:hideMark/>
          </w:tcPr>
          <w:p w:rsidR="005B61F2" w:rsidRPr="005F0A56" w:rsidRDefault="005F0A56" w:rsidP="005F0A56">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4434C1" w:rsidRPr="00EA0E86" w:rsidRDefault="004434C1" w:rsidP="004434C1">
      <w:pPr>
        <w:spacing w:after="0" w:line="240" w:lineRule="auto"/>
        <w:jc w:val="center"/>
        <w:rPr>
          <w:rFonts w:ascii="Times New Roman" w:eastAsia="Times New Roman" w:hAnsi="Times New Roman" w:cs="Times New Roman"/>
          <w:b/>
          <w:bCs/>
          <w:sz w:val="24"/>
          <w:szCs w:val="24"/>
          <w:lang w:eastAsia="lv-LV"/>
        </w:rPr>
      </w:pPr>
      <w:r w:rsidRPr="00EA0E86">
        <w:rPr>
          <w:rFonts w:ascii="Times New Roman" w:eastAsia="Times New Roman" w:hAnsi="Times New Roman" w:cs="Times New Roman"/>
          <w:sz w:val="24"/>
          <w:szCs w:val="24"/>
          <w:lang w:eastAsia="lv-LV"/>
        </w:rPr>
        <w:t xml:space="preserve"> </w:t>
      </w:r>
      <w:r w:rsidRPr="00EA0E86">
        <w:rPr>
          <w:rFonts w:ascii="Times New Roman" w:eastAsia="Times New Roman" w:hAnsi="Times New Roman" w:cs="Times New Roman"/>
          <w:sz w:val="24"/>
          <w:szCs w:val="24"/>
          <w:lang w:eastAsia="lv-LV"/>
        </w:rPr>
        <w:tab/>
      </w:r>
    </w:p>
    <w:bookmarkEnd w:id="0"/>
    <w:bookmarkEnd w:id="1"/>
    <w:p w:rsidR="004434C1" w:rsidRPr="00EA0E86" w:rsidRDefault="004434C1" w:rsidP="004434C1">
      <w:pPr>
        <w:spacing w:after="0" w:line="240" w:lineRule="auto"/>
        <w:jc w:val="both"/>
        <w:rPr>
          <w:rFonts w:ascii="Times New Roman" w:eastAsia="Times New Roman" w:hAnsi="Times New Roman" w:cs="Times New Roman"/>
          <w:sz w:val="24"/>
          <w:szCs w:val="24"/>
          <w:lang w:eastAsia="lv-LV"/>
        </w:rPr>
      </w:pPr>
    </w:p>
    <w:p w:rsidR="004434C1" w:rsidRPr="00EA0E86" w:rsidRDefault="00666FB4" w:rsidP="004434C1">
      <w:pPr>
        <w:spacing w:after="0" w:line="240" w:lineRule="auto"/>
        <w:rPr>
          <w:rFonts w:ascii="Arial" w:eastAsia="Times New Roman" w:hAnsi="Arial" w:cs="Arial"/>
          <w:color w:val="000000"/>
          <w:sz w:val="24"/>
          <w:szCs w:val="24"/>
          <w:lang w:eastAsia="lv-LV"/>
        </w:rPr>
      </w:pPr>
      <w:r>
        <w:rPr>
          <w:rFonts w:ascii="Times New Roman" w:eastAsia="Times New Roman" w:hAnsi="Times New Roman" w:cs="Times New Roman"/>
          <w:bCs/>
          <w:color w:val="000000"/>
          <w:sz w:val="24"/>
          <w:szCs w:val="24"/>
          <w:lang w:eastAsia="lv-LV"/>
        </w:rPr>
        <w:t xml:space="preserve">Iesniedzējs: </w:t>
      </w:r>
      <w:r w:rsidR="00EA0E86" w:rsidRPr="00EA0E86">
        <w:rPr>
          <w:rFonts w:ascii="Times New Roman" w:eastAsia="Times New Roman" w:hAnsi="Times New Roman" w:cs="Times New Roman"/>
          <w:bCs/>
          <w:color w:val="000000"/>
          <w:sz w:val="24"/>
          <w:szCs w:val="24"/>
          <w:lang w:eastAsia="lv-LV"/>
        </w:rPr>
        <w:t>ārlietu</w:t>
      </w:r>
      <w:r w:rsidR="004434C1" w:rsidRPr="00EA0E86">
        <w:rPr>
          <w:rFonts w:ascii="Times New Roman" w:eastAsia="Times New Roman" w:hAnsi="Times New Roman" w:cs="Times New Roman"/>
          <w:bCs/>
          <w:color w:val="000000"/>
          <w:sz w:val="24"/>
          <w:szCs w:val="24"/>
          <w:lang w:eastAsia="lv-LV"/>
        </w:rPr>
        <w:t xml:space="preserve"> ministrs</w:t>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sidR="002E6992">
        <w:rPr>
          <w:rFonts w:ascii="Times New Roman" w:eastAsia="Times New Roman" w:hAnsi="Times New Roman" w:cs="Times New Roman"/>
          <w:b/>
          <w:color w:val="000000"/>
          <w:sz w:val="24"/>
          <w:szCs w:val="24"/>
          <w:lang w:eastAsia="lv-LV"/>
        </w:rPr>
        <w:t xml:space="preserve"> </w:t>
      </w:r>
      <w:r w:rsidR="002E6992" w:rsidRPr="002E6992">
        <w:rPr>
          <w:rFonts w:ascii="Times New Roman" w:eastAsia="Times New Roman" w:hAnsi="Times New Roman" w:cs="Times New Roman"/>
          <w:color w:val="000000"/>
          <w:sz w:val="24"/>
          <w:szCs w:val="24"/>
          <w:lang w:eastAsia="lv-LV"/>
        </w:rPr>
        <w:t>E</w:t>
      </w:r>
      <w:r w:rsidR="004434C1" w:rsidRPr="002E6992">
        <w:rPr>
          <w:rFonts w:ascii="Times New Roman" w:eastAsia="Times New Roman" w:hAnsi="Times New Roman" w:cs="Times New Roman"/>
          <w:color w:val="000000"/>
          <w:sz w:val="24"/>
          <w:szCs w:val="24"/>
          <w:lang w:eastAsia="lv-LV"/>
        </w:rPr>
        <w:t>.</w:t>
      </w:r>
      <w:r w:rsidR="004434C1" w:rsidRPr="002E6992">
        <w:rPr>
          <w:rFonts w:ascii="Times New Roman" w:eastAsia="Times New Roman" w:hAnsi="Times New Roman" w:cs="Times New Roman"/>
          <w:bCs/>
          <w:color w:val="000000"/>
          <w:sz w:val="24"/>
          <w:szCs w:val="24"/>
          <w:lang w:eastAsia="lv-LV"/>
        </w:rPr>
        <w:t xml:space="preserve"> </w:t>
      </w:r>
      <w:proofErr w:type="spellStart"/>
      <w:r w:rsidR="002E6992" w:rsidRPr="002E6992">
        <w:rPr>
          <w:rFonts w:ascii="Times New Roman" w:eastAsia="Times New Roman" w:hAnsi="Times New Roman" w:cs="Times New Roman"/>
          <w:bCs/>
          <w:color w:val="000000"/>
          <w:sz w:val="24"/>
          <w:szCs w:val="24"/>
          <w:lang w:eastAsia="lv-LV"/>
        </w:rPr>
        <w:t>Rinkēvičs</w:t>
      </w:r>
      <w:proofErr w:type="spellEnd"/>
    </w:p>
    <w:p w:rsidR="004434C1" w:rsidRPr="00EA0E86" w:rsidRDefault="004434C1" w:rsidP="004434C1">
      <w:pPr>
        <w:spacing w:after="0" w:line="240" w:lineRule="auto"/>
        <w:jc w:val="both"/>
        <w:rPr>
          <w:rFonts w:ascii="Times New Roman" w:eastAsia="Times New Roman" w:hAnsi="Times New Roman" w:cs="Times New Roman"/>
          <w:sz w:val="24"/>
          <w:szCs w:val="24"/>
          <w:lang w:eastAsia="lv-LV"/>
        </w:rPr>
      </w:pPr>
      <w:r w:rsidRPr="00EA0E86">
        <w:rPr>
          <w:rFonts w:ascii="Times New Roman" w:eastAsia="Times New Roman" w:hAnsi="Times New Roman" w:cs="Times New Roman"/>
          <w:sz w:val="24"/>
          <w:szCs w:val="24"/>
          <w:lang w:eastAsia="lv-LV"/>
        </w:rPr>
        <w:t xml:space="preserve">   </w:t>
      </w:r>
    </w:p>
    <w:p w:rsidR="004434C1" w:rsidRPr="00EA0E86" w:rsidRDefault="00666FB4" w:rsidP="004434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Vīza: valsts sekretārs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EA0E86" w:rsidRPr="00EA0E86">
        <w:rPr>
          <w:rFonts w:ascii="Times New Roman" w:eastAsia="Times New Roman" w:hAnsi="Times New Roman" w:cs="Times New Roman"/>
          <w:sz w:val="24"/>
          <w:szCs w:val="24"/>
          <w:lang w:eastAsia="lv-LV"/>
        </w:rPr>
        <w:t>A</w:t>
      </w:r>
      <w:r w:rsidR="004434C1" w:rsidRPr="00EA0E86">
        <w:rPr>
          <w:rFonts w:ascii="Times New Roman" w:eastAsia="Times New Roman" w:hAnsi="Times New Roman" w:cs="Times New Roman"/>
          <w:sz w:val="24"/>
          <w:szCs w:val="24"/>
          <w:lang w:eastAsia="lv-LV"/>
        </w:rPr>
        <w:t>.</w:t>
      </w:r>
      <w:r w:rsidR="00EA0E86" w:rsidRPr="00EA0E86">
        <w:rPr>
          <w:rFonts w:ascii="Times New Roman" w:eastAsia="Times New Roman" w:hAnsi="Times New Roman" w:cs="Times New Roman"/>
          <w:sz w:val="24"/>
          <w:szCs w:val="24"/>
          <w:lang w:eastAsia="lv-LV"/>
        </w:rPr>
        <w:t xml:space="preserve"> Pildegovičs</w:t>
      </w:r>
    </w:p>
    <w:p w:rsidR="004434C1" w:rsidRDefault="004434C1"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Pr="00EA0E86"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4434C1" w:rsidRPr="00EA0E86" w:rsidRDefault="004434C1" w:rsidP="004434C1">
      <w:pPr>
        <w:spacing w:after="0" w:line="240" w:lineRule="auto"/>
        <w:jc w:val="both"/>
        <w:rPr>
          <w:rFonts w:ascii="Times New Roman" w:eastAsia="Times New Roman" w:hAnsi="Times New Roman" w:cs="Times New Roman"/>
          <w:color w:val="000000"/>
          <w:sz w:val="24"/>
          <w:szCs w:val="24"/>
          <w:lang w:eastAsia="lv-LV"/>
        </w:rPr>
      </w:pPr>
    </w:p>
    <w:p w:rsidR="004434C1" w:rsidRPr="00666FB4" w:rsidRDefault="00EA0E86" w:rsidP="004434C1">
      <w:pPr>
        <w:spacing w:after="0" w:line="240" w:lineRule="auto"/>
        <w:jc w:val="both"/>
        <w:rPr>
          <w:rFonts w:ascii="Times New Roman" w:hAnsi="Times New Roman" w:cs="Times New Roman"/>
          <w:sz w:val="20"/>
          <w:szCs w:val="20"/>
        </w:rPr>
      </w:pPr>
      <w:r w:rsidRPr="00666FB4">
        <w:rPr>
          <w:rFonts w:ascii="Times New Roman" w:hAnsi="Times New Roman" w:cs="Times New Roman"/>
          <w:sz w:val="20"/>
          <w:szCs w:val="20"/>
        </w:rPr>
        <w:t>D.Cildermane</w:t>
      </w:r>
    </w:p>
    <w:p w:rsidR="004434C1" w:rsidRDefault="004434C1" w:rsidP="004434C1">
      <w:pPr>
        <w:spacing w:after="0" w:line="240" w:lineRule="auto"/>
        <w:jc w:val="both"/>
        <w:rPr>
          <w:rFonts w:ascii="Times New Roman" w:hAnsi="Times New Roman" w:cs="Times New Roman"/>
          <w:sz w:val="20"/>
          <w:szCs w:val="20"/>
          <w:lang w:val="en-US"/>
        </w:rPr>
      </w:pPr>
      <w:r w:rsidRPr="00666FB4">
        <w:rPr>
          <w:rFonts w:ascii="Times New Roman" w:hAnsi="Times New Roman" w:cs="Times New Roman"/>
          <w:sz w:val="20"/>
          <w:szCs w:val="20"/>
        </w:rPr>
        <w:t>670</w:t>
      </w:r>
      <w:r w:rsidR="00EA0E86" w:rsidRPr="00666FB4">
        <w:rPr>
          <w:rFonts w:ascii="Times New Roman" w:hAnsi="Times New Roman" w:cs="Times New Roman"/>
          <w:sz w:val="20"/>
          <w:szCs w:val="20"/>
        </w:rPr>
        <w:t>16149</w:t>
      </w:r>
      <w:r w:rsidRPr="00666FB4">
        <w:rPr>
          <w:rFonts w:ascii="Times New Roman" w:hAnsi="Times New Roman" w:cs="Times New Roman"/>
          <w:sz w:val="20"/>
          <w:szCs w:val="20"/>
        </w:rPr>
        <w:t xml:space="preserve">, </w:t>
      </w:r>
      <w:hyperlink r:id="rId9" w:history="1">
        <w:r w:rsidR="00EA0E86" w:rsidRPr="00666FB4">
          <w:rPr>
            <w:rStyle w:val="Hyperlink"/>
            <w:rFonts w:ascii="Times New Roman" w:hAnsi="Times New Roman" w:cs="Times New Roman"/>
            <w:sz w:val="20"/>
            <w:szCs w:val="20"/>
          </w:rPr>
          <w:t>dace.ci</w:t>
        </w:r>
        <w:r w:rsidR="00EA0E86" w:rsidRPr="00E57294">
          <w:rPr>
            <w:rStyle w:val="Hyperlink"/>
            <w:rFonts w:ascii="Times New Roman" w:hAnsi="Times New Roman" w:cs="Times New Roman"/>
            <w:sz w:val="20"/>
            <w:szCs w:val="20"/>
            <w:lang w:val="en-US"/>
          </w:rPr>
          <w:t>ldermane@mfa.gov.lv</w:t>
        </w:r>
      </w:hyperlink>
      <w:r w:rsidR="00EA0E86">
        <w:rPr>
          <w:rFonts w:ascii="Times New Roman" w:hAnsi="Times New Roman" w:cs="Times New Roman"/>
          <w:sz w:val="20"/>
          <w:szCs w:val="20"/>
          <w:lang w:val="en-US"/>
        </w:rPr>
        <w:t xml:space="preserve"> </w:t>
      </w:r>
    </w:p>
    <w:sectPr w:rsidR="004434C1" w:rsidSect="006411E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92" w:rsidRDefault="000F7792" w:rsidP="0040394A">
      <w:pPr>
        <w:spacing w:after="0" w:line="240" w:lineRule="auto"/>
      </w:pPr>
      <w:r>
        <w:separator/>
      </w:r>
    </w:p>
  </w:endnote>
  <w:endnote w:type="continuationSeparator" w:id="0">
    <w:p w:rsidR="000F7792" w:rsidRDefault="000F7792" w:rsidP="0040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4A" w:rsidRPr="00BA6E43" w:rsidRDefault="0040394A">
    <w:pPr>
      <w:pStyle w:val="Footer"/>
      <w:rPr>
        <w:rFonts w:ascii="Times New Roman" w:hAnsi="Times New Roman" w:cs="Times New Roman"/>
        <w:sz w:val="20"/>
        <w:szCs w:val="20"/>
      </w:rPr>
    </w:pPr>
    <w:r w:rsidRPr="00BA6E43">
      <w:rPr>
        <w:rFonts w:ascii="Times New Roman" w:hAnsi="Times New Roman" w:cs="Times New Roman"/>
        <w:sz w:val="20"/>
        <w:szCs w:val="20"/>
      </w:rPr>
      <w:t>AMAnot_CZ_</w:t>
    </w:r>
    <w:r w:rsidR="006E39B1">
      <w:rPr>
        <w:rFonts w:ascii="Times New Roman" w:hAnsi="Times New Roman" w:cs="Times New Roman"/>
        <w:sz w:val="20"/>
        <w:szCs w:val="20"/>
      </w:rPr>
      <w:t>1</w:t>
    </w:r>
    <w:r w:rsidR="00D255DE">
      <w:rPr>
        <w:rFonts w:ascii="Times New Roman" w:hAnsi="Times New Roman" w:cs="Times New Roman"/>
        <w:sz w:val="20"/>
        <w:szCs w:val="20"/>
      </w:rPr>
      <w:t>1</w:t>
    </w:r>
    <w:r w:rsidRPr="00BA6E43">
      <w:rPr>
        <w:rFonts w:ascii="Times New Roman" w:hAnsi="Times New Roman" w:cs="Times New Roman"/>
        <w:sz w:val="20"/>
        <w:szCs w:val="20"/>
      </w:rPr>
      <w:t xml:space="preserve"> 2017</w:t>
    </w:r>
  </w:p>
  <w:p w:rsidR="0040394A" w:rsidRDefault="0040394A">
    <w:pPr>
      <w:pStyle w:val="Footer"/>
    </w:pPr>
  </w:p>
  <w:p w:rsidR="0040394A" w:rsidRDefault="0040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92" w:rsidRDefault="000F7792" w:rsidP="0040394A">
      <w:pPr>
        <w:spacing w:after="0" w:line="240" w:lineRule="auto"/>
      </w:pPr>
      <w:r>
        <w:separator/>
      </w:r>
    </w:p>
  </w:footnote>
  <w:footnote w:type="continuationSeparator" w:id="0">
    <w:p w:rsidR="000F7792" w:rsidRDefault="000F7792" w:rsidP="00403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4906"/>
    <w:multiLevelType w:val="hybridMultilevel"/>
    <w:tmpl w:val="62CA7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C4A6EFE"/>
    <w:multiLevelType w:val="hybridMultilevel"/>
    <w:tmpl w:val="15047ECA"/>
    <w:lvl w:ilvl="0" w:tplc="72B2821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C1"/>
    <w:rsid w:val="00001855"/>
    <w:rsid w:val="00045DD2"/>
    <w:rsid w:val="00051D09"/>
    <w:rsid w:val="000767D1"/>
    <w:rsid w:val="000C3294"/>
    <w:rsid w:val="000D5E7B"/>
    <w:rsid w:val="000E6AF6"/>
    <w:rsid w:val="000F7792"/>
    <w:rsid w:val="00102243"/>
    <w:rsid w:val="0012386A"/>
    <w:rsid w:val="00151B0B"/>
    <w:rsid w:val="001B71B1"/>
    <w:rsid w:val="001C3188"/>
    <w:rsid w:val="001D07CA"/>
    <w:rsid w:val="001F4012"/>
    <w:rsid w:val="00230ECB"/>
    <w:rsid w:val="00251C44"/>
    <w:rsid w:val="002E6992"/>
    <w:rsid w:val="002F79C8"/>
    <w:rsid w:val="00397272"/>
    <w:rsid w:val="0040394A"/>
    <w:rsid w:val="00404C7F"/>
    <w:rsid w:val="004434C1"/>
    <w:rsid w:val="00457CA4"/>
    <w:rsid w:val="00460643"/>
    <w:rsid w:val="004C236B"/>
    <w:rsid w:val="004C6ACF"/>
    <w:rsid w:val="005147DD"/>
    <w:rsid w:val="005231C0"/>
    <w:rsid w:val="005B61F2"/>
    <w:rsid w:val="005D6B32"/>
    <w:rsid w:val="005E3EA1"/>
    <w:rsid w:val="005F0A56"/>
    <w:rsid w:val="00604F97"/>
    <w:rsid w:val="0062186B"/>
    <w:rsid w:val="006411EA"/>
    <w:rsid w:val="006637E4"/>
    <w:rsid w:val="00666FB4"/>
    <w:rsid w:val="006734F5"/>
    <w:rsid w:val="006B1834"/>
    <w:rsid w:val="006E39B1"/>
    <w:rsid w:val="00701702"/>
    <w:rsid w:val="007C2522"/>
    <w:rsid w:val="007E03CB"/>
    <w:rsid w:val="0087405B"/>
    <w:rsid w:val="00897EA7"/>
    <w:rsid w:val="008A053A"/>
    <w:rsid w:val="008C5354"/>
    <w:rsid w:val="00906CDB"/>
    <w:rsid w:val="00914806"/>
    <w:rsid w:val="00982ED2"/>
    <w:rsid w:val="009A638A"/>
    <w:rsid w:val="00A225A3"/>
    <w:rsid w:val="00A4004F"/>
    <w:rsid w:val="00A837EF"/>
    <w:rsid w:val="00A95350"/>
    <w:rsid w:val="00AE0A3C"/>
    <w:rsid w:val="00AE303F"/>
    <w:rsid w:val="00B45D49"/>
    <w:rsid w:val="00B95C7A"/>
    <w:rsid w:val="00BA6E43"/>
    <w:rsid w:val="00C701C1"/>
    <w:rsid w:val="00CC1448"/>
    <w:rsid w:val="00CC7935"/>
    <w:rsid w:val="00D255DE"/>
    <w:rsid w:val="00D27352"/>
    <w:rsid w:val="00D616CA"/>
    <w:rsid w:val="00D7200E"/>
    <w:rsid w:val="00DB62FE"/>
    <w:rsid w:val="00DE1283"/>
    <w:rsid w:val="00E04F4D"/>
    <w:rsid w:val="00E869A0"/>
    <w:rsid w:val="00E9251D"/>
    <w:rsid w:val="00EA0E86"/>
    <w:rsid w:val="00EE6C07"/>
    <w:rsid w:val="00F5385A"/>
    <w:rsid w:val="00F61F6D"/>
    <w:rsid w:val="00F962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C1"/>
    <w:rPr>
      <w:color w:val="0000FF" w:themeColor="hyperlink"/>
      <w:u w:val="single"/>
    </w:rPr>
  </w:style>
  <w:style w:type="table" w:styleId="TableGrid">
    <w:name w:val="Table Grid"/>
    <w:basedOn w:val="TableNormal"/>
    <w:rsid w:val="004434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0E86"/>
    <w:pPr>
      <w:spacing w:after="0" w:line="240" w:lineRule="auto"/>
    </w:p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EA0E8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locked/>
    <w:rsid w:val="00EA0E8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3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94A"/>
    <w:rPr>
      <w:sz w:val="20"/>
      <w:szCs w:val="20"/>
    </w:rPr>
  </w:style>
  <w:style w:type="character" w:styleId="FootnoteReference">
    <w:name w:val="footnote reference"/>
    <w:basedOn w:val="DefaultParagraphFont"/>
    <w:uiPriority w:val="99"/>
    <w:semiHidden/>
    <w:unhideWhenUsed/>
    <w:rsid w:val="0040394A"/>
    <w:rPr>
      <w:vertAlign w:val="superscript"/>
    </w:rPr>
  </w:style>
  <w:style w:type="paragraph" w:styleId="Header">
    <w:name w:val="header"/>
    <w:basedOn w:val="Normal"/>
    <w:link w:val="HeaderChar"/>
    <w:uiPriority w:val="99"/>
    <w:unhideWhenUsed/>
    <w:rsid w:val="004039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94A"/>
  </w:style>
  <w:style w:type="paragraph" w:styleId="Footer">
    <w:name w:val="footer"/>
    <w:basedOn w:val="Normal"/>
    <w:link w:val="FooterChar"/>
    <w:uiPriority w:val="99"/>
    <w:unhideWhenUsed/>
    <w:rsid w:val="004039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94A"/>
  </w:style>
  <w:style w:type="paragraph" w:styleId="BalloonText">
    <w:name w:val="Balloon Text"/>
    <w:basedOn w:val="Normal"/>
    <w:link w:val="BalloonTextChar"/>
    <w:uiPriority w:val="99"/>
    <w:semiHidden/>
    <w:unhideWhenUsed/>
    <w:rsid w:val="0040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4A"/>
    <w:rPr>
      <w:rFonts w:ascii="Tahoma" w:hAnsi="Tahoma" w:cs="Tahoma"/>
      <w:sz w:val="16"/>
      <w:szCs w:val="16"/>
    </w:rPr>
  </w:style>
  <w:style w:type="character" w:styleId="CommentReference">
    <w:name w:val="annotation reference"/>
    <w:basedOn w:val="DefaultParagraphFont"/>
    <w:uiPriority w:val="99"/>
    <w:semiHidden/>
    <w:unhideWhenUsed/>
    <w:rsid w:val="000E6AF6"/>
    <w:rPr>
      <w:sz w:val="16"/>
      <w:szCs w:val="16"/>
    </w:rPr>
  </w:style>
  <w:style w:type="paragraph" w:styleId="CommentText">
    <w:name w:val="annotation text"/>
    <w:basedOn w:val="Normal"/>
    <w:link w:val="CommentTextChar"/>
    <w:uiPriority w:val="99"/>
    <w:semiHidden/>
    <w:unhideWhenUsed/>
    <w:rsid w:val="000E6AF6"/>
    <w:pPr>
      <w:spacing w:line="240" w:lineRule="auto"/>
    </w:pPr>
    <w:rPr>
      <w:sz w:val="20"/>
      <w:szCs w:val="20"/>
    </w:rPr>
  </w:style>
  <w:style w:type="character" w:customStyle="1" w:styleId="CommentTextChar">
    <w:name w:val="Comment Text Char"/>
    <w:basedOn w:val="DefaultParagraphFont"/>
    <w:link w:val="CommentText"/>
    <w:uiPriority w:val="99"/>
    <w:semiHidden/>
    <w:rsid w:val="000E6AF6"/>
    <w:rPr>
      <w:sz w:val="20"/>
      <w:szCs w:val="20"/>
    </w:rPr>
  </w:style>
  <w:style w:type="paragraph" w:styleId="CommentSubject">
    <w:name w:val="annotation subject"/>
    <w:basedOn w:val="CommentText"/>
    <w:next w:val="CommentText"/>
    <w:link w:val="CommentSubjectChar"/>
    <w:uiPriority w:val="99"/>
    <w:semiHidden/>
    <w:unhideWhenUsed/>
    <w:rsid w:val="000E6AF6"/>
    <w:rPr>
      <w:b/>
      <w:bCs/>
    </w:rPr>
  </w:style>
  <w:style w:type="character" w:customStyle="1" w:styleId="CommentSubjectChar">
    <w:name w:val="Comment Subject Char"/>
    <w:basedOn w:val="CommentTextChar"/>
    <w:link w:val="CommentSubject"/>
    <w:uiPriority w:val="99"/>
    <w:semiHidden/>
    <w:rsid w:val="000E6A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C1"/>
    <w:rPr>
      <w:color w:val="0000FF" w:themeColor="hyperlink"/>
      <w:u w:val="single"/>
    </w:rPr>
  </w:style>
  <w:style w:type="table" w:styleId="TableGrid">
    <w:name w:val="Table Grid"/>
    <w:basedOn w:val="TableNormal"/>
    <w:rsid w:val="004434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0E86"/>
    <w:pPr>
      <w:spacing w:after="0" w:line="240" w:lineRule="auto"/>
    </w:p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EA0E8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locked/>
    <w:rsid w:val="00EA0E8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3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94A"/>
    <w:rPr>
      <w:sz w:val="20"/>
      <w:szCs w:val="20"/>
    </w:rPr>
  </w:style>
  <w:style w:type="character" w:styleId="FootnoteReference">
    <w:name w:val="footnote reference"/>
    <w:basedOn w:val="DefaultParagraphFont"/>
    <w:uiPriority w:val="99"/>
    <w:semiHidden/>
    <w:unhideWhenUsed/>
    <w:rsid w:val="0040394A"/>
    <w:rPr>
      <w:vertAlign w:val="superscript"/>
    </w:rPr>
  </w:style>
  <w:style w:type="paragraph" w:styleId="Header">
    <w:name w:val="header"/>
    <w:basedOn w:val="Normal"/>
    <w:link w:val="HeaderChar"/>
    <w:uiPriority w:val="99"/>
    <w:unhideWhenUsed/>
    <w:rsid w:val="004039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94A"/>
  </w:style>
  <w:style w:type="paragraph" w:styleId="Footer">
    <w:name w:val="footer"/>
    <w:basedOn w:val="Normal"/>
    <w:link w:val="FooterChar"/>
    <w:uiPriority w:val="99"/>
    <w:unhideWhenUsed/>
    <w:rsid w:val="004039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94A"/>
  </w:style>
  <w:style w:type="paragraph" w:styleId="BalloonText">
    <w:name w:val="Balloon Text"/>
    <w:basedOn w:val="Normal"/>
    <w:link w:val="BalloonTextChar"/>
    <w:uiPriority w:val="99"/>
    <w:semiHidden/>
    <w:unhideWhenUsed/>
    <w:rsid w:val="0040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4A"/>
    <w:rPr>
      <w:rFonts w:ascii="Tahoma" w:hAnsi="Tahoma" w:cs="Tahoma"/>
      <w:sz w:val="16"/>
      <w:szCs w:val="16"/>
    </w:rPr>
  </w:style>
  <w:style w:type="character" w:styleId="CommentReference">
    <w:name w:val="annotation reference"/>
    <w:basedOn w:val="DefaultParagraphFont"/>
    <w:uiPriority w:val="99"/>
    <w:semiHidden/>
    <w:unhideWhenUsed/>
    <w:rsid w:val="000E6AF6"/>
    <w:rPr>
      <w:sz w:val="16"/>
      <w:szCs w:val="16"/>
    </w:rPr>
  </w:style>
  <w:style w:type="paragraph" w:styleId="CommentText">
    <w:name w:val="annotation text"/>
    <w:basedOn w:val="Normal"/>
    <w:link w:val="CommentTextChar"/>
    <w:uiPriority w:val="99"/>
    <w:semiHidden/>
    <w:unhideWhenUsed/>
    <w:rsid w:val="000E6AF6"/>
    <w:pPr>
      <w:spacing w:line="240" w:lineRule="auto"/>
    </w:pPr>
    <w:rPr>
      <w:sz w:val="20"/>
      <w:szCs w:val="20"/>
    </w:rPr>
  </w:style>
  <w:style w:type="character" w:customStyle="1" w:styleId="CommentTextChar">
    <w:name w:val="Comment Text Char"/>
    <w:basedOn w:val="DefaultParagraphFont"/>
    <w:link w:val="CommentText"/>
    <w:uiPriority w:val="99"/>
    <w:semiHidden/>
    <w:rsid w:val="000E6AF6"/>
    <w:rPr>
      <w:sz w:val="20"/>
      <w:szCs w:val="20"/>
    </w:rPr>
  </w:style>
  <w:style w:type="paragraph" w:styleId="CommentSubject">
    <w:name w:val="annotation subject"/>
    <w:basedOn w:val="CommentText"/>
    <w:next w:val="CommentText"/>
    <w:link w:val="CommentSubjectChar"/>
    <w:uiPriority w:val="99"/>
    <w:semiHidden/>
    <w:unhideWhenUsed/>
    <w:rsid w:val="000E6AF6"/>
    <w:rPr>
      <w:b/>
      <w:bCs/>
    </w:rPr>
  </w:style>
  <w:style w:type="character" w:customStyle="1" w:styleId="CommentSubjectChar">
    <w:name w:val="Comment Subject Char"/>
    <w:basedOn w:val="CommentTextChar"/>
    <w:link w:val="CommentSubject"/>
    <w:uiPriority w:val="99"/>
    <w:semiHidden/>
    <w:rsid w:val="000E6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6611">
      <w:bodyDiv w:val="1"/>
      <w:marLeft w:val="0"/>
      <w:marRight w:val="0"/>
      <w:marTop w:val="0"/>
      <w:marBottom w:val="0"/>
      <w:divBdr>
        <w:top w:val="none" w:sz="0" w:space="0" w:color="auto"/>
        <w:left w:val="none" w:sz="0" w:space="0" w:color="auto"/>
        <w:bottom w:val="none" w:sz="0" w:space="0" w:color="auto"/>
        <w:right w:val="none" w:sz="0" w:space="0" w:color="auto"/>
      </w:divBdr>
    </w:div>
    <w:div w:id="1561938441">
      <w:bodyDiv w:val="1"/>
      <w:marLeft w:val="0"/>
      <w:marRight w:val="0"/>
      <w:marTop w:val="0"/>
      <w:marBottom w:val="0"/>
      <w:divBdr>
        <w:top w:val="none" w:sz="0" w:space="0" w:color="auto"/>
        <w:left w:val="none" w:sz="0" w:space="0" w:color="auto"/>
        <w:bottom w:val="none" w:sz="0" w:space="0" w:color="auto"/>
        <w:right w:val="none" w:sz="0" w:space="0" w:color="auto"/>
      </w:divBdr>
      <w:divsChild>
        <w:div w:id="837812256">
          <w:marLeft w:val="0"/>
          <w:marRight w:val="0"/>
          <w:marTop w:val="0"/>
          <w:marBottom w:val="0"/>
          <w:divBdr>
            <w:top w:val="none" w:sz="0" w:space="0" w:color="auto"/>
            <w:left w:val="none" w:sz="0" w:space="0" w:color="auto"/>
            <w:bottom w:val="none" w:sz="0" w:space="0" w:color="auto"/>
            <w:right w:val="none" w:sz="0" w:space="0" w:color="auto"/>
          </w:divBdr>
          <w:divsChild>
            <w:div w:id="2039618993">
              <w:marLeft w:val="0"/>
              <w:marRight w:val="0"/>
              <w:marTop w:val="0"/>
              <w:marBottom w:val="0"/>
              <w:divBdr>
                <w:top w:val="none" w:sz="0" w:space="0" w:color="auto"/>
                <w:left w:val="none" w:sz="0" w:space="0" w:color="auto"/>
                <w:bottom w:val="none" w:sz="0" w:space="0" w:color="auto"/>
                <w:right w:val="none" w:sz="0" w:space="0" w:color="auto"/>
              </w:divBdr>
              <w:divsChild>
                <w:div w:id="1156071168">
                  <w:marLeft w:val="0"/>
                  <w:marRight w:val="0"/>
                  <w:marTop w:val="0"/>
                  <w:marBottom w:val="0"/>
                  <w:divBdr>
                    <w:top w:val="none" w:sz="0" w:space="0" w:color="auto"/>
                    <w:left w:val="none" w:sz="0" w:space="0" w:color="auto"/>
                    <w:bottom w:val="none" w:sz="0" w:space="0" w:color="auto"/>
                    <w:right w:val="none" w:sz="0" w:space="0" w:color="auto"/>
                  </w:divBdr>
                  <w:divsChild>
                    <w:div w:id="774329315">
                      <w:marLeft w:val="0"/>
                      <w:marRight w:val="0"/>
                      <w:marTop w:val="0"/>
                      <w:marBottom w:val="0"/>
                      <w:divBdr>
                        <w:top w:val="none" w:sz="0" w:space="0" w:color="auto"/>
                        <w:left w:val="none" w:sz="0" w:space="0" w:color="auto"/>
                        <w:bottom w:val="none" w:sz="0" w:space="0" w:color="auto"/>
                        <w:right w:val="none" w:sz="0" w:space="0" w:color="auto"/>
                      </w:divBdr>
                      <w:divsChild>
                        <w:div w:id="1970622712">
                          <w:marLeft w:val="0"/>
                          <w:marRight w:val="0"/>
                          <w:marTop w:val="0"/>
                          <w:marBottom w:val="0"/>
                          <w:divBdr>
                            <w:top w:val="none" w:sz="0" w:space="0" w:color="auto"/>
                            <w:left w:val="none" w:sz="0" w:space="0" w:color="auto"/>
                            <w:bottom w:val="none" w:sz="0" w:space="0" w:color="auto"/>
                            <w:right w:val="none" w:sz="0" w:space="0" w:color="auto"/>
                          </w:divBdr>
                          <w:divsChild>
                            <w:div w:id="985357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8897">
      <w:bodyDiv w:val="1"/>
      <w:marLeft w:val="0"/>
      <w:marRight w:val="0"/>
      <w:marTop w:val="0"/>
      <w:marBottom w:val="0"/>
      <w:divBdr>
        <w:top w:val="none" w:sz="0" w:space="0" w:color="auto"/>
        <w:left w:val="none" w:sz="0" w:space="0" w:color="auto"/>
        <w:bottom w:val="none" w:sz="0" w:space="0" w:color="auto"/>
        <w:right w:val="none" w:sz="0" w:space="0" w:color="auto"/>
      </w:divBdr>
    </w:div>
    <w:div w:id="19599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ce.cilderman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5AB1-94BB-444E-8520-CA02D40B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5957</Words>
  <Characters>3396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Jekaterina Borovika</cp:lastModifiedBy>
  <cp:revision>2</cp:revision>
  <dcterms:created xsi:type="dcterms:W3CDTF">2017-11-07T14:02:00Z</dcterms:created>
  <dcterms:modified xsi:type="dcterms:W3CDTF">2017-11-07T14:02:00Z</dcterms:modified>
</cp:coreProperties>
</file>