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67AE4" w14:textId="28A0D847" w:rsidR="005A2ACB" w:rsidRDefault="003F5A60" w:rsidP="009B5AF2">
      <w:pPr>
        <w:spacing w:before="100" w:beforeAutospacing="1" w:after="240"/>
        <w:jc w:val="center"/>
        <w:rPr>
          <w:rStyle w:val="Strong"/>
        </w:rPr>
      </w:pPr>
      <w:r w:rsidRPr="00C927DB">
        <w:rPr>
          <w:rStyle w:val="Strong"/>
        </w:rPr>
        <w:t xml:space="preserve">Ministru kabineta noteikumu projekta </w:t>
      </w:r>
      <w:r w:rsidR="00C363A4">
        <w:rPr>
          <w:rStyle w:val="Strong"/>
        </w:rPr>
        <w:t>“</w:t>
      </w:r>
      <w:r w:rsidR="000937CE">
        <w:rPr>
          <w:rStyle w:val="Strong"/>
        </w:rPr>
        <w:t xml:space="preserve">Grozījumi Ministru kabineta 2014.gada 25.marta noteikumos Nr.156 </w:t>
      </w:r>
      <w:r w:rsidR="00C363A4">
        <w:rPr>
          <w:rStyle w:val="Strong"/>
        </w:rPr>
        <w:t>“</w:t>
      </w:r>
      <w:r w:rsidR="00CE4D99">
        <w:rPr>
          <w:rStyle w:val="Strong"/>
        </w:rPr>
        <w:t>Būvizstrādājumu tirgus uzraudzības kārtība</w:t>
      </w:r>
      <w:r w:rsidR="00C927DB">
        <w:rPr>
          <w:rStyle w:val="Strong"/>
        </w:rPr>
        <w:t>”</w:t>
      </w:r>
      <w:r w:rsidR="000937CE">
        <w:rPr>
          <w:rStyle w:val="Strong"/>
        </w:rPr>
        <w:t>”</w:t>
      </w:r>
      <w:r w:rsidR="00CE4D99">
        <w:rPr>
          <w:rStyle w:val="Strong"/>
        </w:rPr>
        <w:t xml:space="preserve"> </w:t>
      </w:r>
      <w:r w:rsidR="005A2ACB" w:rsidRPr="00C927DB">
        <w:rPr>
          <w:rStyle w:val="Strong"/>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78"/>
        <w:gridCol w:w="2437"/>
        <w:gridCol w:w="6140"/>
      </w:tblGrid>
      <w:tr w:rsidR="005A2ACB" w:rsidRPr="005C7D63" w14:paraId="2B379A03" w14:textId="77777777" w:rsidTr="009B5AF2">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114550C0" w14:textId="77777777" w:rsidR="005A2ACB" w:rsidRPr="005C7D63" w:rsidRDefault="005A2ACB" w:rsidP="005A2ACB">
            <w:pPr>
              <w:spacing w:before="100" w:beforeAutospacing="1" w:after="100" w:afterAutospacing="1"/>
              <w:jc w:val="center"/>
              <w:rPr>
                <w:rFonts w:eastAsia="Times New Roman" w:cs="Times New Roman"/>
                <w:b/>
                <w:bCs/>
                <w:szCs w:val="28"/>
                <w:lang w:eastAsia="lv-LV"/>
              </w:rPr>
            </w:pPr>
            <w:r w:rsidRPr="005C7D63">
              <w:rPr>
                <w:rFonts w:eastAsia="Times New Roman" w:cs="Times New Roman"/>
                <w:b/>
                <w:bCs/>
                <w:szCs w:val="28"/>
                <w:lang w:eastAsia="lv-LV"/>
              </w:rPr>
              <w:t>I. Tiesību akta projekta izstrādes nepieciešamība</w:t>
            </w:r>
          </w:p>
        </w:tc>
      </w:tr>
      <w:tr w:rsidR="005A2ACB" w:rsidRPr="005C7D63" w14:paraId="41DE1FB4" w14:textId="77777777" w:rsidTr="009B5AF2">
        <w:trPr>
          <w:trHeight w:val="405"/>
          <w:tblCellSpacing w:w="15" w:type="dxa"/>
        </w:trPr>
        <w:tc>
          <w:tcPr>
            <w:tcW w:w="241" w:type="pct"/>
            <w:tcBorders>
              <w:top w:val="outset" w:sz="6" w:space="0" w:color="auto"/>
              <w:left w:val="outset" w:sz="6" w:space="0" w:color="auto"/>
              <w:bottom w:val="outset" w:sz="6" w:space="0" w:color="auto"/>
              <w:right w:val="outset" w:sz="6" w:space="0" w:color="auto"/>
            </w:tcBorders>
            <w:hideMark/>
          </w:tcPr>
          <w:p w14:paraId="0F1C2AC7" w14:textId="77777777" w:rsidR="005A2ACB" w:rsidRPr="005C7D63" w:rsidRDefault="005A2ACB" w:rsidP="005A2ACB">
            <w:pPr>
              <w:spacing w:before="100" w:beforeAutospacing="1" w:after="100" w:afterAutospacing="1"/>
              <w:jc w:val="center"/>
              <w:rPr>
                <w:rFonts w:eastAsia="Times New Roman" w:cs="Times New Roman"/>
                <w:szCs w:val="28"/>
                <w:lang w:eastAsia="lv-LV"/>
              </w:rPr>
            </w:pPr>
            <w:r w:rsidRPr="005C7D63">
              <w:rPr>
                <w:rFonts w:eastAsia="Times New Roman" w:cs="Times New Roman"/>
                <w:szCs w:val="28"/>
                <w:lang w:eastAsia="lv-LV"/>
              </w:rPr>
              <w:t>1.</w:t>
            </w:r>
          </w:p>
        </w:tc>
        <w:tc>
          <w:tcPr>
            <w:tcW w:w="1338" w:type="pct"/>
            <w:tcBorders>
              <w:top w:val="outset" w:sz="6" w:space="0" w:color="auto"/>
              <w:left w:val="outset" w:sz="6" w:space="0" w:color="auto"/>
              <w:bottom w:val="outset" w:sz="6" w:space="0" w:color="auto"/>
              <w:right w:val="outset" w:sz="6" w:space="0" w:color="auto"/>
            </w:tcBorders>
            <w:hideMark/>
          </w:tcPr>
          <w:p w14:paraId="46A1C4EC" w14:textId="77777777" w:rsidR="005A2ACB" w:rsidRPr="005C7D63" w:rsidRDefault="005A2ACB" w:rsidP="003B2C2B">
            <w:pPr>
              <w:ind w:left="82" w:right="97" w:firstLine="284"/>
              <w:jc w:val="both"/>
              <w:rPr>
                <w:rFonts w:eastAsia="Times New Roman" w:cs="Times New Roman"/>
                <w:szCs w:val="28"/>
                <w:lang w:eastAsia="lv-LV"/>
              </w:rPr>
            </w:pPr>
            <w:r w:rsidRPr="005C7D63">
              <w:rPr>
                <w:rFonts w:eastAsia="Times New Roman" w:cs="Times New Roman"/>
                <w:szCs w:val="28"/>
                <w:lang w:eastAsia="lv-LV"/>
              </w:rPr>
              <w:t>Pamatojums</w:t>
            </w:r>
          </w:p>
        </w:tc>
        <w:tc>
          <w:tcPr>
            <w:tcW w:w="3354" w:type="pct"/>
            <w:tcBorders>
              <w:top w:val="outset" w:sz="6" w:space="0" w:color="auto"/>
              <w:left w:val="outset" w:sz="6" w:space="0" w:color="auto"/>
              <w:bottom w:val="outset" w:sz="6" w:space="0" w:color="auto"/>
              <w:right w:val="outset" w:sz="6" w:space="0" w:color="auto"/>
            </w:tcBorders>
            <w:hideMark/>
          </w:tcPr>
          <w:p w14:paraId="470C6727" w14:textId="5CD57FD4" w:rsidR="000077FD" w:rsidRPr="005C7D63" w:rsidRDefault="000A549B" w:rsidP="003D7F1F">
            <w:pPr>
              <w:ind w:left="208" w:right="140" w:firstLine="284"/>
              <w:jc w:val="both"/>
              <w:rPr>
                <w:rFonts w:eastAsia="SimSun" w:cs="Times New Roman"/>
                <w:szCs w:val="28"/>
                <w:lang w:eastAsia="zh-CN"/>
              </w:rPr>
            </w:pPr>
            <w:r w:rsidRPr="005C7D63">
              <w:rPr>
                <w:rFonts w:eastAsia="SimSun" w:cs="Times New Roman"/>
                <w:szCs w:val="28"/>
                <w:lang w:eastAsia="zh-CN"/>
              </w:rPr>
              <w:t xml:space="preserve">Ministru kabineta noteikumu projekts „Grozījumi Ministru kabineta 2014.gada 25.marta noteikumos Nr.156 </w:t>
            </w:r>
            <w:r w:rsidR="00C363A4">
              <w:rPr>
                <w:rFonts w:eastAsia="SimSun" w:cs="Times New Roman"/>
                <w:szCs w:val="28"/>
                <w:lang w:eastAsia="zh-CN"/>
              </w:rPr>
              <w:t>“</w:t>
            </w:r>
            <w:r w:rsidRPr="005C7D63">
              <w:rPr>
                <w:rFonts w:eastAsia="SimSun" w:cs="Times New Roman"/>
                <w:szCs w:val="28"/>
                <w:lang w:eastAsia="zh-CN"/>
              </w:rPr>
              <w:t xml:space="preserve">Būvizstrādājumu tirgus uzraudzības kārtība”” (turpmāk – noteikumu projekts) ir izstrādāts </w:t>
            </w:r>
            <w:r w:rsidR="003D7F1F" w:rsidRPr="005C7D63">
              <w:rPr>
                <w:rFonts w:eastAsia="SimSun" w:cs="Times New Roman"/>
                <w:szCs w:val="28"/>
                <w:lang w:eastAsia="zh-CN"/>
              </w:rPr>
              <w:t xml:space="preserve">atbilstoši </w:t>
            </w:r>
            <w:r w:rsidRPr="005C7D63">
              <w:rPr>
                <w:rFonts w:eastAsia="SimSun" w:cs="Times New Roman"/>
                <w:szCs w:val="28"/>
                <w:lang w:eastAsia="zh-CN"/>
              </w:rPr>
              <w:t xml:space="preserve">Būvniecības likuma </w:t>
            </w:r>
            <w:r w:rsidR="00A9041E" w:rsidRPr="005C7D63">
              <w:rPr>
                <w:rFonts w:eastAsia="SimSun" w:cs="Times New Roman"/>
                <w:szCs w:val="28"/>
                <w:lang w:eastAsia="zh-CN"/>
              </w:rPr>
              <w:t>5.panta pirmās daļas 10.punkta</w:t>
            </w:r>
            <w:r w:rsidR="00847CB8" w:rsidRPr="005C7D63">
              <w:rPr>
                <w:rFonts w:eastAsia="SimSun" w:cs="Times New Roman"/>
                <w:szCs w:val="28"/>
                <w:lang w:eastAsia="zh-CN"/>
              </w:rPr>
              <w:t xml:space="preserve"> un likuma “Par atbilstības novērtēšanu” 7.panta otrās daļas</w:t>
            </w:r>
            <w:r w:rsidR="00A9041E" w:rsidRPr="005C7D63">
              <w:rPr>
                <w:rFonts w:eastAsia="SimSun" w:cs="Times New Roman"/>
                <w:szCs w:val="28"/>
                <w:lang w:eastAsia="zh-CN"/>
              </w:rPr>
              <w:t xml:space="preserve"> </w:t>
            </w:r>
            <w:r w:rsidRPr="005C7D63">
              <w:rPr>
                <w:rFonts w:eastAsia="SimSun" w:cs="Times New Roman"/>
                <w:szCs w:val="28"/>
                <w:lang w:eastAsia="zh-CN"/>
              </w:rPr>
              <w:t>deleģējumam.</w:t>
            </w:r>
          </w:p>
        </w:tc>
      </w:tr>
      <w:tr w:rsidR="005A2ACB" w:rsidRPr="005C7D63" w14:paraId="05232394" w14:textId="77777777" w:rsidTr="009B5AF2">
        <w:trPr>
          <w:trHeight w:val="465"/>
          <w:tblCellSpacing w:w="15" w:type="dxa"/>
        </w:trPr>
        <w:tc>
          <w:tcPr>
            <w:tcW w:w="241" w:type="pct"/>
            <w:tcBorders>
              <w:top w:val="outset" w:sz="6" w:space="0" w:color="auto"/>
              <w:left w:val="outset" w:sz="6" w:space="0" w:color="auto"/>
              <w:bottom w:val="outset" w:sz="6" w:space="0" w:color="auto"/>
              <w:right w:val="outset" w:sz="6" w:space="0" w:color="auto"/>
            </w:tcBorders>
            <w:hideMark/>
          </w:tcPr>
          <w:p w14:paraId="017322BF" w14:textId="77777777" w:rsidR="005A2ACB" w:rsidRPr="005C7D63" w:rsidRDefault="005A2ACB" w:rsidP="005A2ACB">
            <w:pPr>
              <w:spacing w:before="100" w:beforeAutospacing="1" w:after="100" w:afterAutospacing="1"/>
              <w:jc w:val="center"/>
              <w:rPr>
                <w:rFonts w:eastAsia="Times New Roman" w:cs="Times New Roman"/>
                <w:szCs w:val="28"/>
                <w:lang w:eastAsia="lv-LV"/>
              </w:rPr>
            </w:pPr>
            <w:r w:rsidRPr="005C7D63">
              <w:rPr>
                <w:rFonts w:eastAsia="Times New Roman" w:cs="Times New Roman"/>
                <w:szCs w:val="28"/>
                <w:lang w:eastAsia="lv-LV"/>
              </w:rPr>
              <w:t>2.</w:t>
            </w:r>
          </w:p>
        </w:tc>
        <w:tc>
          <w:tcPr>
            <w:tcW w:w="1338" w:type="pct"/>
            <w:tcBorders>
              <w:top w:val="outset" w:sz="6" w:space="0" w:color="auto"/>
              <w:left w:val="outset" w:sz="6" w:space="0" w:color="auto"/>
              <w:bottom w:val="outset" w:sz="6" w:space="0" w:color="auto"/>
              <w:right w:val="outset" w:sz="6" w:space="0" w:color="auto"/>
            </w:tcBorders>
            <w:hideMark/>
          </w:tcPr>
          <w:p w14:paraId="3908B182" w14:textId="77777777" w:rsidR="005A2ACB" w:rsidRPr="005C7D63" w:rsidRDefault="005A2ACB" w:rsidP="003B2C2B">
            <w:pPr>
              <w:ind w:left="82" w:right="97" w:firstLine="284"/>
              <w:jc w:val="both"/>
              <w:rPr>
                <w:rFonts w:eastAsia="Times New Roman" w:cs="Times New Roman"/>
                <w:szCs w:val="28"/>
                <w:lang w:eastAsia="lv-LV"/>
              </w:rPr>
            </w:pPr>
            <w:r w:rsidRPr="005C7D63">
              <w:rPr>
                <w:rFonts w:eastAsia="Times New Roman" w:cs="Times New Roman"/>
                <w:szCs w:val="28"/>
                <w:lang w:eastAsia="lv-LV"/>
              </w:rPr>
              <w:t>Pašreizējā situācija un problēmas, kuru risināšanai tiesību akta projekts izstrādāts, tiesiskā regulējuma mērķis un būtība</w:t>
            </w:r>
          </w:p>
        </w:tc>
        <w:tc>
          <w:tcPr>
            <w:tcW w:w="3354" w:type="pct"/>
            <w:tcBorders>
              <w:top w:val="outset" w:sz="6" w:space="0" w:color="auto"/>
              <w:left w:val="outset" w:sz="6" w:space="0" w:color="auto"/>
              <w:bottom w:val="outset" w:sz="6" w:space="0" w:color="auto"/>
              <w:right w:val="outset" w:sz="6" w:space="0" w:color="auto"/>
            </w:tcBorders>
          </w:tcPr>
          <w:p w14:paraId="1D8EA3F1" w14:textId="07F958F2" w:rsidR="00411D03" w:rsidRPr="005C7D63" w:rsidRDefault="00411D03" w:rsidP="005C7D63">
            <w:pPr>
              <w:ind w:left="253" w:right="196" w:firstLine="467"/>
              <w:jc w:val="both"/>
              <w:rPr>
                <w:rFonts w:eastAsia="Times New Roman" w:cs="Times New Roman"/>
                <w:szCs w:val="28"/>
              </w:rPr>
            </w:pPr>
            <w:r w:rsidRPr="005C7D63">
              <w:rPr>
                <w:rFonts w:eastAsia="Times New Roman" w:cs="Times New Roman"/>
                <w:szCs w:val="28"/>
              </w:rPr>
              <w:t xml:space="preserve">Ministru kabineta 2014.gada 25.marta noteikumu Nr.156 “Būvizstrādājumu tirgus </w:t>
            </w:r>
            <w:r w:rsidR="00E06B80" w:rsidRPr="005C7D63">
              <w:rPr>
                <w:rFonts w:eastAsia="Times New Roman" w:cs="Times New Roman"/>
                <w:szCs w:val="28"/>
              </w:rPr>
              <w:t>uzraudzības kārtība”</w:t>
            </w:r>
            <w:r w:rsidRPr="005C7D63">
              <w:rPr>
                <w:rFonts w:eastAsia="Times New Roman" w:cs="Times New Roman"/>
                <w:szCs w:val="28"/>
              </w:rPr>
              <w:t xml:space="preserve">  30.</w:t>
            </w:r>
            <w:r w:rsidRPr="005C7D63">
              <w:rPr>
                <w:rFonts w:eastAsia="Times New Roman" w:cs="Times New Roman"/>
                <w:szCs w:val="28"/>
                <w:vertAlign w:val="superscript"/>
              </w:rPr>
              <w:t>1</w:t>
            </w:r>
            <w:r w:rsidRPr="005C7D63">
              <w:rPr>
                <w:rFonts w:eastAsia="Times New Roman" w:cs="Times New Roman"/>
                <w:szCs w:val="28"/>
              </w:rPr>
              <w:t> punkts nosaka, ka būvizstrādājumiem, uz kuriem attiecināmi šo noteikumu 1. pielikumā minētie Latvijas valsts standarti, atbilstību novērtē saskaņā ar vienu no šo noteikumu 2. pielikumā norādītajām atbilstības novērtēšanas sistēmām, kas noteik</w:t>
            </w:r>
            <w:r w:rsidR="005C7D63">
              <w:rPr>
                <w:rFonts w:eastAsia="Times New Roman" w:cs="Times New Roman"/>
                <w:szCs w:val="28"/>
              </w:rPr>
              <w:t>ta attiecīgajā standartā</w:t>
            </w:r>
            <w:r w:rsidRPr="005C7D63">
              <w:rPr>
                <w:rFonts w:eastAsia="Times New Roman" w:cs="Times New Roman"/>
                <w:szCs w:val="28"/>
              </w:rPr>
              <w:t xml:space="preserve">. </w:t>
            </w:r>
            <w:r w:rsidR="00A57D7F">
              <w:rPr>
                <w:rFonts w:eastAsia="Times New Roman" w:cs="Times New Roman"/>
                <w:szCs w:val="28"/>
              </w:rPr>
              <w:t>Stiegrojuma tērauds</w:t>
            </w:r>
            <w:r w:rsidRPr="005C7D63">
              <w:rPr>
                <w:rFonts w:eastAsia="Times New Roman" w:cs="Times New Roman"/>
                <w:szCs w:val="28"/>
              </w:rPr>
              <w:t xml:space="preserve"> ir viens no šādiem būvizstrādājumiem, uz to ir attiecināms Latvijas v</w:t>
            </w:r>
            <w:r w:rsidR="00C363A4">
              <w:rPr>
                <w:rFonts w:eastAsia="Times New Roman" w:cs="Times New Roman"/>
                <w:szCs w:val="28"/>
              </w:rPr>
              <w:t>alsts standarts LVS 191-1:2012 “</w:t>
            </w:r>
            <w:r w:rsidRPr="005C7D63">
              <w:rPr>
                <w:rFonts w:eastAsia="Times New Roman" w:cs="Times New Roman"/>
                <w:szCs w:val="28"/>
              </w:rPr>
              <w:t>Tērauds betona stiegrošanai. 1. daļa: Metināmi un nemetināmi taisni stieņi, rituļi un attīta rituļa izstrādājumi. Tehniskie noteikumi un</w:t>
            </w:r>
            <w:r w:rsidR="00E06B80" w:rsidRPr="005C7D63">
              <w:rPr>
                <w:rFonts w:eastAsia="Times New Roman" w:cs="Times New Roman"/>
                <w:szCs w:val="28"/>
              </w:rPr>
              <w:t xml:space="preserve"> atbilstības novērtēšana</w:t>
            </w:r>
            <w:r w:rsidR="00C363A4">
              <w:rPr>
                <w:rFonts w:eastAsia="Times New Roman" w:cs="Times New Roman"/>
                <w:szCs w:val="28"/>
              </w:rPr>
              <w:t>”</w:t>
            </w:r>
            <w:r w:rsidR="00E06B80" w:rsidRPr="005C7D63">
              <w:rPr>
                <w:rFonts w:eastAsia="Times New Roman" w:cs="Times New Roman"/>
                <w:szCs w:val="28"/>
              </w:rPr>
              <w:t xml:space="preserve"> </w:t>
            </w:r>
            <w:r w:rsidRPr="005C7D63">
              <w:rPr>
                <w:rFonts w:eastAsia="Times New Roman" w:cs="Times New Roman"/>
                <w:szCs w:val="28"/>
              </w:rPr>
              <w:t xml:space="preserve">(turpmāk – </w:t>
            </w:r>
            <w:r w:rsidRPr="005C7D63">
              <w:rPr>
                <w:rFonts w:eastAsia="Times New Roman" w:cs="Times New Roman"/>
                <w:i/>
                <w:szCs w:val="28"/>
              </w:rPr>
              <w:t>Standarts LVS 191-1</w:t>
            </w:r>
            <w:r w:rsidRPr="005C7D63">
              <w:rPr>
                <w:rFonts w:eastAsia="Times New Roman" w:cs="Times New Roman"/>
                <w:szCs w:val="28"/>
              </w:rPr>
              <w:t>).</w:t>
            </w:r>
          </w:p>
          <w:p w14:paraId="04342015" w14:textId="5EF736E9" w:rsidR="00411D03" w:rsidRPr="005C7D63" w:rsidRDefault="00411D03" w:rsidP="005C7D63">
            <w:pPr>
              <w:ind w:left="253" w:right="196" w:firstLine="467"/>
              <w:jc w:val="both"/>
              <w:rPr>
                <w:rFonts w:eastAsia="Times New Roman" w:cs="Times New Roman"/>
                <w:szCs w:val="28"/>
              </w:rPr>
            </w:pPr>
            <w:r w:rsidRPr="005C7D63">
              <w:rPr>
                <w:rFonts w:eastAsia="Times New Roman" w:cs="Times New Roman"/>
                <w:szCs w:val="28"/>
              </w:rPr>
              <w:t xml:space="preserve">Patērētāju tiesību aizsardzības centrs (turpmāk – </w:t>
            </w:r>
            <w:r w:rsidRPr="005C7D63">
              <w:rPr>
                <w:rFonts w:eastAsia="Times New Roman" w:cs="Times New Roman"/>
                <w:i/>
                <w:szCs w:val="28"/>
              </w:rPr>
              <w:t>PTAC</w:t>
            </w:r>
            <w:r w:rsidRPr="005C7D63">
              <w:rPr>
                <w:rFonts w:eastAsia="Times New Roman" w:cs="Times New Roman"/>
                <w:szCs w:val="28"/>
              </w:rPr>
              <w:t>), realizējot būvizstrādājumu tirgus uzraudzību būvlaukumos, novēroja, ka</w:t>
            </w:r>
            <w:r w:rsidR="00D560DB" w:rsidRPr="005C7D63">
              <w:rPr>
                <w:rFonts w:eastAsia="Times New Roman" w:cs="Times New Roman"/>
                <w:szCs w:val="28"/>
              </w:rPr>
              <w:t xml:space="preserve"> </w:t>
            </w:r>
            <w:r w:rsidRPr="005C7D63">
              <w:rPr>
                <w:rFonts w:eastAsia="Times New Roman" w:cs="Times New Roman"/>
                <w:szCs w:val="28"/>
              </w:rPr>
              <w:t>Latvijas tirgū piedāvātais stiegrojum</w:t>
            </w:r>
            <w:r w:rsidR="00A57D7F">
              <w:rPr>
                <w:rFonts w:eastAsia="Times New Roman" w:cs="Times New Roman"/>
                <w:szCs w:val="28"/>
              </w:rPr>
              <w:t>a tērauds</w:t>
            </w:r>
            <w:r w:rsidRPr="005C7D63">
              <w:rPr>
                <w:rFonts w:eastAsia="Times New Roman" w:cs="Times New Roman"/>
                <w:szCs w:val="28"/>
              </w:rPr>
              <w:t xml:space="preserve">, ko ražo citu valstu ražotāji, tiek ražots pēc </w:t>
            </w:r>
            <w:r w:rsidR="005C7D63">
              <w:rPr>
                <w:rFonts w:eastAsia="Times New Roman" w:cs="Times New Roman"/>
                <w:szCs w:val="28"/>
              </w:rPr>
              <w:t>attiecīgo valstu standartiem</w:t>
            </w:r>
            <w:r w:rsidRPr="005C7D63">
              <w:rPr>
                <w:rFonts w:eastAsia="Times New Roman" w:cs="Times New Roman"/>
                <w:szCs w:val="28"/>
              </w:rPr>
              <w:t xml:space="preserve">. Standarts </w:t>
            </w:r>
            <w:r w:rsidRPr="005C7D63">
              <w:rPr>
                <w:rFonts w:eastAsia="Times New Roman" w:cs="Times New Roman"/>
                <w:i/>
                <w:szCs w:val="28"/>
              </w:rPr>
              <w:t>LVS 191-1</w:t>
            </w:r>
            <w:r w:rsidRPr="005C7D63">
              <w:rPr>
                <w:rFonts w:eastAsia="Times New Roman" w:cs="Times New Roman"/>
                <w:szCs w:val="28"/>
              </w:rPr>
              <w:t xml:space="preserve"> paredz, ka gadījumā, ja stiegrojum</w:t>
            </w:r>
            <w:r w:rsidR="00A57D7F">
              <w:rPr>
                <w:rFonts w:eastAsia="Times New Roman" w:cs="Times New Roman"/>
                <w:szCs w:val="28"/>
              </w:rPr>
              <w:t>a tērauds</w:t>
            </w:r>
            <w:r w:rsidRPr="005C7D63">
              <w:rPr>
                <w:rFonts w:eastAsia="Times New Roman" w:cs="Times New Roman"/>
                <w:szCs w:val="28"/>
              </w:rPr>
              <w:t xml:space="preserve"> nav ražots pēc </w:t>
            </w:r>
            <w:r w:rsidRPr="005C7D63">
              <w:rPr>
                <w:rFonts w:eastAsia="Times New Roman" w:cs="Times New Roman"/>
                <w:i/>
                <w:szCs w:val="28"/>
              </w:rPr>
              <w:t>LVS 191-1</w:t>
            </w:r>
            <w:r w:rsidRPr="005C7D63">
              <w:rPr>
                <w:rFonts w:eastAsia="Times New Roman" w:cs="Times New Roman"/>
                <w:szCs w:val="28"/>
              </w:rPr>
              <w:t xml:space="preserve">, tad, lai piegādātājs varētu apliecināt stiegrojuma </w:t>
            </w:r>
            <w:r w:rsidR="00A57D7F">
              <w:rPr>
                <w:rFonts w:eastAsia="Times New Roman" w:cs="Times New Roman"/>
                <w:szCs w:val="28"/>
              </w:rPr>
              <w:t xml:space="preserve">tērauda </w:t>
            </w:r>
            <w:r w:rsidRPr="005C7D63">
              <w:rPr>
                <w:rFonts w:eastAsia="Times New Roman" w:cs="Times New Roman"/>
                <w:szCs w:val="28"/>
              </w:rPr>
              <w:t>atbilstību standarta</w:t>
            </w:r>
            <w:r w:rsidRPr="005C7D63">
              <w:rPr>
                <w:rFonts w:eastAsia="Times New Roman" w:cs="Times New Roman"/>
                <w:i/>
                <w:szCs w:val="28"/>
              </w:rPr>
              <w:t xml:space="preserve"> LVS 191-1</w:t>
            </w:r>
            <w:r w:rsidRPr="005C7D63">
              <w:rPr>
                <w:rFonts w:eastAsia="Times New Roman" w:cs="Times New Roman"/>
                <w:szCs w:val="28"/>
              </w:rPr>
              <w:t xml:space="preserve"> prasībām, piegādātājam</w:t>
            </w:r>
            <w:r w:rsidRPr="005C7D63">
              <w:rPr>
                <w:rFonts w:eastAsia="Times New Roman" w:cs="Times New Roman"/>
                <w:i/>
                <w:szCs w:val="28"/>
              </w:rPr>
              <w:t xml:space="preserve"> </w:t>
            </w:r>
            <w:r w:rsidRPr="005C7D63">
              <w:rPr>
                <w:rFonts w:eastAsia="Times New Roman" w:cs="Times New Roman"/>
                <w:szCs w:val="28"/>
              </w:rPr>
              <w:t>jātestē katra partija, kas rada papildus finansiālu slogu. Kā pierādīja PTAC 2015.gadā veiktie s</w:t>
            </w:r>
            <w:r w:rsidR="00E2739F" w:rsidRPr="005C7D63">
              <w:rPr>
                <w:rFonts w:eastAsia="Times New Roman" w:cs="Times New Roman"/>
                <w:szCs w:val="28"/>
              </w:rPr>
              <w:t>tiegrojuma</w:t>
            </w:r>
            <w:r w:rsidR="00A57D7F">
              <w:rPr>
                <w:rFonts w:eastAsia="Times New Roman" w:cs="Times New Roman"/>
                <w:szCs w:val="28"/>
              </w:rPr>
              <w:t xml:space="preserve"> tērauda</w:t>
            </w:r>
            <w:r w:rsidR="00E2739F" w:rsidRPr="005C7D63">
              <w:rPr>
                <w:rFonts w:eastAsia="Times New Roman" w:cs="Times New Roman"/>
                <w:szCs w:val="28"/>
              </w:rPr>
              <w:t xml:space="preserve"> testēšanas rezultāti</w:t>
            </w:r>
            <w:r w:rsidRPr="005C7D63">
              <w:rPr>
                <w:rFonts w:eastAsia="Times New Roman" w:cs="Times New Roman"/>
                <w:szCs w:val="28"/>
              </w:rPr>
              <w:t>, Latvijas tirgū pieejamais stiegrojum</w:t>
            </w:r>
            <w:r w:rsidR="00A57D7F">
              <w:rPr>
                <w:rFonts w:eastAsia="Times New Roman" w:cs="Times New Roman"/>
                <w:szCs w:val="28"/>
              </w:rPr>
              <w:t>a tērauds</w:t>
            </w:r>
            <w:r w:rsidRPr="005C7D63">
              <w:rPr>
                <w:rFonts w:eastAsia="Times New Roman" w:cs="Times New Roman"/>
                <w:szCs w:val="28"/>
              </w:rPr>
              <w:t xml:space="preserve"> atbilst </w:t>
            </w:r>
            <w:r w:rsidRPr="005C7D63">
              <w:rPr>
                <w:rFonts w:eastAsia="Times New Roman" w:cs="Times New Roman"/>
                <w:i/>
                <w:szCs w:val="28"/>
              </w:rPr>
              <w:t>LVS 191-1</w:t>
            </w:r>
            <w:r w:rsidRPr="005C7D63">
              <w:rPr>
                <w:rFonts w:eastAsia="Times New Roman" w:cs="Times New Roman"/>
                <w:szCs w:val="28"/>
              </w:rPr>
              <w:t xml:space="preserve"> prasībām, neskatoties uz </w:t>
            </w:r>
            <w:r w:rsidRPr="005C7D63">
              <w:rPr>
                <w:rFonts w:eastAsia="Times New Roman" w:cs="Times New Roman"/>
                <w:szCs w:val="28"/>
              </w:rPr>
              <w:lastRenderedPageBreak/>
              <w:t xml:space="preserve">to, ka netiek ražots pēc </w:t>
            </w:r>
            <w:r w:rsidRPr="005C7D63">
              <w:rPr>
                <w:rFonts w:eastAsia="Times New Roman" w:cs="Times New Roman"/>
                <w:i/>
                <w:szCs w:val="28"/>
              </w:rPr>
              <w:t>LVS 191-1</w:t>
            </w:r>
            <w:r w:rsidRPr="005C7D63">
              <w:rPr>
                <w:rFonts w:eastAsia="Times New Roman" w:cs="Times New Roman"/>
                <w:szCs w:val="28"/>
              </w:rPr>
              <w:t>. Turklāt arī citu valstu ražotāji stiegrojuma</w:t>
            </w:r>
            <w:r w:rsidR="00A57D7F">
              <w:rPr>
                <w:rFonts w:eastAsia="Times New Roman" w:cs="Times New Roman"/>
                <w:szCs w:val="28"/>
              </w:rPr>
              <w:t xml:space="preserve"> tēraudam</w:t>
            </w:r>
            <w:r w:rsidRPr="005C7D63">
              <w:rPr>
                <w:rFonts w:eastAsia="Times New Roman" w:cs="Times New Roman"/>
                <w:szCs w:val="28"/>
              </w:rPr>
              <w:t xml:space="preserve"> pievienotajos dokumentos (sertifikāti, testēšanas ziņojumi u.tml.) norāda tās pašas īpašības, ko prasa deklarēt standarts </w:t>
            </w:r>
            <w:r w:rsidRPr="005C7D63">
              <w:rPr>
                <w:rFonts w:eastAsia="Times New Roman" w:cs="Times New Roman"/>
                <w:i/>
                <w:szCs w:val="28"/>
              </w:rPr>
              <w:t>LVS 191-1</w:t>
            </w:r>
            <w:r w:rsidRPr="005C7D63">
              <w:rPr>
                <w:rFonts w:eastAsia="Times New Roman" w:cs="Times New Roman"/>
                <w:szCs w:val="28"/>
              </w:rPr>
              <w:t xml:space="preserve">. </w:t>
            </w:r>
          </w:p>
          <w:p w14:paraId="5EBF7CB3" w14:textId="3F13D859" w:rsidR="00EC4649" w:rsidRPr="005C7D63" w:rsidRDefault="00EC4649" w:rsidP="005C7D63">
            <w:pPr>
              <w:ind w:left="253" w:right="196" w:firstLine="467"/>
              <w:jc w:val="both"/>
              <w:rPr>
                <w:rFonts w:eastAsia="SimSun" w:cs="Times New Roman"/>
                <w:szCs w:val="28"/>
                <w:lang w:eastAsia="zh-CN"/>
              </w:rPr>
            </w:pPr>
            <w:r w:rsidRPr="005C7D63">
              <w:rPr>
                <w:rFonts w:eastAsia="SimSun" w:cs="Times New Roman"/>
                <w:szCs w:val="28"/>
                <w:lang w:eastAsia="zh-CN"/>
              </w:rPr>
              <w:t xml:space="preserve">Eiropas Savienībā nav noteiktas vienotas prasības </w:t>
            </w:r>
            <w:r w:rsidR="00A57D7F">
              <w:rPr>
                <w:rFonts w:eastAsia="SimSun" w:cs="Times New Roman"/>
                <w:szCs w:val="28"/>
                <w:lang w:eastAsia="zh-CN"/>
              </w:rPr>
              <w:t>stiegrojuma tēraudam</w:t>
            </w:r>
            <w:r w:rsidRPr="005C7D63">
              <w:rPr>
                <w:rFonts w:eastAsia="SimSun" w:cs="Times New Roman"/>
                <w:szCs w:val="28"/>
                <w:lang w:eastAsia="zh-CN"/>
              </w:rPr>
              <w:t>, katrai dalībvalstij ir tiesības nacionālajā līmenī noteikt regulējumu attiecībā uz stiegrojuma</w:t>
            </w:r>
            <w:r w:rsidR="00A57D7F">
              <w:rPr>
                <w:rFonts w:eastAsia="SimSun" w:cs="Times New Roman"/>
                <w:szCs w:val="28"/>
                <w:lang w:eastAsia="zh-CN"/>
              </w:rPr>
              <w:t xml:space="preserve"> tērauda</w:t>
            </w:r>
            <w:r w:rsidRPr="005C7D63">
              <w:rPr>
                <w:rFonts w:eastAsia="SimSun" w:cs="Times New Roman"/>
                <w:szCs w:val="28"/>
                <w:lang w:eastAsia="zh-CN"/>
              </w:rPr>
              <w:t xml:space="preserve"> kvalitātes prasībām un izmantošanu būvniecības procesā, </w:t>
            </w:r>
            <w:r w:rsidR="00D87F78">
              <w:rPr>
                <w:rFonts w:eastAsia="SimSun" w:cs="Times New Roman"/>
                <w:szCs w:val="28"/>
                <w:lang w:eastAsia="zh-CN"/>
              </w:rPr>
              <w:t>tostarp</w:t>
            </w:r>
            <w:r w:rsidRPr="005C7D63">
              <w:rPr>
                <w:rFonts w:eastAsia="SimSun" w:cs="Times New Roman"/>
                <w:szCs w:val="28"/>
                <w:lang w:eastAsia="zh-CN"/>
              </w:rPr>
              <w:t xml:space="preserve"> izstrādājot nacionālo standartu un nosakot tā obligāto piemērošanu. Vienlaicīgi valsts var noteikt arī cita veida prasības vai vispār atturēties no prasību definēšanas. </w:t>
            </w:r>
          </w:p>
          <w:p w14:paraId="731FCC45" w14:textId="7DD966CE" w:rsidR="00EC4649" w:rsidRPr="005C7D63" w:rsidRDefault="00EC4649" w:rsidP="005C7D63">
            <w:pPr>
              <w:ind w:left="253" w:right="196" w:firstLine="467"/>
              <w:jc w:val="both"/>
              <w:rPr>
                <w:rFonts w:eastAsia="SimSun" w:cs="Times New Roman"/>
                <w:szCs w:val="28"/>
                <w:lang w:eastAsia="zh-CN"/>
              </w:rPr>
            </w:pPr>
            <w:r w:rsidRPr="005C7D63">
              <w:rPr>
                <w:rFonts w:eastAsia="SimSun" w:cs="Times New Roman"/>
                <w:szCs w:val="28"/>
                <w:lang w:eastAsia="zh-CN"/>
              </w:rPr>
              <w:t xml:space="preserve">Patreiz Latvijā ir izveidojusies situācija, ka vienīgi KVV “Liepājas metalurgs” ir izgājis atbilstības pārbaudes procesu un saņēmis savas produkcijas atbilstības sertifikātu. Pēc KVV “Liepājas metalurgs” darbības apturēšanas tirgū nav </w:t>
            </w:r>
            <w:r w:rsidR="00E06B80" w:rsidRPr="005C7D63">
              <w:rPr>
                <w:rFonts w:eastAsia="SimSun" w:cs="Times New Roman"/>
                <w:szCs w:val="28"/>
                <w:lang w:eastAsia="zh-CN"/>
              </w:rPr>
              <w:t>pieejam</w:t>
            </w:r>
            <w:r w:rsidR="00D87F78">
              <w:rPr>
                <w:rFonts w:eastAsia="SimSun" w:cs="Times New Roman"/>
                <w:szCs w:val="28"/>
                <w:lang w:eastAsia="zh-CN"/>
              </w:rPr>
              <w:t>s</w:t>
            </w:r>
            <w:r w:rsidR="00E06B80" w:rsidRPr="005C7D63">
              <w:rPr>
                <w:rFonts w:eastAsia="SimSun" w:cs="Times New Roman"/>
                <w:szCs w:val="28"/>
                <w:lang w:eastAsia="zh-CN"/>
              </w:rPr>
              <w:t xml:space="preserve"> stiegrojum</w:t>
            </w:r>
            <w:r w:rsidR="00A57D7F">
              <w:rPr>
                <w:rFonts w:eastAsia="SimSun" w:cs="Times New Roman"/>
                <w:szCs w:val="28"/>
                <w:lang w:eastAsia="zh-CN"/>
              </w:rPr>
              <w:t>a tērauds</w:t>
            </w:r>
            <w:r w:rsidR="00E06B80" w:rsidRPr="005C7D63">
              <w:rPr>
                <w:rFonts w:eastAsia="SimSun" w:cs="Times New Roman"/>
                <w:szCs w:val="28"/>
                <w:lang w:eastAsia="zh-CN"/>
              </w:rPr>
              <w:t>, kura</w:t>
            </w:r>
            <w:r w:rsidRPr="005C7D63">
              <w:rPr>
                <w:rFonts w:eastAsia="SimSun" w:cs="Times New Roman"/>
                <w:szCs w:val="28"/>
                <w:lang w:eastAsia="zh-CN"/>
              </w:rPr>
              <w:t xml:space="preserve"> atbilstība Latvijas standartam būtu novērtēta. Būvuzņēmēji, lai gan iegādājas būvizstrādājumus, kas atbilst Norvēģijas, Vācijas, Zviedrijas, Somijas standartiem, un nodrošina tādas pašas kvalitātes un drošības prasības, ir spiesti veikt katras stiegrojum</w:t>
            </w:r>
            <w:r w:rsidR="005C7D63">
              <w:rPr>
                <w:rFonts w:eastAsia="SimSun" w:cs="Times New Roman"/>
                <w:szCs w:val="28"/>
                <w:lang w:eastAsia="zh-CN"/>
              </w:rPr>
              <w:t xml:space="preserve">a </w:t>
            </w:r>
            <w:r w:rsidR="00A57D7F">
              <w:rPr>
                <w:rFonts w:eastAsia="SimSun" w:cs="Times New Roman"/>
                <w:szCs w:val="28"/>
                <w:lang w:eastAsia="zh-CN"/>
              </w:rPr>
              <w:t xml:space="preserve">tērauda </w:t>
            </w:r>
            <w:r w:rsidR="005C7D63">
              <w:rPr>
                <w:rFonts w:eastAsia="SimSun" w:cs="Times New Roman"/>
                <w:szCs w:val="28"/>
                <w:lang w:eastAsia="zh-CN"/>
              </w:rPr>
              <w:t>partijas atbilstības S</w:t>
            </w:r>
            <w:r w:rsidRPr="005C7D63">
              <w:rPr>
                <w:rFonts w:eastAsia="SimSun" w:cs="Times New Roman"/>
                <w:szCs w:val="28"/>
                <w:lang w:eastAsia="zh-CN"/>
              </w:rPr>
              <w:t xml:space="preserve">tandartam </w:t>
            </w:r>
            <w:r w:rsidR="005C7D63" w:rsidRPr="005C7D63">
              <w:rPr>
                <w:rFonts w:eastAsia="SimSun" w:cs="Times New Roman"/>
                <w:szCs w:val="28"/>
                <w:lang w:eastAsia="zh-CN"/>
              </w:rPr>
              <w:t>LVS 191-1</w:t>
            </w:r>
            <w:r w:rsidR="005C7D63">
              <w:rPr>
                <w:rFonts w:eastAsia="SimSun" w:cs="Times New Roman"/>
                <w:szCs w:val="28"/>
                <w:lang w:eastAsia="zh-CN"/>
              </w:rPr>
              <w:t xml:space="preserve"> </w:t>
            </w:r>
            <w:r w:rsidRPr="005C7D63">
              <w:rPr>
                <w:rFonts w:eastAsia="SimSun" w:cs="Times New Roman"/>
                <w:szCs w:val="28"/>
                <w:lang w:eastAsia="zh-CN"/>
              </w:rPr>
              <w:t xml:space="preserve">novērtējumu. </w:t>
            </w:r>
          </w:p>
          <w:p w14:paraId="25EC6CD4" w14:textId="471639DA" w:rsidR="00EC4649" w:rsidRPr="005C7D63" w:rsidRDefault="00EC4649" w:rsidP="005C7D63">
            <w:pPr>
              <w:ind w:left="253" w:right="196" w:firstLine="467"/>
              <w:jc w:val="both"/>
              <w:rPr>
                <w:rFonts w:eastAsia="SimSun" w:cs="Times New Roman"/>
                <w:szCs w:val="28"/>
                <w:lang w:eastAsia="zh-CN"/>
              </w:rPr>
            </w:pPr>
            <w:r w:rsidRPr="005C7D63">
              <w:rPr>
                <w:rFonts w:eastAsia="SimSun" w:cs="Times New Roman"/>
                <w:szCs w:val="28"/>
                <w:lang w:eastAsia="zh-CN"/>
              </w:rPr>
              <w:t>Eiropas Savienības dalībvalstīs darbojošies standarti satur līdzvērtīgas prasības attiecībā uz stiegrojuma</w:t>
            </w:r>
            <w:r w:rsidR="00A57D7F">
              <w:rPr>
                <w:rFonts w:eastAsia="SimSun" w:cs="Times New Roman"/>
                <w:szCs w:val="28"/>
                <w:lang w:eastAsia="zh-CN"/>
              </w:rPr>
              <w:t xml:space="preserve"> tērauda</w:t>
            </w:r>
            <w:r w:rsidRPr="005C7D63">
              <w:rPr>
                <w:rFonts w:eastAsia="SimSun" w:cs="Times New Roman"/>
                <w:szCs w:val="28"/>
                <w:lang w:eastAsia="zh-CN"/>
              </w:rPr>
              <w:t xml:space="preserve"> kvalitāti un īpašībām, līdz ar to, prasība katru stiegrojuma</w:t>
            </w:r>
            <w:r w:rsidR="00A57D7F">
              <w:rPr>
                <w:rFonts w:eastAsia="SimSun" w:cs="Times New Roman"/>
                <w:szCs w:val="28"/>
                <w:lang w:eastAsia="zh-CN"/>
              </w:rPr>
              <w:t xml:space="preserve"> tērauda</w:t>
            </w:r>
            <w:r w:rsidRPr="005C7D63">
              <w:rPr>
                <w:rFonts w:eastAsia="SimSun" w:cs="Times New Roman"/>
                <w:szCs w:val="28"/>
                <w:lang w:eastAsia="zh-CN"/>
              </w:rPr>
              <w:t xml:space="preserve"> kravu novērtēt atbilstoši Latvijas standarta prasībām nav lietderīga un rada birokrātisku slogu, kas kavē būvniecības procesu un rada zaudējumus. </w:t>
            </w:r>
          </w:p>
          <w:p w14:paraId="7A17BAEF" w14:textId="4EBBC605" w:rsidR="005C7D63" w:rsidRDefault="00EC4649" w:rsidP="005C7D63">
            <w:pPr>
              <w:ind w:left="253" w:right="196" w:firstLine="467"/>
              <w:jc w:val="both"/>
              <w:rPr>
                <w:rFonts w:eastAsia="SimSun" w:cs="Times New Roman"/>
                <w:szCs w:val="28"/>
                <w:lang w:eastAsia="zh-CN"/>
              </w:rPr>
            </w:pPr>
            <w:r w:rsidRPr="005C7D63">
              <w:rPr>
                <w:rFonts w:eastAsia="SimSun" w:cs="Times New Roman"/>
                <w:szCs w:val="28"/>
                <w:lang w:eastAsia="zh-CN"/>
              </w:rPr>
              <w:t xml:space="preserve">Ekonomikas ministrijas izveidotā darba grupa, kurā </w:t>
            </w:r>
            <w:r w:rsidR="00574538" w:rsidRPr="005C7D63">
              <w:rPr>
                <w:rFonts w:eastAsia="SimSun" w:cs="Times New Roman"/>
                <w:szCs w:val="28"/>
                <w:lang w:eastAsia="zh-CN"/>
              </w:rPr>
              <w:t>piedalījās</w:t>
            </w:r>
            <w:r w:rsidRPr="005C7D63">
              <w:rPr>
                <w:rFonts w:eastAsia="SimSun" w:cs="Times New Roman"/>
                <w:szCs w:val="28"/>
                <w:lang w:eastAsia="zh-CN"/>
              </w:rPr>
              <w:t xml:space="preserve"> nozares eksperti, </w:t>
            </w:r>
            <w:r w:rsidR="00D87F78">
              <w:rPr>
                <w:rFonts w:eastAsia="SimSun" w:cs="Times New Roman"/>
                <w:szCs w:val="28"/>
                <w:lang w:eastAsia="zh-CN"/>
              </w:rPr>
              <w:t>tostarp</w:t>
            </w:r>
            <w:r w:rsidRPr="005C7D63">
              <w:rPr>
                <w:rFonts w:eastAsia="SimSun" w:cs="Times New Roman"/>
                <w:szCs w:val="28"/>
                <w:lang w:eastAsia="zh-CN"/>
              </w:rPr>
              <w:t xml:space="preserve"> būvmateriālu ražotāji, izplatītāji, konstrukciju projektētāji, būvdarbu veicēji, Patērētāju tiesību aizsardzības centra pārstāvji, pārbaudot Eiropas </w:t>
            </w:r>
            <w:r w:rsidR="005C7D63" w:rsidRPr="005C7D63">
              <w:rPr>
                <w:rFonts w:eastAsia="SimSun" w:cs="Times New Roman"/>
                <w:szCs w:val="28"/>
                <w:lang w:eastAsia="zh-CN"/>
              </w:rPr>
              <w:t>Ekonomikas zonas</w:t>
            </w:r>
            <w:r w:rsidRPr="005C7D63">
              <w:rPr>
                <w:rFonts w:eastAsia="SimSun" w:cs="Times New Roman"/>
                <w:szCs w:val="28"/>
                <w:lang w:eastAsia="zh-CN"/>
              </w:rPr>
              <w:t xml:space="preserve"> dalībvalstu regulējumu un novērtējot prasības stiegrojuma</w:t>
            </w:r>
            <w:r w:rsidR="00A57D7F">
              <w:rPr>
                <w:rFonts w:eastAsia="SimSun" w:cs="Times New Roman"/>
                <w:szCs w:val="28"/>
                <w:lang w:eastAsia="zh-CN"/>
              </w:rPr>
              <w:t xml:space="preserve"> tēraudam</w:t>
            </w:r>
            <w:r w:rsidRPr="005C7D63">
              <w:rPr>
                <w:rFonts w:eastAsia="SimSun" w:cs="Times New Roman"/>
                <w:szCs w:val="28"/>
                <w:lang w:eastAsia="zh-CN"/>
              </w:rPr>
              <w:t xml:space="preserve">, nāca pie secinājuma, ka nav pamata uzskatīt, ka </w:t>
            </w:r>
            <w:r w:rsidR="00A57D7F">
              <w:rPr>
                <w:rFonts w:eastAsia="SimSun" w:cs="Times New Roman"/>
                <w:szCs w:val="28"/>
                <w:lang w:eastAsia="zh-CN"/>
              </w:rPr>
              <w:t xml:space="preserve">stiegrojuma </w:t>
            </w:r>
            <w:r w:rsidRPr="005C7D63">
              <w:rPr>
                <w:rFonts w:eastAsia="SimSun" w:cs="Times New Roman"/>
                <w:szCs w:val="28"/>
                <w:lang w:eastAsia="zh-CN"/>
              </w:rPr>
              <w:t xml:space="preserve">tērauda produkcija, kas tiek saražota </w:t>
            </w:r>
            <w:r w:rsidRPr="005C7D63">
              <w:rPr>
                <w:rFonts w:eastAsia="SimSun" w:cs="Times New Roman"/>
                <w:szCs w:val="28"/>
                <w:lang w:eastAsia="zh-CN"/>
              </w:rPr>
              <w:lastRenderedPageBreak/>
              <w:t xml:space="preserve">atbilstoši Eiropas </w:t>
            </w:r>
            <w:r w:rsidR="00E06B80" w:rsidRPr="005C7D63">
              <w:rPr>
                <w:rFonts w:eastAsia="SimSun" w:cs="Times New Roman"/>
                <w:szCs w:val="28"/>
                <w:lang w:eastAsia="zh-CN"/>
              </w:rPr>
              <w:t xml:space="preserve">Ekonomikas zonas dalībvalstu </w:t>
            </w:r>
            <w:r w:rsidRPr="005C7D63">
              <w:rPr>
                <w:rFonts w:eastAsia="SimSun" w:cs="Times New Roman"/>
                <w:szCs w:val="28"/>
                <w:lang w:eastAsia="zh-CN"/>
              </w:rPr>
              <w:t>standartiem būtu sliktākas kvalitātes un nenodrošinātu drošības un ilgtspējas prasības.</w:t>
            </w:r>
          </w:p>
          <w:p w14:paraId="7B6B4C52" w14:textId="658ACF01" w:rsidR="00574538" w:rsidRPr="005C7D63" w:rsidRDefault="004A033E" w:rsidP="005C7D63">
            <w:pPr>
              <w:ind w:left="253" w:right="196" w:firstLine="467"/>
              <w:jc w:val="both"/>
              <w:rPr>
                <w:rFonts w:eastAsia="SimSun" w:cs="Times New Roman"/>
                <w:szCs w:val="28"/>
                <w:lang w:eastAsia="zh-CN"/>
              </w:rPr>
            </w:pPr>
            <w:r>
              <w:rPr>
                <w:rFonts w:eastAsia="SimSun" w:cs="Times New Roman"/>
                <w:szCs w:val="28"/>
                <w:lang w:eastAsia="zh-CN"/>
              </w:rPr>
              <w:t>Noteikumu projektā paredzēts atļaut</w:t>
            </w:r>
            <w:r w:rsidR="00EC4649" w:rsidRPr="005C7D63">
              <w:rPr>
                <w:rFonts w:eastAsia="SimSun" w:cs="Times New Roman"/>
                <w:szCs w:val="28"/>
                <w:lang w:eastAsia="zh-CN"/>
              </w:rPr>
              <w:t xml:space="preserve"> būvdarbos izmantot stiegrojum</w:t>
            </w:r>
            <w:r w:rsidR="00A57D7F">
              <w:rPr>
                <w:rFonts w:eastAsia="SimSun" w:cs="Times New Roman"/>
                <w:szCs w:val="28"/>
                <w:lang w:eastAsia="zh-CN"/>
              </w:rPr>
              <w:t>a tēraudu</w:t>
            </w:r>
            <w:r w:rsidR="00EC4649" w:rsidRPr="005C7D63">
              <w:rPr>
                <w:rFonts w:eastAsia="SimSun" w:cs="Times New Roman"/>
                <w:szCs w:val="28"/>
                <w:lang w:eastAsia="zh-CN"/>
              </w:rPr>
              <w:t xml:space="preserve">, kurš ir ieguvis atbilstības novērtējumu Eiropas </w:t>
            </w:r>
            <w:r w:rsidR="00E06B80" w:rsidRPr="005C7D63">
              <w:rPr>
                <w:rFonts w:eastAsia="SimSun" w:cs="Times New Roman"/>
                <w:szCs w:val="28"/>
                <w:lang w:eastAsia="zh-CN"/>
              </w:rPr>
              <w:t>Ekonomikas zonas dalībvalstu</w:t>
            </w:r>
            <w:r w:rsidR="00EC4649" w:rsidRPr="005C7D63">
              <w:rPr>
                <w:rFonts w:eastAsia="SimSun" w:cs="Times New Roman"/>
                <w:szCs w:val="28"/>
                <w:lang w:eastAsia="zh-CN"/>
              </w:rPr>
              <w:t xml:space="preserve"> standartam un atbilst izvirzītajām </w:t>
            </w:r>
            <w:r>
              <w:rPr>
                <w:rFonts w:eastAsia="SimSun" w:cs="Times New Roman"/>
                <w:szCs w:val="28"/>
                <w:lang w:eastAsia="zh-CN"/>
              </w:rPr>
              <w:t xml:space="preserve">minimālajām </w:t>
            </w:r>
            <w:r w:rsidR="00EC4649" w:rsidRPr="005C7D63">
              <w:rPr>
                <w:rFonts w:eastAsia="SimSun" w:cs="Times New Roman"/>
                <w:szCs w:val="28"/>
                <w:lang w:eastAsia="zh-CN"/>
              </w:rPr>
              <w:t xml:space="preserve">prasībām. Atbilstība noteiktajām prasībām tiks vērtēta, pārbaudot stiegrojuma </w:t>
            </w:r>
            <w:r w:rsidR="00A57D7F">
              <w:rPr>
                <w:rFonts w:eastAsia="SimSun" w:cs="Times New Roman"/>
                <w:szCs w:val="28"/>
                <w:lang w:eastAsia="zh-CN"/>
              </w:rPr>
              <w:t xml:space="preserve">tērauda </w:t>
            </w:r>
            <w:r w:rsidR="00EC4649" w:rsidRPr="005C7D63">
              <w:rPr>
                <w:rFonts w:eastAsia="SimSun" w:cs="Times New Roman"/>
                <w:szCs w:val="28"/>
                <w:lang w:eastAsia="zh-CN"/>
              </w:rPr>
              <w:t>ražotāja izsniegtos dokumentus.</w:t>
            </w:r>
          </w:p>
          <w:p w14:paraId="38BA6E0F" w14:textId="77777777" w:rsidR="00D202E3" w:rsidRDefault="00EC4649" w:rsidP="005C7D63">
            <w:pPr>
              <w:ind w:left="253" w:right="196" w:firstLine="467"/>
              <w:jc w:val="both"/>
              <w:rPr>
                <w:rFonts w:eastAsia="SimSun" w:cs="Times New Roman"/>
                <w:szCs w:val="28"/>
                <w:lang w:eastAsia="zh-CN"/>
              </w:rPr>
            </w:pPr>
            <w:r w:rsidRPr="005C7D63">
              <w:rPr>
                <w:rFonts w:eastAsia="SimSun" w:cs="Times New Roman"/>
                <w:szCs w:val="28"/>
                <w:lang w:eastAsia="zh-CN"/>
              </w:rPr>
              <w:t xml:space="preserve"> </w:t>
            </w:r>
            <w:r w:rsidR="00574538" w:rsidRPr="005C7D63">
              <w:rPr>
                <w:rFonts w:eastAsia="SimSun" w:cs="Times New Roman"/>
                <w:szCs w:val="28"/>
                <w:lang w:eastAsia="zh-CN"/>
              </w:rPr>
              <w:t xml:space="preserve">Noteikumu projektā </w:t>
            </w:r>
            <w:r w:rsidR="004A033E">
              <w:rPr>
                <w:rFonts w:eastAsia="SimSun" w:cs="Times New Roman"/>
                <w:szCs w:val="28"/>
                <w:lang w:eastAsia="zh-CN"/>
              </w:rPr>
              <w:t>ir</w:t>
            </w:r>
            <w:r w:rsidR="00574538" w:rsidRPr="005C7D63">
              <w:rPr>
                <w:rFonts w:eastAsia="SimSun" w:cs="Times New Roman"/>
                <w:szCs w:val="28"/>
                <w:lang w:eastAsia="zh-CN"/>
              </w:rPr>
              <w:t xml:space="preserve"> noteikt</w:t>
            </w:r>
            <w:r w:rsidR="004A033E">
              <w:rPr>
                <w:rFonts w:eastAsia="SimSun" w:cs="Times New Roman"/>
                <w:szCs w:val="28"/>
                <w:lang w:eastAsia="zh-CN"/>
              </w:rPr>
              <w:t>as</w:t>
            </w:r>
            <w:r w:rsidR="00574538" w:rsidRPr="005C7D63">
              <w:rPr>
                <w:rFonts w:eastAsia="SimSun" w:cs="Times New Roman"/>
                <w:szCs w:val="28"/>
                <w:lang w:eastAsia="zh-CN"/>
              </w:rPr>
              <w:t xml:space="preserve"> šādas stiegrojuma </w:t>
            </w:r>
            <w:r w:rsidR="00A57D7F">
              <w:rPr>
                <w:rFonts w:eastAsia="SimSun" w:cs="Times New Roman"/>
                <w:szCs w:val="28"/>
                <w:lang w:eastAsia="zh-CN"/>
              </w:rPr>
              <w:t xml:space="preserve">tērauda </w:t>
            </w:r>
            <w:r w:rsidR="00574538" w:rsidRPr="005C7D63">
              <w:rPr>
                <w:rFonts w:eastAsia="SimSun" w:cs="Times New Roman"/>
                <w:szCs w:val="28"/>
                <w:lang w:eastAsia="zh-CN"/>
              </w:rPr>
              <w:t xml:space="preserve">tehniskās klases: B400B, B500A, B500B, B500C, B550B. </w:t>
            </w:r>
            <w:r w:rsidR="001773AE" w:rsidRPr="005C7D63">
              <w:rPr>
                <w:rFonts w:eastAsia="SimSun" w:cs="Times New Roman"/>
                <w:szCs w:val="28"/>
                <w:lang w:eastAsia="zh-CN"/>
              </w:rPr>
              <w:t>B</w:t>
            </w:r>
            <w:r w:rsidR="00574538" w:rsidRPr="005C7D63">
              <w:rPr>
                <w:rFonts w:eastAsia="SimSun" w:cs="Times New Roman"/>
                <w:szCs w:val="28"/>
                <w:lang w:eastAsia="zh-CN"/>
              </w:rPr>
              <w:t>ūvdarbu veicējs būvlaukum</w:t>
            </w:r>
            <w:r w:rsidR="001773AE" w:rsidRPr="005C7D63">
              <w:rPr>
                <w:rFonts w:eastAsia="SimSun" w:cs="Times New Roman"/>
                <w:szCs w:val="28"/>
                <w:lang w:eastAsia="zh-CN"/>
              </w:rPr>
              <w:t>ā veiks</w:t>
            </w:r>
            <w:r w:rsidR="00574538" w:rsidRPr="005C7D63">
              <w:rPr>
                <w:rFonts w:eastAsia="SimSun" w:cs="Times New Roman"/>
                <w:szCs w:val="28"/>
                <w:lang w:eastAsia="zh-CN"/>
              </w:rPr>
              <w:t xml:space="preserve"> stiegrojuma </w:t>
            </w:r>
            <w:r w:rsidR="00A57D7F">
              <w:rPr>
                <w:rFonts w:eastAsia="SimSun" w:cs="Times New Roman"/>
                <w:szCs w:val="28"/>
                <w:lang w:eastAsia="zh-CN"/>
              </w:rPr>
              <w:t xml:space="preserve">tērauda </w:t>
            </w:r>
            <w:r w:rsidR="001773AE" w:rsidRPr="005C7D63">
              <w:rPr>
                <w:rFonts w:eastAsia="SimSun" w:cs="Times New Roman"/>
                <w:szCs w:val="28"/>
                <w:lang w:eastAsia="zh-CN"/>
              </w:rPr>
              <w:t>raksturlielumu salīdzināšanu un noteiks tehnisko klasi atbilstoši Noteikumu 3.pielikumā noteiktajai klasifikācijai.</w:t>
            </w:r>
          </w:p>
          <w:p w14:paraId="5E5BDC66" w14:textId="39FEA169" w:rsidR="00181092" w:rsidRPr="00321A9A" w:rsidRDefault="00181092" w:rsidP="005C7D63">
            <w:pPr>
              <w:ind w:left="253" w:right="196" w:firstLine="467"/>
              <w:jc w:val="both"/>
              <w:rPr>
                <w:rFonts w:eastAsia="SimSun" w:cs="Times New Roman"/>
                <w:color w:val="FF0000"/>
                <w:szCs w:val="28"/>
                <w:lang w:eastAsia="zh-CN"/>
              </w:rPr>
            </w:pPr>
            <w:r w:rsidRPr="00321A9A">
              <w:rPr>
                <w:rFonts w:eastAsia="SimSun" w:cs="Times New Roman"/>
                <w:szCs w:val="28"/>
                <w:lang w:eastAsia="zh-CN"/>
              </w:rPr>
              <w:t xml:space="preserve">Noteikumu projekts ir pagaidu risinājums. Tiklīdz KVV “Liepājas metalurgs” atsāks stiegrojuma tērauda ražošanu tādā apjomā, kas nodrošinās Latvijas būvniecības industrijas vajadzības, Standarts LVS 191-1 tiks </w:t>
            </w:r>
            <w:r w:rsidR="00996739" w:rsidRPr="00321A9A">
              <w:rPr>
                <w:rFonts w:eastAsia="SimSun" w:cs="Times New Roman"/>
                <w:szCs w:val="28"/>
                <w:lang w:eastAsia="zh-CN"/>
              </w:rPr>
              <w:t>atjaunots</w:t>
            </w:r>
            <w:r w:rsidRPr="00321A9A">
              <w:rPr>
                <w:rFonts w:eastAsia="SimSun" w:cs="Times New Roman"/>
                <w:szCs w:val="28"/>
                <w:lang w:eastAsia="zh-CN"/>
              </w:rPr>
              <w:t xml:space="preserve"> piemērojamo standartu sarakstā. </w:t>
            </w:r>
          </w:p>
        </w:tc>
      </w:tr>
      <w:tr w:rsidR="005A2ACB" w:rsidRPr="005C7D63" w14:paraId="5979CC7F" w14:textId="77777777" w:rsidTr="009B5AF2">
        <w:trPr>
          <w:trHeight w:val="465"/>
          <w:tblCellSpacing w:w="15" w:type="dxa"/>
        </w:trPr>
        <w:tc>
          <w:tcPr>
            <w:tcW w:w="241" w:type="pct"/>
            <w:tcBorders>
              <w:top w:val="outset" w:sz="6" w:space="0" w:color="auto"/>
              <w:left w:val="outset" w:sz="6" w:space="0" w:color="auto"/>
              <w:bottom w:val="outset" w:sz="6" w:space="0" w:color="auto"/>
              <w:right w:val="outset" w:sz="6" w:space="0" w:color="auto"/>
            </w:tcBorders>
            <w:hideMark/>
          </w:tcPr>
          <w:p w14:paraId="3018952C" w14:textId="77777777" w:rsidR="005A2ACB" w:rsidRPr="005C7D63" w:rsidRDefault="005A2ACB" w:rsidP="005A2ACB">
            <w:pPr>
              <w:spacing w:before="100" w:beforeAutospacing="1" w:after="100" w:afterAutospacing="1"/>
              <w:jc w:val="center"/>
              <w:rPr>
                <w:rFonts w:eastAsia="Times New Roman" w:cs="Times New Roman"/>
                <w:szCs w:val="28"/>
                <w:lang w:eastAsia="lv-LV"/>
              </w:rPr>
            </w:pPr>
            <w:r w:rsidRPr="005C7D63">
              <w:rPr>
                <w:rFonts w:eastAsia="Times New Roman" w:cs="Times New Roman"/>
                <w:szCs w:val="28"/>
                <w:lang w:eastAsia="lv-LV"/>
              </w:rPr>
              <w:lastRenderedPageBreak/>
              <w:t>3.</w:t>
            </w:r>
          </w:p>
        </w:tc>
        <w:tc>
          <w:tcPr>
            <w:tcW w:w="1338" w:type="pct"/>
            <w:tcBorders>
              <w:top w:val="outset" w:sz="6" w:space="0" w:color="auto"/>
              <w:left w:val="outset" w:sz="6" w:space="0" w:color="auto"/>
              <w:bottom w:val="outset" w:sz="6" w:space="0" w:color="auto"/>
              <w:right w:val="outset" w:sz="6" w:space="0" w:color="auto"/>
            </w:tcBorders>
            <w:hideMark/>
          </w:tcPr>
          <w:p w14:paraId="3A1F7980" w14:textId="77777777" w:rsidR="005A2ACB" w:rsidRPr="005C7D63" w:rsidRDefault="005A2ACB" w:rsidP="003B2C2B">
            <w:pPr>
              <w:ind w:left="82" w:right="97" w:firstLine="284"/>
              <w:jc w:val="both"/>
              <w:rPr>
                <w:rFonts w:eastAsia="Times New Roman" w:cs="Times New Roman"/>
                <w:szCs w:val="28"/>
                <w:lang w:eastAsia="lv-LV"/>
              </w:rPr>
            </w:pPr>
            <w:r w:rsidRPr="005C7D63">
              <w:rPr>
                <w:rFonts w:eastAsia="Times New Roman" w:cs="Times New Roman"/>
                <w:szCs w:val="28"/>
                <w:lang w:eastAsia="lv-LV"/>
              </w:rPr>
              <w:t>Projekta izstrādē iesaistītās institūcijas</w:t>
            </w:r>
          </w:p>
        </w:tc>
        <w:tc>
          <w:tcPr>
            <w:tcW w:w="3354" w:type="pct"/>
            <w:tcBorders>
              <w:top w:val="outset" w:sz="6" w:space="0" w:color="auto"/>
              <w:left w:val="outset" w:sz="6" w:space="0" w:color="auto"/>
              <w:bottom w:val="outset" w:sz="6" w:space="0" w:color="auto"/>
              <w:right w:val="outset" w:sz="6" w:space="0" w:color="auto"/>
            </w:tcBorders>
            <w:hideMark/>
          </w:tcPr>
          <w:p w14:paraId="6484E609" w14:textId="77777777" w:rsidR="005A2ACB" w:rsidRPr="005C7D63" w:rsidRDefault="00A75945" w:rsidP="003B2C2B">
            <w:pPr>
              <w:ind w:left="208" w:right="140" w:firstLine="284"/>
              <w:jc w:val="both"/>
              <w:rPr>
                <w:rFonts w:eastAsia="Times New Roman" w:cs="Times New Roman"/>
                <w:szCs w:val="28"/>
                <w:lang w:eastAsia="lv-LV"/>
              </w:rPr>
            </w:pPr>
            <w:r w:rsidRPr="005C7D63">
              <w:rPr>
                <w:rFonts w:eastAsia="Times New Roman" w:cs="Times New Roman"/>
                <w:szCs w:val="28"/>
                <w:lang w:eastAsia="lv-LV"/>
              </w:rPr>
              <w:t>Ekonomikas</w:t>
            </w:r>
            <w:r w:rsidR="000B4C1D" w:rsidRPr="005C7D63">
              <w:rPr>
                <w:rFonts w:eastAsia="Times New Roman" w:cs="Times New Roman"/>
                <w:szCs w:val="28"/>
                <w:lang w:eastAsia="lv-LV"/>
              </w:rPr>
              <w:t xml:space="preserve"> ministrija, </w:t>
            </w:r>
            <w:r w:rsidR="004E4BBF" w:rsidRPr="005C7D63">
              <w:rPr>
                <w:rFonts w:eastAsia="Times New Roman" w:cs="Times New Roman"/>
                <w:szCs w:val="28"/>
                <w:lang w:eastAsia="lv-LV"/>
              </w:rPr>
              <w:t>Patērētāju tiesību aizsardzības centrs.</w:t>
            </w:r>
          </w:p>
        </w:tc>
      </w:tr>
      <w:tr w:rsidR="005A2ACB" w:rsidRPr="005C7D63" w14:paraId="6A6D1AA4" w14:textId="77777777" w:rsidTr="009B5AF2">
        <w:trPr>
          <w:tblCellSpacing w:w="15" w:type="dxa"/>
        </w:trPr>
        <w:tc>
          <w:tcPr>
            <w:tcW w:w="241" w:type="pct"/>
            <w:tcBorders>
              <w:top w:val="outset" w:sz="6" w:space="0" w:color="auto"/>
              <w:left w:val="outset" w:sz="6" w:space="0" w:color="auto"/>
              <w:bottom w:val="outset" w:sz="6" w:space="0" w:color="auto"/>
              <w:right w:val="outset" w:sz="6" w:space="0" w:color="auto"/>
            </w:tcBorders>
            <w:hideMark/>
          </w:tcPr>
          <w:p w14:paraId="30A70D30" w14:textId="77777777" w:rsidR="005A2ACB" w:rsidRPr="005C7D63" w:rsidRDefault="005A2ACB" w:rsidP="005A2ACB">
            <w:pPr>
              <w:spacing w:before="100" w:beforeAutospacing="1" w:after="100" w:afterAutospacing="1"/>
              <w:jc w:val="center"/>
              <w:rPr>
                <w:rFonts w:eastAsia="Times New Roman" w:cs="Times New Roman"/>
                <w:szCs w:val="28"/>
                <w:lang w:eastAsia="lv-LV"/>
              </w:rPr>
            </w:pPr>
            <w:r w:rsidRPr="005C7D63">
              <w:rPr>
                <w:rFonts w:eastAsia="Times New Roman" w:cs="Times New Roman"/>
                <w:szCs w:val="28"/>
                <w:lang w:eastAsia="lv-LV"/>
              </w:rPr>
              <w:t>4.</w:t>
            </w:r>
          </w:p>
        </w:tc>
        <w:tc>
          <w:tcPr>
            <w:tcW w:w="1338" w:type="pct"/>
            <w:tcBorders>
              <w:top w:val="outset" w:sz="6" w:space="0" w:color="auto"/>
              <w:left w:val="outset" w:sz="6" w:space="0" w:color="auto"/>
              <w:bottom w:val="outset" w:sz="6" w:space="0" w:color="auto"/>
              <w:right w:val="outset" w:sz="6" w:space="0" w:color="auto"/>
            </w:tcBorders>
            <w:hideMark/>
          </w:tcPr>
          <w:p w14:paraId="13B1B73E" w14:textId="77777777" w:rsidR="005A2ACB" w:rsidRPr="005C7D63" w:rsidRDefault="005A2ACB" w:rsidP="003B2C2B">
            <w:pPr>
              <w:ind w:left="82" w:right="97" w:firstLine="284"/>
              <w:jc w:val="both"/>
              <w:rPr>
                <w:rFonts w:eastAsia="Times New Roman" w:cs="Times New Roman"/>
                <w:szCs w:val="28"/>
                <w:lang w:eastAsia="lv-LV"/>
              </w:rPr>
            </w:pPr>
            <w:r w:rsidRPr="005C7D63">
              <w:rPr>
                <w:rFonts w:eastAsia="Times New Roman" w:cs="Times New Roman"/>
                <w:szCs w:val="28"/>
                <w:lang w:eastAsia="lv-LV"/>
              </w:rPr>
              <w:t>Cita informācija</w:t>
            </w:r>
          </w:p>
        </w:tc>
        <w:tc>
          <w:tcPr>
            <w:tcW w:w="3354" w:type="pct"/>
            <w:tcBorders>
              <w:top w:val="outset" w:sz="6" w:space="0" w:color="auto"/>
              <w:left w:val="outset" w:sz="6" w:space="0" w:color="auto"/>
              <w:bottom w:val="outset" w:sz="6" w:space="0" w:color="auto"/>
              <w:right w:val="outset" w:sz="6" w:space="0" w:color="auto"/>
            </w:tcBorders>
            <w:hideMark/>
          </w:tcPr>
          <w:p w14:paraId="23CF7FF8" w14:textId="77777777" w:rsidR="005A2ACB" w:rsidRPr="005C7D63" w:rsidRDefault="00466D77" w:rsidP="003B2C2B">
            <w:pPr>
              <w:spacing w:before="100" w:beforeAutospacing="1" w:after="100" w:afterAutospacing="1"/>
              <w:ind w:firstLine="492"/>
              <w:rPr>
                <w:rFonts w:eastAsia="Times New Roman" w:cs="Times New Roman"/>
                <w:szCs w:val="28"/>
                <w:lang w:eastAsia="lv-LV"/>
              </w:rPr>
            </w:pPr>
            <w:r w:rsidRPr="005C7D63">
              <w:rPr>
                <w:rFonts w:eastAsia="Times New Roman" w:cs="Times New Roman"/>
                <w:szCs w:val="28"/>
                <w:lang w:eastAsia="lv-LV"/>
              </w:rPr>
              <w:t>Nav</w:t>
            </w:r>
          </w:p>
        </w:tc>
      </w:tr>
    </w:tbl>
    <w:p w14:paraId="76A405B4" w14:textId="77777777" w:rsidR="005A2ACB" w:rsidRPr="005C7D63" w:rsidRDefault="005A2ACB" w:rsidP="00EA086E">
      <w:pPr>
        <w:rPr>
          <w:rFonts w:eastAsia="Times New Roman" w:cs="Times New Roman"/>
          <w:szCs w:val="28"/>
          <w:lang w:eastAsia="lv-LV"/>
        </w:rPr>
      </w:pPr>
      <w:r w:rsidRPr="005C7D63">
        <w:rPr>
          <w:rFonts w:eastAsia="Times New Roman" w:cs="Times New Roman"/>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5A2ACB" w:rsidRPr="005C7D63" w14:paraId="5ED35516" w14:textId="77777777" w:rsidTr="005A2ACB">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D7BBB76" w14:textId="77777777" w:rsidR="005A2ACB" w:rsidRPr="005C7D63" w:rsidRDefault="005A2ACB" w:rsidP="005A2ACB">
            <w:pPr>
              <w:spacing w:before="100" w:beforeAutospacing="1" w:after="100" w:afterAutospacing="1"/>
              <w:jc w:val="center"/>
              <w:rPr>
                <w:rFonts w:eastAsia="Times New Roman" w:cs="Times New Roman"/>
                <w:b/>
                <w:bCs/>
                <w:szCs w:val="28"/>
                <w:lang w:eastAsia="lv-LV"/>
              </w:rPr>
            </w:pPr>
            <w:r w:rsidRPr="005C7D63">
              <w:rPr>
                <w:rFonts w:eastAsia="Times New Roman" w:cs="Times New Roman"/>
                <w:b/>
                <w:bCs/>
                <w:szCs w:val="28"/>
                <w:lang w:eastAsia="lv-LV"/>
              </w:rPr>
              <w:t>II. Tiesību akta projekta ietekme uz sabiedrību, tautsaimniecības attīstību un administratīvo slogu</w:t>
            </w:r>
          </w:p>
        </w:tc>
      </w:tr>
      <w:tr w:rsidR="005A2ACB" w:rsidRPr="005C7D63" w14:paraId="73010FDC" w14:textId="77777777" w:rsidTr="005A2ACB">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6C74282C" w14:textId="77777777" w:rsidR="005A2ACB" w:rsidRPr="005C7D63" w:rsidRDefault="005A2ACB" w:rsidP="003B2C2B">
            <w:pPr>
              <w:jc w:val="center"/>
              <w:rPr>
                <w:rFonts w:eastAsia="Times New Roman" w:cs="Times New Roman"/>
                <w:szCs w:val="28"/>
                <w:lang w:eastAsia="lv-LV"/>
              </w:rPr>
            </w:pPr>
            <w:r w:rsidRPr="005C7D63">
              <w:rPr>
                <w:rFonts w:eastAsia="Times New Roman" w:cs="Times New Roman"/>
                <w:szCs w:val="28"/>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14:paraId="3F361180" w14:textId="77777777" w:rsidR="005A2ACB" w:rsidRPr="005C7D63" w:rsidRDefault="005A2ACB" w:rsidP="003B2C2B">
            <w:pPr>
              <w:ind w:left="82" w:right="97" w:firstLine="284"/>
              <w:jc w:val="both"/>
              <w:rPr>
                <w:rFonts w:eastAsia="Times New Roman" w:cs="Times New Roman"/>
                <w:szCs w:val="28"/>
                <w:lang w:eastAsia="lv-LV"/>
              </w:rPr>
            </w:pPr>
            <w:r w:rsidRPr="005C7D63">
              <w:rPr>
                <w:rFonts w:eastAsia="Times New Roman" w:cs="Times New Roman"/>
                <w:szCs w:val="28"/>
                <w:lang w:eastAsia="lv-LV"/>
              </w:rPr>
              <w:t xml:space="preserve">Sabiedrības </w:t>
            </w:r>
            <w:proofErr w:type="spellStart"/>
            <w:r w:rsidRPr="005C7D63">
              <w:rPr>
                <w:rFonts w:eastAsia="Times New Roman" w:cs="Times New Roman"/>
                <w:szCs w:val="28"/>
                <w:lang w:eastAsia="lv-LV"/>
              </w:rPr>
              <w:t>mērķgrupas</w:t>
            </w:r>
            <w:proofErr w:type="spellEnd"/>
            <w:r w:rsidRPr="005C7D63">
              <w:rPr>
                <w:rFonts w:eastAsia="Times New Roman" w:cs="Times New Roman"/>
                <w:szCs w:val="28"/>
                <w:lang w:eastAsia="lv-LV"/>
              </w:rPr>
              <w:t>,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14:paraId="184A3C89" w14:textId="77777777" w:rsidR="007F71CA" w:rsidRPr="005C7D63" w:rsidRDefault="00B37986" w:rsidP="003B2C2B">
            <w:pPr>
              <w:ind w:left="208" w:right="140" w:firstLine="284"/>
              <w:jc w:val="both"/>
              <w:rPr>
                <w:rFonts w:eastAsia="Times New Roman" w:cs="Times New Roman"/>
                <w:szCs w:val="28"/>
                <w:lang w:eastAsia="lv-LV"/>
              </w:rPr>
            </w:pPr>
            <w:r w:rsidRPr="005C7D63">
              <w:rPr>
                <w:rFonts w:cs="Times New Roman"/>
                <w:iCs/>
                <w:szCs w:val="28"/>
              </w:rPr>
              <w:t>Noteikumu projekta tiesiskais regulējums attiecas uz būvizstrādājumu ražotājiem, importētājiem un izplatītājiem, kas piedāvā būvizstrādājumus Latvijas tirgū.</w:t>
            </w:r>
          </w:p>
        </w:tc>
      </w:tr>
      <w:tr w:rsidR="005A2ACB" w:rsidRPr="005C7D63" w14:paraId="45FCBB75" w14:textId="77777777" w:rsidTr="005A2ACB">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ACA5EB1" w14:textId="77777777" w:rsidR="005A2ACB" w:rsidRPr="005C7D63" w:rsidRDefault="005A2ACB" w:rsidP="003B2C2B">
            <w:pPr>
              <w:jc w:val="center"/>
              <w:rPr>
                <w:rFonts w:eastAsia="Times New Roman" w:cs="Times New Roman"/>
                <w:szCs w:val="28"/>
                <w:lang w:eastAsia="lv-LV"/>
              </w:rPr>
            </w:pPr>
            <w:r w:rsidRPr="005C7D63">
              <w:rPr>
                <w:rFonts w:eastAsia="Times New Roman" w:cs="Times New Roman"/>
                <w:szCs w:val="28"/>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14:paraId="109F51D8" w14:textId="77777777" w:rsidR="005A2ACB" w:rsidRPr="005C7D63" w:rsidRDefault="005A2ACB" w:rsidP="003B2C2B">
            <w:pPr>
              <w:ind w:left="82" w:right="97" w:firstLine="284"/>
              <w:jc w:val="both"/>
              <w:rPr>
                <w:rFonts w:eastAsia="Times New Roman" w:cs="Times New Roman"/>
                <w:szCs w:val="28"/>
                <w:lang w:eastAsia="lv-LV"/>
              </w:rPr>
            </w:pPr>
            <w:r w:rsidRPr="005C7D63">
              <w:rPr>
                <w:rFonts w:eastAsia="Times New Roman" w:cs="Times New Roman"/>
                <w:szCs w:val="28"/>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14:paraId="4B137F05" w14:textId="77777777" w:rsidR="003F5A60" w:rsidRPr="005C7D63" w:rsidRDefault="00574538" w:rsidP="003B2C2B">
            <w:pPr>
              <w:ind w:left="208" w:right="140" w:firstLine="284"/>
              <w:jc w:val="both"/>
              <w:rPr>
                <w:rFonts w:eastAsia="Times New Roman" w:cs="Times New Roman"/>
                <w:szCs w:val="28"/>
                <w:lang w:eastAsia="lv-LV"/>
              </w:rPr>
            </w:pPr>
            <w:r w:rsidRPr="005C7D63">
              <w:rPr>
                <w:rFonts w:eastAsia="Times New Roman" w:cs="Times New Roman"/>
                <w:iCs/>
                <w:szCs w:val="28"/>
                <w:lang w:eastAsia="lv-LV"/>
              </w:rPr>
              <w:t>Ar grozījumiem tiks likvidēts nepamatots birokrātiskais slogs, vienlaicīgi saglabājot kvalitātes un drošības garantijas.</w:t>
            </w:r>
          </w:p>
        </w:tc>
      </w:tr>
      <w:tr w:rsidR="005A2ACB" w:rsidRPr="005C7D63" w14:paraId="328475F4" w14:textId="77777777" w:rsidTr="005A2ACB">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0BB04CC7" w14:textId="77777777" w:rsidR="005A2ACB" w:rsidRPr="005C7D63" w:rsidRDefault="005A2ACB" w:rsidP="003B2C2B">
            <w:pPr>
              <w:jc w:val="center"/>
              <w:rPr>
                <w:rFonts w:eastAsia="Times New Roman" w:cs="Times New Roman"/>
                <w:szCs w:val="28"/>
                <w:lang w:eastAsia="lv-LV"/>
              </w:rPr>
            </w:pPr>
            <w:r w:rsidRPr="005C7D63">
              <w:rPr>
                <w:rFonts w:eastAsia="Times New Roman" w:cs="Times New Roman"/>
                <w:szCs w:val="28"/>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14:paraId="057E1689" w14:textId="77777777" w:rsidR="005A2ACB" w:rsidRPr="005C7D63" w:rsidRDefault="005A2ACB" w:rsidP="003B2C2B">
            <w:pPr>
              <w:ind w:left="82" w:right="97" w:firstLine="284"/>
              <w:jc w:val="both"/>
              <w:rPr>
                <w:rFonts w:eastAsia="Times New Roman" w:cs="Times New Roman"/>
                <w:szCs w:val="28"/>
                <w:lang w:eastAsia="lv-LV"/>
              </w:rPr>
            </w:pPr>
            <w:r w:rsidRPr="005C7D63">
              <w:rPr>
                <w:rFonts w:eastAsia="Times New Roman" w:cs="Times New Roman"/>
                <w:szCs w:val="28"/>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14:paraId="513327A3" w14:textId="77777777" w:rsidR="005A2ACB" w:rsidRPr="005C7D63" w:rsidRDefault="003F5A60" w:rsidP="003B2C2B">
            <w:pPr>
              <w:ind w:left="208" w:right="140" w:firstLine="284"/>
              <w:jc w:val="both"/>
              <w:rPr>
                <w:rFonts w:eastAsia="Times New Roman" w:cs="Times New Roman"/>
                <w:szCs w:val="28"/>
                <w:lang w:eastAsia="lv-LV"/>
              </w:rPr>
            </w:pPr>
            <w:r w:rsidRPr="005C7D63">
              <w:rPr>
                <w:rFonts w:eastAsia="Times New Roman" w:cs="Times New Roman"/>
                <w:szCs w:val="28"/>
                <w:lang w:eastAsia="lv-LV"/>
              </w:rPr>
              <w:t>Projekts šo jomu neskar.</w:t>
            </w:r>
          </w:p>
        </w:tc>
      </w:tr>
      <w:tr w:rsidR="005A2ACB" w:rsidRPr="005C7D63" w14:paraId="19C4CD51" w14:textId="77777777" w:rsidTr="005A2ACB">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14:paraId="1EADCE09" w14:textId="77777777" w:rsidR="005A2ACB" w:rsidRPr="005C7D63" w:rsidRDefault="005A2ACB" w:rsidP="003B2C2B">
            <w:pPr>
              <w:jc w:val="center"/>
              <w:rPr>
                <w:rFonts w:eastAsia="Times New Roman" w:cs="Times New Roman"/>
                <w:szCs w:val="28"/>
                <w:lang w:eastAsia="lv-LV"/>
              </w:rPr>
            </w:pPr>
            <w:r w:rsidRPr="005C7D63">
              <w:rPr>
                <w:rFonts w:eastAsia="Times New Roman" w:cs="Times New Roman"/>
                <w:szCs w:val="28"/>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14:paraId="0CC5F22F" w14:textId="77777777" w:rsidR="005A2ACB" w:rsidRPr="005C7D63" w:rsidRDefault="005A2ACB" w:rsidP="003B2C2B">
            <w:pPr>
              <w:ind w:left="82" w:right="97" w:firstLine="284"/>
              <w:jc w:val="both"/>
              <w:rPr>
                <w:rFonts w:eastAsia="Times New Roman" w:cs="Times New Roman"/>
                <w:szCs w:val="28"/>
                <w:lang w:eastAsia="lv-LV"/>
              </w:rPr>
            </w:pPr>
            <w:r w:rsidRPr="005C7D63">
              <w:rPr>
                <w:rFonts w:eastAsia="Times New Roman" w:cs="Times New Roman"/>
                <w:szCs w:val="28"/>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14:paraId="20E8B06B" w14:textId="77777777" w:rsidR="005A2ACB" w:rsidRPr="005C7D63" w:rsidRDefault="003F5A60" w:rsidP="003B2C2B">
            <w:pPr>
              <w:spacing w:before="100" w:beforeAutospacing="1" w:after="100" w:afterAutospacing="1"/>
              <w:ind w:left="208" w:right="140" w:firstLine="284"/>
              <w:jc w:val="both"/>
              <w:rPr>
                <w:rFonts w:eastAsia="Times New Roman" w:cs="Times New Roman"/>
                <w:szCs w:val="28"/>
                <w:lang w:eastAsia="lv-LV"/>
              </w:rPr>
            </w:pPr>
            <w:r w:rsidRPr="005C7D63">
              <w:rPr>
                <w:rFonts w:eastAsia="Times New Roman" w:cs="Times New Roman"/>
                <w:szCs w:val="28"/>
                <w:lang w:eastAsia="lv-LV"/>
              </w:rPr>
              <w:t>Nav</w:t>
            </w:r>
          </w:p>
        </w:tc>
      </w:tr>
    </w:tbl>
    <w:p w14:paraId="2E056B1A" w14:textId="6247288D" w:rsidR="005A2ACB" w:rsidRDefault="005A2ACB" w:rsidP="00EA086E">
      <w:pPr>
        <w:rPr>
          <w:rFonts w:eastAsia="Times New Roman" w:cs="Times New Roman"/>
          <w:szCs w:val="28"/>
          <w:lang w:eastAsia="lv-LV"/>
        </w:rPr>
      </w:pPr>
      <w:r w:rsidRPr="005C7D63">
        <w:rPr>
          <w:rFonts w:eastAsia="Times New Roman" w:cs="Times New Roman"/>
          <w:szCs w:val="28"/>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41C79" w:rsidRPr="005C7D63" w14:paraId="30DE04C0" w14:textId="77777777" w:rsidTr="009F7942">
        <w:trPr>
          <w:trHeight w:val="5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46B016" w14:textId="1C6628D4" w:rsidR="00641C79" w:rsidRPr="005C7D63" w:rsidRDefault="00641C79" w:rsidP="00641C79">
            <w:pPr>
              <w:spacing w:before="100" w:beforeAutospacing="1" w:after="100" w:afterAutospacing="1"/>
              <w:jc w:val="center"/>
              <w:rPr>
                <w:rFonts w:eastAsia="Times New Roman" w:cs="Times New Roman"/>
                <w:b/>
                <w:bCs/>
                <w:szCs w:val="28"/>
                <w:lang w:eastAsia="lv-LV"/>
              </w:rPr>
            </w:pPr>
            <w:r w:rsidRPr="00641C79">
              <w:rPr>
                <w:rFonts w:eastAsia="Times New Roman" w:cs="Times New Roman"/>
                <w:b/>
                <w:bCs/>
                <w:szCs w:val="28"/>
                <w:lang w:eastAsia="lv-LV"/>
              </w:rPr>
              <w:t>III. Tiesību akta projekta ietekme uz valsts budžetu un pašvaldību budžetiem</w:t>
            </w:r>
          </w:p>
        </w:tc>
      </w:tr>
      <w:tr w:rsidR="00641C79" w:rsidRPr="005C7D63" w14:paraId="5EE7850F" w14:textId="77777777" w:rsidTr="009F7942">
        <w:trPr>
          <w:trHeight w:val="55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3285F94" w14:textId="78ADA802" w:rsidR="00641C79" w:rsidRPr="00641C79" w:rsidRDefault="00641C79" w:rsidP="009F7942">
            <w:pPr>
              <w:spacing w:before="100" w:beforeAutospacing="1" w:after="100" w:afterAutospacing="1"/>
              <w:jc w:val="center"/>
              <w:rPr>
                <w:rFonts w:eastAsia="Times New Roman" w:cs="Times New Roman"/>
                <w:b/>
                <w:bCs/>
                <w:szCs w:val="28"/>
                <w:lang w:eastAsia="lv-LV"/>
              </w:rPr>
            </w:pPr>
            <w:r w:rsidRPr="00641C79">
              <w:rPr>
                <w:rFonts w:eastAsia="Times New Roman" w:cs="Times New Roman"/>
                <w:bCs/>
                <w:szCs w:val="28"/>
                <w:lang w:eastAsia="lv-LV"/>
              </w:rPr>
              <w:t>Projekts šo jomu neskar</w:t>
            </w:r>
          </w:p>
        </w:tc>
      </w:tr>
    </w:tbl>
    <w:p w14:paraId="5EEB9B30" w14:textId="6E18038F" w:rsidR="00321A9A" w:rsidRDefault="00321A9A" w:rsidP="00EA086E">
      <w:pPr>
        <w:rPr>
          <w:rFonts w:eastAsia="Times New Roman" w:cs="Times New Roman"/>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41C79" w:rsidRPr="005C7D63" w14:paraId="00D6412E" w14:textId="77777777" w:rsidTr="009F7942">
        <w:trPr>
          <w:trHeight w:val="5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C743306" w14:textId="395D42E0" w:rsidR="00641C79" w:rsidRPr="005C7D63" w:rsidRDefault="00641C79" w:rsidP="009F7942">
            <w:pPr>
              <w:spacing w:before="100" w:beforeAutospacing="1" w:after="100" w:afterAutospacing="1"/>
              <w:jc w:val="center"/>
              <w:rPr>
                <w:rFonts w:eastAsia="Times New Roman" w:cs="Times New Roman"/>
                <w:b/>
                <w:bCs/>
                <w:szCs w:val="28"/>
                <w:lang w:eastAsia="lv-LV"/>
              </w:rPr>
            </w:pPr>
            <w:r w:rsidRPr="00641C79">
              <w:rPr>
                <w:rFonts w:eastAsia="Times New Roman" w:cs="Times New Roman"/>
                <w:b/>
                <w:bCs/>
                <w:szCs w:val="28"/>
                <w:lang w:eastAsia="lv-LV"/>
              </w:rPr>
              <w:t>IV. Tiesību akta projekta ietekme uz spēkā esošo tiesību normu sistēmu</w:t>
            </w:r>
          </w:p>
        </w:tc>
      </w:tr>
      <w:tr w:rsidR="00641C79" w:rsidRPr="005C7D63" w14:paraId="2CC7BD55" w14:textId="77777777" w:rsidTr="009F7942">
        <w:trPr>
          <w:trHeight w:val="55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68F2694" w14:textId="604B55F7" w:rsidR="00641C79" w:rsidRPr="00641C79" w:rsidRDefault="00641C79" w:rsidP="009F7942">
            <w:pPr>
              <w:spacing w:before="100" w:beforeAutospacing="1" w:after="100" w:afterAutospacing="1"/>
              <w:jc w:val="center"/>
              <w:rPr>
                <w:rFonts w:eastAsia="Times New Roman" w:cs="Times New Roman"/>
                <w:b/>
                <w:bCs/>
                <w:szCs w:val="28"/>
                <w:lang w:eastAsia="lv-LV"/>
              </w:rPr>
            </w:pPr>
            <w:r w:rsidRPr="00641C79">
              <w:rPr>
                <w:rFonts w:eastAsia="Times New Roman" w:cs="Times New Roman"/>
                <w:bCs/>
                <w:szCs w:val="28"/>
                <w:lang w:eastAsia="lv-LV"/>
              </w:rPr>
              <w:t>Projekts šo jomu neskar</w:t>
            </w:r>
          </w:p>
        </w:tc>
      </w:tr>
    </w:tbl>
    <w:p w14:paraId="2A4D70DA" w14:textId="4982442C" w:rsidR="00641C79" w:rsidRDefault="00641C79" w:rsidP="00EA086E">
      <w:pPr>
        <w:rPr>
          <w:rFonts w:eastAsia="Times New Roman" w:cs="Times New Roman"/>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41C79" w:rsidRPr="005C7D63" w14:paraId="512A2609" w14:textId="77777777" w:rsidTr="009F7942">
        <w:trPr>
          <w:trHeight w:val="555"/>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17F0687" w14:textId="01D928A4" w:rsidR="00641C79" w:rsidRPr="005C7D63" w:rsidRDefault="00641C79" w:rsidP="009F7942">
            <w:pPr>
              <w:spacing w:before="100" w:beforeAutospacing="1" w:after="100" w:afterAutospacing="1"/>
              <w:jc w:val="center"/>
              <w:rPr>
                <w:rFonts w:eastAsia="Times New Roman" w:cs="Times New Roman"/>
                <w:b/>
                <w:bCs/>
                <w:szCs w:val="28"/>
                <w:lang w:eastAsia="lv-LV"/>
              </w:rPr>
            </w:pPr>
            <w:r w:rsidRPr="00641C79">
              <w:rPr>
                <w:rFonts w:eastAsia="Times New Roman" w:cs="Times New Roman"/>
                <w:b/>
                <w:bCs/>
                <w:szCs w:val="28"/>
                <w:lang w:eastAsia="lv-LV"/>
              </w:rPr>
              <w:t>V. Tiesību akta projekta atbilstība Latvijas Republikas starptautiskajām saistībām</w:t>
            </w:r>
          </w:p>
        </w:tc>
      </w:tr>
      <w:tr w:rsidR="00641C79" w:rsidRPr="005C7D63" w14:paraId="3C1CAA6A" w14:textId="77777777" w:rsidTr="009F7942">
        <w:trPr>
          <w:trHeight w:val="555"/>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5901FB90" w14:textId="3ADF0994" w:rsidR="00641C79" w:rsidRPr="00641C79" w:rsidRDefault="00641C79" w:rsidP="009F7942">
            <w:pPr>
              <w:spacing w:before="100" w:beforeAutospacing="1" w:after="100" w:afterAutospacing="1"/>
              <w:jc w:val="center"/>
              <w:rPr>
                <w:rFonts w:eastAsia="Times New Roman" w:cs="Times New Roman"/>
                <w:b/>
                <w:bCs/>
                <w:szCs w:val="28"/>
                <w:lang w:eastAsia="lv-LV"/>
              </w:rPr>
            </w:pPr>
            <w:r w:rsidRPr="00641C79">
              <w:rPr>
                <w:rFonts w:eastAsia="Times New Roman" w:cs="Times New Roman"/>
                <w:bCs/>
                <w:szCs w:val="28"/>
                <w:lang w:eastAsia="lv-LV"/>
              </w:rPr>
              <w:t>Projekts šo jomu neskar</w:t>
            </w:r>
          </w:p>
        </w:tc>
      </w:tr>
    </w:tbl>
    <w:p w14:paraId="257E1AD0" w14:textId="77777777" w:rsidR="00641C79" w:rsidRDefault="00641C79" w:rsidP="00EA086E">
      <w:pPr>
        <w:rPr>
          <w:rFonts w:eastAsia="Times New Roman" w:cs="Times New Roman"/>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3"/>
        <w:gridCol w:w="2800"/>
        <w:gridCol w:w="5762"/>
      </w:tblGrid>
      <w:tr w:rsidR="00B37986" w:rsidRPr="005C7D63" w14:paraId="622EFA8E" w14:textId="77777777" w:rsidTr="005B186D">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0EA93A6" w14:textId="77777777" w:rsidR="00B37986" w:rsidRPr="005C7D63" w:rsidRDefault="00B37986" w:rsidP="005B186D">
            <w:pPr>
              <w:spacing w:before="100" w:beforeAutospacing="1" w:after="100" w:afterAutospacing="1"/>
              <w:jc w:val="center"/>
              <w:rPr>
                <w:rFonts w:eastAsia="Times New Roman" w:cs="Times New Roman"/>
                <w:b/>
                <w:bCs/>
                <w:szCs w:val="28"/>
                <w:lang w:eastAsia="lv-LV"/>
              </w:rPr>
            </w:pPr>
            <w:r w:rsidRPr="005C7D63">
              <w:rPr>
                <w:rFonts w:eastAsia="Times New Roman" w:cs="Times New Roman"/>
                <w:b/>
                <w:bCs/>
                <w:szCs w:val="28"/>
                <w:lang w:eastAsia="lv-LV"/>
              </w:rPr>
              <w:t>VI. Sabiedrības līdzdalība un komunikācijas aktivitātes</w:t>
            </w:r>
          </w:p>
        </w:tc>
      </w:tr>
      <w:tr w:rsidR="00B37986" w:rsidRPr="005C7D63" w14:paraId="18B2FDE0" w14:textId="77777777" w:rsidTr="004A033E">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3F4EFCB7" w14:textId="77777777" w:rsidR="00B37986" w:rsidRPr="005C7D63" w:rsidRDefault="00B37986" w:rsidP="005B186D">
            <w:pPr>
              <w:jc w:val="center"/>
              <w:rPr>
                <w:rFonts w:eastAsia="Times New Roman" w:cs="Times New Roman"/>
                <w:szCs w:val="28"/>
                <w:lang w:eastAsia="lv-LV"/>
              </w:rPr>
            </w:pPr>
            <w:r w:rsidRPr="005C7D63">
              <w:rPr>
                <w:rFonts w:eastAsia="Times New Roman" w:cs="Times New Roman"/>
                <w:szCs w:val="28"/>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14:paraId="5441DE3B" w14:textId="77777777" w:rsidR="00B37986" w:rsidRPr="005C7D63" w:rsidRDefault="00B37986" w:rsidP="005B186D">
            <w:pPr>
              <w:ind w:left="82" w:right="97" w:firstLine="284"/>
              <w:jc w:val="both"/>
              <w:rPr>
                <w:rFonts w:eastAsia="Times New Roman" w:cs="Times New Roman"/>
                <w:szCs w:val="28"/>
                <w:lang w:eastAsia="lv-LV"/>
              </w:rPr>
            </w:pPr>
            <w:r w:rsidRPr="005C7D63">
              <w:rPr>
                <w:rFonts w:eastAsia="Times New Roman" w:cs="Times New Roman"/>
                <w:szCs w:val="28"/>
                <w:lang w:eastAsia="lv-LV"/>
              </w:rPr>
              <w:t>Plānotās sabiedrības līdzdalības un komunikācijas aktivitātes saistībā ar projektu</w:t>
            </w:r>
          </w:p>
        </w:tc>
        <w:tc>
          <w:tcPr>
            <w:tcW w:w="3157" w:type="pct"/>
            <w:tcBorders>
              <w:top w:val="outset" w:sz="6" w:space="0" w:color="auto"/>
              <w:left w:val="outset" w:sz="6" w:space="0" w:color="auto"/>
              <w:bottom w:val="outset" w:sz="6" w:space="0" w:color="auto"/>
              <w:right w:val="outset" w:sz="6" w:space="0" w:color="auto"/>
            </w:tcBorders>
            <w:hideMark/>
          </w:tcPr>
          <w:p w14:paraId="7DF770E5" w14:textId="77777777" w:rsidR="00B37986" w:rsidRPr="005C7D63" w:rsidRDefault="00BF2756" w:rsidP="005B186D">
            <w:pPr>
              <w:ind w:left="208" w:right="140" w:firstLine="284"/>
              <w:jc w:val="both"/>
              <w:rPr>
                <w:rFonts w:eastAsia="Times New Roman" w:cs="Times New Roman"/>
                <w:szCs w:val="28"/>
                <w:lang w:eastAsia="lv-LV"/>
              </w:rPr>
            </w:pPr>
            <w:r w:rsidRPr="005C7D63">
              <w:rPr>
                <w:rFonts w:cs="Times New Roman"/>
                <w:iCs/>
                <w:szCs w:val="28"/>
              </w:rPr>
              <w:t xml:space="preserve">Lai iesaistītu sabiedrību </w:t>
            </w:r>
            <w:r w:rsidR="00B37986" w:rsidRPr="005C7D63">
              <w:rPr>
                <w:rFonts w:cs="Times New Roman"/>
                <w:iCs/>
                <w:szCs w:val="28"/>
              </w:rPr>
              <w:t>Note</w:t>
            </w:r>
            <w:r w:rsidRPr="005C7D63">
              <w:rPr>
                <w:rFonts w:cs="Times New Roman"/>
                <w:iCs/>
                <w:szCs w:val="28"/>
              </w:rPr>
              <w:t xml:space="preserve">ikumu projekta izstrādē, Ekonomikas ministrija izveidoja neformālu darba grupu, kurā </w:t>
            </w:r>
            <w:r w:rsidR="004A033E">
              <w:rPr>
                <w:rFonts w:cs="Times New Roman"/>
                <w:iCs/>
                <w:szCs w:val="28"/>
              </w:rPr>
              <w:t>tika iesaistīti pārstāvji</w:t>
            </w:r>
            <w:r w:rsidRPr="005C7D63">
              <w:rPr>
                <w:rFonts w:cs="Times New Roman"/>
                <w:iCs/>
                <w:szCs w:val="28"/>
              </w:rPr>
              <w:t xml:space="preserve"> no Būvmateriālu ražotāju asociācijas, Latvijas Būvkonstrukciju projektētāju asociācijas, Latvijas </w:t>
            </w:r>
            <w:r w:rsidR="003158B0" w:rsidRPr="005C7D63">
              <w:rPr>
                <w:rFonts w:cs="Times New Roman"/>
                <w:iCs/>
                <w:szCs w:val="28"/>
              </w:rPr>
              <w:t>Būvuzņēmēju partnerības</w:t>
            </w:r>
            <w:r w:rsidR="004A033E">
              <w:rPr>
                <w:rFonts w:cs="Times New Roman"/>
                <w:iCs/>
                <w:szCs w:val="28"/>
              </w:rPr>
              <w:t xml:space="preserve"> un Patērētāju tiesību aizsardzības centra</w:t>
            </w:r>
            <w:r w:rsidR="00376DAF" w:rsidRPr="005C7D63">
              <w:rPr>
                <w:rFonts w:cs="Times New Roman"/>
                <w:iCs/>
                <w:szCs w:val="28"/>
              </w:rPr>
              <w:t>.</w:t>
            </w:r>
          </w:p>
        </w:tc>
      </w:tr>
      <w:tr w:rsidR="00B37986" w:rsidRPr="005C7D63" w14:paraId="6FA08ACF" w14:textId="77777777" w:rsidTr="004A033E">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25C23772" w14:textId="77777777" w:rsidR="00B37986" w:rsidRPr="005C7D63" w:rsidRDefault="00B37986" w:rsidP="005B186D">
            <w:pPr>
              <w:jc w:val="center"/>
              <w:rPr>
                <w:rFonts w:eastAsia="Times New Roman" w:cs="Times New Roman"/>
                <w:szCs w:val="28"/>
                <w:lang w:eastAsia="lv-LV"/>
              </w:rPr>
            </w:pPr>
            <w:r w:rsidRPr="005C7D63">
              <w:rPr>
                <w:rFonts w:eastAsia="Times New Roman" w:cs="Times New Roman"/>
                <w:szCs w:val="28"/>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14:paraId="26D5C551" w14:textId="77777777" w:rsidR="00B37986" w:rsidRPr="005C7D63" w:rsidRDefault="00B37986" w:rsidP="005B186D">
            <w:pPr>
              <w:ind w:left="82" w:right="97" w:firstLine="284"/>
              <w:jc w:val="both"/>
              <w:rPr>
                <w:rFonts w:eastAsia="Times New Roman" w:cs="Times New Roman"/>
                <w:szCs w:val="28"/>
                <w:lang w:eastAsia="lv-LV"/>
              </w:rPr>
            </w:pPr>
            <w:r w:rsidRPr="005C7D63">
              <w:rPr>
                <w:rFonts w:eastAsia="Times New Roman" w:cs="Times New Roman"/>
                <w:szCs w:val="28"/>
                <w:lang w:eastAsia="lv-LV"/>
              </w:rPr>
              <w:t>Sabiedrības līdzdalība projekta izstrādē</w:t>
            </w:r>
          </w:p>
        </w:tc>
        <w:tc>
          <w:tcPr>
            <w:tcW w:w="3157" w:type="pct"/>
            <w:tcBorders>
              <w:top w:val="outset" w:sz="6" w:space="0" w:color="auto"/>
              <w:left w:val="outset" w:sz="6" w:space="0" w:color="auto"/>
              <w:bottom w:val="outset" w:sz="6" w:space="0" w:color="auto"/>
              <w:right w:val="outset" w:sz="6" w:space="0" w:color="auto"/>
            </w:tcBorders>
            <w:hideMark/>
          </w:tcPr>
          <w:p w14:paraId="71FF710A" w14:textId="77777777" w:rsidR="00B37986" w:rsidRPr="005C7D63" w:rsidRDefault="00376DAF" w:rsidP="005B186D">
            <w:pPr>
              <w:ind w:left="208" w:right="140" w:firstLine="284"/>
              <w:jc w:val="both"/>
              <w:rPr>
                <w:rFonts w:eastAsia="Times New Roman" w:cs="Times New Roman"/>
                <w:szCs w:val="28"/>
                <w:lang w:eastAsia="lv-LV"/>
              </w:rPr>
            </w:pPr>
            <w:r w:rsidRPr="005C7D63">
              <w:rPr>
                <w:rFonts w:eastAsia="Times New Roman" w:cs="Times New Roman"/>
                <w:iCs/>
                <w:szCs w:val="28"/>
                <w:lang w:eastAsia="lv-LV"/>
              </w:rPr>
              <w:t>Sabiedrības līdzdalība tika nodrošināta Noteikumu projekta izstrādes gaitā.</w:t>
            </w:r>
          </w:p>
        </w:tc>
      </w:tr>
      <w:tr w:rsidR="00B37986" w:rsidRPr="005C7D63" w14:paraId="2C23F635" w14:textId="77777777" w:rsidTr="004A033E">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CFA22E7" w14:textId="77777777" w:rsidR="00B37986" w:rsidRPr="005C7D63" w:rsidRDefault="00B37986" w:rsidP="005B186D">
            <w:pPr>
              <w:jc w:val="center"/>
              <w:rPr>
                <w:rFonts w:eastAsia="Times New Roman" w:cs="Times New Roman"/>
                <w:szCs w:val="28"/>
                <w:lang w:eastAsia="lv-LV"/>
              </w:rPr>
            </w:pPr>
            <w:r w:rsidRPr="005C7D63">
              <w:rPr>
                <w:rFonts w:eastAsia="Times New Roman" w:cs="Times New Roman"/>
                <w:szCs w:val="28"/>
                <w:lang w:eastAsia="lv-LV"/>
              </w:rPr>
              <w:t>3.</w:t>
            </w:r>
          </w:p>
        </w:tc>
        <w:tc>
          <w:tcPr>
            <w:tcW w:w="1530" w:type="pct"/>
            <w:tcBorders>
              <w:top w:val="outset" w:sz="6" w:space="0" w:color="auto"/>
              <w:left w:val="outset" w:sz="6" w:space="0" w:color="auto"/>
              <w:bottom w:val="outset" w:sz="6" w:space="0" w:color="auto"/>
              <w:right w:val="outset" w:sz="6" w:space="0" w:color="auto"/>
            </w:tcBorders>
            <w:hideMark/>
          </w:tcPr>
          <w:p w14:paraId="2319F3ED" w14:textId="77777777" w:rsidR="00B37986" w:rsidRPr="005C7D63" w:rsidRDefault="00B37986" w:rsidP="005B186D">
            <w:pPr>
              <w:ind w:left="82" w:right="97" w:firstLine="284"/>
              <w:jc w:val="both"/>
              <w:rPr>
                <w:rFonts w:eastAsia="Times New Roman" w:cs="Times New Roman"/>
                <w:szCs w:val="28"/>
                <w:lang w:eastAsia="lv-LV"/>
              </w:rPr>
            </w:pPr>
            <w:r w:rsidRPr="005C7D63">
              <w:rPr>
                <w:rFonts w:eastAsia="Times New Roman" w:cs="Times New Roman"/>
                <w:szCs w:val="28"/>
                <w:lang w:eastAsia="lv-LV"/>
              </w:rPr>
              <w:t>Sabiedrības līdzdalības rezultāti</w:t>
            </w:r>
          </w:p>
        </w:tc>
        <w:tc>
          <w:tcPr>
            <w:tcW w:w="3157" w:type="pct"/>
            <w:tcBorders>
              <w:top w:val="outset" w:sz="6" w:space="0" w:color="auto"/>
              <w:left w:val="outset" w:sz="6" w:space="0" w:color="auto"/>
              <w:bottom w:val="outset" w:sz="6" w:space="0" w:color="auto"/>
              <w:right w:val="outset" w:sz="6" w:space="0" w:color="auto"/>
            </w:tcBorders>
            <w:hideMark/>
          </w:tcPr>
          <w:p w14:paraId="35AF9640" w14:textId="77777777" w:rsidR="00B37986" w:rsidRPr="005C7D63" w:rsidRDefault="004A033E" w:rsidP="005B186D">
            <w:pPr>
              <w:ind w:left="208" w:right="140" w:firstLine="284"/>
              <w:jc w:val="both"/>
              <w:rPr>
                <w:rFonts w:eastAsia="Times New Roman" w:cs="Times New Roman"/>
                <w:szCs w:val="28"/>
                <w:lang w:eastAsia="lv-LV"/>
              </w:rPr>
            </w:pPr>
            <w:r>
              <w:rPr>
                <w:rFonts w:eastAsia="Times New Roman" w:cs="Times New Roman"/>
                <w:szCs w:val="28"/>
                <w:lang w:eastAsia="lv-LV"/>
              </w:rPr>
              <w:t>Noteikumu projekts tika izstrādāts, ņemot vērā sabiedrības viedokli par nepieciešamajiem grozījumiem normatīvajā aktā.</w:t>
            </w:r>
          </w:p>
        </w:tc>
      </w:tr>
      <w:tr w:rsidR="00B37986" w:rsidRPr="005C7D63" w14:paraId="2AECAD88" w14:textId="77777777" w:rsidTr="004A033E">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14:paraId="7AA92ABD" w14:textId="77777777" w:rsidR="00B37986" w:rsidRPr="005C7D63" w:rsidRDefault="00B37986" w:rsidP="005B186D">
            <w:pPr>
              <w:jc w:val="center"/>
              <w:rPr>
                <w:rFonts w:eastAsia="Times New Roman" w:cs="Times New Roman"/>
                <w:szCs w:val="28"/>
                <w:lang w:eastAsia="lv-LV"/>
              </w:rPr>
            </w:pPr>
            <w:r w:rsidRPr="005C7D63">
              <w:rPr>
                <w:rFonts w:eastAsia="Times New Roman" w:cs="Times New Roman"/>
                <w:szCs w:val="28"/>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14:paraId="46D98C8C" w14:textId="77777777" w:rsidR="00B37986" w:rsidRPr="005C7D63" w:rsidRDefault="00B37986" w:rsidP="005B186D">
            <w:pPr>
              <w:ind w:left="82" w:right="97" w:firstLine="284"/>
              <w:jc w:val="both"/>
              <w:rPr>
                <w:rFonts w:eastAsia="Times New Roman" w:cs="Times New Roman"/>
                <w:szCs w:val="28"/>
                <w:lang w:eastAsia="lv-LV"/>
              </w:rPr>
            </w:pPr>
            <w:r w:rsidRPr="005C7D63">
              <w:rPr>
                <w:rFonts w:eastAsia="Times New Roman" w:cs="Times New Roman"/>
                <w:szCs w:val="28"/>
                <w:lang w:eastAsia="lv-LV"/>
              </w:rPr>
              <w:t>Cita informācija</w:t>
            </w:r>
          </w:p>
        </w:tc>
        <w:tc>
          <w:tcPr>
            <w:tcW w:w="3157" w:type="pct"/>
            <w:tcBorders>
              <w:top w:val="outset" w:sz="6" w:space="0" w:color="auto"/>
              <w:left w:val="outset" w:sz="6" w:space="0" w:color="auto"/>
              <w:bottom w:val="outset" w:sz="6" w:space="0" w:color="auto"/>
              <w:right w:val="outset" w:sz="6" w:space="0" w:color="auto"/>
            </w:tcBorders>
            <w:hideMark/>
          </w:tcPr>
          <w:p w14:paraId="22F1A250" w14:textId="77777777" w:rsidR="00B37986" w:rsidRPr="005C7D63" w:rsidRDefault="00B37986" w:rsidP="005B186D">
            <w:pPr>
              <w:spacing w:before="100" w:beforeAutospacing="1" w:after="100" w:afterAutospacing="1"/>
              <w:ind w:left="208" w:right="140" w:firstLine="284"/>
              <w:jc w:val="both"/>
              <w:rPr>
                <w:rFonts w:eastAsia="Times New Roman" w:cs="Times New Roman"/>
                <w:szCs w:val="28"/>
                <w:lang w:eastAsia="lv-LV"/>
              </w:rPr>
            </w:pPr>
            <w:r w:rsidRPr="005C7D63">
              <w:rPr>
                <w:rFonts w:eastAsia="Times New Roman" w:cs="Times New Roman"/>
                <w:szCs w:val="28"/>
                <w:lang w:eastAsia="lv-LV"/>
              </w:rPr>
              <w:t>Nav</w:t>
            </w:r>
          </w:p>
        </w:tc>
      </w:tr>
    </w:tbl>
    <w:p w14:paraId="54CA0569" w14:textId="77777777" w:rsidR="00B37986" w:rsidRPr="005C7D63" w:rsidRDefault="00B37986" w:rsidP="00EA086E">
      <w:pPr>
        <w:rPr>
          <w:rFonts w:eastAsia="Times New Roman" w:cs="Times New Roman"/>
          <w:szCs w:val="28"/>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0"/>
        <w:gridCol w:w="4255"/>
        <w:gridCol w:w="4320"/>
      </w:tblGrid>
      <w:tr w:rsidR="005A2ACB" w:rsidRPr="005C7D63" w14:paraId="24FC0EFD" w14:textId="77777777" w:rsidTr="00B26993">
        <w:trPr>
          <w:trHeight w:val="375"/>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653E602A" w14:textId="77777777" w:rsidR="005A2ACB" w:rsidRPr="005C7D63" w:rsidRDefault="005A2ACB" w:rsidP="005A2ACB">
            <w:pPr>
              <w:spacing w:before="100" w:beforeAutospacing="1" w:after="100" w:afterAutospacing="1"/>
              <w:jc w:val="center"/>
              <w:rPr>
                <w:rFonts w:eastAsia="Times New Roman" w:cs="Times New Roman"/>
                <w:b/>
                <w:bCs/>
                <w:szCs w:val="28"/>
                <w:lang w:eastAsia="lv-LV"/>
              </w:rPr>
            </w:pPr>
            <w:r w:rsidRPr="005C7D63">
              <w:rPr>
                <w:rFonts w:eastAsia="Times New Roman" w:cs="Times New Roman"/>
                <w:b/>
                <w:bCs/>
                <w:szCs w:val="28"/>
                <w:lang w:eastAsia="lv-LV"/>
              </w:rPr>
              <w:t>VII. Tiesību akta projekta izpildes nodrošināšana un tās ietekme uz institūcijām</w:t>
            </w:r>
          </w:p>
        </w:tc>
      </w:tr>
      <w:tr w:rsidR="005A2ACB" w:rsidRPr="005C7D63" w14:paraId="2AB373B0" w14:textId="77777777" w:rsidTr="00B26993">
        <w:trPr>
          <w:trHeight w:val="420"/>
          <w:tblCellSpacing w:w="15" w:type="dxa"/>
          <w:jc w:val="center"/>
        </w:trPr>
        <w:tc>
          <w:tcPr>
            <w:tcW w:w="242" w:type="pct"/>
            <w:tcBorders>
              <w:top w:val="outset" w:sz="6" w:space="0" w:color="auto"/>
              <w:left w:val="outset" w:sz="6" w:space="0" w:color="auto"/>
              <w:bottom w:val="outset" w:sz="6" w:space="0" w:color="auto"/>
              <w:right w:val="outset" w:sz="6" w:space="0" w:color="auto"/>
            </w:tcBorders>
            <w:hideMark/>
          </w:tcPr>
          <w:p w14:paraId="74D7D0AE" w14:textId="77777777" w:rsidR="005A2ACB" w:rsidRPr="005C7D63" w:rsidRDefault="005A2ACB" w:rsidP="002A42FF">
            <w:pPr>
              <w:jc w:val="center"/>
              <w:rPr>
                <w:rFonts w:eastAsia="Times New Roman" w:cs="Times New Roman"/>
                <w:szCs w:val="28"/>
                <w:lang w:eastAsia="lv-LV"/>
              </w:rPr>
            </w:pPr>
            <w:r w:rsidRPr="005C7D63">
              <w:rPr>
                <w:rFonts w:eastAsia="Times New Roman" w:cs="Times New Roman"/>
                <w:szCs w:val="28"/>
                <w:lang w:eastAsia="lv-LV"/>
              </w:rPr>
              <w:lastRenderedPageBreak/>
              <w:t>1.</w:t>
            </w:r>
          </w:p>
        </w:tc>
        <w:tc>
          <w:tcPr>
            <w:tcW w:w="2349" w:type="pct"/>
            <w:tcBorders>
              <w:top w:val="outset" w:sz="6" w:space="0" w:color="auto"/>
              <w:left w:val="outset" w:sz="6" w:space="0" w:color="auto"/>
              <w:bottom w:val="outset" w:sz="6" w:space="0" w:color="auto"/>
              <w:right w:val="outset" w:sz="6" w:space="0" w:color="auto"/>
            </w:tcBorders>
            <w:hideMark/>
          </w:tcPr>
          <w:p w14:paraId="166D9C13" w14:textId="77777777" w:rsidR="005A2ACB" w:rsidRPr="005C7D63" w:rsidRDefault="005A2ACB" w:rsidP="002A42FF">
            <w:pPr>
              <w:ind w:left="82" w:right="167" w:firstLine="284"/>
              <w:jc w:val="both"/>
              <w:rPr>
                <w:rFonts w:eastAsia="Times New Roman" w:cs="Times New Roman"/>
                <w:szCs w:val="28"/>
                <w:lang w:eastAsia="lv-LV"/>
              </w:rPr>
            </w:pPr>
            <w:r w:rsidRPr="005C7D63">
              <w:rPr>
                <w:rFonts w:eastAsia="Times New Roman" w:cs="Times New Roman"/>
                <w:szCs w:val="28"/>
                <w:lang w:eastAsia="lv-LV"/>
              </w:rPr>
              <w:t>Projekta izpildē iesaistītās institūcijas</w:t>
            </w:r>
          </w:p>
        </w:tc>
        <w:tc>
          <w:tcPr>
            <w:tcW w:w="2342" w:type="pct"/>
            <w:tcBorders>
              <w:top w:val="outset" w:sz="6" w:space="0" w:color="auto"/>
              <w:left w:val="outset" w:sz="6" w:space="0" w:color="auto"/>
              <w:bottom w:val="outset" w:sz="6" w:space="0" w:color="auto"/>
              <w:right w:val="outset" w:sz="6" w:space="0" w:color="auto"/>
            </w:tcBorders>
            <w:hideMark/>
          </w:tcPr>
          <w:p w14:paraId="060937EF" w14:textId="77777777" w:rsidR="005A2ACB" w:rsidRPr="005C7D63" w:rsidRDefault="00CB1EF6" w:rsidP="00CB1EF6">
            <w:pPr>
              <w:ind w:left="138" w:right="140" w:firstLine="142"/>
              <w:jc w:val="both"/>
              <w:rPr>
                <w:rFonts w:eastAsia="Times New Roman" w:cs="Times New Roman"/>
                <w:szCs w:val="28"/>
                <w:lang w:eastAsia="lv-LV"/>
              </w:rPr>
            </w:pPr>
            <w:r w:rsidRPr="005C7D63">
              <w:rPr>
                <w:rFonts w:cs="Times New Roman"/>
                <w:iCs/>
                <w:szCs w:val="28"/>
              </w:rPr>
              <w:t>Patērētāju</w:t>
            </w:r>
            <w:r w:rsidR="00376DAF" w:rsidRPr="005C7D63">
              <w:rPr>
                <w:rFonts w:cs="Times New Roman"/>
                <w:iCs/>
                <w:szCs w:val="28"/>
              </w:rPr>
              <w:t xml:space="preserve"> tiesību aizsardzības centrs</w:t>
            </w:r>
            <w:r w:rsidR="002A42FF" w:rsidRPr="005C7D63">
              <w:rPr>
                <w:rFonts w:cs="Times New Roman"/>
                <w:iCs/>
                <w:szCs w:val="28"/>
              </w:rPr>
              <w:t>.</w:t>
            </w:r>
          </w:p>
        </w:tc>
      </w:tr>
      <w:tr w:rsidR="005A2ACB" w:rsidRPr="005C7D63" w14:paraId="7470D8CA" w14:textId="77777777" w:rsidTr="00B26993">
        <w:trPr>
          <w:trHeight w:val="450"/>
          <w:tblCellSpacing w:w="15" w:type="dxa"/>
          <w:jc w:val="center"/>
        </w:trPr>
        <w:tc>
          <w:tcPr>
            <w:tcW w:w="242" w:type="pct"/>
            <w:tcBorders>
              <w:top w:val="outset" w:sz="6" w:space="0" w:color="auto"/>
              <w:left w:val="outset" w:sz="6" w:space="0" w:color="auto"/>
              <w:bottom w:val="outset" w:sz="6" w:space="0" w:color="auto"/>
              <w:right w:val="outset" w:sz="6" w:space="0" w:color="auto"/>
            </w:tcBorders>
            <w:hideMark/>
          </w:tcPr>
          <w:p w14:paraId="4169F2B1" w14:textId="77777777" w:rsidR="005A2ACB" w:rsidRPr="005C7D63" w:rsidRDefault="005A2ACB" w:rsidP="002A42FF">
            <w:pPr>
              <w:jc w:val="center"/>
              <w:rPr>
                <w:rFonts w:eastAsia="Times New Roman" w:cs="Times New Roman"/>
                <w:szCs w:val="28"/>
                <w:lang w:eastAsia="lv-LV"/>
              </w:rPr>
            </w:pPr>
            <w:r w:rsidRPr="005C7D63">
              <w:rPr>
                <w:rFonts w:eastAsia="Times New Roman" w:cs="Times New Roman"/>
                <w:szCs w:val="28"/>
                <w:lang w:eastAsia="lv-LV"/>
              </w:rPr>
              <w:t>2.</w:t>
            </w:r>
          </w:p>
        </w:tc>
        <w:tc>
          <w:tcPr>
            <w:tcW w:w="2349" w:type="pct"/>
            <w:tcBorders>
              <w:top w:val="outset" w:sz="6" w:space="0" w:color="auto"/>
              <w:left w:val="outset" w:sz="6" w:space="0" w:color="auto"/>
              <w:bottom w:val="outset" w:sz="6" w:space="0" w:color="auto"/>
              <w:right w:val="outset" w:sz="6" w:space="0" w:color="auto"/>
            </w:tcBorders>
            <w:hideMark/>
          </w:tcPr>
          <w:p w14:paraId="18903C48" w14:textId="77777777" w:rsidR="005A2ACB" w:rsidRPr="005C7D63" w:rsidRDefault="005A2ACB" w:rsidP="002A42FF">
            <w:pPr>
              <w:ind w:left="82" w:right="167" w:firstLine="284"/>
              <w:jc w:val="both"/>
              <w:rPr>
                <w:rFonts w:eastAsia="Times New Roman" w:cs="Times New Roman"/>
                <w:szCs w:val="28"/>
                <w:lang w:eastAsia="lv-LV"/>
              </w:rPr>
            </w:pPr>
            <w:r w:rsidRPr="005C7D63">
              <w:rPr>
                <w:rFonts w:eastAsia="Times New Roman" w:cs="Times New Roman"/>
                <w:szCs w:val="28"/>
                <w:lang w:eastAsia="lv-LV"/>
              </w:rPr>
              <w:t xml:space="preserve">Projekta izpildes ietekme uz pārvaldes funkcijām un institucionālo struktūru. </w:t>
            </w:r>
          </w:p>
          <w:p w14:paraId="706550AC" w14:textId="77777777" w:rsidR="005A2ACB" w:rsidRPr="005C7D63" w:rsidRDefault="005A2ACB" w:rsidP="002A42FF">
            <w:pPr>
              <w:spacing w:after="100" w:afterAutospacing="1"/>
              <w:ind w:left="82" w:right="167" w:firstLine="284"/>
              <w:jc w:val="both"/>
              <w:rPr>
                <w:rFonts w:eastAsia="Times New Roman" w:cs="Times New Roman"/>
                <w:szCs w:val="28"/>
                <w:lang w:eastAsia="lv-LV"/>
              </w:rPr>
            </w:pPr>
            <w:r w:rsidRPr="005C7D63">
              <w:rPr>
                <w:rFonts w:eastAsia="Times New Roman" w:cs="Times New Roman"/>
                <w:szCs w:val="28"/>
                <w:lang w:eastAsia="lv-LV"/>
              </w:rPr>
              <w:t>Jaunu institūciju izveide, esošu institūciju likvidācija vai reorganizācija, to ietekme uz institūcijas cilvēkresursiem</w:t>
            </w:r>
          </w:p>
        </w:tc>
        <w:tc>
          <w:tcPr>
            <w:tcW w:w="2342" w:type="pct"/>
            <w:tcBorders>
              <w:top w:val="outset" w:sz="6" w:space="0" w:color="auto"/>
              <w:left w:val="outset" w:sz="6" w:space="0" w:color="auto"/>
              <w:bottom w:val="outset" w:sz="6" w:space="0" w:color="auto"/>
              <w:right w:val="outset" w:sz="6" w:space="0" w:color="auto"/>
            </w:tcBorders>
            <w:hideMark/>
          </w:tcPr>
          <w:p w14:paraId="79D4D15D" w14:textId="77777777" w:rsidR="005A2ACB" w:rsidRPr="005C7D63" w:rsidRDefault="00376DAF" w:rsidP="00B26993">
            <w:pPr>
              <w:ind w:left="138" w:right="140" w:firstLine="142"/>
              <w:jc w:val="both"/>
              <w:rPr>
                <w:rFonts w:eastAsia="Times New Roman" w:cs="Times New Roman"/>
                <w:szCs w:val="28"/>
                <w:lang w:eastAsia="lv-LV"/>
              </w:rPr>
            </w:pPr>
            <w:r w:rsidRPr="005C7D63">
              <w:rPr>
                <w:rFonts w:eastAsia="Times New Roman" w:cs="Times New Roman"/>
                <w:szCs w:val="28"/>
                <w:lang w:eastAsia="lv-LV"/>
              </w:rPr>
              <w:t>Jauna institūcija netiek veidota, kā arī netiek paredzēta esošu institūciju likvidācija vai reorganizācija.</w:t>
            </w:r>
          </w:p>
        </w:tc>
      </w:tr>
      <w:tr w:rsidR="005A2ACB" w:rsidRPr="005C7D63" w14:paraId="6DE621AD" w14:textId="77777777" w:rsidTr="00B26993">
        <w:trPr>
          <w:trHeight w:val="390"/>
          <w:tblCellSpacing w:w="15" w:type="dxa"/>
          <w:jc w:val="center"/>
        </w:trPr>
        <w:tc>
          <w:tcPr>
            <w:tcW w:w="242" w:type="pct"/>
            <w:tcBorders>
              <w:top w:val="outset" w:sz="6" w:space="0" w:color="auto"/>
              <w:left w:val="outset" w:sz="6" w:space="0" w:color="auto"/>
              <w:bottom w:val="outset" w:sz="6" w:space="0" w:color="auto"/>
              <w:right w:val="outset" w:sz="6" w:space="0" w:color="auto"/>
            </w:tcBorders>
            <w:hideMark/>
          </w:tcPr>
          <w:p w14:paraId="2839AEE7" w14:textId="77777777" w:rsidR="005A2ACB" w:rsidRPr="005C7D63" w:rsidRDefault="005A2ACB" w:rsidP="002A42FF">
            <w:pPr>
              <w:jc w:val="center"/>
              <w:rPr>
                <w:rFonts w:eastAsia="Times New Roman" w:cs="Times New Roman"/>
                <w:szCs w:val="28"/>
                <w:lang w:eastAsia="lv-LV"/>
              </w:rPr>
            </w:pPr>
            <w:r w:rsidRPr="005C7D63">
              <w:rPr>
                <w:rFonts w:eastAsia="Times New Roman" w:cs="Times New Roman"/>
                <w:szCs w:val="28"/>
                <w:lang w:eastAsia="lv-LV"/>
              </w:rPr>
              <w:t>3.</w:t>
            </w:r>
          </w:p>
        </w:tc>
        <w:tc>
          <w:tcPr>
            <w:tcW w:w="2349" w:type="pct"/>
            <w:tcBorders>
              <w:top w:val="outset" w:sz="6" w:space="0" w:color="auto"/>
              <w:left w:val="outset" w:sz="6" w:space="0" w:color="auto"/>
              <w:bottom w:val="outset" w:sz="6" w:space="0" w:color="auto"/>
              <w:right w:val="outset" w:sz="6" w:space="0" w:color="auto"/>
            </w:tcBorders>
            <w:hideMark/>
          </w:tcPr>
          <w:p w14:paraId="47F78E96" w14:textId="77777777" w:rsidR="005A2ACB" w:rsidRPr="005C7D63" w:rsidRDefault="005A2ACB" w:rsidP="002A42FF">
            <w:pPr>
              <w:ind w:left="82" w:right="167" w:firstLine="284"/>
              <w:jc w:val="both"/>
              <w:rPr>
                <w:rFonts w:eastAsia="Times New Roman" w:cs="Times New Roman"/>
                <w:szCs w:val="28"/>
                <w:lang w:eastAsia="lv-LV"/>
              </w:rPr>
            </w:pPr>
            <w:r w:rsidRPr="005C7D63">
              <w:rPr>
                <w:rFonts w:eastAsia="Times New Roman" w:cs="Times New Roman"/>
                <w:szCs w:val="28"/>
                <w:lang w:eastAsia="lv-LV"/>
              </w:rPr>
              <w:t>Cita informācija</w:t>
            </w:r>
          </w:p>
        </w:tc>
        <w:tc>
          <w:tcPr>
            <w:tcW w:w="2342" w:type="pct"/>
            <w:tcBorders>
              <w:top w:val="outset" w:sz="6" w:space="0" w:color="auto"/>
              <w:left w:val="outset" w:sz="6" w:space="0" w:color="auto"/>
              <w:bottom w:val="outset" w:sz="6" w:space="0" w:color="auto"/>
              <w:right w:val="outset" w:sz="6" w:space="0" w:color="auto"/>
            </w:tcBorders>
            <w:hideMark/>
          </w:tcPr>
          <w:p w14:paraId="7F25F2F2" w14:textId="77777777" w:rsidR="005A2ACB" w:rsidRPr="005C7D63" w:rsidRDefault="00733BFD" w:rsidP="002A42FF">
            <w:pPr>
              <w:spacing w:before="100" w:beforeAutospacing="1" w:after="100" w:afterAutospacing="1"/>
              <w:ind w:left="138" w:right="140" w:firstLine="142"/>
              <w:rPr>
                <w:rFonts w:eastAsia="Times New Roman" w:cs="Times New Roman"/>
                <w:szCs w:val="28"/>
                <w:lang w:eastAsia="lv-LV"/>
              </w:rPr>
            </w:pPr>
            <w:r w:rsidRPr="005C7D63">
              <w:rPr>
                <w:rFonts w:eastAsia="Times New Roman" w:cs="Times New Roman"/>
                <w:szCs w:val="28"/>
                <w:lang w:eastAsia="lv-LV"/>
              </w:rPr>
              <w:t>Nav</w:t>
            </w:r>
          </w:p>
        </w:tc>
      </w:tr>
    </w:tbl>
    <w:p w14:paraId="0C571E87" w14:textId="77777777" w:rsidR="00733BFD" w:rsidRPr="005C7D63" w:rsidRDefault="00733BFD" w:rsidP="00733BFD">
      <w:pPr>
        <w:rPr>
          <w:rFonts w:cs="Times New Roman"/>
          <w:szCs w:val="28"/>
        </w:rPr>
      </w:pPr>
    </w:p>
    <w:p w14:paraId="053ADA4B" w14:textId="77777777" w:rsidR="00733BFD" w:rsidRPr="005C7D63" w:rsidRDefault="00733BFD" w:rsidP="00733BFD">
      <w:pPr>
        <w:rPr>
          <w:rFonts w:cs="Times New Roman"/>
          <w:bCs/>
          <w:szCs w:val="28"/>
        </w:rPr>
      </w:pPr>
      <w:r w:rsidRPr="005C7D63">
        <w:rPr>
          <w:rFonts w:cs="Times New Roman"/>
          <w:bCs/>
          <w:szCs w:val="28"/>
        </w:rPr>
        <w:t xml:space="preserve">Iesniedzējs: </w:t>
      </w:r>
    </w:p>
    <w:p w14:paraId="3DD51A08" w14:textId="77777777" w:rsidR="00572459" w:rsidRPr="005C7D63" w:rsidRDefault="00572459" w:rsidP="00572459">
      <w:pPr>
        <w:rPr>
          <w:rFonts w:eastAsia="Times New Roman" w:cs="Times New Roman"/>
          <w:bCs/>
          <w:szCs w:val="28"/>
        </w:rPr>
      </w:pPr>
      <w:r w:rsidRPr="005C7D63">
        <w:rPr>
          <w:rFonts w:eastAsia="Times New Roman" w:cs="Times New Roman"/>
          <w:bCs/>
          <w:szCs w:val="28"/>
        </w:rPr>
        <w:t>Ministru prezidenta biedrs,</w:t>
      </w:r>
    </w:p>
    <w:p w14:paraId="335473E2" w14:textId="77777777" w:rsidR="00572459" w:rsidRPr="005C7D63" w:rsidRDefault="00572459" w:rsidP="00572459">
      <w:pPr>
        <w:rPr>
          <w:rFonts w:eastAsia="Times New Roman" w:cs="Times New Roman"/>
          <w:bCs/>
          <w:szCs w:val="28"/>
        </w:rPr>
      </w:pPr>
      <w:r w:rsidRPr="005C7D63">
        <w:rPr>
          <w:rFonts w:eastAsia="Times New Roman" w:cs="Times New Roman"/>
          <w:bCs/>
          <w:szCs w:val="28"/>
        </w:rPr>
        <w:t xml:space="preserve">ekonomikas ministrs </w:t>
      </w:r>
      <w:r w:rsidRPr="005C7D63">
        <w:rPr>
          <w:rFonts w:eastAsia="Times New Roman" w:cs="Times New Roman"/>
          <w:bCs/>
          <w:szCs w:val="28"/>
        </w:rPr>
        <w:tab/>
      </w:r>
      <w:r w:rsidRPr="005C7D63">
        <w:rPr>
          <w:rFonts w:eastAsia="Times New Roman" w:cs="Times New Roman"/>
          <w:bCs/>
          <w:szCs w:val="28"/>
        </w:rPr>
        <w:tab/>
      </w:r>
      <w:r w:rsidRPr="005C7D63">
        <w:rPr>
          <w:rFonts w:eastAsia="Times New Roman" w:cs="Times New Roman"/>
          <w:bCs/>
          <w:szCs w:val="28"/>
        </w:rPr>
        <w:tab/>
      </w:r>
      <w:r w:rsidRPr="005C7D63">
        <w:rPr>
          <w:rFonts w:eastAsia="Times New Roman" w:cs="Times New Roman"/>
          <w:bCs/>
          <w:szCs w:val="28"/>
        </w:rPr>
        <w:tab/>
        <w:t xml:space="preserve"> </w:t>
      </w:r>
      <w:r w:rsidRPr="005C7D63">
        <w:rPr>
          <w:rFonts w:eastAsia="Times New Roman" w:cs="Times New Roman"/>
          <w:bCs/>
          <w:szCs w:val="28"/>
        </w:rPr>
        <w:tab/>
      </w:r>
      <w:r w:rsidRPr="005C7D63">
        <w:rPr>
          <w:rFonts w:eastAsia="Times New Roman" w:cs="Times New Roman"/>
          <w:bCs/>
          <w:szCs w:val="28"/>
        </w:rPr>
        <w:tab/>
      </w:r>
      <w:r w:rsidRPr="005C7D63">
        <w:rPr>
          <w:rFonts w:eastAsia="Times New Roman" w:cs="Times New Roman"/>
          <w:bCs/>
          <w:szCs w:val="28"/>
        </w:rPr>
        <w:tab/>
        <w:t>      </w:t>
      </w:r>
      <w:proofErr w:type="spellStart"/>
      <w:r w:rsidRPr="005C7D63">
        <w:rPr>
          <w:rFonts w:eastAsia="Times New Roman" w:cs="Times New Roman"/>
          <w:bCs/>
          <w:szCs w:val="28"/>
        </w:rPr>
        <w:t>A.Ašeradens</w:t>
      </w:r>
      <w:proofErr w:type="spellEnd"/>
    </w:p>
    <w:p w14:paraId="49EE69CF" w14:textId="77777777" w:rsidR="00572459" w:rsidRPr="005C7D63" w:rsidRDefault="00572459" w:rsidP="00572459">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rPr>
          <w:rFonts w:eastAsia="Times New Roman" w:cs="Times New Roman"/>
          <w:bCs/>
          <w:szCs w:val="28"/>
        </w:rPr>
      </w:pPr>
      <w:r w:rsidRPr="005C7D63">
        <w:rPr>
          <w:rFonts w:eastAsia="Times New Roman" w:cs="Times New Roman"/>
          <w:bCs/>
          <w:szCs w:val="28"/>
        </w:rPr>
        <w:t xml:space="preserve"> </w:t>
      </w:r>
    </w:p>
    <w:p w14:paraId="5A5E19B1" w14:textId="77777777" w:rsidR="00572459" w:rsidRPr="005C7D63" w:rsidRDefault="00572459" w:rsidP="00572459">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rPr>
          <w:rFonts w:eastAsia="Times New Roman" w:cs="Times New Roman"/>
          <w:bCs/>
          <w:szCs w:val="28"/>
        </w:rPr>
      </w:pPr>
      <w:r w:rsidRPr="005C7D63">
        <w:rPr>
          <w:rFonts w:eastAsia="Times New Roman" w:cs="Times New Roman"/>
          <w:bCs/>
          <w:szCs w:val="28"/>
        </w:rPr>
        <w:t xml:space="preserve">Vīza: </w:t>
      </w:r>
    </w:p>
    <w:p w14:paraId="670C7FED" w14:textId="77777777" w:rsidR="00572459" w:rsidRPr="005C7D63" w:rsidRDefault="00572459" w:rsidP="00572459">
      <w:pPr>
        <w:tabs>
          <w:tab w:val="left" w:pos="916"/>
          <w:tab w:val="left" w:pos="1832"/>
          <w:tab w:val="left" w:pos="2748"/>
          <w:tab w:val="left" w:pos="3664"/>
          <w:tab w:val="left" w:pos="4580"/>
          <w:tab w:val="left" w:pos="5496"/>
          <w:tab w:val="left" w:pos="6412"/>
          <w:tab w:val="left" w:pos="6521"/>
          <w:tab w:val="left" w:pos="7328"/>
          <w:tab w:val="left" w:pos="8244"/>
          <w:tab w:val="left" w:pos="9160"/>
          <w:tab w:val="left" w:pos="10076"/>
          <w:tab w:val="left" w:pos="10992"/>
          <w:tab w:val="left" w:pos="11908"/>
          <w:tab w:val="left" w:pos="12824"/>
          <w:tab w:val="left" w:pos="13740"/>
          <w:tab w:val="left" w:pos="14656"/>
        </w:tabs>
        <w:rPr>
          <w:rFonts w:eastAsia="Times New Roman" w:cs="Times New Roman"/>
          <w:szCs w:val="28"/>
        </w:rPr>
      </w:pPr>
      <w:r w:rsidRPr="005C7D63">
        <w:rPr>
          <w:rFonts w:eastAsia="Times New Roman" w:cs="Times New Roman"/>
          <w:szCs w:val="28"/>
        </w:rPr>
        <w:t>Valsts sekretārs</w:t>
      </w:r>
      <w:r w:rsidRPr="005C7D63">
        <w:rPr>
          <w:rFonts w:eastAsia="Times New Roman" w:cs="Times New Roman"/>
          <w:szCs w:val="28"/>
        </w:rPr>
        <w:tab/>
      </w:r>
      <w:r w:rsidRPr="005C7D63">
        <w:rPr>
          <w:rFonts w:eastAsia="Times New Roman" w:cs="Times New Roman"/>
          <w:szCs w:val="28"/>
        </w:rPr>
        <w:tab/>
      </w:r>
      <w:r w:rsidRPr="005C7D63">
        <w:rPr>
          <w:rFonts w:eastAsia="Times New Roman" w:cs="Times New Roman"/>
          <w:szCs w:val="28"/>
        </w:rPr>
        <w:tab/>
      </w:r>
      <w:r w:rsidRPr="005C7D63">
        <w:rPr>
          <w:rFonts w:eastAsia="Times New Roman" w:cs="Times New Roman"/>
          <w:szCs w:val="28"/>
        </w:rPr>
        <w:tab/>
      </w:r>
      <w:r w:rsidRPr="005C7D63">
        <w:rPr>
          <w:rFonts w:eastAsia="Times New Roman" w:cs="Times New Roman"/>
          <w:szCs w:val="28"/>
        </w:rPr>
        <w:tab/>
      </w:r>
      <w:r w:rsidRPr="005C7D63">
        <w:rPr>
          <w:rFonts w:eastAsia="Times New Roman" w:cs="Times New Roman"/>
          <w:szCs w:val="28"/>
        </w:rPr>
        <w:tab/>
      </w:r>
      <w:r w:rsidRPr="005C7D63">
        <w:rPr>
          <w:rFonts w:eastAsia="Times New Roman" w:cs="Times New Roman"/>
          <w:szCs w:val="28"/>
        </w:rPr>
        <w:tab/>
      </w:r>
      <w:r w:rsidRPr="005C7D63">
        <w:rPr>
          <w:rFonts w:eastAsia="Times New Roman" w:cs="Times New Roman"/>
          <w:szCs w:val="28"/>
        </w:rPr>
        <w:tab/>
        <w:t xml:space="preserve">            </w:t>
      </w:r>
      <w:proofErr w:type="spellStart"/>
      <w:r w:rsidRPr="005C7D63">
        <w:rPr>
          <w:rFonts w:eastAsia="Times New Roman" w:cs="Times New Roman"/>
          <w:szCs w:val="28"/>
        </w:rPr>
        <w:t>J.Stinka</w:t>
      </w:r>
      <w:proofErr w:type="spellEnd"/>
    </w:p>
    <w:p w14:paraId="6594A520" w14:textId="704E9972" w:rsidR="00733BFD" w:rsidRDefault="00733BFD" w:rsidP="009B5AF2">
      <w:pPr>
        <w:spacing w:before="360"/>
        <w:rPr>
          <w:sz w:val="20"/>
          <w:szCs w:val="20"/>
        </w:rPr>
      </w:pPr>
      <w:bookmarkStart w:id="0" w:name="OLE_LINK1"/>
      <w:bookmarkStart w:id="1" w:name="OLE_LINK2"/>
      <w:bookmarkStart w:id="2" w:name="OLE_LINK3"/>
      <w:bookmarkStart w:id="3" w:name="OLE_LINK4"/>
    </w:p>
    <w:p w14:paraId="126194D1" w14:textId="49C85DBE" w:rsidR="00641C79" w:rsidRDefault="00641C79" w:rsidP="009B5AF2">
      <w:pPr>
        <w:spacing w:before="360"/>
        <w:rPr>
          <w:sz w:val="20"/>
          <w:szCs w:val="20"/>
        </w:rPr>
      </w:pPr>
    </w:p>
    <w:p w14:paraId="26C12AB3" w14:textId="01006850" w:rsidR="00641C79" w:rsidRDefault="00641C79" w:rsidP="009B5AF2">
      <w:pPr>
        <w:spacing w:before="360"/>
        <w:rPr>
          <w:sz w:val="20"/>
          <w:szCs w:val="20"/>
        </w:rPr>
      </w:pPr>
    </w:p>
    <w:p w14:paraId="07AE7E63" w14:textId="7CDAF78D" w:rsidR="00641C79" w:rsidRDefault="00641C79" w:rsidP="009B5AF2">
      <w:pPr>
        <w:spacing w:before="360"/>
        <w:rPr>
          <w:sz w:val="20"/>
          <w:szCs w:val="20"/>
        </w:rPr>
      </w:pPr>
    </w:p>
    <w:p w14:paraId="7757D8E7" w14:textId="47663D2D" w:rsidR="00641C79" w:rsidRDefault="00641C79" w:rsidP="009B5AF2">
      <w:pPr>
        <w:spacing w:before="360"/>
        <w:rPr>
          <w:sz w:val="20"/>
          <w:szCs w:val="20"/>
        </w:rPr>
      </w:pPr>
    </w:p>
    <w:p w14:paraId="3845BEB7" w14:textId="75CE5FA9" w:rsidR="00641C79" w:rsidRDefault="00641C79" w:rsidP="009B5AF2">
      <w:pPr>
        <w:spacing w:before="360"/>
        <w:rPr>
          <w:sz w:val="20"/>
          <w:szCs w:val="20"/>
        </w:rPr>
      </w:pPr>
    </w:p>
    <w:p w14:paraId="0938C4B1" w14:textId="77B39E8C" w:rsidR="00641C79" w:rsidRDefault="00641C79" w:rsidP="009B5AF2">
      <w:pPr>
        <w:spacing w:before="360"/>
        <w:rPr>
          <w:sz w:val="20"/>
          <w:szCs w:val="20"/>
        </w:rPr>
      </w:pPr>
    </w:p>
    <w:p w14:paraId="40D663AF" w14:textId="265D6BF1" w:rsidR="00641C79" w:rsidRDefault="00641C79" w:rsidP="009B5AF2">
      <w:pPr>
        <w:spacing w:before="360"/>
        <w:rPr>
          <w:sz w:val="20"/>
          <w:szCs w:val="20"/>
        </w:rPr>
      </w:pPr>
    </w:p>
    <w:p w14:paraId="6902CED2" w14:textId="061A95C4" w:rsidR="00641C79" w:rsidRDefault="00641C79" w:rsidP="009B5AF2">
      <w:pPr>
        <w:spacing w:before="360"/>
        <w:rPr>
          <w:sz w:val="20"/>
          <w:szCs w:val="20"/>
        </w:rPr>
      </w:pPr>
    </w:p>
    <w:p w14:paraId="44F03E2B" w14:textId="77777777" w:rsidR="00641C79" w:rsidRDefault="00641C79" w:rsidP="009B5AF2">
      <w:pPr>
        <w:spacing w:before="360"/>
        <w:rPr>
          <w:sz w:val="20"/>
          <w:szCs w:val="20"/>
        </w:rPr>
      </w:pPr>
      <w:bookmarkStart w:id="4" w:name="_GoBack"/>
      <w:bookmarkEnd w:id="4"/>
    </w:p>
    <w:p w14:paraId="128FAA66" w14:textId="77777777" w:rsidR="002A42FF" w:rsidRDefault="002A42FF">
      <w:pPr>
        <w:rPr>
          <w:sz w:val="20"/>
          <w:szCs w:val="20"/>
        </w:rPr>
      </w:pPr>
      <w:r>
        <w:rPr>
          <w:sz w:val="20"/>
          <w:szCs w:val="20"/>
        </w:rPr>
        <w:t>Mālnieks</w:t>
      </w:r>
      <w:bookmarkEnd w:id="0"/>
      <w:bookmarkEnd w:id="1"/>
      <w:bookmarkEnd w:id="2"/>
      <w:bookmarkEnd w:id="3"/>
      <w:r>
        <w:rPr>
          <w:sz w:val="20"/>
          <w:szCs w:val="20"/>
        </w:rPr>
        <w:t xml:space="preserve"> 67013086</w:t>
      </w:r>
    </w:p>
    <w:p w14:paraId="2C88C281" w14:textId="77777777" w:rsidR="002A42FF" w:rsidRPr="002A42FF" w:rsidRDefault="004B594F" w:rsidP="002A42FF">
      <w:pPr>
        <w:rPr>
          <w:rFonts w:eastAsia="Times New Roman" w:cs="Times New Roman"/>
          <w:sz w:val="20"/>
          <w:szCs w:val="20"/>
          <w:lang w:eastAsia="lv-LV"/>
        </w:rPr>
      </w:pPr>
      <w:hyperlink r:id="rId7" w:history="1">
        <w:r w:rsidR="002A42FF" w:rsidRPr="002A42FF">
          <w:rPr>
            <w:rFonts w:eastAsia="Times New Roman" w:cs="Times New Roman"/>
            <w:color w:val="0000FF"/>
            <w:sz w:val="20"/>
            <w:szCs w:val="20"/>
            <w:u w:val="single"/>
            <w:lang w:eastAsia="lv-LV"/>
          </w:rPr>
          <w:t>Andris.Malnieks@em.gov.lv</w:t>
        </w:r>
      </w:hyperlink>
    </w:p>
    <w:sectPr w:rsidR="002A42FF" w:rsidRPr="002A42FF" w:rsidSect="003F5A60">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4FA7BB" w14:textId="77777777" w:rsidR="004B594F" w:rsidRDefault="004B594F" w:rsidP="003F5A60">
      <w:r>
        <w:separator/>
      </w:r>
    </w:p>
  </w:endnote>
  <w:endnote w:type="continuationSeparator" w:id="0">
    <w:p w14:paraId="2412C0B6" w14:textId="77777777" w:rsidR="004B594F" w:rsidRDefault="004B594F" w:rsidP="003F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C5FED" w14:textId="7CFCB26A" w:rsidR="003F5A60" w:rsidRPr="007A016B" w:rsidRDefault="00585C9E" w:rsidP="007A016B">
    <w:pPr>
      <w:pStyle w:val="Footer"/>
    </w:pPr>
    <w:r w:rsidRPr="005E6216">
      <w:rPr>
        <w:sz w:val="22"/>
      </w:rPr>
      <w:fldChar w:fldCharType="begin"/>
    </w:r>
    <w:r w:rsidRPr="005E6216">
      <w:rPr>
        <w:sz w:val="22"/>
      </w:rPr>
      <w:instrText xml:space="preserve"> FILENAME   \* MERGEFORMAT </w:instrText>
    </w:r>
    <w:r w:rsidRPr="005E6216">
      <w:rPr>
        <w:sz w:val="22"/>
      </w:rPr>
      <w:fldChar w:fldCharType="separate"/>
    </w:r>
    <w:r w:rsidR="00321A9A">
      <w:rPr>
        <w:noProof/>
        <w:sz w:val="22"/>
      </w:rPr>
      <w:t>EManot_240817_GrozTirgusuzr.docx</w:t>
    </w:r>
    <w:r w:rsidRPr="005E6216">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5D3DA" w14:textId="4BE7DF40" w:rsidR="003F5A60" w:rsidRDefault="003F5A60" w:rsidP="003F5A60">
    <w:pPr>
      <w:jc w:val="both"/>
    </w:pPr>
    <w:r w:rsidRPr="005E6216">
      <w:rPr>
        <w:sz w:val="22"/>
      </w:rPr>
      <w:fldChar w:fldCharType="begin"/>
    </w:r>
    <w:r w:rsidRPr="005E6216">
      <w:rPr>
        <w:sz w:val="22"/>
      </w:rPr>
      <w:instrText xml:space="preserve"> FILENAME   \* MERGEFORMAT </w:instrText>
    </w:r>
    <w:r w:rsidRPr="005E6216">
      <w:rPr>
        <w:sz w:val="22"/>
      </w:rPr>
      <w:fldChar w:fldCharType="separate"/>
    </w:r>
    <w:r w:rsidR="00321A9A">
      <w:rPr>
        <w:noProof/>
        <w:sz w:val="22"/>
      </w:rPr>
      <w:t>EManot_240817_GrozTirgusuzr.docx</w:t>
    </w:r>
    <w:r w:rsidRPr="005E6216">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B1B1E" w14:textId="77777777" w:rsidR="004B594F" w:rsidRDefault="004B594F" w:rsidP="003F5A60">
      <w:r>
        <w:separator/>
      </w:r>
    </w:p>
  </w:footnote>
  <w:footnote w:type="continuationSeparator" w:id="0">
    <w:p w14:paraId="17853867" w14:textId="77777777" w:rsidR="004B594F" w:rsidRDefault="004B594F" w:rsidP="003F5A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338480"/>
      <w:docPartObj>
        <w:docPartGallery w:val="Page Numbers (Top of Page)"/>
        <w:docPartUnique/>
      </w:docPartObj>
    </w:sdtPr>
    <w:sdtEndPr>
      <w:rPr>
        <w:noProof/>
        <w:sz w:val="24"/>
        <w:szCs w:val="24"/>
      </w:rPr>
    </w:sdtEndPr>
    <w:sdtContent>
      <w:p w14:paraId="27CD6B7A" w14:textId="598BDCC4" w:rsidR="003F5A60" w:rsidRPr="003F5A60" w:rsidRDefault="003F5A60" w:rsidP="003F5A60">
        <w:pPr>
          <w:pStyle w:val="Header"/>
          <w:jc w:val="center"/>
          <w:rPr>
            <w:sz w:val="24"/>
            <w:szCs w:val="24"/>
          </w:rPr>
        </w:pPr>
        <w:r w:rsidRPr="003F5A60">
          <w:rPr>
            <w:sz w:val="24"/>
            <w:szCs w:val="24"/>
          </w:rPr>
          <w:fldChar w:fldCharType="begin"/>
        </w:r>
        <w:r w:rsidRPr="003F5A60">
          <w:rPr>
            <w:sz w:val="24"/>
            <w:szCs w:val="24"/>
          </w:rPr>
          <w:instrText xml:space="preserve"> PAGE   \* MERGEFORMAT </w:instrText>
        </w:r>
        <w:r w:rsidRPr="003F5A60">
          <w:rPr>
            <w:sz w:val="24"/>
            <w:szCs w:val="24"/>
          </w:rPr>
          <w:fldChar w:fldCharType="separate"/>
        </w:r>
        <w:r w:rsidR="00641C79">
          <w:rPr>
            <w:noProof/>
            <w:sz w:val="24"/>
            <w:szCs w:val="24"/>
          </w:rPr>
          <w:t>4</w:t>
        </w:r>
        <w:r w:rsidRPr="003F5A60">
          <w:rPr>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673EE"/>
    <w:multiLevelType w:val="hybridMultilevel"/>
    <w:tmpl w:val="65029564"/>
    <w:lvl w:ilvl="0" w:tplc="04260005">
      <w:start w:val="1"/>
      <w:numFmt w:val="bullet"/>
      <w:lvlText w:val=""/>
      <w:lvlJc w:val="left"/>
      <w:pPr>
        <w:ind w:left="1145" w:hanging="360"/>
      </w:pPr>
      <w:rPr>
        <w:rFonts w:ascii="Wingdings" w:hAnsi="Wingdings"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CB"/>
    <w:rsid w:val="000077FD"/>
    <w:rsid w:val="00043C26"/>
    <w:rsid w:val="000937CE"/>
    <w:rsid w:val="000A549B"/>
    <w:rsid w:val="000B4C1D"/>
    <w:rsid w:val="000E3BB0"/>
    <w:rsid w:val="000E6A47"/>
    <w:rsid w:val="000F355C"/>
    <w:rsid w:val="00107FAE"/>
    <w:rsid w:val="0013332F"/>
    <w:rsid w:val="001449C1"/>
    <w:rsid w:val="001466D0"/>
    <w:rsid w:val="001773AE"/>
    <w:rsid w:val="00181092"/>
    <w:rsid w:val="001926D1"/>
    <w:rsid w:val="001B0AE7"/>
    <w:rsid w:val="001B1B37"/>
    <w:rsid w:val="001D084F"/>
    <w:rsid w:val="00205A17"/>
    <w:rsid w:val="00225515"/>
    <w:rsid w:val="00240021"/>
    <w:rsid w:val="002646F4"/>
    <w:rsid w:val="00291AA5"/>
    <w:rsid w:val="002A42FF"/>
    <w:rsid w:val="002B3762"/>
    <w:rsid w:val="002D026B"/>
    <w:rsid w:val="002F0D3D"/>
    <w:rsid w:val="0031092A"/>
    <w:rsid w:val="003158B0"/>
    <w:rsid w:val="00321A9A"/>
    <w:rsid w:val="00376BF2"/>
    <w:rsid w:val="00376DAF"/>
    <w:rsid w:val="00377AF8"/>
    <w:rsid w:val="003A3175"/>
    <w:rsid w:val="003B1DB9"/>
    <w:rsid w:val="003B2C2B"/>
    <w:rsid w:val="003D6F25"/>
    <w:rsid w:val="003D7F1F"/>
    <w:rsid w:val="003E6E20"/>
    <w:rsid w:val="003F5A60"/>
    <w:rsid w:val="00411D03"/>
    <w:rsid w:val="00466D77"/>
    <w:rsid w:val="004846F5"/>
    <w:rsid w:val="00486F09"/>
    <w:rsid w:val="004936B3"/>
    <w:rsid w:val="004A033E"/>
    <w:rsid w:val="004A4E49"/>
    <w:rsid w:val="004B5426"/>
    <w:rsid w:val="004B594F"/>
    <w:rsid w:val="004C2752"/>
    <w:rsid w:val="004D0675"/>
    <w:rsid w:val="004E4BBF"/>
    <w:rsid w:val="00540A1C"/>
    <w:rsid w:val="00565402"/>
    <w:rsid w:val="00571B0A"/>
    <w:rsid w:val="00572459"/>
    <w:rsid w:val="00574538"/>
    <w:rsid w:val="00585C9E"/>
    <w:rsid w:val="005A0087"/>
    <w:rsid w:val="005A2ACB"/>
    <w:rsid w:val="005A555C"/>
    <w:rsid w:val="005C5348"/>
    <w:rsid w:val="005C7D63"/>
    <w:rsid w:val="005E1E70"/>
    <w:rsid w:val="006348E2"/>
    <w:rsid w:val="00641C79"/>
    <w:rsid w:val="0064540E"/>
    <w:rsid w:val="0064625D"/>
    <w:rsid w:val="006636FF"/>
    <w:rsid w:val="006838E4"/>
    <w:rsid w:val="006927CE"/>
    <w:rsid w:val="006C1C3C"/>
    <w:rsid w:val="006D03B0"/>
    <w:rsid w:val="006D441F"/>
    <w:rsid w:val="00733BFD"/>
    <w:rsid w:val="00776262"/>
    <w:rsid w:val="0079298C"/>
    <w:rsid w:val="00796AEF"/>
    <w:rsid w:val="007A016B"/>
    <w:rsid w:val="007A25ED"/>
    <w:rsid w:val="007A2714"/>
    <w:rsid w:val="007F71CA"/>
    <w:rsid w:val="0082515C"/>
    <w:rsid w:val="00847CB8"/>
    <w:rsid w:val="008704BE"/>
    <w:rsid w:val="008722DF"/>
    <w:rsid w:val="00876FA6"/>
    <w:rsid w:val="00883F14"/>
    <w:rsid w:val="008B0472"/>
    <w:rsid w:val="008E26B3"/>
    <w:rsid w:val="009166A0"/>
    <w:rsid w:val="00916ECF"/>
    <w:rsid w:val="00923747"/>
    <w:rsid w:val="00947E99"/>
    <w:rsid w:val="009565B3"/>
    <w:rsid w:val="009722EA"/>
    <w:rsid w:val="00996739"/>
    <w:rsid w:val="00996DB1"/>
    <w:rsid w:val="00997CFA"/>
    <w:rsid w:val="009B5AF2"/>
    <w:rsid w:val="009B6BB0"/>
    <w:rsid w:val="009D4526"/>
    <w:rsid w:val="009E5083"/>
    <w:rsid w:val="009F6217"/>
    <w:rsid w:val="00A57D7F"/>
    <w:rsid w:val="00A75945"/>
    <w:rsid w:val="00A84CB4"/>
    <w:rsid w:val="00A9041E"/>
    <w:rsid w:val="00AB5CE5"/>
    <w:rsid w:val="00AC31A2"/>
    <w:rsid w:val="00AD0B23"/>
    <w:rsid w:val="00AE25C4"/>
    <w:rsid w:val="00AE5508"/>
    <w:rsid w:val="00AE5C6D"/>
    <w:rsid w:val="00B22F9F"/>
    <w:rsid w:val="00B26993"/>
    <w:rsid w:val="00B37986"/>
    <w:rsid w:val="00B702AB"/>
    <w:rsid w:val="00BA6B06"/>
    <w:rsid w:val="00BB7344"/>
    <w:rsid w:val="00BF2756"/>
    <w:rsid w:val="00BF380B"/>
    <w:rsid w:val="00C02E47"/>
    <w:rsid w:val="00C041F1"/>
    <w:rsid w:val="00C17105"/>
    <w:rsid w:val="00C2613C"/>
    <w:rsid w:val="00C363A4"/>
    <w:rsid w:val="00C927DB"/>
    <w:rsid w:val="00CA0CD4"/>
    <w:rsid w:val="00CB1EF6"/>
    <w:rsid w:val="00CB4971"/>
    <w:rsid w:val="00CB6882"/>
    <w:rsid w:val="00CC3C32"/>
    <w:rsid w:val="00CD02B2"/>
    <w:rsid w:val="00CD4A47"/>
    <w:rsid w:val="00CD5BD2"/>
    <w:rsid w:val="00CE4D99"/>
    <w:rsid w:val="00CE526E"/>
    <w:rsid w:val="00CF1933"/>
    <w:rsid w:val="00D202E3"/>
    <w:rsid w:val="00D205C2"/>
    <w:rsid w:val="00D52911"/>
    <w:rsid w:val="00D560DB"/>
    <w:rsid w:val="00D57131"/>
    <w:rsid w:val="00D87F78"/>
    <w:rsid w:val="00D96370"/>
    <w:rsid w:val="00DC6897"/>
    <w:rsid w:val="00DC7EA7"/>
    <w:rsid w:val="00DD4ABD"/>
    <w:rsid w:val="00E06B80"/>
    <w:rsid w:val="00E07E16"/>
    <w:rsid w:val="00E2739F"/>
    <w:rsid w:val="00E44233"/>
    <w:rsid w:val="00E7186D"/>
    <w:rsid w:val="00E90DF1"/>
    <w:rsid w:val="00E926D4"/>
    <w:rsid w:val="00EA086E"/>
    <w:rsid w:val="00EA243F"/>
    <w:rsid w:val="00EC4649"/>
    <w:rsid w:val="00EC47AF"/>
    <w:rsid w:val="00EC75A1"/>
    <w:rsid w:val="00ED21A7"/>
    <w:rsid w:val="00F065E5"/>
    <w:rsid w:val="00F2278C"/>
    <w:rsid w:val="00F33FC5"/>
    <w:rsid w:val="00F53C75"/>
    <w:rsid w:val="00FA0673"/>
    <w:rsid w:val="00FA3BE6"/>
    <w:rsid w:val="00FB0B20"/>
    <w:rsid w:val="00FF0CE0"/>
    <w:rsid w:val="00FF36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003C25"/>
  <w15:docId w15:val="{D42C0012-6C52-4395-9821-4C24545D0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41C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A2ACB"/>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nhideWhenUsed/>
    <w:rsid w:val="005A2ACB"/>
    <w:rPr>
      <w:color w:val="0000FF"/>
      <w:u w:val="single"/>
    </w:rPr>
  </w:style>
  <w:style w:type="paragraph" w:customStyle="1" w:styleId="tvhtml">
    <w:name w:val="tv_html"/>
    <w:basedOn w:val="Normal"/>
    <w:rsid w:val="005A2ACB"/>
    <w:pPr>
      <w:spacing w:before="100" w:beforeAutospacing="1" w:after="100" w:afterAutospacing="1"/>
    </w:pPr>
    <w:rPr>
      <w:rFonts w:eastAsia="Times New Roman" w:cs="Times New Roman"/>
      <w:sz w:val="24"/>
      <w:szCs w:val="24"/>
      <w:lang w:eastAsia="lv-LV"/>
    </w:rPr>
  </w:style>
  <w:style w:type="character" w:styleId="Strong">
    <w:name w:val="Strong"/>
    <w:qFormat/>
    <w:rsid w:val="00466D77"/>
    <w:rPr>
      <w:b/>
      <w:bCs/>
    </w:rPr>
  </w:style>
  <w:style w:type="paragraph" w:styleId="Header">
    <w:name w:val="header"/>
    <w:basedOn w:val="Normal"/>
    <w:link w:val="HeaderChar"/>
    <w:uiPriority w:val="99"/>
    <w:unhideWhenUsed/>
    <w:rsid w:val="003F5A60"/>
    <w:pPr>
      <w:tabs>
        <w:tab w:val="center" w:pos="4153"/>
        <w:tab w:val="right" w:pos="8306"/>
      </w:tabs>
    </w:pPr>
  </w:style>
  <w:style w:type="character" w:customStyle="1" w:styleId="HeaderChar">
    <w:name w:val="Header Char"/>
    <w:basedOn w:val="DefaultParagraphFont"/>
    <w:link w:val="Header"/>
    <w:uiPriority w:val="99"/>
    <w:rsid w:val="003F5A60"/>
  </w:style>
  <w:style w:type="paragraph" w:styleId="Footer">
    <w:name w:val="footer"/>
    <w:basedOn w:val="Normal"/>
    <w:link w:val="FooterChar"/>
    <w:uiPriority w:val="99"/>
    <w:unhideWhenUsed/>
    <w:rsid w:val="003F5A60"/>
    <w:pPr>
      <w:tabs>
        <w:tab w:val="center" w:pos="4153"/>
        <w:tab w:val="right" w:pos="8306"/>
      </w:tabs>
    </w:pPr>
  </w:style>
  <w:style w:type="character" w:customStyle="1" w:styleId="FooterChar">
    <w:name w:val="Footer Char"/>
    <w:basedOn w:val="DefaultParagraphFont"/>
    <w:link w:val="Footer"/>
    <w:uiPriority w:val="99"/>
    <w:rsid w:val="003F5A60"/>
  </w:style>
  <w:style w:type="paragraph" w:customStyle="1" w:styleId="naisf">
    <w:name w:val="naisf"/>
    <w:basedOn w:val="Normal"/>
    <w:rsid w:val="00733BFD"/>
    <w:pPr>
      <w:spacing w:before="75" w:after="75"/>
      <w:ind w:firstLine="375"/>
      <w:jc w:val="both"/>
    </w:pPr>
    <w:rPr>
      <w:rFonts w:eastAsia="Times New Roman" w:cs="Times New Roman"/>
      <w:sz w:val="24"/>
      <w:szCs w:val="24"/>
      <w:lang w:eastAsia="lv-LV"/>
    </w:rPr>
  </w:style>
  <w:style w:type="paragraph" w:customStyle="1" w:styleId="Normal1">
    <w:name w:val="Normal1"/>
    <w:basedOn w:val="Normal"/>
    <w:rsid w:val="007F71CA"/>
    <w:rPr>
      <w:rFonts w:ascii="Calibri" w:eastAsia="Times New Roman" w:hAnsi="Calibri" w:cs="Times New Roman"/>
      <w:sz w:val="22"/>
      <w:lang w:eastAsia="lv-LV"/>
    </w:rPr>
  </w:style>
  <w:style w:type="character" w:customStyle="1" w:styleId="normalchar1">
    <w:name w:val="normal__char1"/>
    <w:basedOn w:val="DefaultParagraphFont"/>
    <w:rsid w:val="007F71CA"/>
    <w:rPr>
      <w:rFonts w:ascii="Calibri" w:hAnsi="Calibri" w:hint="default"/>
      <w:sz w:val="22"/>
      <w:szCs w:val="22"/>
    </w:rPr>
  </w:style>
  <w:style w:type="paragraph" w:customStyle="1" w:styleId="naiskr">
    <w:name w:val="naiskr"/>
    <w:basedOn w:val="Normal"/>
    <w:rsid w:val="007F71CA"/>
    <w:pPr>
      <w:spacing w:before="75" w:after="75"/>
    </w:pPr>
    <w:rPr>
      <w:rFonts w:eastAsia="Times New Roman" w:cs="Times New Roman"/>
      <w:sz w:val="24"/>
      <w:szCs w:val="24"/>
      <w:lang w:eastAsia="lv-LV"/>
    </w:rPr>
  </w:style>
  <w:style w:type="paragraph" w:styleId="BalloonText">
    <w:name w:val="Balloon Text"/>
    <w:basedOn w:val="Normal"/>
    <w:link w:val="BalloonTextChar"/>
    <w:uiPriority w:val="99"/>
    <w:semiHidden/>
    <w:unhideWhenUsed/>
    <w:rsid w:val="007A25ED"/>
    <w:rPr>
      <w:rFonts w:ascii="Tahoma" w:hAnsi="Tahoma" w:cs="Tahoma"/>
      <w:sz w:val="16"/>
      <w:szCs w:val="16"/>
    </w:rPr>
  </w:style>
  <w:style w:type="character" w:customStyle="1" w:styleId="BalloonTextChar">
    <w:name w:val="Balloon Text Char"/>
    <w:basedOn w:val="DefaultParagraphFont"/>
    <w:link w:val="BalloonText"/>
    <w:uiPriority w:val="99"/>
    <w:semiHidden/>
    <w:rsid w:val="007A25ED"/>
    <w:rPr>
      <w:rFonts w:ascii="Tahoma" w:hAnsi="Tahoma" w:cs="Tahoma"/>
      <w:sz w:val="16"/>
      <w:szCs w:val="16"/>
    </w:rPr>
  </w:style>
  <w:style w:type="character" w:styleId="CommentReference">
    <w:name w:val="annotation reference"/>
    <w:basedOn w:val="DefaultParagraphFont"/>
    <w:uiPriority w:val="99"/>
    <w:semiHidden/>
    <w:unhideWhenUsed/>
    <w:rsid w:val="00B22F9F"/>
    <w:rPr>
      <w:sz w:val="16"/>
      <w:szCs w:val="16"/>
    </w:rPr>
  </w:style>
  <w:style w:type="paragraph" w:styleId="CommentText">
    <w:name w:val="annotation text"/>
    <w:basedOn w:val="Normal"/>
    <w:link w:val="CommentTextChar"/>
    <w:uiPriority w:val="99"/>
    <w:semiHidden/>
    <w:unhideWhenUsed/>
    <w:rsid w:val="00B22F9F"/>
    <w:rPr>
      <w:sz w:val="20"/>
      <w:szCs w:val="20"/>
    </w:rPr>
  </w:style>
  <w:style w:type="character" w:customStyle="1" w:styleId="CommentTextChar">
    <w:name w:val="Comment Text Char"/>
    <w:basedOn w:val="DefaultParagraphFont"/>
    <w:link w:val="CommentText"/>
    <w:uiPriority w:val="99"/>
    <w:semiHidden/>
    <w:rsid w:val="00B22F9F"/>
    <w:rPr>
      <w:sz w:val="20"/>
      <w:szCs w:val="20"/>
    </w:rPr>
  </w:style>
  <w:style w:type="paragraph" w:styleId="CommentSubject">
    <w:name w:val="annotation subject"/>
    <w:basedOn w:val="CommentText"/>
    <w:next w:val="CommentText"/>
    <w:link w:val="CommentSubjectChar"/>
    <w:uiPriority w:val="99"/>
    <w:semiHidden/>
    <w:unhideWhenUsed/>
    <w:rsid w:val="00B22F9F"/>
    <w:rPr>
      <w:b/>
      <w:bCs/>
    </w:rPr>
  </w:style>
  <w:style w:type="character" w:customStyle="1" w:styleId="CommentSubjectChar">
    <w:name w:val="Comment Subject Char"/>
    <w:basedOn w:val="CommentTextChar"/>
    <w:link w:val="CommentSubject"/>
    <w:uiPriority w:val="99"/>
    <w:semiHidden/>
    <w:rsid w:val="00B22F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461352">
      <w:bodyDiv w:val="1"/>
      <w:marLeft w:val="0"/>
      <w:marRight w:val="0"/>
      <w:marTop w:val="0"/>
      <w:marBottom w:val="0"/>
      <w:divBdr>
        <w:top w:val="none" w:sz="0" w:space="0" w:color="auto"/>
        <w:left w:val="none" w:sz="0" w:space="0" w:color="auto"/>
        <w:bottom w:val="none" w:sz="0" w:space="0" w:color="auto"/>
        <w:right w:val="none" w:sz="0" w:space="0" w:color="auto"/>
      </w:divBdr>
    </w:div>
    <w:div w:id="534469357">
      <w:bodyDiv w:val="1"/>
      <w:marLeft w:val="0"/>
      <w:marRight w:val="0"/>
      <w:marTop w:val="0"/>
      <w:marBottom w:val="0"/>
      <w:divBdr>
        <w:top w:val="none" w:sz="0" w:space="0" w:color="auto"/>
        <w:left w:val="none" w:sz="0" w:space="0" w:color="auto"/>
        <w:bottom w:val="none" w:sz="0" w:space="0" w:color="auto"/>
        <w:right w:val="none" w:sz="0" w:space="0" w:color="auto"/>
      </w:divBdr>
      <w:divsChild>
        <w:div w:id="1691492055">
          <w:marLeft w:val="0"/>
          <w:marRight w:val="0"/>
          <w:marTop w:val="0"/>
          <w:marBottom w:val="0"/>
          <w:divBdr>
            <w:top w:val="none" w:sz="0" w:space="0" w:color="auto"/>
            <w:left w:val="none" w:sz="0" w:space="0" w:color="auto"/>
            <w:bottom w:val="none" w:sz="0" w:space="0" w:color="auto"/>
            <w:right w:val="none" w:sz="0" w:space="0" w:color="auto"/>
          </w:divBdr>
        </w:div>
        <w:div w:id="1577320992">
          <w:marLeft w:val="0"/>
          <w:marRight w:val="0"/>
          <w:marTop w:val="0"/>
          <w:marBottom w:val="0"/>
          <w:divBdr>
            <w:top w:val="none" w:sz="0" w:space="0" w:color="auto"/>
            <w:left w:val="none" w:sz="0" w:space="0" w:color="auto"/>
            <w:bottom w:val="none" w:sz="0" w:space="0" w:color="auto"/>
            <w:right w:val="none" w:sz="0" w:space="0" w:color="auto"/>
          </w:divBdr>
        </w:div>
      </w:divsChild>
    </w:div>
    <w:div w:id="852917420">
      <w:bodyDiv w:val="1"/>
      <w:marLeft w:val="0"/>
      <w:marRight w:val="0"/>
      <w:marTop w:val="0"/>
      <w:marBottom w:val="0"/>
      <w:divBdr>
        <w:top w:val="none" w:sz="0" w:space="0" w:color="auto"/>
        <w:left w:val="none" w:sz="0" w:space="0" w:color="auto"/>
        <w:bottom w:val="none" w:sz="0" w:space="0" w:color="auto"/>
        <w:right w:val="none" w:sz="0" w:space="0" w:color="auto"/>
      </w:divBdr>
      <w:divsChild>
        <w:div w:id="279802533">
          <w:marLeft w:val="0"/>
          <w:marRight w:val="0"/>
          <w:marTop w:val="0"/>
          <w:marBottom w:val="0"/>
          <w:divBdr>
            <w:top w:val="none" w:sz="0" w:space="0" w:color="auto"/>
            <w:left w:val="none" w:sz="0" w:space="0" w:color="auto"/>
            <w:bottom w:val="none" w:sz="0" w:space="0" w:color="auto"/>
            <w:right w:val="none" w:sz="0" w:space="0" w:color="auto"/>
          </w:divBdr>
          <w:divsChild>
            <w:div w:id="1227883330">
              <w:marLeft w:val="0"/>
              <w:marRight w:val="0"/>
              <w:marTop w:val="0"/>
              <w:marBottom w:val="0"/>
              <w:divBdr>
                <w:top w:val="none" w:sz="0" w:space="0" w:color="auto"/>
                <w:left w:val="none" w:sz="0" w:space="0" w:color="auto"/>
                <w:bottom w:val="none" w:sz="0" w:space="0" w:color="auto"/>
                <w:right w:val="none" w:sz="0" w:space="0" w:color="auto"/>
              </w:divBdr>
              <w:divsChild>
                <w:div w:id="321740175">
                  <w:marLeft w:val="0"/>
                  <w:marRight w:val="0"/>
                  <w:marTop w:val="0"/>
                  <w:marBottom w:val="0"/>
                  <w:divBdr>
                    <w:top w:val="none" w:sz="0" w:space="0" w:color="auto"/>
                    <w:left w:val="none" w:sz="0" w:space="0" w:color="auto"/>
                    <w:bottom w:val="none" w:sz="0" w:space="0" w:color="auto"/>
                    <w:right w:val="none" w:sz="0" w:space="0" w:color="auto"/>
                  </w:divBdr>
                  <w:divsChild>
                    <w:div w:id="1780906457">
                      <w:marLeft w:val="0"/>
                      <w:marRight w:val="0"/>
                      <w:marTop w:val="0"/>
                      <w:marBottom w:val="0"/>
                      <w:divBdr>
                        <w:top w:val="none" w:sz="0" w:space="0" w:color="auto"/>
                        <w:left w:val="none" w:sz="0" w:space="0" w:color="auto"/>
                        <w:bottom w:val="none" w:sz="0" w:space="0" w:color="auto"/>
                        <w:right w:val="none" w:sz="0" w:space="0" w:color="auto"/>
                      </w:divBdr>
                      <w:divsChild>
                        <w:div w:id="762454891">
                          <w:marLeft w:val="0"/>
                          <w:marRight w:val="0"/>
                          <w:marTop w:val="0"/>
                          <w:marBottom w:val="0"/>
                          <w:divBdr>
                            <w:top w:val="none" w:sz="0" w:space="0" w:color="auto"/>
                            <w:left w:val="none" w:sz="0" w:space="0" w:color="auto"/>
                            <w:bottom w:val="none" w:sz="0" w:space="0" w:color="auto"/>
                            <w:right w:val="none" w:sz="0" w:space="0" w:color="auto"/>
                          </w:divBdr>
                          <w:divsChild>
                            <w:div w:id="1305504133">
                              <w:marLeft w:val="0"/>
                              <w:marRight w:val="0"/>
                              <w:marTop w:val="0"/>
                              <w:marBottom w:val="0"/>
                              <w:divBdr>
                                <w:top w:val="none" w:sz="0" w:space="0" w:color="auto"/>
                                <w:left w:val="none" w:sz="0" w:space="0" w:color="auto"/>
                                <w:bottom w:val="none" w:sz="0" w:space="0" w:color="auto"/>
                                <w:right w:val="none" w:sz="0" w:space="0" w:color="auto"/>
                              </w:divBdr>
                            </w:div>
                          </w:divsChild>
                        </w:div>
                        <w:div w:id="1031224129">
                          <w:marLeft w:val="0"/>
                          <w:marRight w:val="0"/>
                          <w:marTop w:val="0"/>
                          <w:marBottom w:val="0"/>
                          <w:divBdr>
                            <w:top w:val="none" w:sz="0" w:space="0" w:color="auto"/>
                            <w:left w:val="none" w:sz="0" w:space="0" w:color="auto"/>
                            <w:bottom w:val="none" w:sz="0" w:space="0" w:color="auto"/>
                            <w:right w:val="none" w:sz="0" w:space="0" w:color="auto"/>
                          </w:divBdr>
                          <w:divsChild>
                            <w:div w:id="1486243162">
                              <w:marLeft w:val="0"/>
                              <w:marRight w:val="0"/>
                              <w:marTop w:val="0"/>
                              <w:marBottom w:val="0"/>
                              <w:divBdr>
                                <w:top w:val="none" w:sz="0" w:space="0" w:color="auto"/>
                                <w:left w:val="none" w:sz="0" w:space="0" w:color="auto"/>
                                <w:bottom w:val="none" w:sz="0" w:space="0" w:color="auto"/>
                                <w:right w:val="none" w:sz="0" w:space="0" w:color="auto"/>
                              </w:divBdr>
                              <w:divsChild>
                                <w:div w:id="1464275947">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3925">
                          <w:marLeft w:val="0"/>
                          <w:marRight w:val="0"/>
                          <w:marTop w:val="0"/>
                          <w:marBottom w:val="0"/>
                          <w:divBdr>
                            <w:top w:val="none" w:sz="0" w:space="0" w:color="auto"/>
                            <w:left w:val="none" w:sz="0" w:space="0" w:color="auto"/>
                            <w:bottom w:val="none" w:sz="0" w:space="0" w:color="auto"/>
                            <w:right w:val="none" w:sz="0" w:space="0" w:color="auto"/>
                          </w:divBdr>
                          <w:divsChild>
                            <w:div w:id="900018316">
                              <w:marLeft w:val="0"/>
                              <w:marRight w:val="0"/>
                              <w:marTop w:val="0"/>
                              <w:marBottom w:val="0"/>
                              <w:divBdr>
                                <w:top w:val="none" w:sz="0" w:space="0" w:color="auto"/>
                                <w:left w:val="none" w:sz="0" w:space="0" w:color="auto"/>
                                <w:bottom w:val="none" w:sz="0" w:space="0" w:color="auto"/>
                                <w:right w:val="none" w:sz="0" w:space="0" w:color="auto"/>
                              </w:divBdr>
                            </w:div>
                          </w:divsChild>
                        </w:div>
                        <w:div w:id="109058570">
                          <w:marLeft w:val="0"/>
                          <w:marRight w:val="0"/>
                          <w:marTop w:val="0"/>
                          <w:marBottom w:val="0"/>
                          <w:divBdr>
                            <w:top w:val="none" w:sz="0" w:space="0" w:color="auto"/>
                            <w:left w:val="none" w:sz="0" w:space="0" w:color="auto"/>
                            <w:bottom w:val="none" w:sz="0" w:space="0" w:color="auto"/>
                            <w:right w:val="none" w:sz="0" w:space="0" w:color="auto"/>
                          </w:divBdr>
                          <w:divsChild>
                            <w:div w:id="854228432">
                              <w:marLeft w:val="0"/>
                              <w:marRight w:val="0"/>
                              <w:marTop w:val="0"/>
                              <w:marBottom w:val="0"/>
                              <w:divBdr>
                                <w:top w:val="none" w:sz="0" w:space="0" w:color="auto"/>
                                <w:left w:val="none" w:sz="0" w:space="0" w:color="auto"/>
                                <w:bottom w:val="none" w:sz="0" w:space="0" w:color="auto"/>
                                <w:right w:val="none" w:sz="0" w:space="0" w:color="auto"/>
                              </w:divBdr>
                            </w:div>
                            <w:div w:id="5767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9324">
                  <w:marLeft w:val="0"/>
                  <w:marRight w:val="0"/>
                  <w:marTop w:val="0"/>
                  <w:marBottom w:val="0"/>
                  <w:divBdr>
                    <w:top w:val="none" w:sz="0" w:space="0" w:color="auto"/>
                    <w:left w:val="none" w:sz="0" w:space="0" w:color="auto"/>
                    <w:bottom w:val="none" w:sz="0" w:space="0" w:color="auto"/>
                    <w:right w:val="none" w:sz="0" w:space="0" w:color="auto"/>
                  </w:divBdr>
                  <w:divsChild>
                    <w:div w:id="14150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18726">
          <w:marLeft w:val="0"/>
          <w:marRight w:val="0"/>
          <w:marTop w:val="0"/>
          <w:marBottom w:val="0"/>
          <w:divBdr>
            <w:top w:val="none" w:sz="0" w:space="0" w:color="auto"/>
            <w:left w:val="none" w:sz="0" w:space="0" w:color="auto"/>
            <w:bottom w:val="none" w:sz="0" w:space="0" w:color="auto"/>
            <w:right w:val="none" w:sz="0" w:space="0" w:color="auto"/>
          </w:divBdr>
        </w:div>
      </w:divsChild>
    </w:div>
    <w:div w:id="1494644528">
      <w:bodyDiv w:val="1"/>
      <w:marLeft w:val="0"/>
      <w:marRight w:val="0"/>
      <w:marTop w:val="0"/>
      <w:marBottom w:val="0"/>
      <w:divBdr>
        <w:top w:val="none" w:sz="0" w:space="0" w:color="auto"/>
        <w:left w:val="none" w:sz="0" w:space="0" w:color="auto"/>
        <w:bottom w:val="none" w:sz="0" w:space="0" w:color="auto"/>
        <w:right w:val="none" w:sz="0" w:space="0" w:color="auto"/>
      </w:divBdr>
    </w:div>
    <w:div w:id="1742679834">
      <w:bodyDiv w:val="1"/>
      <w:marLeft w:val="0"/>
      <w:marRight w:val="0"/>
      <w:marTop w:val="0"/>
      <w:marBottom w:val="0"/>
      <w:divBdr>
        <w:top w:val="none" w:sz="0" w:space="0" w:color="auto"/>
        <w:left w:val="none" w:sz="0" w:space="0" w:color="auto"/>
        <w:bottom w:val="none" w:sz="0" w:space="0" w:color="auto"/>
        <w:right w:val="none" w:sz="0" w:space="0" w:color="auto"/>
      </w:divBdr>
      <w:divsChild>
        <w:div w:id="1395011691">
          <w:marLeft w:val="0"/>
          <w:marRight w:val="0"/>
          <w:marTop w:val="0"/>
          <w:marBottom w:val="0"/>
          <w:divBdr>
            <w:top w:val="none" w:sz="0" w:space="0" w:color="auto"/>
            <w:left w:val="none" w:sz="0" w:space="0" w:color="auto"/>
            <w:bottom w:val="none" w:sz="0" w:space="0" w:color="auto"/>
            <w:right w:val="none" w:sz="0" w:space="0" w:color="auto"/>
          </w:divBdr>
          <w:divsChild>
            <w:div w:id="110322463">
              <w:marLeft w:val="0"/>
              <w:marRight w:val="0"/>
              <w:marTop w:val="0"/>
              <w:marBottom w:val="0"/>
              <w:divBdr>
                <w:top w:val="none" w:sz="0" w:space="0" w:color="auto"/>
                <w:left w:val="none" w:sz="0" w:space="0" w:color="auto"/>
                <w:bottom w:val="none" w:sz="0" w:space="0" w:color="auto"/>
                <w:right w:val="none" w:sz="0" w:space="0" w:color="auto"/>
              </w:divBdr>
              <w:divsChild>
                <w:div w:id="1516503458">
                  <w:marLeft w:val="0"/>
                  <w:marRight w:val="0"/>
                  <w:marTop w:val="0"/>
                  <w:marBottom w:val="0"/>
                  <w:divBdr>
                    <w:top w:val="none" w:sz="0" w:space="0" w:color="auto"/>
                    <w:left w:val="none" w:sz="0" w:space="0" w:color="auto"/>
                    <w:bottom w:val="none" w:sz="0" w:space="0" w:color="auto"/>
                    <w:right w:val="none" w:sz="0" w:space="0" w:color="auto"/>
                  </w:divBdr>
                  <w:divsChild>
                    <w:div w:id="674961152">
                      <w:marLeft w:val="0"/>
                      <w:marRight w:val="0"/>
                      <w:marTop w:val="0"/>
                      <w:marBottom w:val="0"/>
                      <w:divBdr>
                        <w:top w:val="none" w:sz="0" w:space="0" w:color="auto"/>
                        <w:left w:val="none" w:sz="0" w:space="0" w:color="auto"/>
                        <w:bottom w:val="none" w:sz="0" w:space="0" w:color="auto"/>
                        <w:right w:val="none" w:sz="0" w:space="0" w:color="auto"/>
                      </w:divBdr>
                      <w:divsChild>
                        <w:div w:id="1597782769">
                          <w:marLeft w:val="0"/>
                          <w:marRight w:val="0"/>
                          <w:marTop w:val="0"/>
                          <w:marBottom w:val="0"/>
                          <w:divBdr>
                            <w:top w:val="none" w:sz="0" w:space="0" w:color="auto"/>
                            <w:left w:val="none" w:sz="0" w:space="0" w:color="auto"/>
                            <w:bottom w:val="none" w:sz="0" w:space="0" w:color="auto"/>
                            <w:right w:val="none" w:sz="0" w:space="0" w:color="auto"/>
                          </w:divBdr>
                          <w:divsChild>
                            <w:div w:id="1594314119">
                              <w:marLeft w:val="0"/>
                              <w:marRight w:val="0"/>
                              <w:marTop w:val="0"/>
                              <w:marBottom w:val="0"/>
                              <w:divBdr>
                                <w:top w:val="none" w:sz="0" w:space="0" w:color="auto"/>
                                <w:left w:val="none" w:sz="0" w:space="0" w:color="auto"/>
                                <w:bottom w:val="none" w:sz="0" w:space="0" w:color="auto"/>
                                <w:right w:val="none" w:sz="0" w:space="0" w:color="auto"/>
                              </w:divBdr>
                            </w:div>
                          </w:divsChild>
                        </w:div>
                        <w:div w:id="435640713">
                          <w:marLeft w:val="0"/>
                          <w:marRight w:val="0"/>
                          <w:marTop w:val="0"/>
                          <w:marBottom w:val="0"/>
                          <w:divBdr>
                            <w:top w:val="none" w:sz="0" w:space="0" w:color="auto"/>
                            <w:left w:val="none" w:sz="0" w:space="0" w:color="auto"/>
                            <w:bottom w:val="none" w:sz="0" w:space="0" w:color="auto"/>
                            <w:right w:val="none" w:sz="0" w:space="0" w:color="auto"/>
                          </w:divBdr>
                          <w:divsChild>
                            <w:div w:id="1874027634">
                              <w:marLeft w:val="0"/>
                              <w:marRight w:val="0"/>
                              <w:marTop w:val="0"/>
                              <w:marBottom w:val="0"/>
                              <w:divBdr>
                                <w:top w:val="none" w:sz="0" w:space="0" w:color="auto"/>
                                <w:left w:val="none" w:sz="0" w:space="0" w:color="auto"/>
                                <w:bottom w:val="none" w:sz="0" w:space="0" w:color="auto"/>
                                <w:right w:val="none" w:sz="0" w:space="0" w:color="auto"/>
                              </w:divBdr>
                              <w:divsChild>
                                <w:div w:id="946736148">
                                  <w:marLeft w:val="0"/>
                                  <w:marRight w:val="0"/>
                                  <w:marTop w:val="0"/>
                                  <w:marBottom w:val="0"/>
                                  <w:divBdr>
                                    <w:top w:val="none" w:sz="0" w:space="0" w:color="auto"/>
                                    <w:left w:val="none" w:sz="0" w:space="0" w:color="auto"/>
                                    <w:bottom w:val="none" w:sz="0" w:space="0" w:color="auto"/>
                                    <w:right w:val="none" w:sz="0" w:space="0" w:color="auto"/>
                                  </w:divBdr>
                                </w:div>
                                <w:div w:id="16698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4424">
                          <w:marLeft w:val="0"/>
                          <w:marRight w:val="0"/>
                          <w:marTop w:val="0"/>
                          <w:marBottom w:val="0"/>
                          <w:divBdr>
                            <w:top w:val="none" w:sz="0" w:space="0" w:color="auto"/>
                            <w:left w:val="none" w:sz="0" w:space="0" w:color="auto"/>
                            <w:bottom w:val="none" w:sz="0" w:space="0" w:color="auto"/>
                            <w:right w:val="none" w:sz="0" w:space="0" w:color="auto"/>
                          </w:divBdr>
                          <w:divsChild>
                            <w:div w:id="2033412984">
                              <w:marLeft w:val="0"/>
                              <w:marRight w:val="0"/>
                              <w:marTop w:val="0"/>
                              <w:marBottom w:val="0"/>
                              <w:divBdr>
                                <w:top w:val="none" w:sz="0" w:space="0" w:color="auto"/>
                                <w:left w:val="none" w:sz="0" w:space="0" w:color="auto"/>
                                <w:bottom w:val="none" w:sz="0" w:space="0" w:color="auto"/>
                                <w:right w:val="none" w:sz="0" w:space="0" w:color="auto"/>
                              </w:divBdr>
                            </w:div>
                          </w:divsChild>
                        </w:div>
                        <w:div w:id="612789705">
                          <w:marLeft w:val="0"/>
                          <w:marRight w:val="0"/>
                          <w:marTop w:val="0"/>
                          <w:marBottom w:val="0"/>
                          <w:divBdr>
                            <w:top w:val="none" w:sz="0" w:space="0" w:color="auto"/>
                            <w:left w:val="none" w:sz="0" w:space="0" w:color="auto"/>
                            <w:bottom w:val="none" w:sz="0" w:space="0" w:color="auto"/>
                            <w:right w:val="none" w:sz="0" w:space="0" w:color="auto"/>
                          </w:divBdr>
                          <w:divsChild>
                            <w:div w:id="1914463003">
                              <w:marLeft w:val="0"/>
                              <w:marRight w:val="0"/>
                              <w:marTop w:val="0"/>
                              <w:marBottom w:val="0"/>
                              <w:divBdr>
                                <w:top w:val="none" w:sz="0" w:space="0" w:color="auto"/>
                                <w:left w:val="none" w:sz="0" w:space="0" w:color="auto"/>
                                <w:bottom w:val="none" w:sz="0" w:space="0" w:color="auto"/>
                                <w:right w:val="none" w:sz="0" w:space="0" w:color="auto"/>
                              </w:divBdr>
                            </w:div>
                            <w:div w:id="12465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5399">
                  <w:marLeft w:val="0"/>
                  <w:marRight w:val="0"/>
                  <w:marTop w:val="0"/>
                  <w:marBottom w:val="0"/>
                  <w:divBdr>
                    <w:top w:val="none" w:sz="0" w:space="0" w:color="auto"/>
                    <w:left w:val="none" w:sz="0" w:space="0" w:color="auto"/>
                    <w:bottom w:val="none" w:sz="0" w:space="0" w:color="auto"/>
                    <w:right w:val="none" w:sz="0" w:space="0" w:color="auto"/>
                  </w:divBdr>
                  <w:divsChild>
                    <w:div w:id="6401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11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is.Malnieks@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4870</Words>
  <Characters>2777</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Grozījumi MK 2014.gada 25.marta noteikumos Nr.156 "Būvizstrādājumu tirgus uzraudzības kārtība"</vt:lpstr>
    </vt:vector>
  </TitlesOfParts>
  <Company>Ekonomikas ministrija</Company>
  <LinksUpToDate>false</LinksUpToDate>
  <CharactersWithSpaces>7632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MK 2014.gada 25.marta noteikumos Nr.156 "Būvizstrādājumu tirgus uzraudzības kārtība"</dc:title>
  <dc:subject>Sākotnējās ietekmes novērtējuma ziņojums (anotācija)</dc:subject>
  <dc:creator>Andris Mālnieks</dc:creator>
  <dc:description>67013086, Andris.Malnieks@em.gov.lv</dc:description>
  <cp:lastModifiedBy>Andris Mālnieks</cp:lastModifiedBy>
  <cp:revision>3</cp:revision>
  <cp:lastPrinted>2017-08-02T08:16:00Z</cp:lastPrinted>
  <dcterms:created xsi:type="dcterms:W3CDTF">2017-08-24T08:31:00Z</dcterms:created>
  <dcterms:modified xsi:type="dcterms:W3CDTF">2017-08-24T08:45:00Z</dcterms:modified>
</cp:coreProperties>
</file>