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28" w:rsidRPr="003F10D1" w:rsidRDefault="00F32B28" w:rsidP="00B61A29">
      <w:pPr>
        <w:jc w:val="center"/>
        <w:rPr>
          <w:i/>
          <w:iCs/>
          <w:sz w:val="28"/>
          <w:szCs w:val="28"/>
        </w:rPr>
      </w:pPr>
      <w:r w:rsidRPr="003F10D1">
        <w:rPr>
          <w:b/>
          <w:sz w:val="28"/>
          <w:szCs w:val="28"/>
        </w:rPr>
        <w:t>Minis</w:t>
      </w:r>
      <w:r w:rsidR="00D07723">
        <w:rPr>
          <w:b/>
          <w:sz w:val="28"/>
          <w:szCs w:val="28"/>
        </w:rPr>
        <w:t>tru kabineta rīkojuma projekta “</w:t>
      </w:r>
      <w:r w:rsidRPr="003F10D1">
        <w:rPr>
          <w:b/>
          <w:sz w:val="28"/>
          <w:szCs w:val="28"/>
        </w:rPr>
        <w:t xml:space="preserve">Par apropriācijas pārdali” sākotnējās ietekmes novērtējuma </w:t>
      </w:r>
      <w:smartTag w:uri="schemas-tilde-lv/tildestengine" w:element="veidnes">
        <w:smartTagPr>
          <w:attr w:name="text" w:val="ziņojums"/>
          <w:attr w:name="baseform" w:val="ziņojums"/>
          <w:attr w:name="id" w:val="-1"/>
        </w:smartTagPr>
        <w:r w:rsidRPr="003F10D1">
          <w:rPr>
            <w:b/>
            <w:sz w:val="28"/>
            <w:szCs w:val="28"/>
          </w:rPr>
          <w:t>ziņojums</w:t>
        </w:r>
      </w:smartTag>
      <w:r w:rsidRPr="003F10D1">
        <w:rPr>
          <w:b/>
          <w:sz w:val="28"/>
          <w:szCs w:val="28"/>
        </w:rPr>
        <w:t xml:space="preserve"> (anotācija)</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2911"/>
        <w:gridCol w:w="5966"/>
      </w:tblGrid>
      <w:tr w:rsidR="009A7EE9" w:rsidRPr="003F10D1" w:rsidTr="008E3CF9">
        <w:trPr>
          <w:trHeight w:val="419"/>
          <w:jc w:val="center"/>
        </w:trPr>
        <w:tc>
          <w:tcPr>
            <w:tcW w:w="5000" w:type="pct"/>
            <w:gridSpan w:val="3"/>
            <w:vAlign w:val="center"/>
          </w:tcPr>
          <w:p w:rsidR="009A7EE9" w:rsidRPr="003F10D1" w:rsidRDefault="009A7EE9" w:rsidP="008E3CF9">
            <w:pPr>
              <w:pStyle w:val="naisnod"/>
              <w:spacing w:before="0" w:beforeAutospacing="0" w:after="0" w:afterAutospacing="0"/>
              <w:ind w:left="57" w:right="57"/>
              <w:jc w:val="center"/>
              <w:rPr>
                <w:b/>
              </w:rPr>
            </w:pPr>
            <w:r w:rsidRPr="003F10D1">
              <w:rPr>
                <w:b/>
              </w:rPr>
              <w:t>I. Tiesību akta projekta izstrādes nepieciešamība</w:t>
            </w:r>
          </w:p>
        </w:tc>
      </w:tr>
      <w:tr w:rsidR="009A7EE9" w:rsidRPr="003F10D1" w:rsidTr="008E3CF9">
        <w:trPr>
          <w:trHeight w:val="400"/>
          <w:jc w:val="center"/>
        </w:trPr>
        <w:tc>
          <w:tcPr>
            <w:tcW w:w="227" w:type="pct"/>
          </w:tcPr>
          <w:p w:rsidR="009A7EE9" w:rsidRPr="003F10D1" w:rsidRDefault="009A7EE9" w:rsidP="008E3CF9">
            <w:pPr>
              <w:pStyle w:val="naiskr"/>
              <w:spacing w:before="0" w:beforeAutospacing="0" w:after="0" w:afterAutospacing="0"/>
              <w:ind w:left="57" w:right="57"/>
              <w:jc w:val="center"/>
            </w:pPr>
            <w:r w:rsidRPr="003F10D1">
              <w:t>1.</w:t>
            </w:r>
          </w:p>
        </w:tc>
        <w:tc>
          <w:tcPr>
            <w:tcW w:w="1565" w:type="pct"/>
          </w:tcPr>
          <w:p w:rsidR="009A7EE9" w:rsidRPr="003F10D1" w:rsidRDefault="009A7EE9" w:rsidP="008E3CF9">
            <w:pPr>
              <w:pStyle w:val="naiskr"/>
              <w:spacing w:before="0" w:beforeAutospacing="0" w:after="0" w:afterAutospacing="0"/>
              <w:ind w:left="57" w:right="57"/>
            </w:pPr>
            <w:r w:rsidRPr="003F10D1">
              <w:t>Pamatojums</w:t>
            </w:r>
          </w:p>
        </w:tc>
        <w:tc>
          <w:tcPr>
            <w:tcW w:w="3208" w:type="pct"/>
          </w:tcPr>
          <w:p w:rsidR="007C74EE" w:rsidRDefault="007C74EE" w:rsidP="008E3CF9">
            <w:pPr>
              <w:pStyle w:val="Heading3"/>
              <w:shd w:val="clear" w:color="auto" w:fill="FFFFFF"/>
              <w:spacing w:before="120" w:beforeAutospacing="0" w:after="120" w:afterAutospacing="0"/>
              <w:ind w:left="102" w:right="130"/>
              <w:jc w:val="both"/>
              <w:rPr>
                <w:b w:val="0"/>
                <w:sz w:val="24"/>
                <w:szCs w:val="24"/>
              </w:rPr>
            </w:pPr>
            <w:r>
              <w:rPr>
                <w:b w:val="0"/>
                <w:sz w:val="24"/>
                <w:szCs w:val="24"/>
              </w:rPr>
              <w:t>Finanšu ministrijas iniciatīva.</w:t>
            </w:r>
          </w:p>
          <w:p w:rsidR="00CC1E07" w:rsidRPr="003F10D1" w:rsidRDefault="007C74EE" w:rsidP="008E3CF9">
            <w:pPr>
              <w:pStyle w:val="Heading3"/>
              <w:shd w:val="clear" w:color="auto" w:fill="FFFFFF"/>
              <w:spacing w:before="120" w:beforeAutospacing="0" w:after="120" w:afterAutospacing="0"/>
              <w:ind w:left="102" w:right="130"/>
              <w:jc w:val="both"/>
              <w:rPr>
                <w:b w:val="0"/>
                <w:sz w:val="24"/>
                <w:szCs w:val="24"/>
              </w:rPr>
            </w:pPr>
            <w:r>
              <w:rPr>
                <w:b w:val="0"/>
                <w:sz w:val="24"/>
                <w:szCs w:val="24"/>
              </w:rPr>
              <w:t>     L</w:t>
            </w:r>
            <w:r w:rsidR="002C3DC9" w:rsidRPr="003F10D1">
              <w:rPr>
                <w:b w:val="0"/>
                <w:sz w:val="24"/>
                <w:szCs w:val="24"/>
              </w:rPr>
              <w:t>ikuma p</w:t>
            </w:r>
            <w:r w:rsidR="009A7EE9" w:rsidRPr="003F10D1">
              <w:rPr>
                <w:b w:val="0"/>
                <w:sz w:val="24"/>
                <w:szCs w:val="24"/>
              </w:rPr>
              <w:t xml:space="preserve">ar budžetu </w:t>
            </w:r>
            <w:r w:rsidR="002C3DC9" w:rsidRPr="003F10D1">
              <w:rPr>
                <w:b w:val="0"/>
                <w:sz w:val="24"/>
                <w:szCs w:val="24"/>
              </w:rPr>
              <w:t>un finanšu vadību</w:t>
            </w:r>
            <w:r w:rsidR="00CC1E07" w:rsidRPr="003F10D1">
              <w:rPr>
                <w:b w:val="0"/>
                <w:sz w:val="24"/>
                <w:szCs w:val="24"/>
              </w:rPr>
              <w:t xml:space="preserve"> 9</w:t>
            </w:r>
            <w:r w:rsidR="002C3DC9" w:rsidRPr="003F10D1">
              <w:rPr>
                <w:b w:val="0"/>
                <w:sz w:val="24"/>
                <w:szCs w:val="24"/>
              </w:rPr>
              <w:t>.</w:t>
            </w:r>
            <w:r w:rsidR="004D10DA">
              <w:rPr>
                <w:b w:val="0"/>
                <w:sz w:val="24"/>
                <w:szCs w:val="24"/>
              </w:rPr>
              <w:t> </w:t>
            </w:r>
            <w:r w:rsidR="009A7EE9" w:rsidRPr="003F10D1">
              <w:rPr>
                <w:b w:val="0"/>
                <w:sz w:val="24"/>
                <w:szCs w:val="24"/>
              </w:rPr>
              <w:t>pant</w:t>
            </w:r>
            <w:r w:rsidR="00CC1E07" w:rsidRPr="003F10D1">
              <w:rPr>
                <w:b w:val="0"/>
                <w:sz w:val="24"/>
                <w:szCs w:val="24"/>
              </w:rPr>
              <w:t xml:space="preserve">a </w:t>
            </w:r>
            <w:r w:rsidR="00B7663C" w:rsidRPr="003F10D1">
              <w:rPr>
                <w:b w:val="0"/>
                <w:sz w:val="24"/>
                <w:szCs w:val="24"/>
              </w:rPr>
              <w:t xml:space="preserve">piecpadsmitā </w:t>
            </w:r>
            <w:r w:rsidR="00CC1E07" w:rsidRPr="003F10D1">
              <w:rPr>
                <w:b w:val="0"/>
                <w:sz w:val="24"/>
                <w:szCs w:val="24"/>
              </w:rPr>
              <w:t>daļa</w:t>
            </w:r>
            <w:r w:rsidR="00B7663C" w:rsidRPr="003F10D1">
              <w:rPr>
                <w:b w:val="0"/>
                <w:sz w:val="24"/>
                <w:szCs w:val="24"/>
              </w:rPr>
              <w:t xml:space="preserve">, </w:t>
            </w:r>
            <w:r w:rsidR="00B03683" w:rsidRPr="003F10D1">
              <w:rPr>
                <w:b w:val="0"/>
                <w:sz w:val="24"/>
                <w:szCs w:val="24"/>
              </w:rPr>
              <w:t>kas paredz f</w:t>
            </w:r>
            <w:r w:rsidR="00156E18" w:rsidRPr="003F10D1">
              <w:rPr>
                <w:b w:val="0"/>
                <w:sz w:val="24"/>
                <w:szCs w:val="24"/>
              </w:rPr>
              <w:t xml:space="preserve">inanšu ministram tiesības </w:t>
            </w:r>
            <w:r w:rsidR="00CC1E07" w:rsidRPr="003F10D1">
              <w:rPr>
                <w:b w:val="0"/>
                <w:sz w:val="24"/>
                <w:szCs w:val="24"/>
              </w:rPr>
              <w:t>veikt apropriācijas pārdali starp ministrijām un citām centrālajām valsts iestādēm, tai skaitā funkciju pārdales vai strukturālo reformu gadījumos, ja ir pieņemts Ministru kabineta lēmums un Saeima ar atsevišķu lēmumu piekritusi šādai</w:t>
            </w:r>
            <w:r w:rsidR="00BD7B24" w:rsidRPr="003F10D1">
              <w:rPr>
                <w:b w:val="0"/>
                <w:sz w:val="24"/>
                <w:szCs w:val="24"/>
              </w:rPr>
              <w:t xml:space="preserve"> pārdalei</w:t>
            </w:r>
            <w:r w:rsidR="00CC1E07" w:rsidRPr="003F10D1">
              <w:rPr>
                <w:b w:val="0"/>
                <w:sz w:val="24"/>
                <w:szCs w:val="24"/>
              </w:rPr>
              <w:t>.</w:t>
            </w:r>
          </w:p>
        </w:tc>
      </w:tr>
      <w:tr w:rsidR="009A7EE9" w:rsidRPr="003F10D1" w:rsidTr="008E3CF9">
        <w:trPr>
          <w:trHeight w:val="472"/>
          <w:jc w:val="center"/>
        </w:trPr>
        <w:tc>
          <w:tcPr>
            <w:tcW w:w="227" w:type="pct"/>
          </w:tcPr>
          <w:p w:rsidR="009A7EE9" w:rsidRPr="003F10D1" w:rsidRDefault="007C74EE" w:rsidP="008E3CF9">
            <w:pPr>
              <w:pStyle w:val="naiskr"/>
              <w:spacing w:before="0" w:beforeAutospacing="0" w:after="0" w:afterAutospacing="0"/>
              <w:ind w:left="57" w:right="57"/>
              <w:jc w:val="center"/>
            </w:pPr>
            <w:r>
              <w:t>2.</w:t>
            </w:r>
          </w:p>
        </w:tc>
        <w:tc>
          <w:tcPr>
            <w:tcW w:w="1565" w:type="pct"/>
          </w:tcPr>
          <w:p w:rsidR="009A7EE9" w:rsidRPr="003F10D1" w:rsidRDefault="009A7EE9" w:rsidP="008E3CF9">
            <w:pPr>
              <w:pStyle w:val="naiskr"/>
              <w:tabs>
                <w:tab w:val="left" w:pos="170"/>
              </w:tabs>
              <w:spacing w:before="0" w:beforeAutospacing="0" w:after="0" w:afterAutospacing="0"/>
              <w:ind w:left="57" w:right="57"/>
            </w:pPr>
            <w:r w:rsidRPr="003F10D1">
              <w:t>Pašreizējā situācija un problēmas, kuru risināšanai tiesību akta projekts izstrādāts, tiesiskā regulējuma mērķis un būtība</w:t>
            </w:r>
          </w:p>
        </w:tc>
        <w:tc>
          <w:tcPr>
            <w:tcW w:w="3208" w:type="pct"/>
          </w:tcPr>
          <w:p w:rsidR="00183027" w:rsidRPr="00AE4A71" w:rsidRDefault="007C74EE" w:rsidP="008E3CF9">
            <w:pPr>
              <w:autoSpaceDE w:val="0"/>
              <w:autoSpaceDN w:val="0"/>
              <w:adjustRightInd w:val="0"/>
              <w:spacing w:before="120" w:after="120"/>
              <w:ind w:left="102" w:right="130"/>
              <w:jc w:val="both"/>
              <w:rPr>
                <w:rFonts w:eastAsiaTheme="minorHAnsi"/>
                <w:lang w:eastAsia="en-US"/>
              </w:rPr>
            </w:pPr>
            <w:r w:rsidRPr="00AE4A71">
              <w:rPr>
                <w:rFonts w:eastAsiaTheme="minorHAnsi"/>
                <w:lang w:eastAsia="en-US"/>
              </w:rPr>
              <w:t>     </w:t>
            </w:r>
            <w:r w:rsidR="00E31C29" w:rsidRPr="00E31C29">
              <w:rPr>
                <w:rFonts w:eastAsiaTheme="minorHAnsi"/>
                <w:lang w:eastAsia="en-US"/>
              </w:rPr>
              <w:t>Finanšu ministrijas valsts budžeta apakšprogrammas 31.02.00 “Valsts parāda vadība” kārtējos izdevumos ir izveidojies valsts budžeta līdzekļu ietaupījums, jo faktiskās ko</w:t>
            </w:r>
            <w:r w:rsidR="00E31C29">
              <w:rPr>
                <w:rFonts w:eastAsiaTheme="minorHAnsi"/>
                <w:lang w:eastAsia="en-US"/>
              </w:rPr>
              <w:t>misijas maksas bankām par 2017. </w:t>
            </w:r>
            <w:r w:rsidR="00E31C29" w:rsidRPr="00E31C29">
              <w:rPr>
                <w:rFonts w:eastAsiaTheme="minorHAnsi"/>
                <w:lang w:eastAsia="en-US"/>
              </w:rPr>
              <w:t>gada februārī un jūnijā starptautiskajos finanšu tirgos veikto eiro</w:t>
            </w:r>
            <w:r w:rsidR="00E31C29">
              <w:rPr>
                <w:rFonts w:eastAsiaTheme="minorHAnsi"/>
                <w:lang w:eastAsia="en-US"/>
              </w:rPr>
              <w:t>obligāciju emisiju bija zemākas</w:t>
            </w:r>
            <w:r w:rsidR="00E31C29" w:rsidRPr="00E31C29">
              <w:rPr>
                <w:rFonts w:eastAsiaTheme="minorHAnsi"/>
                <w:lang w:eastAsia="en-US"/>
              </w:rPr>
              <w:t xml:space="preserve"> nekā sakontēji plānots.</w:t>
            </w:r>
          </w:p>
          <w:p w:rsidR="00261740" w:rsidRPr="007F6BD7" w:rsidRDefault="007C74EE" w:rsidP="00D27A98">
            <w:pPr>
              <w:autoSpaceDE w:val="0"/>
              <w:autoSpaceDN w:val="0"/>
              <w:adjustRightInd w:val="0"/>
              <w:spacing w:before="120" w:after="120"/>
              <w:ind w:left="102" w:right="130"/>
              <w:jc w:val="both"/>
              <w:rPr>
                <w:bCs/>
              </w:rPr>
            </w:pPr>
            <w:r w:rsidRPr="00AE4A71">
              <w:rPr>
                <w:rFonts w:eastAsiaTheme="minorHAnsi"/>
                <w:lang w:eastAsia="en-US"/>
              </w:rPr>
              <w:t>     </w:t>
            </w:r>
            <w:r w:rsidR="00A55271">
              <w:rPr>
                <w:rFonts w:eastAsiaTheme="minorHAnsi"/>
                <w:lang w:eastAsia="en-US"/>
              </w:rPr>
              <w:t xml:space="preserve">Finanšu līdzekļus </w:t>
            </w:r>
            <w:r w:rsidR="00D27A98">
              <w:rPr>
                <w:rFonts w:eastAsiaTheme="minorHAnsi"/>
                <w:lang w:eastAsia="en-US"/>
              </w:rPr>
              <w:t>886</w:t>
            </w:r>
            <w:r w:rsidR="00A55271">
              <w:rPr>
                <w:rFonts w:eastAsiaTheme="minorHAnsi"/>
                <w:lang w:eastAsia="en-US"/>
              </w:rPr>
              <w:t> 373 </w:t>
            </w:r>
            <w:proofErr w:type="spellStart"/>
            <w:r w:rsidR="00A55271" w:rsidRPr="00A55271">
              <w:rPr>
                <w:rFonts w:eastAsiaTheme="minorHAnsi"/>
                <w:i/>
                <w:lang w:eastAsia="en-US"/>
              </w:rPr>
              <w:t>euro</w:t>
            </w:r>
            <w:proofErr w:type="spellEnd"/>
            <w:r w:rsidR="00A55271">
              <w:rPr>
                <w:rFonts w:eastAsiaTheme="minorHAnsi"/>
                <w:lang w:eastAsia="en-US"/>
              </w:rPr>
              <w:t xml:space="preserve"> apmērā</w:t>
            </w:r>
            <w:r w:rsidR="00156E18" w:rsidRPr="00AE4A71">
              <w:rPr>
                <w:rFonts w:eastAsiaTheme="minorHAnsi"/>
                <w:lang w:eastAsia="en-US"/>
              </w:rPr>
              <w:t xml:space="preserve"> paredzēts pārdalīt uz </w:t>
            </w:r>
            <w:r w:rsidR="00BD7B24" w:rsidRPr="00AE4A71">
              <w:t xml:space="preserve">budžeta resora </w:t>
            </w:r>
            <w:r w:rsidR="00156E18" w:rsidRPr="00AE4A71">
              <w:t>“</w:t>
            </w:r>
            <w:r w:rsidR="00BD7B24" w:rsidRPr="00AE4A71">
              <w:t>74.</w:t>
            </w:r>
            <w:r w:rsidR="00156E18" w:rsidRPr="00AE4A71">
              <w:t xml:space="preserve">Gadskārtējā valsts budžeta izpildes procesā pārdalāmais finansējums” programmu 02.00.00 “Līdzekļi neparedzētiem gadījumiem”, lai no tās </w:t>
            </w:r>
            <w:r w:rsidR="00335619" w:rsidRPr="00AE4A71">
              <w:t xml:space="preserve">nepieciešamības gadījumā </w:t>
            </w:r>
            <w:r w:rsidR="00156E18" w:rsidRPr="00AE4A71">
              <w:t xml:space="preserve">varētu piešķirt līdzekļus </w:t>
            </w:r>
            <w:r w:rsidR="00AE4A71" w:rsidRPr="00AE4A71">
              <w:t>neparedzētiem izdevumiem katastrofu un dabas stihiju seku novēršanai, to radīto zaudējumu kompensēšanai, valsts pārvaldes uzdevumu nodrošināšanai gadījumos, ja netiek izpildītas līgumsaistības</w:t>
            </w:r>
            <w:r w:rsidR="00AE4A71">
              <w:t xml:space="preserve">, </w:t>
            </w:r>
            <w:r w:rsidR="00AE4A71" w:rsidRPr="00AE4A71">
              <w:t>citiem neparedzētiem gadījumiem un valstiski īpaši nozīmīgiem pasākumiem</w:t>
            </w:r>
            <w:r w:rsidR="00AE4A71">
              <w:t xml:space="preserve"> atbilstoši</w:t>
            </w:r>
            <w:r w:rsidR="00156E18" w:rsidRPr="00AE4A71">
              <w:t xml:space="preserve"> Ministru kabineta 2009.</w:t>
            </w:r>
            <w:r w:rsidRPr="00AE4A71">
              <w:t> </w:t>
            </w:r>
            <w:r w:rsidR="00156E18" w:rsidRPr="00AE4A71">
              <w:t>gada 22.</w:t>
            </w:r>
            <w:r w:rsidRPr="00AE4A71">
              <w:t> </w:t>
            </w:r>
            <w:r w:rsidR="00156E18" w:rsidRPr="00AE4A71">
              <w:t>decembra noteikumos Nr.</w:t>
            </w:r>
            <w:r w:rsidRPr="00AE4A71">
              <w:t> </w:t>
            </w:r>
            <w:r w:rsidR="00156E18" w:rsidRPr="00AE4A71">
              <w:t>1644 “</w:t>
            </w:r>
            <w:r w:rsidR="00156E18" w:rsidRPr="00AE4A71">
              <w:rPr>
                <w:bCs/>
              </w:rPr>
              <w:t>Kārtība, kādā pieprasa un izlieto budžeta programmas “Līdzekļi neparedzētiem gadījumiem” līdzekļus” noteiktaj</w:t>
            </w:r>
            <w:r w:rsidR="00AE4A71">
              <w:rPr>
                <w:bCs/>
              </w:rPr>
              <w:t xml:space="preserve">ai </w:t>
            </w:r>
            <w:r w:rsidR="00156E18" w:rsidRPr="00AE4A71">
              <w:rPr>
                <w:bCs/>
              </w:rPr>
              <w:t>kārtīb</w:t>
            </w:r>
            <w:r w:rsidR="00AE4A71">
              <w:rPr>
                <w:bCs/>
              </w:rPr>
              <w:t>ai</w:t>
            </w:r>
            <w:r w:rsidR="00156E18" w:rsidRPr="00AE4A71">
              <w:rPr>
                <w:bCs/>
              </w:rPr>
              <w:t>.</w:t>
            </w:r>
          </w:p>
        </w:tc>
      </w:tr>
      <w:tr w:rsidR="009A7EE9" w:rsidRPr="003F10D1" w:rsidTr="008E3CF9">
        <w:trPr>
          <w:trHeight w:val="476"/>
          <w:jc w:val="center"/>
        </w:trPr>
        <w:tc>
          <w:tcPr>
            <w:tcW w:w="227" w:type="pct"/>
          </w:tcPr>
          <w:p w:rsidR="009A7EE9" w:rsidRPr="003F10D1" w:rsidRDefault="009A7EE9" w:rsidP="008E3CF9">
            <w:pPr>
              <w:pStyle w:val="naiskr"/>
              <w:spacing w:before="0" w:beforeAutospacing="0" w:after="0" w:afterAutospacing="0"/>
              <w:ind w:left="57" w:right="57"/>
              <w:jc w:val="center"/>
            </w:pPr>
            <w:r w:rsidRPr="003F10D1">
              <w:t>3.</w:t>
            </w:r>
          </w:p>
        </w:tc>
        <w:tc>
          <w:tcPr>
            <w:tcW w:w="1565" w:type="pct"/>
          </w:tcPr>
          <w:p w:rsidR="009A7EE9" w:rsidRPr="004D10DA" w:rsidRDefault="009A7EE9" w:rsidP="008E3CF9">
            <w:pPr>
              <w:pStyle w:val="naiskr"/>
              <w:spacing w:before="0" w:beforeAutospacing="0" w:after="0" w:afterAutospacing="0"/>
              <w:ind w:left="57" w:right="57"/>
            </w:pPr>
            <w:r w:rsidRPr="004D10DA">
              <w:t>Projekta izstrādē iesaistītās institūcijas</w:t>
            </w:r>
          </w:p>
        </w:tc>
        <w:tc>
          <w:tcPr>
            <w:tcW w:w="3208" w:type="pct"/>
          </w:tcPr>
          <w:p w:rsidR="009A7EE9" w:rsidRPr="004D10DA" w:rsidRDefault="007C74EE" w:rsidP="008E3CF9">
            <w:pPr>
              <w:pStyle w:val="naiskr"/>
              <w:spacing w:before="0" w:beforeAutospacing="0" w:after="0" w:afterAutospacing="0"/>
              <w:ind w:left="57" w:right="57"/>
            </w:pPr>
            <w:r w:rsidRPr="004D10DA">
              <w:t>Finanšu ministrija</w:t>
            </w:r>
          </w:p>
        </w:tc>
      </w:tr>
      <w:tr w:rsidR="009A7EE9" w:rsidRPr="003F10D1" w:rsidTr="008E3CF9">
        <w:trPr>
          <w:jc w:val="center"/>
        </w:trPr>
        <w:tc>
          <w:tcPr>
            <w:tcW w:w="227" w:type="pct"/>
          </w:tcPr>
          <w:p w:rsidR="009A7EE9" w:rsidRPr="003F10D1" w:rsidRDefault="009A7EE9" w:rsidP="008E3CF9">
            <w:pPr>
              <w:pStyle w:val="naiskr"/>
              <w:spacing w:before="0" w:beforeAutospacing="0" w:after="0" w:afterAutospacing="0"/>
              <w:ind w:left="57" w:right="57"/>
              <w:jc w:val="center"/>
            </w:pPr>
            <w:r w:rsidRPr="003F10D1">
              <w:t>4.</w:t>
            </w:r>
          </w:p>
        </w:tc>
        <w:tc>
          <w:tcPr>
            <w:tcW w:w="1565" w:type="pct"/>
          </w:tcPr>
          <w:p w:rsidR="009A7EE9" w:rsidRPr="003F10D1" w:rsidRDefault="009A7EE9" w:rsidP="008E3CF9">
            <w:pPr>
              <w:pStyle w:val="naiskr"/>
              <w:spacing w:before="0" w:beforeAutospacing="0" w:after="0" w:afterAutospacing="0"/>
              <w:ind w:left="57" w:right="57"/>
            </w:pPr>
            <w:r w:rsidRPr="003F10D1">
              <w:t>Cita informācija</w:t>
            </w:r>
          </w:p>
        </w:tc>
        <w:tc>
          <w:tcPr>
            <w:tcW w:w="3208" w:type="pct"/>
          </w:tcPr>
          <w:p w:rsidR="009A7EE9" w:rsidRPr="003F10D1" w:rsidRDefault="000818D2" w:rsidP="008E3CF9">
            <w:pPr>
              <w:pStyle w:val="naiskr"/>
              <w:spacing w:before="0" w:beforeAutospacing="0" w:after="0" w:afterAutospacing="0"/>
              <w:ind w:left="57" w:right="57"/>
            </w:pPr>
            <w:r w:rsidRPr="003F10D1">
              <w:t>Nav</w:t>
            </w:r>
          </w:p>
        </w:tc>
      </w:tr>
    </w:tbl>
    <w:p w:rsidR="004D10DA" w:rsidRPr="00FA3036" w:rsidRDefault="004D10DA" w:rsidP="004D10DA">
      <w:pPr>
        <w:pStyle w:val="naisf"/>
        <w:spacing w:before="0" w:beforeAutospacing="0" w:after="0" w:afterAutospacing="0"/>
        <w:rPr>
          <w:color w:val="00000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FA3036" w:rsidTr="008E3CF9">
        <w:trPr>
          <w:jc w:val="center"/>
        </w:trPr>
        <w:tc>
          <w:tcPr>
            <w:tcW w:w="9214" w:type="dxa"/>
            <w:vAlign w:val="center"/>
          </w:tcPr>
          <w:p w:rsidR="004D10DA" w:rsidRPr="004D10DA" w:rsidRDefault="004D10DA" w:rsidP="008E3CF9">
            <w:pPr>
              <w:pStyle w:val="naisnod"/>
              <w:spacing w:before="0" w:beforeAutospacing="0" w:after="0" w:afterAutospacing="0"/>
              <w:jc w:val="center"/>
              <w:rPr>
                <w:b/>
                <w:color w:val="000000"/>
              </w:rPr>
            </w:pPr>
            <w:r w:rsidRPr="004D10DA">
              <w:rPr>
                <w:b/>
                <w:color w:val="000000"/>
              </w:rPr>
              <w:t>II. Tiesību akta projekta ietekme uz sabiedrību, tautsaimniecības attīstību un administratīvo slogu</w:t>
            </w:r>
          </w:p>
        </w:tc>
      </w:tr>
      <w:tr w:rsidR="004D10DA" w:rsidRPr="00FA3036" w:rsidTr="008E3CF9">
        <w:trPr>
          <w:jc w:val="center"/>
        </w:trPr>
        <w:tc>
          <w:tcPr>
            <w:tcW w:w="9214" w:type="dxa"/>
            <w:vAlign w:val="center"/>
          </w:tcPr>
          <w:p w:rsidR="004D10DA" w:rsidRPr="004D10DA" w:rsidRDefault="004D10DA" w:rsidP="008E3CF9">
            <w:pPr>
              <w:pStyle w:val="naisnod"/>
              <w:spacing w:before="0" w:after="0"/>
              <w:jc w:val="center"/>
              <w:rPr>
                <w:color w:val="000000"/>
              </w:rPr>
            </w:pPr>
            <w:r>
              <w:rPr>
                <w:rFonts w:eastAsia="EUAlbertina_Bold"/>
                <w:color w:val="000000"/>
              </w:rPr>
              <w:t>Projekts šo jomu neskar</w:t>
            </w:r>
          </w:p>
        </w:tc>
      </w:tr>
    </w:tbl>
    <w:p w:rsidR="004D10DA" w:rsidRPr="003F10D1" w:rsidRDefault="004D10DA" w:rsidP="004D10DA"/>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418"/>
        <w:gridCol w:w="1276"/>
        <w:gridCol w:w="1275"/>
        <w:gridCol w:w="1276"/>
        <w:gridCol w:w="1182"/>
      </w:tblGrid>
      <w:tr w:rsidR="009A7EE9" w:rsidRPr="003F10D1" w:rsidTr="00CB2E04">
        <w:trPr>
          <w:trHeight w:val="361"/>
          <w:jc w:val="center"/>
        </w:trPr>
        <w:tc>
          <w:tcPr>
            <w:tcW w:w="9257" w:type="dxa"/>
            <w:gridSpan w:val="6"/>
            <w:vAlign w:val="center"/>
          </w:tcPr>
          <w:p w:rsidR="002C3DC9" w:rsidRPr="003F10D1" w:rsidRDefault="009A7EE9" w:rsidP="002C3DC9">
            <w:pPr>
              <w:pStyle w:val="naisnod"/>
              <w:spacing w:before="0" w:beforeAutospacing="0" w:after="0" w:afterAutospacing="0"/>
              <w:jc w:val="center"/>
              <w:rPr>
                <w:b/>
                <w:i/>
              </w:rPr>
            </w:pPr>
            <w:r w:rsidRPr="003F10D1">
              <w:br w:type="page"/>
            </w:r>
            <w:r w:rsidRPr="003F10D1">
              <w:rPr>
                <w:b/>
              </w:rPr>
              <w:t>III. Tiesību akta projekta ietekme uz valsts budžetu un pašvaldību budžetiem</w:t>
            </w:r>
          </w:p>
        </w:tc>
      </w:tr>
      <w:tr w:rsidR="009A7EE9" w:rsidRPr="003F10D1" w:rsidTr="004761C1">
        <w:trPr>
          <w:jc w:val="center"/>
        </w:trPr>
        <w:tc>
          <w:tcPr>
            <w:tcW w:w="2830" w:type="dxa"/>
            <w:vMerge w:val="restart"/>
            <w:vAlign w:val="center"/>
          </w:tcPr>
          <w:p w:rsidR="009A7EE9" w:rsidRPr="003F10D1" w:rsidRDefault="009A7EE9" w:rsidP="009A7EE9">
            <w:pPr>
              <w:pStyle w:val="naisf"/>
              <w:spacing w:before="0" w:beforeAutospacing="0" w:after="0" w:afterAutospacing="0"/>
              <w:jc w:val="center"/>
              <w:rPr>
                <w:b/>
              </w:rPr>
            </w:pPr>
            <w:r w:rsidRPr="003F10D1">
              <w:rPr>
                <w:b/>
              </w:rPr>
              <w:t>Rādītāji</w:t>
            </w:r>
          </w:p>
        </w:tc>
        <w:tc>
          <w:tcPr>
            <w:tcW w:w="2694" w:type="dxa"/>
            <w:gridSpan w:val="2"/>
            <w:vMerge w:val="restart"/>
            <w:vAlign w:val="center"/>
          </w:tcPr>
          <w:p w:rsidR="009A7EE9" w:rsidRPr="003F10D1" w:rsidRDefault="00BD7B24" w:rsidP="00D97850">
            <w:pPr>
              <w:pStyle w:val="naisf"/>
              <w:spacing w:before="0" w:beforeAutospacing="0" w:after="0" w:afterAutospacing="0"/>
              <w:jc w:val="center"/>
              <w:rPr>
                <w:b/>
              </w:rPr>
            </w:pPr>
            <w:r w:rsidRPr="003F10D1">
              <w:rPr>
                <w:b/>
              </w:rPr>
              <w:t>201</w:t>
            </w:r>
            <w:r w:rsidR="0071285B" w:rsidRPr="003F10D1">
              <w:rPr>
                <w:b/>
              </w:rPr>
              <w:t>7</w:t>
            </w:r>
          </w:p>
        </w:tc>
        <w:tc>
          <w:tcPr>
            <w:tcW w:w="3733" w:type="dxa"/>
            <w:gridSpan w:val="3"/>
            <w:vAlign w:val="center"/>
          </w:tcPr>
          <w:p w:rsidR="009A7EE9" w:rsidRPr="003F10D1" w:rsidRDefault="009A7EE9" w:rsidP="009A7EE9">
            <w:pPr>
              <w:pStyle w:val="naisf"/>
              <w:spacing w:before="0" w:beforeAutospacing="0" w:after="0" w:afterAutospacing="0"/>
              <w:jc w:val="center"/>
              <w:rPr>
                <w:b/>
                <w:i/>
              </w:rPr>
            </w:pPr>
            <w:r w:rsidRPr="003F10D1">
              <w:t>Turpmākie trīs gadi (</w:t>
            </w:r>
            <w:proofErr w:type="spellStart"/>
            <w:r w:rsidRPr="003F10D1">
              <w:rPr>
                <w:i/>
              </w:rPr>
              <w:t>euro</w:t>
            </w:r>
            <w:proofErr w:type="spellEnd"/>
            <w:r w:rsidRPr="003F10D1">
              <w:t>)</w:t>
            </w:r>
          </w:p>
        </w:tc>
      </w:tr>
      <w:tr w:rsidR="009A7EE9" w:rsidRPr="003F10D1" w:rsidTr="004761C1">
        <w:trPr>
          <w:jc w:val="center"/>
        </w:trPr>
        <w:tc>
          <w:tcPr>
            <w:tcW w:w="2830" w:type="dxa"/>
            <w:vMerge/>
            <w:vAlign w:val="center"/>
          </w:tcPr>
          <w:p w:rsidR="009A7EE9" w:rsidRPr="003F10D1" w:rsidRDefault="009A7EE9" w:rsidP="009A7EE9">
            <w:pPr>
              <w:pStyle w:val="naisf"/>
              <w:spacing w:before="0" w:beforeAutospacing="0" w:after="0" w:afterAutospacing="0"/>
              <w:jc w:val="center"/>
              <w:rPr>
                <w:b/>
                <w:i/>
              </w:rPr>
            </w:pPr>
          </w:p>
        </w:tc>
        <w:tc>
          <w:tcPr>
            <w:tcW w:w="2694" w:type="dxa"/>
            <w:gridSpan w:val="2"/>
            <w:vMerge/>
            <w:vAlign w:val="center"/>
          </w:tcPr>
          <w:p w:rsidR="009A7EE9" w:rsidRPr="003F10D1" w:rsidRDefault="009A7EE9" w:rsidP="009A7EE9">
            <w:pPr>
              <w:pStyle w:val="naisf"/>
              <w:spacing w:before="0" w:beforeAutospacing="0" w:after="0" w:afterAutospacing="0"/>
              <w:jc w:val="center"/>
              <w:rPr>
                <w:b/>
                <w:i/>
              </w:rPr>
            </w:pPr>
          </w:p>
        </w:tc>
        <w:tc>
          <w:tcPr>
            <w:tcW w:w="1275" w:type="dxa"/>
            <w:vAlign w:val="center"/>
          </w:tcPr>
          <w:p w:rsidR="009A7EE9" w:rsidRPr="003F10D1" w:rsidRDefault="009A7EE9" w:rsidP="00D97850">
            <w:pPr>
              <w:pStyle w:val="naisf"/>
              <w:spacing w:before="0" w:beforeAutospacing="0" w:after="0" w:afterAutospacing="0"/>
              <w:jc w:val="center"/>
              <w:rPr>
                <w:b/>
                <w:i/>
              </w:rPr>
            </w:pPr>
            <w:r w:rsidRPr="003F10D1">
              <w:rPr>
                <w:b/>
                <w:bCs/>
              </w:rPr>
              <w:t>201</w:t>
            </w:r>
            <w:r w:rsidR="0071285B" w:rsidRPr="003F10D1">
              <w:rPr>
                <w:b/>
                <w:bCs/>
              </w:rPr>
              <w:t>8</w:t>
            </w:r>
          </w:p>
        </w:tc>
        <w:tc>
          <w:tcPr>
            <w:tcW w:w="1276" w:type="dxa"/>
            <w:vAlign w:val="center"/>
          </w:tcPr>
          <w:p w:rsidR="009A7EE9" w:rsidRPr="003F10D1" w:rsidRDefault="009A7EE9" w:rsidP="00D97850">
            <w:pPr>
              <w:pStyle w:val="naisf"/>
              <w:spacing w:before="0" w:beforeAutospacing="0" w:after="0" w:afterAutospacing="0"/>
              <w:jc w:val="center"/>
              <w:rPr>
                <w:b/>
                <w:i/>
              </w:rPr>
            </w:pPr>
            <w:r w:rsidRPr="003F10D1">
              <w:rPr>
                <w:b/>
                <w:bCs/>
              </w:rPr>
              <w:t>201</w:t>
            </w:r>
            <w:r w:rsidR="0071285B" w:rsidRPr="003F10D1">
              <w:rPr>
                <w:b/>
                <w:bCs/>
              </w:rPr>
              <w:t>9</w:t>
            </w:r>
          </w:p>
        </w:tc>
        <w:tc>
          <w:tcPr>
            <w:tcW w:w="1182" w:type="dxa"/>
            <w:vAlign w:val="center"/>
          </w:tcPr>
          <w:p w:rsidR="009A7EE9" w:rsidRPr="003F10D1" w:rsidRDefault="0071285B" w:rsidP="00D97850">
            <w:pPr>
              <w:pStyle w:val="naisf"/>
              <w:spacing w:before="0" w:beforeAutospacing="0" w:after="0" w:afterAutospacing="0"/>
              <w:jc w:val="center"/>
              <w:rPr>
                <w:b/>
                <w:i/>
              </w:rPr>
            </w:pPr>
            <w:r w:rsidRPr="003F10D1">
              <w:rPr>
                <w:b/>
                <w:bCs/>
              </w:rPr>
              <w:t>2020</w:t>
            </w:r>
          </w:p>
        </w:tc>
      </w:tr>
      <w:tr w:rsidR="009A7EE9" w:rsidRPr="003F10D1" w:rsidTr="004761C1">
        <w:trPr>
          <w:jc w:val="center"/>
        </w:trPr>
        <w:tc>
          <w:tcPr>
            <w:tcW w:w="2830" w:type="dxa"/>
            <w:vMerge/>
            <w:vAlign w:val="center"/>
          </w:tcPr>
          <w:p w:rsidR="009A7EE9" w:rsidRPr="003F10D1" w:rsidRDefault="009A7EE9" w:rsidP="009A7EE9">
            <w:pPr>
              <w:pStyle w:val="naisf"/>
              <w:spacing w:before="0" w:beforeAutospacing="0" w:after="0" w:afterAutospacing="0"/>
              <w:jc w:val="center"/>
              <w:rPr>
                <w:b/>
                <w:i/>
              </w:rPr>
            </w:pPr>
          </w:p>
        </w:tc>
        <w:tc>
          <w:tcPr>
            <w:tcW w:w="1418" w:type="dxa"/>
            <w:vAlign w:val="center"/>
          </w:tcPr>
          <w:p w:rsidR="009A7EE9" w:rsidRPr="004D10DA" w:rsidRDefault="009A7EE9" w:rsidP="00583D19">
            <w:pPr>
              <w:pStyle w:val="naisf"/>
              <w:spacing w:before="0" w:beforeAutospacing="0" w:after="0" w:afterAutospacing="0"/>
              <w:jc w:val="center"/>
              <w:rPr>
                <w:i/>
              </w:rPr>
            </w:pPr>
            <w:r w:rsidRPr="004D10DA">
              <w:t>saskaņā ar valsts budžetu kārtējam gadam</w:t>
            </w:r>
          </w:p>
        </w:tc>
        <w:tc>
          <w:tcPr>
            <w:tcW w:w="1276" w:type="dxa"/>
            <w:vAlign w:val="center"/>
          </w:tcPr>
          <w:p w:rsidR="009A7EE9" w:rsidRPr="004D10DA" w:rsidRDefault="009A7EE9" w:rsidP="009A7EE9">
            <w:pPr>
              <w:pStyle w:val="naisf"/>
              <w:spacing w:before="0" w:beforeAutospacing="0" w:after="0" w:afterAutospacing="0"/>
              <w:jc w:val="center"/>
              <w:rPr>
                <w:i/>
              </w:rPr>
            </w:pPr>
            <w:r w:rsidRPr="004D10DA">
              <w:t xml:space="preserve">izmaiņas kārtējā gadā, salīdzinot ar budžetu </w:t>
            </w:r>
            <w:r w:rsidRPr="004D10DA">
              <w:lastRenderedPageBreak/>
              <w:t>kārtējam gadam</w:t>
            </w:r>
          </w:p>
        </w:tc>
        <w:tc>
          <w:tcPr>
            <w:tcW w:w="1275" w:type="dxa"/>
            <w:vAlign w:val="center"/>
          </w:tcPr>
          <w:p w:rsidR="009A7EE9" w:rsidRPr="004D10DA" w:rsidRDefault="009A7EE9" w:rsidP="004D10DA">
            <w:pPr>
              <w:pStyle w:val="naisf"/>
              <w:spacing w:before="0" w:beforeAutospacing="0" w:after="0" w:afterAutospacing="0"/>
              <w:jc w:val="center"/>
              <w:rPr>
                <w:i/>
              </w:rPr>
            </w:pPr>
            <w:r w:rsidRPr="004D10DA">
              <w:lastRenderedPageBreak/>
              <w:t>izmaiņas, salīdzinot ar kārtējo (</w:t>
            </w:r>
            <w:r w:rsidR="007C74EE" w:rsidRPr="004D10DA">
              <w:t>2017</w:t>
            </w:r>
            <w:r w:rsidRPr="004D10DA">
              <w:t>) gadu</w:t>
            </w:r>
          </w:p>
        </w:tc>
        <w:tc>
          <w:tcPr>
            <w:tcW w:w="1276" w:type="dxa"/>
            <w:vAlign w:val="center"/>
          </w:tcPr>
          <w:p w:rsidR="009A7EE9" w:rsidRPr="004D10DA" w:rsidRDefault="009A7EE9" w:rsidP="004D10DA">
            <w:pPr>
              <w:pStyle w:val="naisf"/>
              <w:spacing w:before="0" w:beforeAutospacing="0" w:after="0" w:afterAutospacing="0"/>
              <w:jc w:val="center"/>
              <w:rPr>
                <w:i/>
              </w:rPr>
            </w:pPr>
            <w:r w:rsidRPr="004D10DA">
              <w:t>izmaiņas, salīdzinot ar kārtējo</w:t>
            </w:r>
            <w:r w:rsidR="007C74EE" w:rsidRPr="004D10DA">
              <w:t xml:space="preserve"> (2017</w:t>
            </w:r>
            <w:r w:rsidRPr="004D10DA">
              <w:t>) gadu</w:t>
            </w:r>
          </w:p>
        </w:tc>
        <w:tc>
          <w:tcPr>
            <w:tcW w:w="1182" w:type="dxa"/>
            <w:vAlign w:val="center"/>
          </w:tcPr>
          <w:p w:rsidR="009A7EE9" w:rsidRPr="004D10DA" w:rsidRDefault="009A7EE9" w:rsidP="004D10DA">
            <w:pPr>
              <w:pStyle w:val="naisf"/>
              <w:spacing w:before="0" w:beforeAutospacing="0" w:after="0" w:afterAutospacing="0"/>
              <w:jc w:val="center"/>
              <w:rPr>
                <w:i/>
              </w:rPr>
            </w:pPr>
            <w:r w:rsidRPr="004D10DA">
              <w:t>izmaiņas, salīdzinot ar kārtējo (</w:t>
            </w:r>
            <w:r w:rsidR="007C74EE" w:rsidRPr="004D10DA">
              <w:t>2017</w:t>
            </w:r>
            <w:r w:rsidRPr="004D10DA">
              <w:t>) gadu</w:t>
            </w:r>
          </w:p>
        </w:tc>
      </w:tr>
      <w:tr w:rsidR="009A7EE9" w:rsidRPr="003F10D1" w:rsidTr="004761C1">
        <w:trPr>
          <w:jc w:val="center"/>
        </w:trPr>
        <w:tc>
          <w:tcPr>
            <w:tcW w:w="2830" w:type="dxa"/>
            <w:vAlign w:val="center"/>
          </w:tcPr>
          <w:p w:rsidR="009A7EE9" w:rsidRPr="003F10D1" w:rsidRDefault="009A7EE9" w:rsidP="009A7EE9">
            <w:pPr>
              <w:pStyle w:val="naisf"/>
              <w:spacing w:before="0" w:beforeAutospacing="0" w:after="0" w:afterAutospacing="0"/>
              <w:jc w:val="center"/>
              <w:rPr>
                <w:bCs/>
              </w:rPr>
            </w:pPr>
            <w:r w:rsidRPr="003F10D1">
              <w:rPr>
                <w:bCs/>
              </w:rPr>
              <w:t>1</w:t>
            </w:r>
          </w:p>
        </w:tc>
        <w:tc>
          <w:tcPr>
            <w:tcW w:w="1418" w:type="dxa"/>
            <w:vAlign w:val="center"/>
          </w:tcPr>
          <w:p w:rsidR="009A7EE9" w:rsidRPr="003F10D1" w:rsidRDefault="009A7EE9" w:rsidP="009A7EE9">
            <w:pPr>
              <w:pStyle w:val="naisf"/>
              <w:spacing w:before="0" w:beforeAutospacing="0" w:after="0" w:afterAutospacing="0"/>
              <w:jc w:val="center"/>
              <w:rPr>
                <w:bCs/>
              </w:rPr>
            </w:pPr>
            <w:r w:rsidRPr="003F10D1">
              <w:rPr>
                <w:bCs/>
              </w:rPr>
              <w:t>2</w:t>
            </w:r>
          </w:p>
        </w:tc>
        <w:tc>
          <w:tcPr>
            <w:tcW w:w="1276" w:type="dxa"/>
            <w:vAlign w:val="center"/>
          </w:tcPr>
          <w:p w:rsidR="009A7EE9" w:rsidRPr="003F10D1" w:rsidRDefault="009A7EE9" w:rsidP="009A7EE9">
            <w:pPr>
              <w:pStyle w:val="naisf"/>
              <w:spacing w:before="0" w:beforeAutospacing="0" w:after="0" w:afterAutospacing="0"/>
              <w:jc w:val="center"/>
              <w:rPr>
                <w:bCs/>
              </w:rPr>
            </w:pPr>
            <w:r w:rsidRPr="003F10D1">
              <w:rPr>
                <w:bCs/>
              </w:rPr>
              <w:t>3</w:t>
            </w:r>
          </w:p>
        </w:tc>
        <w:tc>
          <w:tcPr>
            <w:tcW w:w="1275" w:type="dxa"/>
            <w:vAlign w:val="center"/>
          </w:tcPr>
          <w:p w:rsidR="009A7EE9" w:rsidRPr="003F10D1" w:rsidRDefault="009A7EE9" w:rsidP="009A7EE9">
            <w:pPr>
              <w:pStyle w:val="naisf"/>
              <w:spacing w:before="0" w:beforeAutospacing="0" w:after="0" w:afterAutospacing="0"/>
              <w:jc w:val="center"/>
              <w:rPr>
                <w:bCs/>
              </w:rPr>
            </w:pPr>
            <w:r w:rsidRPr="003F10D1">
              <w:rPr>
                <w:bCs/>
              </w:rPr>
              <w:t>4</w:t>
            </w:r>
          </w:p>
        </w:tc>
        <w:tc>
          <w:tcPr>
            <w:tcW w:w="1276" w:type="dxa"/>
            <w:vAlign w:val="center"/>
          </w:tcPr>
          <w:p w:rsidR="009A7EE9" w:rsidRPr="003F10D1" w:rsidRDefault="009A7EE9" w:rsidP="009A7EE9">
            <w:pPr>
              <w:pStyle w:val="naisf"/>
              <w:spacing w:before="0" w:beforeAutospacing="0" w:after="0" w:afterAutospacing="0"/>
              <w:jc w:val="center"/>
              <w:rPr>
                <w:bCs/>
              </w:rPr>
            </w:pPr>
            <w:r w:rsidRPr="003F10D1">
              <w:rPr>
                <w:bCs/>
              </w:rPr>
              <w:t>5</w:t>
            </w:r>
          </w:p>
        </w:tc>
        <w:tc>
          <w:tcPr>
            <w:tcW w:w="1182" w:type="dxa"/>
            <w:vAlign w:val="center"/>
          </w:tcPr>
          <w:p w:rsidR="009A7EE9" w:rsidRPr="003F10D1" w:rsidRDefault="009A7EE9" w:rsidP="009A7EE9">
            <w:pPr>
              <w:pStyle w:val="naisf"/>
              <w:spacing w:before="0" w:beforeAutospacing="0" w:after="0" w:afterAutospacing="0"/>
              <w:jc w:val="center"/>
              <w:rPr>
                <w:bCs/>
              </w:rPr>
            </w:pPr>
            <w:r w:rsidRPr="003F10D1">
              <w:rPr>
                <w:bCs/>
              </w:rPr>
              <w:t>6</w:t>
            </w:r>
          </w:p>
        </w:tc>
      </w:tr>
      <w:tr w:rsidR="009A7EE9" w:rsidRPr="003F10D1" w:rsidTr="004761C1">
        <w:trPr>
          <w:jc w:val="center"/>
        </w:trPr>
        <w:tc>
          <w:tcPr>
            <w:tcW w:w="2830" w:type="dxa"/>
          </w:tcPr>
          <w:p w:rsidR="009A7EE9" w:rsidRPr="003F10D1" w:rsidRDefault="009A7EE9" w:rsidP="009A7EE9">
            <w:pPr>
              <w:pStyle w:val="naisf"/>
              <w:spacing w:before="0" w:beforeAutospacing="0" w:after="0" w:afterAutospacing="0"/>
              <w:rPr>
                <w:i/>
              </w:rPr>
            </w:pPr>
            <w:r w:rsidRPr="003F10D1">
              <w:t>1. Budžeta ieņēmumi:</w:t>
            </w:r>
          </w:p>
        </w:tc>
        <w:tc>
          <w:tcPr>
            <w:tcW w:w="1418" w:type="dxa"/>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pPr>
              <w:pStyle w:val="naisf"/>
              <w:spacing w:before="0" w:beforeAutospacing="0" w:after="0" w:afterAutospacing="0"/>
              <w:rPr>
                <w:i/>
              </w:rPr>
            </w:pPr>
            <w:r w:rsidRPr="003F10D1">
              <w:t>1.1. valsts pamatbudžets, tai skaitā ieņēmumi no maksas pakalpojumiem un citi pašu ieņēmumi</w:t>
            </w:r>
          </w:p>
        </w:tc>
        <w:tc>
          <w:tcPr>
            <w:tcW w:w="1418" w:type="dxa"/>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pPr>
              <w:pStyle w:val="naisf"/>
              <w:spacing w:before="0" w:beforeAutospacing="0" w:after="0" w:afterAutospacing="0"/>
              <w:rPr>
                <w:i/>
              </w:rPr>
            </w:pPr>
            <w:r w:rsidRPr="003F10D1">
              <w:t>1.2. valsts speciālais budžets</w:t>
            </w:r>
          </w:p>
        </w:tc>
        <w:tc>
          <w:tcPr>
            <w:tcW w:w="1418" w:type="dxa"/>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pPr>
              <w:pStyle w:val="naisf"/>
              <w:spacing w:before="0" w:beforeAutospacing="0" w:after="0" w:afterAutospacing="0"/>
              <w:rPr>
                <w:i/>
              </w:rPr>
            </w:pPr>
            <w:r w:rsidRPr="003F10D1">
              <w:t>1.3. pašvaldību budžets</w:t>
            </w:r>
          </w:p>
        </w:tc>
        <w:tc>
          <w:tcPr>
            <w:tcW w:w="1418" w:type="dxa"/>
          </w:tcPr>
          <w:p w:rsidR="009A7EE9" w:rsidRPr="00E366AD" w:rsidRDefault="009A7EE9" w:rsidP="004D10DA">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2. Budžeta izdevumi:</w:t>
            </w:r>
          </w:p>
        </w:tc>
        <w:tc>
          <w:tcPr>
            <w:tcW w:w="1418" w:type="dxa"/>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2.1. valsts pamatbudžets</w:t>
            </w:r>
          </w:p>
        </w:tc>
        <w:tc>
          <w:tcPr>
            <w:tcW w:w="1418" w:type="dxa"/>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5B0615" w:rsidRPr="003F10D1" w:rsidTr="004761C1">
        <w:trPr>
          <w:jc w:val="center"/>
        </w:trPr>
        <w:tc>
          <w:tcPr>
            <w:tcW w:w="2830" w:type="dxa"/>
          </w:tcPr>
          <w:p w:rsidR="005B0615" w:rsidRPr="003F10D1" w:rsidRDefault="00A55271" w:rsidP="009A7EE9">
            <w:pPr>
              <w:rPr>
                <w:i/>
              </w:rPr>
            </w:pPr>
            <w:bookmarkStart w:id="0" w:name="_GoBack"/>
            <w:bookmarkEnd w:id="0"/>
            <w:r>
              <w:rPr>
                <w:i/>
              </w:rPr>
              <w:t>Finanšu ministrijas budžeta apakšprogramma 31.02.00 “Valsts parāda vadība”</w:t>
            </w:r>
          </w:p>
        </w:tc>
        <w:tc>
          <w:tcPr>
            <w:tcW w:w="1418" w:type="dxa"/>
          </w:tcPr>
          <w:p w:rsidR="005B0615" w:rsidRPr="00E366AD" w:rsidRDefault="004761C1" w:rsidP="004761C1">
            <w:r w:rsidRPr="004761C1">
              <w:t>264</w:t>
            </w:r>
            <w:r>
              <w:t> </w:t>
            </w:r>
            <w:r w:rsidRPr="004761C1">
              <w:t>889</w:t>
            </w:r>
            <w:r>
              <w:t> </w:t>
            </w:r>
            <w:r w:rsidRPr="004761C1">
              <w:t>893</w:t>
            </w:r>
          </w:p>
        </w:tc>
        <w:tc>
          <w:tcPr>
            <w:tcW w:w="1276" w:type="dxa"/>
          </w:tcPr>
          <w:p w:rsidR="005B0615" w:rsidRPr="00E366AD" w:rsidRDefault="00870008" w:rsidP="00D27A98">
            <w:pPr>
              <w:pStyle w:val="naisf"/>
              <w:spacing w:before="0" w:beforeAutospacing="0" w:after="0" w:afterAutospacing="0"/>
              <w:ind w:left="-124" w:right="-116"/>
              <w:jc w:val="center"/>
              <w:rPr>
                <w:sz w:val="22"/>
                <w:szCs w:val="22"/>
              </w:rPr>
            </w:pPr>
            <w:r w:rsidRPr="00E366AD">
              <w:rPr>
                <w:sz w:val="22"/>
                <w:szCs w:val="22"/>
              </w:rPr>
              <w:t>-</w:t>
            </w:r>
            <w:r w:rsidR="00D27A98">
              <w:rPr>
                <w:sz w:val="22"/>
                <w:szCs w:val="22"/>
              </w:rPr>
              <w:t>88</w:t>
            </w:r>
            <w:r w:rsidR="007C74EE">
              <w:rPr>
                <w:sz w:val="22"/>
                <w:szCs w:val="22"/>
              </w:rPr>
              <w:t>6</w:t>
            </w:r>
            <w:r w:rsidR="004761C1">
              <w:rPr>
                <w:sz w:val="22"/>
                <w:szCs w:val="22"/>
              </w:rPr>
              <w:t> </w:t>
            </w:r>
            <w:r w:rsidR="007C74EE">
              <w:rPr>
                <w:sz w:val="22"/>
                <w:szCs w:val="22"/>
              </w:rPr>
              <w:t>373</w:t>
            </w:r>
          </w:p>
        </w:tc>
        <w:tc>
          <w:tcPr>
            <w:tcW w:w="1275" w:type="dxa"/>
          </w:tcPr>
          <w:p w:rsidR="005B0615"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6" w:type="dxa"/>
          </w:tcPr>
          <w:p w:rsidR="005B0615"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5B0615"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B64477" w:rsidRPr="003F10D1" w:rsidTr="004761C1">
        <w:trPr>
          <w:jc w:val="center"/>
        </w:trPr>
        <w:tc>
          <w:tcPr>
            <w:tcW w:w="2830" w:type="dxa"/>
          </w:tcPr>
          <w:p w:rsidR="00B64477" w:rsidRPr="003F10D1" w:rsidRDefault="000818D2" w:rsidP="00A55271">
            <w:pPr>
              <w:rPr>
                <w:i/>
              </w:rPr>
            </w:pPr>
            <w:r w:rsidRPr="003F10D1">
              <w:rPr>
                <w:i/>
              </w:rPr>
              <w:t>Budžeta resor</w:t>
            </w:r>
            <w:r w:rsidR="00A55271">
              <w:rPr>
                <w:i/>
              </w:rPr>
              <w:t>a</w:t>
            </w:r>
            <w:r w:rsidRPr="003F10D1">
              <w:rPr>
                <w:i/>
              </w:rPr>
              <w:t xml:space="preserve"> “74.</w:t>
            </w:r>
            <w:r w:rsidR="00B64477" w:rsidRPr="003F10D1">
              <w:rPr>
                <w:i/>
              </w:rPr>
              <w:t>Gadskārtējā valsts budžeta izpildes procesā pārdalāmais finansējums</w:t>
            </w:r>
            <w:r w:rsidRPr="003F10D1">
              <w:rPr>
                <w:i/>
              </w:rPr>
              <w:t>”</w:t>
            </w:r>
            <w:r w:rsidR="00A55271">
              <w:rPr>
                <w:i/>
              </w:rPr>
              <w:t xml:space="preserve"> programma </w:t>
            </w:r>
            <w:r w:rsidR="00A55271" w:rsidRPr="00A55271">
              <w:rPr>
                <w:i/>
              </w:rPr>
              <w:t>02.00.00 “Līdzekļi neparedzētiem gadījumiem”</w:t>
            </w:r>
          </w:p>
        </w:tc>
        <w:tc>
          <w:tcPr>
            <w:tcW w:w="1418" w:type="dxa"/>
          </w:tcPr>
          <w:p w:rsidR="00B64477" w:rsidRPr="00E366AD" w:rsidRDefault="004761C1" w:rsidP="004D10DA">
            <w:pPr>
              <w:pStyle w:val="naisf"/>
              <w:spacing w:before="0" w:beforeAutospacing="0" w:after="0" w:afterAutospacing="0"/>
              <w:ind w:left="-124" w:right="-116"/>
              <w:jc w:val="center"/>
              <w:rPr>
                <w:sz w:val="22"/>
                <w:szCs w:val="22"/>
              </w:rPr>
            </w:pPr>
            <w:r>
              <w:rPr>
                <w:sz w:val="22"/>
                <w:szCs w:val="22"/>
              </w:rPr>
              <w:t>41 035 306</w:t>
            </w:r>
          </w:p>
        </w:tc>
        <w:tc>
          <w:tcPr>
            <w:tcW w:w="1276" w:type="dxa"/>
          </w:tcPr>
          <w:p w:rsidR="00B64477" w:rsidRPr="00E366AD" w:rsidRDefault="00D27A98" w:rsidP="007C74EE">
            <w:pPr>
              <w:pStyle w:val="naisf"/>
              <w:spacing w:before="0" w:beforeAutospacing="0" w:after="0" w:afterAutospacing="0"/>
              <w:ind w:left="-124" w:right="-116"/>
              <w:jc w:val="center"/>
              <w:rPr>
                <w:sz w:val="22"/>
                <w:szCs w:val="22"/>
              </w:rPr>
            </w:pPr>
            <w:r>
              <w:rPr>
                <w:sz w:val="22"/>
                <w:szCs w:val="22"/>
              </w:rPr>
              <w:t>88</w:t>
            </w:r>
            <w:r w:rsidR="007C74EE">
              <w:rPr>
                <w:sz w:val="22"/>
                <w:szCs w:val="22"/>
              </w:rPr>
              <w:t>6</w:t>
            </w:r>
            <w:r w:rsidR="004761C1">
              <w:rPr>
                <w:sz w:val="22"/>
                <w:szCs w:val="22"/>
              </w:rPr>
              <w:t> </w:t>
            </w:r>
            <w:r w:rsidR="007C74EE">
              <w:rPr>
                <w:sz w:val="22"/>
                <w:szCs w:val="22"/>
              </w:rPr>
              <w:t>373</w:t>
            </w:r>
          </w:p>
        </w:tc>
        <w:tc>
          <w:tcPr>
            <w:tcW w:w="1275" w:type="dxa"/>
          </w:tcPr>
          <w:p w:rsidR="00B64477"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6" w:type="dxa"/>
          </w:tcPr>
          <w:p w:rsidR="00B64477"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182" w:type="dxa"/>
          </w:tcPr>
          <w:p w:rsidR="00B64477" w:rsidRPr="00E366AD" w:rsidRDefault="00D82EC1"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2.2. valsts speciālais budžets</w:t>
            </w:r>
          </w:p>
        </w:tc>
        <w:tc>
          <w:tcPr>
            <w:tcW w:w="1418" w:type="dxa"/>
          </w:tcPr>
          <w:p w:rsidR="009A7EE9" w:rsidRPr="00E366AD" w:rsidRDefault="00D27A98"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 xml:space="preserve">2.3. pašvaldību budžets </w:t>
            </w:r>
          </w:p>
        </w:tc>
        <w:tc>
          <w:tcPr>
            <w:tcW w:w="1418" w:type="dxa"/>
          </w:tcPr>
          <w:p w:rsidR="009A7EE9" w:rsidRPr="00E366AD" w:rsidRDefault="009A7EE9" w:rsidP="004D10DA">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3. Finansiālā ietekme:</w:t>
            </w:r>
          </w:p>
        </w:tc>
        <w:tc>
          <w:tcPr>
            <w:tcW w:w="1418" w:type="dxa"/>
            <w:shd w:val="clear" w:color="auto" w:fill="auto"/>
            <w:vAlign w:val="center"/>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3.1. valsts pamatbudžets</w:t>
            </w:r>
          </w:p>
        </w:tc>
        <w:tc>
          <w:tcPr>
            <w:tcW w:w="1418" w:type="dxa"/>
            <w:shd w:val="clear" w:color="auto" w:fill="auto"/>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D82EC1" w:rsidP="00D82EC1">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3.2. speciālais budžets</w:t>
            </w:r>
          </w:p>
        </w:tc>
        <w:tc>
          <w:tcPr>
            <w:tcW w:w="1418" w:type="dxa"/>
            <w:shd w:val="clear" w:color="auto" w:fill="auto"/>
          </w:tcPr>
          <w:p w:rsidR="009A7EE9" w:rsidRPr="00E366AD" w:rsidRDefault="00A55271" w:rsidP="004D10DA">
            <w:pPr>
              <w:pStyle w:val="naisf"/>
              <w:spacing w:before="0" w:beforeAutospacing="0" w:after="0" w:afterAutospacing="0"/>
              <w:jc w:val="center"/>
              <w:rPr>
                <w:sz w:val="22"/>
                <w:szCs w:val="22"/>
              </w:rPr>
            </w:pPr>
            <w:r>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 xml:space="preserve">3.3. pašvaldību budžets </w:t>
            </w:r>
          </w:p>
        </w:tc>
        <w:tc>
          <w:tcPr>
            <w:tcW w:w="1418" w:type="dxa"/>
            <w:shd w:val="clear" w:color="auto" w:fill="auto"/>
          </w:tcPr>
          <w:p w:rsidR="009A7EE9" w:rsidRPr="00E366AD" w:rsidRDefault="009A7EE9" w:rsidP="004D10DA">
            <w:pPr>
              <w:pStyle w:val="naisf"/>
              <w:spacing w:before="0" w:beforeAutospacing="0" w:after="0" w:afterAutospacing="0"/>
              <w:jc w:val="center"/>
            </w:pPr>
            <w:r w:rsidRPr="00E366AD">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vMerge w:val="restart"/>
          </w:tcPr>
          <w:p w:rsidR="009A7EE9" w:rsidRPr="003F10D1" w:rsidRDefault="009A7EE9" w:rsidP="009A7EE9">
            <w:r w:rsidRPr="003F10D1">
              <w:t>4. Finanšu līdzekļi papildu izdevumu finansēšanai (kompensējošu izdevumu samazinājumu norāda ar "+" zīmi)</w:t>
            </w:r>
          </w:p>
        </w:tc>
        <w:tc>
          <w:tcPr>
            <w:tcW w:w="1418" w:type="dxa"/>
            <w:vMerge w:val="restart"/>
          </w:tcPr>
          <w:p w:rsidR="009A7EE9" w:rsidRPr="00E366AD" w:rsidRDefault="009A7EE9" w:rsidP="004D10DA">
            <w:pPr>
              <w:pStyle w:val="naisf"/>
              <w:spacing w:before="0" w:beforeAutospacing="0" w:after="0" w:afterAutospacing="0"/>
              <w:jc w:val="center"/>
              <w:rPr>
                <w:i/>
              </w:rPr>
            </w:pPr>
            <w:r w:rsidRPr="00E366AD">
              <w:t>X</w:t>
            </w:r>
          </w:p>
        </w:tc>
        <w:tc>
          <w:tcPr>
            <w:tcW w:w="1276"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vMerge/>
          </w:tcPr>
          <w:p w:rsidR="009A7EE9" w:rsidRPr="003F10D1" w:rsidRDefault="009A7EE9" w:rsidP="009A7EE9"/>
        </w:tc>
        <w:tc>
          <w:tcPr>
            <w:tcW w:w="1418" w:type="dxa"/>
            <w:vMerge/>
          </w:tcPr>
          <w:p w:rsidR="009A7EE9" w:rsidRPr="00E366AD" w:rsidRDefault="009A7EE9" w:rsidP="009A7EE9">
            <w:pPr>
              <w:pStyle w:val="naisf"/>
              <w:spacing w:before="0" w:beforeAutospacing="0" w:after="0" w:afterAutospacing="0"/>
              <w:jc w:val="center"/>
              <w:rPr>
                <w:i/>
              </w:rPr>
            </w:pPr>
          </w:p>
        </w:tc>
        <w:tc>
          <w:tcPr>
            <w:tcW w:w="1276" w:type="dxa"/>
          </w:tcPr>
          <w:p w:rsidR="009A7EE9" w:rsidRPr="00E366AD" w:rsidRDefault="00D82EC1"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vMerge/>
          </w:tcPr>
          <w:p w:rsidR="009A7EE9" w:rsidRPr="003F10D1" w:rsidRDefault="009A7EE9" w:rsidP="009A7EE9"/>
        </w:tc>
        <w:tc>
          <w:tcPr>
            <w:tcW w:w="1418" w:type="dxa"/>
            <w:vMerge/>
          </w:tcPr>
          <w:p w:rsidR="009A7EE9" w:rsidRPr="003F10D1" w:rsidRDefault="009A7EE9" w:rsidP="009A7EE9">
            <w:pPr>
              <w:pStyle w:val="naisf"/>
              <w:spacing w:before="0" w:beforeAutospacing="0" w:after="0" w:afterAutospacing="0"/>
              <w:jc w:val="center"/>
              <w:rPr>
                <w:i/>
              </w:rPr>
            </w:pPr>
          </w:p>
        </w:tc>
        <w:tc>
          <w:tcPr>
            <w:tcW w:w="1276" w:type="dxa"/>
          </w:tcPr>
          <w:p w:rsidR="009A7EE9" w:rsidRPr="00E366AD" w:rsidRDefault="005437C3" w:rsidP="009A7EE9">
            <w:pPr>
              <w:pStyle w:val="naisf"/>
              <w:spacing w:before="0" w:beforeAutospacing="0" w:after="0" w:afterAutospacing="0"/>
              <w:jc w:val="center"/>
              <w:rPr>
                <w:sz w:val="22"/>
                <w:szCs w:val="22"/>
              </w:rPr>
            </w:pPr>
            <w:r w:rsidRPr="00E366AD">
              <w:rPr>
                <w:sz w:val="22"/>
                <w:szCs w:val="22"/>
              </w:rPr>
              <w:t>0</w:t>
            </w:r>
          </w:p>
        </w:tc>
        <w:tc>
          <w:tcPr>
            <w:tcW w:w="1275"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276"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c>
          <w:tcPr>
            <w:tcW w:w="1182" w:type="dxa"/>
          </w:tcPr>
          <w:p w:rsidR="009A7EE9" w:rsidRPr="00E366AD" w:rsidRDefault="009A7EE9" w:rsidP="009A7EE9">
            <w:pPr>
              <w:pStyle w:val="naisf"/>
              <w:spacing w:before="0" w:beforeAutospacing="0" w:after="0" w:afterAutospacing="0"/>
              <w:jc w:val="center"/>
              <w:rPr>
                <w:sz w:val="22"/>
                <w:szCs w:val="22"/>
              </w:rPr>
            </w:pPr>
            <w:r w:rsidRPr="00E366AD">
              <w:rPr>
                <w:sz w:val="22"/>
                <w:szCs w:val="22"/>
              </w:rPr>
              <w:t>0</w:t>
            </w:r>
          </w:p>
        </w:tc>
      </w:tr>
      <w:tr w:rsidR="009A7EE9" w:rsidRPr="003F10D1" w:rsidTr="004761C1">
        <w:trPr>
          <w:jc w:val="center"/>
        </w:trPr>
        <w:tc>
          <w:tcPr>
            <w:tcW w:w="2830" w:type="dxa"/>
          </w:tcPr>
          <w:p w:rsidR="009A7EE9" w:rsidRPr="003F10D1" w:rsidRDefault="009A7EE9" w:rsidP="009A7EE9">
            <w:r w:rsidRPr="003F10D1">
              <w:t>5. Precizēta finansiālā ietekme:</w:t>
            </w:r>
          </w:p>
        </w:tc>
        <w:tc>
          <w:tcPr>
            <w:tcW w:w="1418" w:type="dxa"/>
            <w:vMerge w:val="restart"/>
          </w:tcPr>
          <w:p w:rsidR="009A7EE9" w:rsidRPr="003F10D1" w:rsidRDefault="009A7EE9" w:rsidP="009A7EE9">
            <w:pPr>
              <w:pStyle w:val="naisf"/>
              <w:spacing w:before="0" w:beforeAutospacing="0" w:after="0" w:afterAutospacing="0"/>
              <w:jc w:val="center"/>
              <w:rPr>
                <w:i/>
              </w:rPr>
            </w:pPr>
            <w:r w:rsidRPr="003F10D1">
              <w:t>X</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275" w:type="dxa"/>
          </w:tcPr>
          <w:p w:rsidR="009A7EE9" w:rsidRPr="003F10D1" w:rsidRDefault="00D82EC1" w:rsidP="009A7EE9">
            <w:pPr>
              <w:pStyle w:val="naisf"/>
              <w:spacing w:before="0" w:beforeAutospacing="0" w:after="0" w:afterAutospacing="0"/>
              <w:jc w:val="center"/>
            </w:pPr>
            <w:r w:rsidRPr="003F10D1">
              <w:t>0</w:t>
            </w:r>
          </w:p>
        </w:tc>
        <w:tc>
          <w:tcPr>
            <w:tcW w:w="1276" w:type="dxa"/>
          </w:tcPr>
          <w:p w:rsidR="009A7EE9" w:rsidRPr="003F10D1" w:rsidRDefault="00D82EC1" w:rsidP="009A7EE9">
            <w:pPr>
              <w:pStyle w:val="naisf"/>
              <w:spacing w:before="0" w:beforeAutospacing="0" w:after="0" w:afterAutospacing="0"/>
              <w:jc w:val="center"/>
            </w:pPr>
            <w:r w:rsidRPr="003F10D1">
              <w:t>0</w:t>
            </w:r>
          </w:p>
        </w:tc>
        <w:tc>
          <w:tcPr>
            <w:tcW w:w="1182" w:type="dxa"/>
          </w:tcPr>
          <w:p w:rsidR="009A7EE9" w:rsidRPr="003F10D1" w:rsidRDefault="00D82EC1" w:rsidP="009A7EE9">
            <w:pPr>
              <w:pStyle w:val="naisf"/>
              <w:spacing w:before="0" w:beforeAutospacing="0" w:after="0" w:afterAutospacing="0"/>
              <w:jc w:val="center"/>
            </w:pPr>
            <w:r w:rsidRPr="003F10D1">
              <w:t>0</w:t>
            </w:r>
          </w:p>
        </w:tc>
      </w:tr>
      <w:tr w:rsidR="009A7EE9" w:rsidRPr="003F10D1" w:rsidTr="004761C1">
        <w:trPr>
          <w:jc w:val="center"/>
        </w:trPr>
        <w:tc>
          <w:tcPr>
            <w:tcW w:w="2830" w:type="dxa"/>
          </w:tcPr>
          <w:p w:rsidR="009A7EE9" w:rsidRPr="003F10D1" w:rsidRDefault="009A7EE9" w:rsidP="009A7EE9">
            <w:r w:rsidRPr="003F10D1">
              <w:t>5.1. valsts pamatbudžets</w:t>
            </w:r>
          </w:p>
        </w:tc>
        <w:tc>
          <w:tcPr>
            <w:tcW w:w="1418" w:type="dxa"/>
            <w:vMerge/>
            <w:vAlign w:val="center"/>
          </w:tcPr>
          <w:p w:rsidR="009A7EE9" w:rsidRPr="003F10D1" w:rsidRDefault="009A7EE9" w:rsidP="009A7EE9">
            <w:pPr>
              <w:pStyle w:val="naisf"/>
              <w:spacing w:before="0" w:beforeAutospacing="0" w:after="0" w:afterAutospacing="0"/>
              <w:jc w:val="center"/>
              <w:rPr>
                <w:i/>
              </w:rPr>
            </w:pP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182" w:type="dxa"/>
          </w:tcPr>
          <w:p w:rsidR="009A7EE9" w:rsidRPr="003F10D1" w:rsidRDefault="009A7EE9" w:rsidP="009A7EE9">
            <w:pPr>
              <w:pStyle w:val="naisf"/>
              <w:spacing w:before="0" w:beforeAutospacing="0" w:after="0" w:afterAutospacing="0"/>
              <w:jc w:val="center"/>
            </w:pPr>
            <w:r w:rsidRPr="003F10D1">
              <w:t>0</w:t>
            </w:r>
          </w:p>
        </w:tc>
      </w:tr>
      <w:tr w:rsidR="009A7EE9" w:rsidRPr="003F10D1" w:rsidTr="004761C1">
        <w:trPr>
          <w:jc w:val="center"/>
        </w:trPr>
        <w:tc>
          <w:tcPr>
            <w:tcW w:w="2830" w:type="dxa"/>
          </w:tcPr>
          <w:p w:rsidR="009A7EE9" w:rsidRPr="003F10D1" w:rsidRDefault="009A7EE9" w:rsidP="009A7EE9">
            <w:r w:rsidRPr="003F10D1">
              <w:t>5.2. speciālais budžets</w:t>
            </w:r>
          </w:p>
        </w:tc>
        <w:tc>
          <w:tcPr>
            <w:tcW w:w="1418" w:type="dxa"/>
            <w:vMerge/>
            <w:vAlign w:val="center"/>
          </w:tcPr>
          <w:p w:rsidR="009A7EE9" w:rsidRPr="003F10D1" w:rsidRDefault="009A7EE9" w:rsidP="009A7EE9">
            <w:pPr>
              <w:pStyle w:val="naisf"/>
              <w:spacing w:before="0" w:beforeAutospacing="0" w:after="0" w:afterAutospacing="0"/>
              <w:jc w:val="center"/>
              <w:rPr>
                <w:i/>
              </w:rPr>
            </w:pP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182" w:type="dxa"/>
          </w:tcPr>
          <w:p w:rsidR="009A7EE9" w:rsidRPr="003F10D1" w:rsidRDefault="009A7EE9" w:rsidP="009A7EE9">
            <w:pPr>
              <w:pStyle w:val="naisf"/>
              <w:spacing w:before="0" w:beforeAutospacing="0" w:after="0" w:afterAutospacing="0"/>
              <w:jc w:val="center"/>
            </w:pPr>
            <w:r w:rsidRPr="003F10D1">
              <w:t>0</w:t>
            </w:r>
          </w:p>
        </w:tc>
      </w:tr>
      <w:tr w:rsidR="009A7EE9" w:rsidRPr="003F10D1" w:rsidTr="004761C1">
        <w:trPr>
          <w:jc w:val="center"/>
        </w:trPr>
        <w:tc>
          <w:tcPr>
            <w:tcW w:w="2830" w:type="dxa"/>
          </w:tcPr>
          <w:p w:rsidR="009A7EE9" w:rsidRPr="003F10D1" w:rsidRDefault="009A7EE9" w:rsidP="009A7EE9">
            <w:r w:rsidRPr="003F10D1">
              <w:t xml:space="preserve">5.3. pašvaldību budžets </w:t>
            </w:r>
          </w:p>
        </w:tc>
        <w:tc>
          <w:tcPr>
            <w:tcW w:w="1418" w:type="dxa"/>
            <w:vMerge/>
            <w:vAlign w:val="center"/>
          </w:tcPr>
          <w:p w:rsidR="009A7EE9" w:rsidRPr="003F10D1" w:rsidRDefault="009A7EE9" w:rsidP="009A7EE9">
            <w:pPr>
              <w:pStyle w:val="naisf"/>
              <w:spacing w:before="0" w:beforeAutospacing="0" w:after="0" w:afterAutospacing="0"/>
              <w:jc w:val="center"/>
              <w:rPr>
                <w:i/>
              </w:rPr>
            </w:pP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275" w:type="dxa"/>
          </w:tcPr>
          <w:p w:rsidR="009A7EE9" w:rsidRPr="003F10D1" w:rsidRDefault="009A7EE9" w:rsidP="009A7EE9">
            <w:pPr>
              <w:pStyle w:val="naisf"/>
              <w:spacing w:before="0" w:beforeAutospacing="0" w:after="0" w:afterAutospacing="0"/>
              <w:jc w:val="center"/>
            </w:pPr>
            <w:r w:rsidRPr="003F10D1">
              <w:t>0</w:t>
            </w:r>
          </w:p>
        </w:tc>
        <w:tc>
          <w:tcPr>
            <w:tcW w:w="1276" w:type="dxa"/>
          </w:tcPr>
          <w:p w:rsidR="009A7EE9" w:rsidRPr="003F10D1" w:rsidRDefault="009A7EE9" w:rsidP="009A7EE9">
            <w:pPr>
              <w:pStyle w:val="naisf"/>
              <w:spacing w:before="0" w:beforeAutospacing="0" w:after="0" w:afterAutospacing="0"/>
              <w:jc w:val="center"/>
            </w:pPr>
            <w:r w:rsidRPr="003F10D1">
              <w:t>0</w:t>
            </w:r>
          </w:p>
        </w:tc>
        <w:tc>
          <w:tcPr>
            <w:tcW w:w="1182" w:type="dxa"/>
          </w:tcPr>
          <w:p w:rsidR="009A7EE9" w:rsidRPr="003F10D1" w:rsidRDefault="009A7EE9" w:rsidP="009A7EE9">
            <w:pPr>
              <w:pStyle w:val="naisf"/>
              <w:spacing w:before="0" w:beforeAutospacing="0" w:after="0" w:afterAutospacing="0"/>
              <w:jc w:val="center"/>
            </w:pPr>
            <w:r w:rsidRPr="003F10D1">
              <w:t>0</w:t>
            </w:r>
          </w:p>
        </w:tc>
      </w:tr>
      <w:tr w:rsidR="009A7EE9" w:rsidRPr="003F10D1" w:rsidTr="004761C1">
        <w:trPr>
          <w:trHeight w:val="1571"/>
          <w:jc w:val="center"/>
        </w:trPr>
        <w:tc>
          <w:tcPr>
            <w:tcW w:w="2830" w:type="dxa"/>
          </w:tcPr>
          <w:p w:rsidR="009A7EE9" w:rsidRPr="003F10D1" w:rsidRDefault="009A7EE9" w:rsidP="009A7EE9">
            <w:r w:rsidRPr="003F10D1">
              <w:t>6. Detalizēts ieņēmumu</w:t>
            </w:r>
            <w:r w:rsidR="007C74EE">
              <w:t xml:space="preserve"> un izdevumu aprēķins (ja nepie</w:t>
            </w:r>
            <w:r w:rsidRPr="003F10D1">
              <w:t>ciešams, detalizētu ieņēmu</w:t>
            </w:r>
            <w:r w:rsidR="007C74EE">
              <w:t>mu un izdevumu aprēķinu var pie</w:t>
            </w:r>
            <w:r w:rsidRPr="003F10D1">
              <w:t>vienot anotācijas pielikumā):</w:t>
            </w:r>
          </w:p>
        </w:tc>
        <w:tc>
          <w:tcPr>
            <w:tcW w:w="6427" w:type="dxa"/>
            <w:gridSpan w:val="5"/>
            <w:vMerge w:val="restart"/>
            <w:vAlign w:val="center"/>
          </w:tcPr>
          <w:p w:rsidR="009A7EE9" w:rsidRPr="004D10DA" w:rsidRDefault="007C74EE" w:rsidP="009A7EE9">
            <w:pPr>
              <w:jc w:val="both"/>
              <w:rPr>
                <w:color w:val="000000"/>
              </w:rPr>
            </w:pPr>
            <w:r w:rsidRPr="004D10DA">
              <w:rPr>
                <w:color w:val="000000"/>
              </w:rPr>
              <w:t xml:space="preserve">Projekts </w:t>
            </w:r>
            <w:r w:rsidR="004D10DA">
              <w:rPr>
                <w:color w:val="000000"/>
              </w:rPr>
              <w:t>šo jomu neskar</w:t>
            </w:r>
          </w:p>
        </w:tc>
      </w:tr>
      <w:tr w:rsidR="009A7EE9" w:rsidRPr="003F10D1" w:rsidTr="004761C1">
        <w:trPr>
          <w:jc w:val="center"/>
        </w:trPr>
        <w:tc>
          <w:tcPr>
            <w:tcW w:w="2830" w:type="dxa"/>
          </w:tcPr>
          <w:p w:rsidR="009A7EE9" w:rsidRPr="003F10D1" w:rsidRDefault="009A7EE9" w:rsidP="009A7EE9">
            <w:r w:rsidRPr="003F10D1">
              <w:t>6.1. detalizēts ieņēmumu aprēķins</w:t>
            </w:r>
          </w:p>
        </w:tc>
        <w:tc>
          <w:tcPr>
            <w:tcW w:w="6427" w:type="dxa"/>
            <w:gridSpan w:val="5"/>
            <w:vMerge/>
          </w:tcPr>
          <w:p w:rsidR="009A7EE9" w:rsidRPr="003F10D1" w:rsidRDefault="009A7EE9" w:rsidP="009A7EE9">
            <w:pPr>
              <w:pStyle w:val="naisf"/>
              <w:spacing w:before="0" w:beforeAutospacing="0" w:after="0" w:afterAutospacing="0"/>
              <w:rPr>
                <w:b/>
                <w:i/>
              </w:rPr>
            </w:pPr>
          </w:p>
        </w:tc>
      </w:tr>
      <w:tr w:rsidR="009A7EE9" w:rsidRPr="003F10D1" w:rsidTr="004761C1">
        <w:trPr>
          <w:jc w:val="center"/>
        </w:trPr>
        <w:tc>
          <w:tcPr>
            <w:tcW w:w="2830" w:type="dxa"/>
          </w:tcPr>
          <w:p w:rsidR="009A7EE9" w:rsidRPr="003F10D1" w:rsidRDefault="009A7EE9" w:rsidP="009A7EE9">
            <w:r w:rsidRPr="003F10D1">
              <w:lastRenderedPageBreak/>
              <w:t>6.2. detalizēts izdevumu aprēķins</w:t>
            </w:r>
          </w:p>
        </w:tc>
        <w:tc>
          <w:tcPr>
            <w:tcW w:w="6427" w:type="dxa"/>
            <w:gridSpan w:val="5"/>
            <w:vMerge/>
          </w:tcPr>
          <w:p w:rsidR="009A7EE9" w:rsidRPr="003F10D1" w:rsidRDefault="009A7EE9" w:rsidP="009A7EE9">
            <w:pPr>
              <w:pStyle w:val="naisf"/>
              <w:spacing w:before="0" w:beforeAutospacing="0" w:after="0" w:afterAutospacing="0"/>
              <w:rPr>
                <w:b/>
                <w:i/>
              </w:rPr>
            </w:pPr>
          </w:p>
        </w:tc>
      </w:tr>
      <w:tr w:rsidR="009A7EE9" w:rsidRPr="003F10D1" w:rsidTr="004761C1">
        <w:trPr>
          <w:jc w:val="center"/>
        </w:trPr>
        <w:tc>
          <w:tcPr>
            <w:tcW w:w="2830" w:type="dxa"/>
          </w:tcPr>
          <w:p w:rsidR="009A7EE9" w:rsidRPr="003F10D1" w:rsidRDefault="009A7EE9" w:rsidP="009A7EE9">
            <w:r w:rsidRPr="003F10D1">
              <w:t>7. Cita informācija</w:t>
            </w:r>
          </w:p>
        </w:tc>
        <w:tc>
          <w:tcPr>
            <w:tcW w:w="6427" w:type="dxa"/>
            <w:gridSpan w:val="5"/>
          </w:tcPr>
          <w:p w:rsidR="00FE6AF4" w:rsidRPr="003F10D1" w:rsidRDefault="003C21F6" w:rsidP="00AE4A71">
            <w:pPr>
              <w:pStyle w:val="naisf"/>
              <w:spacing w:before="120" w:beforeAutospacing="0" w:after="120" w:afterAutospacing="0"/>
              <w:jc w:val="both"/>
            </w:pPr>
            <w:r w:rsidRPr="003F10D1">
              <w:t xml:space="preserve">Finansējums </w:t>
            </w:r>
            <w:r w:rsidR="00D27A98">
              <w:t xml:space="preserve">2017. gadā </w:t>
            </w:r>
            <w:r w:rsidRPr="003F10D1">
              <w:t xml:space="preserve">tiks pārdalīts no Finanšu ministrijas apakšprogrammas </w:t>
            </w:r>
            <w:r w:rsidR="00AE4A71">
              <w:t>31</w:t>
            </w:r>
            <w:r w:rsidRPr="003F10D1">
              <w:t>.</w:t>
            </w:r>
            <w:r w:rsidR="00AE4A71">
              <w:t>02</w:t>
            </w:r>
            <w:r w:rsidRPr="003F10D1">
              <w:t>.00 “</w:t>
            </w:r>
            <w:r w:rsidR="004D10DA">
              <w:t>Valsts parāda vadība</w:t>
            </w:r>
            <w:r>
              <w:t>”</w:t>
            </w:r>
            <w:r w:rsidRPr="003F10D1">
              <w:t xml:space="preserve"> uz budžeta resora “74.Gadskārtējā valsts budžeta izpildes procesā pārdalāmais finansējums” programmu 02.00.00 “Līdzekļi neparedzētiem gadījumiem”.</w:t>
            </w:r>
          </w:p>
        </w:tc>
      </w:tr>
    </w:tbl>
    <w:p w:rsidR="009A7EE9" w:rsidRPr="003F10D1" w:rsidRDefault="009A7EE9" w:rsidP="009A7EE9">
      <w:pPr>
        <w:pStyle w:val="naisf"/>
        <w:spacing w:before="0" w:beforeAutospacing="0" w:after="0" w:afterAutospacing="0"/>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FA3036" w:rsidTr="008E3CF9">
        <w:trPr>
          <w:jc w:val="center"/>
        </w:trPr>
        <w:tc>
          <w:tcPr>
            <w:tcW w:w="9214" w:type="dxa"/>
            <w:vAlign w:val="center"/>
          </w:tcPr>
          <w:p w:rsidR="004D10DA" w:rsidRPr="004D10DA" w:rsidRDefault="004D10DA" w:rsidP="008E3CF9">
            <w:pPr>
              <w:pStyle w:val="naisnod"/>
              <w:spacing w:before="0" w:beforeAutospacing="0" w:after="0" w:afterAutospacing="0"/>
              <w:jc w:val="center"/>
              <w:rPr>
                <w:b/>
                <w:color w:val="000000"/>
              </w:rPr>
            </w:pPr>
            <w:r w:rsidRPr="004D10DA">
              <w:rPr>
                <w:b/>
                <w:color w:val="000000"/>
              </w:rPr>
              <w:t>IV. Tiesību akta projekta ietekme uz spēkā esošo tiesību normu sistēmu</w:t>
            </w:r>
          </w:p>
        </w:tc>
      </w:tr>
      <w:tr w:rsidR="004D10DA" w:rsidRPr="00FA3036" w:rsidTr="008E3CF9">
        <w:trPr>
          <w:jc w:val="center"/>
        </w:trPr>
        <w:tc>
          <w:tcPr>
            <w:tcW w:w="9214" w:type="dxa"/>
            <w:vAlign w:val="center"/>
          </w:tcPr>
          <w:p w:rsidR="004D10DA" w:rsidRPr="004D10DA" w:rsidRDefault="004D10DA" w:rsidP="008E3CF9">
            <w:pPr>
              <w:pStyle w:val="naisnod"/>
              <w:spacing w:before="0" w:after="0"/>
              <w:jc w:val="center"/>
              <w:rPr>
                <w:color w:val="000000"/>
              </w:rPr>
            </w:pPr>
            <w:r>
              <w:rPr>
                <w:rFonts w:eastAsia="EUAlbertina_Bold"/>
                <w:color w:val="000000"/>
              </w:rPr>
              <w:t>Projekts šo jomu neskar</w:t>
            </w:r>
          </w:p>
        </w:tc>
      </w:tr>
    </w:tbl>
    <w:p w:rsidR="004D10DA" w:rsidRPr="00FA3036" w:rsidRDefault="004D10DA" w:rsidP="004D10DA">
      <w:pPr>
        <w:pStyle w:val="naisf"/>
        <w:spacing w:before="0" w:beforeAutospacing="0" w:after="0" w:afterAutospacing="0"/>
        <w:rPr>
          <w:color w:val="00000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FA3036" w:rsidTr="008E3CF9">
        <w:trPr>
          <w:jc w:val="center"/>
        </w:trPr>
        <w:tc>
          <w:tcPr>
            <w:tcW w:w="9214" w:type="dxa"/>
            <w:vAlign w:val="center"/>
          </w:tcPr>
          <w:p w:rsidR="004D10DA" w:rsidRPr="004D10DA" w:rsidRDefault="004D10DA" w:rsidP="008E3CF9">
            <w:pPr>
              <w:pStyle w:val="naisnod"/>
              <w:spacing w:before="0" w:beforeAutospacing="0" w:after="0" w:afterAutospacing="0"/>
              <w:jc w:val="center"/>
              <w:rPr>
                <w:b/>
                <w:color w:val="000000"/>
              </w:rPr>
            </w:pPr>
            <w:r w:rsidRPr="004D10DA">
              <w:rPr>
                <w:b/>
                <w:color w:val="000000"/>
              </w:rPr>
              <w:t>V. Tiesību akta projekta atbilstība Latvijas Republikas starptautiskajām saistībām</w:t>
            </w:r>
          </w:p>
        </w:tc>
      </w:tr>
      <w:tr w:rsidR="004D10DA" w:rsidRPr="00FA3036" w:rsidTr="008E3CF9">
        <w:trPr>
          <w:jc w:val="center"/>
        </w:trPr>
        <w:tc>
          <w:tcPr>
            <w:tcW w:w="9214" w:type="dxa"/>
            <w:vAlign w:val="center"/>
          </w:tcPr>
          <w:p w:rsidR="004D10DA" w:rsidRPr="004D10DA" w:rsidRDefault="004D10DA" w:rsidP="008E3CF9">
            <w:pPr>
              <w:pStyle w:val="naisnod"/>
              <w:spacing w:before="0" w:after="0"/>
              <w:jc w:val="center"/>
              <w:rPr>
                <w:color w:val="000000"/>
              </w:rPr>
            </w:pPr>
            <w:r>
              <w:rPr>
                <w:rFonts w:eastAsia="EUAlbertina_Bold"/>
                <w:color w:val="000000"/>
              </w:rPr>
              <w:t>Projekts šo jomu neskar</w:t>
            </w:r>
          </w:p>
        </w:tc>
      </w:tr>
    </w:tbl>
    <w:p w:rsidR="004D10DA" w:rsidRPr="00FA3036" w:rsidRDefault="004D10DA" w:rsidP="004D10DA">
      <w:pPr>
        <w:pStyle w:val="naisf"/>
        <w:spacing w:before="0" w:beforeAutospacing="0" w:after="0" w:afterAutospacing="0"/>
        <w:rPr>
          <w:color w:val="00000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4D10DA" w:rsidRPr="00FA3036" w:rsidTr="008E3CF9">
        <w:trPr>
          <w:jc w:val="center"/>
        </w:trPr>
        <w:tc>
          <w:tcPr>
            <w:tcW w:w="9214" w:type="dxa"/>
            <w:vAlign w:val="center"/>
          </w:tcPr>
          <w:p w:rsidR="004D10DA" w:rsidRPr="004D10DA" w:rsidRDefault="004D10DA" w:rsidP="008E3CF9">
            <w:pPr>
              <w:pStyle w:val="naisnod"/>
              <w:spacing w:before="0" w:beforeAutospacing="0" w:after="0" w:afterAutospacing="0"/>
              <w:jc w:val="center"/>
              <w:rPr>
                <w:b/>
                <w:color w:val="000000"/>
              </w:rPr>
            </w:pPr>
            <w:r w:rsidRPr="004D10DA">
              <w:rPr>
                <w:b/>
                <w:color w:val="000000"/>
              </w:rPr>
              <w:t>VI. Sabiedrības līdzdalība un komunikācijas aktivitātes</w:t>
            </w:r>
          </w:p>
        </w:tc>
      </w:tr>
      <w:tr w:rsidR="004D10DA" w:rsidRPr="00FA3036" w:rsidTr="008E3CF9">
        <w:trPr>
          <w:jc w:val="center"/>
        </w:trPr>
        <w:tc>
          <w:tcPr>
            <w:tcW w:w="9214" w:type="dxa"/>
            <w:vAlign w:val="center"/>
          </w:tcPr>
          <w:p w:rsidR="004D10DA" w:rsidRPr="004D10DA" w:rsidRDefault="004D10DA" w:rsidP="008E3CF9">
            <w:pPr>
              <w:pStyle w:val="naisnod"/>
              <w:spacing w:before="0" w:after="0"/>
              <w:jc w:val="center"/>
              <w:rPr>
                <w:color w:val="000000"/>
              </w:rPr>
            </w:pPr>
            <w:r>
              <w:rPr>
                <w:rFonts w:eastAsia="EUAlbertina_Bold"/>
                <w:color w:val="000000"/>
              </w:rPr>
              <w:t>Projekts šo jomu neskar</w:t>
            </w:r>
          </w:p>
        </w:tc>
      </w:tr>
    </w:tbl>
    <w:p w:rsidR="009A7EE9" w:rsidRPr="003F10D1" w:rsidRDefault="009A7EE9" w:rsidP="009A7EE9">
      <w:pPr>
        <w:pStyle w:val="naisf"/>
        <w:spacing w:before="0" w:beforeAutospacing="0" w:after="0" w:afterAutospacing="0"/>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9A7EE9" w:rsidRPr="003F10D1" w:rsidTr="00A54AB7">
        <w:trPr>
          <w:trHeight w:val="381"/>
          <w:jc w:val="center"/>
        </w:trPr>
        <w:tc>
          <w:tcPr>
            <w:tcW w:w="9296" w:type="dxa"/>
            <w:gridSpan w:val="3"/>
            <w:vAlign w:val="center"/>
          </w:tcPr>
          <w:p w:rsidR="009A7EE9" w:rsidRPr="003F10D1" w:rsidRDefault="004D10DA" w:rsidP="009A7EE9">
            <w:pPr>
              <w:pStyle w:val="naisnod"/>
              <w:spacing w:before="0" w:beforeAutospacing="0" w:after="0" w:afterAutospacing="0"/>
              <w:ind w:left="57" w:right="57"/>
              <w:jc w:val="center"/>
            </w:pPr>
            <w:r w:rsidRPr="004D10DA">
              <w:rPr>
                <w:b/>
              </w:rPr>
              <w:t>VII. Tiesību akta projekta izpildes nodrošināšana un tās ietekme uz institūcijām</w:t>
            </w:r>
          </w:p>
        </w:tc>
      </w:tr>
      <w:tr w:rsidR="009A7EE9" w:rsidRPr="003F10D1" w:rsidTr="00A54AB7">
        <w:trPr>
          <w:trHeight w:val="427"/>
          <w:jc w:val="center"/>
        </w:trPr>
        <w:tc>
          <w:tcPr>
            <w:tcW w:w="437" w:type="dxa"/>
          </w:tcPr>
          <w:p w:rsidR="009A7EE9" w:rsidRPr="003F10D1" w:rsidRDefault="009A7EE9" w:rsidP="009A7EE9">
            <w:pPr>
              <w:pStyle w:val="naisnod"/>
              <w:spacing w:before="0" w:beforeAutospacing="0" w:after="0" w:afterAutospacing="0"/>
              <w:ind w:left="57" w:right="57"/>
              <w:jc w:val="both"/>
            </w:pPr>
            <w:r w:rsidRPr="003F10D1">
              <w:t>1.</w:t>
            </w:r>
          </w:p>
        </w:tc>
        <w:tc>
          <w:tcPr>
            <w:tcW w:w="3615" w:type="dxa"/>
          </w:tcPr>
          <w:p w:rsidR="009A7EE9" w:rsidRPr="003F10D1" w:rsidRDefault="009A7EE9" w:rsidP="009A7EE9">
            <w:pPr>
              <w:pStyle w:val="naisf"/>
              <w:spacing w:before="0" w:beforeAutospacing="0" w:after="0" w:afterAutospacing="0"/>
              <w:ind w:left="57" w:right="57"/>
            </w:pPr>
            <w:r w:rsidRPr="003F10D1">
              <w:t>Projekta izpildē iesaistītās institūcijas</w:t>
            </w:r>
          </w:p>
        </w:tc>
        <w:tc>
          <w:tcPr>
            <w:tcW w:w="5244" w:type="dxa"/>
          </w:tcPr>
          <w:p w:rsidR="00FE6AF4" w:rsidRPr="003F10D1" w:rsidRDefault="009A7EE9" w:rsidP="00DB37C4">
            <w:pPr>
              <w:shd w:val="clear" w:color="auto" w:fill="FFFFFF"/>
              <w:spacing w:before="120" w:after="120"/>
              <w:jc w:val="both"/>
            </w:pPr>
            <w:r w:rsidRPr="003F10D1">
              <w:rPr>
                <w:bCs/>
                <w:color w:val="000000"/>
              </w:rPr>
              <w:t>Finanšu ministrija</w:t>
            </w:r>
          </w:p>
        </w:tc>
      </w:tr>
      <w:tr w:rsidR="009A7EE9" w:rsidRPr="003F10D1" w:rsidTr="00A54AB7">
        <w:trPr>
          <w:trHeight w:val="463"/>
          <w:jc w:val="center"/>
        </w:trPr>
        <w:tc>
          <w:tcPr>
            <w:tcW w:w="437" w:type="dxa"/>
          </w:tcPr>
          <w:p w:rsidR="009A7EE9" w:rsidRPr="003F10D1" w:rsidRDefault="009A7EE9" w:rsidP="009A7EE9">
            <w:pPr>
              <w:pStyle w:val="naisnod"/>
              <w:spacing w:before="0" w:beforeAutospacing="0" w:after="0" w:afterAutospacing="0"/>
              <w:ind w:left="57" w:right="57"/>
              <w:jc w:val="both"/>
            </w:pPr>
            <w:r w:rsidRPr="003F10D1">
              <w:t>2.</w:t>
            </w:r>
          </w:p>
        </w:tc>
        <w:tc>
          <w:tcPr>
            <w:tcW w:w="3615" w:type="dxa"/>
          </w:tcPr>
          <w:p w:rsidR="009A7EE9" w:rsidRPr="003F10D1" w:rsidRDefault="009A7EE9" w:rsidP="009A7EE9">
            <w:pPr>
              <w:pStyle w:val="naisf"/>
              <w:spacing w:before="0" w:beforeAutospacing="0" w:after="0" w:afterAutospacing="0"/>
              <w:ind w:left="57" w:right="57"/>
            </w:pPr>
            <w:r w:rsidRPr="003F10D1">
              <w:t>Projekta izpildes ietekme uz pār</w:t>
            </w:r>
            <w:r w:rsidRPr="003F10D1">
              <w:softHyphen/>
              <w:t>valdes funkcijām un institucionālo struktūru.</w:t>
            </w:r>
          </w:p>
          <w:p w:rsidR="009A7EE9" w:rsidRPr="003F10D1" w:rsidRDefault="009A7EE9" w:rsidP="009A7EE9">
            <w:pPr>
              <w:pStyle w:val="naisf"/>
              <w:spacing w:before="0" w:beforeAutospacing="0" w:after="0" w:afterAutospacing="0"/>
              <w:ind w:left="57" w:right="57"/>
            </w:pPr>
            <w:r w:rsidRPr="003F10D1">
              <w:t>Jaunu institūciju izveide, esošu institūciju likvidācija vai reorga</w:t>
            </w:r>
            <w:r w:rsidRPr="003F10D1">
              <w:softHyphen/>
              <w:t>nizācija, to ietekme uz institūcijas cilvēkresursiem.</w:t>
            </w:r>
          </w:p>
        </w:tc>
        <w:tc>
          <w:tcPr>
            <w:tcW w:w="5244" w:type="dxa"/>
          </w:tcPr>
          <w:p w:rsidR="009A7EE9" w:rsidRPr="003F10D1" w:rsidRDefault="007C74EE" w:rsidP="004D10DA">
            <w:pPr>
              <w:shd w:val="clear" w:color="auto" w:fill="FFFFFF"/>
              <w:spacing w:before="120" w:after="120"/>
              <w:jc w:val="both"/>
            </w:pPr>
            <w:r>
              <w:t>Projekts šo jomu neskar</w:t>
            </w:r>
          </w:p>
        </w:tc>
      </w:tr>
      <w:tr w:rsidR="009A7EE9" w:rsidRPr="003F10D1" w:rsidTr="00A54AB7">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9A7EE9" w:rsidRPr="003F10D1" w:rsidRDefault="009A7EE9" w:rsidP="009A7EE9">
            <w:pPr>
              <w:pStyle w:val="naisnod"/>
              <w:spacing w:before="0" w:beforeAutospacing="0" w:after="0" w:afterAutospacing="0"/>
              <w:ind w:left="57" w:right="57"/>
              <w:jc w:val="both"/>
            </w:pPr>
            <w:r w:rsidRPr="003F10D1">
              <w:t>3.</w:t>
            </w:r>
          </w:p>
        </w:tc>
        <w:tc>
          <w:tcPr>
            <w:tcW w:w="3615" w:type="dxa"/>
            <w:tcBorders>
              <w:top w:val="single" w:sz="4" w:space="0" w:color="auto"/>
              <w:left w:val="single" w:sz="4" w:space="0" w:color="auto"/>
              <w:bottom w:val="single" w:sz="4" w:space="0" w:color="auto"/>
              <w:right w:val="single" w:sz="4" w:space="0" w:color="auto"/>
            </w:tcBorders>
          </w:tcPr>
          <w:p w:rsidR="009A7EE9" w:rsidRPr="003F10D1" w:rsidRDefault="009A7EE9" w:rsidP="009A7EE9">
            <w:pPr>
              <w:pStyle w:val="naisf"/>
              <w:spacing w:before="0" w:beforeAutospacing="0" w:after="0" w:afterAutospacing="0"/>
              <w:ind w:left="57" w:right="57"/>
            </w:pPr>
            <w:r w:rsidRPr="003F10D1">
              <w:t>Cita informācija</w:t>
            </w:r>
          </w:p>
        </w:tc>
        <w:tc>
          <w:tcPr>
            <w:tcW w:w="5244" w:type="dxa"/>
            <w:tcBorders>
              <w:top w:val="single" w:sz="4" w:space="0" w:color="auto"/>
              <w:left w:val="single" w:sz="4" w:space="0" w:color="auto"/>
              <w:bottom w:val="single" w:sz="4" w:space="0" w:color="auto"/>
              <w:right w:val="single" w:sz="4" w:space="0" w:color="auto"/>
            </w:tcBorders>
          </w:tcPr>
          <w:p w:rsidR="009A7EE9" w:rsidRPr="003F10D1" w:rsidRDefault="007C74EE" w:rsidP="009A7EE9">
            <w:pPr>
              <w:ind w:left="57" w:right="57"/>
              <w:jc w:val="both"/>
            </w:pPr>
            <w:r>
              <w:t>Nav</w:t>
            </w:r>
          </w:p>
        </w:tc>
      </w:tr>
    </w:tbl>
    <w:p w:rsidR="009A7EE9" w:rsidRPr="003F10D1" w:rsidRDefault="009A7EE9" w:rsidP="00422A25"/>
    <w:p w:rsidR="00171A81" w:rsidRPr="003F10D1" w:rsidRDefault="00171A81" w:rsidP="00422A25"/>
    <w:p w:rsidR="00D444BA" w:rsidRPr="00960AAC" w:rsidRDefault="000C07B8" w:rsidP="00422A25">
      <w:pPr>
        <w:pStyle w:val="BodyText"/>
        <w:tabs>
          <w:tab w:val="right" w:pos="9072"/>
        </w:tabs>
        <w:jc w:val="both"/>
      </w:pPr>
      <w:r w:rsidRPr="00960AAC">
        <w:t xml:space="preserve">Finanšu </w:t>
      </w:r>
      <w:r w:rsidR="00422A25" w:rsidRPr="00960AAC">
        <w:t>ministre</w:t>
      </w:r>
      <w:r w:rsidR="00422A25" w:rsidRPr="00960AAC">
        <w:tab/>
        <w:t>D. Reizniece-Ozola</w:t>
      </w:r>
    </w:p>
    <w:p w:rsidR="004761C1" w:rsidRDefault="004761C1" w:rsidP="004761C1"/>
    <w:p w:rsidR="004761C1" w:rsidRDefault="004761C1" w:rsidP="004761C1"/>
    <w:p w:rsidR="00960AAC" w:rsidRDefault="00960AAC" w:rsidP="004761C1"/>
    <w:p w:rsidR="00960AAC" w:rsidRDefault="00960AAC" w:rsidP="004761C1"/>
    <w:p w:rsidR="00960AAC" w:rsidRDefault="00960AAC" w:rsidP="004761C1">
      <w:r>
        <w:t>Vilks 67095415</w:t>
      </w:r>
    </w:p>
    <w:p w:rsidR="00960AAC" w:rsidRPr="003F10D1" w:rsidRDefault="00D27A98" w:rsidP="004761C1">
      <w:hyperlink r:id="rId7" w:history="1">
        <w:r w:rsidR="00960AAC" w:rsidRPr="004442CE">
          <w:rPr>
            <w:rStyle w:val="Hyperlink"/>
          </w:rPr>
          <w:t>ints.vilks@fm.gov.lv</w:t>
        </w:r>
      </w:hyperlink>
    </w:p>
    <w:sectPr w:rsidR="00960AAC" w:rsidRPr="003F10D1" w:rsidSect="006D137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6" w:rsidRDefault="00524926" w:rsidP="009A7EE9">
      <w:r>
        <w:separator/>
      </w:r>
    </w:p>
  </w:endnote>
  <w:endnote w:type="continuationSeparator" w:id="0">
    <w:p w:rsidR="00524926" w:rsidRDefault="00524926"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_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AC" w:rsidRPr="00960AAC" w:rsidRDefault="00960AAC">
    <w:pPr>
      <w:pStyle w:val="Footer"/>
      <w:rPr>
        <w:sz w:val="20"/>
        <w:szCs w:val="20"/>
      </w:rPr>
    </w:pPr>
    <w:r w:rsidRPr="00960AAC">
      <w:rPr>
        <w:sz w:val="20"/>
        <w:szCs w:val="20"/>
      </w:rPr>
      <w:fldChar w:fldCharType="begin"/>
    </w:r>
    <w:r w:rsidRPr="00960AAC">
      <w:rPr>
        <w:sz w:val="20"/>
        <w:szCs w:val="20"/>
      </w:rPr>
      <w:instrText xml:space="preserve"> FILENAME   \* MERGEFORMAT </w:instrText>
    </w:r>
    <w:r w:rsidRPr="00960AAC">
      <w:rPr>
        <w:sz w:val="20"/>
        <w:szCs w:val="20"/>
      </w:rPr>
      <w:fldChar w:fldCharType="separate"/>
    </w:r>
    <w:r w:rsidR="006D137B">
      <w:rPr>
        <w:noProof/>
        <w:sz w:val="20"/>
        <w:szCs w:val="20"/>
      </w:rPr>
      <w:t>FMAnot_141117.docx</w:t>
    </w:r>
    <w:r w:rsidRPr="00960AA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7B" w:rsidRPr="006D137B" w:rsidRDefault="006D137B">
    <w:pPr>
      <w:pStyle w:val="Footer"/>
      <w:rPr>
        <w:sz w:val="20"/>
      </w:rPr>
    </w:pPr>
    <w:r w:rsidRPr="006D137B">
      <w:rPr>
        <w:sz w:val="20"/>
      </w:rPr>
      <w:fldChar w:fldCharType="begin"/>
    </w:r>
    <w:r w:rsidRPr="006D137B">
      <w:rPr>
        <w:sz w:val="20"/>
      </w:rPr>
      <w:instrText xml:space="preserve"> FILENAME   \* MERGEFORMAT </w:instrText>
    </w:r>
    <w:r w:rsidRPr="006D137B">
      <w:rPr>
        <w:sz w:val="20"/>
      </w:rPr>
      <w:fldChar w:fldCharType="separate"/>
    </w:r>
    <w:r>
      <w:rPr>
        <w:noProof/>
        <w:sz w:val="20"/>
      </w:rPr>
      <w:t>FMAnot_141117.docx</w:t>
    </w:r>
    <w:r w:rsidRPr="006D137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6" w:rsidRDefault="00524926" w:rsidP="009A7EE9">
      <w:r>
        <w:separator/>
      </w:r>
    </w:p>
  </w:footnote>
  <w:footnote w:type="continuationSeparator" w:id="0">
    <w:p w:rsidR="00524926" w:rsidRDefault="00524926"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rsidR="002D3E38" w:rsidRDefault="002D3E38">
        <w:pPr>
          <w:pStyle w:val="Header"/>
          <w:jc w:val="center"/>
        </w:pPr>
        <w:r>
          <w:fldChar w:fldCharType="begin"/>
        </w:r>
        <w:r>
          <w:instrText xml:space="preserve"> PAGE   \* MERGEFORMAT </w:instrText>
        </w:r>
        <w:r>
          <w:fldChar w:fldCharType="separate"/>
        </w:r>
        <w:r w:rsidR="00D27A98">
          <w:rPr>
            <w:noProof/>
          </w:rPr>
          <w:t>3</w:t>
        </w:r>
        <w:r>
          <w:rPr>
            <w:noProof/>
          </w:rPr>
          <w:fldChar w:fldCharType="end"/>
        </w:r>
      </w:p>
    </w:sdtContent>
  </w:sdt>
  <w:p w:rsidR="002D3E38" w:rsidRDefault="002D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5AE"/>
    <w:multiLevelType w:val="hybridMultilevel"/>
    <w:tmpl w:val="73949050"/>
    <w:lvl w:ilvl="0" w:tplc="04260001">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2"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4"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5038A"/>
    <w:rsid w:val="000614F5"/>
    <w:rsid w:val="000818D2"/>
    <w:rsid w:val="000B2CA0"/>
    <w:rsid w:val="000C07B8"/>
    <w:rsid w:val="000C703D"/>
    <w:rsid w:val="00156E18"/>
    <w:rsid w:val="00171A81"/>
    <w:rsid w:val="00183027"/>
    <w:rsid w:val="001A72E6"/>
    <w:rsid w:val="001C1669"/>
    <w:rsid w:val="002204E8"/>
    <w:rsid w:val="00261740"/>
    <w:rsid w:val="00285775"/>
    <w:rsid w:val="002B19A5"/>
    <w:rsid w:val="002B3D2F"/>
    <w:rsid w:val="002B5EE7"/>
    <w:rsid w:val="002C3DC9"/>
    <w:rsid w:val="002D3E38"/>
    <w:rsid w:val="0032120D"/>
    <w:rsid w:val="00335619"/>
    <w:rsid w:val="003735E2"/>
    <w:rsid w:val="003C21F6"/>
    <w:rsid w:val="003C6F6D"/>
    <w:rsid w:val="003F10D1"/>
    <w:rsid w:val="004170B3"/>
    <w:rsid w:val="00422A25"/>
    <w:rsid w:val="00474ED8"/>
    <w:rsid w:val="004761C1"/>
    <w:rsid w:val="00482307"/>
    <w:rsid w:val="004A7D0E"/>
    <w:rsid w:val="004D10DA"/>
    <w:rsid w:val="004F70B8"/>
    <w:rsid w:val="00524926"/>
    <w:rsid w:val="00542B98"/>
    <w:rsid w:val="005437C3"/>
    <w:rsid w:val="005802FC"/>
    <w:rsid w:val="00583D19"/>
    <w:rsid w:val="005B0615"/>
    <w:rsid w:val="00603455"/>
    <w:rsid w:val="00611862"/>
    <w:rsid w:val="00632159"/>
    <w:rsid w:val="00641D60"/>
    <w:rsid w:val="00645290"/>
    <w:rsid w:val="006D137B"/>
    <w:rsid w:val="00705A8F"/>
    <w:rsid w:val="0071285B"/>
    <w:rsid w:val="00751999"/>
    <w:rsid w:val="00763F04"/>
    <w:rsid w:val="00764807"/>
    <w:rsid w:val="007733C9"/>
    <w:rsid w:val="007C300C"/>
    <w:rsid w:val="007C74EE"/>
    <w:rsid w:val="007D693E"/>
    <w:rsid w:val="007E157D"/>
    <w:rsid w:val="007F6BD7"/>
    <w:rsid w:val="0086037C"/>
    <w:rsid w:val="00870008"/>
    <w:rsid w:val="00875E3E"/>
    <w:rsid w:val="008B46B2"/>
    <w:rsid w:val="008C0091"/>
    <w:rsid w:val="008C4C8E"/>
    <w:rsid w:val="008E3CF9"/>
    <w:rsid w:val="00905312"/>
    <w:rsid w:val="0091691A"/>
    <w:rsid w:val="00923946"/>
    <w:rsid w:val="00930BF9"/>
    <w:rsid w:val="00945363"/>
    <w:rsid w:val="00960AAC"/>
    <w:rsid w:val="009757FD"/>
    <w:rsid w:val="009873B8"/>
    <w:rsid w:val="0099499C"/>
    <w:rsid w:val="009A7EE9"/>
    <w:rsid w:val="00A11E5A"/>
    <w:rsid w:val="00A310DC"/>
    <w:rsid w:val="00A37ADF"/>
    <w:rsid w:val="00A55271"/>
    <w:rsid w:val="00A85919"/>
    <w:rsid w:val="00A914D2"/>
    <w:rsid w:val="00AA1528"/>
    <w:rsid w:val="00AB7DDF"/>
    <w:rsid w:val="00AC7C0E"/>
    <w:rsid w:val="00AD6E8B"/>
    <w:rsid w:val="00AE4A71"/>
    <w:rsid w:val="00B03683"/>
    <w:rsid w:val="00B14C2E"/>
    <w:rsid w:val="00B17BAC"/>
    <w:rsid w:val="00B2761E"/>
    <w:rsid w:val="00B61A29"/>
    <w:rsid w:val="00B64477"/>
    <w:rsid w:val="00B7663C"/>
    <w:rsid w:val="00B87AF4"/>
    <w:rsid w:val="00BD4180"/>
    <w:rsid w:val="00BD7B24"/>
    <w:rsid w:val="00BF0C19"/>
    <w:rsid w:val="00BF18C9"/>
    <w:rsid w:val="00BF7635"/>
    <w:rsid w:val="00C437F7"/>
    <w:rsid w:val="00C44880"/>
    <w:rsid w:val="00C621A0"/>
    <w:rsid w:val="00C64112"/>
    <w:rsid w:val="00C656FF"/>
    <w:rsid w:val="00CB2E04"/>
    <w:rsid w:val="00CC1E07"/>
    <w:rsid w:val="00CF2F7B"/>
    <w:rsid w:val="00D07723"/>
    <w:rsid w:val="00D27A98"/>
    <w:rsid w:val="00D312A6"/>
    <w:rsid w:val="00D444BA"/>
    <w:rsid w:val="00D82EC1"/>
    <w:rsid w:val="00D97850"/>
    <w:rsid w:val="00DA451A"/>
    <w:rsid w:val="00DB1865"/>
    <w:rsid w:val="00DB37C4"/>
    <w:rsid w:val="00E218B9"/>
    <w:rsid w:val="00E31C29"/>
    <w:rsid w:val="00E366AD"/>
    <w:rsid w:val="00EE3ADF"/>
    <w:rsid w:val="00F154FE"/>
    <w:rsid w:val="00F21AC1"/>
    <w:rsid w:val="00F32B28"/>
    <w:rsid w:val="00F920C2"/>
    <w:rsid w:val="00F95876"/>
    <w:rsid w:val="00FA0AC6"/>
    <w:rsid w:val="00FC73BD"/>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D96648"/>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s.vilks@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3026</Words>
  <Characters>1725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Finanšu ministrija</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ints.vilks@fm.gov.lv</dc:creator>
  <cp:keywords/>
  <dc:description>67095415; ints.vilks@fm.gov.lv</dc:description>
  <cp:lastModifiedBy>FDND Finanšu nodaļa (IV)</cp:lastModifiedBy>
  <cp:revision>11</cp:revision>
  <cp:lastPrinted>2017-11-14T09:29:00Z</cp:lastPrinted>
  <dcterms:created xsi:type="dcterms:W3CDTF">2017-11-14T08:45:00Z</dcterms:created>
  <dcterms:modified xsi:type="dcterms:W3CDTF">2017-11-14T13:10:00Z</dcterms:modified>
</cp:coreProperties>
</file>