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57EF1" w14:textId="77777777" w:rsidR="00026C45" w:rsidRPr="00832002" w:rsidRDefault="00653DEA" w:rsidP="00026C45">
      <w:pPr>
        <w:shd w:val="clear" w:color="auto" w:fill="FFFFFF"/>
        <w:jc w:val="center"/>
        <w:rPr>
          <w:rFonts w:eastAsia="Times New Roman"/>
          <w:b/>
          <w:bCs/>
          <w:sz w:val="26"/>
          <w:szCs w:val="26"/>
        </w:rPr>
      </w:pPr>
      <w:r w:rsidRPr="00832002">
        <w:rPr>
          <w:b/>
          <w:bCs/>
          <w:sz w:val="26"/>
          <w:szCs w:val="26"/>
        </w:rPr>
        <w:t>Noteikumu projekta “Grozījumi Ministru kabineta 2013.gada 15.janvāra noteikumos Nr.40 “</w:t>
      </w:r>
      <w:r w:rsidRPr="00832002">
        <w:rPr>
          <w:b/>
          <w:bCs/>
          <w:sz w:val="26"/>
          <w:szCs w:val="26"/>
          <w:lang w:eastAsia="lv-LV"/>
        </w:rPr>
        <w:t>Noteikumi par pievienotās vērtības nodokļa deklarācijām</w:t>
      </w:r>
      <w:r w:rsidRPr="00832002">
        <w:rPr>
          <w:b/>
          <w:sz w:val="26"/>
          <w:szCs w:val="26"/>
        </w:rPr>
        <w:t>””</w:t>
      </w:r>
      <w:r w:rsidRPr="00832002">
        <w:rPr>
          <w:b/>
          <w:bCs/>
          <w:sz w:val="26"/>
          <w:szCs w:val="26"/>
        </w:rPr>
        <w:t xml:space="preserve"> </w:t>
      </w:r>
      <w:r w:rsidRPr="00832002">
        <w:rPr>
          <w:b/>
          <w:sz w:val="26"/>
          <w:szCs w:val="26"/>
        </w:rPr>
        <w:t>sākotnējās ietekmes novērtējuma ziņojums (anotācija)</w:t>
      </w:r>
    </w:p>
    <w:p w14:paraId="26D3A4E4" w14:textId="77777777" w:rsidR="00026C45" w:rsidRPr="00832002" w:rsidRDefault="00972FB0" w:rsidP="00026C45">
      <w:pPr>
        <w:shd w:val="clear" w:color="auto" w:fill="FFFFFF"/>
        <w:spacing w:before="45" w:line="248" w:lineRule="atLeast"/>
        <w:ind w:firstLine="300"/>
        <w:jc w:val="center"/>
        <w:rPr>
          <w:rFonts w:eastAsia="Times New Roman"/>
          <w:b/>
          <w:iCs/>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544E5F" w14:paraId="0A91D225" w14:textId="77777777" w:rsidTr="009604FB">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069814B" w14:textId="77777777" w:rsidR="00026C45" w:rsidRPr="00421589" w:rsidRDefault="00653DEA" w:rsidP="009604FB">
            <w:pPr>
              <w:spacing w:before="100" w:beforeAutospacing="1" w:after="100" w:afterAutospacing="1" w:line="293" w:lineRule="atLeast"/>
              <w:jc w:val="center"/>
              <w:rPr>
                <w:rFonts w:eastAsia="Times New Roman"/>
                <w:b/>
                <w:bCs/>
                <w:sz w:val="26"/>
                <w:szCs w:val="26"/>
                <w:lang w:eastAsia="lv-LV"/>
              </w:rPr>
            </w:pPr>
            <w:r w:rsidRPr="00421589">
              <w:rPr>
                <w:rFonts w:eastAsia="Times New Roman"/>
                <w:b/>
                <w:bCs/>
                <w:sz w:val="26"/>
                <w:szCs w:val="26"/>
                <w:lang w:eastAsia="lv-LV"/>
              </w:rPr>
              <w:t>I. Tiesību akta projekta izstrādes nepieciešamība</w:t>
            </w:r>
          </w:p>
        </w:tc>
      </w:tr>
      <w:tr w:rsidR="00544E5F" w14:paraId="5D0BD2D3" w14:textId="77777777" w:rsidTr="009604FB">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7379C40" w14:textId="77777777" w:rsidR="00026C45" w:rsidRPr="00421589" w:rsidRDefault="00653DEA" w:rsidP="009604FB">
            <w:pPr>
              <w:spacing w:before="100" w:beforeAutospacing="1" w:after="100" w:afterAutospacing="1" w:line="293" w:lineRule="atLeast"/>
              <w:jc w:val="center"/>
              <w:rPr>
                <w:rFonts w:eastAsia="Times New Roman"/>
                <w:sz w:val="26"/>
                <w:szCs w:val="26"/>
                <w:lang w:eastAsia="lv-LV"/>
              </w:rPr>
            </w:pPr>
            <w:r w:rsidRPr="00421589">
              <w:rPr>
                <w:rFonts w:eastAsia="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4B720FAD"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BB6A3B7" w14:textId="4F7A5D85" w:rsidR="002B722C" w:rsidRPr="001730FD" w:rsidRDefault="00653DEA" w:rsidP="00A54F46">
            <w:pPr>
              <w:jc w:val="both"/>
              <w:rPr>
                <w:sz w:val="26"/>
                <w:szCs w:val="26"/>
              </w:rPr>
            </w:pPr>
            <w:r w:rsidRPr="001E7FA1">
              <w:rPr>
                <w:sz w:val="26"/>
                <w:szCs w:val="26"/>
              </w:rPr>
              <w:t xml:space="preserve">Saskaņā ar Saeimā 2017.gada 27.jūlijā  pieņemto likumu “Grozījumi Pievienotās vērtības nodokļa likumā”, kas stāsies spēkā 2018.gada 1.janvārī, ir nepieciešami grozījumi par pievienotās vērtības nodokļa (turpmāk – PVN) deklarācijas un </w:t>
            </w:r>
            <w:r w:rsidRPr="00593F6A">
              <w:rPr>
                <w:sz w:val="26"/>
                <w:szCs w:val="26"/>
              </w:rPr>
              <w:t>tās pielikumu aizpildīšanu Ministru kabineta 2013.gada 15.janvāra noteikumos Nr.40 “Noteikumi par pievienotās vērtības nodokļa deklarācijām” (turpmāk – Ministru kabineta 2013.gada 15.janvāra noteikumi Nr.40).</w:t>
            </w:r>
          </w:p>
          <w:p w14:paraId="053C8968" w14:textId="77777777" w:rsidR="00C023F9" w:rsidRPr="001E7FA1" w:rsidRDefault="00972FB0" w:rsidP="00A54F46">
            <w:pPr>
              <w:jc w:val="both"/>
              <w:rPr>
                <w:sz w:val="26"/>
                <w:szCs w:val="26"/>
              </w:rPr>
            </w:pPr>
          </w:p>
          <w:p w14:paraId="3EAB1109" w14:textId="199E71C3" w:rsidR="001E7FA1" w:rsidRDefault="00653DEA" w:rsidP="001E7FA1">
            <w:pPr>
              <w:jc w:val="both"/>
              <w:rPr>
                <w:sz w:val="26"/>
                <w:szCs w:val="26"/>
              </w:rPr>
            </w:pPr>
            <w:r w:rsidRPr="00983AAD">
              <w:rPr>
                <w:bCs/>
                <w:sz w:val="26"/>
                <w:szCs w:val="26"/>
              </w:rPr>
              <w:t>Noteikumu projekt</w:t>
            </w:r>
            <w:r>
              <w:rPr>
                <w:bCs/>
                <w:sz w:val="26"/>
                <w:szCs w:val="26"/>
              </w:rPr>
              <w:t>s</w:t>
            </w:r>
            <w:r w:rsidRPr="00983AAD">
              <w:rPr>
                <w:bCs/>
                <w:sz w:val="26"/>
                <w:szCs w:val="26"/>
              </w:rPr>
              <w:t xml:space="preserve"> “Grozījumi Ministru kabineta 2013.gada 15.janvāra noteikumos Nr.40 “</w:t>
            </w:r>
            <w:r w:rsidRPr="00983AAD">
              <w:rPr>
                <w:bCs/>
                <w:sz w:val="26"/>
                <w:szCs w:val="26"/>
                <w:lang w:eastAsia="lv-LV"/>
              </w:rPr>
              <w:t>Noteikumi par pievienotās vērtības nodokļa deklarācijām</w:t>
            </w:r>
            <w:r w:rsidRPr="00983AAD">
              <w:rPr>
                <w:sz w:val="26"/>
                <w:szCs w:val="26"/>
              </w:rPr>
              <w:t>””</w:t>
            </w:r>
            <w:r w:rsidRPr="00983AAD">
              <w:rPr>
                <w:bCs/>
                <w:sz w:val="26"/>
                <w:szCs w:val="26"/>
              </w:rPr>
              <w:t xml:space="preserve"> </w:t>
            </w:r>
            <w:r>
              <w:rPr>
                <w:bCs/>
                <w:sz w:val="26"/>
                <w:szCs w:val="26"/>
              </w:rPr>
              <w:t xml:space="preserve">(turpmāk </w:t>
            </w:r>
            <w:r w:rsidRPr="001E7FA1">
              <w:rPr>
                <w:sz w:val="26"/>
                <w:szCs w:val="26"/>
              </w:rPr>
              <w:t>–</w:t>
            </w:r>
            <w:r>
              <w:rPr>
                <w:sz w:val="26"/>
                <w:szCs w:val="26"/>
              </w:rPr>
              <w:t xml:space="preserve"> noteikumu projekts</w:t>
            </w:r>
            <w:r>
              <w:rPr>
                <w:bCs/>
                <w:sz w:val="26"/>
                <w:szCs w:val="26"/>
              </w:rPr>
              <w:t>) ir izstrādāts</w:t>
            </w:r>
            <w:r w:rsidRPr="001E7FA1">
              <w:rPr>
                <w:sz w:val="26"/>
                <w:szCs w:val="26"/>
              </w:rPr>
              <w:t>, lai nodrošinātu Ministru kabineta 2013.gada 15.janvāra noteikumu Nr.40 saskaņotību ar grozījumiem Pievienotās vērtības nodokļa likumā</w:t>
            </w:r>
            <w:r>
              <w:rPr>
                <w:sz w:val="26"/>
                <w:szCs w:val="26"/>
              </w:rPr>
              <w:t>.</w:t>
            </w:r>
          </w:p>
          <w:p w14:paraId="5621782A" w14:textId="524D9BB0" w:rsidR="007334B9" w:rsidRPr="001E7FA1" w:rsidRDefault="00972FB0" w:rsidP="001E7FA1">
            <w:pPr>
              <w:jc w:val="both"/>
              <w:rPr>
                <w:sz w:val="26"/>
                <w:szCs w:val="26"/>
              </w:rPr>
            </w:pPr>
          </w:p>
        </w:tc>
      </w:tr>
      <w:tr w:rsidR="00544E5F" w14:paraId="39C510F9" w14:textId="77777777" w:rsidTr="009604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9A3D440" w14:textId="77777777" w:rsidR="00026C45" w:rsidRPr="00421589" w:rsidRDefault="00653DEA" w:rsidP="009604FB">
            <w:pPr>
              <w:spacing w:before="100" w:beforeAutospacing="1" w:after="100" w:afterAutospacing="1" w:line="293" w:lineRule="atLeast"/>
              <w:jc w:val="center"/>
              <w:rPr>
                <w:rFonts w:eastAsia="Times New Roman"/>
                <w:sz w:val="26"/>
                <w:szCs w:val="26"/>
                <w:lang w:eastAsia="lv-LV"/>
              </w:rPr>
            </w:pPr>
            <w:r w:rsidRPr="00421589">
              <w:rPr>
                <w:rFonts w:eastAsia="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126ECC"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454982E" w14:textId="24137F5B" w:rsidR="005108DC" w:rsidRPr="00421589" w:rsidRDefault="00653DEA" w:rsidP="00631A68">
            <w:pPr>
              <w:pStyle w:val="CommentText"/>
              <w:numPr>
                <w:ilvl w:val="0"/>
                <w:numId w:val="5"/>
              </w:numPr>
              <w:ind w:left="11" w:hanging="785"/>
              <w:jc w:val="both"/>
              <w:rPr>
                <w:rFonts w:ascii="Times New Roman" w:hAnsi="Times New Roman"/>
                <w:sz w:val="26"/>
                <w:szCs w:val="26"/>
              </w:rPr>
            </w:pPr>
            <w:r w:rsidRPr="00421589">
              <w:rPr>
                <w:rFonts w:ascii="Times New Roman" w:hAnsi="Times New Roman"/>
                <w:sz w:val="26"/>
                <w:szCs w:val="26"/>
              </w:rPr>
              <w:t xml:space="preserve">1. </w:t>
            </w:r>
            <w:r w:rsidRPr="00EE4E26">
              <w:rPr>
                <w:rFonts w:ascii="Times New Roman" w:hAnsi="Times New Roman"/>
                <w:sz w:val="26"/>
                <w:szCs w:val="26"/>
              </w:rPr>
              <w:t>2018.gada 1.janvārī, pamatojoties uz likumu “Grozījumi Pievienotās vērtības nodokļa likumā”, stājas spēkā Pievienotās vērtības nodokļa likuma 143.</w:t>
            </w:r>
            <w:r w:rsidRPr="00EE4E26">
              <w:rPr>
                <w:rFonts w:ascii="Times New Roman" w:hAnsi="Times New Roman"/>
                <w:sz w:val="26"/>
                <w:szCs w:val="26"/>
                <w:vertAlign w:val="superscript"/>
              </w:rPr>
              <w:t>4</w:t>
            </w:r>
            <w:r w:rsidRPr="00EE4E26">
              <w:rPr>
                <w:rFonts w:ascii="Times New Roman" w:hAnsi="Times New Roman"/>
                <w:sz w:val="26"/>
                <w:szCs w:val="26"/>
              </w:rPr>
              <w:t>pants</w:t>
            </w:r>
            <w:r w:rsidRPr="00421589">
              <w:rPr>
                <w:rFonts w:ascii="Times New Roman" w:hAnsi="Times New Roman"/>
                <w:sz w:val="26"/>
                <w:szCs w:val="26"/>
              </w:rPr>
              <w:t>, kas no</w:t>
            </w:r>
            <w:r>
              <w:rPr>
                <w:rFonts w:ascii="Times New Roman" w:hAnsi="Times New Roman"/>
                <w:sz w:val="26"/>
                <w:szCs w:val="26"/>
              </w:rPr>
              <w:t>teic</w:t>
            </w:r>
            <w:r w:rsidRPr="00421589">
              <w:rPr>
                <w:rFonts w:ascii="Times New Roman" w:hAnsi="Times New Roman"/>
                <w:sz w:val="26"/>
                <w:szCs w:val="26"/>
              </w:rPr>
              <w:t xml:space="preserve"> </w:t>
            </w:r>
            <w:r w:rsidRPr="00421589">
              <w:rPr>
                <w:rFonts w:ascii="Times New Roman" w:hAnsi="Times New Roman"/>
                <w:sz w:val="26"/>
                <w:szCs w:val="26"/>
                <w:lang w:eastAsia="lv-LV"/>
              </w:rPr>
              <w:t>īpašā PVN piemērošanas režīma (tā saucamā PVN apgrieztā maksāšanas kārtība) ieviešanu metālizstrādājumu piegādēm un ar to saistītiem pakalpojumiem, 143.</w:t>
            </w:r>
            <w:r w:rsidRPr="00421589">
              <w:rPr>
                <w:rFonts w:ascii="Times New Roman" w:hAnsi="Times New Roman"/>
                <w:sz w:val="26"/>
                <w:szCs w:val="26"/>
                <w:vertAlign w:val="superscript"/>
                <w:lang w:eastAsia="lv-LV"/>
              </w:rPr>
              <w:t>5</w:t>
            </w:r>
            <w:r w:rsidRPr="00421589">
              <w:rPr>
                <w:rFonts w:ascii="Times New Roman" w:hAnsi="Times New Roman"/>
                <w:sz w:val="26"/>
                <w:szCs w:val="26"/>
                <w:lang w:eastAsia="lv-LV"/>
              </w:rPr>
              <w:t>pants, kas no</w:t>
            </w:r>
            <w:r>
              <w:rPr>
                <w:rFonts w:ascii="Times New Roman" w:hAnsi="Times New Roman"/>
                <w:sz w:val="26"/>
                <w:szCs w:val="26"/>
                <w:lang w:eastAsia="lv-LV"/>
              </w:rPr>
              <w:t>teic</w:t>
            </w:r>
            <w:r w:rsidRPr="00421589">
              <w:rPr>
                <w:rFonts w:ascii="Times New Roman" w:hAnsi="Times New Roman"/>
                <w:sz w:val="26"/>
                <w:szCs w:val="26"/>
                <w:lang w:eastAsia="lv-LV"/>
              </w:rPr>
              <w:t xml:space="preserve"> īpašā PVN piemērošanas režīma ieviešanu sadzīves elektronisko iekārtu un sadzīves elektriskās aparatūras piegādei, </w:t>
            </w:r>
            <w:r w:rsidRPr="00D65CF3">
              <w:rPr>
                <w:rFonts w:ascii="Times New Roman" w:hAnsi="Times New Roman"/>
                <w:sz w:val="26"/>
                <w:szCs w:val="26"/>
                <w:lang w:eastAsia="lv-LV"/>
              </w:rPr>
              <w:t xml:space="preserve">kā arī </w:t>
            </w:r>
            <w:r w:rsidRPr="00983AAD">
              <w:rPr>
                <w:rFonts w:ascii="Times New Roman" w:hAnsi="Times New Roman"/>
                <w:sz w:val="26"/>
                <w:szCs w:val="26"/>
                <w:lang w:eastAsia="lv-LV"/>
              </w:rPr>
              <w:t>jaunā redakcijā izteiktais</w:t>
            </w:r>
            <w:r w:rsidRPr="00D65CF3">
              <w:rPr>
                <w:rFonts w:ascii="Times New Roman" w:hAnsi="Times New Roman"/>
                <w:sz w:val="26"/>
                <w:szCs w:val="26"/>
                <w:lang w:eastAsia="lv-LV"/>
              </w:rPr>
              <w:t xml:space="preserve"> Pievienotās vērtības nodokļa likuma 142.pants,</w:t>
            </w:r>
            <w:r w:rsidRPr="00421589">
              <w:rPr>
                <w:rFonts w:ascii="Times New Roman" w:hAnsi="Times New Roman"/>
                <w:sz w:val="26"/>
                <w:szCs w:val="26"/>
                <w:lang w:eastAsia="lv-LV"/>
              </w:rPr>
              <w:t xml:space="preserve"> nosakot, ka īpaš</w:t>
            </w:r>
            <w:r>
              <w:rPr>
                <w:rFonts w:ascii="Times New Roman" w:hAnsi="Times New Roman"/>
                <w:sz w:val="26"/>
                <w:szCs w:val="26"/>
                <w:lang w:eastAsia="lv-LV"/>
              </w:rPr>
              <w:t>o</w:t>
            </w:r>
            <w:r w:rsidRPr="00421589">
              <w:rPr>
                <w:rFonts w:ascii="Times New Roman" w:hAnsi="Times New Roman"/>
                <w:sz w:val="26"/>
                <w:szCs w:val="26"/>
                <w:lang w:eastAsia="lv-LV"/>
              </w:rPr>
              <w:t xml:space="preserve"> PVN piemērošanas režīm</w:t>
            </w:r>
            <w:r>
              <w:rPr>
                <w:rFonts w:ascii="Times New Roman" w:hAnsi="Times New Roman"/>
                <w:sz w:val="26"/>
                <w:szCs w:val="26"/>
                <w:lang w:eastAsia="lv-LV"/>
              </w:rPr>
              <w:t>u</w:t>
            </w:r>
            <w:r w:rsidRPr="00421589">
              <w:rPr>
                <w:rFonts w:ascii="Times New Roman" w:hAnsi="Times New Roman"/>
                <w:sz w:val="26"/>
                <w:szCs w:val="26"/>
                <w:lang w:eastAsia="lv-LV"/>
              </w:rPr>
              <w:t xml:space="preserve"> piemēro būvizstrādājumu piegādēm.</w:t>
            </w:r>
          </w:p>
          <w:p w14:paraId="1A129B32" w14:textId="5E7145FE" w:rsidR="002247E0" w:rsidRPr="00421589" w:rsidRDefault="00653DEA" w:rsidP="002247E0">
            <w:pPr>
              <w:autoSpaceDE w:val="0"/>
              <w:autoSpaceDN w:val="0"/>
              <w:adjustRightInd w:val="0"/>
              <w:jc w:val="both"/>
              <w:rPr>
                <w:sz w:val="26"/>
                <w:szCs w:val="26"/>
              </w:rPr>
            </w:pPr>
            <w:r w:rsidRPr="00421589">
              <w:rPr>
                <w:sz w:val="26"/>
                <w:szCs w:val="26"/>
              </w:rPr>
              <w:t xml:space="preserve">Ministru kabineta 2013.gada 15.janvāra noteikumos Nr.40 nav paredzēta kārtība, kādā aizpildāma PVN </w:t>
            </w:r>
            <w:r w:rsidRPr="00421589">
              <w:rPr>
                <w:rFonts w:eastAsiaTheme="minorHAnsi"/>
                <w:sz w:val="26"/>
                <w:szCs w:val="26"/>
              </w:rPr>
              <w:t>deklarācija un tās pielikumi, ja piemēro īpaš</w:t>
            </w:r>
            <w:r>
              <w:rPr>
                <w:rFonts w:eastAsiaTheme="minorHAnsi"/>
                <w:sz w:val="26"/>
                <w:szCs w:val="26"/>
              </w:rPr>
              <w:t>o</w:t>
            </w:r>
            <w:r w:rsidRPr="00421589">
              <w:rPr>
                <w:rFonts w:eastAsiaTheme="minorHAnsi"/>
                <w:sz w:val="26"/>
                <w:szCs w:val="26"/>
              </w:rPr>
              <w:t xml:space="preserve"> PVN piemērošanas režīm</w:t>
            </w:r>
            <w:r>
              <w:rPr>
                <w:rFonts w:eastAsiaTheme="minorHAnsi"/>
                <w:sz w:val="26"/>
                <w:szCs w:val="26"/>
              </w:rPr>
              <w:t>u</w:t>
            </w:r>
            <w:r w:rsidRPr="00421589">
              <w:rPr>
                <w:rFonts w:eastAsiaTheme="minorHAnsi"/>
                <w:sz w:val="26"/>
                <w:szCs w:val="26"/>
              </w:rPr>
              <w:t xml:space="preserve"> minēto preču un pakalpojumu piegādēm.</w:t>
            </w:r>
          </w:p>
          <w:p w14:paraId="0EA70FF1" w14:textId="1DDF9B1E" w:rsidR="00631A68" w:rsidRDefault="00653DEA" w:rsidP="00631A68">
            <w:pPr>
              <w:pStyle w:val="CommentText"/>
              <w:numPr>
                <w:ilvl w:val="0"/>
                <w:numId w:val="5"/>
              </w:numPr>
              <w:ind w:left="11" w:hanging="785"/>
              <w:jc w:val="both"/>
              <w:rPr>
                <w:rFonts w:ascii="Times New Roman" w:hAnsi="Times New Roman"/>
                <w:sz w:val="26"/>
                <w:szCs w:val="26"/>
              </w:rPr>
            </w:pPr>
            <w:r w:rsidRPr="00421589">
              <w:rPr>
                <w:rFonts w:ascii="Times New Roman" w:hAnsi="Times New Roman"/>
                <w:sz w:val="26"/>
                <w:szCs w:val="26"/>
                <w:lang w:eastAsia="lv-LV"/>
              </w:rPr>
              <w:t>Lai reģistrēti PVN maksātāji varētu atsevišķi atšifrēt metālizstrādājumu piegādes un ar tām saistītus pakalpojumus, sadzīves elektronisko iekārtu un sadzīves elektriskās aparatūras piegādes, būvizstrādājumu piegādes,</w:t>
            </w:r>
            <w:r>
              <w:rPr>
                <w:rFonts w:ascii="Times New Roman" w:hAnsi="Times New Roman"/>
                <w:sz w:val="26"/>
                <w:szCs w:val="26"/>
                <w:lang w:eastAsia="lv-LV"/>
              </w:rPr>
              <w:t xml:space="preserve"> </w:t>
            </w:r>
            <w:r w:rsidRPr="00421589">
              <w:rPr>
                <w:rFonts w:ascii="Times New Roman" w:hAnsi="Times New Roman"/>
                <w:sz w:val="26"/>
                <w:szCs w:val="26"/>
              </w:rPr>
              <w:t>PVN deklarācijas</w:t>
            </w:r>
            <w:r w:rsidR="00D13273">
              <w:rPr>
                <w:rFonts w:ascii="Times New Roman" w:hAnsi="Times New Roman"/>
                <w:sz w:val="26"/>
                <w:szCs w:val="26"/>
              </w:rPr>
              <w:t xml:space="preserve"> pielikuma</w:t>
            </w:r>
            <w:r w:rsidRPr="00421589">
              <w:rPr>
                <w:rFonts w:ascii="Times New Roman" w:hAnsi="Times New Roman"/>
                <w:sz w:val="26"/>
                <w:szCs w:val="26"/>
              </w:rPr>
              <w:t xml:space="preserve"> </w:t>
            </w:r>
            <w:r w:rsidR="00D13273">
              <w:rPr>
                <w:rFonts w:ascii="Times New Roman" w:hAnsi="Times New Roman"/>
                <w:sz w:val="26"/>
                <w:szCs w:val="26"/>
              </w:rPr>
              <w:t xml:space="preserve">“Pārskats par priekšnodokļa un nodokļa summām, kas </w:t>
            </w:r>
            <w:r w:rsidR="00D13273">
              <w:rPr>
                <w:rFonts w:ascii="Times New Roman" w:hAnsi="Times New Roman"/>
                <w:sz w:val="26"/>
                <w:szCs w:val="26"/>
              </w:rPr>
              <w:lastRenderedPageBreak/>
              <w:t>norādītas nodokļa deklarācijā par taksācijas periodu” I daļ</w:t>
            </w:r>
            <w:r w:rsidR="001B7CAB">
              <w:rPr>
                <w:rFonts w:ascii="Times New Roman" w:hAnsi="Times New Roman"/>
                <w:sz w:val="26"/>
                <w:szCs w:val="26"/>
              </w:rPr>
              <w:t>as</w:t>
            </w:r>
            <w:r w:rsidR="00D13273">
              <w:rPr>
                <w:rFonts w:ascii="Times New Roman" w:hAnsi="Times New Roman"/>
                <w:sz w:val="26"/>
                <w:szCs w:val="26"/>
              </w:rPr>
              <w:t xml:space="preserve"> “Nodokļa summas par iekšzemē iegādātajām precēm un saņemtajiem pakalpojumiem” (turpmāk  - PVN1 pārskats I daļa) </w:t>
            </w:r>
            <w:r>
              <w:rPr>
                <w:rFonts w:ascii="Times New Roman" w:hAnsi="Times New Roman"/>
                <w:sz w:val="26"/>
                <w:szCs w:val="26"/>
              </w:rPr>
              <w:t>3.</w:t>
            </w:r>
            <w:r w:rsidRPr="008F2E00">
              <w:rPr>
                <w:rFonts w:ascii="Times New Roman" w:hAnsi="Times New Roman"/>
                <w:sz w:val="26"/>
                <w:szCs w:val="26"/>
              </w:rPr>
              <w:t>ailē “</w:t>
            </w:r>
            <w:r w:rsidRPr="00983AAD">
              <w:rPr>
                <w:rFonts w:ascii="Times New Roman" w:hAnsi="Times New Roman"/>
                <w:sz w:val="26"/>
                <w:szCs w:val="26"/>
              </w:rPr>
              <w:t>kods, kas raksturo darījuma veidu</w:t>
            </w:r>
            <w:r w:rsidRPr="008F2E00">
              <w:rPr>
                <w:rFonts w:ascii="Times New Roman" w:hAnsi="Times New Roman"/>
                <w:sz w:val="26"/>
                <w:szCs w:val="26"/>
              </w:rPr>
              <w:t>” nor</w:t>
            </w:r>
            <w:r w:rsidRPr="00023CE9">
              <w:rPr>
                <w:rFonts w:ascii="Times New Roman" w:hAnsi="Times New Roman"/>
                <w:sz w:val="26"/>
                <w:szCs w:val="26"/>
              </w:rPr>
              <w:t xml:space="preserve">ādāmā informācija </w:t>
            </w:r>
            <w:r w:rsidRPr="00421589">
              <w:rPr>
                <w:rFonts w:ascii="Times New Roman" w:hAnsi="Times New Roman"/>
                <w:sz w:val="26"/>
                <w:szCs w:val="26"/>
              </w:rPr>
              <w:t>ir papildinā</w:t>
            </w:r>
            <w:r>
              <w:rPr>
                <w:rFonts w:ascii="Times New Roman" w:hAnsi="Times New Roman"/>
                <w:sz w:val="26"/>
                <w:szCs w:val="26"/>
              </w:rPr>
              <w:t>t</w:t>
            </w:r>
            <w:r w:rsidRPr="00421589">
              <w:rPr>
                <w:rFonts w:ascii="Times New Roman" w:hAnsi="Times New Roman"/>
                <w:sz w:val="26"/>
                <w:szCs w:val="26"/>
              </w:rPr>
              <w:t>a ar atsevišķiem speciāliem kodiem “R7”</w:t>
            </w:r>
            <w:r w:rsidR="008551DF">
              <w:rPr>
                <w:rFonts w:ascii="Times New Roman" w:hAnsi="Times New Roman"/>
                <w:sz w:val="26"/>
                <w:szCs w:val="26"/>
              </w:rPr>
              <w:t xml:space="preserve"> - </w:t>
            </w:r>
            <w:r w:rsidR="008551DF" w:rsidRPr="00AA2C93">
              <w:rPr>
                <w:rFonts w:ascii="Times New Roman" w:hAnsi="Times New Roman"/>
                <w:sz w:val="26"/>
                <w:szCs w:val="26"/>
              </w:rPr>
              <w:t>nodokļa summas par saņemtajiem pakalpojumiem un saņemtajām precēm, kas aprēķinātas saskaņā ar likuma 143.</w:t>
            </w:r>
            <w:r w:rsidR="008551DF" w:rsidRPr="00AA2C93">
              <w:rPr>
                <w:rFonts w:ascii="Times New Roman" w:hAnsi="Times New Roman"/>
                <w:sz w:val="26"/>
                <w:szCs w:val="26"/>
                <w:vertAlign w:val="superscript"/>
              </w:rPr>
              <w:t>4 </w:t>
            </w:r>
            <w:r w:rsidR="008551DF" w:rsidRPr="00AA2C93">
              <w:rPr>
                <w:rFonts w:ascii="Times New Roman" w:hAnsi="Times New Roman"/>
                <w:sz w:val="26"/>
                <w:szCs w:val="26"/>
              </w:rPr>
              <w:t>pantu</w:t>
            </w:r>
            <w:r w:rsidRPr="008551DF">
              <w:rPr>
                <w:rFonts w:ascii="Times New Roman" w:hAnsi="Times New Roman"/>
                <w:sz w:val="26"/>
                <w:szCs w:val="26"/>
              </w:rPr>
              <w:t>,</w:t>
            </w:r>
            <w:r w:rsidRPr="00421589">
              <w:rPr>
                <w:rFonts w:ascii="Times New Roman" w:hAnsi="Times New Roman"/>
                <w:sz w:val="26"/>
                <w:szCs w:val="26"/>
              </w:rPr>
              <w:t xml:space="preserve"> “R8”</w:t>
            </w:r>
            <w:r w:rsidR="008551DF">
              <w:rPr>
                <w:rFonts w:ascii="Times New Roman" w:hAnsi="Times New Roman"/>
                <w:sz w:val="26"/>
                <w:szCs w:val="26"/>
              </w:rPr>
              <w:t xml:space="preserve"> - </w:t>
            </w:r>
            <w:r w:rsidR="008551DF" w:rsidRPr="00AA2C93">
              <w:rPr>
                <w:rFonts w:ascii="Times New Roman" w:hAnsi="Times New Roman"/>
                <w:sz w:val="26"/>
                <w:szCs w:val="26"/>
              </w:rPr>
              <w:t>nodokļa summas par saņemtajām precēm, kas aprēķinātas saskaņā ar likuma 143.</w:t>
            </w:r>
            <w:r w:rsidR="008551DF" w:rsidRPr="00AA2C93">
              <w:rPr>
                <w:rFonts w:ascii="Times New Roman" w:hAnsi="Times New Roman"/>
                <w:sz w:val="26"/>
                <w:szCs w:val="26"/>
                <w:vertAlign w:val="superscript"/>
              </w:rPr>
              <w:t>5 </w:t>
            </w:r>
            <w:r w:rsidR="008551DF" w:rsidRPr="00AA2C93">
              <w:rPr>
                <w:rFonts w:ascii="Times New Roman" w:hAnsi="Times New Roman"/>
                <w:sz w:val="26"/>
                <w:szCs w:val="26"/>
              </w:rPr>
              <w:t>pantu;</w:t>
            </w:r>
            <w:r w:rsidRPr="00421589">
              <w:rPr>
                <w:rFonts w:ascii="Times New Roman" w:hAnsi="Times New Roman"/>
                <w:sz w:val="26"/>
                <w:szCs w:val="26"/>
              </w:rPr>
              <w:t xml:space="preserve"> “R9</w:t>
            </w:r>
            <w:r w:rsidRPr="005254D6">
              <w:rPr>
                <w:rFonts w:ascii="Times New Roman" w:hAnsi="Times New Roman"/>
                <w:sz w:val="26"/>
                <w:szCs w:val="26"/>
              </w:rPr>
              <w:t>”</w:t>
            </w:r>
            <w:r w:rsidR="005254D6" w:rsidRPr="005254D6">
              <w:rPr>
                <w:rFonts w:ascii="Times New Roman" w:hAnsi="Times New Roman"/>
                <w:sz w:val="26"/>
                <w:szCs w:val="26"/>
              </w:rPr>
              <w:t xml:space="preserve"> - </w:t>
            </w:r>
            <w:r w:rsidR="005254D6" w:rsidRPr="00AA2C93">
              <w:rPr>
                <w:rFonts w:ascii="Times New Roman" w:hAnsi="Times New Roman"/>
                <w:sz w:val="26"/>
                <w:szCs w:val="26"/>
              </w:rPr>
              <w:t>nodokļa summas par saņemtajām precēm, kas aprēķinātas saskaņā ar likuma 142.pantu</w:t>
            </w:r>
            <w:r w:rsidRPr="005254D6">
              <w:rPr>
                <w:rFonts w:ascii="Times New Roman" w:hAnsi="Times New Roman"/>
                <w:sz w:val="26"/>
                <w:szCs w:val="26"/>
              </w:rPr>
              <w:t>.</w:t>
            </w:r>
          </w:p>
          <w:p w14:paraId="37E4CC90" w14:textId="1C3A7C2C" w:rsidR="00C553C4" w:rsidRPr="00C553C4" w:rsidRDefault="00C553C4" w:rsidP="00AA2C93">
            <w:pPr>
              <w:pStyle w:val="CommentText"/>
              <w:jc w:val="both"/>
              <w:rPr>
                <w:rFonts w:ascii="Times New Roman" w:hAnsi="Times New Roman"/>
                <w:sz w:val="26"/>
                <w:szCs w:val="26"/>
              </w:rPr>
            </w:pPr>
            <w:r w:rsidRPr="00EB5EA4">
              <w:rPr>
                <w:rFonts w:ascii="Times New Roman" w:hAnsi="Times New Roman"/>
                <w:sz w:val="26"/>
                <w:szCs w:val="26"/>
                <w:lang w:eastAsia="lv-LV"/>
              </w:rPr>
              <w:t>L</w:t>
            </w:r>
            <w:r w:rsidR="00441359" w:rsidRPr="00AA2C93">
              <w:rPr>
                <w:rFonts w:ascii="Times New Roman" w:hAnsi="Times New Roman"/>
                <w:sz w:val="26"/>
                <w:szCs w:val="26"/>
                <w:lang w:eastAsia="lv-LV"/>
              </w:rPr>
              <w:t xml:space="preserve">ai Valsts ieņēmumu dienests PVN administrēšanas procesā varētu pamatoti izvērtēt </w:t>
            </w:r>
            <w:r w:rsidR="00441359" w:rsidRPr="00AA2C93">
              <w:rPr>
                <w:rFonts w:ascii="Times New Roman" w:hAnsi="Times New Roman"/>
                <w:sz w:val="26"/>
                <w:szCs w:val="26"/>
              </w:rPr>
              <w:t xml:space="preserve">tiesības atskaitīt priekšnodokli, izsekot iegādāto būvmateriālu apjomam un sniegtajiem pakalpojumiem, kā arī </w:t>
            </w:r>
            <w:r w:rsidRPr="00AA2C93">
              <w:rPr>
                <w:rFonts w:ascii="Times New Roman" w:hAnsi="Times New Roman"/>
                <w:sz w:val="26"/>
                <w:szCs w:val="26"/>
                <w:lang w:eastAsia="lv-LV"/>
              </w:rPr>
              <w:t>n</w:t>
            </w:r>
            <w:r w:rsidR="00441359" w:rsidRPr="00AA2C93">
              <w:rPr>
                <w:rFonts w:ascii="Times New Roman" w:hAnsi="Times New Roman"/>
                <w:sz w:val="26"/>
                <w:szCs w:val="26"/>
              </w:rPr>
              <w:t>odokļu maksātāju riska analīzes mērķiem</w:t>
            </w:r>
            <w:r w:rsidRPr="00AA2C93">
              <w:rPr>
                <w:rFonts w:ascii="Times New Roman" w:hAnsi="Times New Roman"/>
                <w:sz w:val="26"/>
                <w:szCs w:val="26"/>
              </w:rPr>
              <w:t>,</w:t>
            </w:r>
            <w:r w:rsidR="00441359" w:rsidRPr="00AA2C93">
              <w:rPr>
                <w:rFonts w:ascii="Times New Roman" w:hAnsi="Times New Roman"/>
                <w:sz w:val="26"/>
                <w:szCs w:val="26"/>
              </w:rPr>
              <w:t xml:space="preserve">  </w:t>
            </w:r>
            <w:r w:rsidRPr="00AA2C93">
              <w:rPr>
                <w:rFonts w:ascii="Times New Roman" w:hAnsi="Times New Roman"/>
                <w:sz w:val="26"/>
                <w:szCs w:val="26"/>
              </w:rPr>
              <w:t xml:space="preserve">PVN </w:t>
            </w:r>
            <w:r w:rsidR="00441359" w:rsidRPr="00AA2C93">
              <w:rPr>
                <w:rFonts w:ascii="Times New Roman" w:hAnsi="Times New Roman"/>
                <w:sz w:val="26"/>
                <w:szCs w:val="26"/>
              </w:rPr>
              <w:t xml:space="preserve"> kontroles pasākumu veikšanai, </w:t>
            </w:r>
            <w:r w:rsidRPr="00AA2C93">
              <w:rPr>
                <w:rFonts w:ascii="Times New Roman" w:eastAsiaTheme="minorHAnsi" w:hAnsi="Times New Roman"/>
                <w:sz w:val="26"/>
                <w:szCs w:val="26"/>
              </w:rPr>
              <w:t xml:space="preserve">īpašā PVN piemērošanas režīma darbības </w:t>
            </w:r>
            <w:r w:rsidR="00441359" w:rsidRPr="00AA2C93">
              <w:rPr>
                <w:rFonts w:ascii="Times New Roman" w:hAnsi="Times New Roman"/>
                <w:sz w:val="26"/>
                <w:szCs w:val="26"/>
              </w:rPr>
              <w:t>efektivitātes izvērtēšanas nolūkiem</w:t>
            </w:r>
            <w:r w:rsidR="00A405BC" w:rsidRPr="00AA2C93">
              <w:rPr>
                <w:rFonts w:ascii="Times New Roman" w:hAnsi="Times New Roman"/>
                <w:sz w:val="26"/>
                <w:szCs w:val="26"/>
              </w:rPr>
              <w:t>,</w:t>
            </w:r>
            <w:r w:rsidR="00441359" w:rsidRPr="00AA2C93">
              <w:rPr>
                <w:rFonts w:ascii="Times New Roman" w:hAnsi="Times New Roman"/>
                <w:sz w:val="26"/>
                <w:szCs w:val="26"/>
              </w:rPr>
              <w:t xml:space="preserve"> </w:t>
            </w:r>
            <w:r w:rsidRPr="00AA2C93">
              <w:rPr>
                <w:rFonts w:ascii="Times New Roman" w:hAnsi="Times New Roman"/>
                <w:sz w:val="26"/>
                <w:szCs w:val="26"/>
              </w:rPr>
              <w:t xml:space="preserve">tiek noteikts atsevišķs kods </w:t>
            </w:r>
            <w:r w:rsidRPr="00AA2C93">
              <w:rPr>
                <w:rFonts w:ascii="Times New Roman" w:hAnsi="Times New Roman"/>
                <w:sz w:val="26"/>
                <w:szCs w:val="26"/>
                <w:lang w:eastAsia="lv-LV"/>
              </w:rPr>
              <w:t>“R9”</w:t>
            </w:r>
            <w:r w:rsidR="00D13273">
              <w:rPr>
                <w:rFonts w:ascii="Times New Roman" w:hAnsi="Times New Roman"/>
                <w:sz w:val="26"/>
                <w:szCs w:val="26"/>
                <w:lang w:eastAsia="lv-LV"/>
              </w:rPr>
              <w:t>.</w:t>
            </w:r>
            <w:r w:rsidRPr="00AA2C93">
              <w:rPr>
                <w:rFonts w:ascii="Times New Roman" w:hAnsi="Times New Roman"/>
                <w:sz w:val="26"/>
                <w:szCs w:val="26"/>
                <w:lang w:eastAsia="lv-LV"/>
              </w:rPr>
              <w:t xml:space="preserve"> </w:t>
            </w:r>
            <w:r w:rsidR="00333389">
              <w:rPr>
                <w:rFonts w:ascii="Times New Roman" w:hAnsi="Times New Roman"/>
                <w:sz w:val="26"/>
                <w:szCs w:val="26"/>
                <w:lang w:eastAsia="lv-LV"/>
              </w:rPr>
              <w:t xml:space="preserve">Piemēram, </w:t>
            </w:r>
            <w:r w:rsidR="00333389">
              <w:rPr>
                <w:rFonts w:ascii="Times New Roman" w:hAnsi="Times New Roman"/>
                <w:sz w:val="26"/>
                <w:szCs w:val="26"/>
              </w:rPr>
              <w:t>j</w:t>
            </w:r>
            <w:r>
              <w:rPr>
                <w:rFonts w:ascii="Times New Roman" w:hAnsi="Times New Roman"/>
                <w:sz w:val="26"/>
                <w:szCs w:val="26"/>
              </w:rPr>
              <w:t>a reģistrēts PVN maksātājs iegādājas metāla caurules tālākai pārdošanai, tad</w:t>
            </w:r>
            <w:r w:rsidR="00D13273">
              <w:rPr>
                <w:rFonts w:ascii="Times New Roman" w:hAnsi="Times New Roman"/>
                <w:sz w:val="26"/>
                <w:szCs w:val="26"/>
              </w:rPr>
              <w:t>,</w:t>
            </w:r>
            <w:r>
              <w:rPr>
                <w:rFonts w:ascii="Times New Roman" w:hAnsi="Times New Roman"/>
                <w:sz w:val="26"/>
                <w:szCs w:val="26"/>
              </w:rPr>
              <w:t xml:space="preserve"> atšifrējot darījumu PVN deklarācijas </w:t>
            </w:r>
            <w:r w:rsidR="00D13273">
              <w:rPr>
                <w:rFonts w:ascii="Times New Roman" w:hAnsi="Times New Roman"/>
                <w:sz w:val="26"/>
                <w:szCs w:val="26"/>
              </w:rPr>
              <w:t xml:space="preserve">PVN1 pārskata I daļā </w:t>
            </w:r>
            <w:r w:rsidR="00052F5D">
              <w:rPr>
                <w:rFonts w:ascii="Times New Roman" w:hAnsi="Times New Roman"/>
                <w:sz w:val="26"/>
                <w:szCs w:val="26"/>
              </w:rPr>
              <w:t>jānorāda kods “R7”. Savukārt, ja metāla caurule</w:t>
            </w:r>
            <w:r w:rsidR="00DD0580">
              <w:rPr>
                <w:rFonts w:ascii="Times New Roman" w:hAnsi="Times New Roman"/>
                <w:sz w:val="26"/>
                <w:szCs w:val="26"/>
              </w:rPr>
              <w:t>s</w:t>
            </w:r>
            <w:r w:rsidR="00052F5D">
              <w:rPr>
                <w:rFonts w:ascii="Times New Roman" w:hAnsi="Times New Roman"/>
                <w:sz w:val="26"/>
                <w:szCs w:val="26"/>
              </w:rPr>
              <w:t xml:space="preserve"> tiek iegādātas </w:t>
            </w:r>
            <w:r w:rsidR="00DD0580">
              <w:rPr>
                <w:rFonts w:ascii="Times New Roman" w:hAnsi="Times New Roman"/>
                <w:sz w:val="26"/>
                <w:szCs w:val="26"/>
              </w:rPr>
              <w:t>iestrādāšanai būvē, tad darījums PVN deklarācijas PVN1 pārskata I daļā jānorāda ar kodu “R9”.</w:t>
            </w:r>
          </w:p>
          <w:p w14:paraId="28D03A02" w14:textId="1D42C728" w:rsidR="00B300FC" w:rsidRDefault="00653DEA" w:rsidP="004F3D84">
            <w:pPr>
              <w:jc w:val="both"/>
              <w:rPr>
                <w:sz w:val="26"/>
                <w:szCs w:val="26"/>
              </w:rPr>
            </w:pPr>
            <w:r>
              <w:rPr>
                <w:sz w:val="26"/>
                <w:szCs w:val="26"/>
              </w:rPr>
              <w:t>J</w:t>
            </w:r>
            <w:r w:rsidRPr="00421589">
              <w:rPr>
                <w:sz w:val="26"/>
                <w:szCs w:val="26"/>
              </w:rPr>
              <w:t xml:space="preserve">a brīdis, kad veikta </w:t>
            </w:r>
            <w:r>
              <w:rPr>
                <w:rFonts w:eastAsia="Times New Roman"/>
                <w:color w:val="000000"/>
                <w:sz w:val="26"/>
                <w:szCs w:val="26"/>
                <w:lang w:eastAsia="lv-LV"/>
              </w:rPr>
              <w:t xml:space="preserve">preču piegāde </w:t>
            </w:r>
            <w:r w:rsidRPr="000F15DF">
              <w:rPr>
                <w:rFonts w:eastAsia="Times New Roman"/>
                <w:color w:val="000000"/>
                <w:sz w:val="26"/>
                <w:szCs w:val="26"/>
                <w:lang w:eastAsia="lv-LV"/>
              </w:rPr>
              <w:t>vai</w:t>
            </w:r>
            <w:r>
              <w:rPr>
                <w:rFonts w:eastAsia="Times New Roman"/>
                <w:color w:val="000000"/>
                <w:sz w:val="26"/>
                <w:szCs w:val="26"/>
                <w:lang w:eastAsia="lv-LV"/>
              </w:rPr>
              <w:t xml:space="preserve"> </w:t>
            </w:r>
            <w:r w:rsidRPr="00421589">
              <w:rPr>
                <w:rFonts w:eastAsia="Times New Roman"/>
                <w:color w:val="000000"/>
                <w:sz w:val="26"/>
                <w:szCs w:val="26"/>
                <w:lang w:eastAsia="lv-LV"/>
              </w:rPr>
              <w:t xml:space="preserve">sniegts pakalpojums un izrakstīts </w:t>
            </w:r>
            <w:r w:rsidR="003A7D4F">
              <w:rPr>
                <w:rFonts w:eastAsia="Times New Roman"/>
                <w:color w:val="000000"/>
                <w:sz w:val="26"/>
                <w:szCs w:val="26"/>
                <w:lang w:eastAsia="lv-LV"/>
              </w:rPr>
              <w:t>PVN</w:t>
            </w:r>
            <w:r w:rsidRPr="00421589">
              <w:rPr>
                <w:rFonts w:eastAsia="Times New Roman"/>
                <w:color w:val="000000"/>
                <w:sz w:val="26"/>
                <w:szCs w:val="26"/>
                <w:lang w:eastAsia="lv-LV"/>
              </w:rPr>
              <w:t xml:space="preserve"> rēķins (vai iestājies </w:t>
            </w:r>
            <w:r w:rsidR="00B358AF">
              <w:rPr>
                <w:rFonts w:eastAsia="Times New Roman"/>
                <w:color w:val="000000"/>
                <w:sz w:val="26"/>
                <w:szCs w:val="26"/>
                <w:lang w:eastAsia="lv-LV"/>
              </w:rPr>
              <w:t>PVN</w:t>
            </w:r>
            <w:r w:rsidRPr="00421589">
              <w:rPr>
                <w:rFonts w:eastAsia="Times New Roman"/>
                <w:color w:val="000000"/>
                <w:sz w:val="26"/>
                <w:szCs w:val="26"/>
                <w:lang w:eastAsia="lv-LV"/>
              </w:rPr>
              <w:t xml:space="preserve"> rēķina izrakstīšanas termiņš), vai saņemta atlīdzība saskaņā ar </w:t>
            </w:r>
            <w:r w:rsidR="00B358AF">
              <w:rPr>
                <w:rFonts w:eastAsia="Times New Roman"/>
                <w:color w:val="000000"/>
                <w:sz w:val="26"/>
                <w:szCs w:val="26"/>
                <w:lang w:eastAsia="lv-LV"/>
              </w:rPr>
              <w:t>PVN</w:t>
            </w:r>
            <w:r w:rsidRPr="00421589">
              <w:rPr>
                <w:rFonts w:eastAsia="Times New Roman"/>
                <w:color w:val="000000"/>
                <w:sz w:val="26"/>
                <w:szCs w:val="26"/>
                <w:lang w:eastAsia="lv-LV"/>
              </w:rPr>
              <w:t xml:space="preserve"> rēķinu,</w:t>
            </w:r>
            <w:r w:rsidRPr="00421589">
              <w:rPr>
                <w:sz w:val="26"/>
                <w:szCs w:val="26"/>
              </w:rPr>
              <w:t xml:space="preserve"> ir, sākot no 2018.gada 1.janvāra</w:t>
            </w:r>
            <w:r>
              <w:rPr>
                <w:sz w:val="26"/>
                <w:szCs w:val="26"/>
              </w:rPr>
              <w:t>,</w:t>
            </w:r>
            <w:r w:rsidRPr="00421589">
              <w:rPr>
                <w:sz w:val="26"/>
                <w:szCs w:val="26"/>
              </w:rPr>
              <w:t xml:space="preserve"> PVN maksātāji, kuriem taksācijas periods ir mēnesis vai ceturksnis, Pievienotās vērtības nodokļa likuma 143.</w:t>
            </w:r>
            <w:r w:rsidRPr="00421589">
              <w:rPr>
                <w:sz w:val="26"/>
                <w:szCs w:val="26"/>
                <w:vertAlign w:val="superscript"/>
              </w:rPr>
              <w:t xml:space="preserve">4 </w:t>
            </w:r>
            <w:r w:rsidRPr="00421589">
              <w:rPr>
                <w:sz w:val="26"/>
                <w:szCs w:val="26"/>
              </w:rPr>
              <w:t>un 143.</w:t>
            </w:r>
            <w:r w:rsidRPr="00421589">
              <w:rPr>
                <w:sz w:val="26"/>
                <w:szCs w:val="26"/>
                <w:vertAlign w:val="superscript"/>
              </w:rPr>
              <w:t>5</w:t>
            </w:r>
            <w:r w:rsidRPr="00421589">
              <w:rPr>
                <w:sz w:val="26"/>
                <w:szCs w:val="26"/>
              </w:rPr>
              <w:t>pantā minēt</w:t>
            </w:r>
            <w:r>
              <w:rPr>
                <w:sz w:val="26"/>
                <w:szCs w:val="26"/>
              </w:rPr>
              <w:t>os</w:t>
            </w:r>
            <w:r w:rsidRPr="00421589">
              <w:rPr>
                <w:sz w:val="26"/>
                <w:szCs w:val="26"/>
              </w:rPr>
              <w:t xml:space="preserve"> darījum</w:t>
            </w:r>
            <w:r>
              <w:rPr>
                <w:sz w:val="26"/>
                <w:szCs w:val="26"/>
              </w:rPr>
              <w:t>us</w:t>
            </w:r>
            <w:r w:rsidRPr="00421589">
              <w:rPr>
                <w:sz w:val="26"/>
                <w:szCs w:val="26"/>
              </w:rPr>
              <w:t>, 142.pantā minētās būvizstrādājumu piegādes PVN deklarācijā norāda, lietojot attiecīgi kodus “R7”, “R8” un “R9”</w:t>
            </w:r>
            <w:r>
              <w:rPr>
                <w:sz w:val="26"/>
                <w:szCs w:val="26"/>
              </w:rPr>
              <w:t>.</w:t>
            </w:r>
          </w:p>
          <w:p w14:paraId="47F181D3" w14:textId="537983B7" w:rsidR="004F3D84" w:rsidRPr="00421589" w:rsidRDefault="00653DEA" w:rsidP="004F3D84">
            <w:pPr>
              <w:jc w:val="both"/>
              <w:rPr>
                <w:sz w:val="26"/>
                <w:szCs w:val="26"/>
              </w:rPr>
            </w:pPr>
            <w:r w:rsidRPr="00421589">
              <w:rPr>
                <w:sz w:val="26"/>
                <w:szCs w:val="26"/>
              </w:rPr>
              <w:t xml:space="preserve">Savukārt, ja brīdis, kad veikta </w:t>
            </w:r>
            <w:r w:rsidRPr="00421589">
              <w:rPr>
                <w:rFonts w:eastAsia="Times New Roman"/>
                <w:color w:val="000000"/>
                <w:sz w:val="26"/>
                <w:szCs w:val="26"/>
                <w:lang w:eastAsia="lv-LV"/>
              </w:rPr>
              <w:t>preču piegāde</w:t>
            </w:r>
            <w:r>
              <w:rPr>
                <w:rFonts w:eastAsia="Times New Roman"/>
                <w:color w:val="000000"/>
                <w:sz w:val="26"/>
                <w:szCs w:val="26"/>
                <w:lang w:eastAsia="lv-LV"/>
              </w:rPr>
              <w:t xml:space="preserve"> </w:t>
            </w:r>
            <w:r w:rsidRPr="00C133FE">
              <w:rPr>
                <w:rFonts w:eastAsia="Times New Roman"/>
                <w:color w:val="000000"/>
                <w:sz w:val="26"/>
                <w:szCs w:val="26"/>
                <w:lang w:eastAsia="lv-LV"/>
              </w:rPr>
              <w:t>vai</w:t>
            </w:r>
            <w:r w:rsidRPr="00421589">
              <w:rPr>
                <w:rFonts w:eastAsia="Times New Roman"/>
                <w:color w:val="000000"/>
                <w:sz w:val="26"/>
                <w:szCs w:val="26"/>
                <w:lang w:eastAsia="lv-LV"/>
              </w:rPr>
              <w:t xml:space="preserve"> sniegts pakalpojums un izrakstīts </w:t>
            </w:r>
            <w:r w:rsidR="00B358AF">
              <w:rPr>
                <w:rFonts w:eastAsia="Times New Roman"/>
                <w:color w:val="000000"/>
                <w:sz w:val="26"/>
                <w:szCs w:val="26"/>
                <w:lang w:eastAsia="lv-LV"/>
              </w:rPr>
              <w:t>PVN</w:t>
            </w:r>
            <w:r w:rsidRPr="00421589">
              <w:rPr>
                <w:rFonts w:eastAsia="Times New Roman"/>
                <w:color w:val="000000"/>
                <w:sz w:val="26"/>
                <w:szCs w:val="26"/>
                <w:lang w:eastAsia="lv-LV"/>
              </w:rPr>
              <w:t xml:space="preserve"> rēķins (vai iestājies </w:t>
            </w:r>
            <w:r w:rsidR="00B358AF">
              <w:rPr>
                <w:rFonts w:eastAsia="Times New Roman"/>
                <w:color w:val="000000"/>
                <w:sz w:val="26"/>
                <w:szCs w:val="26"/>
                <w:lang w:eastAsia="lv-LV"/>
              </w:rPr>
              <w:t>PVN</w:t>
            </w:r>
            <w:r w:rsidRPr="00421589">
              <w:rPr>
                <w:rFonts w:eastAsia="Times New Roman"/>
                <w:color w:val="000000"/>
                <w:sz w:val="26"/>
                <w:szCs w:val="26"/>
                <w:lang w:eastAsia="lv-LV"/>
              </w:rPr>
              <w:t xml:space="preserve"> rēķina izrakstīšanas termiņš), vai saņemta atlīdzība saskaņā ar </w:t>
            </w:r>
            <w:r w:rsidR="00B358AF">
              <w:rPr>
                <w:rFonts w:eastAsia="Times New Roman"/>
                <w:color w:val="000000"/>
                <w:sz w:val="26"/>
                <w:szCs w:val="26"/>
                <w:lang w:eastAsia="lv-LV"/>
              </w:rPr>
              <w:t>PVN</w:t>
            </w:r>
            <w:r w:rsidRPr="00421589">
              <w:rPr>
                <w:rFonts w:eastAsia="Times New Roman"/>
                <w:color w:val="000000"/>
                <w:sz w:val="26"/>
                <w:szCs w:val="26"/>
                <w:lang w:eastAsia="lv-LV"/>
              </w:rPr>
              <w:t xml:space="preserve"> rēķinu,</w:t>
            </w:r>
            <w:r w:rsidRPr="00421589">
              <w:rPr>
                <w:sz w:val="26"/>
                <w:szCs w:val="26"/>
              </w:rPr>
              <w:t xml:space="preserve"> ir līdz 201</w:t>
            </w:r>
            <w:r w:rsidR="00FB7721">
              <w:rPr>
                <w:sz w:val="26"/>
                <w:szCs w:val="26"/>
              </w:rPr>
              <w:t>7</w:t>
            </w:r>
            <w:r w:rsidRPr="00421589">
              <w:rPr>
                <w:sz w:val="26"/>
                <w:szCs w:val="26"/>
              </w:rPr>
              <w:t xml:space="preserve">.gada </w:t>
            </w:r>
            <w:r w:rsidR="00FB7721">
              <w:rPr>
                <w:sz w:val="26"/>
                <w:szCs w:val="26"/>
              </w:rPr>
              <w:t>3</w:t>
            </w:r>
            <w:r w:rsidRPr="00421589">
              <w:rPr>
                <w:sz w:val="26"/>
                <w:szCs w:val="26"/>
              </w:rPr>
              <w:t>1.</w:t>
            </w:r>
            <w:r w:rsidR="00FB7721">
              <w:rPr>
                <w:sz w:val="26"/>
                <w:szCs w:val="26"/>
              </w:rPr>
              <w:t>decemb</w:t>
            </w:r>
            <w:r w:rsidRPr="00421589">
              <w:rPr>
                <w:sz w:val="26"/>
                <w:szCs w:val="26"/>
              </w:rPr>
              <w:t>rim, PVN deklarācijā 143.</w:t>
            </w:r>
            <w:r w:rsidRPr="00421589">
              <w:rPr>
                <w:sz w:val="26"/>
                <w:szCs w:val="26"/>
                <w:vertAlign w:val="superscript"/>
              </w:rPr>
              <w:t xml:space="preserve">4 </w:t>
            </w:r>
            <w:r w:rsidRPr="00421589">
              <w:rPr>
                <w:sz w:val="26"/>
                <w:szCs w:val="26"/>
              </w:rPr>
              <w:t>un 143.</w:t>
            </w:r>
            <w:r w:rsidRPr="00421589">
              <w:rPr>
                <w:sz w:val="26"/>
                <w:szCs w:val="26"/>
                <w:vertAlign w:val="superscript"/>
              </w:rPr>
              <w:t>5</w:t>
            </w:r>
            <w:r w:rsidRPr="00421589">
              <w:rPr>
                <w:sz w:val="26"/>
                <w:szCs w:val="26"/>
              </w:rPr>
              <w:t>pantā minēt</w:t>
            </w:r>
            <w:r>
              <w:rPr>
                <w:sz w:val="26"/>
                <w:szCs w:val="26"/>
              </w:rPr>
              <w:t>os</w:t>
            </w:r>
            <w:r w:rsidRPr="00421589">
              <w:rPr>
                <w:sz w:val="26"/>
                <w:szCs w:val="26"/>
              </w:rPr>
              <w:t xml:space="preserve"> darījum</w:t>
            </w:r>
            <w:r>
              <w:rPr>
                <w:sz w:val="26"/>
                <w:szCs w:val="26"/>
              </w:rPr>
              <w:t>us</w:t>
            </w:r>
            <w:r w:rsidRPr="00421589">
              <w:rPr>
                <w:sz w:val="26"/>
                <w:szCs w:val="26"/>
              </w:rPr>
              <w:t xml:space="preserve">, 142.pantā minētās būvizstrādājumu piegādes </w:t>
            </w:r>
            <w:r>
              <w:rPr>
                <w:sz w:val="26"/>
                <w:szCs w:val="26"/>
              </w:rPr>
              <w:t xml:space="preserve">PVN maksātāji </w:t>
            </w:r>
            <w:r w:rsidRPr="00421589">
              <w:rPr>
                <w:sz w:val="26"/>
                <w:szCs w:val="26"/>
              </w:rPr>
              <w:t>norāda pēc kārtības, kas ir spēkā līdz iepriekš minētajam datumam (proti, nepiemērojot PVN apgriezto maksāšanas kārtību).</w:t>
            </w:r>
          </w:p>
          <w:p w14:paraId="6C8EB854" w14:textId="77777777" w:rsidR="004F3D84" w:rsidRPr="00421589" w:rsidRDefault="00972FB0" w:rsidP="004F3D84">
            <w:pPr>
              <w:pStyle w:val="CommentText"/>
              <w:jc w:val="both"/>
              <w:rPr>
                <w:rFonts w:ascii="Times New Roman" w:hAnsi="Times New Roman"/>
                <w:sz w:val="26"/>
                <w:szCs w:val="26"/>
              </w:rPr>
            </w:pPr>
          </w:p>
          <w:p w14:paraId="0BA5ED53" w14:textId="03B80047" w:rsidR="006E05C8" w:rsidRPr="00B63E09" w:rsidRDefault="00653DEA" w:rsidP="00C023F9">
            <w:pPr>
              <w:pStyle w:val="CommentText"/>
              <w:jc w:val="both"/>
              <w:rPr>
                <w:rFonts w:ascii="Times New Roman" w:hAnsi="Times New Roman"/>
                <w:sz w:val="26"/>
                <w:szCs w:val="26"/>
              </w:rPr>
            </w:pPr>
            <w:r w:rsidRPr="00AB74F8">
              <w:rPr>
                <w:rFonts w:ascii="Times New Roman" w:hAnsi="Times New Roman"/>
                <w:sz w:val="26"/>
                <w:szCs w:val="26"/>
              </w:rPr>
              <w:t>2. Ar 2017.gada 27.jūlija grozījumiem Pievienotās vērtības nodokļa likumā ar 2018.gada 1.janvāri</w:t>
            </w:r>
            <w:r w:rsidRPr="00983AAD">
              <w:rPr>
                <w:rFonts w:ascii="Times New Roman" w:hAnsi="Times New Roman"/>
                <w:sz w:val="26"/>
                <w:szCs w:val="26"/>
              </w:rPr>
              <w:t xml:space="preserve"> ir </w:t>
            </w:r>
            <w:r w:rsidRPr="00983AAD">
              <w:rPr>
                <w:rFonts w:ascii="Times New Roman" w:hAnsi="Times New Roman"/>
                <w:sz w:val="26"/>
                <w:szCs w:val="26"/>
              </w:rPr>
              <w:lastRenderedPageBreak/>
              <w:t>samazināta</w:t>
            </w:r>
            <w:r w:rsidRPr="00AB74F8">
              <w:rPr>
                <w:rFonts w:ascii="Times New Roman" w:hAnsi="Times New Roman"/>
                <w:sz w:val="26"/>
                <w:szCs w:val="26"/>
              </w:rPr>
              <w:t xml:space="preserve"> iekšzemes PVN </w:t>
            </w:r>
            <w:r w:rsidRPr="00F3725B">
              <w:rPr>
                <w:rFonts w:ascii="Times New Roman" w:hAnsi="Times New Roman"/>
                <w:sz w:val="26"/>
                <w:szCs w:val="26"/>
              </w:rPr>
              <w:t>maksātā</w:t>
            </w:r>
            <w:r w:rsidRPr="00983AAD">
              <w:rPr>
                <w:rFonts w:ascii="Times New Roman" w:hAnsi="Times New Roman"/>
                <w:sz w:val="26"/>
                <w:szCs w:val="26"/>
              </w:rPr>
              <w:t>ja</w:t>
            </w:r>
            <w:r w:rsidRPr="00AB74F8">
              <w:rPr>
                <w:rFonts w:ascii="Times New Roman" w:hAnsi="Times New Roman"/>
                <w:sz w:val="26"/>
                <w:szCs w:val="26"/>
              </w:rPr>
              <w:t xml:space="preserve"> </w:t>
            </w:r>
            <w:r w:rsidRPr="00983AAD">
              <w:rPr>
                <w:rFonts w:ascii="Times New Roman" w:hAnsi="Times New Roman"/>
                <w:sz w:val="26"/>
                <w:szCs w:val="26"/>
              </w:rPr>
              <w:t xml:space="preserve">reģistrācijas robežvērtība, proti, </w:t>
            </w:r>
            <w:r w:rsidRPr="00AB74F8">
              <w:rPr>
                <w:rFonts w:ascii="Times New Roman" w:hAnsi="Times New Roman"/>
                <w:sz w:val="26"/>
                <w:szCs w:val="26"/>
              </w:rPr>
              <w:t>iekšzemes PVN maksātājs</w:t>
            </w:r>
            <w:r w:rsidRPr="00F3725B">
              <w:rPr>
                <w:rFonts w:ascii="Times New Roman" w:hAnsi="Times New Roman"/>
                <w:sz w:val="26"/>
                <w:szCs w:val="26"/>
              </w:rPr>
              <w:t xml:space="preserve"> ir</w:t>
            </w:r>
            <w:r w:rsidRPr="00434B6C">
              <w:rPr>
                <w:rFonts w:ascii="Times New Roman" w:hAnsi="Times New Roman"/>
                <w:sz w:val="26"/>
                <w:szCs w:val="26"/>
              </w:rPr>
              <w:t xml:space="preserve"> tiesīgs </w:t>
            </w:r>
            <w:r w:rsidRPr="00983AAD">
              <w:rPr>
                <w:rFonts w:ascii="Times New Roman" w:eastAsia="Times New Roman" w:hAnsi="Times New Roman"/>
                <w:sz w:val="26"/>
                <w:szCs w:val="26"/>
                <w:lang w:eastAsia="lv-LV"/>
              </w:rPr>
              <w:t>nereģistrēties Valsts ieņēmumu dienesta PVN maksātāju reģistrā, ja tā veikto ar PVN apliekamo preču piegāžu un sniegto pakalpojumu kopējā vērtība iepriekšējo 12 mēnešu laikā nav pārsniegusi 40 000 </w:t>
            </w:r>
            <w:r w:rsidRPr="00983AAD">
              <w:rPr>
                <w:rFonts w:ascii="Times New Roman" w:eastAsia="Times New Roman" w:hAnsi="Times New Roman"/>
                <w:i/>
                <w:sz w:val="26"/>
                <w:szCs w:val="26"/>
                <w:lang w:eastAsia="lv-LV"/>
              </w:rPr>
              <w:t>euro</w:t>
            </w:r>
            <w:r w:rsidRPr="00AB74F8">
              <w:rPr>
                <w:rFonts w:ascii="Times New Roman" w:eastAsia="Times New Roman" w:hAnsi="Times New Roman"/>
                <w:sz w:val="26"/>
                <w:szCs w:val="26"/>
                <w:lang w:eastAsia="lv-LV"/>
              </w:rPr>
              <w:t xml:space="preserve"> </w:t>
            </w:r>
            <w:r w:rsidRPr="00F3725B">
              <w:rPr>
                <w:rFonts w:ascii="Times New Roman" w:hAnsi="Times New Roman"/>
                <w:sz w:val="26"/>
                <w:szCs w:val="26"/>
              </w:rPr>
              <w:t>iepriekšējo 50</w:t>
            </w:r>
            <w:r w:rsidR="00333389">
              <w:rPr>
                <w:rFonts w:ascii="Times New Roman" w:hAnsi="Times New Roman"/>
                <w:sz w:val="26"/>
                <w:szCs w:val="26"/>
              </w:rPr>
              <w:t xml:space="preserve"> </w:t>
            </w:r>
            <w:r w:rsidRPr="00F3725B">
              <w:rPr>
                <w:rFonts w:ascii="Times New Roman" w:hAnsi="Times New Roman"/>
                <w:sz w:val="26"/>
                <w:szCs w:val="26"/>
              </w:rPr>
              <w:t xml:space="preserve">000 </w:t>
            </w:r>
            <w:r w:rsidRPr="00983AAD">
              <w:rPr>
                <w:rFonts w:ascii="Times New Roman" w:hAnsi="Times New Roman"/>
                <w:i/>
                <w:sz w:val="26"/>
                <w:szCs w:val="26"/>
              </w:rPr>
              <w:t>euro</w:t>
            </w:r>
            <w:r w:rsidRPr="00AB74F8">
              <w:rPr>
                <w:rFonts w:ascii="Times New Roman" w:hAnsi="Times New Roman"/>
                <w:sz w:val="26"/>
                <w:szCs w:val="26"/>
              </w:rPr>
              <w:t xml:space="preserve"> vietā.</w:t>
            </w:r>
            <w:r w:rsidR="00A04840">
              <w:rPr>
                <w:rFonts w:ascii="Times New Roman" w:hAnsi="Times New Roman"/>
                <w:sz w:val="26"/>
                <w:szCs w:val="26"/>
              </w:rPr>
              <w:t xml:space="preserve"> </w:t>
            </w:r>
            <w:r w:rsidR="00A04840" w:rsidRPr="00A405BC">
              <w:rPr>
                <w:rFonts w:ascii="Times New Roman" w:hAnsi="Times New Roman"/>
                <w:sz w:val="26"/>
                <w:szCs w:val="26"/>
              </w:rPr>
              <w:t xml:space="preserve">Tādējādi </w:t>
            </w:r>
            <w:r w:rsidR="00A405BC" w:rsidRPr="00A405BC">
              <w:rPr>
                <w:rFonts w:ascii="Times New Roman" w:hAnsi="Times New Roman"/>
                <w:sz w:val="26"/>
                <w:szCs w:val="26"/>
              </w:rPr>
              <w:t>ar groz</w:t>
            </w:r>
            <w:r w:rsidR="00A405BC" w:rsidRPr="00B63E09">
              <w:rPr>
                <w:rFonts w:ascii="Times New Roman" w:hAnsi="Times New Roman"/>
                <w:sz w:val="26"/>
                <w:szCs w:val="26"/>
              </w:rPr>
              <w:t>ījumiem</w:t>
            </w:r>
            <w:r w:rsidR="00A04840" w:rsidRPr="00B63E09">
              <w:rPr>
                <w:rFonts w:ascii="Times New Roman" w:hAnsi="Times New Roman"/>
                <w:sz w:val="26"/>
                <w:szCs w:val="26"/>
              </w:rPr>
              <w:t xml:space="preserve"> </w:t>
            </w:r>
            <w:r w:rsidR="00A405BC" w:rsidRPr="00AA2C93">
              <w:rPr>
                <w:rFonts w:ascii="Times New Roman" w:hAnsi="Times New Roman"/>
                <w:sz w:val="26"/>
                <w:szCs w:val="26"/>
              </w:rPr>
              <w:t xml:space="preserve">Ministru kabineta 2013.gada 15.janvāra noteikumos Nr.40 </w:t>
            </w:r>
            <w:r w:rsidR="00A04840" w:rsidRPr="00A405BC">
              <w:rPr>
                <w:rFonts w:ascii="Times New Roman" w:hAnsi="Times New Roman"/>
                <w:sz w:val="26"/>
                <w:szCs w:val="26"/>
              </w:rPr>
              <w:t>paredz</w:t>
            </w:r>
            <w:r w:rsidR="00A405BC" w:rsidRPr="00A405BC">
              <w:rPr>
                <w:rFonts w:ascii="Times New Roman" w:hAnsi="Times New Roman"/>
                <w:sz w:val="26"/>
                <w:szCs w:val="26"/>
              </w:rPr>
              <w:t>ēts</w:t>
            </w:r>
            <w:r w:rsidR="00A04840" w:rsidRPr="00A405BC">
              <w:rPr>
                <w:rFonts w:ascii="Times New Roman" w:hAnsi="Times New Roman"/>
                <w:sz w:val="26"/>
                <w:szCs w:val="26"/>
              </w:rPr>
              <w:t xml:space="preserve"> nomain</w:t>
            </w:r>
            <w:r w:rsidR="00A04840" w:rsidRPr="00B63E09">
              <w:rPr>
                <w:rFonts w:ascii="Times New Roman" w:hAnsi="Times New Roman"/>
                <w:sz w:val="26"/>
                <w:szCs w:val="26"/>
              </w:rPr>
              <w:t xml:space="preserve">īt </w:t>
            </w:r>
            <w:r w:rsidRPr="00B63E09">
              <w:rPr>
                <w:rFonts w:ascii="Times New Roman" w:hAnsi="Times New Roman"/>
                <w:sz w:val="26"/>
                <w:szCs w:val="26"/>
              </w:rPr>
              <w:t xml:space="preserve"> </w:t>
            </w:r>
            <w:r w:rsidR="00A04840" w:rsidRPr="00B63E09">
              <w:rPr>
                <w:rFonts w:ascii="Times New Roman" w:hAnsi="Times New Roman"/>
                <w:sz w:val="26"/>
                <w:szCs w:val="26"/>
              </w:rPr>
              <w:t xml:space="preserve">iekšzemes PVN maksātāja </w:t>
            </w:r>
            <w:r w:rsidR="00A04840" w:rsidRPr="00A405BC">
              <w:rPr>
                <w:rFonts w:ascii="Times New Roman" w:hAnsi="Times New Roman"/>
                <w:sz w:val="26"/>
                <w:szCs w:val="26"/>
              </w:rPr>
              <w:t>reģistrācijas VID PVN maksātāju reģistrā robežvērtības skaitli 50</w:t>
            </w:r>
            <w:r w:rsidR="00333389">
              <w:rPr>
                <w:rFonts w:ascii="Times New Roman" w:hAnsi="Times New Roman"/>
                <w:sz w:val="26"/>
                <w:szCs w:val="26"/>
              </w:rPr>
              <w:t xml:space="preserve"> </w:t>
            </w:r>
            <w:r w:rsidR="00A04840" w:rsidRPr="00A405BC">
              <w:rPr>
                <w:rFonts w:ascii="Times New Roman" w:hAnsi="Times New Roman"/>
                <w:sz w:val="26"/>
                <w:szCs w:val="26"/>
              </w:rPr>
              <w:t xml:space="preserve">000 </w:t>
            </w:r>
            <w:r w:rsidR="00A04840" w:rsidRPr="00A405BC">
              <w:rPr>
                <w:rFonts w:ascii="Times New Roman" w:hAnsi="Times New Roman"/>
                <w:i/>
                <w:sz w:val="26"/>
                <w:szCs w:val="26"/>
              </w:rPr>
              <w:t xml:space="preserve">euro </w:t>
            </w:r>
            <w:r w:rsidR="0058305E" w:rsidRPr="00AA2C93">
              <w:rPr>
                <w:rFonts w:ascii="Times New Roman" w:hAnsi="Times New Roman"/>
                <w:sz w:val="26"/>
                <w:szCs w:val="26"/>
              </w:rPr>
              <w:t>ar</w:t>
            </w:r>
            <w:r w:rsidR="0058305E" w:rsidRPr="00A405BC">
              <w:rPr>
                <w:rFonts w:ascii="Times New Roman" w:hAnsi="Times New Roman"/>
                <w:sz w:val="26"/>
                <w:szCs w:val="26"/>
              </w:rPr>
              <w:t xml:space="preserve"> </w:t>
            </w:r>
            <w:r w:rsidR="0058305E" w:rsidRPr="00A405BC">
              <w:rPr>
                <w:rFonts w:ascii="Times New Roman" w:eastAsia="Times New Roman" w:hAnsi="Times New Roman"/>
                <w:sz w:val="26"/>
                <w:szCs w:val="26"/>
                <w:lang w:eastAsia="lv-LV"/>
              </w:rPr>
              <w:t>40 000 </w:t>
            </w:r>
            <w:r w:rsidR="0058305E" w:rsidRPr="00A405BC">
              <w:rPr>
                <w:rFonts w:ascii="Times New Roman" w:eastAsia="Times New Roman" w:hAnsi="Times New Roman"/>
                <w:i/>
                <w:sz w:val="26"/>
                <w:szCs w:val="26"/>
                <w:lang w:eastAsia="lv-LV"/>
              </w:rPr>
              <w:t>euro</w:t>
            </w:r>
            <w:r w:rsidR="0058305E" w:rsidRPr="00B63E09">
              <w:rPr>
                <w:rFonts w:ascii="Times New Roman" w:eastAsia="Times New Roman" w:hAnsi="Times New Roman"/>
                <w:i/>
                <w:sz w:val="26"/>
                <w:szCs w:val="26"/>
                <w:lang w:eastAsia="lv-LV"/>
              </w:rPr>
              <w:t>.</w:t>
            </w:r>
          </w:p>
          <w:p w14:paraId="68EC0EE7" w14:textId="2AF11CC3" w:rsidR="004F77A8" w:rsidRPr="00983AAD" w:rsidRDefault="00972FB0" w:rsidP="00C023F9">
            <w:pPr>
              <w:pStyle w:val="CommentText"/>
              <w:jc w:val="both"/>
              <w:rPr>
                <w:rFonts w:ascii="Times New Roman" w:eastAsia="Times New Roman" w:hAnsi="Times New Roman"/>
                <w:sz w:val="26"/>
                <w:szCs w:val="26"/>
                <w:lang w:eastAsia="lv-LV"/>
              </w:rPr>
            </w:pPr>
          </w:p>
          <w:p w14:paraId="462828BD" w14:textId="72CCC6F9" w:rsidR="00C023F9" w:rsidRPr="00AB74F8" w:rsidRDefault="00653DEA" w:rsidP="004F3D84">
            <w:pPr>
              <w:jc w:val="both"/>
              <w:rPr>
                <w:sz w:val="26"/>
                <w:szCs w:val="26"/>
              </w:rPr>
            </w:pPr>
            <w:r w:rsidRPr="007015AC">
              <w:rPr>
                <w:sz w:val="26"/>
                <w:szCs w:val="26"/>
              </w:rPr>
              <w:t>Līdz ar to</w:t>
            </w:r>
            <w:r>
              <w:rPr>
                <w:sz w:val="26"/>
                <w:szCs w:val="26"/>
              </w:rPr>
              <w:t xml:space="preserve">, lai saskaņotu </w:t>
            </w:r>
            <w:r w:rsidRPr="00613F19">
              <w:rPr>
                <w:sz w:val="26"/>
                <w:szCs w:val="26"/>
              </w:rPr>
              <w:t>Ministru kabineta 2013.gada 15.janvāra noteikumu</w:t>
            </w:r>
            <w:r>
              <w:rPr>
                <w:sz w:val="26"/>
                <w:szCs w:val="26"/>
              </w:rPr>
              <w:t>s</w:t>
            </w:r>
            <w:r w:rsidRPr="00613F19">
              <w:rPr>
                <w:sz w:val="26"/>
                <w:szCs w:val="26"/>
              </w:rPr>
              <w:t xml:space="preserve"> Nr.40 ar grozījumiem Pievienotās vērtības nodokļa likumā</w:t>
            </w:r>
            <w:r>
              <w:rPr>
                <w:sz w:val="26"/>
                <w:szCs w:val="26"/>
              </w:rPr>
              <w:t>,</w:t>
            </w:r>
            <w:r w:rsidRPr="007015AC">
              <w:rPr>
                <w:sz w:val="26"/>
                <w:szCs w:val="26"/>
              </w:rPr>
              <w:t xml:space="preserve"> ir nepieciešams izdarīt </w:t>
            </w:r>
            <w:r>
              <w:rPr>
                <w:sz w:val="26"/>
                <w:szCs w:val="26"/>
              </w:rPr>
              <w:t>grozījumus</w:t>
            </w:r>
            <w:r w:rsidRPr="004F77A8">
              <w:rPr>
                <w:sz w:val="26"/>
                <w:szCs w:val="26"/>
              </w:rPr>
              <w:t xml:space="preserve"> Ministru kabineta 2013.gada 15.janvāra noteikumos Nr.40.</w:t>
            </w:r>
            <w:r w:rsidRPr="00AB74F8">
              <w:rPr>
                <w:sz w:val="26"/>
                <w:szCs w:val="26"/>
              </w:rPr>
              <w:t xml:space="preserve"> </w:t>
            </w:r>
          </w:p>
          <w:p w14:paraId="38F568DF" w14:textId="2F2C8788" w:rsidR="007334B9" w:rsidRPr="00421589" w:rsidRDefault="00972FB0" w:rsidP="00983AAD">
            <w:pPr>
              <w:jc w:val="both"/>
              <w:rPr>
                <w:rFonts w:eastAsia="Times New Roman"/>
                <w:sz w:val="26"/>
                <w:szCs w:val="26"/>
                <w:lang w:eastAsia="lv-LV"/>
              </w:rPr>
            </w:pPr>
          </w:p>
        </w:tc>
      </w:tr>
      <w:tr w:rsidR="00544E5F" w14:paraId="772DC7F7" w14:textId="77777777" w:rsidTr="009604FB">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828F1C1" w14:textId="77777777" w:rsidR="00026C45" w:rsidRPr="00421589" w:rsidRDefault="00653DEA" w:rsidP="009604FB">
            <w:pPr>
              <w:spacing w:before="100" w:beforeAutospacing="1" w:after="100" w:afterAutospacing="1" w:line="293" w:lineRule="atLeast"/>
              <w:jc w:val="center"/>
              <w:rPr>
                <w:rFonts w:eastAsia="Times New Roman"/>
                <w:sz w:val="26"/>
                <w:szCs w:val="26"/>
                <w:lang w:eastAsia="lv-LV"/>
              </w:rPr>
            </w:pPr>
            <w:r w:rsidRPr="00421589">
              <w:rPr>
                <w:rFonts w:eastAsia="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35CF5606"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6E240702"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Valsts ieņēmumu dienests</w:t>
            </w:r>
          </w:p>
        </w:tc>
      </w:tr>
      <w:tr w:rsidR="00544E5F" w14:paraId="146E32B5" w14:textId="77777777" w:rsidTr="009604FB">
        <w:tc>
          <w:tcPr>
            <w:tcW w:w="250" w:type="pct"/>
            <w:tcBorders>
              <w:top w:val="outset" w:sz="6" w:space="0" w:color="414142"/>
              <w:left w:val="outset" w:sz="6" w:space="0" w:color="414142"/>
              <w:bottom w:val="outset" w:sz="6" w:space="0" w:color="414142"/>
              <w:right w:val="outset" w:sz="6" w:space="0" w:color="414142"/>
            </w:tcBorders>
            <w:hideMark/>
          </w:tcPr>
          <w:p w14:paraId="325D52D5" w14:textId="77777777" w:rsidR="00026C45" w:rsidRPr="00421589" w:rsidRDefault="00653DEA" w:rsidP="009604FB">
            <w:pPr>
              <w:spacing w:before="100" w:beforeAutospacing="1" w:after="100" w:afterAutospacing="1" w:line="293" w:lineRule="atLeast"/>
              <w:jc w:val="center"/>
              <w:rPr>
                <w:rFonts w:eastAsia="Times New Roman"/>
                <w:sz w:val="26"/>
                <w:szCs w:val="26"/>
                <w:lang w:eastAsia="lv-LV"/>
              </w:rPr>
            </w:pPr>
            <w:r w:rsidRPr="00421589">
              <w:rPr>
                <w:rFonts w:eastAsia="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13F71D9"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9FF5BB6" w14:textId="77777777" w:rsidR="00026C45" w:rsidRPr="00421589" w:rsidRDefault="00653DEA" w:rsidP="009604FB">
            <w:pPr>
              <w:spacing w:before="100" w:beforeAutospacing="1" w:after="100" w:afterAutospacing="1" w:line="293" w:lineRule="atLeast"/>
              <w:rPr>
                <w:rFonts w:eastAsia="Times New Roman"/>
                <w:sz w:val="26"/>
                <w:szCs w:val="26"/>
                <w:lang w:eastAsia="lv-LV"/>
              </w:rPr>
            </w:pPr>
            <w:r w:rsidRPr="00421589">
              <w:rPr>
                <w:rFonts w:eastAsia="Times New Roman"/>
                <w:sz w:val="26"/>
                <w:szCs w:val="26"/>
                <w:lang w:eastAsia="lv-LV"/>
              </w:rPr>
              <w:t>Nav</w:t>
            </w:r>
          </w:p>
        </w:tc>
      </w:tr>
    </w:tbl>
    <w:p w14:paraId="629BF835" w14:textId="77777777" w:rsidR="00026C45" w:rsidRPr="00421589" w:rsidRDefault="00972FB0" w:rsidP="00026C45">
      <w:pPr>
        <w:shd w:val="clear" w:color="auto" w:fill="FFFFFF"/>
        <w:ind w:firstLine="301"/>
        <w:rPr>
          <w:rFonts w:eastAsia="Times New Roman"/>
          <w:color w:val="414142"/>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544E5F" w14:paraId="25DA3887" w14:textId="77777777" w:rsidTr="00983AA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8DFAC6" w14:textId="77777777" w:rsidR="00026C45" w:rsidRPr="00421589" w:rsidRDefault="00653DEA" w:rsidP="009604FB">
            <w:pPr>
              <w:spacing w:before="100" w:beforeAutospacing="1" w:after="100" w:afterAutospacing="1" w:line="293" w:lineRule="atLeast"/>
              <w:jc w:val="center"/>
              <w:rPr>
                <w:rFonts w:eastAsia="Times New Roman"/>
                <w:b/>
                <w:bCs/>
                <w:sz w:val="26"/>
                <w:szCs w:val="26"/>
                <w:lang w:eastAsia="lv-LV"/>
              </w:rPr>
            </w:pPr>
            <w:r w:rsidRPr="00421589">
              <w:rPr>
                <w:rFonts w:eastAsia="Times New Roman"/>
                <w:b/>
                <w:bCs/>
                <w:sz w:val="26"/>
                <w:szCs w:val="26"/>
                <w:lang w:eastAsia="lv-LV"/>
              </w:rPr>
              <w:t>II. Tiesību akta projekta ietekme uz sabiedrību, tautsaimniecības attīstību un administratīvo slogu</w:t>
            </w:r>
          </w:p>
        </w:tc>
      </w:tr>
      <w:tr w:rsidR="00544E5F" w14:paraId="2C3894DE" w14:textId="77777777" w:rsidTr="00983AA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FB7482B"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5586B24" w14:textId="595714D2" w:rsidR="00026C45" w:rsidRPr="00421589" w:rsidRDefault="00653DEA" w:rsidP="00AC6813">
            <w:pPr>
              <w:rPr>
                <w:rFonts w:eastAsia="Times New Roman"/>
                <w:sz w:val="26"/>
                <w:szCs w:val="26"/>
                <w:lang w:eastAsia="lv-LV"/>
              </w:rPr>
            </w:pPr>
            <w:r w:rsidRPr="00421589">
              <w:rPr>
                <w:rFonts w:eastAsia="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5C1335E5" w14:textId="3A334D1A" w:rsidR="007334B9" w:rsidRPr="00421589" w:rsidRDefault="00653DEA" w:rsidP="00182804">
            <w:pPr>
              <w:jc w:val="both"/>
              <w:rPr>
                <w:sz w:val="26"/>
                <w:szCs w:val="26"/>
              </w:rPr>
            </w:pPr>
            <w:r w:rsidRPr="00A032EF">
              <w:rPr>
                <w:sz w:val="26"/>
                <w:szCs w:val="26"/>
              </w:rPr>
              <w:t>Noteikumu projekt</w:t>
            </w:r>
            <w:r>
              <w:rPr>
                <w:sz w:val="26"/>
                <w:szCs w:val="26"/>
              </w:rPr>
              <w:t>ā ietvertais</w:t>
            </w:r>
            <w:r w:rsidRPr="00421589">
              <w:rPr>
                <w:sz w:val="26"/>
                <w:szCs w:val="26"/>
              </w:rPr>
              <w:t xml:space="preserve"> tiesiskais regulējums skars:</w:t>
            </w:r>
          </w:p>
          <w:p w14:paraId="680768BB" w14:textId="0428C94A" w:rsidR="007334B9" w:rsidRPr="00421589" w:rsidRDefault="00653DEA" w:rsidP="00182804">
            <w:pPr>
              <w:jc w:val="both"/>
              <w:rPr>
                <w:sz w:val="26"/>
                <w:szCs w:val="26"/>
              </w:rPr>
            </w:pPr>
            <w:r w:rsidRPr="00421589">
              <w:rPr>
                <w:sz w:val="26"/>
                <w:szCs w:val="26"/>
              </w:rPr>
              <w:t>1) nereģistrētus iekšzemes PVN maksātājus, kur</w:t>
            </w:r>
            <w:r>
              <w:rPr>
                <w:sz w:val="26"/>
                <w:szCs w:val="26"/>
              </w:rPr>
              <w:t>u</w:t>
            </w:r>
            <w:r w:rsidRPr="00421589">
              <w:rPr>
                <w:sz w:val="26"/>
                <w:szCs w:val="26"/>
              </w:rPr>
              <w:t xml:space="preserve"> veikto ar PVN apliekamo preču piegāžu un sniegto pakalpojumu kopējā vērtība iepriekšējo 12 mēnešu laikā ir sasniegusi 40</w:t>
            </w:r>
            <w:r w:rsidR="00333389">
              <w:rPr>
                <w:sz w:val="26"/>
                <w:szCs w:val="26"/>
              </w:rPr>
              <w:t xml:space="preserve"> </w:t>
            </w:r>
            <w:r w:rsidRPr="00421589">
              <w:rPr>
                <w:sz w:val="26"/>
                <w:szCs w:val="26"/>
              </w:rPr>
              <w:t xml:space="preserve">000 </w:t>
            </w:r>
            <w:r w:rsidRPr="00421589">
              <w:rPr>
                <w:i/>
                <w:sz w:val="26"/>
                <w:szCs w:val="26"/>
              </w:rPr>
              <w:t>euro</w:t>
            </w:r>
            <w:r w:rsidRPr="00421589">
              <w:rPr>
                <w:sz w:val="26"/>
                <w:szCs w:val="26"/>
              </w:rPr>
              <w:t xml:space="preserve">; </w:t>
            </w:r>
          </w:p>
          <w:p w14:paraId="7BB07213" w14:textId="1B65861C" w:rsidR="00AC6F6F" w:rsidRPr="00421589" w:rsidRDefault="00653DEA" w:rsidP="00AC6F6F">
            <w:pPr>
              <w:jc w:val="both"/>
              <w:rPr>
                <w:sz w:val="26"/>
                <w:szCs w:val="26"/>
              </w:rPr>
            </w:pPr>
            <w:r w:rsidRPr="00421589">
              <w:rPr>
                <w:sz w:val="26"/>
                <w:szCs w:val="26"/>
              </w:rPr>
              <w:t xml:space="preserve">2)  reģistrētus PVN maksātājus, kas ir </w:t>
            </w:r>
            <w:r w:rsidRPr="000F15DF">
              <w:rPr>
                <w:sz w:val="26"/>
                <w:szCs w:val="26"/>
              </w:rPr>
              <w:t>būvizstrādājumu piegādātāji</w:t>
            </w:r>
            <w:r w:rsidRPr="00421589">
              <w:rPr>
                <w:sz w:val="26"/>
                <w:szCs w:val="26"/>
              </w:rPr>
              <w:t xml:space="preserve"> un saņēmēji;</w:t>
            </w:r>
          </w:p>
          <w:p w14:paraId="4474094D" w14:textId="480BD7A6" w:rsidR="00017254" w:rsidRPr="00421589" w:rsidRDefault="00653DEA" w:rsidP="00017254">
            <w:pPr>
              <w:pStyle w:val="ListParagraph"/>
              <w:tabs>
                <w:tab w:val="left" w:pos="394"/>
              </w:tabs>
              <w:spacing w:after="0" w:line="240" w:lineRule="auto"/>
              <w:ind w:left="23" w:right="57"/>
              <w:jc w:val="both"/>
              <w:rPr>
                <w:sz w:val="26"/>
                <w:szCs w:val="26"/>
              </w:rPr>
            </w:pPr>
            <w:r w:rsidRPr="00421589">
              <w:rPr>
                <w:sz w:val="26"/>
                <w:szCs w:val="26"/>
              </w:rPr>
              <w:t xml:space="preserve">3) reģistrētus PVN maksātājus, kas ir metālizstrādājumu piegādātāji un saņēmēji, ar metālizstrādājumu piegādi saistīta pakalpojuma sniedzēji un saņēmēji; </w:t>
            </w:r>
          </w:p>
          <w:p w14:paraId="0C222C21" w14:textId="77777777" w:rsidR="00026C45" w:rsidRDefault="00653DEA" w:rsidP="00DC4385">
            <w:pPr>
              <w:pStyle w:val="ListParagraph"/>
              <w:tabs>
                <w:tab w:val="left" w:pos="394"/>
              </w:tabs>
              <w:spacing w:after="0" w:line="240" w:lineRule="auto"/>
              <w:ind w:left="23" w:right="57"/>
              <w:jc w:val="both"/>
              <w:rPr>
                <w:sz w:val="26"/>
                <w:szCs w:val="26"/>
              </w:rPr>
            </w:pPr>
            <w:r w:rsidRPr="00421589">
              <w:rPr>
                <w:sz w:val="26"/>
                <w:szCs w:val="26"/>
              </w:rPr>
              <w:t>4)  reģistrētus PVN maksātājus, kas ir sadzīves elektronisko iekārtu un sadzīves elektriskās aparatūras piegādātāji un saņēmēji.</w:t>
            </w:r>
          </w:p>
          <w:p w14:paraId="0432CEEA" w14:textId="417DA4A5" w:rsidR="004F77A8" w:rsidRPr="00421589" w:rsidRDefault="00972FB0" w:rsidP="00DC4385">
            <w:pPr>
              <w:pStyle w:val="ListParagraph"/>
              <w:tabs>
                <w:tab w:val="left" w:pos="394"/>
              </w:tabs>
              <w:spacing w:after="0" w:line="240" w:lineRule="auto"/>
              <w:ind w:left="23" w:right="57"/>
              <w:jc w:val="both"/>
              <w:rPr>
                <w:rFonts w:eastAsia="Times New Roman"/>
                <w:sz w:val="26"/>
                <w:szCs w:val="26"/>
                <w:lang w:eastAsia="lv-LV"/>
              </w:rPr>
            </w:pPr>
          </w:p>
        </w:tc>
      </w:tr>
      <w:tr w:rsidR="00544E5F" w14:paraId="25886FD2" w14:textId="77777777" w:rsidTr="00983AA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1B3C26C"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8365E6F"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F7B9445" w14:textId="386B8594" w:rsidR="002C02AB" w:rsidRDefault="00653DEA" w:rsidP="005B3724">
            <w:pPr>
              <w:jc w:val="both"/>
              <w:rPr>
                <w:sz w:val="26"/>
                <w:szCs w:val="26"/>
              </w:rPr>
            </w:pPr>
            <w:r w:rsidRPr="00421589">
              <w:rPr>
                <w:sz w:val="26"/>
                <w:szCs w:val="26"/>
              </w:rPr>
              <w:t>Noteikumu projekt</w:t>
            </w:r>
            <w:r>
              <w:rPr>
                <w:sz w:val="26"/>
                <w:szCs w:val="26"/>
              </w:rPr>
              <w:t>ā paredzēto grozījumu spēkā stāšanās rezultātā administratīvais slogs:</w:t>
            </w:r>
          </w:p>
          <w:p w14:paraId="1F0C46D5" w14:textId="7C62CC3F" w:rsidR="005B3724" w:rsidRDefault="00653DEA" w:rsidP="005B3724">
            <w:pPr>
              <w:jc w:val="both"/>
              <w:rPr>
                <w:sz w:val="26"/>
                <w:szCs w:val="26"/>
              </w:rPr>
            </w:pPr>
            <w:r>
              <w:rPr>
                <w:sz w:val="26"/>
                <w:szCs w:val="26"/>
              </w:rPr>
              <w:t xml:space="preserve">- </w:t>
            </w:r>
            <w:r w:rsidR="005115F0" w:rsidRPr="00421589">
              <w:rPr>
                <w:sz w:val="26"/>
                <w:szCs w:val="26"/>
              </w:rPr>
              <w:t>nepalielinās</w:t>
            </w:r>
            <w:r w:rsidR="005115F0">
              <w:rPr>
                <w:sz w:val="26"/>
                <w:szCs w:val="26"/>
              </w:rPr>
              <w:t xml:space="preserve">ies </w:t>
            </w:r>
            <w:r>
              <w:rPr>
                <w:sz w:val="26"/>
                <w:szCs w:val="26"/>
              </w:rPr>
              <w:t xml:space="preserve">attiecībā uz </w:t>
            </w:r>
            <w:r w:rsidRPr="00421589">
              <w:rPr>
                <w:sz w:val="26"/>
                <w:szCs w:val="26"/>
                <w:lang w:eastAsia="lv-LV"/>
              </w:rPr>
              <w:t xml:space="preserve">īpašā PVN piemērošanas režīma ieviešanu </w:t>
            </w:r>
            <w:r w:rsidR="005115F0" w:rsidRPr="00421589">
              <w:rPr>
                <w:sz w:val="26"/>
                <w:szCs w:val="26"/>
                <w:lang w:eastAsia="lv-LV"/>
              </w:rPr>
              <w:t>metālizstrādājumu piegād</w:t>
            </w:r>
            <w:r w:rsidR="005A3DBA">
              <w:rPr>
                <w:sz w:val="26"/>
                <w:szCs w:val="26"/>
                <w:lang w:eastAsia="lv-LV"/>
              </w:rPr>
              <w:t>ēm</w:t>
            </w:r>
            <w:r w:rsidR="005115F0" w:rsidRPr="00421589">
              <w:rPr>
                <w:sz w:val="26"/>
                <w:szCs w:val="26"/>
                <w:lang w:eastAsia="lv-LV"/>
              </w:rPr>
              <w:t xml:space="preserve"> un ar tām saistīt</w:t>
            </w:r>
            <w:r w:rsidR="005A3DBA">
              <w:rPr>
                <w:sz w:val="26"/>
                <w:szCs w:val="26"/>
                <w:lang w:eastAsia="lv-LV"/>
              </w:rPr>
              <w:t>ajiem</w:t>
            </w:r>
            <w:r w:rsidR="005115F0" w:rsidRPr="00421589">
              <w:rPr>
                <w:sz w:val="26"/>
                <w:szCs w:val="26"/>
                <w:lang w:eastAsia="lv-LV"/>
              </w:rPr>
              <w:t xml:space="preserve"> pakalpojum</w:t>
            </w:r>
            <w:r w:rsidR="005A3DBA">
              <w:rPr>
                <w:sz w:val="26"/>
                <w:szCs w:val="26"/>
                <w:lang w:eastAsia="lv-LV"/>
              </w:rPr>
              <w:t>iem</w:t>
            </w:r>
            <w:r w:rsidR="005115F0" w:rsidRPr="00421589">
              <w:rPr>
                <w:sz w:val="26"/>
                <w:szCs w:val="26"/>
                <w:lang w:eastAsia="lv-LV"/>
              </w:rPr>
              <w:t>, sadzīves elektronisko iekārtu un sadzīves elektriskās aparatūras piegād</w:t>
            </w:r>
            <w:r w:rsidR="00917F9D">
              <w:rPr>
                <w:sz w:val="26"/>
                <w:szCs w:val="26"/>
                <w:lang w:eastAsia="lv-LV"/>
              </w:rPr>
              <w:t>ēm</w:t>
            </w:r>
            <w:r w:rsidR="005115F0" w:rsidRPr="00421589">
              <w:rPr>
                <w:sz w:val="26"/>
                <w:szCs w:val="26"/>
                <w:lang w:eastAsia="lv-LV"/>
              </w:rPr>
              <w:t xml:space="preserve"> </w:t>
            </w:r>
            <w:r w:rsidR="005115F0">
              <w:rPr>
                <w:sz w:val="26"/>
                <w:szCs w:val="26"/>
                <w:lang w:eastAsia="lv-LV"/>
              </w:rPr>
              <w:t xml:space="preserve">un </w:t>
            </w:r>
            <w:r w:rsidR="005115F0" w:rsidRPr="00421589">
              <w:rPr>
                <w:sz w:val="26"/>
                <w:szCs w:val="26"/>
                <w:lang w:eastAsia="lv-LV"/>
              </w:rPr>
              <w:lastRenderedPageBreak/>
              <w:t>būvizstrādājumu piegād</w:t>
            </w:r>
            <w:r w:rsidR="00917F9D">
              <w:rPr>
                <w:sz w:val="26"/>
                <w:szCs w:val="26"/>
                <w:lang w:eastAsia="lv-LV"/>
              </w:rPr>
              <w:t>ēm</w:t>
            </w:r>
            <w:r w:rsidRPr="00421589">
              <w:rPr>
                <w:sz w:val="26"/>
                <w:szCs w:val="26"/>
              </w:rPr>
              <w:t>, ņemot vērā, ka PVN maksātāji pārsvarā grāmatvedību kārto izmantojot grāmatvedības programmas, kurās automātiski tiek iekļauti visi veiktie darījumi. Savukārt reģistrēto PVN maksātāju skaits, kuri neizmanto grāmatvedības programmas, ir mazs</w:t>
            </w:r>
            <w:r>
              <w:rPr>
                <w:sz w:val="26"/>
                <w:szCs w:val="26"/>
              </w:rPr>
              <w:t>;</w:t>
            </w:r>
          </w:p>
          <w:p w14:paraId="3BBB4CF7" w14:textId="42723E88" w:rsidR="00F46A99" w:rsidRPr="00755905" w:rsidRDefault="00653DEA" w:rsidP="00F46A99">
            <w:pPr>
              <w:jc w:val="both"/>
              <w:rPr>
                <w:sz w:val="26"/>
                <w:szCs w:val="26"/>
              </w:rPr>
            </w:pPr>
            <w:r>
              <w:rPr>
                <w:spacing w:val="-2"/>
                <w:sz w:val="26"/>
                <w:szCs w:val="26"/>
              </w:rPr>
              <w:t>- p</w:t>
            </w:r>
            <w:r w:rsidRPr="00D000FA">
              <w:rPr>
                <w:spacing w:val="-2"/>
                <w:sz w:val="26"/>
                <w:szCs w:val="26"/>
              </w:rPr>
              <w:t xml:space="preserve">alielināsies iekšzemes PVN maksātājiem, kuru veikto ar PVN apliekamo preču piegāžu un sniegto pakalpojumu kopējā vērtība 12 mēnešu laikā ir robežās no 40 000 līdz 50 000 </w:t>
            </w:r>
            <w:r w:rsidRPr="00D000FA">
              <w:rPr>
                <w:i/>
                <w:spacing w:val="-2"/>
                <w:sz w:val="26"/>
                <w:szCs w:val="26"/>
              </w:rPr>
              <w:t xml:space="preserve">euro, </w:t>
            </w:r>
            <w:r w:rsidRPr="00D000FA">
              <w:rPr>
                <w:spacing w:val="-2"/>
                <w:sz w:val="26"/>
                <w:szCs w:val="26"/>
              </w:rPr>
              <w:t xml:space="preserve">jo tiem būs jābūt reģistrētiem </w:t>
            </w:r>
            <w:r w:rsidRPr="00E3116C">
              <w:rPr>
                <w:rFonts w:eastAsia="Times New Roman"/>
                <w:sz w:val="26"/>
                <w:szCs w:val="26"/>
                <w:lang w:eastAsia="lv-LV"/>
              </w:rPr>
              <w:t xml:space="preserve">Valsts ieņēmumu dienesta </w:t>
            </w:r>
            <w:r w:rsidRPr="00D000FA">
              <w:rPr>
                <w:spacing w:val="-2"/>
                <w:sz w:val="26"/>
                <w:szCs w:val="26"/>
              </w:rPr>
              <w:t xml:space="preserve">PVN maksātāju reģistrā, </w:t>
            </w:r>
            <w:r>
              <w:rPr>
                <w:spacing w:val="-2"/>
                <w:sz w:val="26"/>
                <w:szCs w:val="26"/>
              </w:rPr>
              <w:t xml:space="preserve">un </w:t>
            </w:r>
            <w:r w:rsidRPr="00755905">
              <w:rPr>
                <w:spacing w:val="-2"/>
                <w:sz w:val="26"/>
                <w:szCs w:val="26"/>
              </w:rPr>
              <w:t>jāpilda visi reģistrēta PVN maksātāja pienākumi, kas saistīti ar PVN uzskaiti un maksāšanu valsts budžetā.</w:t>
            </w:r>
          </w:p>
          <w:p w14:paraId="3D133942" w14:textId="4622F2F3" w:rsidR="00C4061B" w:rsidRPr="00421589" w:rsidRDefault="00972FB0" w:rsidP="00CF0882">
            <w:pPr>
              <w:jc w:val="both"/>
              <w:rPr>
                <w:rFonts w:eastAsia="Times New Roman"/>
                <w:sz w:val="26"/>
                <w:szCs w:val="26"/>
                <w:lang w:eastAsia="lv-LV"/>
              </w:rPr>
            </w:pPr>
          </w:p>
        </w:tc>
      </w:tr>
      <w:tr w:rsidR="00544E5F" w14:paraId="7C6D5B6F" w14:textId="77777777" w:rsidTr="00983AA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E3692C4"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EA97459"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9B51813" w14:textId="5EB88501" w:rsidR="00C637B8" w:rsidRDefault="00653DEA" w:rsidP="00C637B8">
            <w:pPr>
              <w:jc w:val="both"/>
              <w:rPr>
                <w:sz w:val="26"/>
                <w:szCs w:val="26"/>
              </w:rPr>
            </w:pPr>
            <w:r>
              <w:rPr>
                <w:spacing w:val="-2"/>
                <w:sz w:val="26"/>
                <w:szCs w:val="26"/>
              </w:rPr>
              <w:t xml:space="preserve">Ņemot vērā, ka katram reģistrētam PVN maksātājam, kurš būs reģistrēts </w:t>
            </w:r>
            <w:r w:rsidRPr="00E3116C">
              <w:rPr>
                <w:rFonts w:eastAsia="Times New Roman"/>
                <w:sz w:val="26"/>
                <w:szCs w:val="26"/>
                <w:lang w:eastAsia="lv-LV"/>
              </w:rPr>
              <w:t xml:space="preserve">Valsts ieņēmumu dienesta </w:t>
            </w:r>
            <w:r>
              <w:rPr>
                <w:spacing w:val="-2"/>
                <w:sz w:val="26"/>
                <w:szCs w:val="26"/>
              </w:rPr>
              <w:t>PVN maksātāju reģistrā, sasniedzot reģistrācijas slieksni 40</w:t>
            </w:r>
            <w:r w:rsidR="00333389">
              <w:rPr>
                <w:spacing w:val="-2"/>
                <w:sz w:val="26"/>
                <w:szCs w:val="26"/>
              </w:rPr>
              <w:t xml:space="preserve"> </w:t>
            </w:r>
            <w:r>
              <w:rPr>
                <w:spacing w:val="-2"/>
                <w:sz w:val="26"/>
                <w:szCs w:val="26"/>
              </w:rPr>
              <w:t xml:space="preserve">000 </w:t>
            </w:r>
            <w:r w:rsidRPr="00983AAD">
              <w:rPr>
                <w:i/>
                <w:spacing w:val="-2"/>
                <w:sz w:val="26"/>
                <w:szCs w:val="26"/>
              </w:rPr>
              <w:t>euro</w:t>
            </w:r>
            <w:r>
              <w:rPr>
                <w:spacing w:val="-2"/>
                <w:sz w:val="26"/>
                <w:szCs w:val="26"/>
              </w:rPr>
              <w:t xml:space="preserve">, veikto ar PVN apliekamo darījumu apjoms ir atšķirīgs, kā arī, ka </w:t>
            </w:r>
            <w:r w:rsidRPr="00421589">
              <w:rPr>
                <w:sz w:val="26"/>
                <w:szCs w:val="26"/>
              </w:rPr>
              <w:t>PVN deklarācijas pielikumos atsevišķi atšifrējamo darījumu skaits katram reģistrētam PVN maksātājam būs atšķirīgs, nav iespējams noteikt administratīvās izmaksas saistībā ar PVN deklarācijas un tās pielikumu aizpildīšanu, kas radīsies reģistrētam PVN maksātājam.</w:t>
            </w:r>
          </w:p>
          <w:p w14:paraId="15E139A6" w14:textId="56E6C7FC" w:rsidR="00572F12" w:rsidRPr="00421589" w:rsidRDefault="00972FB0" w:rsidP="00C637B8">
            <w:pPr>
              <w:jc w:val="both"/>
              <w:rPr>
                <w:rFonts w:eastAsia="Times New Roman"/>
                <w:sz w:val="26"/>
                <w:szCs w:val="26"/>
                <w:lang w:eastAsia="lv-LV"/>
              </w:rPr>
            </w:pPr>
          </w:p>
        </w:tc>
      </w:tr>
      <w:tr w:rsidR="00544E5F" w14:paraId="4B8D16C0" w14:textId="77777777" w:rsidTr="00983AA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59B221"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1358C2"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740C9DE"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Nav</w:t>
            </w:r>
          </w:p>
        </w:tc>
      </w:tr>
    </w:tbl>
    <w:p w14:paraId="7EAE9A10" w14:textId="77777777" w:rsidR="00026C45" w:rsidRPr="00421589" w:rsidRDefault="00972FB0" w:rsidP="00026C45">
      <w:pPr>
        <w:rPr>
          <w:sz w:val="26"/>
          <w:szCs w:val="26"/>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544E5F" w14:paraId="7F0252A5" w14:textId="77777777" w:rsidTr="00AA2C93">
        <w:tc>
          <w:tcPr>
            <w:tcW w:w="9527" w:type="dxa"/>
            <w:shd w:val="clear" w:color="auto" w:fill="auto"/>
          </w:tcPr>
          <w:p w14:paraId="0B59619C" w14:textId="77777777" w:rsidR="00631690" w:rsidRPr="00421589" w:rsidRDefault="00653DEA" w:rsidP="009604FB">
            <w:pPr>
              <w:rPr>
                <w:b/>
                <w:sz w:val="26"/>
                <w:szCs w:val="26"/>
              </w:rPr>
            </w:pPr>
            <w:r w:rsidRPr="00421589">
              <w:rPr>
                <w:b/>
                <w:sz w:val="26"/>
                <w:szCs w:val="26"/>
              </w:rPr>
              <w:t>III. Tiesību akta projekta ietekme uz valsts budžetu un pašvaldību budžetiem</w:t>
            </w:r>
          </w:p>
        </w:tc>
      </w:tr>
    </w:tbl>
    <w:p w14:paraId="17296DE5" w14:textId="77777777" w:rsidR="00631690" w:rsidRPr="00421589" w:rsidRDefault="00972FB0" w:rsidP="00631690">
      <w:pPr>
        <w:rPr>
          <w:rFonts w:eastAsia="Times New Roman"/>
          <w:vanish/>
          <w:sz w:val="26"/>
          <w:szCs w:val="26"/>
          <w:lang w:eastAsia="lv-LV"/>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161"/>
        <w:gridCol w:w="1266"/>
        <w:gridCol w:w="1978"/>
        <w:gridCol w:w="1634"/>
        <w:gridCol w:w="1634"/>
      </w:tblGrid>
      <w:tr w:rsidR="00544E5F" w14:paraId="0CEC8524" w14:textId="77777777" w:rsidTr="009604FB">
        <w:trPr>
          <w:trHeight w:val="362"/>
          <w:jc w:val="center"/>
        </w:trPr>
        <w:tc>
          <w:tcPr>
            <w:tcW w:w="9569" w:type="dxa"/>
            <w:gridSpan w:val="6"/>
            <w:vAlign w:val="center"/>
          </w:tcPr>
          <w:p w14:paraId="2B6997AD" w14:textId="77777777" w:rsidR="00631690" w:rsidRPr="00421589" w:rsidRDefault="00972FB0" w:rsidP="009604FB">
            <w:pPr>
              <w:rPr>
                <w:sz w:val="26"/>
                <w:szCs w:val="26"/>
              </w:rPr>
            </w:pPr>
          </w:p>
        </w:tc>
      </w:tr>
      <w:tr w:rsidR="00544E5F" w14:paraId="133197CD" w14:textId="77777777" w:rsidTr="009604FB">
        <w:trPr>
          <w:trHeight w:val="144"/>
          <w:jc w:val="center"/>
        </w:trPr>
        <w:tc>
          <w:tcPr>
            <w:tcW w:w="1896" w:type="dxa"/>
            <w:vMerge w:val="restart"/>
            <w:vAlign w:val="center"/>
          </w:tcPr>
          <w:p w14:paraId="68BC7FE1" w14:textId="29C546AC" w:rsidR="00631690" w:rsidRPr="00421589" w:rsidRDefault="00653DEA" w:rsidP="009604FB">
            <w:pPr>
              <w:pStyle w:val="naisf"/>
              <w:spacing w:before="0" w:beforeAutospacing="0" w:after="0" w:afterAutospacing="0"/>
              <w:jc w:val="center"/>
              <w:rPr>
                <w:b/>
                <w:sz w:val="26"/>
                <w:szCs w:val="26"/>
              </w:rPr>
            </w:pPr>
            <w:r w:rsidRPr="00421589">
              <w:rPr>
                <w:b/>
                <w:sz w:val="26"/>
                <w:szCs w:val="26"/>
              </w:rPr>
              <w:t>Rādītāji</w:t>
            </w:r>
          </w:p>
        </w:tc>
        <w:tc>
          <w:tcPr>
            <w:tcW w:w="2427" w:type="dxa"/>
            <w:gridSpan w:val="2"/>
            <w:vMerge w:val="restart"/>
            <w:vAlign w:val="center"/>
          </w:tcPr>
          <w:p w14:paraId="2282D7B9" w14:textId="77777777" w:rsidR="00631690" w:rsidRPr="00421589" w:rsidRDefault="00653DEA" w:rsidP="009604FB">
            <w:pPr>
              <w:pStyle w:val="naisf"/>
              <w:spacing w:before="0" w:beforeAutospacing="0" w:after="0" w:afterAutospacing="0"/>
              <w:jc w:val="center"/>
              <w:rPr>
                <w:b/>
                <w:sz w:val="26"/>
                <w:szCs w:val="26"/>
              </w:rPr>
            </w:pPr>
            <w:r w:rsidRPr="00421589">
              <w:rPr>
                <w:b/>
                <w:sz w:val="26"/>
                <w:szCs w:val="26"/>
              </w:rPr>
              <w:t>2017.gads</w:t>
            </w:r>
          </w:p>
        </w:tc>
        <w:tc>
          <w:tcPr>
            <w:tcW w:w="5246" w:type="dxa"/>
            <w:gridSpan w:val="3"/>
            <w:vAlign w:val="center"/>
          </w:tcPr>
          <w:p w14:paraId="109A86C9" w14:textId="6850BF1A" w:rsidR="00631690" w:rsidRPr="00421589" w:rsidRDefault="00653DEA" w:rsidP="00DA5C82">
            <w:pPr>
              <w:pStyle w:val="naisf"/>
              <w:spacing w:before="0" w:beforeAutospacing="0" w:after="0" w:afterAutospacing="0"/>
              <w:jc w:val="center"/>
              <w:rPr>
                <w:b/>
                <w:i/>
                <w:sz w:val="26"/>
                <w:szCs w:val="26"/>
              </w:rPr>
            </w:pPr>
            <w:r w:rsidRPr="00421589">
              <w:rPr>
                <w:sz w:val="26"/>
                <w:szCs w:val="26"/>
              </w:rPr>
              <w:t>Turpmākie trīs gadi (</w:t>
            </w:r>
            <w:r w:rsidRPr="00421589">
              <w:rPr>
                <w:i/>
                <w:sz w:val="26"/>
                <w:szCs w:val="26"/>
              </w:rPr>
              <w:t>euro</w:t>
            </w:r>
            <w:r w:rsidRPr="00421589">
              <w:rPr>
                <w:sz w:val="26"/>
                <w:szCs w:val="26"/>
              </w:rPr>
              <w:t>)</w:t>
            </w:r>
          </w:p>
        </w:tc>
      </w:tr>
      <w:tr w:rsidR="00544E5F" w14:paraId="404034C2" w14:textId="77777777" w:rsidTr="009604FB">
        <w:trPr>
          <w:trHeight w:val="144"/>
          <w:jc w:val="center"/>
        </w:trPr>
        <w:tc>
          <w:tcPr>
            <w:tcW w:w="1896" w:type="dxa"/>
            <w:vMerge/>
            <w:vAlign w:val="center"/>
          </w:tcPr>
          <w:p w14:paraId="70995196" w14:textId="77777777" w:rsidR="00631690" w:rsidRPr="00421589" w:rsidRDefault="00972FB0" w:rsidP="009604FB">
            <w:pPr>
              <w:pStyle w:val="naisf"/>
              <w:spacing w:before="0" w:beforeAutospacing="0" w:after="0" w:afterAutospacing="0"/>
              <w:jc w:val="center"/>
              <w:rPr>
                <w:b/>
                <w:i/>
                <w:sz w:val="26"/>
                <w:szCs w:val="26"/>
              </w:rPr>
            </w:pPr>
          </w:p>
        </w:tc>
        <w:tc>
          <w:tcPr>
            <w:tcW w:w="2427" w:type="dxa"/>
            <w:gridSpan w:val="2"/>
            <w:vMerge/>
            <w:vAlign w:val="center"/>
          </w:tcPr>
          <w:p w14:paraId="44DBD796" w14:textId="77777777" w:rsidR="00631690" w:rsidRPr="00421589" w:rsidRDefault="00972FB0" w:rsidP="009604FB">
            <w:pPr>
              <w:pStyle w:val="naisf"/>
              <w:spacing w:before="0" w:beforeAutospacing="0" w:after="0" w:afterAutospacing="0"/>
              <w:jc w:val="center"/>
              <w:rPr>
                <w:b/>
                <w:i/>
                <w:sz w:val="26"/>
                <w:szCs w:val="26"/>
              </w:rPr>
            </w:pPr>
          </w:p>
        </w:tc>
        <w:tc>
          <w:tcPr>
            <w:tcW w:w="1978" w:type="dxa"/>
            <w:vAlign w:val="center"/>
          </w:tcPr>
          <w:p w14:paraId="40EA6524" w14:textId="77777777" w:rsidR="00631690" w:rsidRPr="00421589" w:rsidRDefault="00653DEA" w:rsidP="00700AE4">
            <w:pPr>
              <w:pStyle w:val="naisf"/>
              <w:spacing w:before="0" w:beforeAutospacing="0" w:after="0" w:afterAutospacing="0"/>
              <w:jc w:val="center"/>
              <w:rPr>
                <w:b/>
                <w:i/>
                <w:sz w:val="26"/>
                <w:szCs w:val="26"/>
              </w:rPr>
            </w:pPr>
            <w:r w:rsidRPr="00421589">
              <w:rPr>
                <w:b/>
                <w:bCs/>
                <w:sz w:val="26"/>
                <w:szCs w:val="26"/>
              </w:rPr>
              <w:t>2018.gads</w:t>
            </w:r>
          </w:p>
        </w:tc>
        <w:tc>
          <w:tcPr>
            <w:tcW w:w="1634" w:type="dxa"/>
            <w:vAlign w:val="center"/>
          </w:tcPr>
          <w:p w14:paraId="7B36F323" w14:textId="77777777" w:rsidR="00631690" w:rsidRPr="00421589" w:rsidRDefault="00653DEA" w:rsidP="009604FB">
            <w:pPr>
              <w:pStyle w:val="naisf"/>
              <w:spacing w:before="0" w:beforeAutospacing="0" w:after="0" w:afterAutospacing="0"/>
              <w:jc w:val="center"/>
              <w:rPr>
                <w:b/>
                <w:i/>
                <w:sz w:val="26"/>
                <w:szCs w:val="26"/>
              </w:rPr>
            </w:pPr>
            <w:r w:rsidRPr="00421589">
              <w:rPr>
                <w:b/>
                <w:bCs/>
                <w:sz w:val="26"/>
                <w:szCs w:val="26"/>
              </w:rPr>
              <w:t>2019.gads</w:t>
            </w:r>
          </w:p>
        </w:tc>
        <w:tc>
          <w:tcPr>
            <w:tcW w:w="1634" w:type="dxa"/>
            <w:vAlign w:val="center"/>
          </w:tcPr>
          <w:p w14:paraId="061A767C" w14:textId="77777777" w:rsidR="00631690" w:rsidRPr="00421589" w:rsidRDefault="00653DEA" w:rsidP="00700AE4">
            <w:pPr>
              <w:pStyle w:val="naisf"/>
              <w:spacing w:before="0" w:beforeAutospacing="0" w:after="0" w:afterAutospacing="0"/>
              <w:jc w:val="center"/>
              <w:rPr>
                <w:b/>
                <w:i/>
                <w:sz w:val="26"/>
                <w:szCs w:val="26"/>
              </w:rPr>
            </w:pPr>
            <w:r w:rsidRPr="00421589">
              <w:rPr>
                <w:b/>
                <w:bCs/>
                <w:sz w:val="26"/>
                <w:szCs w:val="26"/>
              </w:rPr>
              <w:t>2020.gads</w:t>
            </w:r>
          </w:p>
        </w:tc>
      </w:tr>
      <w:tr w:rsidR="00544E5F" w14:paraId="605CBF07" w14:textId="77777777" w:rsidTr="009604FB">
        <w:trPr>
          <w:trHeight w:val="144"/>
          <w:jc w:val="center"/>
        </w:trPr>
        <w:tc>
          <w:tcPr>
            <w:tcW w:w="1896" w:type="dxa"/>
            <w:vMerge/>
            <w:vAlign w:val="center"/>
          </w:tcPr>
          <w:p w14:paraId="7A34DBC7" w14:textId="77777777" w:rsidR="00631690" w:rsidRPr="00421589" w:rsidRDefault="00972FB0" w:rsidP="009604FB">
            <w:pPr>
              <w:pStyle w:val="naisf"/>
              <w:spacing w:before="0" w:beforeAutospacing="0" w:after="0" w:afterAutospacing="0"/>
              <w:jc w:val="center"/>
              <w:rPr>
                <w:b/>
                <w:i/>
                <w:sz w:val="26"/>
                <w:szCs w:val="26"/>
              </w:rPr>
            </w:pPr>
          </w:p>
        </w:tc>
        <w:tc>
          <w:tcPr>
            <w:tcW w:w="1161" w:type="dxa"/>
            <w:vAlign w:val="center"/>
          </w:tcPr>
          <w:p w14:paraId="58E0514F" w14:textId="77777777" w:rsidR="00631690" w:rsidRPr="00421589" w:rsidRDefault="00653DEA" w:rsidP="009604FB">
            <w:pPr>
              <w:pStyle w:val="naisf"/>
              <w:spacing w:before="0" w:beforeAutospacing="0" w:after="0" w:afterAutospacing="0"/>
              <w:jc w:val="center"/>
              <w:rPr>
                <w:b/>
                <w:i/>
                <w:sz w:val="26"/>
                <w:szCs w:val="26"/>
              </w:rPr>
            </w:pPr>
            <w:r w:rsidRPr="00421589">
              <w:rPr>
                <w:sz w:val="26"/>
                <w:szCs w:val="26"/>
              </w:rPr>
              <w:t>saskaņā ar valsts budžetu kārtējam gadam</w:t>
            </w:r>
          </w:p>
        </w:tc>
        <w:tc>
          <w:tcPr>
            <w:tcW w:w="1266" w:type="dxa"/>
            <w:vAlign w:val="center"/>
          </w:tcPr>
          <w:p w14:paraId="309C32D2" w14:textId="77777777" w:rsidR="00631690" w:rsidRPr="00421589" w:rsidRDefault="00653DEA" w:rsidP="009604FB">
            <w:pPr>
              <w:pStyle w:val="naisf"/>
              <w:spacing w:before="0" w:beforeAutospacing="0" w:after="0" w:afterAutospacing="0"/>
              <w:jc w:val="center"/>
              <w:rPr>
                <w:b/>
                <w:i/>
                <w:sz w:val="26"/>
                <w:szCs w:val="26"/>
              </w:rPr>
            </w:pPr>
            <w:r w:rsidRPr="00421589">
              <w:rPr>
                <w:sz w:val="26"/>
                <w:szCs w:val="26"/>
              </w:rPr>
              <w:t>izmaiņas kārtējā gadā, salīdzinot ar budžetu kārtējam gadam</w:t>
            </w:r>
          </w:p>
        </w:tc>
        <w:tc>
          <w:tcPr>
            <w:tcW w:w="1978" w:type="dxa"/>
            <w:vAlign w:val="center"/>
          </w:tcPr>
          <w:p w14:paraId="73566413" w14:textId="26112868" w:rsidR="00631690" w:rsidRPr="00421589" w:rsidRDefault="00653DEA" w:rsidP="009604FB">
            <w:pPr>
              <w:pStyle w:val="naisf"/>
              <w:spacing w:before="0" w:beforeAutospacing="0" w:after="0" w:afterAutospacing="0"/>
              <w:jc w:val="center"/>
              <w:rPr>
                <w:b/>
                <w:i/>
                <w:sz w:val="26"/>
                <w:szCs w:val="26"/>
              </w:rPr>
            </w:pPr>
            <w:r w:rsidRPr="00421589">
              <w:rPr>
                <w:sz w:val="26"/>
                <w:szCs w:val="26"/>
              </w:rPr>
              <w:t>izmaiņas, salīdzinot ar kārtējo 2017.gadu</w:t>
            </w:r>
          </w:p>
        </w:tc>
        <w:tc>
          <w:tcPr>
            <w:tcW w:w="1634" w:type="dxa"/>
            <w:vAlign w:val="center"/>
          </w:tcPr>
          <w:p w14:paraId="544A192C" w14:textId="7B47E988" w:rsidR="00631690" w:rsidRPr="00421589" w:rsidRDefault="00653DEA" w:rsidP="009604FB">
            <w:pPr>
              <w:pStyle w:val="naisf"/>
              <w:spacing w:before="0" w:beforeAutospacing="0" w:after="0" w:afterAutospacing="0"/>
              <w:jc w:val="center"/>
              <w:rPr>
                <w:b/>
                <w:i/>
                <w:sz w:val="26"/>
                <w:szCs w:val="26"/>
              </w:rPr>
            </w:pPr>
            <w:r w:rsidRPr="00421589">
              <w:rPr>
                <w:sz w:val="26"/>
                <w:szCs w:val="26"/>
              </w:rPr>
              <w:t>izmaiņas, salīdzinot ar kārtējo 2017.gadu</w:t>
            </w:r>
          </w:p>
        </w:tc>
        <w:tc>
          <w:tcPr>
            <w:tcW w:w="1634" w:type="dxa"/>
            <w:vAlign w:val="center"/>
          </w:tcPr>
          <w:p w14:paraId="39B498F5" w14:textId="10D6F8C0" w:rsidR="00631690" w:rsidRPr="00421589" w:rsidRDefault="00653DEA">
            <w:pPr>
              <w:pStyle w:val="naisf"/>
              <w:spacing w:before="0" w:beforeAutospacing="0" w:after="0" w:afterAutospacing="0"/>
              <w:jc w:val="center"/>
              <w:rPr>
                <w:b/>
                <w:i/>
                <w:sz w:val="26"/>
                <w:szCs w:val="26"/>
              </w:rPr>
            </w:pPr>
            <w:r w:rsidRPr="00421589">
              <w:rPr>
                <w:sz w:val="26"/>
                <w:szCs w:val="26"/>
              </w:rPr>
              <w:t>izmaiņas, salīdzinot ar kārtējo 2017.gadu</w:t>
            </w:r>
          </w:p>
        </w:tc>
      </w:tr>
      <w:tr w:rsidR="00544E5F" w14:paraId="7E81D232" w14:textId="77777777" w:rsidTr="009604FB">
        <w:trPr>
          <w:trHeight w:val="144"/>
          <w:jc w:val="center"/>
        </w:trPr>
        <w:tc>
          <w:tcPr>
            <w:tcW w:w="1896" w:type="dxa"/>
            <w:vAlign w:val="center"/>
          </w:tcPr>
          <w:p w14:paraId="61194915"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1</w:t>
            </w:r>
          </w:p>
        </w:tc>
        <w:tc>
          <w:tcPr>
            <w:tcW w:w="1161" w:type="dxa"/>
            <w:vAlign w:val="center"/>
          </w:tcPr>
          <w:p w14:paraId="221586CB"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2</w:t>
            </w:r>
          </w:p>
        </w:tc>
        <w:tc>
          <w:tcPr>
            <w:tcW w:w="1266" w:type="dxa"/>
            <w:vAlign w:val="center"/>
          </w:tcPr>
          <w:p w14:paraId="2EE0DD42"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3</w:t>
            </w:r>
          </w:p>
        </w:tc>
        <w:tc>
          <w:tcPr>
            <w:tcW w:w="1978" w:type="dxa"/>
            <w:vAlign w:val="center"/>
          </w:tcPr>
          <w:p w14:paraId="0394F9B5"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4</w:t>
            </w:r>
          </w:p>
        </w:tc>
        <w:tc>
          <w:tcPr>
            <w:tcW w:w="1634" w:type="dxa"/>
            <w:vAlign w:val="center"/>
          </w:tcPr>
          <w:p w14:paraId="053C483C"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5</w:t>
            </w:r>
          </w:p>
        </w:tc>
        <w:tc>
          <w:tcPr>
            <w:tcW w:w="1634" w:type="dxa"/>
            <w:vAlign w:val="center"/>
          </w:tcPr>
          <w:p w14:paraId="74ABD11A" w14:textId="77777777" w:rsidR="00631690" w:rsidRPr="00421589" w:rsidRDefault="00653DEA" w:rsidP="009604FB">
            <w:pPr>
              <w:pStyle w:val="naisf"/>
              <w:spacing w:before="0" w:beforeAutospacing="0" w:after="0" w:afterAutospacing="0"/>
              <w:jc w:val="center"/>
              <w:rPr>
                <w:bCs/>
                <w:sz w:val="26"/>
                <w:szCs w:val="26"/>
              </w:rPr>
            </w:pPr>
            <w:r w:rsidRPr="00421589">
              <w:rPr>
                <w:bCs/>
                <w:sz w:val="26"/>
                <w:szCs w:val="26"/>
              </w:rPr>
              <w:t>6</w:t>
            </w:r>
          </w:p>
        </w:tc>
      </w:tr>
      <w:tr w:rsidR="00544E5F" w14:paraId="22FB0E97" w14:textId="77777777" w:rsidTr="009604FB">
        <w:trPr>
          <w:trHeight w:val="144"/>
          <w:jc w:val="center"/>
        </w:trPr>
        <w:tc>
          <w:tcPr>
            <w:tcW w:w="1896" w:type="dxa"/>
          </w:tcPr>
          <w:p w14:paraId="5569BCD4" w14:textId="77777777" w:rsidR="00631690" w:rsidRPr="00421589" w:rsidRDefault="00653DEA" w:rsidP="009604FB">
            <w:pPr>
              <w:pStyle w:val="naisf"/>
              <w:spacing w:before="0" w:beforeAutospacing="0" w:after="0" w:afterAutospacing="0"/>
              <w:rPr>
                <w:i/>
                <w:sz w:val="26"/>
                <w:szCs w:val="26"/>
              </w:rPr>
            </w:pPr>
            <w:r w:rsidRPr="00421589">
              <w:rPr>
                <w:sz w:val="26"/>
                <w:szCs w:val="26"/>
              </w:rPr>
              <w:t>1. Budžeta ieņēmumi:</w:t>
            </w:r>
          </w:p>
        </w:tc>
        <w:tc>
          <w:tcPr>
            <w:tcW w:w="1161" w:type="dxa"/>
          </w:tcPr>
          <w:p w14:paraId="547DE3CF"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7C997162"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259FC01A" w14:textId="5DCF2330"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7C9976E4" w14:textId="6E85C413"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2672F3AE" w14:textId="1CBFEC5D"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r>
      <w:tr w:rsidR="00544E5F" w14:paraId="3E7DB7EC" w14:textId="77777777" w:rsidTr="009604FB">
        <w:trPr>
          <w:trHeight w:val="144"/>
          <w:jc w:val="center"/>
        </w:trPr>
        <w:tc>
          <w:tcPr>
            <w:tcW w:w="1896" w:type="dxa"/>
          </w:tcPr>
          <w:p w14:paraId="146B690F" w14:textId="77777777" w:rsidR="00631690" w:rsidRPr="00421589" w:rsidRDefault="00653DEA" w:rsidP="009604FB">
            <w:pPr>
              <w:pStyle w:val="naisf"/>
              <w:spacing w:before="0" w:beforeAutospacing="0" w:after="0" w:afterAutospacing="0"/>
              <w:rPr>
                <w:i/>
                <w:sz w:val="26"/>
                <w:szCs w:val="26"/>
              </w:rPr>
            </w:pPr>
            <w:r w:rsidRPr="00421589">
              <w:rPr>
                <w:sz w:val="26"/>
                <w:szCs w:val="26"/>
              </w:rPr>
              <w:t xml:space="preserve">1.1. valsts pamatbudžets, tai skaitā ieņēmumi no maksas </w:t>
            </w:r>
            <w:r w:rsidRPr="00421589">
              <w:rPr>
                <w:sz w:val="26"/>
                <w:szCs w:val="26"/>
              </w:rPr>
              <w:lastRenderedPageBreak/>
              <w:t>pakalpojumiem un citi pašu ieņēmumi</w:t>
            </w:r>
          </w:p>
        </w:tc>
        <w:tc>
          <w:tcPr>
            <w:tcW w:w="1161" w:type="dxa"/>
          </w:tcPr>
          <w:p w14:paraId="77AA32BF"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lastRenderedPageBreak/>
              <w:t>0</w:t>
            </w:r>
          </w:p>
        </w:tc>
        <w:tc>
          <w:tcPr>
            <w:tcW w:w="1266" w:type="dxa"/>
          </w:tcPr>
          <w:p w14:paraId="5769C278"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0F5663D1" w14:textId="09DB6F26"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004003D3" w14:textId="4243C398"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32DF604A" w14:textId="3CB3804D"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r>
      <w:tr w:rsidR="00544E5F" w14:paraId="77484E14" w14:textId="77777777" w:rsidTr="009604FB">
        <w:trPr>
          <w:trHeight w:val="144"/>
          <w:jc w:val="center"/>
        </w:trPr>
        <w:tc>
          <w:tcPr>
            <w:tcW w:w="1896" w:type="dxa"/>
          </w:tcPr>
          <w:p w14:paraId="7805B412" w14:textId="77777777" w:rsidR="00631690" w:rsidRPr="00421589" w:rsidRDefault="00653DEA" w:rsidP="009604FB">
            <w:pPr>
              <w:pStyle w:val="naisf"/>
              <w:spacing w:before="0" w:beforeAutospacing="0" w:after="0" w:afterAutospacing="0"/>
              <w:rPr>
                <w:sz w:val="26"/>
                <w:szCs w:val="26"/>
              </w:rPr>
            </w:pPr>
            <w:r w:rsidRPr="00421589">
              <w:rPr>
                <w:sz w:val="26"/>
                <w:szCs w:val="26"/>
              </w:rPr>
              <w:t>t.sk. pievienotās vērtības nodoklis</w:t>
            </w:r>
          </w:p>
        </w:tc>
        <w:tc>
          <w:tcPr>
            <w:tcW w:w="1161" w:type="dxa"/>
          </w:tcPr>
          <w:p w14:paraId="0DDA007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7F518F40"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76F19444" w14:textId="4D4DDAE5"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2CD1E506" w14:textId="3ED363A0"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0B4BD573" w14:textId="4EA1C232"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r>
      <w:tr w:rsidR="00544E5F" w14:paraId="3308E7C4" w14:textId="77777777" w:rsidTr="009604FB">
        <w:trPr>
          <w:trHeight w:val="556"/>
          <w:jc w:val="center"/>
        </w:trPr>
        <w:tc>
          <w:tcPr>
            <w:tcW w:w="1896" w:type="dxa"/>
          </w:tcPr>
          <w:p w14:paraId="2BE8430A" w14:textId="77777777" w:rsidR="00631690" w:rsidRPr="00421589" w:rsidRDefault="00653DEA" w:rsidP="009604FB">
            <w:pPr>
              <w:pStyle w:val="naisf"/>
              <w:spacing w:before="0" w:beforeAutospacing="0" w:after="0" w:afterAutospacing="0"/>
              <w:rPr>
                <w:i/>
                <w:sz w:val="26"/>
                <w:szCs w:val="26"/>
              </w:rPr>
            </w:pPr>
            <w:r w:rsidRPr="00421589">
              <w:rPr>
                <w:sz w:val="26"/>
                <w:szCs w:val="26"/>
              </w:rPr>
              <w:t>1.2. valsts speciālais budžets</w:t>
            </w:r>
          </w:p>
        </w:tc>
        <w:tc>
          <w:tcPr>
            <w:tcW w:w="1161" w:type="dxa"/>
          </w:tcPr>
          <w:p w14:paraId="08608E2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7B3A5ED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0955FEF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4322B92C"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2626A15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0626DB30" w14:textId="77777777" w:rsidTr="009604FB">
        <w:trPr>
          <w:trHeight w:val="541"/>
          <w:jc w:val="center"/>
        </w:trPr>
        <w:tc>
          <w:tcPr>
            <w:tcW w:w="1896" w:type="dxa"/>
          </w:tcPr>
          <w:p w14:paraId="77B01D85" w14:textId="77777777" w:rsidR="00631690" w:rsidRPr="00421589" w:rsidRDefault="00653DEA" w:rsidP="009604FB">
            <w:pPr>
              <w:pStyle w:val="naisf"/>
              <w:spacing w:before="0" w:beforeAutospacing="0" w:after="0" w:afterAutospacing="0"/>
              <w:rPr>
                <w:i/>
                <w:sz w:val="26"/>
                <w:szCs w:val="26"/>
              </w:rPr>
            </w:pPr>
            <w:r w:rsidRPr="00421589">
              <w:rPr>
                <w:sz w:val="26"/>
                <w:szCs w:val="26"/>
              </w:rPr>
              <w:t>1.3. pašvaldību budžets</w:t>
            </w:r>
          </w:p>
        </w:tc>
        <w:tc>
          <w:tcPr>
            <w:tcW w:w="1161" w:type="dxa"/>
          </w:tcPr>
          <w:p w14:paraId="3A6976EC"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7B03FC18"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62EB260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21F619D"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38F0BA46"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5B610769" w14:textId="77777777" w:rsidTr="009604FB">
        <w:trPr>
          <w:trHeight w:val="556"/>
          <w:jc w:val="center"/>
        </w:trPr>
        <w:tc>
          <w:tcPr>
            <w:tcW w:w="1896" w:type="dxa"/>
          </w:tcPr>
          <w:p w14:paraId="1BB3660E" w14:textId="77777777" w:rsidR="00631690" w:rsidRPr="00421589" w:rsidRDefault="00653DEA" w:rsidP="009604FB">
            <w:pPr>
              <w:rPr>
                <w:sz w:val="26"/>
                <w:szCs w:val="26"/>
              </w:rPr>
            </w:pPr>
            <w:r w:rsidRPr="00421589">
              <w:rPr>
                <w:sz w:val="26"/>
                <w:szCs w:val="26"/>
              </w:rPr>
              <w:t>2. Budžeta izdevumi:</w:t>
            </w:r>
          </w:p>
        </w:tc>
        <w:tc>
          <w:tcPr>
            <w:tcW w:w="1161" w:type="dxa"/>
          </w:tcPr>
          <w:p w14:paraId="4C5EE19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6F01CBD3"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32F559A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097D738D"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2CC6A2D1"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0305FECC" w14:textId="77777777" w:rsidTr="009604FB">
        <w:trPr>
          <w:trHeight w:val="541"/>
          <w:jc w:val="center"/>
        </w:trPr>
        <w:tc>
          <w:tcPr>
            <w:tcW w:w="1896" w:type="dxa"/>
          </w:tcPr>
          <w:p w14:paraId="34663F08" w14:textId="77777777" w:rsidR="00631690" w:rsidRPr="00421589" w:rsidRDefault="00653DEA" w:rsidP="009604FB">
            <w:pPr>
              <w:rPr>
                <w:sz w:val="26"/>
                <w:szCs w:val="26"/>
              </w:rPr>
            </w:pPr>
            <w:r w:rsidRPr="00421589">
              <w:rPr>
                <w:sz w:val="26"/>
                <w:szCs w:val="26"/>
              </w:rPr>
              <w:t>2.1. valsts pamatbudžets</w:t>
            </w:r>
          </w:p>
        </w:tc>
        <w:tc>
          <w:tcPr>
            <w:tcW w:w="1161" w:type="dxa"/>
          </w:tcPr>
          <w:p w14:paraId="518CE15C"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24AE5CE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502E61D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1E6BFB67"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2F985BC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1855410B" w14:textId="77777777" w:rsidTr="009604FB">
        <w:trPr>
          <w:trHeight w:val="556"/>
          <w:jc w:val="center"/>
        </w:trPr>
        <w:tc>
          <w:tcPr>
            <w:tcW w:w="1896" w:type="dxa"/>
          </w:tcPr>
          <w:p w14:paraId="180C843F" w14:textId="77777777" w:rsidR="00631690" w:rsidRPr="00421589" w:rsidRDefault="00653DEA" w:rsidP="009604FB">
            <w:pPr>
              <w:rPr>
                <w:sz w:val="26"/>
                <w:szCs w:val="26"/>
              </w:rPr>
            </w:pPr>
            <w:r w:rsidRPr="00421589">
              <w:rPr>
                <w:sz w:val="26"/>
                <w:szCs w:val="26"/>
              </w:rPr>
              <w:t>2.2. valsts speciālais budžets</w:t>
            </w:r>
          </w:p>
        </w:tc>
        <w:tc>
          <w:tcPr>
            <w:tcW w:w="1161" w:type="dxa"/>
          </w:tcPr>
          <w:p w14:paraId="333A17D7"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56B1715D"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7056E9F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515A286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0ACDE84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2EBDC5EB" w14:textId="77777777" w:rsidTr="009604FB">
        <w:trPr>
          <w:trHeight w:val="541"/>
          <w:jc w:val="center"/>
        </w:trPr>
        <w:tc>
          <w:tcPr>
            <w:tcW w:w="1896" w:type="dxa"/>
          </w:tcPr>
          <w:p w14:paraId="19ACF487" w14:textId="77777777" w:rsidR="00631690" w:rsidRPr="00421589" w:rsidRDefault="00653DEA" w:rsidP="009604FB">
            <w:pPr>
              <w:rPr>
                <w:sz w:val="26"/>
                <w:szCs w:val="26"/>
              </w:rPr>
            </w:pPr>
            <w:r w:rsidRPr="00421589">
              <w:rPr>
                <w:sz w:val="26"/>
                <w:szCs w:val="26"/>
              </w:rPr>
              <w:t xml:space="preserve">2.3. pašvaldību budžets </w:t>
            </w:r>
          </w:p>
        </w:tc>
        <w:tc>
          <w:tcPr>
            <w:tcW w:w="1161" w:type="dxa"/>
          </w:tcPr>
          <w:p w14:paraId="1B2D94F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3EB9A5B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73176EB0"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64FE56E3"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0C58338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52F2A6CE" w14:textId="77777777" w:rsidTr="009604FB">
        <w:trPr>
          <w:trHeight w:val="556"/>
          <w:jc w:val="center"/>
        </w:trPr>
        <w:tc>
          <w:tcPr>
            <w:tcW w:w="1896" w:type="dxa"/>
          </w:tcPr>
          <w:p w14:paraId="415E9639" w14:textId="77777777" w:rsidR="00631690" w:rsidRPr="00421589" w:rsidRDefault="00653DEA" w:rsidP="009604FB">
            <w:pPr>
              <w:rPr>
                <w:sz w:val="26"/>
                <w:szCs w:val="26"/>
              </w:rPr>
            </w:pPr>
            <w:r w:rsidRPr="00421589">
              <w:rPr>
                <w:sz w:val="26"/>
                <w:szCs w:val="26"/>
              </w:rPr>
              <w:t>3. Finansiālā ietekme:</w:t>
            </w:r>
          </w:p>
        </w:tc>
        <w:tc>
          <w:tcPr>
            <w:tcW w:w="1161" w:type="dxa"/>
            <w:shd w:val="clear" w:color="auto" w:fill="auto"/>
            <w:vAlign w:val="center"/>
          </w:tcPr>
          <w:p w14:paraId="64B5D7F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2F2B98C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36907637" w14:textId="2EA3E689"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5F13DBBE" w14:textId="60CFDE99"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17E1F7F8" w14:textId="219B82B4"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r>
      <w:tr w:rsidR="00544E5F" w14:paraId="658E16C5" w14:textId="77777777" w:rsidTr="009604FB">
        <w:trPr>
          <w:trHeight w:val="541"/>
          <w:jc w:val="center"/>
        </w:trPr>
        <w:tc>
          <w:tcPr>
            <w:tcW w:w="1896" w:type="dxa"/>
          </w:tcPr>
          <w:p w14:paraId="41F61224" w14:textId="77777777" w:rsidR="00631690" w:rsidRPr="00421589" w:rsidRDefault="00653DEA" w:rsidP="009604FB">
            <w:pPr>
              <w:rPr>
                <w:sz w:val="26"/>
                <w:szCs w:val="26"/>
              </w:rPr>
            </w:pPr>
            <w:r w:rsidRPr="00421589">
              <w:rPr>
                <w:sz w:val="26"/>
                <w:szCs w:val="26"/>
              </w:rPr>
              <w:t>3.1. valsts pamatbudžets</w:t>
            </w:r>
          </w:p>
        </w:tc>
        <w:tc>
          <w:tcPr>
            <w:tcW w:w="1161" w:type="dxa"/>
            <w:shd w:val="clear" w:color="auto" w:fill="auto"/>
          </w:tcPr>
          <w:p w14:paraId="1822B8BC"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0715CCF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6A657400" w14:textId="65F1F52D"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51201464" w14:textId="0E57AB9F"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c>
          <w:tcPr>
            <w:tcW w:w="1634" w:type="dxa"/>
          </w:tcPr>
          <w:p w14:paraId="56BB2BD9" w14:textId="545FB84B" w:rsidR="00631690" w:rsidRPr="00421589" w:rsidRDefault="00653DEA" w:rsidP="00AD0BD6">
            <w:pPr>
              <w:pStyle w:val="naisf"/>
              <w:spacing w:before="0" w:beforeAutospacing="0" w:after="0" w:afterAutospacing="0"/>
              <w:jc w:val="center"/>
              <w:rPr>
                <w:sz w:val="26"/>
                <w:szCs w:val="26"/>
              </w:rPr>
            </w:pPr>
            <w:r w:rsidRPr="00421589">
              <w:rPr>
                <w:sz w:val="26"/>
                <w:szCs w:val="26"/>
              </w:rPr>
              <w:t>0</w:t>
            </w:r>
          </w:p>
        </w:tc>
      </w:tr>
      <w:tr w:rsidR="00544E5F" w14:paraId="1B6170D6" w14:textId="77777777" w:rsidTr="009604FB">
        <w:trPr>
          <w:trHeight w:val="541"/>
          <w:jc w:val="center"/>
        </w:trPr>
        <w:tc>
          <w:tcPr>
            <w:tcW w:w="1896" w:type="dxa"/>
          </w:tcPr>
          <w:p w14:paraId="170C75D6" w14:textId="77777777" w:rsidR="00631690" w:rsidRPr="00421589" w:rsidRDefault="00653DEA" w:rsidP="009604FB">
            <w:pPr>
              <w:rPr>
                <w:sz w:val="26"/>
                <w:szCs w:val="26"/>
              </w:rPr>
            </w:pPr>
            <w:r w:rsidRPr="00421589">
              <w:rPr>
                <w:sz w:val="26"/>
                <w:szCs w:val="26"/>
              </w:rPr>
              <w:t>3.2. speciālais budžets</w:t>
            </w:r>
          </w:p>
        </w:tc>
        <w:tc>
          <w:tcPr>
            <w:tcW w:w="1161" w:type="dxa"/>
            <w:shd w:val="clear" w:color="auto" w:fill="auto"/>
          </w:tcPr>
          <w:p w14:paraId="5411464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35C283E3"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024A70BD"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CD3AAE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5F5001C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5A7648C5" w14:textId="77777777" w:rsidTr="009604FB">
        <w:trPr>
          <w:trHeight w:val="556"/>
          <w:jc w:val="center"/>
        </w:trPr>
        <w:tc>
          <w:tcPr>
            <w:tcW w:w="1896" w:type="dxa"/>
          </w:tcPr>
          <w:p w14:paraId="04327C0A" w14:textId="77777777" w:rsidR="00631690" w:rsidRPr="00421589" w:rsidRDefault="00653DEA" w:rsidP="009604FB">
            <w:pPr>
              <w:rPr>
                <w:sz w:val="26"/>
                <w:szCs w:val="26"/>
              </w:rPr>
            </w:pPr>
            <w:r w:rsidRPr="00421589">
              <w:rPr>
                <w:sz w:val="26"/>
                <w:szCs w:val="26"/>
              </w:rPr>
              <w:t xml:space="preserve">3.3. pašvaldību budžets </w:t>
            </w:r>
          </w:p>
        </w:tc>
        <w:tc>
          <w:tcPr>
            <w:tcW w:w="1161" w:type="dxa"/>
            <w:shd w:val="clear" w:color="auto" w:fill="auto"/>
          </w:tcPr>
          <w:p w14:paraId="1FCD4B40"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266" w:type="dxa"/>
          </w:tcPr>
          <w:p w14:paraId="21CC91E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4005C82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38DC17FF"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6E916255"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3152C8D1" w14:textId="77777777" w:rsidTr="009604FB">
        <w:trPr>
          <w:trHeight w:val="270"/>
          <w:jc w:val="center"/>
        </w:trPr>
        <w:tc>
          <w:tcPr>
            <w:tcW w:w="1896" w:type="dxa"/>
            <w:vMerge w:val="restart"/>
          </w:tcPr>
          <w:p w14:paraId="06D28B01" w14:textId="77777777" w:rsidR="00631690" w:rsidRPr="00421589" w:rsidRDefault="00653DEA" w:rsidP="009604FB">
            <w:pPr>
              <w:rPr>
                <w:sz w:val="26"/>
                <w:szCs w:val="26"/>
              </w:rPr>
            </w:pPr>
            <w:r w:rsidRPr="00421589">
              <w:rPr>
                <w:sz w:val="26"/>
                <w:szCs w:val="26"/>
              </w:rPr>
              <w:t>4. Finanšu līdzekļi papildu izdevumu finansēšanai (kompensējošu izdevumu samazinājumu norāda ar “+” zīmi)</w:t>
            </w:r>
          </w:p>
        </w:tc>
        <w:tc>
          <w:tcPr>
            <w:tcW w:w="1161" w:type="dxa"/>
            <w:vMerge w:val="restart"/>
          </w:tcPr>
          <w:p w14:paraId="562B6C3F"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X</w:t>
            </w:r>
          </w:p>
        </w:tc>
        <w:tc>
          <w:tcPr>
            <w:tcW w:w="1266" w:type="dxa"/>
          </w:tcPr>
          <w:p w14:paraId="5AE48048"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0B1A2A5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05D81452"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4D903BC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66FBA905" w14:textId="77777777" w:rsidTr="009604FB">
        <w:trPr>
          <w:trHeight w:val="285"/>
          <w:jc w:val="center"/>
        </w:trPr>
        <w:tc>
          <w:tcPr>
            <w:tcW w:w="1896" w:type="dxa"/>
            <w:vMerge/>
          </w:tcPr>
          <w:p w14:paraId="4FEECD3F" w14:textId="77777777" w:rsidR="00631690" w:rsidRPr="00421589" w:rsidRDefault="00972FB0" w:rsidP="009604FB">
            <w:pPr>
              <w:rPr>
                <w:sz w:val="26"/>
                <w:szCs w:val="26"/>
              </w:rPr>
            </w:pPr>
          </w:p>
        </w:tc>
        <w:tc>
          <w:tcPr>
            <w:tcW w:w="1161" w:type="dxa"/>
            <w:vMerge/>
          </w:tcPr>
          <w:p w14:paraId="1744C321" w14:textId="77777777" w:rsidR="00631690" w:rsidRPr="00421589" w:rsidRDefault="00972FB0" w:rsidP="009604FB">
            <w:pPr>
              <w:pStyle w:val="naisf"/>
              <w:spacing w:before="0" w:beforeAutospacing="0" w:after="0" w:afterAutospacing="0"/>
              <w:jc w:val="center"/>
              <w:rPr>
                <w:sz w:val="26"/>
                <w:szCs w:val="26"/>
              </w:rPr>
            </w:pPr>
          </w:p>
        </w:tc>
        <w:tc>
          <w:tcPr>
            <w:tcW w:w="1266" w:type="dxa"/>
          </w:tcPr>
          <w:p w14:paraId="43FE8947"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16E53CCA"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359DC9C"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5971349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1685F3BB" w14:textId="77777777" w:rsidTr="009604FB">
        <w:trPr>
          <w:trHeight w:val="1369"/>
          <w:jc w:val="center"/>
        </w:trPr>
        <w:tc>
          <w:tcPr>
            <w:tcW w:w="1896" w:type="dxa"/>
            <w:vMerge/>
          </w:tcPr>
          <w:p w14:paraId="5F90240B" w14:textId="77777777" w:rsidR="00631690" w:rsidRPr="00421589" w:rsidRDefault="00972FB0" w:rsidP="009604FB">
            <w:pPr>
              <w:rPr>
                <w:sz w:val="26"/>
                <w:szCs w:val="26"/>
              </w:rPr>
            </w:pPr>
          </w:p>
        </w:tc>
        <w:tc>
          <w:tcPr>
            <w:tcW w:w="1161" w:type="dxa"/>
            <w:vMerge/>
          </w:tcPr>
          <w:p w14:paraId="37C3A42C" w14:textId="77777777" w:rsidR="00631690" w:rsidRPr="00421589" w:rsidRDefault="00972FB0" w:rsidP="009604FB">
            <w:pPr>
              <w:pStyle w:val="naisf"/>
              <w:spacing w:before="0" w:beforeAutospacing="0" w:after="0" w:afterAutospacing="0"/>
              <w:jc w:val="center"/>
              <w:rPr>
                <w:sz w:val="26"/>
                <w:szCs w:val="26"/>
              </w:rPr>
            </w:pPr>
          </w:p>
        </w:tc>
        <w:tc>
          <w:tcPr>
            <w:tcW w:w="1266" w:type="dxa"/>
          </w:tcPr>
          <w:p w14:paraId="677DEE38"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6528CA0F"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68DC9AFB"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23280D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48DA34C7" w14:textId="77777777" w:rsidTr="009604FB">
        <w:trPr>
          <w:trHeight w:val="556"/>
          <w:jc w:val="center"/>
        </w:trPr>
        <w:tc>
          <w:tcPr>
            <w:tcW w:w="1896" w:type="dxa"/>
          </w:tcPr>
          <w:p w14:paraId="2BE3F9D1" w14:textId="77777777" w:rsidR="00631690" w:rsidRPr="00421589" w:rsidRDefault="00653DEA" w:rsidP="009604FB">
            <w:pPr>
              <w:rPr>
                <w:sz w:val="26"/>
                <w:szCs w:val="26"/>
              </w:rPr>
            </w:pPr>
            <w:r w:rsidRPr="00421589">
              <w:rPr>
                <w:sz w:val="26"/>
                <w:szCs w:val="26"/>
              </w:rPr>
              <w:t>5. Precizēta finansiālā ietekme:</w:t>
            </w:r>
          </w:p>
        </w:tc>
        <w:tc>
          <w:tcPr>
            <w:tcW w:w="1161" w:type="dxa"/>
            <w:vMerge w:val="restart"/>
          </w:tcPr>
          <w:p w14:paraId="63F39932"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X</w:t>
            </w:r>
          </w:p>
        </w:tc>
        <w:tc>
          <w:tcPr>
            <w:tcW w:w="1266" w:type="dxa"/>
          </w:tcPr>
          <w:p w14:paraId="1348FDF1"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7242B3C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03F8DAF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CF4728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6BE355E9" w14:textId="77777777" w:rsidTr="009604FB">
        <w:trPr>
          <w:trHeight w:val="541"/>
          <w:jc w:val="center"/>
        </w:trPr>
        <w:tc>
          <w:tcPr>
            <w:tcW w:w="1896" w:type="dxa"/>
          </w:tcPr>
          <w:p w14:paraId="762795D3" w14:textId="77777777" w:rsidR="00631690" w:rsidRPr="00421589" w:rsidRDefault="00653DEA" w:rsidP="009604FB">
            <w:pPr>
              <w:rPr>
                <w:sz w:val="26"/>
                <w:szCs w:val="26"/>
              </w:rPr>
            </w:pPr>
            <w:r w:rsidRPr="00421589">
              <w:rPr>
                <w:sz w:val="26"/>
                <w:szCs w:val="26"/>
              </w:rPr>
              <w:t>5.1. valsts pamatbudžets</w:t>
            </w:r>
          </w:p>
        </w:tc>
        <w:tc>
          <w:tcPr>
            <w:tcW w:w="1161" w:type="dxa"/>
            <w:vMerge/>
            <w:vAlign w:val="center"/>
          </w:tcPr>
          <w:p w14:paraId="67ABB031" w14:textId="77777777" w:rsidR="00631690" w:rsidRPr="00421589" w:rsidRDefault="00972FB0" w:rsidP="009604FB">
            <w:pPr>
              <w:pStyle w:val="naisf"/>
              <w:spacing w:before="0" w:beforeAutospacing="0" w:after="0" w:afterAutospacing="0"/>
              <w:jc w:val="center"/>
              <w:rPr>
                <w:sz w:val="26"/>
                <w:szCs w:val="26"/>
              </w:rPr>
            </w:pPr>
          </w:p>
        </w:tc>
        <w:tc>
          <w:tcPr>
            <w:tcW w:w="1266" w:type="dxa"/>
          </w:tcPr>
          <w:p w14:paraId="4093416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6C412B6A"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1B2B6C4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6BE5D9D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682DDD2B" w14:textId="77777777" w:rsidTr="009604FB">
        <w:trPr>
          <w:trHeight w:val="556"/>
          <w:jc w:val="center"/>
        </w:trPr>
        <w:tc>
          <w:tcPr>
            <w:tcW w:w="1896" w:type="dxa"/>
          </w:tcPr>
          <w:p w14:paraId="0B63C40F" w14:textId="77777777" w:rsidR="00631690" w:rsidRPr="00421589" w:rsidRDefault="00653DEA" w:rsidP="009604FB">
            <w:pPr>
              <w:rPr>
                <w:sz w:val="26"/>
                <w:szCs w:val="26"/>
              </w:rPr>
            </w:pPr>
            <w:r w:rsidRPr="00421589">
              <w:rPr>
                <w:sz w:val="26"/>
                <w:szCs w:val="26"/>
              </w:rPr>
              <w:t>5.2. speciālais budžets</w:t>
            </w:r>
          </w:p>
        </w:tc>
        <w:tc>
          <w:tcPr>
            <w:tcW w:w="1161" w:type="dxa"/>
            <w:vMerge/>
            <w:vAlign w:val="center"/>
          </w:tcPr>
          <w:p w14:paraId="0D652308" w14:textId="77777777" w:rsidR="00631690" w:rsidRPr="00421589" w:rsidRDefault="00972FB0" w:rsidP="009604FB">
            <w:pPr>
              <w:pStyle w:val="naisf"/>
              <w:spacing w:before="0" w:beforeAutospacing="0" w:after="0" w:afterAutospacing="0"/>
              <w:jc w:val="center"/>
              <w:rPr>
                <w:sz w:val="26"/>
                <w:szCs w:val="26"/>
              </w:rPr>
            </w:pPr>
          </w:p>
        </w:tc>
        <w:tc>
          <w:tcPr>
            <w:tcW w:w="1266" w:type="dxa"/>
          </w:tcPr>
          <w:p w14:paraId="7BFDAA7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4D8293A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2566DBC3"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760991DE"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78859BAA" w14:textId="77777777" w:rsidTr="009604FB">
        <w:trPr>
          <w:trHeight w:val="541"/>
          <w:jc w:val="center"/>
        </w:trPr>
        <w:tc>
          <w:tcPr>
            <w:tcW w:w="1896" w:type="dxa"/>
          </w:tcPr>
          <w:p w14:paraId="428AADA3" w14:textId="77777777" w:rsidR="00631690" w:rsidRPr="00421589" w:rsidRDefault="00653DEA" w:rsidP="009604FB">
            <w:pPr>
              <w:rPr>
                <w:sz w:val="26"/>
                <w:szCs w:val="26"/>
              </w:rPr>
            </w:pPr>
            <w:r w:rsidRPr="00421589">
              <w:rPr>
                <w:sz w:val="26"/>
                <w:szCs w:val="26"/>
              </w:rPr>
              <w:t xml:space="preserve">5.3. pašvaldību budžets </w:t>
            </w:r>
          </w:p>
        </w:tc>
        <w:tc>
          <w:tcPr>
            <w:tcW w:w="1161" w:type="dxa"/>
            <w:vMerge/>
            <w:vAlign w:val="center"/>
          </w:tcPr>
          <w:p w14:paraId="5D341916" w14:textId="77777777" w:rsidR="00631690" w:rsidRPr="00421589" w:rsidRDefault="00972FB0" w:rsidP="009604FB">
            <w:pPr>
              <w:pStyle w:val="naisf"/>
              <w:spacing w:before="0" w:beforeAutospacing="0" w:after="0" w:afterAutospacing="0"/>
              <w:jc w:val="center"/>
              <w:rPr>
                <w:sz w:val="26"/>
                <w:szCs w:val="26"/>
              </w:rPr>
            </w:pPr>
          </w:p>
        </w:tc>
        <w:tc>
          <w:tcPr>
            <w:tcW w:w="1266" w:type="dxa"/>
          </w:tcPr>
          <w:p w14:paraId="32B336C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978" w:type="dxa"/>
          </w:tcPr>
          <w:p w14:paraId="20499609"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420DA904"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c>
          <w:tcPr>
            <w:tcW w:w="1634" w:type="dxa"/>
          </w:tcPr>
          <w:p w14:paraId="2119DED0" w14:textId="77777777" w:rsidR="00631690" w:rsidRPr="00421589" w:rsidRDefault="00653DEA" w:rsidP="009604FB">
            <w:pPr>
              <w:pStyle w:val="naisf"/>
              <w:spacing w:before="0" w:beforeAutospacing="0" w:after="0" w:afterAutospacing="0"/>
              <w:jc w:val="center"/>
              <w:rPr>
                <w:sz w:val="26"/>
                <w:szCs w:val="26"/>
              </w:rPr>
            </w:pPr>
            <w:r w:rsidRPr="00421589">
              <w:rPr>
                <w:sz w:val="26"/>
                <w:szCs w:val="26"/>
              </w:rPr>
              <w:t>0</w:t>
            </w:r>
          </w:p>
        </w:tc>
      </w:tr>
      <w:tr w:rsidR="00544E5F" w14:paraId="1C702C01" w14:textId="77777777" w:rsidTr="009604FB">
        <w:trPr>
          <w:trHeight w:val="2226"/>
          <w:jc w:val="center"/>
        </w:trPr>
        <w:tc>
          <w:tcPr>
            <w:tcW w:w="1896" w:type="dxa"/>
          </w:tcPr>
          <w:p w14:paraId="38B1BB40" w14:textId="77777777" w:rsidR="00631690" w:rsidRPr="00421589" w:rsidRDefault="00653DEA" w:rsidP="009604FB">
            <w:pPr>
              <w:rPr>
                <w:sz w:val="26"/>
                <w:szCs w:val="26"/>
              </w:rPr>
            </w:pPr>
            <w:r w:rsidRPr="00421589">
              <w:rPr>
                <w:sz w:val="26"/>
                <w:szCs w:val="26"/>
              </w:rPr>
              <w:lastRenderedPageBreak/>
              <w:t>6. Detalizēts ieņēmumu un izdevumu aprēķins (ja nepie</w:t>
            </w:r>
            <w:r w:rsidRPr="00421589">
              <w:rPr>
                <w:sz w:val="26"/>
                <w:szCs w:val="26"/>
              </w:rPr>
              <w:softHyphen/>
              <w:t>ciešams, detalizētu ieņēmumu un izdevumu aprēķinu var pie</w:t>
            </w:r>
            <w:r w:rsidRPr="00421589">
              <w:rPr>
                <w:sz w:val="26"/>
                <w:szCs w:val="26"/>
              </w:rPr>
              <w:softHyphen/>
              <w:t>vienot anotācijas pielikumā):</w:t>
            </w:r>
          </w:p>
        </w:tc>
        <w:tc>
          <w:tcPr>
            <w:tcW w:w="7673" w:type="dxa"/>
            <w:gridSpan w:val="5"/>
            <w:vAlign w:val="center"/>
          </w:tcPr>
          <w:p w14:paraId="35A1D4DE" w14:textId="5386A6F8" w:rsidR="00631690" w:rsidRPr="00421589" w:rsidRDefault="00653DEA" w:rsidP="003F487D">
            <w:pPr>
              <w:autoSpaceDE w:val="0"/>
              <w:autoSpaceDN w:val="0"/>
              <w:adjustRightInd w:val="0"/>
              <w:jc w:val="both"/>
              <w:rPr>
                <w:sz w:val="26"/>
                <w:szCs w:val="26"/>
              </w:rPr>
            </w:pPr>
            <w:r>
              <w:rPr>
                <w:sz w:val="26"/>
                <w:szCs w:val="26"/>
              </w:rPr>
              <w:t>Projekts šo jomu neskar</w:t>
            </w:r>
          </w:p>
        </w:tc>
      </w:tr>
      <w:tr w:rsidR="00544E5F" w14:paraId="6B3259CA" w14:textId="77777777" w:rsidTr="009604FB">
        <w:trPr>
          <w:trHeight w:val="556"/>
          <w:jc w:val="center"/>
        </w:trPr>
        <w:tc>
          <w:tcPr>
            <w:tcW w:w="1896" w:type="dxa"/>
          </w:tcPr>
          <w:p w14:paraId="1654F6A9" w14:textId="77777777" w:rsidR="00631690" w:rsidRPr="00421589" w:rsidRDefault="00653DEA" w:rsidP="009604FB">
            <w:pPr>
              <w:rPr>
                <w:sz w:val="26"/>
                <w:szCs w:val="26"/>
              </w:rPr>
            </w:pPr>
            <w:r w:rsidRPr="00421589">
              <w:rPr>
                <w:sz w:val="26"/>
                <w:szCs w:val="26"/>
              </w:rPr>
              <w:t>6.1. detalizēts ieņēmumu aprēķins</w:t>
            </w:r>
          </w:p>
        </w:tc>
        <w:tc>
          <w:tcPr>
            <w:tcW w:w="7673" w:type="dxa"/>
            <w:gridSpan w:val="5"/>
          </w:tcPr>
          <w:p w14:paraId="54877222" w14:textId="77777777" w:rsidR="00631690" w:rsidRPr="00421589" w:rsidRDefault="00972FB0" w:rsidP="009604FB">
            <w:pPr>
              <w:pStyle w:val="naisf"/>
              <w:spacing w:before="0" w:beforeAutospacing="0" w:after="0" w:afterAutospacing="0"/>
              <w:jc w:val="both"/>
              <w:rPr>
                <w:sz w:val="26"/>
                <w:szCs w:val="26"/>
              </w:rPr>
            </w:pPr>
          </w:p>
        </w:tc>
      </w:tr>
      <w:tr w:rsidR="00544E5F" w14:paraId="250E09D0" w14:textId="77777777" w:rsidTr="009604FB">
        <w:trPr>
          <w:trHeight w:val="541"/>
          <w:jc w:val="center"/>
        </w:trPr>
        <w:tc>
          <w:tcPr>
            <w:tcW w:w="1896" w:type="dxa"/>
          </w:tcPr>
          <w:p w14:paraId="05AB999D" w14:textId="77777777" w:rsidR="00631690" w:rsidRPr="00421589" w:rsidRDefault="00653DEA" w:rsidP="009604FB">
            <w:pPr>
              <w:rPr>
                <w:sz w:val="26"/>
                <w:szCs w:val="26"/>
              </w:rPr>
            </w:pPr>
            <w:r w:rsidRPr="00421589">
              <w:rPr>
                <w:sz w:val="26"/>
                <w:szCs w:val="26"/>
              </w:rPr>
              <w:t>6.2. detalizēts izdevumu aprēķins</w:t>
            </w:r>
          </w:p>
        </w:tc>
        <w:tc>
          <w:tcPr>
            <w:tcW w:w="7673" w:type="dxa"/>
            <w:gridSpan w:val="5"/>
          </w:tcPr>
          <w:p w14:paraId="2330DFFF" w14:textId="77777777" w:rsidR="00631690" w:rsidRPr="00421589" w:rsidRDefault="00972FB0" w:rsidP="009604FB">
            <w:pPr>
              <w:pStyle w:val="naisf"/>
              <w:spacing w:before="0" w:beforeAutospacing="0" w:after="0" w:afterAutospacing="0"/>
              <w:jc w:val="both"/>
              <w:rPr>
                <w:sz w:val="26"/>
                <w:szCs w:val="26"/>
              </w:rPr>
            </w:pPr>
          </w:p>
        </w:tc>
      </w:tr>
      <w:tr w:rsidR="00544E5F" w14:paraId="2AC482D4" w14:textId="77777777" w:rsidTr="009604FB">
        <w:trPr>
          <w:trHeight w:val="557"/>
          <w:jc w:val="center"/>
        </w:trPr>
        <w:tc>
          <w:tcPr>
            <w:tcW w:w="1896" w:type="dxa"/>
          </w:tcPr>
          <w:p w14:paraId="269B31AD" w14:textId="77777777" w:rsidR="00631690" w:rsidRPr="00421589" w:rsidRDefault="00653DEA" w:rsidP="009604FB">
            <w:pPr>
              <w:rPr>
                <w:sz w:val="26"/>
                <w:szCs w:val="26"/>
              </w:rPr>
            </w:pPr>
            <w:r w:rsidRPr="00421589">
              <w:rPr>
                <w:sz w:val="26"/>
                <w:szCs w:val="26"/>
              </w:rPr>
              <w:t>7. Cita informācija</w:t>
            </w:r>
          </w:p>
        </w:tc>
        <w:tc>
          <w:tcPr>
            <w:tcW w:w="7673" w:type="dxa"/>
            <w:gridSpan w:val="5"/>
          </w:tcPr>
          <w:p w14:paraId="2ACD8DC5" w14:textId="4315BA3E" w:rsidR="00631690" w:rsidRPr="006B3A47" w:rsidRDefault="00653DEA" w:rsidP="00F27727">
            <w:pPr>
              <w:pStyle w:val="ListParagraph"/>
              <w:tabs>
                <w:tab w:val="left" w:pos="486"/>
              </w:tabs>
              <w:spacing w:after="0" w:line="240" w:lineRule="auto"/>
              <w:ind w:left="0"/>
              <w:jc w:val="both"/>
              <w:rPr>
                <w:sz w:val="26"/>
                <w:szCs w:val="26"/>
              </w:rPr>
            </w:pPr>
            <w:r>
              <w:rPr>
                <w:sz w:val="26"/>
                <w:szCs w:val="26"/>
              </w:rPr>
              <w:t>N</w:t>
            </w:r>
            <w:r w:rsidRPr="006B3A47">
              <w:rPr>
                <w:sz w:val="26"/>
                <w:szCs w:val="26"/>
              </w:rPr>
              <w:t xml:space="preserve">epieciešamais finansējums </w:t>
            </w:r>
            <w:r>
              <w:rPr>
                <w:sz w:val="26"/>
                <w:szCs w:val="26"/>
              </w:rPr>
              <w:t xml:space="preserve">izmaiņām </w:t>
            </w:r>
            <w:r w:rsidRPr="006B3A47">
              <w:rPr>
                <w:sz w:val="26"/>
                <w:szCs w:val="26"/>
              </w:rPr>
              <w:t xml:space="preserve">Valsts ieņēmumu dienesta informācijas sistēmās 42 592 </w:t>
            </w:r>
            <w:r w:rsidRPr="00983AAD">
              <w:rPr>
                <w:i/>
                <w:sz w:val="26"/>
                <w:szCs w:val="26"/>
              </w:rPr>
              <w:t>euro</w:t>
            </w:r>
            <w:r w:rsidRPr="006B3A47">
              <w:rPr>
                <w:sz w:val="26"/>
                <w:szCs w:val="26"/>
              </w:rPr>
              <w:t xml:space="preserve"> apmērā tiks nodrošināts Finanšu ministrijas budžeta programmas 33.00.00 “Valsts ieņēmumu un muitas politikas nodrošināšana” Valsts nodokļu politikas pamatnostādņu 2018.-2021.gadam ieviešanai piešķirtā finansējuma ietvaros.</w:t>
            </w:r>
          </w:p>
        </w:tc>
      </w:tr>
    </w:tbl>
    <w:p w14:paraId="4FDBC4B3" w14:textId="77777777" w:rsidR="00631690" w:rsidRPr="00421589" w:rsidRDefault="00972FB0" w:rsidP="00026C45">
      <w:pPr>
        <w:rPr>
          <w:sz w:val="26"/>
          <w:szCs w:val="26"/>
        </w:rPr>
      </w:pPr>
    </w:p>
    <w:tbl>
      <w:tblPr>
        <w:tblStyle w:val="TableGrid"/>
        <w:tblW w:w="9640" w:type="dxa"/>
        <w:tblInd w:w="-289" w:type="dxa"/>
        <w:tblLook w:val="04A0" w:firstRow="1" w:lastRow="0" w:firstColumn="1" w:lastColumn="0" w:noHBand="0" w:noVBand="1"/>
      </w:tblPr>
      <w:tblGrid>
        <w:gridCol w:w="9640"/>
      </w:tblGrid>
      <w:tr w:rsidR="002C3866" w14:paraId="1C87E205" w14:textId="77777777" w:rsidTr="00AA2C93">
        <w:tc>
          <w:tcPr>
            <w:tcW w:w="9640" w:type="dxa"/>
          </w:tcPr>
          <w:p w14:paraId="224A6EC3" w14:textId="1423999B" w:rsidR="002C3866" w:rsidRPr="00AA2C93" w:rsidRDefault="002C3866" w:rsidP="00026C45">
            <w:pPr>
              <w:rPr>
                <w:b/>
                <w:sz w:val="26"/>
                <w:szCs w:val="26"/>
              </w:rPr>
            </w:pPr>
            <w:r w:rsidRPr="00AA2C93">
              <w:rPr>
                <w:b/>
                <w:sz w:val="26"/>
                <w:szCs w:val="26"/>
              </w:rPr>
              <w:t>IV. Tiesību akta projekta ietekme uz spēkā esošo tiesību normu sistēmu</w:t>
            </w:r>
          </w:p>
        </w:tc>
      </w:tr>
      <w:tr w:rsidR="002C3866" w14:paraId="44F063E9" w14:textId="77777777" w:rsidTr="00AA2C93">
        <w:tc>
          <w:tcPr>
            <w:tcW w:w="9640" w:type="dxa"/>
          </w:tcPr>
          <w:p w14:paraId="23F68F9E" w14:textId="7EEEF22F" w:rsidR="002C3866" w:rsidRDefault="002C3866" w:rsidP="00AA2C93">
            <w:pPr>
              <w:jc w:val="center"/>
              <w:rPr>
                <w:sz w:val="26"/>
                <w:szCs w:val="26"/>
              </w:rPr>
            </w:pPr>
            <w:r>
              <w:rPr>
                <w:sz w:val="26"/>
                <w:szCs w:val="26"/>
              </w:rPr>
              <w:t>Projekts šo jomu neskar</w:t>
            </w:r>
          </w:p>
        </w:tc>
      </w:tr>
    </w:tbl>
    <w:p w14:paraId="3D15DE05" w14:textId="07C0C924" w:rsidR="00631690" w:rsidRDefault="00972FB0" w:rsidP="00026C45">
      <w:pPr>
        <w:rPr>
          <w:sz w:val="26"/>
          <w:szCs w:val="26"/>
        </w:rPr>
      </w:pPr>
    </w:p>
    <w:tbl>
      <w:tblPr>
        <w:tblStyle w:val="TableGrid"/>
        <w:tblW w:w="9640" w:type="dxa"/>
        <w:tblInd w:w="-289" w:type="dxa"/>
        <w:tblLook w:val="04A0" w:firstRow="1" w:lastRow="0" w:firstColumn="1" w:lastColumn="0" w:noHBand="0" w:noVBand="1"/>
      </w:tblPr>
      <w:tblGrid>
        <w:gridCol w:w="9640"/>
      </w:tblGrid>
      <w:tr w:rsidR="002C3866" w14:paraId="1ECE9124" w14:textId="77777777" w:rsidTr="00AA2C93">
        <w:tc>
          <w:tcPr>
            <w:tcW w:w="9640" w:type="dxa"/>
          </w:tcPr>
          <w:p w14:paraId="6E1460B2" w14:textId="45D64368" w:rsidR="002C3866" w:rsidRPr="00AA2C93" w:rsidRDefault="002C3866" w:rsidP="00AA2C93">
            <w:pPr>
              <w:jc w:val="center"/>
              <w:rPr>
                <w:b/>
                <w:sz w:val="26"/>
                <w:szCs w:val="26"/>
              </w:rPr>
            </w:pPr>
            <w:r w:rsidRPr="00AA2C93">
              <w:rPr>
                <w:b/>
                <w:sz w:val="26"/>
                <w:szCs w:val="26"/>
              </w:rPr>
              <w:t>V. Tiesību akta projekta atbilstība Latvijas Republikas starptautiskajām saistībām</w:t>
            </w:r>
          </w:p>
        </w:tc>
      </w:tr>
      <w:tr w:rsidR="002C3866" w14:paraId="0150A0F3" w14:textId="77777777" w:rsidTr="00AA2C93">
        <w:tc>
          <w:tcPr>
            <w:tcW w:w="9640" w:type="dxa"/>
          </w:tcPr>
          <w:p w14:paraId="75A2CAF2" w14:textId="09BAF38D" w:rsidR="002C3866" w:rsidRDefault="002C3866" w:rsidP="00AA2C93">
            <w:pPr>
              <w:jc w:val="center"/>
              <w:rPr>
                <w:sz w:val="26"/>
                <w:szCs w:val="26"/>
              </w:rPr>
            </w:pPr>
            <w:r>
              <w:rPr>
                <w:sz w:val="26"/>
                <w:szCs w:val="26"/>
              </w:rPr>
              <w:t>Projekts šo jomu neskar</w:t>
            </w:r>
          </w:p>
        </w:tc>
      </w:tr>
    </w:tbl>
    <w:p w14:paraId="4A210328" w14:textId="6EEE2575" w:rsidR="002C3866" w:rsidRDefault="002C3866" w:rsidP="00026C45">
      <w:pPr>
        <w:rPr>
          <w:sz w:val="26"/>
          <w:szCs w:val="26"/>
        </w:rPr>
      </w:pPr>
    </w:p>
    <w:tbl>
      <w:tblPr>
        <w:tblW w:w="5245"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02"/>
        <w:gridCol w:w="2717"/>
        <w:gridCol w:w="6180"/>
      </w:tblGrid>
      <w:tr w:rsidR="00544E5F" w14:paraId="30344956" w14:textId="77777777" w:rsidTr="00AA2C93">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F33B3D" w14:textId="77777777" w:rsidR="00026C45" w:rsidRPr="00421589" w:rsidRDefault="00653DEA" w:rsidP="009604FB">
            <w:pPr>
              <w:spacing w:before="100" w:beforeAutospacing="1" w:after="100" w:afterAutospacing="1" w:line="293" w:lineRule="atLeast"/>
              <w:jc w:val="center"/>
              <w:rPr>
                <w:rFonts w:eastAsia="Times New Roman"/>
                <w:b/>
                <w:bCs/>
                <w:sz w:val="26"/>
                <w:szCs w:val="26"/>
                <w:lang w:eastAsia="lv-LV"/>
              </w:rPr>
            </w:pPr>
            <w:r w:rsidRPr="00421589">
              <w:rPr>
                <w:rFonts w:eastAsia="Times New Roman"/>
                <w:b/>
                <w:bCs/>
                <w:sz w:val="26"/>
                <w:szCs w:val="26"/>
                <w:lang w:eastAsia="lv-LV"/>
              </w:rPr>
              <w:t>VI. Sabiedrības līdzdalība un komunikācijas aktivitātes</w:t>
            </w:r>
          </w:p>
        </w:tc>
      </w:tr>
      <w:tr w:rsidR="00544E5F" w14:paraId="5FEBD80E" w14:textId="77777777" w:rsidTr="00AA2C93">
        <w:trPr>
          <w:trHeight w:val="432"/>
          <w:jc w:val="center"/>
        </w:trPr>
        <w:tc>
          <w:tcPr>
            <w:tcW w:w="317" w:type="pct"/>
            <w:tcBorders>
              <w:top w:val="outset" w:sz="6" w:space="0" w:color="414142"/>
              <w:left w:val="outset" w:sz="6" w:space="0" w:color="414142"/>
              <w:bottom w:val="outset" w:sz="6" w:space="0" w:color="414142"/>
              <w:right w:val="outset" w:sz="6" w:space="0" w:color="414142"/>
            </w:tcBorders>
            <w:hideMark/>
          </w:tcPr>
          <w:p w14:paraId="60EE283B"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1.</w:t>
            </w:r>
          </w:p>
        </w:tc>
        <w:tc>
          <w:tcPr>
            <w:tcW w:w="1430" w:type="pct"/>
            <w:tcBorders>
              <w:top w:val="outset" w:sz="6" w:space="0" w:color="414142"/>
              <w:left w:val="outset" w:sz="6" w:space="0" w:color="414142"/>
              <w:bottom w:val="outset" w:sz="6" w:space="0" w:color="414142"/>
              <w:right w:val="outset" w:sz="6" w:space="0" w:color="414142"/>
            </w:tcBorders>
            <w:hideMark/>
          </w:tcPr>
          <w:p w14:paraId="2B8A3DEB" w14:textId="77777777" w:rsidR="00026C45" w:rsidRPr="00421589" w:rsidRDefault="00653DEA" w:rsidP="009604FB">
            <w:pPr>
              <w:rPr>
                <w:rFonts w:eastAsia="Times New Roman"/>
                <w:sz w:val="26"/>
                <w:szCs w:val="26"/>
                <w:lang w:eastAsia="lv-LV"/>
              </w:rPr>
            </w:pPr>
            <w:r w:rsidRPr="00421589">
              <w:rPr>
                <w:rFonts w:eastAsia="Times New Roman"/>
                <w:sz w:val="26"/>
                <w:szCs w:val="26"/>
                <w:lang w:eastAsia="lv-LV"/>
              </w:rPr>
              <w:t>Plānotās sabiedrības līdzdalības un komunikācijas aktivitātes saistībā ar projektu</w:t>
            </w:r>
          </w:p>
        </w:tc>
        <w:tc>
          <w:tcPr>
            <w:tcW w:w="3253" w:type="pct"/>
            <w:tcBorders>
              <w:top w:val="outset" w:sz="6" w:space="0" w:color="414142"/>
              <w:left w:val="outset" w:sz="6" w:space="0" w:color="414142"/>
              <w:bottom w:val="outset" w:sz="6" w:space="0" w:color="414142"/>
              <w:right w:val="outset" w:sz="6" w:space="0" w:color="414142"/>
            </w:tcBorders>
            <w:hideMark/>
          </w:tcPr>
          <w:p w14:paraId="67964845" w14:textId="5DDAFEAD" w:rsidR="00BB2FCD" w:rsidRDefault="00653DEA" w:rsidP="00983AAD">
            <w:pPr>
              <w:shd w:val="clear" w:color="auto" w:fill="FFFFFF"/>
              <w:jc w:val="both"/>
              <w:rPr>
                <w:rFonts w:eastAsia="Times New Roman"/>
                <w:sz w:val="24"/>
                <w:szCs w:val="24"/>
                <w:lang w:eastAsia="lv-LV"/>
              </w:rPr>
            </w:pPr>
            <w:r w:rsidRPr="00421589">
              <w:rPr>
                <w:sz w:val="26"/>
                <w:szCs w:val="26"/>
              </w:rPr>
              <w:t xml:space="preserve">Sabiedrība par grozījumiem Pievienotās vērtības nodokļa likumā, kas stāsies spēkā 2018.gada 1.janvārī, ir informēta, publicējot informatīvo materiālu “Par grozījumiem Pievienotās vērtības nodokļa likumā”  Valsts ieņēmumu </w:t>
            </w:r>
            <w:r w:rsidRPr="00C133FE">
              <w:rPr>
                <w:sz w:val="26"/>
                <w:szCs w:val="26"/>
              </w:rPr>
              <w:t>dienesta tīmekļa vietnē izvēlnes “Nodokļi” sadaļas “</w:t>
            </w:r>
            <w:hyperlink r:id="rId8" w:history="1">
              <w:r w:rsidRPr="00983AAD">
                <w:rPr>
                  <w:rFonts w:eastAsia="Times New Roman"/>
                  <w:sz w:val="26"/>
                  <w:szCs w:val="26"/>
                  <w:lang w:eastAsia="lv-LV"/>
                </w:rPr>
                <w:t>Pievienotās vērtības nodoklis</w:t>
              </w:r>
            </w:hyperlink>
            <w:r w:rsidRPr="00C133FE">
              <w:rPr>
                <w:sz w:val="26"/>
                <w:szCs w:val="26"/>
              </w:rPr>
              <w:t>” apakšsadaļā “</w:t>
            </w:r>
            <w:r w:rsidRPr="00983AAD">
              <w:rPr>
                <w:rFonts w:eastAsia="Times New Roman"/>
                <w:sz w:val="26"/>
                <w:szCs w:val="26"/>
                <w:lang w:eastAsia="lv-LV"/>
              </w:rPr>
              <w:t>Informatīvie un metodiskie materiāli”</w:t>
            </w:r>
            <w:r w:rsidRPr="00C133FE">
              <w:rPr>
                <w:rFonts w:eastAsia="Times New Roman"/>
                <w:sz w:val="24"/>
                <w:szCs w:val="24"/>
                <w:lang w:eastAsia="lv-LV"/>
              </w:rPr>
              <w:t>.</w:t>
            </w:r>
          </w:p>
          <w:p w14:paraId="7FA3B143" w14:textId="73F22739" w:rsidR="001933A9" w:rsidRPr="00983AAD" w:rsidRDefault="00653DEA" w:rsidP="00983AAD">
            <w:pPr>
              <w:shd w:val="clear" w:color="auto" w:fill="FFFFFF"/>
              <w:jc w:val="both"/>
              <w:rPr>
                <w:sz w:val="26"/>
                <w:szCs w:val="26"/>
              </w:rPr>
            </w:pPr>
            <w:r w:rsidRPr="00983AAD">
              <w:rPr>
                <w:rFonts w:eastAsia="Times New Roman"/>
                <w:spacing w:val="-2"/>
                <w:sz w:val="26"/>
                <w:szCs w:val="26"/>
                <w:lang w:eastAsia="lv-LV"/>
              </w:rPr>
              <w:t xml:space="preserve">Sabiedrība par </w:t>
            </w:r>
            <w:r w:rsidRPr="001933A9">
              <w:rPr>
                <w:rFonts w:eastAsia="Times New Roman"/>
                <w:spacing w:val="-2"/>
                <w:sz w:val="26"/>
                <w:szCs w:val="26"/>
                <w:lang w:eastAsia="lv-LV"/>
              </w:rPr>
              <w:t>noteikumu projekta</w:t>
            </w:r>
            <w:r w:rsidRPr="00983AAD">
              <w:rPr>
                <w:rFonts w:eastAsia="Times New Roman"/>
                <w:spacing w:val="-2"/>
                <w:sz w:val="26"/>
                <w:szCs w:val="26"/>
                <w:lang w:eastAsia="lv-LV"/>
              </w:rPr>
              <w:t xml:space="preserve"> izstrādes nepieciešamību </w:t>
            </w:r>
            <w:r w:rsidR="003342DD">
              <w:rPr>
                <w:rFonts w:eastAsia="Times New Roman"/>
                <w:spacing w:val="-2"/>
                <w:sz w:val="26"/>
                <w:szCs w:val="26"/>
                <w:lang w:eastAsia="lv-LV"/>
              </w:rPr>
              <w:t xml:space="preserve">ir </w:t>
            </w:r>
            <w:r w:rsidRPr="00983AAD">
              <w:rPr>
                <w:rFonts w:eastAsia="Times New Roman"/>
                <w:spacing w:val="-2"/>
                <w:sz w:val="26"/>
                <w:szCs w:val="26"/>
                <w:lang w:eastAsia="lv-LV"/>
              </w:rPr>
              <w:t>informēta, ievietojot</w:t>
            </w:r>
            <w:r w:rsidR="003342DD">
              <w:rPr>
                <w:rFonts w:eastAsia="Times New Roman"/>
                <w:spacing w:val="-2"/>
                <w:sz w:val="26"/>
                <w:szCs w:val="26"/>
                <w:lang w:eastAsia="lv-LV"/>
              </w:rPr>
              <w:t xml:space="preserve"> 2017.gada </w:t>
            </w:r>
            <w:r w:rsidRPr="00983AAD">
              <w:rPr>
                <w:rFonts w:eastAsia="Times New Roman"/>
                <w:spacing w:val="-2"/>
                <w:sz w:val="26"/>
                <w:szCs w:val="26"/>
                <w:lang w:eastAsia="lv-LV"/>
              </w:rPr>
              <w:t xml:space="preserve"> </w:t>
            </w:r>
            <w:r w:rsidR="003342DD">
              <w:rPr>
                <w:rFonts w:eastAsia="Times New Roman"/>
                <w:spacing w:val="-2"/>
                <w:sz w:val="26"/>
                <w:szCs w:val="26"/>
                <w:lang w:eastAsia="lv-LV"/>
              </w:rPr>
              <w:t xml:space="preserve">6.septembrī </w:t>
            </w:r>
            <w:r w:rsidR="003342DD" w:rsidRPr="00983AAD">
              <w:rPr>
                <w:rFonts w:eastAsia="Times New Roman"/>
                <w:spacing w:val="-2"/>
                <w:sz w:val="26"/>
                <w:szCs w:val="26"/>
                <w:lang w:eastAsia="lv-LV"/>
              </w:rPr>
              <w:t>Finanšu ministrijas tīmekļa vietnē</w:t>
            </w:r>
            <w:r w:rsidR="003342DD">
              <w:rPr>
                <w:rFonts w:eastAsia="Times New Roman"/>
                <w:spacing w:val="-2"/>
                <w:sz w:val="26"/>
                <w:szCs w:val="26"/>
                <w:lang w:eastAsia="lv-LV"/>
              </w:rPr>
              <w:t xml:space="preserve"> uzziņu par noteikumu projektu</w:t>
            </w:r>
            <w:r w:rsidRPr="00983AAD">
              <w:rPr>
                <w:rFonts w:eastAsia="Times New Roman"/>
                <w:spacing w:val="-2"/>
                <w:sz w:val="26"/>
                <w:szCs w:val="26"/>
                <w:lang w:eastAsia="lv-LV"/>
              </w:rPr>
              <w:t>.</w:t>
            </w:r>
          </w:p>
          <w:p w14:paraId="71763C15" w14:textId="601E3B69" w:rsidR="00026C45" w:rsidRPr="00421589" w:rsidRDefault="00653DEA">
            <w:pPr>
              <w:shd w:val="clear" w:color="auto" w:fill="FFFFFF"/>
              <w:jc w:val="both"/>
              <w:rPr>
                <w:rFonts w:eastAsia="Times New Roman"/>
                <w:sz w:val="26"/>
                <w:szCs w:val="26"/>
                <w:lang w:eastAsia="lv-LV"/>
              </w:rPr>
            </w:pPr>
            <w:r w:rsidRPr="00421589">
              <w:rPr>
                <w:sz w:val="26"/>
                <w:szCs w:val="26"/>
              </w:rPr>
              <w:t xml:space="preserve">Informācija par </w:t>
            </w:r>
            <w:r>
              <w:rPr>
                <w:sz w:val="26"/>
                <w:szCs w:val="26"/>
              </w:rPr>
              <w:t xml:space="preserve">noteikumu projektā paredzētajiem </w:t>
            </w:r>
            <w:r w:rsidRPr="00421589">
              <w:rPr>
                <w:sz w:val="26"/>
                <w:szCs w:val="26"/>
              </w:rPr>
              <w:t xml:space="preserve">grozījumiem </w:t>
            </w:r>
            <w:r>
              <w:rPr>
                <w:sz w:val="26"/>
                <w:szCs w:val="26"/>
              </w:rPr>
              <w:t>būs</w:t>
            </w:r>
            <w:r w:rsidRPr="00421589">
              <w:rPr>
                <w:sz w:val="26"/>
                <w:szCs w:val="26"/>
              </w:rPr>
              <w:t xml:space="preserve"> publicēta Valsts ieņēmumu dienesta </w:t>
            </w:r>
            <w:r w:rsidRPr="00F84ABA">
              <w:rPr>
                <w:sz w:val="26"/>
                <w:szCs w:val="26"/>
              </w:rPr>
              <w:t>tīmekļa vietnē</w:t>
            </w:r>
            <w:r>
              <w:rPr>
                <w:sz w:val="26"/>
                <w:szCs w:val="26"/>
              </w:rPr>
              <w:t xml:space="preserve"> pēc to stāšanās spēkā.</w:t>
            </w:r>
          </w:p>
        </w:tc>
      </w:tr>
      <w:tr w:rsidR="00544E5F" w14:paraId="0920643B" w14:textId="77777777" w:rsidTr="00AA2C93">
        <w:trPr>
          <w:trHeight w:val="264"/>
          <w:jc w:val="center"/>
        </w:trPr>
        <w:tc>
          <w:tcPr>
            <w:tcW w:w="317" w:type="pct"/>
            <w:tcBorders>
              <w:top w:val="outset" w:sz="6" w:space="0" w:color="414142"/>
              <w:left w:val="outset" w:sz="6" w:space="0" w:color="414142"/>
              <w:bottom w:val="outset" w:sz="6" w:space="0" w:color="414142"/>
              <w:right w:val="outset" w:sz="6" w:space="0" w:color="414142"/>
            </w:tcBorders>
            <w:hideMark/>
          </w:tcPr>
          <w:p w14:paraId="75CC769C"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t>2.</w:t>
            </w:r>
          </w:p>
        </w:tc>
        <w:tc>
          <w:tcPr>
            <w:tcW w:w="1430" w:type="pct"/>
            <w:tcBorders>
              <w:top w:val="outset" w:sz="6" w:space="0" w:color="414142"/>
              <w:left w:val="outset" w:sz="6" w:space="0" w:color="414142"/>
              <w:bottom w:val="outset" w:sz="6" w:space="0" w:color="414142"/>
              <w:right w:val="outset" w:sz="6" w:space="0" w:color="414142"/>
            </w:tcBorders>
            <w:hideMark/>
          </w:tcPr>
          <w:p w14:paraId="3FEF4398"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t>Sabiedrības līdzdalība projekta izstrādē</w:t>
            </w:r>
          </w:p>
        </w:tc>
        <w:tc>
          <w:tcPr>
            <w:tcW w:w="3253" w:type="pct"/>
            <w:tcBorders>
              <w:top w:val="outset" w:sz="6" w:space="0" w:color="414142"/>
              <w:left w:val="outset" w:sz="6" w:space="0" w:color="414142"/>
              <w:bottom w:val="outset" w:sz="6" w:space="0" w:color="414142"/>
              <w:right w:val="outset" w:sz="6" w:space="0" w:color="414142"/>
            </w:tcBorders>
            <w:hideMark/>
          </w:tcPr>
          <w:p w14:paraId="7DED0687" w14:textId="062FD65B" w:rsidR="00933D59" w:rsidRPr="00421589" w:rsidRDefault="00653DEA" w:rsidP="00CF461F">
            <w:pPr>
              <w:jc w:val="both"/>
              <w:rPr>
                <w:rFonts w:eastAsia="Times New Roman"/>
                <w:sz w:val="26"/>
                <w:szCs w:val="26"/>
                <w:lang w:eastAsia="lv-LV"/>
              </w:rPr>
            </w:pPr>
            <w:r w:rsidRPr="00421589">
              <w:rPr>
                <w:sz w:val="26"/>
                <w:szCs w:val="26"/>
              </w:rPr>
              <w:t>Likuma “Grozījumi Pievienotās vērtības nodokļa likumā”</w:t>
            </w:r>
            <w:r w:rsidR="00651CE5">
              <w:rPr>
                <w:sz w:val="26"/>
                <w:szCs w:val="26"/>
              </w:rPr>
              <w:t>, kas Saeimā pieņemts 2017.gada 27.jūlijā un stāsies spēkā 2018.gada 1.janvārī,</w:t>
            </w:r>
            <w:r w:rsidRPr="00421589">
              <w:rPr>
                <w:sz w:val="26"/>
                <w:szCs w:val="26"/>
              </w:rPr>
              <w:t xml:space="preserve"> virzības procesā </w:t>
            </w:r>
            <w:r>
              <w:rPr>
                <w:sz w:val="26"/>
                <w:szCs w:val="26"/>
              </w:rPr>
              <w:t>bija</w:t>
            </w:r>
            <w:r w:rsidRPr="00421589">
              <w:rPr>
                <w:sz w:val="26"/>
                <w:szCs w:val="26"/>
              </w:rPr>
              <w:t xml:space="preserve"> nodrošināta </w:t>
            </w:r>
            <w:r w:rsidRPr="00421589">
              <w:rPr>
                <w:sz w:val="26"/>
                <w:szCs w:val="26"/>
              </w:rPr>
              <w:lastRenderedPageBreak/>
              <w:t>sabiedrības līdzdalība (</w:t>
            </w:r>
            <w:r w:rsidRPr="00421589">
              <w:rPr>
                <w:spacing w:val="-2"/>
                <w:sz w:val="26"/>
                <w:szCs w:val="26"/>
              </w:rPr>
              <w:t xml:space="preserve">notikušas konsultācijas ar Latvijas </w:t>
            </w:r>
            <w:r w:rsidR="00FB7721">
              <w:rPr>
                <w:spacing w:val="-2"/>
                <w:sz w:val="26"/>
                <w:szCs w:val="26"/>
              </w:rPr>
              <w:t>T</w:t>
            </w:r>
            <w:r w:rsidRPr="00421589">
              <w:rPr>
                <w:spacing w:val="-2"/>
                <w:sz w:val="26"/>
                <w:szCs w:val="26"/>
              </w:rPr>
              <w:t xml:space="preserve">irdzniecības un rūpniecības kameru, kā arī attiecībā uz PVN apgrieztās jeb reversās maksāšanas kārtības paplašināšanu būvniecības nozarē ar Latvijas Būvuzņēmēju partnerību un Būvmateriālu ražotāju asociāciju, savukārt attiecībā uz </w:t>
            </w:r>
            <w:r w:rsidRPr="00421589">
              <w:rPr>
                <w:color w:val="000000"/>
                <w:spacing w:val="-2"/>
                <w:sz w:val="26"/>
                <w:szCs w:val="26"/>
              </w:rPr>
              <w:t>metālizstrādājumu nozari -</w:t>
            </w:r>
            <w:r w:rsidRPr="00421589">
              <w:rPr>
                <w:spacing w:val="-2"/>
                <w:sz w:val="26"/>
                <w:szCs w:val="26"/>
              </w:rPr>
              <w:t xml:space="preserve"> Mašīnbūves un metālapstrādes rūpniecības asociāciju, bet </w:t>
            </w:r>
            <w:r w:rsidRPr="00421589">
              <w:rPr>
                <w:color w:val="000000"/>
                <w:spacing w:val="-2"/>
                <w:sz w:val="26"/>
                <w:szCs w:val="26"/>
              </w:rPr>
              <w:t xml:space="preserve">sadzīves elektronisko iekārtu un elektriskās sadzīves aparatūras piegādēm - </w:t>
            </w:r>
            <w:r w:rsidRPr="00421589">
              <w:rPr>
                <w:spacing w:val="-2"/>
                <w:sz w:val="26"/>
                <w:szCs w:val="26"/>
              </w:rPr>
              <w:t xml:space="preserve">Sadzīves preču ražotāju asociāciju). </w:t>
            </w:r>
            <w:r w:rsidR="00CF461F">
              <w:rPr>
                <w:spacing w:val="-2"/>
                <w:sz w:val="26"/>
                <w:szCs w:val="26"/>
              </w:rPr>
              <w:t xml:space="preserve">Līdz ar to </w:t>
            </w:r>
            <w:r w:rsidR="00CF461F" w:rsidRPr="00421589">
              <w:rPr>
                <w:sz w:val="26"/>
                <w:szCs w:val="26"/>
              </w:rPr>
              <w:t>sabiedrības atkārtota līdzdalība nav nepieciešama</w:t>
            </w:r>
            <w:r w:rsidR="00CF461F">
              <w:rPr>
                <w:sz w:val="26"/>
                <w:szCs w:val="26"/>
              </w:rPr>
              <w:t xml:space="preserve">. </w:t>
            </w:r>
            <w:r w:rsidR="00CF461F" w:rsidRPr="00421589">
              <w:rPr>
                <w:sz w:val="26"/>
                <w:szCs w:val="26"/>
              </w:rPr>
              <w:t xml:space="preserve"> </w:t>
            </w:r>
          </w:p>
        </w:tc>
      </w:tr>
      <w:tr w:rsidR="00544E5F" w14:paraId="10CD350D" w14:textId="77777777" w:rsidTr="00AA2C93">
        <w:trPr>
          <w:trHeight w:val="372"/>
          <w:jc w:val="center"/>
        </w:trPr>
        <w:tc>
          <w:tcPr>
            <w:tcW w:w="317" w:type="pct"/>
            <w:tcBorders>
              <w:top w:val="outset" w:sz="6" w:space="0" w:color="414142"/>
              <w:left w:val="outset" w:sz="6" w:space="0" w:color="414142"/>
              <w:bottom w:val="outset" w:sz="6" w:space="0" w:color="414142"/>
              <w:right w:val="outset" w:sz="6" w:space="0" w:color="414142"/>
            </w:tcBorders>
            <w:hideMark/>
          </w:tcPr>
          <w:p w14:paraId="3AB1D039"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lastRenderedPageBreak/>
              <w:t>3.</w:t>
            </w:r>
          </w:p>
        </w:tc>
        <w:tc>
          <w:tcPr>
            <w:tcW w:w="1430" w:type="pct"/>
            <w:tcBorders>
              <w:top w:val="outset" w:sz="6" w:space="0" w:color="414142"/>
              <w:left w:val="outset" w:sz="6" w:space="0" w:color="414142"/>
              <w:bottom w:val="outset" w:sz="6" w:space="0" w:color="414142"/>
              <w:right w:val="outset" w:sz="6" w:space="0" w:color="414142"/>
            </w:tcBorders>
            <w:hideMark/>
          </w:tcPr>
          <w:p w14:paraId="528DFBAA"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t>Sabiedrības līdzdalības rezultāti</w:t>
            </w:r>
          </w:p>
        </w:tc>
        <w:tc>
          <w:tcPr>
            <w:tcW w:w="3253" w:type="pct"/>
            <w:tcBorders>
              <w:top w:val="outset" w:sz="6" w:space="0" w:color="414142"/>
              <w:left w:val="outset" w:sz="6" w:space="0" w:color="414142"/>
              <w:bottom w:val="outset" w:sz="6" w:space="0" w:color="414142"/>
              <w:right w:val="outset" w:sz="6" w:space="0" w:color="414142"/>
            </w:tcBorders>
            <w:hideMark/>
          </w:tcPr>
          <w:p w14:paraId="32B62599" w14:textId="40D4E8D1" w:rsidR="00933D59" w:rsidRPr="00421589" w:rsidRDefault="00653DEA" w:rsidP="00603A51">
            <w:pPr>
              <w:jc w:val="both"/>
              <w:rPr>
                <w:rFonts w:eastAsia="Times New Roman"/>
                <w:sz w:val="26"/>
                <w:szCs w:val="26"/>
                <w:lang w:eastAsia="lv-LV"/>
              </w:rPr>
            </w:pPr>
            <w:r w:rsidRPr="00421589">
              <w:rPr>
                <w:sz w:val="26"/>
                <w:szCs w:val="26"/>
              </w:rPr>
              <w:t xml:space="preserve"> Projekts šo jomu neskar.</w:t>
            </w:r>
          </w:p>
        </w:tc>
      </w:tr>
      <w:tr w:rsidR="00544E5F" w14:paraId="22CCF744" w14:textId="77777777" w:rsidTr="00AA2C93">
        <w:trPr>
          <w:trHeight w:val="372"/>
          <w:jc w:val="center"/>
        </w:trPr>
        <w:tc>
          <w:tcPr>
            <w:tcW w:w="317" w:type="pct"/>
            <w:tcBorders>
              <w:top w:val="outset" w:sz="6" w:space="0" w:color="414142"/>
              <w:left w:val="outset" w:sz="6" w:space="0" w:color="414142"/>
              <w:bottom w:val="outset" w:sz="6" w:space="0" w:color="414142"/>
              <w:right w:val="outset" w:sz="6" w:space="0" w:color="414142"/>
            </w:tcBorders>
            <w:hideMark/>
          </w:tcPr>
          <w:p w14:paraId="2B78FEBA"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t>4.</w:t>
            </w:r>
          </w:p>
        </w:tc>
        <w:tc>
          <w:tcPr>
            <w:tcW w:w="1430" w:type="pct"/>
            <w:tcBorders>
              <w:top w:val="outset" w:sz="6" w:space="0" w:color="414142"/>
              <w:left w:val="outset" w:sz="6" w:space="0" w:color="414142"/>
              <w:bottom w:val="outset" w:sz="6" w:space="0" w:color="414142"/>
              <w:right w:val="outset" w:sz="6" w:space="0" w:color="414142"/>
            </w:tcBorders>
            <w:hideMark/>
          </w:tcPr>
          <w:p w14:paraId="5BD0F897" w14:textId="77777777" w:rsidR="00933D59" w:rsidRPr="00421589" w:rsidRDefault="00653DEA" w:rsidP="009604FB">
            <w:pPr>
              <w:rPr>
                <w:rFonts w:eastAsia="Times New Roman"/>
                <w:sz w:val="26"/>
                <w:szCs w:val="26"/>
                <w:lang w:eastAsia="lv-LV"/>
              </w:rPr>
            </w:pPr>
            <w:r w:rsidRPr="00421589">
              <w:rPr>
                <w:rFonts w:eastAsia="Times New Roman"/>
                <w:sz w:val="26"/>
                <w:szCs w:val="26"/>
                <w:lang w:eastAsia="lv-LV"/>
              </w:rPr>
              <w:t>Cita informācija</w:t>
            </w:r>
          </w:p>
        </w:tc>
        <w:tc>
          <w:tcPr>
            <w:tcW w:w="3253" w:type="pct"/>
            <w:tcBorders>
              <w:top w:val="outset" w:sz="6" w:space="0" w:color="414142"/>
              <w:left w:val="outset" w:sz="6" w:space="0" w:color="414142"/>
              <w:bottom w:val="outset" w:sz="6" w:space="0" w:color="414142"/>
              <w:right w:val="outset" w:sz="6" w:space="0" w:color="414142"/>
            </w:tcBorders>
            <w:hideMark/>
          </w:tcPr>
          <w:p w14:paraId="7ADD9C95" w14:textId="77777777" w:rsidR="00933D59" w:rsidRPr="00421589" w:rsidRDefault="00653DEA" w:rsidP="009604FB">
            <w:pPr>
              <w:spacing w:before="100" w:beforeAutospacing="1" w:after="100" w:afterAutospacing="1" w:line="293" w:lineRule="atLeast"/>
              <w:rPr>
                <w:rFonts w:eastAsia="Times New Roman"/>
                <w:sz w:val="26"/>
                <w:szCs w:val="26"/>
                <w:lang w:eastAsia="lv-LV"/>
              </w:rPr>
            </w:pPr>
            <w:r w:rsidRPr="00421589">
              <w:rPr>
                <w:rFonts w:eastAsia="Times New Roman"/>
                <w:sz w:val="26"/>
                <w:szCs w:val="26"/>
                <w:lang w:eastAsia="lv-LV"/>
              </w:rPr>
              <w:t>Nav</w:t>
            </w:r>
          </w:p>
        </w:tc>
      </w:tr>
    </w:tbl>
    <w:p w14:paraId="2C36BE5A" w14:textId="77777777" w:rsidR="00026C45" w:rsidRPr="00421589" w:rsidRDefault="00972FB0" w:rsidP="00026C45">
      <w:pPr>
        <w:rPr>
          <w:sz w:val="26"/>
          <w:szCs w:val="26"/>
        </w:rPr>
      </w:pPr>
    </w:p>
    <w:tbl>
      <w:tblPr>
        <w:tblW w:w="9356" w:type="dxa"/>
        <w:tblCellSpacing w:w="0"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9"/>
        <w:gridCol w:w="2717"/>
        <w:gridCol w:w="6060"/>
      </w:tblGrid>
      <w:tr w:rsidR="00544E5F" w14:paraId="3BFA9082" w14:textId="77777777" w:rsidTr="00914743">
        <w:trPr>
          <w:trHeight w:val="437"/>
          <w:tblCellSpacing w:w="0" w:type="dxa"/>
        </w:trPr>
        <w:tc>
          <w:tcPr>
            <w:tcW w:w="9356" w:type="dxa"/>
            <w:gridSpan w:val="3"/>
            <w:tcBorders>
              <w:top w:val="outset" w:sz="6" w:space="0" w:color="auto"/>
              <w:left w:val="outset" w:sz="6" w:space="0" w:color="auto"/>
              <w:bottom w:val="outset" w:sz="6" w:space="0" w:color="auto"/>
              <w:right w:val="outset" w:sz="6" w:space="0" w:color="auto"/>
            </w:tcBorders>
            <w:vAlign w:val="center"/>
            <w:hideMark/>
          </w:tcPr>
          <w:p w14:paraId="4B314395" w14:textId="77777777" w:rsidR="00E611A6" w:rsidRPr="00421589" w:rsidRDefault="00653DEA" w:rsidP="00E611A6">
            <w:pPr>
              <w:jc w:val="center"/>
              <w:rPr>
                <w:rFonts w:eastAsia="Times New Roman"/>
                <w:b/>
                <w:bCs/>
                <w:sz w:val="26"/>
                <w:szCs w:val="26"/>
                <w:lang w:eastAsia="lv-LV"/>
              </w:rPr>
            </w:pPr>
            <w:r w:rsidRPr="00421589">
              <w:rPr>
                <w:rFonts w:eastAsia="Times New Roman"/>
                <w:b/>
                <w:bCs/>
                <w:sz w:val="26"/>
                <w:szCs w:val="26"/>
                <w:lang w:eastAsia="lv-LV"/>
              </w:rPr>
              <w:t>VII. Tiesību akta projekta izpildes nodrošināšana un tās ietekme uz institūcijām</w:t>
            </w:r>
          </w:p>
        </w:tc>
      </w:tr>
      <w:tr w:rsidR="00914743" w:rsidRPr="00CE57BA" w14:paraId="6E885556" w14:textId="77777777" w:rsidTr="00914743">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432"/>
          <w:jc w:val="center"/>
        </w:trPr>
        <w:tc>
          <w:tcPr>
            <w:tcW w:w="579" w:type="dxa"/>
            <w:tcBorders>
              <w:top w:val="outset" w:sz="6" w:space="0" w:color="414142"/>
              <w:left w:val="outset" w:sz="6" w:space="0" w:color="414142"/>
              <w:bottom w:val="outset" w:sz="6" w:space="0" w:color="414142"/>
              <w:right w:val="outset" w:sz="6" w:space="0" w:color="414142"/>
            </w:tcBorders>
            <w:hideMark/>
          </w:tcPr>
          <w:p w14:paraId="486EA38C" w14:textId="77777777" w:rsidR="00914743" w:rsidRPr="00CE57BA" w:rsidRDefault="00914743" w:rsidP="00914743">
            <w:pPr>
              <w:rPr>
                <w:rFonts w:eastAsia="Times New Roman"/>
                <w:sz w:val="24"/>
                <w:szCs w:val="24"/>
                <w:lang w:eastAsia="lv-LV"/>
              </w:rPr>
            </w:pPr>
            <w:bookmarkStart w:id="0" w:name="p69"/>
            <w:bookmarkStart w:id="1" w:name="p68"/>
            <w:bookmarkStart w:id="2" w:name="p67"/>
            <w:bookmarkStart w:id="3" w:name="p66"/>
            <w:bookmarkEnd w:id="0"/>
            <w:bookmarkEnd w:id="1"/>
            <w:bookmarkEnd w:id="2"/>
            <w:bookmarkEnd w:id="3"/>
            <w:r w:rsidRPr="00CE57BA">
              <w:rPr>
                <w:rFonts w:eastAsia="Times New Roman"/>
                <w:sz w:val="24"/>
                <w:szCs w:val="24"/>
                <w:lang w:eastAsia="lv-LV"/>
              </w:rPr>
              <w:t>1.</w:t>
            </w:r>
          </w:p>
        </w:tc>
        <w:tc>
          <w:tcPr>
            <w:tcW w:w="2717" w:type="dxa"/>
            <w:tcBorders>
              <w:top w:val="outset" w:sz="6" w:space="0" w:color="414142"/>
              <w:left w:val="outset" w:sz="6" w:space="0" w:color="414142"/>
              <w:bottom w:val="outset" w:sz="6" w:space="0" w:color="414142"/>
              <w:right w:val="outset" w:sz="6" w:space="0" w:color="414142"/>
            </w:tcBorders>
          </w:tcPr>
          <w:p w14:paraId="5784FCA3" w14:textId="05BF5F49" w:rsidR="00914743" w:rsidRPr="00CE57BA" w:rsidRDefault="00914743" w:rsidP="00914743">
            <w:pPr>
              <w:rPr>
                <w:rFonts w:eastAsia="Times New Roman"/>
                <w:sz w:val="24"/>
                <w:szCs w:val="24"/>
                <w:lang w:eastAsia="lv-LV"/>
              </w:rPr>
            </w:pPr>
            <w:r w:rsidRPr="00421589">
              <w:rPr>
                <w:sz w:val="26"/>
                <w:szCs w:val="26"/>
              </w:rPr>
              <w:t>Projekta izpildē iesaistītās institūcijas</w:t>
            </w:r>
          </w:p>
        </w:tc>
        <w:tc>
          <w:tcPr>
            <w:tcW w:w="6060" w:type="dxa"/>
            <w:tcBorders>
              <w:top w:val="outset" w:sz="6" w:space="0" w:color="414142"/>
              <w:left w:val="outset" w:sz="6" w:space="0" w:color="414142"/>
              <w:bottom w:val="outset" w:sz="6" w:space="0" w:color="414142"/>
              <w:right w:val="outset" w:sz="6" w:space="0" w:color="414142"/>
            </w:tcBorders>
          </w:tcPr>
          <w:p w14:paraId="6B31BF64" w14:textId="5EE1CE77" w:rsidR="00914743" w:rsidRPr="00CE57BA" w:rsidRDefault="00914743" w:rsidP="00914743">
            <w:pPr>
              <w:jc w:val="both"/>
              <w:rPr>
                <w:rFonts w:eastAsia="Times New Roman"/>
                <w:sz w:val="24"/>
                <w:szCs w:val="24"/>
                <w:lang w:eastAsia="lv-LV"/>
              </w:rPr>
            </w:pPr>
            <w:r w:rsidRPr="00421589">
              <w:rPr>
                <w:sz w:val="26"/>
                <w:szCs w:val="26"/>
              </w:rPr>
              <w:t>Finanšu ministrija, Valsts ieņēmumu dienests</w:t>
            </w:r>
          </w:p>
        </w:tc>
      </w:tr>
      <w:tr w:rsidR="00914743" w:rsidRPr="007F0A2E" w14:paraId="7662F872" w14:textId="77777777" w:rsidTr="00914743">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264"/>
          <w:jc w:val="center"/>
        </w:trPr>
        <w:tc>
          <w:tcPr>
            <w:tcW w:w="579" w:type="dxa"/>
            <w:tcBorders>
              <w:top w:val="outset" w:sz="6" w:space="0" w:color="414142"/>
              <w:left w:val="outset" w:sz="6" w:space="0" w:color="414142"/>
              <w:bottom w:val="outset" w:sz="6" w:space="0" w:color="414142"/>
              <w:right w:val="outset" w:sz="6" w:space="0" w:color="414142"/>
            </w:tcBorders>
            <w:hideMark/>
          </w:tcPr>
          <w:p w14:paraId="7F3EC7BD" w14:textId="77777777" w:rsidR="00914743" w:rsidRPr="00CE57BA" w:rsidRDefault="00914743" w:rsidP="00914743">
            <w:pPr>
              <w:rPr>
                <w:rFonts w:eastAsia="Times New Roman"/>
                <w:sz w:val="24"/>
                <w:szCs w:val="24"/>
                <w:lang w:eastAsia="lv-LV"/>
              </w:rPr>
            </w:pPr>
            <w:r w:rsidRPr="00CE57BA">
              <w:rPr>
                <w:rFonts w:eastAsia="Times New Roman"/>
                <w:sz w:val="24"/>
                <w:szCs w:val="24"/>
                <w:lang w:eastAsia="lv-LV"/>
              </w:rPr>
              <w:t>2.</w:t>
            </w:r>
          </w:p>
        </w:tc>
        <w:tc>
          <w:tcPr>
            <w:tcW w:w="2717" w:type="dxa"/>
            <w:tcBorders>
              <w:top w:val="outset" w:sz="6" w:space="0" w:color="414142"/>
              <w:left w:val="outset" w:sz="6" w:space="0" w:color="414142"/>
              <w:bottom w:val="outset" w:sz="6" w:space="0" w:color="414142"/>
              <w:right w:val="outset" w:sz="6" w:space="0" w:color="414142"/>
            </w:tcBorders>
          </w:tcPr>
          <w:p w14:paraId="19B71670" w14:textId="77777777" w:rsidR="00914743" w:rsidRPr="00421589" w:rsidRDefault="00914743" w:rsidP="00914743">
            <w:pPr>
              <w:pStyle w:val="naisf"/>
              <w:spacing w:before="0" w:beforeAutospacing="0" w:after="0" w:afterAutospacing="0"/>
              <w:rPr>
                <w:sz w:val="26"/>
                <w:szCs w:val="26"/>
              </w:rPr>
            </w:pPr>
            <w:r w:rsidRPr="00421589">
              <w:rPr>
                <w:sz w:val="26"/>
                <w:szCs w:val="26"/>
              </w:rPr>
              <w:t>Projekta izpildes ietekme uz pār</w:t>
            </w:r>
            <w:r w:rsidRPr="00421589">
              <w:rPr>
                <w:sz w:val="26"/>
                <w:szCs w:val="26"/>
              </w:rPr>
              <w:softHyphen/>
              <w:t>valdes funkcijām un institucionālo struktūru.</w:t>
            </w:r>
          </w:p>
          <w:p w14:paraId="54500784" w14:textId="1FE492E4" w:rsidR="00914743" w:rsidRPr="00CE57BA" w:rsidRDefault="00914743" w:rsidP="00914743">
            <w:pPr>
              <w:rPr>
                <w:rFonts w:eastAsia="Times New Roman"/>
                <w:sz w:val="24"/>
                <w:szCs w:val="24"/>
                <w:lang w:eastAsia="lv-LV"/>
              </w:rPr>
            </w:pPr>
            <w:r w:rsidRPr="00421589">
              <w:rPr>
                <w:sz w:val="26"/>
                <w:szCs w:val="26"/>
              </w:rPr>
              <w:t>Jaunu institūciju izveide, esošu institūciju likvidācija vai reorga</w:t>
            </w:r>
            <w:r w:rsidRPr="00421589">
              <w:rPr>
                <w:sz w:val="26"/>
                <w:szCs w:val="26"/>
              </w:rPr>
              <w:softHyphen/>
              <w:t>nizācija, to ietekme uz institūcijas cilvēkresursiem</w:t>
            </w:r>
          </w:p>
        </w:tc>
        <w:tc>
          <w:tcPr>
            <w:tcW w:w="6060" w:type="dxa"/>
            <w:tcBorders>
              <w:top w:val="outset" w:sz="6" w:space="0" w:color="414142"/>
              <w:left w:val="outset" w:sz="6" w:space="0" w:color="414142"/>
              <w:bottom w:val="outset" w:sz="6" w:space="0" w:color="414142"/>
              <w:right w:val="outset" w:sz="6" w:space="0" w:color="414142"/>
            </w:tcBorders>
          </w:tcPr>
          <w:p w14:paraId="4BC54BE6" w14:textId="77777777" w:rsidR="00914743" w:rsidRDefault="00914743" w:rsidP="00914743">
            <w:pPr>
              <w:shd w:val="clear" w:color="auto" w:fill="FFFFFF"/>
              <w:ind w:hanging="12"/>
              <w:jc w:val="both"/>
              <w:rPr>
                <w:sz w:val="26"/>
                <w:szCs w:val="26"/>
              </w:rPr>
            </w:pPr>
            <w:r w:rsidRPr="00421589">
              <w:rPr>
                <w:sz w:val="26"/>
                <w:szCs w:val="26"/>
              </w:rPr>
              <w:t>N</w:t>
            </w:r>
            <w:r>
              <w:rPr>
                <w:sz w:val="26"/>
                <w:szCs w:val="26"/>
              </w:rPr>
              <w:t>av nepieciešams</w:t>
            </w:r>
            <w:r w:rsidRPr="00421589">
              <w:rPr>
                <w:sz w:val="26"/>
                <w:szCs w:val="26"/>
              </w:rPr>
              <w:t xml:space="preserve"> </w:t>
            </w:r>
            <w:r w:rsidRPr="004F067A">
              <w:rPr>
                <w:sz w:val="26"/>
                <w:szCs w:val="26"/>
              </w:rPr>
              <w:t>radīt jaun</w:t>
            </w:r>
            <w:r>
              <w:rPr>
                <w:sz w:val="26"/>
                <w:szCs w:val="26"/>
              </w:rPr>
              <w:t>u</w:t>
            </w:r>
            <w:r w:rsidRPr="004F067A">
              <w:rPr>
                <w:sz w:val="26"/>
                <w:szCs w:val="26"/>
              </w:rPr>
              <w:t xml:space="preserve"> pārvaldes funkcij</w:t>
            </w:r>
            <w:r>
              <w:rPr>
                <w:sz w:val="26"/>
                <w:szCs w:val="26"/>
              </w:rPr>
              <w:t>u</w:t>
            </w:r>
            <w:r w:rsidRPr="00421589">
              <w:rPr>
                <w:sz w:val="26"/>
                <w:szCs w:val="26"/>
              </w:rPr>
              <w:t xml:space="preserve"> </w:t>
            </w:r>
            <w:r>
              <w:rPr>
                <w:sz w:val="26"/>
                <w:szCs w:val="26"/>
              </w:rPr>
              <w:t>vai</w:t>
            </w:r>
            <w:r w:rsidRPr="00421589">
              <w:rPr>
                <w:sz w:val="26"/>
                <w:szCs w:val="26"/>
              </w:rPr>
              <w:t xml:space="preserve"> </w:t>
            </w:r>
            <w:r>
              <w:rPr>
                <w:sz w:val="26"/>
                <w:szCs w:val="26"/>
              </w:rPr>
              <w:t xml:space="preserve">veidot </w:t>
            </w:r>
            <w:r w:rsidRPr="00421589">
              <w:rPr>
                <w:sz w:val="26"/>
                <w:szCs w:val="26"/>
              </w:rPr>
              <w:t>jaun</w:t>
            </w:r>
            <w:r>
              <w:rPr>
                <w:sz w:val="26"/>
                <w:szCs w:val="26"/>
              </w:rPr>
              <w:t>u</w:t>
            </w:r>
            <w:r w:rsidRPr="00421589">
              <w:rPr>
                <w:sz w:val="26"/>
                <w:szCs w:val="26"/>
              </w:rPr>
              <w:t xml:space="preserve">  institūcij</w:t>
            </w:r>
            <w:r>
              <w:rPr>
                <w:sz w:val="26"/>
                <w:szCs w:val="26"/>
              </w:rPr>
              <w:t>u.</w:t>
            </w:r>
          </w:p>
          <w:p w14:paraId="6AFD9BC8" w14:textId="77777777" w:rsidR="00914743" w:rsidRPr="00421589" w:rsidRDefault="00914743" w:rsidP="00914743">
            <w:pPr>
              <w:shd w:val="clear" w:color="auto" w:fill="FFFFFF"/>
              <w:ind w:hanging="12"/>
              <w:jc w:val="both"/>
              <w:rPr>
                <w:sz w:val="26"/>
                <w:szCs w:val="26"/>
              </w:rPr>
            </w:pPr>
            <w:r>
              <w:rPr>
                <w:sz w:val="26"/>
                <w:szCs w:val="26"/>
              </w:rPr>
              <w:t>Nav nepieciešama</w:t>
            </w:r>
            <w:r w:rsidRPr="00421589">
              <w:rPr>
                <w:sz w:val="26"/>
                <w:szCs w:val="26"/>
              </w:rPr>
              <w:t xml:space="preserve"> esošu institūciju likvidācija vai reorganizācija.</w:t>
            </w:r>
          </w:p>
          <w:p w14:paraId="35B83200" w14:textId="1E4E30B5" w:rsidR="00914743" w:rsidRPr="007F0A2E" w:rsidRDefault="00914743" w:rsidP="00914743">
            <w:pPr>
              <w:jc w:val="both"/>
              <w:rPr>
                <w:rFonts w:eastAsia="Times New Roman"/>
                <w:sz w:val="24"/>
                <w:szCs w:val="24"/>
                <w:lang w:eastAsia="lv-LV"/>
              </w:rPr>
            </w:pPr>
            <w:r w:rsidRPr="00421589">
              <w:rPr>
                <w:sz w:val="26"/>
                <w:szCs w:val="26"/>
              </w:rPr>
              <w:t>Valsts ieņēmumu dienests esošo funkciju ietvaros nodrošinās PVN administrēšanu saistībā ar grozījumu Pievienotās vērtības nodokļa likumā, kas stājas spēkā 201</w:t>
            </w:r>
            <w:r>
              <w:rPr>
                <w:sz w:val="26"/>
                <w:szCs w:val="26"/>
              </w:rPr>
              <w:t>8</w:t>
            </w:r>
            <w:r w:rsidRPr="00421589">
              <w:rPr>
                <w:sz w:val="26"/>
                <w:szCs w:val="26"/>
              </w:rPr>
              <w:t>.gada 1.j</w:t>
            </w:r>
            <w:r>
              <w:rPr>
                <w:sz w:val="26"/>
                <w:szCs w:val="26"/>
              </w:rPr>
              <w:t>anvārī</w:t>
            </w:r>
            <w:r w:rsidRPr="00421589">
              <w:rPr>
                <w:sz w:val="26"/>
                <w:szCs w:val="26"/>
              </w:rPr>
              <w:t>, ieviešanu.</w:t>
            </w:r>
          </w:p>
        </w:tc>
        <w:bookmarkStart w:id="4" w:name="_GoBack"/>
        <w:bookmarkEnd w:id="4"/>
      </w:tr>
      <w:tr w:rsidR="00914743" w:rsidRPr="00CE57BA" w14:paraId="1922E612" w14:textId="77777777" w:rsidTr="00914743">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372"/>
          <w:jc w:val="center"/>
        </w:trPr>
        <w:tc>
          <w:tcPr>
            <w:tcW w:w="579" w:type="dxa"/>
            <w:tcBorders>
              <w:top w:val="outset" w:sz="6" w:space="0" w:color="414142"/>
              <w:left w:val="outset" w:sz="6" w:space="0" w:color="414142"/>
              <w:bottom w:val="outset" w:sz="6" w:space="0" w:color="414142"/>
              <w:right w:val="outset" w:sz="6" w:space="0" w:color="414142"/>
            </w:tcBorders>
            <w:hideMark/>
          </w:tcPr>
          <w:p w14:paraId="4DE2346F" w14:textId="77777777" w:rsidR="00914743" w:rsidRPr="00CE57BA" w:rsidRDefault="00914743" w:rsidP="00914743">
            <w:pPr>
              <w:rPr>
                <w:rFonts w:eastAsia="Times New Roman"/>
                <w:sz w:val="24"/>
                <w:szCs w:val="24"/>
                <w:lang w:eastAsia="lv-LV"/>
              </w:rPr>
            </w:pPr>
            <w:r>
              <w:rPr>
                <w:rFonts w:eastAsia="Times New Roman"/>
                <w:sz w:val="24"/>
                <w:szCs w:val="24"/>
                <w:lang w:eastAsia="lv-LV"/>
              </w:rPr>
              <w:t>3</w:t>
            </w:r>
            <w:r w:rsidRPr="00CE57BA">
              <w:rPr>
                <w:rFonts w:eastAsia="Times New Roman"/>
                <w:sz w:val="24"/>
                <w:szCs w:val="24"/>
                <w:lang w:eastAsia="lv-LV"/>
              </w:rPr>
              <w:t>.</w:t>
            </w:r>
          </w:p>
        </w:tc>
        <w:tc>
          <w:tcPr>
            <w:tcW w:w="2717" w:type="dxa"/>
            <w:tcBorders>
              <w:top w:val="outset" w:sz="6" w:space="0" w:color="414142"/>
              <w:left w:val="outset" w:sz="6" w:space="0" w:color="414142"/>
              <w:bottom w:val="outset" w:sz="6" w:space="0" w:color="414142"/>
              <w:right w:val="outset" w:sz="6" w:space="0" w:color="414142"/>
            </w:tcBorders>
            <w:hideMark/>
          </w:tcPr>
          <w:p w14:paraId="7A026C73" w14:textId="77777777" w:rsidR="00914743" w:rsidRPr="00CE57BA" w:rsidRDefault="00914743" w:rsidP="00914743">
            <w:pPr>
              <w:rPr>
                <w:rFonts w:eastAsia="Times New Roman"/>
                <w:sz w:val="24"/>
                <w:szCs w:val="24"/>
                <w:lang w:eastAsia="lv-LV"/>
              </w:rPr>
            </w:pPr>
            <w:r w:rsidRPr="00CE57BA">
              <w:rPr>
                <w:rFonts w:eastAsia="Times New Roman"/>
                <w:sz w:val="24"/>
                <w:szCs w:val="24"/>
                <w:lang w:eastAsia="lv-LV"/>
              </w:rPr>
              <w:t>Cita informācija</w:t>
            </w:r>
          </w:p>
        </w:tc>
        <w:tc>
          <w:tcPr>
            <w:tcW w:w="6060" w:type="dxa"/>
            <w:tcBorders>
              <w:top w:val="outset" w:sz="6" w:space="0" w:color="414142"/>
              <w:left w:val="outset" w:sz="6" w:space="0" w:color="414142"/>
              <w:bottom w:val="outset" w:sz="6" w:space="0" w:color="414142"/>
              <w:right w:val="outset" w:sz="6" w:space="0" w:color="414142"/>
            </w:tcBorders>
            <w:hideMark/>
          </w:tcPr>
          <w:p w14:paraId="4A0767B8" w14:textId="77777777" w:rsidR="00914743" w:rsidRPr="00CE57BA" w:rsidRDefault="00914743" w:rsidP="00914743">
            <w:pPr>
              <w:spacing w:before="100" w:beforeAutospacing="1" w:after="100" w:afterAutospacing="1" w:line="293" w:lineRule="atLeast"/>
              <w:rPr>
                <w:rFonts w:eastAsia="Times New Roman"/>
                <w:sz w:val="24"/>
                <w:szCs w:val="24"/>
                <w:lang w:eastAsia="lv-LV"/>
              </w:rPr>
            </w:pPr>
            <w:r>
              <w:rPr>
                <w:rFonts w:eastAsia="Times New Roman"/>
                <w:sz w:val="24"/>
                <w:szCs w:val="24"/>
                <w:lang w:eastAsia="lv-LV"/>
              </w:rPr>
              <w:t>Nav</w:t>
            </w:r>
          </w:p>
        </w:tc>
      </w:tr>
    </w:tbl>
    <w:p w14:paraId="1514C801" w14:textId="77777777" w:rsidR="008337BD" w:rsidRPr="00421589" w:rsidRDefault="00972FB0" w:rsidP="00026C45">
      <w:pPr>
        <w:rPr>
          <w:sz w:val="26"/>
          <w:szCs w:val="26"/>
        </w:rPr>
      </w:pPr>
    </w:p>
    <w:p w14:paraId="006D6CD2" w14:textId="77777777" w:rsidR="00026C45" w:rsidRDefault="00972FB0" w:rsidP="00026C45">
      <w:pPr>
        <w:rPr>
          <w:szCs w:val="28"/>
        </w:rPr>
      </w:pPr>
    </w:p>
    <w:p w14:paraId="00F47269" w14:textId="77777777" w:rsidR="00026C45" w:rsidRPr="00894C55" w:rsidRDefault="00972FB0" w:rsidP="00026C45">
      <w:pPr>
        <w:rPr>
          <w:szCs w:val="28"/>
        </w:rPr>
      </w:pPr>
    </w:p>
    <w:p w14:paraId="3CD5C983" w14:textId="7BC27BA4" w:rsidR="00026C45" w:rsidRPr="00894C55" w:rsidRDefault="00653DEA" w:rsidP="00026C45">
      <w:pPr>
        <w:tabs>
          <w:tab w:val="left" w:pos="6237"/>
        </w:tabs>
        <w:ind w:firstLine="720"/>
        <w:rPr>
          <w:szCs w:val="28"/>
        </w:rPr>
      </w:pPr>
      <w:r>
        <w:rPr>
          <w:szCs w:val="28"/>
        </w:rPr>
        <w:t>Finanšu ministre</w:t>
      </w:r>
      <w:r>
        <w:rPr>
          <w:szCs w:val="28"/>
        </w:rPr>
        <w:tab/>
      </w:r>
      <w:proofErr w:type="spellStart"/>
      <w:r>
        <w:rPr>
          <w:szCs w:val="28"/>
        </w:rPr>
        <w:t>D.Reizniece</w:t>
      </w:r>
      <w:proofErr w:type="spellEnd"/>
      <w:r>
        <w:rPr>
          <w:szCs w:val="28"/>
        </w:rPr>
        <w:t>-Ozola</w:t>
      </w:r>
    </w:p>
    <w:p w14:paraId="70A081BC" w14:textId="77777777" w:rsidR="00026C45" w:rsidRPr="00894C55" w:rsidRDefault="00972FB0" w:rsidP="00026C45">
      <w:pPr>
        <w:ind w:firstLine="720"/>
        <w:rPr>
          <w:szCs w:val="28"/>
        </w:rPr>
      </w:pPr>
    </w:p>
    <w:p w14:paraId="589E0467" w14:textId="77777777" w:rsidR="00026C45" w:rsidRDefault="00972FB0" w:rsidP="00026C45">
      <w:pPr>
        <w:tabs>
          <w:tab w:val="left" w:pos="6237"/>
        </w:tabs>
        <w:ind w:firstLine="720"/>
        <w:rPr>
          <w:szCs w:val="28"/>
        </w:rPr>
      </w:pPr>
    </w:p>
    <w:p w14:paraId="411BCE0B" w14:textId="77777777" w:rsidR="00026C45" w:rsidRDefault="00972FB0" w:rsidP="00026C45">
      <w:pPr>
        <w:tabs>
          <w:tab w:val="left" w:pos="6237"/>
        </w:tabs>
        <w:ind w:firstLine="720"/>
        <w:rPr>
          <w:szCs w:val="28"/>
        </w:rPr>
      </w:pPr>
    </w:p>
    <w:p w14:paraId="62BC41AD" w14:textId="77777777" w:rsidR="00026C45" w:rsidRPr="00707C7C" w:rsidRDefault="00972FB0" w:rsidP="00026C45">
      <w:pPr>
        <w:tabs>
          <w:tab w:val="left" w:pos="6237"/>
        </w:tabs>
        <w:rPr>
          <w:sz w:val="24"/>
          <w:szCs w:val="28"/>
        </w:rPr>
      </w:pPr>
    </w:p>
    <w:p w14:paraId="24D42E73" w14:textId="341087DC" w:rsidR="008E445F" w:rsidRDefault="00653DEA" w:rsidP="008E445F">
      <w:pPr>
        <w:tabs>
          <w:tab w:val="left" w:pos="6804"/>
        </w:tabs>
        <w:jc w:val="both"/>
        <w:rPr>
          <w:sz w:val="24"/>
          <w:szCs w:val="24"/>
        </w:rPr>
      </w:pPr>
      <w:r>
        <w:rPr>
          <w:sz w:val="24"/>
          <w:szCs w:val="24"/>
        </w:rPr>
        <w:t xml:space="preserve">Šķetre, </w:t>
      </w:r>
      <w:r w:rsidRPr="00311AA0">
        <w:rPr>
          <w:sz w:val="24"/>
          <w:szCs w:val="24"/>
        </w:rPr>
        <w:t>67122</w:t>
      </w:r>
      <w:r>
        <w:rPr>
          <w:sz w:val="24"/>
          <w:szCs w:val="24"/>
        </w:rPr>
        <w:t>013</w:t>
      </w:r>
    </w:p>
    <w:p w14:paraId="7B06BDD4" w14:textId="1B4C59BC" w:rsidR="008E445F" w:rsidRPr="00311AA0" w:rsidRDefault="00653DEA" w:rsidP="008E445F">
      <w:pPr>
        <w:tabs>
          <w:tab w:val="left" w:pos="6804"/>
        </w:tabs>
        <w:jc w:val="both"/>
        <w:rPr>
          <w:sz w:val="24"/>
        </w:rPr>
      </w:pPr>
      <w:r>
        <w:rPr>
          <w:sz w:val="24"/>
          <w:szCs w:val="24"/>
        </w:rPr>
        <w:t>gunta.sketre@vid.gov.lv</w:t>
      </w:r>
    </w:p>
    <w:p w14:paraId="371BD23D" w14:textId="77777777" w:rsidR="00F43636" w:rsidRPr="00026C45" w:rsidRDefault="00972FB0" w:rsidP="00026C45"/>
    <w:sectPr w:rsidR="00F43636" w:rsidRPr="00026C45" w:rsidSect="009604FB">
      <w:headerReference w:type="default" r:id="rId9"/>
      <w:footerReference w:type="default" r:id="rId10"/>
      <w:footerReference w:type="first" r:id="rId11"/>
      <w:pgSz w:w="11906" w:h="16838"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A4CFD" w14:textId="77777777" w:rsidR="00972FB0" w:rsidRDefault="00972FB0">
      <w:r>
        <w:separator/>
      </w:r>
    </w:p>
  </w:endnote>
  <w:endnote w:type="continuationSeparator" w:id="0">
    <w:p w14:paraId="10E0395A" w14:textId="77777777" w:rsidR="00972FB0" w:rsidRDefault="0097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D1278" w14:textId="2621D048" w:rsidR="009604FB" w:rsidRPr="00872484" w:rsidRDefault="00653DEA" w:rsidP="009604FB">
    <w:pPr>
      <w:ind w:right="-143"/>
      <w:jc w:val="both"/>
      <w:rPr>
        <w:sz w:val="20"/>
        <w:szCs w:val="20"/>
      </w:rPr>
    </w:pPr>
    <w:r>
      <w:rPr>
        <w:noProof/>
        <w:sz w:val="20"/>
        <w:szCs w:val="20"/>
      </w:rPr>
      <w:t>FManot_</w:t>
    </w:r>
    <w:r w:rsidR="003A7D4F">
      <w:rPr>
        <w:noProof/>
        <w:sz w:val="20"/>
        <w:szCs w:val="20"/>
      </w:rPr>
      <w:t>25</w:t>
    </w:r>
    <w:r w:rsidR="00FB7721">
      <w:rPr>
        <w:noProof/>
        <w:sz w:val="20"/>
        <w:szCs w:val="20"/>
      </w:rPr>
      <w:t>0</w:t>
    </w:r>
    <w:r>
      <w:rPr>
        <w:noProof/>
        <w:sz w:val="20"/>
        <w:szCs w:val="20"/>
      </w:rPr>
      <w:t>9</w:t>
    </w:r>
    <w:r w:rsidRPr="00B3087C">
      <w:rPr>
        <w:noProof/>
        <w:sz w:val="20"/>
        <w:szCs w:val="20"/>
      </w:rPr>
      <w:t>1</w:t>
    </w:r>
    <w:r>
      <w:rPr>
        <w:noProof/>
        <w:sz w:val="20"/>
        <w:szCs w:val="20"/>
      </w:rPr>
      <w:t>7_MK40groz</w:t>
    </w:r>
  </w:p>
  <w:p w14:paraId="4DCA6461" w14:textId="77777777" w:rsidR="009604FB" w:rsidRPr="00C53B25" w:rsidRDefault="00972FB0" w:rsidP="009604FB">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AD0" w14:textId="4FA7C73E" w:rsidR="009604FB" w:rsidRPr="00872484" w:rsidRDefault="00653DEA" w:rsidP="009604FB">
    <w:pPr>
      <w:ind w:right="-143"/>
      <w:jc w:val="both"/>
      <w:rPr>
        <w:sz w:val="20"/>
        <w:szCs w:val="20"/>
      </w:rPr>
    </w:pPr>
    <w:r>
      <w:rPr>
        <w:noProof/>
        <w:sz w:val="20"/>
        <w:szCs w:val="20"/>
      </w:rPr>
      <w:t>FManot_</w:t>
    </w:r>
    <w:r w:rsidR="003A7D4F">
      <w:rPr>
        <w:noProof/>
        <w:sz w:val="20"/>
        <w:szCs w:val="20"/>
      </w:rPr>
      <w:t>25</w:t>
    </w:r>
    <w:r>
      <w:rPr>
        <w:noProof/>
        <w:sz w:val="20"/>
        <w:szCs w:val="20"/>
      </w:rPr>
      <w:t>0917_MK40g</w:t>
    </w:r>
    <w:r w:rsidR="00FB7721">
      <w:rPr>
        <w:noProof/>
        <w:sz w:val="20"/>
        <w:szCs w:val="20"/>
      </w:rPr>
      <w:t>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F7A25" w14:textId="77777777" w:rsidR="00972FB0" w:rsidRDefault="00972FB0">
      <w:r>
        <w:separator/>
      </w:r>
    </w:p>
  </w:footnote>
  <w:footnote w:type="continuationSeparator" w:id="0">
    <w:p w14:paraId="04AB974B" w14:textId="77777777" w:rsidR="00972FB0" w:rsidRDefault="0097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63EA" w14:textId="28234D7C" w:rsidR="009604FB" w:rsidRPr="00AA2836" w:rsidRDefault="00653DEA">
    <w:pPr>
      <w:pStyle w:val="Header"/>
      <w:jc w:val="center"/>
      <w:rPr>
        <w:sz w:val="24"/>
        <w:szCs w:val="20"/>
      </w:rPr>
    </w:pPr>
    <w:r w:rsidRPr="00AA2836">
      <w:rPr>
        <w:sz w:val="24"/>
        <w:szCs w:val="20"/>
      </w:rPr>
      <w:fldChar w:fldCharType="begin"/>
    </w:r>
    <w:r w:rsidRPr="00AA2836">
      <w:rPr>
        <w:sz w:val="24"/>
        <w:szCs w:val="20"/>
      </w:rPr>
      <w:instrText xml:space="preserve"> PAGE   \* MERGEFORMAT </w:instrText>
    </w:r>
    <w:r w:rsidRPr="00AA2836">
      <w:rPr>
        <w:sz w:val="24"/>
        <w:szCs w:val="20"/>
      </w:rPr>
      <w:fldChar w:fldCharType="separate"/>
    </w:r>
    <w:r w:rsidR="00914743">
      <w:rPr>
        <w:noProof/>
        <w:sz w:val="24"/>
        <w:szCs w:val="20"/>
      </w:rPr>
      <w:t>6</w:t>
    </w:r>
    <w:r w:rsidRPr="00AA2836">
      <w:rPr>
        <w:sz w:val="24"/>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FFB"/>
    <w:multiLevelType w:val="hybridMultilevel"/>
    <w:tmpl w:val="1EFC073E"/>
    <w:lvl w:ilvl="0" w:tplc="AB685E58">
      <w:start w:val="1"/>
      <w:numFmt w:val="decimal"/>
      <w:lvlText w:val="%1."/>
      <w:lvlJc w:val="left"/>
      <w:pPr>
        <w:ind w:left="371" w:hanging="360"/>
      </w:pPr>
      <w:rPr>
        <w:rFonts w:hint="default"/>
      </w:rPr>
    </w:lvl>
    <w:lvl w:ilvl="1" w:tplc="C3F06134" w:tentative="1">
      <w:start w:val="1"/>
      <w:numFmt w:val="lowerLetter"/>
      <w:lvlText w:val="%2."/>
      <w:lvlJc w:val="left"/>
      <w:pPr>
        <w:ind w:left="1091" w:hanging="360"/>
      </w:pPr>
    </w:lvl>
    <w:lvl w:ilvl="2" w:tplc="5EFEA49E" w:tentative="1">
      <w:start w:val="1"/>
      <w:numFmt w:val="lowerRoman"/>
      <w:lvlText w:val="%3."/>
      <w:lvlJc w:val="right"/>
      <w:pPr>
        <w:ind w:left="1811" w:hanging="180"/>
      </w:pPr>
    </w:lvl>
    <w:lvl w:ilvl="3" w:tplc="C3B46CC6" w:tentative="1">
      <w:start w:val="1"/>
      <w:numFmt w:val="decimal"/>
      <w:lvlText w:val="%4."/>
      <w:lvlJc w:val="left"/>
      <w:pPr>
        <w:ind w:left="2531" w:hanging="360"/>
      </w:pPr>
    </w:lvl>
    <w:lvl w:ilvl="4" w:tplc="673014A0" w:tentative="1">
      <w:start w:val="1"/>
      <w:numFmt w:val="lowerLetter"/>
      <w:lvlText w:val="%5."/>
      <w:lvlJc w:val="left"/>
      <w:pPr>
        <w:ind w:left="3251" w:hanging="360"/>
      </w:pPr>
    </w:lvl>
    <w:lvl w:ilvl="5" w:tplc="A68EFE6A" w:tentative="1">
      <w:start w:val="1"/>
      <w:numFmt w:val="lowerRoman"/>
      <w:lvlText w:val="%6."/>
      <w:lvlJc w:val="right"/>
      <w:pPr>
        <w:ind w:left="3971" w:hanging="180"/>
      </w:pPr>
    </w:lvl>
    <w:lvl w:ilvl="6" w:tplc="B3C04A94" w:tentative="1">
      <w:start w:val="1"/>
      <w:numFmt w:val="decimal"/>
      <w:lvlText w:val="%7."/>
      <w:lvlJc w:val="left"/>
      <w:pPr>
        <w:ind w:left="4691" w:hanging="360"/>
      </w:pPr>
    </w:lvl>
    <w:lvl w:ilvl="7" w:tplc="60EC91D8" w:tentative="1">
      <w:start w:val="1"/>
      <w:numFmt w:val="lowerLetter"/>
      <w:lvlText w:val="%8."/>
      <w:lvlJc w:val="left"/>
      <w:pPr>
        <w:ind w:left="5411" w:hanging="360"/>
      </w:pPr>
    </w:lvl>
    <w:lvl w:ilvl="8" w:tplc="9CEE0060" w:tentative="1">
      <w:start w:val="1"/>
      <w:numFmt w:val="lowerRoman"/>
      <w:lvlText w:val="%9."/>
      <w:lvlJc w:val="right"/>
      <w:pPr>
        <w:ind w:left="6131" w:hanging="180"/>
      </w:pPr>
    </w:lvl>
  </w:abstractNum>
  <w:abstractNum w:abstractNumId="1" w15:restartNumberingAfterBreak="0">
    <w:nsid w:val="1C5D582D"/>
    <w:multiLevelType w:val="hybridMultilevel"/>
    <w:tmpl w:val="70747862"/>
    <w:lvl w:ilvl="0" w:tplc="9A1836D2">
      <w:start w:val="1"/>
      <w:numFmt w:val="decimal"/>
      <w:lvlText w:val="%1."/>
      <w:lvlJc w:val="left"/>
      <w:pPr>
        <w:ind w:left="720" w:hanging="360"/>
      </w:pPr>
      <w:rPr>
        <w:rFonts w:hint="default"/>
      </w:rPr>
    </w:lvl>
    <w:lvl w:ilvl="1" w:tplc="72220B58" w:tentative="1">
      <w:start w:val="1"/>
      <w:numFmt w:val="lowerLetter"/>
      <w:lvlText w:val="%2."/>
      <w:lvlJc w:val="left"/>
      <w:pPr>
        <w:ind w:left="1440" w:hanging="360"/>
      </w:pPr>
    </w:lvl>
    <w:lvl w:ilvl="2" w:tplc="A57E4A56" w:tentative="1">
      <w:start w:val="1"/>
      <w:numFmt w:val="lowerRoman"/>
      <w:lvlText w:val="%3."/>
      <w:lvlJc w:val="right"/>
      <w:pPr>
        <w:ind w:left="2160" w:hanging="180"/>
      </w:pPr>
    </w:lvl>
    <w:lvl w:ilvl="3" w:tplc="31A60BCC" w:tentative="1">
      <w:start w:val="1"/>
      <w:numFmt w:val="decimal"/>
      <w:lvlText w:val="%4."/>
      <w:lvlJc w:val="left"/>
      <w:pPr>
        <w:ind w:left="2880" w:hanging="360"/>
      </w:pPr>
    </w:lvl>
    <w:lvl w:ilvl="4" w:tplc="D5768ABC" w:tentative="1">
      <w:start w:val="1"/>
      <w:numFmt w:val="lowerLetter"/>
      <w:lvlText w:val="%5."/>
      <w:lvlJc w:val="left"/>
      <w:pPr>
        <w:ind w:left="3600" w:hanging="360"/>
      </w:pPr>
    </w:lvl>
    <w:lvl w:ilvl="5" w:tplc="F594E010" w:tentative="1">
      <w:start w:val="1"/>
      <w:numFmt w:val="lowerRoman"/>
      <w:lvlText w:val="%6."/>
      <w:lvlJc w:val="right"/>
      <w:pPr>
        <w:ind w:left="4320" w:hanging="180"/>
      </w:pPr>
    </w:lvl>
    <w:lvl w:ilvl="6" w:tplc="800A7C5E" w:tentative="1">
      <w:start w:val="1"/>
      <w:numFmt w:val="decimal"/>
      <w:lvlText w:val="%7."/>
      <w:lvlJc w:val="left"/>
      <w:pPr>
        <w:ind w:left="5040" w:hanging="360"/>
      </w:pPr>
    </w:lvl>
    <w:lvl w:ilvl="7" w:tplc="A44EAE78" w:tentative="1">
      <w:start w:val="1"/>
      <w:numFmt w:val="lowerLetter"/>
      <w:lvlText w:val="%8."/>
      <w:lvlJc w:val="left"/>
      <w:pPr>
        <w:ind w:left="5760" w:hanging="360"/>
      </w:pPr>
    </w:lvl>
    <w:lvl w:ilvl="8" w:tplc="B4A22DEA" w:tentative="1">
      <w:start w:val="1"/>
      <w:numFmt w:val="lowerRoman"/>
      <w:lvlText w:val="%9."/>
      <w:lvlJc w:val="right"/>
      <w:pPr>
        <w:ind w:left="6480" w:hanging="180"/>
      </w:pPr>
    </w:lvl>
  </w:abstractNum>
  <w:abstractNum w:abstractNumId="2" w15:restartNumberingAfterBreak="0">
    <w:nsid w:val="2D375FD9"/>
    <w:multiLevelType w:val="hybridMultilevel"/>
    <w:tmpl w:val="27205974"/>
    <w:lvl w:ilvl="0" w:tplc="4A0E647A">
      <w:start w:val="1"/>
      <w:numFmt w:val="decimal"/>
      <w:lvlText w:val="%1."/>
      <w:lvlJc w:val="left"/>
      <w:pPr>
        <w:ind w:left="371" w:hanging="360"/>
      </w:pPr>
      <w:rPr>
        <w:rFonts w:ascii="Times New Roman" w:hAnsi="Times New Roman" w:cs="Times New Roman" w:hint="default"/>
        <w:sz w:val="27"/>
      </w:rPr>
    </w:lvl>
    <w:lvl w:ilvl="1" w:tplc="0512BE90" w:tentative="1">
      <w:start w:val="1"/>
      <w:numFmt w:val="lowerLetter"/>
      <w:lvlText w:val="%2."/>
      <w:lvlJc w:val="left"/>
      <w:pPr>
        <w:ind w:left="1091" w:hanging="360"/>
      </w:pPr>
    </w:lvl>
    <w:lvl w:ilvl="2" w:tplc="30440344" w:tentative="1">
      <w:start w:val="1"/>
      <w:numFmt w:val="lowerRoman"/>
      <w:lvlText w:val="%3."/>
      <w:lvlJc w:val="right"/>
      <w:pPr>
        <w:ind w:left="1811" w:hanging="180"/>
      </w:pPr>
    </w:lvl>
    <w:lvl w:ilvl="3" w:tplc="AB24F9BE" w:tentative="1">
      <w:start w:val="1"/>
      <w:numFmt w:val="decimal"/>
      <w:lvlText w:val="%4."/>
      <w:lvlJc w:val="left"/>
      <w:pPr>
        <w:ind w:left="2531" w:hanging="360"/>
      </w:pPr>
    </w:lvl>
    <w:lvl w:ilvl="4" w:tplc="82A47392" w:tentative="1">
      <w:start w:val="1"/>
      <w:numFmt w:val="lowerLetter"/>
      <w:lvlText w:val="%5."/>
      <w:lvlJc w:val="left"/>
      <w:pPr>
        <w:ind w:left="3251" w:hanging="360"/>
      </w:pPr>
    </w:lvl>
    <w:lvl w:ilvl="5" w:tplc="0E7AAD02" w:tentative="1">
      <w:start w:val="1"/>
      <w:numFmt w:val="lowerRoman"/>
      <w:lvlText w:val="%6."/>
      <w:lvlJc w:val="right"/>
      <w:pPr>
        <w:ind w:left="3971" w:hanging="180"/>
      </w:pPr>
    </w:lvl>
    <w:lvl w:ilvl="6" w:tplc="CB30A526" w:tentative="1">
      <w:start w:val="1"/>
      <w:numFmt w:val="decimal"/>
      <w:lvlText w:val="%7."/>
      <w:lvlJc w:val="left"/>
      <w:pPr>
        <w:ind w:left="4691" w:hanging="360"/>
      </w:pPr>
    </w:lvl>
    <w:lvl w:ilvl="7" w:tplc="3CD2BE4A" w:tentative="1">
      <w:start w:val="1"/>
      <w:numFmt w:val="lowerLetter"/>
      <w:lvlText w:val="%8."/>
      <w:lvlJc w:val="left"/>
      <w:pPr>
        <w:ind w:left="5411" w:hanging="360"/>
      </w:pPr>
    </w:lvl>
    <w:lvl w:ilvl="8" w:tplc="9C58657A" w:tentative="1">
      <w:start w:val="1"/>
      <w:numFmt w:val="lowerRoman"/>
      <w:lvlText w:val="%9."/>
      <w:lvlJc w:val="right"/>
      <w:pPr>
        <w:ind w:left="6131" w:hanging="180"/>
      </w:pPr>
    </w:lvl>
  </w:abstractNum>
  <w:abstractNum w:abstractNumId="3" w15:restartNumberingAfterBreak="0">
    <w:nsid w:val="327864C9"/>
    <w:multiLevelType w:val="hybridMultilevel"/>
    <w:tmpl w:val="FD845430"/>
    <w:lvl w:ilvl="0" w:tplc="0FA0D1CE">
      <w:start w:val="1"/>
      <w:numFmt w:val="decimal"/>
      <w:lvlText w:val="%1."/>
      <w:lvlJc w:val="left"/>
      <w:pPr>
        <w:ind w:left="785" w:hanging="360"/>
      </w:pPr>
      <w:rPr>
        <w:rFonts w:hint="default"/>
        <w:sz w:val="24"/>
      </w:rPr>
    </w:lvl>
    <w:lvl w:ilvl="1" w:tplc="6CA2F882" w:tentative="1">
      <w:start w:val="1"/>
      <w:numFmt w:val="lowerLetter"/>
      <w:lvlText w:val="%2."/>
      <w:lvlJc w:val="left"/>
      <w:pPr>
        <w:ind w:left="1800" w:hanging="360"/>
      </w:pPr>
    </w:lvl>
    <w:lvl w:ilvl="2" w:tplc="5A528884" w:tentative="1">
      <w:start w:val="1"/>
      <w:numFmt w:val="lowerRoman"/>
      <w:lvlText w:val="%3."/>
      <w:lvlJc w:val="right"/>
      <w:pPr>
        <w:ind w:left="2520" w:hanging="180"/>
      </w:pPr>
    </w:lvl>
    <w:lvl w:ilvl="3" w:tplc="C92C236A" w:tentative="1">
      <w:start w:val="1"/>
      <w:numFmt w:val="decimal"/>
      <w:lvlText w:val="%4."/>
      <w:lvlJc w:val="left"/>
      <w:pPr>
        <w:ind w:left="3240" w:hanging="360"/>
      </w:pPr>
    </w:lvl>
    <w:lvl w:ilvl="4" w:tplc="E11CAE3A" w:tentative="1">
      <w:start w:val="1"/>
      <w:numFmt w:val="lowerLetter"/>
      <w:lvlText w:val="%5."/>
      <w:lvlJc w:val="left"/>
      <w:pPr>
        <w:ind w:left="3960" w:hanging="360"/>
      </w:pPr>
    </w:lvl>
    <w:lvl w:ilvl="5" w:tplc="7780E35A" w:tentative="1">
      <w:start w:val="1"/>
      <w:numFmt w:val="lowerRoman"/>
      <w:lvlText w:val="%6."/>
      <w:lvlJc w:val="right"/>
      <w:pPr>
        <w:ind w:left="4680" w:hanging="180"/>
      </w:pPr>
    </w:lvl>
    <w:lvl w:ilvl="6" w:tplc="A6E89C28" w:tentative="1">
      <w:start w:val="1"/>
      <w:numFmt w:val="decimal"/>
      <w:lvlText w:val="%7."/>
      <w:lvlJc w:val="left"/>
      <w:pPr>
        <w:ind w:left="5400" w:hanging="360"/>
      </w:pPr>
    </w:lvl>
    <w:lvl w:ilvl="7" w:tplc="24E026A6" w:tentative="1">
      <w:start w:val="1"/>
      <w:numFmt w:val="lowerLetter"/>
      <w:lvlText w:val="%8."/>
      <w:lvlJc w:val="left"/>
      <w:pPr>
        <w:ind w:left="6120" w:hanging="360"/>
      </w:pPr>
    </w:lvl>
    <w:lvl w:ilvl="8" w:tplc="1C3C7936" w:tentative="1">
      <w:start w:val="1"/>
      <w:numFmt w:val="lowerRoman"/>
      <w:lvlText w:val="%9."/>
      <w:lvlJc w:val="right"/>
      <w:pPr>
        <w:ind w:left="6840" w:hanging="180"/>
      </w:pPr>
    </w:lvl>
  </w:abstractNum>
  <w:abstractNum w:abstractNumId="4" w15:restartNumberingAfterBreak="0">
    <w:nsid w:val="4A6A0D25"/>
    <w:multiLevelType w:val="hybridMultilevel"/>
    <w:tmpl w:val="0B60AE24"/>
    <w:lvl w:ilvl="0" w:tplc="FF9A57C2">
      <w:start w:val="72"/>
      <w:numFmt w:val="bullet"/>
      <w:lvlText w:val="-"/>
      <w:lvlJc w:val="left"/>
      <w:pPr>
        <w:ind w:left="720" w:hanging="360"/>
      </w:pPr>
      <w:rPr>
        <w:rFonts w:ascii="Times New Roman" w:eastAsia="Times New Roman" w:hAnsi="Times New Roman" w:cs="Times New Roman" w:hint="default"/>
      </w:rPr>
    </w:lvl>
    <w:lvl w:ilvl="1" w:tplc="103A0306" w:tentative="1">
      <w:start w:val="1"/>
      <w:numFmt w:val="bullet"/>
      <w:lvlText w:val="o"/>
      <w:lvlJc w:val="left"/>
      <w:pPr>
        <w:ind w:left="1440" w:hanging="360"/>
      </w:pPr>
      <w:rPr>
        <w:rFonts w:ascii="Courier New" w:hAnsi="Courier New" w:cs="Courier New" w:hint="default"/>
      </w:rPr>
    </w:lvl>
    <w:lvl w:ilvl="2" w:tplc="3A7041C2" w:tentative="1">
      <w:start w:val="1"/>
      <w:numFmt w:val="bullet"/>
      <w:lvlText w:val=""/>
      <w:lvlJc w:val="left"/>
      <w:pPr>
        <w:ind w:left="2160" w:hanging="360"/>
      </w:pPr>
      <w:rPr>
        <w:rFonts w:ascii="Wingdings" w:hAnsi="Wingdings" w:hint="default"/>
      </w:rPr>
    </w:lvl>
    <w:lvl w:ilvl="3" w:tplc="0BE6F052" w:tentative="1">
      <w:start w:val="1"/>
      <w:numFmt w:val="bullet"/>
      <w:lvlText w:val=""/>
      <w:lvlJc w:val="left"/>
      <w:pPr>
        <w:ind w:left="2880" w:hanging="360"/>
      </w:pPr>
      <w:rPr>
        <w:rFonts w:ascii="Symbol" w:hAnsi="Symbol" w:hint="default"/>
      </w:rPr>
    </w:lvl>
    <w:lvl w:ilvl="4" w:tplc="07D24ACC" w:tentative="1">
      <w:start w:val="1"/>
      <w:numFmt w:val="bullet"/>
      <w:lvlText w:val="o"/>
      <w:lvlJc w:val="left"/>
      <w:pPr>
        <w:ind w:left="3600" w:hanging="360"/>
      </w:pPr>
      <w:rPr>
        <w:rFonts w:ascii="Courier New" w:hAnsi="Courier New" w:cs="Courier New" w:hint="default"/>
      </w:rPr>
    </w:lvl>
    <w:lvl w:ilvl="5" w:tplc="CD42F754" w:tentative="1">
      <w:start w:val="1"/>
      <w:numFmt w:val="bullet"/>
      <w:lvlText w:val=""/>
      <w:lvlJc w:val="left"/>
      <w:pPr>
        <w:ind w:left="4320" w:hanging="360"/>
      </w:pPr>
      <w:rPr>
        <w:rFonts w:ascii="Wingdings" w:hAnsi="Wingdings" w:hint="default"/>
      </w:rPr>
    </w:lvl>
    <w:lvl w:ilvl="6" w:tplc="E1308E18" w:tentative="1">
      <w:start w:val="1"/>
      <w:numFmt w:val="bullet"/>
      <w:lvlText w:val=""/>
      <w:lvlJc w:val="left"/>
      <w:pPr>
        <w:ind w:left="5040" w:hanging="360"/>
      </w:pPr>
      <w:rPr>
        <w:rFonts w:ascii="Symbol" w:hAnsi="Symbol" w:hint="default"/>
      </w:rPr>
    </w:lvl>
    <w:lvl w:ilvl="7" w:tplc="B770DFF6" w:tentative="1">
      <w:start w:val="1"/>
      <w:numFmt w:val="bullet"/>
      <w:lvlText w:val="o"/>
      <w:lvlJc w:val="left"/>
      <w:pPr>
        <w:ind w:left="5760" w:hanging="360"/>
      </w:pPr>
      <w:rPr>
        <w:rFonts w:ascii="Courier New" w:hAnsi="Courier New" w:cs="Courier New" w:hint="default"/>
      </w:rPr>
    </w:lvl>
    <w:lvl w:ilvl="8" w:tplc="5C9423CA"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5F"/>
    <w:rsid w:val="00052F5D"/>
    <w:rsid w:val="0005590F"/>
    <w:rsid w:val="00077E0A"/>
    <w:rsid w:val="000D2DD2"/>
    <w:rsid w:val="00184055"/>
    <w:rsid w:val="001B7CAB"/>
    <w:rsid w:val="001F1CA9"/>
    <w:rsid w:val="00216322"/>
    <w:rsid w:val="002C3866"/>
    <w:rsid w:val="00333389"/>
    <w:rsid w:val="003342DD"/>
    <w:rsid w:val="003670C8"/>
    <w:rsid w:val="00371763"/>
    <w:rsid w:val="00371DFA"/>
    <w:rsid w:val="003A7D4F"/>
    <w:rsid w:val="00441359"/>
    <w:rsid w:val="005115F0"/>
    <w:rsid w:val="005254D6"/>
    <w:rsid w:val="00544E5F"/>
    <w:rsid w:val="0058305E"/>
    <w:rsid w:val="005A3DBA"/>
    <w:rsid w:val="005A79E6"/>
    <w:rsid w:val="006212A5"/>
    <w:rsid w:val="006305F5"/>
    <w:rsid w:val="00651CE5"/>
    <w:rsid w:val="00653DEA"/>
    <w:rsid w:val="006F33AD"/>
    <w:rsid w:val="007975A9"/>
    <w:rsid w:val="007A0A63"/>
    <w:rsid w:val="007A44C9"/>
    <w:rsid w:val="007D4220"/>
    <w:rsid w:val="0081108A"/>
    <w:rsid w:val="008551DF"/>
    <w:rsid w:val="00914743"/>
    <w:rsid w:val="00917F9D"/>
    <w:rsid w:val="00972FB0"/>
    <w:rsid w:val="0099292D"/>
    <w:rsid w:val="00A04840"/>
    <w:rsid w:val="00A34BEC"/>
    <w:rsid w:val="00A405BC"/>
    <w:rsid w:val="00A77798"/>
    <w:rsid w:val="00AA2C93"/>
    <w:rsid w:val="00AE45B5"/>
    <w:rsid w:val="00B358AF"/>
    <w:rsid w:val="00B63E09"/>
    <w:rsid w:val="00C553C4"/>
    <w:rsid w:val="00C808D4"/>
    <w:rsid w:val="00CF461F"/>
    <w:rsid w:val="00D13273"/>
    <w:rsid w:val="00D71A71"/>
    <w:rsid w:val="00DD0580"/>
    <w:rsid w:val="00DD2443"/>
    <w:rsid w:val="00E3731F"/>
    <w:rsid w:val="00E80DBB"/>
    <w:rsid w:val="00EB01E9"/>
    <w:rsid w:val="00EB5EA4"/>
    <w:rsid w:val="00EF4ED0"/>
    <w:rsid w:val="00FB7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B318"/>
  <w15:docId w15:val="{E720A545-FE7E-42A7-9E1F-718EF1A2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45"/>
    <w:pPr>
      <w:spacing w:after="0" w:line="240" w:lineRule="auto"/>
    </w:pPr>
    <w:rPr>
      <w:rFonts w:eastAsia="Calibri"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026C45"/>
    <w:pPr>
      <w:spacing w:before="100" w:beforeAutospacing="1" w:after="100" w:afterAutospacing="1"/>
    </w:pPr>
    <w:rPr>
      <w:rFonts w:eastAsia="Times New Roman"/>
      <w:sz w:val="24"/>
      <w:szCs w:val="24"/>
      <w:lang w:eastAsia="lv-LV"/>
    </w:rPr>
  </w:style>
  <w:style w:type="paragraph" w:customStyle="1" w:styleId="naisf">
    <w:name w:val="naisf"/>
    <w:basedOn w:val="Normal"/>
    <w:rsid w:val="00026C45"/>
    <w:pPr>
      <w:spacing w:before="100" w:beforeAutospacing="1" w:after="100" w:afterAutospacing="1"/>
    </w:pPr>
    <w:rPr>
      <w:rFonts w:eastAsia="Times New Roman"/>
      <w:sz w:val="24"/>
      <w:szCs w:val="24"/>
      <w:lang w:eastAsia="lv-LV"/>
    </w:rPr>
  </w:style>
  <w:style w:type="paragraph" w:styleId="ListParagraph">
    <w:name w:val="List Paragraph"/>
    <w:basedOn w:val="Normal"/>
    <w:uiPriority w:val="34"/>
    <w:qFormat/>
    <w:rsid w:val="00026C45"/>
    <w:pPr>
      <w:spacing w:after="200" w:line="276" w:lineRule="auto"/>
      <w:ind w:left="720"/>
      <w:contextualSpacing/>
    </w:pPr>
  </w:style>
  <w:style w:type="paragraph" w:styleId="CommentText">
    <w:name w:val="annotation text"/>
    <w:basedOn w:val="Normal"/>
    <w:link w:val="CommentTextChar"/>
    <w:uiPriority w:val="99"/>
    <w:unhideWhenUsed/>
    <w:rsid w:val="00026C45"/>
    <w:rPr>
      <w:rFonts w:ascii="Calibri" w:hAnsi="Calibri"/>
      <w:sz w:val="20"/>
      <w:szCs w:val="20"/>
    </w:rPr>
  </w:style>
  <w:style w:type="character" w:customStyle="1" w:styleId="CommentTextChar">
    <w:name w:val="Comment Text Char"/>
    <w:basedOn w:val="DefaultParagraphFont"/>
    <w:link w:val="CommentText"/>
    <w:uiPriority w:val="99"/>
    <w:rsid w:val="00026C45"/>
    <w:rPr>
      <w:rFonts w:ascii="Calibri" w:eastAsia="Calibri" w:hAnsi="Calibri" w:cs="Times New Roman"/>
    </w:rPr>
  </w:style>
  <w:style w:type="paragraph" w:styleId="BodyTextIndent">
    <w:name w:val="Body Text Indent"/>
    <w:basedOn w:val="Normal"/>
    <w:link w:val="BodyTextIndentChar"/>
    <w:uiPriority w:val="99"/>
    <w:rsid w:val="00026C45"/>
    <w:pPr>
      <w:ind w:firstLine="700"/>
      <w:jc w:val="both"/>
    </w:pPr>
    <w:rPr>
      <w:rFonts w:eastAsia="Times New Roman"/>
      <w:sz w:val="20"/>
      <w:szCs w:val="24"/>
    </w:rPr>
  </w:style>
  <w:style w:type="character" w:customStyle="1" w:styleId="BodyTextIndentChar">
    <w:name w:val="Body Text Indent Char"/>
    <w:basedOn w:val="DefaultParagraphFont"/>
    <w:link w:val="BodyTextIndent"/>
    <w:uiPriority w:val="99"/>
    <w:rsid w:val="00026C45"/>
    <w:rPr>
      <w:rFonts w:eastAsia="Times New Roman" w:cs="Times New Roman"/>
      <w:szCs w:val="24"/>
    </w:rPr>
  </w:style>
  <w:style w:type="paragraph" w:styleId="Header">
    <w:name w:val="header"/>
    <w:basedOn w:val="Normal"/>
    <w:link w:val="HeaderChar"/>
    <w:uiPriority w:val="99"/>
    <w:unhideWhenUsed/>
    <w:rsid w:val="00026C45"/>
    <w:pPr>
      <w:tabs>
        <w:tab w:val="center" w:pos="4153"/>
        <w:tab w:val="right" w:pos="8306"/>
      </w:tabs>
    </w:pPr>
  </w:style>
  <w:style w:type="character" w:customStyle="1" w:styleId="HeaderChar">
    <w:name w:val="Header Char"/>
    <w:basedOn w:val="DefaultParagraphFont"/>
    <w:link w:val="Header"/>
    <w:uiPriority w:val="99"/>
    <w:rsid w:val="00026C45"/>
    <w:rPr>
      <w:rFonts w:eastAsia="Calibri" w:cs="Times New Roman"/>
      <w:sz w:val="28"/>
      <w:szCs w:val="22"/>
    </w:rPr>
  </w:style>
  <w:style w:type="paragraph" w:styleId="Footer">
    <w:name w:val="footer"/>
    <w:basedOn w:val="Normal"/>
    <w:link w:val="FooterChar"/>
    <w:uiPriority w:val="99"/>
    <w:unhideWhenUsed/>
    <w:rsid w:val="00026C45"/>
    <w:pPr>
      <w:tabs>
        <w:tab w:val="center" w:pos="4153"/>
        <w:tab w:val="right" w:pos="8306"/>
      </w:tabs>
    </w:pPr>
  </w:style>
  <w:style w:type="character" w:customStyle="1" w:styleId="FooterChar">
    <w:name w:val="Footer Char"/>
    <w:basedOn w:val="DefaultParagraphFont"/>
    <w:link w:val="Footer"/>
    <w:uiPriority w:val="99"/>
    <w:rsid w:val="00026C45"/>
    <w:rPr>
      <w:rFonts w:eastAsia="Calibri" w:cs="Times New Roman"/>
      <w:sz w:val="28"/>
      <w:szCs w:val="22"/>
    </w:rPr>
  </w:style>
  <w:style w:type="paragraph" w:styleId="NormalWeb">
    <w:name w:val="Normal (Web)"/>
    <w:basedOn w:val="Normal"/>
    <w:uiPriority w:val="99"/>
    <w:rsid w:val="00026C45"/>
    <w:pPr>
      <w:spacing w:before="100" w:beforeAutospacing="1" w:after="100" w:afterAutospacing="1"/>
    </w:pPr>
    <w:rPr>
      <w:rFonts w:eastAsia="Times New Roman"/>
      <w:sz w:val="24"/>
      <w:szCs w:val="24"/>
      <w:lang w:eastAsia="lv-LV"/>
    </w:rPr>
  </w:style>
  <w:style w:type="paragraph" w:styleId="BalloonText">
    <w:name w:val="Balloon Text"/>
    <w:basedOn w:val="Normal"/>
    <w:link w:val="BalloonTextChar"/>
    <w:uiPriority w:val="99"/>
    <w:semiHidden/>
    <w:unhideWhenUsed/>
    <w:rsid w:val="00690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1A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F487D"/>
    <w:rPr>
      <w:sz w:val="16"/>
      <w:szCs w:val="16"/>
    </w:rPr>
  </w:style>
  <w:style w:type="paragraph" w:styleId="CommentSubject">
    <w:name w:val="annotation subject"/>
    <w:basedOn w:val="CommentText"/>
    <w:next w:val="CommentText"/>
    <w:link w:val="CommentSubjectChar"/>
    <w:uiPriority w:val="99"/>
    <w:semiHidden/>
    <w:unhideWhenUsed/>
    <w:rsid w:val="003F487D"/>
    <w:rPr>
      <w:rFonts w:ascii="Times New Roman" w:hAnsi="Times New Roman"/>
      <w:b/>
      <w:bCs/>
    </w:rPr>
  </w:style>
  <w:style w:type="character" w:customStyle="1" w:styleId="CommentSubjectChar">
    <w:name w:val="Comment Subject Char"/>
    <w:basedOn w:val="CommentTextChar"/>
    <w:link w:val="CommentSubject"/>
    <w:uiPriority w:val="99"/>
    <w:semiHidden/>
    <w:rsid w:val="003F487D"/>
    <w:rPr>
      <w:rFonts w:ascii="Calibri" w:eastAsia="Calibri" w:hAnsi="Calibri" w:cs="Times New Roman"/>
      <w:b/>
      <w:bCs/>
    </w:rPr>
  </w:style>
  <w:style w:type="paragraph" w:styleId="FootnoteText">
    <w:name w:val="footnote text"/>
    <w:basedOn w:val="Normal"/>
    <w:link w:val="FootnoteTextChar"/>
    <w:uiPriority w:val="99"/>
    <w:semiHidden/>
    <w:unhideWhenUsed/>
    <w:rsid w:val="006F3A6B"/>
    <w:rPr>
      <w:sz w:val="20"/>
      <w:szCs w:val="20"/>
    </w:rPr>
  </w:style>
  <w:style w:type="character" w:customStyle="1" w:styleId="FootnoteTextChar">
    <w:name w:val="Footnote Text Char"/>
    <w:basedOn w:val="DefaultParagraphFont"/>
    <w:link w:val="FootnoteText"/>
    <w:uiPriority w:val="99"/>
    <w:semiHidden/>
    <w:rsid w:val="006F3A6B"/>
    <w:rPr>
      <w:rFonts w:eastAsia="Calibri" w:cs="Times New Roman"/>
    </w:rPr>
  </w:style>
  <w:style w:type="character" w:styleId="FootnoteReference">
    <w:name w:val="footnote reference"/>
    <w:basedOn w:val="DefaultParagraphFont"/>
    <w:uiPriority w:val="99"/>
    <w:semiHidden/>
    <w:unhideWhenUsed/>
    <w:rsid w:val="006F3A6B"/>
    <w:rPr>
      <w:vertAlign w:val="superscript"/>
    </w:rPr>
  </w:style>
  <w:style w:type="character" w:styleId="Hyperlink">
    <w:name w:val="Hyperlink"/>
    <w:basedOn w:val="DefaultParagraphFont"/>
    <w:rsid w:val="00EF7B96"/>
    <w:rPr>
      <w:color w:val="0000FF"/>
      <w:u w:val="single"/>
    </w:rPr>
  </w:style>
  <w:style w:type="table" w:styleId="TableGrid">
    <w:name w:val="Table Grid"/>
    <w:basedOn w:val="TableNormal"/>
    <w:uiPriority w:val="39"/>
    <w:rsid w:val="002C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gov.lv/lv/pievienotas-vertibas-nodokl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8354-D0A0-42B6-8C7C-3C27ED56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7903</Words>
  <Characters>4506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Noteikumu projekta "Grozījumi Ministru kabineta 2013.gada 15.janvāra noteikumos Nr.40 "Noteikumi par pievienotās vērtības nodokļa deklarācijām"" sākotnējās ietekmes novērtējuma ziņojums (anotācija)</vt:lpstr>
    </vt:vector>
  </TitlesOfParts>
  <Company>Valsts ieņēmumu dienests</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2013.gada 15.janvāra noteikumos Nr.40 "Noteikumi par pievienotās vērtības nodokļa deklarācijām"" sākotnējās ietekmes novērtējuma ziņojums (anotācija)</dc:title>
  <dc:subject>anotācija</dc:subject>
  <dc:creator>Gunta.Sketre@vid.gov.lv</dc:creator>
  <dc:description>67122013, gunta.sketre@vid.gov.lv</dc:description>
  <cp:lastModifiedBy>Gunta Šķetre</cp:lastModifiedBy>
  <cp:revision>11</cp:revision>
  <cp:lastPrinted>2017-07-03T13:30:00Z</cp:lastPrinted>
  <dcterms:created xsi:type="dcterms:W3CDTF">2017-09-26T12:24:00Z</dcterms:created>
  <dcterms:modified xsi:type="dcterms:W3CDTF">2017-09-26T13:56:00Z</dcterms:modified>
</cp:coreProperties>
</file>