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65" w:rsidRDefault="00136D87" w:rsidP="007F671D">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r w:rsidR="007F671D">
        <w:rPr>
          <w:b/>
          <w:sz w:val="26"/>
          <w:szCs w:val="26"/>
        </w:rPr>
        <w:t xml:space="preserve"> „</w:t>
      </w:r>
      <w:r w:rsidR="002643AF" w:rsidRPr="002643AF">
        <w:rPr>
          <w:b/>
          <w:sz w:val="26"/>
          <w:szCs w:val="26"/>
        </w:rPr>
        <w:t xml:space="preserve">Par </w:t>
      </w:r>
      <w:r w:rsidR="001B5E6D">
        <w:rPr>
          <w:b/>
          <w:sz w:val="26"/>
          <w:szCs w:val="26"/>
        </w:rPr>
        <w:t>apropriācijas pārdali”</w:t>
      </w:r>
      <w:r w:rsidR="00020664" w:rsidRPr="006914B3">
        <w:rPr>
          <w:b/>
          <w:sz w:val="26"/>
          <w:szCs w:val="26"/>
        </w:rPr>
        <w:t xml:space="preserve"> </w:t>
      </w:r>
    </w:p>
    <w:p w:rsidR="00585B7B" w:rsidRDefault="00585B7B" w:rsidP="007F671D">
      <w:pPr>
        <w:jc w:val="center"/>
        <w:rPr>
          <w:b/>
          <w:sz w:val="26"/>
          <w:szCs w:val="26"/>
        </w:rPr>
      </w:pPr>
      <w:r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Pr="006914B3">
          <w:rPr>
            <w:b/>
            <w:sz w:val="26"/>
            <w:szCs w:val="26"/>
          </w:rPr>
          <w:t>ziņojums</w:t>
        </w:r>
      </w:smartTag>
      <w:r w:rsidRPr="006914B3">
        <w:rPr>
          <w:b/>
          <w:sz w:val="26"/>
          <w:szCs w:val="26"/>
        </w:rPr>
        <w:t xml:space="preserve"> (anotācija)</w:t>
      </w:r>
    </w:p>
    <w:p w:rsidR="00681E25" w:rsidRPr="009B2F21" w:rsidRDefault="00681E25" w:rsidP="007F671D">
      <w:pPr>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916055">
            <w:pPr>
              <w:pStyle w:val="naiskr"/>
              <w:spacing w:before="0" w:after="0"/>
              <w:ind w:left="141" w:hanging="10"/>
            </w:pPr>
            <w:r w:rsidRPr="00B24229">
              <w:t>Pamatojums</w:t>
            </w:r>
          </w:p>
        </w:tc>
        <w:tc>
          <w:tcPr>
            <w:tcW w:w="6662" w:type="dxa"/>
          </w:tcPr>
          <w:p w:rsidR="00F73E58" w:rsidRDefault="00F73E58" w:rsidP="008B0833">
            <w:pPr>
              <w:pStyle w:val="ListParagraph"/>
              <w:numPr>
                <w:ilvl w:val="0"/>
                <w:numId w:val="26"/>
              </w:numPr>
              <w:ind w:right="127"/>
              <w:jc w:val="both"/>
            </w:pPr>
            <w:r>
              <w:t>Jēkabpils pilsētas pašvaldības un Valmieras pilsētas pašvaldības sniegtā informācija un izteiktie lūgumi.</w:t>
            </w:r>
          </w:p>
          <w:p w:rsidR="00F73E58" w:rsidRDefault="00F73E58" w:rsidP="00F73E58">
            <w:pPr>
              <w:pStyle w:val="ListParagraph"/>
              <w:numPr>
                <w:ilvl w:val="0"/>
                <w:numId w:val="26"/>
              </w:numPr>
              <w:ind w:right="127"/>
              <w:jc w:val="both"/>
            </w:pPr>
            <w:r>
              <w:t>Nepieciešamība nodrošināt piešķirto valsts budžeta līdzekļu izlietošanu atbilstoši tam paredzētam mērķim, kā arī nodrošināt piešķirt</w:t>
            </w:r>
            <w:r w:rsidR="00A13C5F">
              <w:t xml:space="preserve">o līdzekļu </w:t>
            </w:r>
            <w:r>
              <w:t>izlietojumu līdz 2017.gada 31.decembrim.</w:t>
            </w:r>
          </w:p>
          <w:p w:rsidR="008A53C4" w:rsidRDefault="008A53C4" w:rsidP="008A53C4">
            <w:pPr>
              <w:pStyle w:val="ListParagraph"/>
              <w:numPr>
                <w:ilvl w:val="0"/>
                <w:numId w:val="26"/>
              </w:numPr>
              <w:ind w:right="127"/>
              <w:jc w:val="both"/>
            </w:pPr>
            <w:r>
              <w:t xml:space="preserve">Saistība ar Izglītības un zinātnes ministrijas (turpmāk – IZM) izstrādāto </w:t>
            </w:r>
            <w:r w:rsidRPr="008A53C4">
              <w:t>Ministru kabineta rīkojuma projekt</w:t>
            </w:r>
            <w:r>
              <w:t>u</w:t>
            </w:r>
            <w:r w:rsidRPr="008A53C4">
              <w:t xml:space="preserve"> „Grozījumi Ministru kabineta 2017.gada 19.aprīļa rīkojumā Nr.196 „Par valsts budžeta ilgtermiņa saistību precizēšanu valsts galvoto reģionālo olimpisk</w:t>
            </w:r>
            <w:r>
              <w:t>o centru projektu īstenošanai””.</w:t>
            </w:r>
          </w:p>
          <w:p w:rsidR="008A53C4" w:rsidRDefault="008A53C4" w:rsidP="008A53C4">
            <w:pPr>
              <w:pStyle w:val="ListParagraph"/>
              <w:numPr>
                <w:ilvl w:val="0"/>
                <w:numId w:val="26"/>
              </w:numPr>
              <w:ind w:right="127"/>
              <w:jc w:val="both"/>
            </w:pPr>
            <w:r>
              <w:t xml:space="preserve">Saistība ar IZM </w:t>
            </w:r>
            <w:r w:rsidRPr="008A53C4">
              <w:t>priekšlikum</w:t>
            </w:r>
            <w:r>
              <w:t>iem</w:t>
            </w:r>
            <w:r w:rsidRPr="008A53C4">
              <w:t xml:space="preserve"> likumprojekta „Par valsts budžetu 2018.gadam” un likumprojekta „Par vidēja termiņa budžeta ietvaru 2018., 2019. un 2020.gadam” izsk</w:t>
            </w:r>
            <w:r>
              <w:t>atīšanai Saeimā otrajā lasījumā.</w:t>
            </w:r>
          </w:p>
          <w:p w:rsidR="00AF54E9" w:rsidRPr="00B24229" w:rsidRDefault="00F73E58" w:rsidP="001F6BF9">
            <w:pPr>
              <w:pStyle w:val="ListParagraph"/>
              <w:numPr>
                <w:ilvl w:val="0"/>
                <w:numId w:val="26"/>
              </w:numPr>
              <w:ind w:right="127"/>
              <w:jc w:val="both"/>
            </w:pPr>
            <w:r>
              <w:t>Likuma “Par valsts budžetu 2017.gadam” 3</w:t>
            </w:r>
            <w:r w:rsidR="001F6BF9">
              <w:t>1</w:t>
            </w:r>
            <w:r>
              <w:t xml:space="preserve">.panta </w:t>
            </w:r>
            <w:r w:rsidR="001F6BF9">
              <w:t>5</w:t>
            </w:r>
            <w:r>
              <w:t>.punkts.</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583A0A" w:rsidRDefault="00B7598A" w:rsidP="00B7598A">
            <w:pPr>
              <w:ind w:left="141" w:right="142"/>
              <w:jc w:val="both"/>
            </w:pPr>
            <w:r>
              <w:tab/>
            </w:r>
            <w:r w:rsidR="00583A0A">
              <w:t xml:space="preserve"> 2017.gada valsts budžeta projekta izstrādes procesā </w:t>
            </w:r>
            <w:r w:rsidR="008A53C4">
              <w:t xml:space="preserve">IZM </w:t>
            </w:r>
            <w:r w:rsidR="00162EB5">
              <w:t>2017.</w:t>
            </w:r>
            <w:r w:rsidR="00583A0A" w:rsidRPr="00583A0A">
              <w:t xml:space="preserve">gada budžeta apakšprogrammā 09.04.00 „Sporta būves” jaunās politikas iniciatīvu pasākumam „Jēkabpils multifunkcionālās sporta halles būvniecība” </w:t>
            </w:r>
            <w:r w:rsidR="00583A0A">
              <w:t xml:space="preserve">tika piešķirti 600 000 </w:t>
            </w:r>
            <w:r w:rsidR="00583A0A" w:rsidRPr="00583A0A">
              <w:rPr>
                <w:i/>
              </w:rPr>
              <w:t>euro</w:t>
            </w:r>
            <w:r w:rsidR="00583A0A">
              <w:t xml:space="preserve">, savukārt </w:t>
            </w:r>
            <w:r w:rsidR="006E6252" w:rsidRPr="00583A0A">
              <w:t xml:space="preserve"> jaunās politikas iniciatīvu pasākumam </w:t>
            </w:r>
            <w:r w:rsidR="00583A0A" w:rsidRPr="00583A0A">
              <w:t xml:space="preserve">„Valmieras J.Daliņa stadiona rekonstrukcija un vieglatlētikas manēžas celtniecība” </w:t>
            </w:r>
            <w:r w:rsidR="00583A0A">
              <w:t xml:space="preserve">tika piešķirti 1 100 000 </w:t>
            </w:r>
            <w:r w:rsidR="00583A0A" w:rsidRPr="00583A0A">
              <w:rPr>
                <w:i/>
              </w:rPr>
              <w:t>euro</w:t>
            </w:r>
            <w:r w:rsidR="00583A0A">
              <w:t>.</w:t>
            </w:r>
          </w:p>
          <w:p w:rsidR="0069769B" w:rsidRDefault="006E6252" w:rsidP="0069769B">
            <w:pPr>
              <w:ind w:left="141" w:right="142"/>
              <w:jc w:val="both"/>
            </w:pPr>
            <w:r>
              <w:tab/>
            </w:r>
            <w:r w:rsidR="0056276D">
              <w:t>Jēkabpils pilsētas pašvaldība 2017.gada 31.oktobra vēstulē Nr.</w:t>
            </w:r>
            <w:r w:rsidR="0056276D" w:rsidRPr="0056276D">
              <w:t>2.7.29/433</w:t>
            </w:r>
            <w:r w:rsidR="0056276D">
              <w:t xml:space="preserve"> inform</w:t>
            </w:r>
            <w:r w:rsidR="0069769B">
              <w:t xml:space="preserve">ēja IZM, ka, uzsākot </w:t>
            </w:r>
            <w:r w:rsidR="00162EB5" w:rsidRPr="00583A0A">
              <w:t>Jēkabpils multifunkcionālās sporta halles būvniecība</w:t>
            </w:r>
            <w:r w:rsidR="00162EB5">
              <w:t xml:space="preserve">s </w:t>
            </w:r>
            <w:r w:rsidR="0069769B">
              <w:t xml:space="preserve">projekta īstenošanu, pašvaldība izvērtēja piedāvātos zemes gabalus multifunkcionālās sporta halles būvniecībai un 2017.gada 16.martā parakstīja līgumu par zemes iegādi. 2017.gada 2.augustā projekts tika turpināts, piesaistot kvalificētu speciālistus tehniskās specifikācijas izstrādei un 2017.gada 28.augustā tika izsludināts iepirkums. Ņemot vērā lielo perspektīvo pretendentu interesi, 2017.gada 26.septembrī tika precizēta iepirkumu dokumentācija un pagarināts piedāvājumu iesniegšanas termiņš līdz 2017.gada 18.oktobrim. 2017.gada 27.oktobrī tika pieņemts lēmums par eksperta pieaicināšanu iesniegtā finanšu piedāvājuma papildus izvērtēšanai. Ņemot vērā projekta nozīmīgumu pilsētas sporta dzīvē, visā projekta realizācijas gaitā notika plašas diskusijas ar sabiedrību un nozares speciālistiem. Pašvaldība informē IZM, ka plāno līdz 2017.gada beigām pabeigt iepirkumu un noslēgt līgumu par projekta realizāciju. Tomēr, ņemot vērā iepriekš minētos objektīvos un no pašvaldības rīcības neatkarīgos iemeslus piešķirtā finansējuma izlietojumam, </w:t>
            </w:r>
            <w:r w:rsidR="0039519F">
              <w:t xml:space="preserve">Jēkabpils pilsētas </w:t>
            </w:r>
            <w:r w:rsidR="0069769B">
              <w:t xml:space="preserve">pašvaldība lūdz rast iespēju pašvaldībai piešķirto valsts budžeta finansējumu 600 000 </w:t>
            </w:r>
            <w:r w:rsidR="0069769B" w:rsidRPr="00FA0D44">
              <w:rPr>
                <w:i/>
              </w:rPr>
              <w:t>euro</w:t>
            </w:r>
            <w:r w:rsidR="0069769B">
              <w:t xml:space="preserve"> apmērā pārcelt uz 2018.gada budžetu.</w:t>
            </w:r>
            <w:r w:rsidR="00FA0D44">
              <w:t xml:space="preserve"> Izvērtējot IZM rīcībā esošo informāciju, konstatējams, ka Jēkabpils pilsētas pašvaldība no </w:t>
            </w:r>
            <w:r w:rsidR="00162EB5" w:rsidRPr="00583A0A">
              <w:t xml:space="preserve"> Jēkabpils multifunkcionālās sporta halles būvniecība</w:t>
            </w:r>
            <w:r w:rsidR="00162EB5">
              <w:t xml:space="preserve">s </w:t>
            </w:r>
            <w:r w:rsidR="00FA0D44">
              <w:t xml:space="preserve">projektam </w:t>
            </w:r>
            <w:r w:rsidR="00FA0D44">
              <w:lastRenderedPageBreak/>
              <w:t xml:space="preserve">piešķirtajiem līdzekļiem līdz 2017.gada 1.novembrim ir izlietojusi 11 979 </w:t>
            </w:r>
            <w:r w:rsidR="00FA0D44" w:rsidRPr="00FA0D44">
              <w:rPr>
                <w:i/>
              </w:rPr>
              <w:t>euro</w:t>
            </w:r>
            <w:r w:rsidR="00FA0D44">
              <w:t xml:space="preserve">, kā rezultātā pašvaldības lūgums par finansējuma pārcelšanu uz 2018.gadu ir attiecināms tikai uz neizlietoto finansējumu, t.i., 588 021 </w:t>
            </w:r>
            <w:r w:rsidR="00FA0D44" w:rsidRPr="00FA0D44">
              <w:rPr>
                <w:i/>
              </w:rPr>
              <w:t>euro</w:t>
            </w:r>
            <w:r w:rsidR="00FA0D44">
              <w:t>.</w:t>
            </w:r>
          </w:p>
          <w:p w:rsidR="00FA0D44" w:rsidRDefault="0069769B" w:rsidP="00FA0D44">
            <w:pPr>
              <w:ind w:left="141" w:right="142"/>
              <w:jc w:val="both"/>
            </w:pPr>
            <w:r>
              <w:tab/>
              <w:t>Valmieras pilsētas pašvaldība 2017.gada 31.oktobra vēstulē Nr.</w:t>
            </w:r>
            <w:r w:rsidR="006B1E8E" w:rsidRPr="006B1E8E">
              <w:t>2.2.1.7/17/1570</w:t>
            </w:r>
            <w:r w:rsidR="006B1E8E">
              <w:t xml:space="preserve"> inform</w:t>
            </w:r>
            <w:r w:rsidR="00FA0D44">
              <w:t xml:space="preserve">ēja IZM, ka, uzsākot </w:t>
            </w:r>
            <w:r w:rsidR="004E7195" w:rsidRPr="00583A0A">
              <w:t xml:space="preserve"> Valmieras J.Daliņa stadiona rekonstrukcija</w:t>
            </w:r>
            <w:r w:rsidR="004E7195">
              <w:t>s</w:t>
            </w:r>
            <w:r w:rsidR="004E7195" w:rsidRPr="00583A0A">
              <w:t xml:space="preserve"> un vieglatlētikas manēžas celtniecība</w:t>
            </w:r>
            <w:r w:rsidR="004E7195">
              <w:t xml:space="preserve">s projekta </w:t>
            </w:r>
            <w:r w:rsidR="00FA0D44">
              <w:t xml:space="preserve">īstenošanu, pašvaldība 2017.gada 24.februārī izsludināja iepirkumu par Vieglatlētikas manēžas un stadiona izbūvi Jāņa Daliņa ielā 2, Valmierā (iepirkuma identifikācijas Nr.VPP 2017/010AK). Pēc iepirkuma izsludināšanas tika saņemts būvprojekta elektroapgādes sadaļas projektētājas Annas Timofejevas iesniegums, kurā viņa norādīja, ka nav būvprojekta „Vieglatlētikas manēžas un stadiona izbūve Jāņa Daliņa ielā 2, Valmierā” elektroapgādes daļas izstrādātāja un attiecīgi nav parakstījusi šo būvprojektu. Pamatojoties uz saņemto iesniegumu, </w:t>
            </w:r>
            <w:r w:rsidR="00780BAD">
              <w:t xml:space="preserve">Valmieras pilsētas </w:t>
            </w:r>
            <w:r w:rsidR="00FA0D44">
              <w:t>pašvaldība 2017.gada 11.maijā vērsās tiesībaizsardzības iestādēs un šobrīd par minēto faktu ir uzsākts kriminālprocess (Valsts policijas 2017.gada 23.maijā sniegtā informācija). Ņemot vērā minēto, 2017.gada 21.martā Iepirkuma komisija lēma par izsludinātā iepirkuma pārtraukšanu</w:t>
            </w:r>
            <w:r w:rsidR="006A04CE">
              <w:t>, s</w:t>
            </w:r>
            <w:r w:rsidR="00FA0D44">
              <w:t xml:space="preserve">avukārt būvprojekts tika nodots projekta izstrādātājiem nepieciešamo izmaiņu veikšanai atbilstoši normatīvo aktu prasībām. Saņemot pārstrādāto projektu, 2017.gada 9.augustā tika izsludināts jauns iepirkums par Vieglatlētikas manēžas un stadiona izbūvi Jāņa Daliņa ielā 2, Valmierā, kurā piedāvājumu iesniegšanas termiņš ir beidzies. Līgumu par būvniecību Valmieras pilsētas pašvaldība plāno noslēgt līdz 2017.gada beigām. Tomēr, ņemot vērā iepriekš minētos objektīvos un no pašvaldības rīcības neatkarīgos iemeslus piešķirtā finansējuma izlietojumam, </w:t>
            </w:r>
            <w:r w:rsidR="0039519F">
              <w:t xml:space="preserve">Valmieras pilsētas </w:t>
            </w:r>
            <w:r w:rsidR="00FA0D44">
              <w:t xml:space="preserve">pašvaldība lūdz rast iespēju pašvaldībai piešķirto valsts budžeta finansējumu 1 100 000 </w:t>
            </w:r>
            <w:r w:rsidR="00FA0D44" w:rsidRPr="00FA0D44">
              <w:rPr>
                <w:i/>
              </w:rPr>
              <w:t>euro</w:t>
            </w:r>
            <w:r w:rsidR="00FA0D44">
              <w:t xml:space="preserve"> apmērā pārcelt uz 2018.gada budžetu.</w:t>
            </w:r>
          </w:p>
          <w:p w:rsidR="00C364B5" w:rsidRDefault="00FA0D44" w:rsidP="00C364B5">
            <w:pPr>
              <w:ind w:left="141" w:right="142"/>
              <w:jc w:val="both"/>
            </w:pPr>
            <w:r>
              <w:tab/>
              <w:t>IZM kā par sporta nozari atbildīgā ministrija ir izvērtējusi minētos pašvaldību lūgumus un atbalsta līdzekļu pārdales veikšanu. Lai līdzekļu pārdale neradītu negatīvu fiskālu ietekmi uz 201</w:t>
            </w:r>
            <w:r w:rsidR="00EE681B">
              <w:t>8</w:t>
            </w:r>
            <w:r>
              <w:t xml:space="preserve">.gada valsts budžeta izdevumiem, kā arī, ņemot vērā ar </w:t>
            </w:r>
            <w:r w:rsidR="00EE681B">
              <w:t xml:space="preserve">Ministru kabineta </w:t>
            </w:r>
            <w:r>
              <w:t>2014.g</w:t>
            </w:r>
            <w:r w:rsidR="00761F25">
              <w:t>ada 18.augusta rīkojumu Nr.430 „</w:t>
            </w:r>
            <w:r>
              <w:t>Par Murjāņu sporta ģimnāzijas esošo būvju rekonstrukcijas un multifunkcionālas slēgtas sporta manēžas būvniecības projekta īstenošanai 2014.gadā paredzēto valsts budžeta līdzekļu pārdali”</w:t>
            </w:r>
            <w:r w:rsidR="0059138D">
              <w:t>,</w:t>
            </w:r>
            <w:r w:rsidR="00EE681B">
              <w:t xml:space="preserve"> Ministru kabineta 2014.gada 31.oktobra rīkojumu Nr.623 „Par Siguldas sporta kompleksa projekta, Vidzemes Olimpiskā centra attīstības projekta un Liepājas Olimpiskā centra vieglatlētikas manēžas būvniecības projekta īstenošanai 2014.gadā paredzēto valsts budžeta līdzekļu pārdali” </w:t>
            </w:r>
            <w:r w:rsidR="0059138D">
              <w:t>un Ministru kabineta 2016.gada 17.novembra rīkojumu Nr.685 „Par tenisa centra „Lielupe” rekonstrukc</w:t>
            </w:r>
            <w:r w:rsidR="00863C67">
              <w:t>ijas projekta īstenošanai 2016.</w:t>
            </w:r>
            <w:r w:rsidR="0059138D">
              <w:t xml:space="preserve">gadā paredzēto valsts budžeta līdzekļu pārdali” </w:t>
            </w:r>
            <w:r>
              <w:t xml:space="preserve">iedibināto praksi, IZM rosina veikt līdzekļu (kopā </w:t>
            </w:r>
            <w:r w:rsidR="00EF48F6" w:rsidRPr="00EF48F6">
              <w:t>Jēkabpils multifunkcionālās sporta halles būvniecība</w:t>
            </w:r>
            <w:r w:rsidR="00EF48F6">
              <w:t xml:space="preserve">s projekta un </w:t>
            </w:r>
            <w:r w:rsidR="00EF48F6" w:rsidRPr="00EF48F6">
              <w:t>Valmieras J.Daliņa stadiona rekonstrukcija</w:t>
            </w:r>
            <w:r w:rsidR="00EF48F6">
              <w:t>s</w:t>
            </w:r>
            <w:r w:rsidR="00EF48F6" w:rsidRPr="00EF48F6">
              <w:t xml:space="preserve"> un vieglatlētikas manēžas celtniecība</w:t>
            </w:r>
            <w:r w:rsidR="00EF48F6">
              <w:t>s</w:t>
            </w:r>
            <w:r w:rsidR="00EF48F6" w:rsidRPr="00EF48F6">
              <w:t xml:space="preserve"> </w:t>
            </w:r>
            <w:r>
              <w:t>projekt</w:t>
            </w:r>
            <w:r w:rsidR="00EF48F6">
              <w:t>a</w:t>
            </w:r>
            <w:r>
              <w:t xml:space="preserve"> </w:t>
            </w:r>
            <w:r>
              <w:lastRenderedPageBreak/>
              <w:t xml:space="preserve">īstenošanai pārdalāmā summa ir </w:t>
            </w:r>
            <w:r w:rsidR="00EE681B" w:rsidRPr="00EE681B">
              <w:t xml:space="preserve">1 688 021 </w:t>
            </w:r>
            <w:r w:rsidR="00EE681B" w:rsidRPr="00EE681B">
              <w:rPr>
                <w:i/>
              </w:rPr>
              <w:t>euro</w:t>
            </w:r>
            <w:r w:rsidR="00C364B5">
              <w:t xml:space="preserve">) pārdali </w:t>
            </w:r>
            <w:r w:rsidR="00C364B5" w:rsidRPr="00C364B5">
              <w:t>biedrība</w:t>
            </w:r>
            <w:r w:rsidR="006A5E98">
              <w:t>i</w:t>
            </w:r>
            <w:r w:rsidR="00C364B5" w:rsidRPr="00C364B5">
              <w:t xml:space="preserve"> „Latvijas Olimpiskā komiteja” </w:t>
            </w:r>
            <w:r w:rsidR="006A5E98" w:rsidRPr="006A5E98">
              <w:t>valsts galvoto aizdevumu 2018.gada maksājuma daļējai atmaksai</w:t>
            </w:r>
            <w:r w:rsidR="00C364B5">
              <w:t xml:space="preserve"> (IZM 2017.gada valsts budžeta programma 09.00.00 „Sports” apakšprogramma 09.23.00 „Valsts ilgtermiņa saistības sportā – dotācija Latvijas Olimpiskajai komitejai (LOK) – valsts galvoto aizdevumu atmaksai”), tādejādi nodrošinot saistību daļēju izpildi jau 2017.gadā, savukārt pārdales rezultātā pieejamos finanšu resursus 2018.gadā novirzīt minēto projektu īstenošanai pārdalīto līdzekļu apmērā.</w:t>
            </w:r>
            <w:r w:rsidR="001D057C">
              <w:t xml:space="preserve"> </w:t>
            </w:r>
            <w:r w:rsidR="00C364B5">
              <w:t xml:space="preserve">Izvērtējot ar </w:t>
            </w:r>
            <w:r w:rsidR="00C364B5" w:rsidRPr="00C364B5">
              <w:t>Ministru kabinet</w:t>
            </w:r>
            <w:r w:rsidR="005575EF">
              <w:t>a 2017.gada 19.</w:t>
            </w:r>
            <w:r w:rsidR="00C364B5">
              <w:t xml:space="preserve">aprīļa rīkojuma </w:t>
            </w:r>
            <w:r w:rsidR="00C364B5" w:rsidRPr="00C364B5">
              <w:t>Nr.196 „Par valsts budžeta ilgtermiņa saistību precizēšanu valsts galvoto reģionālo olimpisko centru projektu īstenošanai”</w:t>
            </w:r>
            <w:r w:rsidR="00C364B5">
              <w:t xml:space="preserve"> 1.punktu apstiprinātās </w:t>
            </w:r>
            <w:r w:rsidR="00C364B5" w:rsidRPr="00C364B5">
              <w:t>va</w:t>
            </w:r>
            <w:r w:rsidR="00C364B5">
              <w:t xml:space="preserve">lsts budžeta ilgtermiņa saistības, secināms, ka pārdalāmo finansējumu </w:t>
            </w:r>
            <w:r w:rsidR="001D057C" w:rsidRPr="00EE681B">
              <w:t xml:space="preserve">1 688 021 </w:t>
            </w:r>
            <w:r w:rsidR="001D057C" w:rsidRPr="00EE681B">
              <w:rPr>
                <w:i/>
              </w:rPr>
              <w:t>euro</w:t>
            </w:r>
            <w:r w:rsidR="001D057C">
              <w:t xml:space="preserve"> apmērā </w:t>
            </w:r>
            <w:r w:rsidR="00C364B5">
              <w:t xml:space="preserve">iespējams novirzīt </w:t>
            </w:r>
            <w:r w:rsidR="00C364B5"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daļējai atmaksai</w:t>
            </w:r>
            <w:r w:rsidR="00D81681">
              <w:t xml:space="preserve"> (</w:t>
            </w:r>
            <w:r w:rsidR="00D81681" w:rsidRPr="00D81681">
              <w:t>ilgtermiņa pasākumam „Valsts galvoto aizdevumu atmaksai par īstenotajiem projektiem Daugavpils Olimpiskajā centrā, Zemgales Olimpiskajā centrā un Ventspils Olimpiskajā centrā”</w:t>
            </w:r>
            <w:r w:rsidR="00D81681">
              <w:t>)</w:t>
            </w:r>
            <w:r w:rsidR="00A826C2">
              <w:t xml:space="preserve">, jo šo galvojumu atmaksai </w:t>
            </w:r>
            <w:r w:rsidR="005575EF">
              <w:t xml:space="preserve">(kopā) </w:t>
            </w:r>
            <w:r w:rsidR="00A826C2">
              <w:t xml:space="preserve">2018.gadā paredzēti valsts budžeta līdzekļi </w:t>
            </w:r>
            <w:r w:rsidR="00A826C2" w:rsidRPr="00A826C2">
              <w:t xml:space="preserve">2 069 344 </w:t>
            </w:r>
            <w:r w:rsidR="00A826C2" w:rsidRPr="00A826C2">
              <w:rPr>
                <w:i/>
              </w:rPr>
              <w:t>euro</w:t>
            </w:r>
            <w:r w:rsidR="00A826C2" w:rsidRPr="00A826C2">
              <w:t xml:space="preserve"> apmērā</w:t>
            </w:r>
            <w:r w:rsidR="00A826C2">
              <w:t>.</w:t>
            </w:r>
          </w:p>
          <w:p w:rsidR="00A826C2" w:rsidRDefault="00FA0D44" w:rsidP="00FA0D44">
            <w:pPr>
              <w:ind w:left="141" w:right="142"/>
              <w:jc w:val="both"/>
            </w:pPr>
            <w:r>
              <w:tab/>
              <w:t xml:space="preserve">Saskaņā ar  likuma </w:t>
            </w:r>
            <w:r w:rsidR="00A826C2">
              <w:t>„</w:t>
            </w:r>
            <w:r>
              <w:t>Par valsts budžetu 201</w:t>
            </w:r>
            <w:r w:rsidR="00A826C2">
              <w:t>7</w:t>
            </w:r>
            <w:r>
              <w:t>.gadam” 3</w:t>
            </w:r>
            <w:r w:rsidR="00A826C2">
              <w:t xml:space="preserve">1.panta  5.punktu finanšu ministram ir tiesības veikt </w:t>
            </w:r>
            <w:r w:rsidR="00A826C2" w:rsidRPr="00A826C2">
              <w:t>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30. panta nosacījumus</w:t>
            </w:r>
            <w:r w:rsidR="00A826C2">
              <w:t xml:space="preserve"> (t.sk. 30.panta 1.punktā noteikto, ka k</w:t>
            </w:r>
            <w:r w:rsidR="00A826C2" w:rsidRPr="00A826C2">
              <w:t>opējais pārdales apjoms starp pamatbudžeta programmām (apakšprogrammām) nedrīkst izraisīt katras atsevišķās programmas (apakšprogrammas) palielinājumu, kas būtu lielāks par 5 procentiem no programmai (apakšprogrammai) apstiprinātās gada apropriācijas apjoma</w:t>
            </w:r>
            <w:r w:rsidR="00A826C2">
              <w:t xml:space="preserve">, kā arī 30.panta 10.punktā noteikto, ka </w:t>
            </w:r>
            <w:r w:rsidR="00A826C2" w:rsidRPr="00A826C2">
              <w:t>nav pieļaujama apropriācijas pārdale citiem mērķiem no jaunajām politikas iniciatīvām un citiem prioritārajiem pasākumiem 2017.</w:t>
            </w:r>
            <w:r w:rsidR="00A826C2">
              <w:t>–</w:t>
            </w:r>
            <w:r w:rsidR="00A826C2" w:rsidRPr="00A826C2">
              <w:t>20</w:t>
            </w:r>
            <w:r w:rsidR="002D5B95">
              <w:t>19. gadam piešķirtā finansējuma).  Minētā norma arī nosaka, ka šādu</w:t>
            </w:r>
            <w:r w:rsidR="002D5B95" w:rsidRPr="00A826C2">
              <w:t xml:space="preserve"> </w:t>
            </w:r>
            <w:r w:rsidR="00A826C2" w:rsidRPr="00A826C2">
              <w:t>apropriācijas pārdali atļauts veikt, ja Saeimas Budžeta un finanšu (nodokļu) komisija piecu darba dienu laikā no attiecīgās informācijas saņemšanas nav iebil</w:t>
            </w:r>
            <w:r w:rsidR="002D5B95">
              <w:t>dusi pret apropriācijas pārdali.</w:t>
            </w:r>
          </w:p>
          <w:p w:rsidR="004E0128" w:rsidRDefault="00FA0D44" w:rsidP="004E0128">
            <w:pPr>
              <w:ind w:left="141" w:right="142"/>
              <w:jc w:val="both"/>
            </w:pPr>
            <w:r>
              <w:tab/>
              <w:t>Ievērojot minēto, IZM ir izstrādājusi Minis</w:t>
            </w:r>
            <w:r w:rsidR="002D5B95">
              <w:t>tru kabineta rīkojuma projektu „Par apropriācijas pārdali”</w:t>
            </w:r>
            <w:r w:rsidR="001718C9">
              <w:t xml:space="preserve"> (turpmāk – Rīkojuma projekts)</w:t>
            </w:r>
            <w:r w:rsidR="0052685D">
              <w:t>, kur</w:t>
            </w:r>
            <w:r w:rsidR="004E0128">
              <w:t>š paredz:</w:t>
            </w:r>
          </w:p>
          <w:p w:rsidR="00D81681" w:rsidRDefault="00D81681" w:rsidP="00D81681">
            <w:pPr>
              <w:pStyle w:val="ListParagraph"/>
              <w:numPr>
                <w:ilvl w:val="0"/>
                <w:numId w:val="34"/>
              </w:numPr>
              <w:ind w:right="142"/>
              <w:jc w:val="both"/>
            </w:pPr>
            <w:r>
              <w:t>a</w:t>
            </w:r>
            <w:r w:rsidRPr="00D81681">
              <w:t xml:space="preserve">tbalstīt apropriācijas pārdali no </w:t>
            </w:r>
            <w:r>
              <w:t xml:space="preserve">IZM </w:t>
            </w:r>
            <w:r w:rsidRPr="00D81681">
              <w:t xml:space="preserve">2017.gada budžeta apakšprogrammā 09.04.00 „Sporta būves” jaunās politikas iniciatīvu pasākumam „Jēkabpils multifunkcionālās sporta </w:t>
            </w:r>
            <w:r w:rsidRPr="00D81681">
              <w:lastRenderedPageBreak/>
              <w:t xml:space="preserve">halles būvniecība” (588 021 </w:t>
            </w:r>
            <w:r w:rsidRPr="00D81681">
              <w:rPr>
                <w:i/>
              </w:rPr>
              <w:t>euro</w:t>
            </w:r>
            <w:r w:rsidRPr="00D81681">
              <w:t xml:space="preserve"> apmērā) un jaunās politikas iniciatīvu pasākumam „Valmieras J.Daliņa stadiona rekonstrukcija un vieglatlētikas manēžas celtniecība” </w:t>
            </w:r>
            <w:r>
              <w:br/>
            </w:r>
            <w:r w:rsidRPr="00D81681">
              <w:t xml:space="preserve">(1 100 000 </w:t>
            </w:r>
            <w:r w:rsidRPr="00D81681">
              <w:rPr>
                <w:i/>
              </w:rPr>
              <w:t>euro</w:t>
            </w:r>
            <w:r w:rsidRPr="00D81681">
              <w:t xml:space="preserve"> apmērā) piešķirtā finansējuma 1 688 021 </w:t>
            </w:r>
            <w:r w:rsidRPr="00D81681">
              <w:rPr>
                <w:i/>
              </w:rPr>
              <w:t>euro</w:t>
            </w:r>
            <w:r w:rsidRPr="00D81681">
              <w:t xml:space="preserve"> apmērā uz </w:t>
            </w:r>
            <w:r>
              <w:t>IZM</w:t>
            </w:r>
            <w:r w:rsidRPr="00D81681">
              <w:t xml:space="preserve"> 2017. gada budžeta apakšprogrammu 09.23.00 „Valsts ilgtermiņa saistības sporta – dotācija Latvijas Olimpiskajai komitejai (LOK) – valsts galvoto aizdevumu atmaksai” ilgtermiņa pasākumam „Valsts galvoto aizdevumu atmaksai par īstenotajiem projektiem Daugavpils Olimpiskajā centrā, Zemgales Olimpiskajā centrā un Ventspils Olimpiskajā centrā” saņemto valsts galvoto aizdevumu 2018.gada maksājuma daļējai atmaksai, tādējādi nodrošinot saistību daļēju izpildi 2017.</w:t>
            </w:r>
            <w:r>
              <w:t>gadā;</w:t>
            </w:r>
          </w:p>
          <w:p w:rsidR="004E0128" w:rsidRDefault="004E0128" w:rsidP="004E0128">
            <w:pPr>
              <w:pStyle w:val="ListParagraph"/>
              <w:numPr>
                <w:ilvl w:val="0"/>
                <w:numId w:val="34"/>
              </w:numPr>
              <w:ind w:right="142"/>
              <w:jc w:val="both"/>
            </w:pPr>
            <w:r>
              <w:t>uzdevumu IZM:</w:t>
            </w:r>
          </w:p>
          <w:p w:rsidR="004E0128" w:rsidRDefault="004E0128" w:rsidP="004E0128">
            <w:pPr>
              <w:pStyle w:val="ListParagraph"/>
              <w:numPr>
                <w:ilvl w:val="1"/>
                <w:numId w:val="34"/>
              </w:numPr>
              <w:ind w:left="850" w:right="142"/>
              <w:jc w:val="both"/>
            </w:pPr>
            <w:r>
              <w:t>normatīvajos aktos noteiktajā kārtībā sagatavot un iesniegt Finanšu ministrijā pieprasījumu valsts budžeta apropriācijas pārdalei;</w:t>
            </w:r>
          </w:p>
          <w:p w:rsidR="004E0128" w:rsidRDefault="004E0128" w:rsidP="004E0128">
            <w:pPr>
              <w:pStyle w:val="ListParagraph"/>
              <w:numPr>
                <w:ilvl w:val="1"/>
                <w:numId w:val="34"/>
              </w:numPr>
              <w:ind w:left="850" w:right="142"/>
              <w:jc w:val="both"/>
            </w:pPr>
            <w:r>
              <w:t xml:space="preserve">nodrošināt, ka Jēkabpils pilsētas pašvaldība līdz 2017.gada 30.novembrim atmaksā Jēkabpils multifunkcionālās sporta halles būvniecībai saņemtos, bet neizlietotos valsts budžeta līdzekļus 588 021 </w:t>
            </w:r>
            <w:r w:rsidRPr="004E0128">
              <w:rPr>
                <w:i/>
              </w:rPr>
              <w:t>euro</w:t>
            </w:r>
            <w:r>
              <w:t xml:space="preserve"> apmērā;</w:t>
            </w:r>
          </w:p>
          <w:p w:rsidR="00D81681" w:rsidRDefault="004E0128" w:rsidP="00D81681">
            <w:pPr>
              <w:pStyle w:val="ListParagraph"/>
              <w:numPr>
                <w:ilvl w:val="1"/>
                <w:numId w:val="34"/>
              </w:numPr>
              <w:ind w:left="850" w:right="142"/>
              <w:jc w:val="both"/>
            </w:pPr>
            <w:r>
              <w:t xml:space="preserve">nodrošināt, ka Valmieras pilsētas pašvaldība līdz 2017.gada 30.novembrim atmaksā Valmieras J.Daliņa stadiona rekonstrukcijas un vieglatlētikas manēžas celtniecībai saņemtos, bet neizlietotos valsts budžeta līdzekļus 1 100 000 </w:t>
            </w:r>
            <w:r w:rsidRPr="004E0128">
              <w:rPr>
                <w:i/>
              </w:rPr>
              <w:t>euro</w:t>
            </w:r>
            <w:r>
              <w:t xml:space="preserve"> apmērā;</w:t>
            </w:r>
          </w:p>
          <w:p w:rsidR="004E0128" w:rsidRDefault="004E0128" w:rsidP="00D81681">
            <w:pPr>
              <w:pStyle w:val="ListParagraph"/>
              <w:numPr>
                <w:ilvl w:val="1"/>
                <w:numId w:val="34"/>
              </w:numPr>
              <w:ind w:left="850" w:right="142"/>
              <w:jc w:val="both"/>
            </w:pPr>
            <w:r>
              <w:t xml:space="preserve">nodrošināt, ka biedrība „Latvijas Olimpiskā komiteja” valsts budžeta līdzekļus </w:t>
            </w:r>
            <w:r w:rsidR="00D81681" w:rsidRPr="00D81681">
              <w:t xml:space="preserve">valsts galvoto aizdevumu 2018.gada maksājuma daļējai atmaksai izlieto līdz </w:t>
            </w:r>
            <w:r>
              <w:t xml:space="preserve"> </w:t>
            </w:r>
            <w:r w:rsidR="00D81681">
              <w:t>2017.gada 20.decembrim;</w:t>
            </w:r>
          </w:p>
          <w:p w:rsidR="004E0128" w:rsidRDefault="004E0128" w:rsidP="004E0128">
            <w:pPr>
              <w:pStyle w:val="ListParagraph"/>
              <w:numPr>
                <w:ilvl w:val="0"/>
                <w:numId w:val="34"/>
              </w:numPr>
              <w:ind w:right="142"/>
              <w:jc w:val="both"/>
            </w:pPr>
            <w:r>
              <w:t>uzdevumu finanšu ministram normatīvajos aktos noteiktajā kārtībā informēt Saeimas Budžeta un finanšu (nodokļu) komisiju par apropriācijas pārdali un pēc Saeimas Budžeta un finanšu (nodokļu) komisijas atļaujas saņemšanas veikt apropriācijas pārdali;</w:t>
            </w:r>
          </w:p>
          <w:p w:rsidR="004E0128" w:rsidRDefault="004E0128" w:rsidP="00D81681">
            <w:pPr>
              <w:pStyle w:val="ListParagraph"/>
              <w:numPr>
                <w:ilvl w:val="0"/>
                <w:numId w:val="34"/>
              </w:numPr>
              <w:ind w:right="142"/>
              <w:jc w:val="both"/>
            </w:pPr>
            <w:r>
              <w:t xml:space="preserve">noteikt, ka </w:t>
            </w:r>
            <w:r w:rsidR="00D81681">
              <w:t>f</w:t>
            </w:r>
            <w:r w:rsidR="00D81681" w:rsidRPr="00D81681">
              <w:t>inanšu resurs</w:t>
            </w:r>
            <w:r w:rsidR="00D81681">
              <w:t>i</w:t>
            </w:r>
            <w:r w:rsidR="00D81681" w:rsidRPr="00D81681">
              <w:t>, kas apakšprogrammā 09.23.00 „Valsts ilgtermiņa saistības sportā – dotācija Latvijas Olimpiskajai komitejai (LOK) – valsts galvoto aizdevumu atmaksai” radušies pēc apropriācijas pārdales, 2018.</w:t>
            </w:r>
            <w:r w:rsidR="00D81681">
              <w:t>gadā novirzāmi</w:t>
            </w:r>
            <w:r w:rsidR="00D81681" w:rsidRPr="00D81681">
              <w:t xml:space="preserve"> uz apakšp</w:t>
            </w:r>
            <w:r w:rsidR="00D81681">
              <w:t>rogrammu 09.04.00 „</w:t>
            </w:r>
            <w:r w:rsidR="00D81681" w:rsidRPr="00D81681">
              <w:t>Sporta būves” šādiem mērķiem:</w:t>
            </w:r>
          </w:p>
          <w:p w:rsidR="004E0128" w:rsidRDefault="004E0128" w:rsidP="004E0128">
            <w:pPr>
              <w:pStyle w:val="ListParagraph"/>
              <w:numPr>
                <w:ilvl w:val="1"/>
                <w:numId w:val="34"/>
              </w:numPr>
              <w:ind w:left="850" w:right="142"/>
              <w:jc w:val="both"/>
            </w:pPr>
            <w:r>
              <w:t xml:space="preserve">Jēkabpils multifunkcionālās sporta halles būvniecībai – </w:t>
            </w:r>
            <w:r>
              <w:br/>
              <w:t xml:space="preserve">588 021 </w:t>
            </w:r>
            <w:r w:rsidRPr="004E0128">
              <w:rPr>
                <w:i/>
              </w:rPr>
              <w:t>euro</w:t>
            </w:r>
            <w:r>
              <w:t>;</w:t>
            </w:r>
          </w:p>
          <w:p w:rsidR="005C1558" w:rsidRPr="00945164" w:rsidRDefault="004E0128" w:rsidP="00945164">
            <w:pPr>
              <w:pStyle w:val="ListParagraph"/>
              <w:numPr>
                <w:ilvl w:val="1"/>
                <w:numId w:val="34"/>
              </w:numPr>
              <w:ind w:left="850" w:right="142"/>
              <w:jc w:val="both"/>
            </w:pPr>
            <w:r>
              <w:t xml:space="preserve">Valmieras J.Daliņa stadiona rekonstrukcijai un vieglatlētikas manēžas celtniecībai – 1 100 000 </w:t>
            </w:r>
            <w:r w:rsidRPr="004E0128">
              <w:rPr>
                <w:i/>
              </w:rPr>
              <w:t>euro</w:t>
            </w:r>
            <w:r>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662" w:type="dxa"/>
            <w:tcBorders>
              <w:bottom w:val="single" w:sz="4" w:space="0" w:color="auto"/>
            </w:tcBorders>
          </w:tcPr>
          <w:p w:rsidR="00643E6C" w:rsidRPr="00317B6A" w:rsidRDefault="00BB3C51" w:rsidP="00790CFC">
            <w:pPr>
              <w:ind w:left="82" w:right="141"/>
              <w:jc w:val="both"/>
            </w:pPr>
            <w:r>
              <w:t xml:space="preserve">Rīkojuma </w:t>
            </w:r>
            <w:r w:rsidR="00B73BB9">
              <w:t xml:space="preserve">projektu </w:t>
            </w:r>
            <w:r w:rsidR="00DC332F" w:rsidRPr="00317B6A">
              <w:t>izstrādāja IZM.</w:t>
            </w:r>
            <w:r w:rsidR="00790CFC">
              <w:t xml:space="preserve"> </w:t>
            </w:r>
            <w:r>
              <w:t xml:space="preserve"> Rīkojuma </w:t>
            </w:r>
            <w:r w:rsidR="00790CFC">
              <w:t>projekta izstrādes procesā notikušas konsultācijas ar Finanšu ministriju, Jēkabpils pilsētas pašvaldību, Valmieras pilsētas pašvaldību un biedrību „Latvijas Olimpiskā komiteja”.</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lastRenderedPageBreak/>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52685D" w:rsidRDefault="00EB5E4B" w:rsidP="002F0B51">
            <w:pPr>
              <w:ind w:left="114" w:right="127"/>
              <w:jc w:val="both"/>
            </w:pPr>
            <w:r>
              <w:tab/>
            </w:r>
            <w:r w:rsidR="00BB3C51">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rsidR="00BB3C51">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rsidR="002D5B95" w:rsidRPr="00317B6A" w:rsidRDefault="00EB5E4B" w:rsidP="0052685D">
            <w:pPr>
              <w:ind w:left="114" w:right="127"/>
              <w:jc w:val="both"/>
            </w:pPr>
            <w:r>
              <w:tab/>
            </w:r>
            <w:r w:rsidR="002D5B95" w:rsidRPr="002D5B95">
              <w:t xml:space="preserve">Vienlaikus </w:t>
            </w:r>
            <w:r w:rsidR="002D5B95">
              <w:t>atzīmējams, ka IZM pilnveidos pasākumus</w:t>
            </w:r>
            <w:r w:rsidR="002D5B95" w:rsidRPr="002D5B95">
              <w:t xml:space="preserve"> valsts nozīmes sporta infrastruktūras attīstības projektu īstenošana</w:t>
            </w:r>
            <w:r w:rsidR="0059138D">
              <w:t>s uzraudzībai</w:t>
            </w:r>
            <w:r w:rsidR="002D5B95" w:rsidRPr="002D5B95">
              <w:t xml:space="preserve">, lai turpmāk </w:t>
            </w:r>
            <w:r w:rsidR="002D5B95">
              <w:t>mazinātu riskus pašvaldībām piešķirto valsts budžeta</w:t>
            </w:r>
            <w:r w:rsidR="002D5B95" w:rsidRPr="002D5B95">
              <w:t xml:space="preserve"> līdzekļu faktisk</w:t>
            </w:r>
            <w:r w:rsidR="002D5B95">
              <w:t>ai</w:t>
            </w:r>
            <w:r w:rsidR="002D5B95" w:rsidRPr="002D5B95">
              <w:t xml:space="preserve"> apguv</w:t>
            </w:r>
            <w:r w:rsidR="002D5B95">
              <w:t>e</w:t>
            </w:r>
            <w:r w:rsidR="002D5B95" w:rsidRPr="002D5B95">
              <w:t>i līdz 31.decembrim (</w:t>
            </w:r>
            <w:r w:rsidR="0059138D">
              <w:t>prasība nodrošināt līdzekļu apguvi</w:t>
            </w:r>
            <w:r w:rsidR="005D28BC">
              <w:t xml:space="preserve"> </w:t>
            </w:r>
            <w:r w:rsidR="005D28BC" w:rsidRPr="005D28BC">
              <w:t>faktiski veikto izdevumu un faktiski veikto darbu apmaksai</w:t>
            </w:r>
            <w:r w:rsidR="005D28BC">
              <w:t xml:space="preserve"> </w:t>
            </w:r>
            <w:r w:rsidR="0059138D">
              <w:t xml:space="preserve">līdz kalendārā gada 31.decembrim </w:t>
            </w:r>
            <w:r w:rsidR="002D5B95">
              <w:t xml:space="preserve">turpmāk tiks ietverta visos finansēšanas </w:t>
            </w:r>
            <w:r w:rsidR="002D5B95" w:rsidRPr="002D5B95">
              <w:t xml:space="preserve">līgumos). </w:t>
            </w:r>
            <w:r w:rsidR="00581805">
              <w:t>Papildus tiks pilnveidotas arī finanšu plānošanas procedūras, lai finansējumu pašvaldībām pārskaitītu tikai pēc pašvaldības iesniegto dokumentu par plānoto līdzekļu apguvi izvērtēšanas (piemēram, faktiskais plānotais būvniecības grafiks)</w:t>
            </w:r>
            <w:r w:rsidR="0052685D">
              <w:t>.</w:t>
            </w:r>
          </w:p>
        </w:tc>
      </w:tr>
    </w:tbl>
    <w:p w:rsidR="00CF1A1B" w:rsidRDefault="00CF1A1B">
      <w:pPr>
        <w:rPr>
          <w:b/>
          <w:bCs/>
        </w:rPr>
      </w:pPr>
    </w:p>
    <w:p w:rsidR="00110388" w:rsidRDefault="00110388">
      <w:pPr>
        <w:rPr>
          <w:b/>
          <w:bCs/>
        </w:rPr>
      </w:pPr>
    </w:p>
    <w:p w:rsidR="00110388" w:rsidRDefault="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573"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190" w:type="dxa"/>
            <w:vAlign w:val="center"/>
          </w:tcPr>
          <w:p w:rsidR="007F671D" w:rsidRPr="0033617F" w:rsidRDefault="007F671D" w:rsidP="003D13B0">
            <w:pPr>
              <w:jc w:val="center"/>
              <w:rPr>
                <w:b/>
                <w:i/>
              </w:rPr>
            </w:pPr>
            <w:r w:rsidRPr="0033617F">
              <w:rPr>
                <w:b/>
                <w:bCs/>
              </w:rPr>
              <w:t>2020</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r>
      <w:tr w:rsidR="007F671D" w:rsidRPr="0033617F" w:rsidTr="006B561A">
        <w:trPr>
          <w:jc w:val="center"/>
        </w:trPr>
        <w:tc>
          <w:tcPr>
            <w:tcW w:w="3397" w:type="dxa"/>
            <w:vAlign w:val="center"/>
          </w:tcPr>
          <w:p w:rsidR="007F671D" w:rsidRPr="0033617F" w:rsidRDefault="007F671D" w:rsidP="003D13B0">
            <w:pPr>
              <w:jc w:val="center"/>
              <w:rPr>
                <w:bCs/>
              </w:rPr>
            </w:pPr>
            <w:r w:rsidRPr="0033617F">
              <w:rPr>
                <w:bCs/>
              </w:rPr>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190" w:type="dxa"/>
            <w:vAlign w:val="center"/>
          </w:tcPr>
          <w:p w:rsidR="007F671D" w:rsidRPr="0033617F" w:rsidRDefault="007F671D" w:rsidP="003D13B0">
            <w:pPr>
              <w:jc w:val="center"/>
              <w:rPr>
                <w:bCs/>
              </w:rPr>
            </w:pPr>
            <w:r w:rsidRPr="0033617F">
              <w:rPr>
                <w:bCs/>
              </w:rPr>
              <w:t>6</w:t>
            </w:r>
          </w:p>
        </w:tc>
      </w:tr>
      <w:tr w:rsidR="007F671D" w:rsidRPr="0033617F" w:rsidTr="006B561A">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190" w:type="dxa"/>
          </w:tcPr>
          <w:p w:rsidR="007F671D" w:rsidRPr="0033617F" w:rsidRDefault="007F671D" w:rsidP="003D13B0">
            <w:pPr>
              <w:jc w:val="center"/>
              <w:rPr>
                <w:b/>
              </w:rPr>
            </w:pPr>
            <w:r w:rsidRPr="0033617F">
              <w:rPr>
                <w:b/>
              </w:rPr>
              <w:t>0</w:t>
            </w:r>
          </w:p>
        </w:tc>
      </w:tr>
      <w:tr w:rsidR="007F671D" w:rsidRPr="0033617F" w:rsidTr="006B561A">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190" w:type="dxa"/>
          </w:tcPr>
          <w:p w:rsidR="007F671D" w:rsidRPr="0033617F" w:rsidRDefault="007F671D" w:rsidP="003D13B0">
            <w:pPr>
              <w:jc w:val="center"/>
              <w:rPr>
                <w:i/>
              </w:rPr>
            </w:pPr>
          </w:p>
        </w:tc>
      </w:tr>
      <w:tr w:rsidR="007F671D" w:rsidRPr="0033617F" w:rsidTr="006B561A">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7F671D" w:rsidRPr="0033617F" w:rsidTr="006B561A">
        <w:trPr>
          <w:jc w:val="center"/>
        </w:trPr>
        <w:tc>
          <w:tcPr>
            <w:tcW w:w="3397" w:type="dxa"/>
          </w:tcPr>
          <w:p w:rsidR="007F671D" w:rsidRPr="0033617F" w:rsidRDefault="007F671D" w:rsidP="003D13B0">
            <w:pPr>
              <w:rPr>
                <w:i/>
              </w:rPr>
            </w:pPr>
            <w:r w:rsidRPr="0033617F">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lastRenderedPageBreak/>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7F671D" w:rsidRPr="0033617F" w:rsidTr="006B561A">
        <w:trPr>
          <w:jc w:val="center"/>
        </w:trPr>
        <w:tc>
          <w:tcPr>
            <w:tcW w:w="3397" w:type="dxa"/>
          </w:tcPr>
          <w:p w:rsidR="007F671D" w:rsidRPr="0033617F" w:rsidRDefault="007F671D" w:rsidP="007F671D">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521" w:type="dxa"/>
            <w:gridSpan w:val="5"/>
            <w:vMerge w:val="restart"/>
            <w:shd w:val="clear" w:color="auto" w:fill="auto"/>
          </w:tcPr>
          <w:p w:rsidR="003E612F" w:rsidRDefault="003E612F" w:rsidP="00BE38FA">
            <w:pPr>
              <w:ind w:right="34"/>
              <w:jc w:val="both"/>
            </w:pPr>
            <w:r>
              <w:tab/>
            </w:r>
            <w:r w:rsidR="00EC5826" w:rsidRPr="00EC5826">
              <w:t>Ņemot vērā to, ka jautājums pēc būtības ir saistīts ar valsts budžeta līdzekļu iekšēju pārdali, valsts budžeta ieņēmumi un izdevumi nemainās.</w:t>
            </w:r>
          </w:p>
          <w:p w:rsidR="003E612F" w:rsidRDefault="003E612F" w:rsidP="003E612F">
            <w:pPr>
              <w:ind w:right="34"/>
              <w:jc w:val="both"/>
            </w:pPr>
            <w:r>
              <w:tab/>
              <w:t xml:space="preserve">Izdevumi IZM 2017.gada valsts budžeta programmas 09.00.00 „Sports” apakšprogrammā 09.04.00 „Sporta būves” par </w:t>
            </w:r>
            <w:r>
              <w:br/>
            </w:r>
            <w:r w:rsidRPr="003E612F">
              <w:t>1 688</w:t>
            </w:r>
            <w:r>
              <w:t> </w:t>
            </w:r>
            <w:r w:rsidRPr="003E612F">
              <w:t>021</w:t>
            </w:r>
            <w:r>
              <w:t xml:space="preserve"> </w:t>
            </w:r>
            <w:r w:rsidRPr="003E612F">
              <w:rPr>
                <w:i/>
              </w:rPr>
              <w:t>euro</w:t>
            </w:r>
            <w:r>
              <w:t xml:space="preserve"> samazināsies, bet attiecīgi par </w:t>
            </w:r>
            <w:r w:rsidRPr="003E612F">
              <w:t>1 688</w:t>
            </w:r>
            <w:r>
              <w:t> </w:t>
            </w:r>
            <w:r w:rsidRPr="003E612F">
              <w:t>021</w:t>
            </w:r>
            <w:r>
              <w:t xml:space="preserve"> </w:t>
            </w:r>
            <w:r w:rsidRPr="003E612F">
              <w:rPr>
                <w:i/>
              </w:rPr>
              <w:t>euro</w:t>
            </w:r>
            <w:r>
              <w:t xml:space="preserve"> palielināsies IZM 2017.gada valsts budžeta programmas 09.00.00 „Sports” apakšprogrammā 09.23.00 „Valsts ilgtermiņa saistības sportā – dotācija Latvijas Olimpiskajai komitejai (LOK) – valsts galvoto aizdevumu atmaksai” paredzētie līdzekļi.</w:t>
            </w:r>
          </w:p>
          <w:p w:rsidR="007F671D" w:rsidRDefault="003E612F" w:rsidP="003E612F">
            <w:pPr>
              <w:ind w:right="34"/>
              <w:jc w:val="both"/>
            </w:pPr>
            <w:r>
              <w:tab/>
              <w:t xml:space="preserve">Izdevumi IZM 2018.gada valsts budžeta programmas 09.00.00 „Sports” apakšprogrammā 09.23.00 „Valsts ilgtermiņa saistības sportā – dotācija Latvijas Olimpiskajai komitejai (LOK) – valsts galvoto aizdevumu atmaksai” par </w:t>
            </w:r>
            <w:r w:rsidRPr="003E612F">
              <w:t>1 688</w:t>
            </w:r>
            <w:r>
              <w:t> </w:t>
            </w:r>
            <w:r w:rsidRPr="003E612F">
              <w:t>021</w:t>
            </w:r>
            <w:r>
              <w:t xml:space="preserve"> </w:t>
            </w:r>
            <w:r w:rsidRPr="003E612F">
              <w:rPr>
                <w:i/>
              </w:rPr>
              <w:t>euro</w:t>
            </w:r>
            <w:r>
              <w:t xml:space="preserve"> samazināsies, bet attiecīgi par </w:t>
            </w:r>
            <w:r w:rsidRPr="003E612F">
              <w:t>1 688</w:t>
            </w:r>
            <w:r>
              <w:t> </w:t>
            </w:r>
            <w:r w:rsidRPr="003E612F">
              <w:t>021</w:t>
            </w:r>
            <w:r>
              <w:t xml:space="preserve"> </w:t>
            </w:r>
            <w:r w:rsidRPr="003E612F">
              <w:rPr>
                <w:i/>
              </w:rPr>
              <w:t>euro</w:t>
            </w:r>
            <w:r>
              <w:t xml:space="preserve"> palielināsies IZM 2018.gada valsts budžeta programmas 09.00.00 „Sports” apakšprogrammā 09.04.00 „Sporta būves” paredzētie līdzekļi,</w:t>
            </w:r>
            <w:r w:rsidRPr="00112A2E">
              <w:t xml:space="preserve"> lai par 588 021 </w:t>
            </w:r>
            <w:r w:rsidRPr="00112A2E">
              <w:rPr>
                <w:i/>
              </w:rPr>
              <w:t>euro</w:t>
            </w:r>
            <w:r w:rsidRPr="00112A2E">
              <w:t xml:space="preserve"> palielinātu Jēkabpils multifunkcionālās sporta halles būvniecības projekta īstenošanai 2018.gadā paredzēto finansējumu un par 1 100 000 </w:t>
            </w:r>
            <w:r w:rsidRPr="00112A2E">
              <w:rPr>
                <w:i/>
              </w:rPr>
              <w:t>euro</w:t>
            </w:r>
            <w:r w:rsidRPr="00112A2E">
              <w:t xml:space="preserve"> palielinātu Valmieras J.Daliņa stadiona rekonstrukcijas un vieglatlētikas manēžas celtniecības projekta īstenošanai 2018.gadā paredzēto finansējumu.</w:t>
            </w:r>
            <w:r>
              <w:t xml:space="preserve"> IZM jau ir iesniegusi Finanšu ministrijā attiecīgus priekšlikumus </w:t>
            </w:r>
            <w:r w:rsidRPr="00112A2E">
              <w:t>likumprojekta „Par valsts budžetu 2018.gadam” un likumprojekta „Par vidēja termiņa budžeta ietvaru 2018., 2019. un 2020.gadam” izsk</w:t>
            </w:r>
            <w:r>
              <w:t>atīšanai Saeimā otrajā lasījumā, kuri izskatāmi vien</w:t>
            </w:r>
            <w:r w:rsidR="0062203B">
              <w:t>laikus ar šo Rīkojuma projektu.</w:t>
            </w:r>
          </w:p>
          <w:p w:rsidR="0062203B" w:rsidRPr="00317B6A" w:rsidRDefault="0062203B" w:rsidP="00CB7DFB">
            <w:pPr>
              <w:ind w:right="34"/>
              <w:jc w:val="both"/>
              <w:rPr>
                <w:rFonts w:eastAsia="Times New Roman"/>
                <w:color w:val="000000"/>
              </w:rPr>
            </w:pPr>
            <w:r>
              <w:tab/>
              <w:t>Pēc minētās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00CB7DFB" w:rsidRPr="00CB7DFB">
              <w:t xml:space="preserve">” </w:t>
            </w:r>
            <w:r w:rsidR="00CB7DFB">
              <w:t>(</w:t>
            </w:r>
            <w:r w:rsidR="00CB7DFB" w:rsidRPr="00CB7DFB">
              <w:t>ilgtermiņa pasākumam „Valsts galvoto aizdevumu atmaksai par īstenotajiem projektiem Daugavpils Olimpiskajā centrā, Zemgales Olimpiskajā centrā un Ventspils Olimpiskajā centrā”</w:t>
            </w:r>
            <w:r w:rsidR="00CB7DFB">
              <w:t xml:space="preserve">) </w:t>
            </w:r>
            <w:r>
              <w:t xml:space="preserve">paredzēto līdzekļu apmērs 2017.gadā būs 2 947 094 </w:t>
            </w:r>
            <w:r w:rsidRPr="001568DC">
              <w:rPr>
                <w:i/>
              </w:rPr>
              <w:t>euro</w:t>
            </w:r>
            <w:r>
              <w:t xml:space="preserve"> (salīdzinot ar šobrīd plānoto – palielinājums par 1 688 021 </w:t>
            </w:r>
            <w:r w:rsidRPr="0092216A">
              <w:rPr>
                <w:i/>
              </w:rPr>
              <w:t>euro</w:t>
            </w:r>
            <w:r>
              <w:t xml:space="preserve">), savukārt 2018. gadā būs </w:t>
            </w:r>
            <w:r>
              <w:br/>
              <w:t xml:space="preserve">381 323 </w:t>
            </w:r>
            <w:r w:rsidRPr="001568DC">
              <w:rPr>
                <w:i/>
              </w:rPr>
              <w:t>euro</w:t>
            </w:r>
            <w:r>
              <w:t xml:space="preserve"> apmērā (salīdzinot ar šobrīd plānoto – samazinājums par 1 688 021 </w:t>
            </w:r>
            <w:r w:rsidRPr="0092216A">
              <w:rPr>
                <w:i/>
              </w:rPr>
              <w:t>euro</w:t>
            </w:r>
            <w:r>
              <w:t>).</w:t>
            </w:r>
          </w:p>
        </w:tc>
      </w:tr>
      <w:tr w:rsidR="007F671D" w:rsidRPr="0033617F" w:rsidTr="006B561A">
        <w:trPr>
          <w:jc w:val="center"/>
        </w:trPr>
        <w:tc>
          <w:tcPr>
            <w:tcW w:w="3397" w:type="dxa"/>
          </w:tcPr>
          <w:p w:rsidR="007F671D" w:rsidRPr="0033617F" w:rsidRDefault="007F671D" w:rsidP="007F671D">
            <w:r w:rsidRPr="0033617F">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7F671D" w:rsidP="007F671D">
            <w:r w:rsidRPr="0033617F">
              <w:t>7. Cita informācija</w:t>
            </w:r>
          </w:p>
        </w:tc>
        <w:tc>
          <w:tcPr>
            <w:tcW w:w="6521" w:type="dxa"/>
            <w:gridSpan w:val="5"/>
            <w:shd w:val="clear" w:color="auto" w:fill="auto"/>
          </w:tcPr>
          <w:p w:rsidR="00A02593" w:rsidRDefault="00EB5E4B" w:rsidP="003E612F">
            <w:pPr>
              <w:ind w:left="34" w:right="34"/>
              <w:jc w:val="both"/>
            </w:pPr>
            <w:r>
              <w:tab/>
            </w:r>
            <w:r w:rsidR="00A02593">
              <w:t>Ņemot vērā faktu, ka jautājums ir saistīts ar valsts galvoto aizdevumu atmaksu un izmaiņām valsts budžeta ilgtermiņa saistībās, vienlaikus ar Rīkojuma projektu</w:t>
            </w:r>
            <w:r w:rsidR="00863C67">
              <w:t xml:space="preserve"> vienotā dokumentu paketē</w:t>
            </w:r>
            <w:r w:rsidR="00A02593">
              <w:t xml:space="preserve"> tiek virzīts</w:t>
            </w:r>
            <w:r w:rsidR="003E612F">
              <w:t xml:space="preserve"> </w:t>
            </w:r>
            <w:r w:rsidR="00A02593">
              <w:t>Ministru kabineta rīkojuma projekts „</w:t>
            </w:r>
            <w:r w:rsidR="00A02593" w:rsidRPr="00112A2E">
              <w:t>Grozījumi Ministru kabineta 201</w:t>
            </w:r>
            <w:r w:rsidR="00A02593">
              <w:t xml:space="preserve">7.gada 19.aprīļa rīkojumā </w:t>
            </w:r>
            <w:r w:rsidR="00A02593">
              <w:lastRenderedPageBreak/>
              <w:t>Nr.</w:t>
            </w:r>
            <w:r w:rsidR="00A02593" w:rsidRPr="00112A2E">
              <w:t>196 „Par valsts budžeta ilgtermiņa saistību precizēšanu valsts galvoto reģionālo olimpisko centru projektu īstenošanai”</w:t>
            </w:r>
            <w:r w:rsidR="00A02593">
              <w:t xml:space="preserve">”, kurš precizē </w:t>
            </w:r>
            <w:r w:rsidR="00A02593" w:rsidRPr="00112A2E">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rsidR="00A02593">
              <w:t xml:space="preserve"> atmaksai paredzēto finanšu sadalījumu 2017. un 2018.gad</w:t>
            </w:r>
            <w:r>
              <w:t>ā.</w:t>
            </w:r>
          </w:p>
          <w:p w:rsidR="007F671D" w:rsidRPr="002E101E" w:rsidRDefault="00EB5E4B" w:rsidP="00666BEA">
            <w:pPr>
              <w:ind w:right="34"/>
              <w:jc w:val="both"/>
            </w:pPr>
            <w:r>
              <w:tab/>
            </w:r>
            <w:r w:rsidR="00A02593">
              <w:t>Pēc Rīkojuma projekta pieņemšanas IZM normatīvajos aktos noteiktā kārtībā sagatavos un iesniegs Finanšu ministrijā pieprasījumu valsts</w:t>
            </w:r>
            <w:r w:rsidR="00666BEA">
              <w:t xml:space="preserve"> budžeta apropriācijas pārdalei</w:t>
            </w:r>
            <w:r w:rsidR="00A02593">
              <w:t>.</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8C5599" w:rsidRDefault="008C5599" w:rsidP="00C7220E">
      <w:pPr>
        <w:pStyle w:val="BodyText2"/>
        <w:spacing w:after="0" w:line="240" w:lineRule="auto"/>
        <w:ind w:firstLine="720"/>
        <w:jc w:val="both"/>
      </w:pPr>
    </w:p>
    <w:p w:rsidR="00932A30" w:rsidRDefault="00932A30"/>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Default="00E94769" w:rsidP="00D96FCD"/>
    <w:p w:rsidR="00A47C5F" w:rsidRPr="0008616C" w:rsidRDefault="00A47C5F"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8C5599" w:rsidRDefault="008C5599" w:rsidP="00E244D0">
      <w:pPr>
        <w:ind w:left="720"/>
        <w:rPr>
          <w:sz w:val="22"/>
          <w:szCs w:val="22"/>
        </w:rPr>
      </w:pPr>
    </w:p>
    <w:p w:rsidR="00E244D0" w:rsidRPr="002D62A9" w:rsidRDefault="001B5E6D" w:rsidP="00E244D0">
      <w:pPr>
        <w:ind w:left="720"/>
        <w:rPr>
          <w:sz w:val="22"/>
          <w:szCs w:val="22"/>
        </w:rPr>
      </w:pPr>
      <w:r>
        <w:rPr>
          <w:sz w:val="22"/>
          <w:szCs w:val="22"/>
        </w:rPr>
        <w:t>03.11.2017</w:t>
      </w:r>
      <w:r w:rsidR="00E244D0" w:rsidRPr="002D62A9">
        <w:rPr>
          <w:sz w:val="22"/>
          <w:szCs w:val="22"/>
        </w:rPr>
        <w:t xml:space="preserve">. </w:t>
      </w:r>
      <w:r>
        <w:rPr>
          <w:sz w:val="22"/>
          <w:szCs w:val="22"/>
        </w:rPr>
        <w:t>0</w:t>
      </w:r>
      <w:r w:rsidR="00A9542E">
        <w:rPr>
          <w:sz w:val="22"/>
          <w:szCs w:val="22"/>
        </w:rPr>
        <w:t>9</w:t>
      </w:r>
      <w:r>
        <w:rPr>
          <w:sz w:val="22"/>
          <w:szCs w:val="22"/>
        </w:rPr>
        <w:t>:</w:t>
      </w:r>
      <w:r w:rsidR="00630F62">
        <w:rPr>
          <w:sz w:val="22"/>
          <w:szCs w:val="22"/>
        </w:rPr>
        <w:t>42</w:t>
      </w:r>
      <w:bookmarkStart w:id="3" w:name="_GoBack"/>
      <w:bookmarkEnd w:id="3"/>
    </w:p>
    <w:p w:rsidR="0046135E" w:rsidRDefault="0062203B" w:rsidP="00E244D0">
      <w:pPr>
        <w:ind w:left="720"/>
        <w:rPr>
          <w:sz w:val="22"/>
          <w:szCs w:val="22"/>
        </w:rPr>
      </w:pPr>
      <w:r>
        <w:rPr>
          <w:sz w:val="22"/>
          <w:szCs w:val="22"/>
        </w:rPr>
        <w:t>2</w:t>
      </w:r>
      <w:r w:rsidR="00505965">
        <w:rPr>
          <w:sz w:val="22"/>
          <w:szCs w:val="22"/>
        </w:rPr>
        <w:t>200</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6B561A">
      <w:headerReference w:type="default" r:id="rId8"/>
      <w:footerReference w:type="default" r:id="rId9"/>
      <w:footerReference w:type="first" r:id="rId10"/>
      <w:pgSz w:w="11906" w:h="16838" w:code="9"/>
      <w:pgMar w:top="1418"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59" w:rsidRDefault="00AB5059" w:rsidP="00123E9B">
      <w:r>
        <w:separator/>
      </w:r>
    </w:p>
  </w:endnote>
  <w:endnote w:type="continuationSeparator" w:id="0">
    <w:p w:rsidR="00AB5059" w:rsidRDefault="00AB505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1B5E6D" w:rsidRDefault="001B5E6D" w:rsidP="001B5E6D">
    <w:pPr>
      <w:ind w:left="-567" w:right="-568"/>
      <w:jc w:val="both"/>
      <w:rPr>
        <w:sz w:val="22"/>
        <w:szCs w:val="22"/>
      </w:rPr>
    </w:pPr>
    <w:r>
      <w:rPr>
        <w:sz w:val="22"/>
        <w:szCs w:val="22"/>
      </w:rPr>
      <w:t>IZMAnot_031117_sports;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apropriācijas pārdali</w:t>
    </w:r>
    <w:r w:rsidRPr="007F671D">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1B5E6D">
      <w:rPr>
        <w:sz w:val="22"/>
        <w:szCs w:val="22"/>
      </w:rPr>
      <w:t>031117</w:t>
    </w:r>
    <w:r>
      <w:rPr>
        <w:sz w:val="22"/>
        <w:szCs w:val="22"/>
      </w:rPr>
      <w:t>_</w:t>
    </w:r>
    <w:r w:rsidR="00E82EFE">
      <w:rPr>
        <w:sz w:val="22"/>
        <w:szCs w:val="22"/>
      </w:rPr>
      <w:t>sports</w:t>
    </w:r>
    <w:r>
      <w:rPr>
        <w:sz w:val="22"/>
        <w:szCs w:val="22"/>
      </w:rPr>
      <w:t>;</w:t>
    </w:r>
    <w:r w:rsidRPr="004816F6">
      <w:rPr>
        <w:sz w:val="22"/>
        <w:szCs w:val="22"/>
      </w:rPr>
      <w:t xml:space="preserve"> </w:t>
    </w:r>
    <w:r w:rsidR="007F671D" w:rsidRPr="007F671D">
      <w:rPr>
        <w:sz w:val="22"/>
        <w:szCs w:val="22"/>
      </w:rPr>
      <w:t>Ministru kabineta rīkojuma projekta „</w:t>
    </w:r>
    <w:r w:rsidR="002643AF" w:rsidRPr="002643AF">
      <w:rPr>
        <w:sz w:val="22"/>
        <w:szCs w:val="22"/>
      </w:rPr>
      <w:t xml:space="preserve">Par </w:t>
    </w:r>
    <w:r w:rsidR="001B5E6D">
      <w:rPr>
        <w:sz w:val="22"/>
        <w:szCs w:val="22"/>
      </w:rPr>
      <w:t>apropriācijas pārdali</w:t>
    </w:r>
    <w:r w:rsidR="007F671D" w:rsidRPr="007F671D">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59" w:rsidRDefault="00AB5059" w:rsidP="00123E9B">
      <w:r>
        <w:separator/>
      </w:r>
    </w:p>
  </w:footnote>
  <w:footnote w:type="continuationSeparator" w:id="0">
    <w:p w:rsidR="00AB5059" w:rsidRDefault="00AB505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630F62">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94"/>
    <w:rsid w:val="0010198A"/>
    <w:rsid w:val="00101C45"/>
    <w:rsid w:val="00102CE1"/>
    <w:rsid w:val="00103760"/>
    <w:rsid w:val="00103A3D"/>
    <w:rsid w:val="00104AAB"/>
    <w:rsid w:val="00106424"/>
    <w:rsid w:val="00110388"/>
    <w:rsid w:val="001106D1"/>
    <w:rsid w:val="00111433"/>
    <w:rsid w:val="00111709"/>
    <w:rsid w:val="00111B15"/>
    <w:rsid w:val="00112A2E"/>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57C"/>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12F"/>
    <w:rsid w:val="003E6E62"/>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31CC"/>
    <w:rsid w:val="0054456F"/>
    <w:rsid w:val="005446EE"/>
    <w:rsid w:val="00545639"/>
    <w:rsid w:val="005462AF"/>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755"/>
    <w:rsid w:val="005714B2"/>
    <w:rsid w:val="0057274A"/>
    <w:rsid w:val="00572892"/>
    <w:rsid w:val="00573C60"/>
    <w:rsid w:val="0057494E"/>
    <w:rsid w:val="0057592D"/>
    <w:rsid w:val="005764B1"/>
    <w:rsid w:val="00576BE5"/>
    <w:rsid w:val="00576D34"/>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204"/>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90B"/>
    <w:rsid w:val="007558B7"/>
    <w:rsid w:val="00757A53"/>
    <w:rsid w:val="00760A85"/>
    <w:rsid w:val="00760EF9"/>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2279"/>
    <w:rsid w:val="008B27BF"/>
    <w:rsid w:val="008B3C16"/>
    <w:rsid w:val="008B50AE"/>
    <w:rsid w:val="008B53EA"/>
    <w:rsid w:val="008B55F4"/>
    <w:rsid w:val="008C06F7"/>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5164"/>
    <w:rsid w:val="00946203"/>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CC8"/>
    <w:rsid w:val="00AA33DE"/>
    <w:rsid w:val="00AA3C68"/>
    <w:rsid w:val="00AA4269"/>
    <w:rsid w:val="00AA4363"/>
    <w:rsid w:val="00AA5CA7"/>
    <w:rsid w:val="00AB15C3"/>
    <w:rsid w:val="00AB1ED1"/>
    <w:rsid w:val="00AB1FD4"/>
    <w:rsid w:val="00AB251D"/>
    <w:rsid w:val="00AB3339"/>
    <w:rsid w:val="00AB3A31"/>
    <w:rsid w:val="00AB5059"/>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30487"/>
    <w:rsid w:val="00B30B51"/>
    <w:rsid w:val="00B324F4"/>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6BC1"/>
    <w:rsid w:val="00D711A6"/>
    <w:rsid w:val="00D714BA"/>
    <w:rsid w:val="00D7505B"/>
    <w:rsid w:val="00D75260"/>
    <w:rsid w:val="00D75B70"/>
    <w:rsid w:val="00D804C5"/>
    <w:rsid w:val="00D81681"/>
    <w:rsid w:val="00D820D1"/>
    <w:rsid w:val="00D82401"/>
    <w:rsid w:val="00D82AE2"/>
    <w:rsid w:val="00D82C4E"/>
    <w:rsid w:val="00D84EAF"/>
    <w:rsid w:val="00D850A4"/>
    <w:rsid w:val="00D856AD"/>
    <w:rsid w:val="00D85715"/>
    <w:rsid w:val="00D8727E"/>
    <w:rsid w:val="00D90152"/>
    <w:rsid w:val="00D91223"/>
    <w:rsid w:val="00D934BA"/>
    <w:rsid w:val="00D93950"/>
    <w:rsid w:val="00D96230"/>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5A"/>
    <w:rsid w:val="00EA2797"/>
    <w:rsid w:val="00EA4AC5"/>
    <w:rsid w:val="00EA5091"/>
    <w:rsid w:val="00EA709C"/>
    <w:rsid w:val="00EB0611"/>
    <w:rsid w:val="00EB0F52"/>
    <w:rsid w:val="00EB16CB"/>
    <w:rsid w:val="00EB1899"/>
    <w:rsid w:val="00EB3208"/>
    <w:rsid w:val="00EB5CEE"/>
    <w:rsid w:val="00EB5E4B"/>
    <w:rsid w:val="00EB67EB"/>
    <w:rsid w:val="00EB7D72"/>
    <w:rsid w:val="00EC0598"/>
    <w:rsid w:val="00EC0869"/>
    <w:rsid w:val="00EC091D"/>
    <w:rsid w:val="00EC37B3"/>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41AE"/>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5558-606D-478B-8DF7-A948B2C2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11690</Words>
  <Characters>6664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65</cp:revision>
  <cp:lastPrinted>2014-08-11T11:23:00Z</cp:lastPrinted>
  <dcterms:created xsi:type="dcterms:W3CDTF">2017-11-02T19:24:00Z</dcterms:created>
  <dcterms:modified xsi:type="dcterms:W3CDTF">2017-11-03T07:42:00Z</dcterms:modified>
</cp:coreProperties>
</file>