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A3" w:rsidRDefault="00787DA3" w:rsidP="00787DA3">
      <w:pPr>
        <w:pStyle w:val="Title"/>
        <w:jc w:val="left"/>
        <w:rPr>
          <w:b w:val="0"/>
          <w:szCs w:val="24"/>
        </w:rPr>
      </w:pPr>
      <w:r>
        <w:rPr>
          <w:b w:val="0"/>
          <w:szCs w:val="24"/>
        </w:rPr>
        <w:t>Budžeta un finanšu (nodokļu) komisija</w:t>
      </w:r>
    </w:p>
    <w:p w:rsidR="00787DA3" w:rsidRDefault="00787DA3" w:rsidP="00787DA3">
      <w:pPr>
        <w:pStyle w:val="Title"/>
        <w:jc w:val="right"/>
        <w:rPr>
          <w:b w:val="0"/>
          <w:szCs w:val="24"/>
        </w:rPr>
      </w:pPr>
      <w:r>
        <w:rPr>
          <w:b w:val="0"/>
          <w:szCs w:val="24"/>
        </w:rPr>
        <w:tab/>
        <w:t>Likumprojekts (steidzams) otrajam lasījumam</w:t>
      </w:r>
    </w:p>
    <w:p w:rsidR="00787DA3" w:rsidRDefault="00787DA3" w:rsidP="00787DA3">
      <w:pPr>
        <w:tabs>
          <w:tab w:val="center" w:pos="7568"/>
          <w:tab w:val="left" w:pos="10455"/>
        </w:tabs>
        <w:jc w:val="center"/>
        <w:rPr>
          <w:b/>
          <w:i/>
          <w:sz w:val="26"/>
          <w:szCs w:val="26"/>
        </w:rPr>
      </w:pPr>
      <w:r>
        <w:rPr>
          <w:b/>
          <w:bCs/>
          <w:sz w:val="26"/>
          <w:szCs w:val="26"/>
        </w:rPr>
        <w:t>Grozījums likumā “Par grāmatvedību”</w:t>
      </w:r>
    </w:p>
    <w:p w:rsidR="00787DA3" w:rsidRDefault="00787DA3" w:rsidP="00787DA3">
      <w:pPr>
        <w:tabs>
          <w:tab w:val="center" w:pos="7568"/>
          <w:tab w:val="left" w:pos="9617"/>
          <w:tab w:val="left" w:pos="10455"/>
        </w:tabs>
        <w:rPr>
          <w:b/>
          <w:i/>
          <w:sz w:val="26"/>
          <w:szCs w:val="26"/>
        </w:rPr>
      </w:pPr>
      <w:r>
        <w:rPr>
          <w:b/>
          <w:i/>
          <w:sz w:val="26"/>
          <w:szCs w:val="26"/>
        </w:rPr>
        <w:tab/>
        <w:t>(Nr. 1041/Lp12)</w:t>
      </w:r>
      <w:r>
        <w:rPr>
          <w:b/>
          <w:i/>
          <w:sz w:val="26"/>
          <w:szCs w:val="26"/>
        </w:rPr>
        <w:tab/>
      </w:r>
    </w:p>
    <w:p w:rsidR="00787DA3" w:rsidRDefault="00787DA3" w:rsidP="00787DA3">
      <w:pPr>
        <w:tabs>
          <w:tab w:val="center" w:pos="7568"/>
          <w:tab w:val="left" w:pos="10455"/>
        </w:tabs>
        <w:rPr>
          <w:b/>
          <w:i/>
          <w:sz w:val="22"/>
        </w:rPr>
      </w:pPr>
      <w:r>
        <w:rPr>
          <w:b/>
          <w:i/>
          <w:sz w:val="22"/>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3960"/>
        <w:gridCol w:w="567"/>
        <w:gridCol w:w="3960"/>
        <w:gridCol w:w="1420"/>
        <w:gridCol w:w="1420"/>
      </w:tblGrid>
      <w:tr w:rsidR="00787DA3" w:rsidTr="00787DA3">
        <w:tc>
          <w:tcPr>
            <w:tcW w:w="3960" w:type="dxa"/>
            <w:tcBorders>
              <w:top w:val="single" w:sz="4" w:space="0" w:color="auto"/>
              <w:left w:val="single" w:sz="4" w:space="0" w:color="auto"/>
              <w:bottom w:val="single" w:sz="4" w:space="0" w:color="auto"/>
              <w:right w:val="single" w:sz="4" w:space="0" w:color="auto"/>
            </w:tcBorders>
            <w:vAlign w:val="center"/>
            <w:hideMark/>
          </w:tcPr>
          <w:p w:rsidR="00787DA3" w:rsidRDefault="00787DA3">
            <w:pPr>
              <w:spacing w:line="256" w:lineRule="auto"/>
              <w:jc w:val="center"/>
              <w:rPr>
                <w:b/>
                <w:bCs/>
                <w:iCs/>
                <w:szCs w:val="24"/>
              </w:rPr>
            </w:pPr>
            <w:r>
              <w:rPr>
                <w:b/>
                <w:bCs/>
                <w:iCs/>
                <w:szCs w:val="24"/>
              </w:rPr>
              <w:t>Spēkā esošā redakcija</w:t>
            </w:r>
          </w:p>
        </w:tc>
        <w:tc>
          <w:tcPr>
            <w:tcW w:w="3960" w:type="dxa"/>
            <w:tcBorders>
              <w:top w:val="single" w:sz="4" w:space="0" w:color="auto"/>
              <w:left w:val="single" w:sz="4" w:space="0" w:color="auto"/>
              <w:bottom w:val="single" w:sz="4" w:space="0" w:color="auto"/>
              <w:right w:val="single" w:sz="4" w:space="0" w:color="auto"/>
            </w:tcBorders>
            <w:vAlign w:val="center"/>
            <w:hideMark/>
          </w:tcPr>
          <w:p w:rsidR="00787DA3" w:rsidRDefault="00787DA3">
            <w:pPr>
              <w:pStyle w:val="Heading1"/>
              <w:spacing w:line="256" w:lineRule="auto"/>
            </w:pPr>
            <w:r>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hideMark/>
          </w:tcPr>
          <w:p w:rsidR="00787DA3" w:rsidRDefault="00787DA3">
            <w:pPr>
              <w:spacing w:line="256" w:lineRule="auto"/>
              <w:jc w:val="center"/>
              <w:rPr>
                <w:b/>
                <w:bCs/>
                <w:iCs/>
                <w:szCs w:val="24"/>
              </w:rPr>
            </w:pPr>
            <w:r>
              <w:rPr>
                <w:b/>
                <w:bCs/>
                <w:iCs/>
                <w:szCs w:val="24"/>
              </w:rPr>
              <w:t>Nr.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87DA3" w:rsidRDefault="00787DA3">
            <w:pPr>
              <w:spacing w:line="256" w:lineRule="auto"/>
              <w:ind w:firstLine="10"/>
              <w:jc w:val="center"/>
              <w:rPr>
                <w:b/>
                <w:bCs/>
                <w:iCs/>
                <w:szCs w:val="24"/>
              </w:rPr>
            </w:pPr>
            <w:r>
              <w:rPr>
                <w:b/>
                <w:bCs/>
                <w:iCs/>
                <w:szCs w:val="24"/>
              </w:rPr>
              <w:t>Priekšlikumi</w:t>
            </w:r>
          </w:p>
          <w:p w:rsidR="00787DA3" w:rsidRDefault="00787DA3" w:rsidP="001A5312">
            <w:pPr>
              <w:spacing w:line="256" w:lineRule="auto"/>
              <w:jc w:val="center"/>
              <w:rPr>
                <w:b/>
                <w:bCs/>
                <w:iCs/>
                <w:szCs w:val="24"/>
              </w:rPr>
            </w:pPr>
            <w:r>
              <w:rPr>
                <w:b/>
                <w:bCs/>
                <w:iCs/>
                <w:szCs w:val="24"/>
              </w:rPr>
              <w:t>(</w:t>
            </w:r>
            <w:r w:rsidR="001A5312">
              <w:rPr>
                <w:b/>
                <w:bCs/>
                <w:iCs/>
                <w:szCs w:val="24"/>
              </w:rPr>
              <w:t>1</w:t>
            </w:r>
            <w:r>
              <w:rPr>
                <w:b/>
                <w:bCs/>
                <w:iCs/>
                <w:szCs w:val="24"/>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787DA3" w:rsidRDefault="00787DA3">
            <w:pPr>
              <w:spacing w:line="256" w:lineRule="auto"/>
              <w:jc w:val="center"/>
              <w:rPr>
                <w:b/>
                <w:bCs/>
                <w:iCs/>
                <w:szCs w:val="24"/>
              </w:rPr>
            </w:pPr>
            <w:r>
              <w:rPr>
                <w:b/>
                <w:bCs/>
                <w:iCs/>
                <w:szCs w:val="24"/>
              </w:rPr>
              <w:t>Ministru kabineta atzinums</w:t>
            </w:r>
          </w:p>
        </w:tc>
        <w:tc>
          <w:tcPr>
            <w:tcW w:w="1420" w:type="dxa"/>
            <w:tcBorders>
              <w:top w:val="single" w:sz="4" w:space="0" w:color="auto"/>
              <w:left w:val="single" w:sz="4" w:space="0" w:color="auto"/>
              <w:bottom w:val="single" w:sz="4" w:space="0" w:color="auto"/>
              <w:right w:val="single" w:sz="4" w:space="0" w:color="auto"/>
            </w:tcBorders>
            <w:vAlign w:val="center"/>
            <w:hideMark/>
          </w:tcPr>
          <w:p w:rsidR="00787DA3" w:rsidRDefault="00787DA3">
            <w:pPr>
              <w:spacing w:line="256" w:lineRule="auto"/>
              <w:jc w:val="center"/>
              <w:rPr>
                <w:b/>
                <w:bCs/>
                <w:iCs/>
                <w:szCs w:val="24"/>
              </w:rPr>
            </w:pPr>
            <w:r>
              <w:rPr>
                <w:b/>
                <w:bCs/>
                <w:iCs/>
                <w:szCs w:val="24"/>
              </w:rPr>
              <w:t>Komisijas atzinums</w:t>
            </w:r>
          </w:p>
        </w:tc>
      </w:tr>
      <w:tr w:rsidR="00787DA3" w:rsidTr="00787DA3">
        <w:tc>
          <w:tcPr>
            <w:tcW w:w="396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both"/>
              <w:rPr>
                <w:sz w:val="22"/>
              </w:rPr>
            </w:pPr>
          </w:p>
        </w:tc>
        <w:tc>
          <w:tcPr>
            <w:tcW w:w="3960" w:type="dxa"/>
            <w:tcBorders>
              <w:top w:val="single" w:sz="4" w:space="0" w:color="auto"/>
              <w:left w:val="single" w:sz="4" w:space="0" w:color="auto"/>
              <w:bottom w:val="single" w:sz="4" w:space="0" w:color="auto"/>
              <w:right w:val="single" w:sz="4" w:space="0" w:color="auto"/>
            </w:tcBorders>
            <w:hideMark/>
          </w:tcPr>
          <w:p w:rsidR="00787DA3" w:rsidRDefault="00787DA3">
            <w:pPr>
              <w:spacing w:line="256" w:lineRule="auto"/>
              <w:ind w:firstLine="567"/>
              <w:jc w:val="both"/>
              <w:rPr>
                <w:sz w:val="22"/>
                <w:lang w:eastAsia="lv-LV"/>
              </w:rPr>
            </w:pPr>
            <w:r>
              <w:rPr>
                <w:sz w:val="22"/>
                <w:lang w:eastAsia="lv-LV"/>
              </w:rPr>
              <w:t xml:space="preserve">Izdarīt likumā "Par grāmatvedību" </w:t>
            </w:r>
            <w:r>
              <w:rPr>
                <w:bCs/>
                <w:sz w:val="22"/>
                <w:lang w:eastAsia="lv-LV"/>
              </w:rPr>
              <w:t>(Latvijas Republikas Augstākās Padomes un Valdības Ziņotājs, 1992, 44./45. nr.; Latvijas Republikas Saeimas un Ministru Kabineta Ziņotājs, 1995, 3., 23. nr.; 1996, 24. nr.; 1999, 15. nr.; 2000, 10. nr.; 2003, 12. nr.; 2004, 6. nr.; 2006, 10. nr.; 2009, 9. nr.; Latvijas Vēstnesis, 2010, 102., 166. nr.; 2011, 65., 184. nr.; 2013, 87., 194., 250. nr.; 2016, 197.,</w:t>
            </w:r>
            <w:r>
              <w:rPr>
                <w:sz w:val="22"/>
              </w:rPr>
              <w:t xml:space="preserve"> 241. nr.) </w:t>
            </w:r>
            <w:r>
              <w:rPr>
                <w:sz w:val="22"/>
                <w:lang w:eastAsia="lv-LV"/>
              </w:rPr>
              <w:t>šādu grozījumu:</w:t>
            </w:r>
          </w:p>
        </w:tc>
        <w:tc>
          <w:tcPr>
            <w:tcW w:w="567"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ind w:firstLine="567"/>
              <w:jc w:val="both"/>
              <w:rPr>
                <w:b/>
                <w:sz w:val="22"/>
                <w:u w:val="single"/>
              </w:rPr>
            </w:pPr>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p>
        </w:tc>
      </w:tr>
      <w:tr w:rsidR="00787DA3" w:rsidTr="00787DA3">
        <w:tc>
          <w:tcPr>
            <w:tcW w:w="3960" w:type="dxa"/>
            <w:tcBorders>
              <w:top w:val="single" w:sz="4" w:space="0" w:color="auto"/>
              <w:left w:val="single" w:sz="4" w:space="0" w:color="auto"/>
              <w:bottom w:val="single" w:sz="4" w:space="0" w:color="auto"/>
              <w:right w:val="single" w:sz="4" w:space="0" w:color="auto"/>
            </w:tcBorders>
            <w:hideMark/>
          </w:tcPr>
          <w:p w:rsidR="00787DA3" w:rsidRDefault="00787DA3">
            <w:pPr>
              <w:pStyle w:val="tv213"/>
              <w:spacing w:before="0" w:beforeAutospacing="0" w:after="0" w:afterAutospacing="0" w:line="256" w:lineRule="auto"/>
              <w:ind w:firstLine="567"/>
              <w:jc w:val="both"/>
              <w:rPr>
                <w:sz w:val="22"/>
                <w:szCs w:val="22"/>
                <w:lang w:eastAsia="en-US"/>
              </w:rPr>
            </w:pPr>
            <w:r>
              <w:rPr>
                <w:b/>
                <w:bCs/>
                <w:sz w:val="22"/>
                <w:szCs w:val="22"/>
                <w:lang w:eastAsia="en-US"/>
              </w:rPr>
              <w:t>7.</w:t>
            </w:r>
            <w:r>
              <w:rPr>
                <w:b/>
                <w:bCs/>
                <w:sz w:val="22"/>
                <w:szCs w:val="22"/>
                <w:vertAlign w:val="superscript"/>
                <w:lang w:eastAsia="en-US"/>
              </w:rPr>
              <w:t>1</w:t>
            </w:r>
            <w:r>
              <w:rPr>
                <w:b/>
                <w:bCs/>
                <w:sz w:val="22"/>
                <w:szCs w:val="22"/>
                <w:lang w:eastAsia="en-US"/>
              </w:rPr>
              <w:t xml:space="preserve"> pants.</w:t>
            </w:r>
            <w:r>
              <w:rPr>
                <w:sz w:val="22"/>
                <w:szCs w:val="22"/>
                <w:lang w:eastAsia="en-US"/>
              </w:rPr>
              <w:t xml:space="preserve"> Par iekšēju attaisnojuma dokumentu var tikt uzskatīts arī iekšējs elektroniskais dokuments, kas nesatur rekvizītu “paraksts”, ja to ir apliecinājusi (autorizējusi) par saimnieciskā darījuma veikšanu un iekšējā attaisnojuma dokumentā sniegtās informācijas pareizību atbildīgā persona uzņēmuma vadītāja noteiktajā kārtībā.</w:t>
            </w:r>
          </w:p>
          <w:p w:rsidR="00787DA3" w:rsidRDefault="00787DA3">
            <w:pPr>
              <w:pStyle w:val="tv213"/>
              <w:spacing w:before="0" w:beforeAutospacing="0" w:after="0" w:afterAutospacing="0" w:line="256" w:lineRule="auto"/>
              <w:ind w:firstLine="567"/>
              <w:jc w:val="both"/>
              <w:rPr>
                <w:sz w:val="22"/>
                <w:szCs w:val="22"/>
                <w:lang w:eastAsia="en-US"/>
              </w:rPr>
            </w:pPr>
            <w:r>
              <w:rPr>
                <w:sz w:val="22"/>
                <w:szCs w:val="22"/>
                <w:lang w:eastAsia="en-US"/>
              </w:rPr>
              <w:t xml:space="preserve">Par ārēju attaisnojuma dokumentu var tikt uzskatīts arī dokuments, kuru cits uzņēmums izsniedz uzņēmumam — preces vai pakalpojuma saņēmējam — samaksāšanai, ja tas nesatur rekvizītu “paraksts”, bet šajā dokumentā minētā </w:t>
            </w:r>
            <w:r>
              <w:rPr>
                <w:sz w:val="22"/>
                <w:szCs w:val="22"/>
                <w:lang w:eastAsia="en-US"/>
              </w:rPr>
              <w:lastRenderedPageBreak/>
              <w:t>saimnieciskā darījuma esamību pamato cits ārējs dokuments, kam ir juridisks spēks Dokumentu juridiskā spēka likuma izpratnē.</w:t>
            </w:r>
          </w:p>
          <w:p w:rsidR="00787DA3" w:rsidRDefault="00787DA3">
            <w:pPr>
              <w:pStyle w:val="tv213"/>
              <w:spacing w:before="0" w:beforeAutospacing="0" w:after="0" w:afterAutospacing="0" w:line="256" w:lineRule="auto"/>
              <w:ind w:firstLine="567"/>
              <w:jc w:val="both"/>
              <w:rPr>
                <w:sz w:val="22"/>
                <w:szCs w:val="22"/>
                <w:lang w:eastAsia="en-US"/>
              </w:rPr>
            </w:pPr>
            <w:r>
              <w:rPr>
                <w:sz w:val="22"/>
                <w:szCs w:val="22"/>
                <w:lang w:eastAsia="en-US"/>
              </w:rPr>
              <w:t>Par ārēju attaisnojuma dokumentu var tikt uzskatīts arī dokuments, kuru cits uzņēmums izsniedz uzņēmumam — preces vai pakalpojuma saņēmējam — samaksāšanai, kurš nesatur rekvizītu “paraksts”, un nav iespējams izpildīt šā panta otrajā daļā minēto nosacījumu, ja šajā dokumentā minētā saimnieciskā darījuma esamību apliecina par saimnieciskā darījuma veikšanu un attaisnojuma dokumentā sniegtās informācijas pareizību dokumenta saņēmēja (uzņēmuma) atbildīgā persona uzņēmuma vadītāja noteiktajā kārtībā.</w:t>
            </w:r>
          </w:p>
          <w:p w:rsidR="00787DA3" w:rsidRDefault="00787DA3">
            <w:pPr>
              <w:pStyle w:val="tv213"/>
              <w:spacing w:before="0" w:beforeAutospacing="0" w:after="0" w:afterAutospacing="0" w:line="256" w:lineRule="auto"/>
              <w:ind w:firstLine="567"/>
              <w:jc w:val="both"/>
              <w:rPr>
                <w:sz w:val="22"/>
                <w:szCs w:val="22"/>
                <w:lang w:eastAsia="en-US"/>
              </w:rPr>
            </w:pPr>
            <w:r>
              <w:rPr>
                <w:sz w:val="22"/>
                <w:szCs w:val="22"/>
                <w:lang w:eastAsia="en-US"/>
              </w:rPr>
              <w:t xml:space="preserve">Par ārēju attaisnojuma dokumentu var tikt uzskatīts arī dokuments, kurš nesatur rekvizītu “paraksts” un kuru pēc uzņēmuma — maksājuma pakalpojuma izmantotāja — pieprasījuma izsniedz maksājumu pakalpojumu sniedzējs (Maksājumu pakalpojumu un elektroniskās naudas likuma izpratnē) par to, ka uzņēmuma — maksājuma pakalpojuma izmantotāja — maksājuma rīkojums (uzdevums) ir izpildīts, ja šajā dokumentā minētā saimnieciskā darījuma esamību apliecina par saimnieciskā darījuma veikšanu un attaisnojuma dokumentā sniegtās informācijas pareizību dokumenta saņēmēja (uzņēmuma — </w:t>
            </w:r>
            <w:r>
              <w:rPr>
                <w:sz w:val="22"/>
                <w:szCs w:val="22"/>
                <w:lang w:eastAsia="en-US"/>
              </w:rPr>
              <w:lastRenderedPageBreak/>
              <w:t>maksājuma pakalpojuma izmantotāja) atbildīgā persona uzņēmuma vadītāja noteiktajā kārtībā.</w:t>
            </w:r>
          </w:p>
          <w:p w:rsidR="00787DA3" w:rsidRDefault="00787DA3">
            <w:pPr>
              <w:pStyle w:val="tv213"/>
              <w:spacing w:before="0" w:beforeAutospacing="0" w:after="0" w:afterAutospacing="0" w:line="256" w:lineRule="auto"/>
              <w:ind w:firstLine="567"/>
              <w:jc w:val="both"/>
              <w:rPr>
                <w:sz w:val="22"/>
                <w:szCs w:val="22"/>
                <w:lang w:eastAsia="en-US"/>
              </w:rPr>
            </w:pPr>
            <w:r>
              <w:rPr>
                <w:sz w:val="22"/>
                <w:szCs w:val="22"/>
                <w:lang w:eastAsia="en-US"/>
              </w:rPr>
              <w:t>Par ārēju attaisnojuma dokumentu var tikt uzskatīts arī neapliecināts uzņēmuma — maksājuma pakalpojuma izmantotāja — konta izraksts, kuru pēc maksājuma pakalpojuma izmantotāja pieprasījuma izsniedz maksājumu pakalpojumu sniedzējs (Maksājumu pakalpojumu un elektroniskās naudas likuma izpratnē), ja šajā izrakstā minētā saimnieciskā darījuma esamību apliecina par saimnieciskā darījuma veikšanu un attaisnojuma dokumentā sniegtās informācijas pareizību dokumenta saņēmēja (uzņēmuma — maksājuma pakalpojuma izmantotāja) atbildīgā persona uzņēmuma vadītāja noteiktajā kārtībā.</w:t>
            </w:r>
          </w:p>
        </w:tc>
        <w:tc>
          <w:tcPr>
            <w:tcW w:w="3960" w:type="dxa"/>
            <w:tcBorders>
              <w:top w:val="single" w:sz="4" w:space="0" w:color="auto"/>
              <w:left w:val="single" w:sz="4" w:space="0" w:color="auto"/>
              <w:bottom w:val="single" w:sz="4" w:space="0" w:color="auto"/>
              <w:right w:val="single" w:sz="4" w:space="0" w:color="auto"/>
            </w:tcBorders>
            <w:hideMark/>
          </w:tcPr>
          <w:p w:rsidR="00787DA3" w:rsidRDefault="00787DA3">
            <w:pPr>
              <w:spacing w:line="256" w:lineRule="auto"/>
              <w:ind w:firstLine="567"/>
              <w:jc w:val="both"/>
              <w:rPr>
                <w:sz w:val="22"/>
              </w:rPr>
            </w:pPr>
            <w:r>
              <w:rPr>
                <w:sz w:val="22"/>
                <w:lang w:eastAsia="lv-LV"/>
              </w:rPr>
              <w:lastRenderedPageBreak/>
              <w:t>P</w:t>
            </w:r>
            <w:r>
              <w:rPr>
                <w:sz w:val="22"/>
              </w:rPr>
              <w:t>apildināt 7.</w:t>
            </w:r>
            <w:r>
              <w:rPr>
                <w:sz w:val="22"/>
                <w:vertAlign w:val="superscript"/>
              </w:rPr>
              <w:t>1</w:t>
            </w:r>
            <w:r>
              <w:rPr>
                <w:sz w:val="22"/>
              </w:rPr>
              <w:t xml:space="preserve"> pantu ar sesto daļu šādā redakcijā:</w:t>
            </w:r>
          </w:p>
          <w:p w:rsidR="00787DA3" w:rsidRDefault="00787DA3">
            <w:pPr>
              <w:spacing w:line="256" w:lineRule="auto"/>
              <w:ind w:firstLine="567"/>
              <w:jc w:val="both"/>
              <w:rPr>
                <w:sz w:val="22"/>
              </w:rPr>
            </w:pPr>
            <w:r>
              <w:rPr>
                <w:sz w:val="22"/>
              </w:rPr>
              <w:t>"Par ārēju attaisnojuma dokumentu, lai iegrāmatotu aprēķināto nodokli, var tikt uzskatītas arī normatīvajos aktos noteiktās nodokļu deklarācijas. Lai uzskaitītu</w:t>
            </w:r>
            <w:r>
              <w:rPr>
                <w:rFonts w:eastAsia="Times New Roman"/>
                <w:sz w:val="22"/>
                <w:lang w:eastAsia="lv-LV"/>
              </w:rPr>
              <w:t xml:space="preserve"> nodokļu (nodevu) administrācijas (likuma "Par nodokļiem un nodevām" izpratnē) administrētos nodokļus, nodevas un citus tās administrētos maksājumus, kuri attiecināmi uz valsts budžetu, par ārēju attaisnojuma dokumentu var tikt uzskatīti nodokļu (nodevu) administrācijas izdotie dokumenti (piemēram, administratīvajā procesā pieņemtie lēmumi) arī tad, ja </w:t>
            </w:r>
            <w:r>
              <w:rPr>
                <w:rFonts w:eastAsia="Times New Roman"/>
                <w:sz w:val="22"/>
                <w:lang w:eastAsia="lv-LV"/>
              </w:rPr>
              <w:lastRenderedPageBreak/>
              <w:t>minētajos dokumentos nav ietverts kāds no šā likuma 7. panta pirmajā daļā noteiktajiem rekvizītiem</w:t>
            </w:r>
            <w:r>
              <w:rPr>
                <w:sz w:val="22"/>
              </w:rPr>
              <w:t xml:space="preserve"> vai norādāmā informācija par saimniecisko darījumu.</w:t>
            </w:r>
            <w:r>
              <w:rPr>
                <w:color w:val="000000"/>
                <w:sz w:val="22"/>
              </w:rPr>
              <w:t xml:space="preserve"> Nodokļu (nodevu) administrācija, uzskaitot administrētos nodokļus, nodevas un citus maksājumus, grāmatvedības reģistros var izdarīt ierakstus, pamatojoties arī uz tās informācijas sistēmas </w:t>
            </w:r>
            <w:r>
              <w:rPr>
                <w:sz w:val="22"/>
              </w:rPr>
              <w:t>konkrētā datuma</w:t>
            </w:r>
            <w:r>
              <w:rPr>
                <w:color w:val="000000"/>
                <w:sz w:val="22"/>
              </w:rPr>
              <w:t xml:space="preserve"> aprēķiniem, kas veikti atbilstoši normatīvajiem aktiem.</w:t>
            </w:r>
            <w:r>
              <w:rPr>
                <w:sz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787DA3" w:rsidRDefault="001A5312">
            <w:pPr>
              <w:spacing w:line="256" w:lineRule="auto"/>
              <w:jc w:val="center"/>
              <w:rPr>
                <w:b/>
                <w:sz w:val="22"/>
              </w:rPr>
            </w:pPr>
            <w:r>
              <w:rPr>
                <w:b/>
                <w:sz w:val="22"/>
              </w:rPr>
              <w:lastRenderedPageBreak/>
              <w:t>1</w:t>
            </w:r>
          </w:p>
        </w:tc>
        <w:tc>
          <w:tcPr>
            <w:tcW w:w="3960" w:type="dxa"/>
            <w:tcBorders>
              <w:top w:val="single" w:sz="4" w:space="0" w:color="auto"/>
              <w:left w:val="single" w:sz="4" w:space="0" w:color="auto"/>
              <w:bottom w:val="single" w:sz="4" w:space="0" w:color="auto"/>
              <w:right w:val="single" w:sz="4" w:space="0" w:color="auto"/>
            </w:tcBorders>
          </w:tcPr>
          <w:p w:rsidR="000958A8" w:rsidRPr="000958A8" w:rsidRDefault="000958A8" w:rsidP="000958A8">
            <w:pPr>
              <w:ind w:firstLine="567"/>
              <w:jc w:val="both"/>
              <w:rPr>
                <w:b/>
                <w:sz w:val="22"/>
                <w:u w:val="single"/>
              </w:rPr>
            </w:pPr>
            <w:r w:rsidRPr="000958A8">
              <w:rPr>
                <w:b/>
                <w:sz w:val="22"/>
                <w:u w:val="single"/>
              </w:rPr>
              <w:t>Juridiskais birojs</w:t>
            </w:r>
          </w:p>
          <w:p w:rsidR="000958A8" w:rsidRPr="000958A8" w:rsidRDefault="000958A8" w:rsidP="000958A8">
            <w:pPr>
              <w:ind w:firstLine="567"/>
              <w:jc w:val="both"/>
              <w:rPr>
                <w:sz w:val="22"/>
              </w:rPr>
            </w:pPr>
            <w:r>
              <w:rPr>
                <w:sz w:val="22"/>
              </w:rPr>
              <w:t>I</w:t>
            </w:r>
            <w:r w:rsidRPr="000958A8">
              <w:rPr>
                <w:sz w:val="22"/>
              </w:rPr>
              <w:t>erosinām izteikt likumprojekta tekstu (par likuma 7.</w:t>
            </w:r>
            <w:r w:rsidRPr="000958A8">
              <w:rPr>
                <w:sz w:val="22"/>
                <w:vertAlign w:val="superscript"/>
              </w:rPr>
              <w:t>1</w:t>
            </w:r>
            <w:r w:rsidRPr="000958A8">
              <w:rPr>
                <w:sz w:val="22"/>
              </w:rPr>
              <w:t xml:space="preserve"> panta papildināšanu ar sesto daļu) šādā redakcijā:</w:t>
            </w:r>
          </w:p>
          <w:p w:rsidR="000958A8" w:rsidRPr="000958A8" w:rsidRDefault="000958A8" w:rsidP="000958A8">
            <w:pPr>
              <w:ind w:firstLine="567"/>
              <w:jc w:val="both"/>
              <w:rPr>
                <w:sz w:val="22"/>
              </w:rPr>
            </w:pPr>
            <w:r w:rsidRPr="000958A8">
              <w:rPr>
                <w:sz w:val="22"/>
              </w:rPr>
              <w:t xml:space="preserve">“Par ārēju attaisnojuma dokumentu, lai iegrāmatotu aprēķināto nodokli, var tikt uzskatītas arī normatīvajos aktos noteiktās nodokļu deklarācijas. Lai uzskaitītu </w:t>
            </w:r>
            <w:r w:rsidRPr="000958A8">
              <w:rPr>
                <w:sz w:val="22"/>
                <w:u w:val="single"/>
              </w:rPr>
              <w:t>nodokļu administrācijas un valsts nodevas administrācijas (likuma “Par nodokļiem un nodevām” izpratnē)</w:t>
            </w:r>
            <w:r w:rsidRPr="000958A8">
              <w:rPr>
                <w:sz w:val="22"/>
              </w:rPr>
              <w:t xml:space="preserve"> administrētos nodokļus, nodevas un citus tās administrētos uz valsts budžetu attiecināmos maksājumus, par ārēju attaisnojuma dokumentu var tikt uzskatīti minētās administrācijas izdotie dokumenti </w:t>
            </w:r>
            <w:r w:rsidRPr="000958A8">
              <w:rPr>
                <w:sz w:val="22"/>
              </w:rPr>
              <w:lastRenderedPageBreak/>
              <w:t xml:space="preserve">(piemēram, administratīvajā procesā pieņemtie lēmumi) arī tad, ja minētajos dokumentos nav ietverts kāds no šā likuma 7. panta pirmajā daļā noteiktajiem rekvizītiem vai norādāmā informācija par saimniecisko darījumu. </w:t>
            </w:r>
            <w:r w:rsidRPr="000958A8">
              <w:rPr>
                <w:sz w:val="22"/>
                <w:u w:val="single"/>
              </w:rPr>
              <w:t>Nodokļu administrācija un valsts nodevas administrācija,</w:t>
            </w:r>
            <w:r w:rsidRPr="000958A8">
              <w:rPr>
                <w:sz w:val="22"/>
              </w:rPr>
              <w:t xml:space="preserve"> uzskaitot tās administrētos nodokļus, nodevas un citus maksājumus, grāmatvedības reģistros var izdarīt ierakstus, pamatojoties arī uz </w:t>
            </w:r>
            <w:r w:rsidRPr="000958A8">
              <w:rPr>
                <w:sz w:val="22"/>
                <w:u w:val="single"/>
              </w:rPr>
              <w:t>valsts</w:t>
            </w:r>
            <w:r w:rsidRPr="000958A8">
              <w:rPr>
                <w:sz w:val="22"/>
              </w:rPr>
              <w:t xml:space="preserve"> informācijas sistēmas konkrētā datuma aprēķiniem, kas veikti atbilstoši normatīvajiem aktiem.” </w:t>
            </w:r>
          </w:p>
          <w:p w:rsidR="00787DA3" w:rsidRDefault="00787DA3">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bookmarkStart w:id="0" w:name="_GoBack"/>
            <w:bookmarkEnd w:id="0"/>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p>
        </w:tc>
      </w:tr>
      <w:tr w:rsidR="00787DA3" w:rsidTr="00787DA3">
        <w:tc>
          <w:tcPr>
            <w:tcW w:w="396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ind w:firstLine="567"/>
              <w:jc w:val="both"/>
              <w:rPr>
                <w:b/>
                <w:bCs/>
                <w:sz w:val="22"/>
                <w:lang w:eastAsia="lv-LV"/>
              </w:rPr>
            </w:pPr>
          </w:p>
        </w:tc>
        <w:tc>
          <w:tcPr>
            <w:tcW w:w="3960" w:type="dxa"/>
            <w:tcBorders>
              <w:top w:val="single" w:sz="4" w:space="0" w:color="auto"/>
              <w:left w:val="single" w:sz="4" w:space="0" w:color="auto"/>
              <w:bottom w:val="single" w:sz="4" w:space="0" w:color="auto"/>
              <w:right w:val="single" w:sz="4" w:space="0" w:color="auto"/>
            </w:tcBorders>
            <w:hideMark/>
          </w:tcPr>
          <w:p w:rsidR="00787DA3" w:rsidRDefault="00787DA3">
            <w:pPr>
              <w:pStyle w:val="ListParagraph"/>
              <w:spacing w:after="0" w:line="240" w:lineRule="auto"/>
              <w:ind w:left="0" w:firstLine="567"/>
              <w:jc w:val="both"/>
              <w:rPr>
                <w:rFonts w:ascii="Times New Roman" w:hAnsi="Times New Roman"/>
              </w:rPr>
            </w:pPr>
            <w:r>
              <w:rPr>
                <w:rFonts w:ascii="Times New Roman" w:hAnsi="Times New Roman"/>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b/>
                <w:sz w:val="22"/>
              </w:rPr>
            </w:pPr>
          </w:p>
        </w:tc>
        <w:tc>
          <w:tcPr>
            <w:tcW w:w="396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ind w:firstLine="567"/>
              <w:jc w:val="both"/>
              <w:rPr>
                <w:sz w:val="22"/>
              </w:rPr>
            </w:pPr>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p>
        </w:tc>
        <w:tc>
          <w:tcPr>
            <w:tcW w:w="1420" w:type="dxa"/>
            <w:tcBorders>
              <w:top w:val="single" w:sz="4" w:space="0" w:color="auto"/>
              <w:left w:val="single" w:sz="4" w:space="0" w:color="auto"/>
              <w:bottom w:val="single" w:sz="4" w:space="0" w:color="auto"/>
              <w:right w:val="single" w:sz="4" w:space="0" w:color="auto"/>
            </w:tcBorders>
          </w:tcPr>
          <w:p w:rsidR="00787DA3" w:rsidRDefault="00787DA3">
            <w:pPr>
              <w:spacing w:line="256" w:lineRule="auto"/>
              <w:jc w:val="center"/>
              <w:rPr>
                <w:sz w:val="22"/>
              </w:rPr>
            </w:pPr>
          </w:p>
        </w:tc>
      </w:tr>
    </w:tbl>
    <w:p w:rsidR="00787DA3" w:rsidRDefault="00787DA3" w:rsidP="00787DA3"/>
    <w:p w:rsidR="00787DA3" w:rsidRDefault="00787DA3" w:rsidP="00787DA3"/>
    <w:p w:rsidR="007A4333" w:rsidRPr="00787DA3" w:rsidRDefault="007A4333" w:rsidP="00787DA3"/>
    <w:sectPr w:rsidR="007A4333" w:rsidRPr="00787DA3" w:rsidSect="00C71E28">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4F" w:rsidRDefault="00787DA3">
      <w:r>
        <w:separator/>
      </w:r>
    </w:p>
  </w:endnote>
  <w:endnote w:type="continuationSeparator" w:id="0">
    <w:p w:rsidR="00F9164F" w:rsidRDefault="0078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5423F0"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645897"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5423F0"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897">
      <w:rPr>
        <w:rStyle w:val="PageNumber"/>
        <w:noProof/>
      </w:rPr>
      <w:t>3</w:t>
    </w:r>
    <w:r>
      <w:rPr>
        <w:rStyle w:val="PageNumber"/>
      </w:rPr>
      <w:fldChar w:fldCharType="end"/>
    </w:r>
  </w:p>
  <w:p w:rsidR="00C71E28" w:rsidRDefault="00645897"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4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4F" w:rsidRDefault="00787DA3">
      <w:r>
        <w:separator/>
      </w:r>
    </w:p>
  </w:footnote>
  <w:footnote w:type="continuationSeparator" w:id="0">
    <w:p w:rsidR="00F9164F" w:rsidRDefault="00787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4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4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64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F0"/>
    <w:rsid w:val="000958A8"/>
    <w:rsid w:val="001A5312"/>
    <w:rsid w:val="00405509"/>
    <w:rsid w:val="004D7945"/>
    <w:rsid w:val="005423F0"/>
    <w:rsid w:val="00645897"/>
    <w:rsid w:val="00787DA3"/>
    <w:rsid w:val="007A4333"/>
    <w:rsid w:val="00AA55B8"/>
    <w:rsid w:val="00F91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6194-C971-4E47-BAD5-6422FAE1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F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5423F0"/>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3F0"/>
    <w:rPr>
      <w:rFonts w:ascii="Times New Roman" w:eastAsia="Times New Roman" w:hAnsi="Times New Roman" w:cs="Times New Roman"/>
      <w:b/>
      <w:bCs/>
      <w:iCs/>
      <w:sz w:val="24"/>
      <w:szCs w:val="24"/>
    </w:rPr>
  </w:style>
  <w:style w:type="paragraph" w:styleId="Title">
    <w:name w:val="Title"/>
    <w:basedOn w:val="Normal"/>
    <w:link w:val="TitleChar"/>
    <w:qFormat/>
    <w:rsid w:val="005423F0"/>
    <w:pPr>
      <w:jc w:val="center"/>
    </w:pPr>
    <w:rPr>
      <w:rFonts w:eastAsia="Times New Roman"/>
      <w:b/>
      <w:szCs w:val="20"/>
    </w:rPr>
  </w:style>
  <w:style w:type="character" w:customStyle="1" w:styleId="TitleChar">
    <w:name w:val="Title Char"/>
    <w:basedOn w:val="DefaultParagraphFont"/>
    <w:link w:val="Title"/>
    <w:rsid w:val="005423F0"/>
    <w:rPr>
      <w:rFonts w:ascii="Times New Roman" w:eastAsia="Times New Roman" w:hAnsi="Times New Roman" w:cs="Times New Roman"/>
      <w:b/>
      <w:sz w:val="24"/>
      <w:szCs w:val="20"/>
    </w:rPr>
  </w:style>
  <w:style w:type="paragraph" w:styleId="Footer">
    <w:name w:val="footer"/>
    <w:basedOn w:val="Normal"/>
    <w:link w:val="FooterChar"/>
    <w:uiPriority w:val="99"/>
    <w:rsid w:val="005423F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5423F0"/>
    <w:rPr>
      <w:rFonts w:ascii="Times New Roman" w:eastAsia="Times New Roman" w:hAnsi="Times New Roman" w:cs="Times New Roman"/>
      <w:sz w:val="24"/>
      <w:szCs w:val="24"/>
      <w:lang w:val="en-GB"/>
    </w:rPr>
  </w:style>
  <w:style w:type="character" w:styleId="PageNumber">
    <w:name w:val="page number"/>
    <w:rsid w:val="005423F0"/>
  </w:style>
  <w:style w:type="paragraph" w:styleId="Header">
    <w:name w:val="header"/>
    <w:basedOn w:val="Normal"/>
    <w:link w:val="HeaderChar"/>
    <w:uiPriority w:val="99"/>
    <w:unhideWhenUsed/>
    <w:rsid w:val="005423F0"/>
    <w:pPr>
      <w:tabs>
        <w:tab w:val="center" w:pos="4153"/>
        <w:tab w:val="right" w:pos="8306"/>
      </w:tabs>
    </w:pPr>
  </w:style>
  <w:style w:type="character" w:customStyle="1" w:styleId="HeaderChar">
    <w:name w:val="Header Char"/>
    <w:basedOn w:val="DefaultParagraphFont"/>
    <w:link w:val="Header"/>
    <w:uiPriority w:val="99"/>
    <w:rsid w:val="005423F0"/>
    <w:rPr>
      <w:rFonts w:ascii="Times New Roman" w:eastAsia="Calibri" w:hAnsi="Times New Roman" w:cs="Times New Roman"/>
      <w:sz w:val="24"/>
    </w:rPr>
  </w:style>
  <w:style w:type="paragraph" w:styleId="ListParagraph">
    <w:name w:val="List Paragraph"/>
    <w:basedOn w:val="Normal"/>
    <w:uiPriority w:val="34"/>
    <w:qFormat/>
    <w:rsid w:val="005423F0"/>
    <w:pPr>
      <w:spacing w:after="200" w:line="276" w:lineRule="auto"/>
      <w:ind w:left="720"/>
      <w:contextualSpacing/>
    </w:pPr>
    <w:rPr>
      <w:rFonts w:ascii="Calibri" w:hAnsi="Calibri"/>
      <w:sz w:val="22"/>
    </w:rPr>
  </w:style>
  <w:style w:type="paragraph" w:customStyle="1" w:styleId="tv213">
    <w:name w:val="tv213"/>
    <w:basedOn w:val="Normal"/>
    <w:rsid w:val="005423F0"/>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8090">
      <w:bodyDiv w:val="1"/>
      <w:marLeft w:val="0"/>
      <w:marRight w:val="0"/>
      <w:marTop w:val="0"/>
      <w:marBottom w:val="0"/>
      <w:divBdr>
        <w:top w:val="none" w:sz="0" w:space="0" w:color="auto"/>
        <w:left w:val="none" w:sz="0" w:space="0" w:color="auto"/>
        <w:bottom w:val="none" w:sz="0" w:space="0" w:color="auto"/>
        <w:right w:val="none" w:sz="0" w:space="0" w:color="auto"/>
      </w:divBdr>
    </w:div>
    <w:div w:id="21000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3329</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dcterms:created xsi:type="dcterms:W3CDTF">2017-11-02T08:22:00Z</dcterms:created>
  <dcterms:modified xsi:type="dcterms:W3CDTF">2017-11-02T08:22:00Z</dcterms:modified>
</cp:coreProperties>
</file>