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A1" w:rsidRPr="00FC2E43" w:rsidRDefault="00F7619E" w:rsidP="00E812A1">
      <w:pPr>
        <w:rPr>
          <w:lang w:val="lv-LV"/>
        </w:rPr>
      </w:pPr>
      <w:r>
        <w:rPr>
          <w:lang w:val="lv-LV"/>
        </w:rPr>
        <w:t>Budžeta un finanšu (nodokļu)</w:t>
      </w:r>
      <w:r w:rsidR="00E812A1" w:rsidRPr="00FC2E43">
        <w:rPr>
          <w:lang w:val="lv-LV"/>
        </w:rPr>
        <w:t xml:space="preserve"> komisija</w:t>
      </w:r>
    </w:p>
    <w:p w:rsidR="00E812A1" w:rsidRPr="00FC2E43" w:rsidRDefault="00E812A1" w:rsidP="00E812A1">
      <w:pPr>
        <w:jc w:val="right"/>
        <w:rPr>
          <w:lang w:val="lv-LV"/>
        </w:rPr>
      </w:pPr>
      <w:r w:rsidRPr="00FC2E43">
        <w:rPr>
          <w:lang w:val="lv-LV"/>
        </w:rPr>
        <w:t xml:space="preserve">Likumprojekts </w:t>
      </w:r>
      <w:r w:rsidR="00EF17D4">
        <w:rPr>
          <w:lang w:val="lv-LV"/>
        </w:rPr>
        <w:t>(steidzams)</w:t>
      </w:r>
      <w:r w:rsidR="00EF17D4" w:rsidRPr="00FC2E43">
        <w:rPr>
          <w:lang w:val="lv-LV"/>
        </w:rPr>
        <w:t xml:space="preserve"> </w:t>
      </w:r>
      <w:r w:rsidR="00DF3BCB">
        <w:rPr>
          <w:lang w:val="lv-LV"/>
        </w:rPr>
        <w:t xml:space="preserve">otrajam </w:t>
      </w:r>
      <w:r w:rsidRPr="00FC2E43">
        <w:rPr>
          <w:lang w:val="lv-LV"/>
        </w:rPr>
        <w:t>lasījumam</w:t>
      </w:r>
    </w:p>
    <w:p w:rsidR="00A46D2F" w:rsidRPr="00A46D2F" w:rsidRDefault="00A46D2F" w:rsidP="00A46D2F">
      <w:pPr>
        <w:keepNext/>
        <w:tabs>
          <w:tab w:val="left" w:pos="6804"/>
        </w:tabs>
        <w:jc w:val="center"/>
        <w:outlineLvl w:val="3"/>
        <w:rPr>
          <w:rFonts w:eastAsia="Times New Roman"/>
          <w:b/>
          <w:color w:val="000000"/>
          <w:sz w:val="28"/>
          <w:szCs w:val="28"/>
          <w:lang w:val="lv-LV" w:eastAsia="x-none"/>
        </w:rPr>
      </w:pPr>
      <w:r w:rsidRPr="00A46D2F">
        <w:rPr>
          <w:rFonts w:eastAsia="Times New Roman"/>
          <w:b/>
          <w:color w:val="000000"/>
          <w:sz w:val="28"/>
          <w:szCs w:val="28"/>
          <w:lang w:val="x-none" w:eastAsia="x-none"/>
        </w:rPr>
        <w:t>Grozījum</w:t>
      </w:r>
      <w:r w:rsidRPr="00A46D2F">
        <w:rPr>
          <w:rFonts w:eastAsia="Times New Roman"/>
          <w:b/>
          <w:color w:val="000000"/>
          <w:sz w:val="28"/>
          <w:szCs w:val="28"/>
          <w:lang w:val="lv-LV" w:eastAsia="x-none"/>
        </w:rPr>
        <w:t>i</w:t>
      </w:r>
      <w:r w:rsidRPr="00A46D2F">
        <w:rPr>
          <w:rFonts w:eastAsia="Times New Roman"/>
          <w:b/>
          <w:color w:val="000000"/>
          <w:sz w:val="28"/>
          <w:szCs w:val="28"/>
          <w:lang w:val="x-none" w:eastAsia="x-none"/>
        </w:rPr>
        <w:t xml:space="preserve"> likumā </w:t>
      </w:r>
      <w:r w:rsidRPr="00A46D2F">
        <w:rPr>
          <w:rFonts w:eastAsia="Times New Roman"/>
          <w:b/>
          <w:color w:val="000000"/>
          <w:sz w:val="28"/>
          <w:szCs w:val="28"/>
          <w:lang w:val="lv-LV" w:eastAsia="x-none"/>
        </w:rPr>
        <w:t>"Par sabiedrisko pakalpojumu regulatoriem"</w:t>
      </w:r>
    </w:p>
    <w:p w:rsidR="00E812A1" w:rsidRPr="00DF3BCB" w:rsidRDefault="00C126E4" w:rsidP="00C126E4">
      <w:pPr>
        <w:spacing w:after="240"/>
        <w:jc w:val="center"/>
        <w:rPr>
          <w:b/>
          <w:i/>
          <w:lang w:val="lv-LV"/>
        </w:rPr>
      </w:pPr>
      <w:r w:rsidRPr="00DF3BCB">
        <w:rPr>
          <w:b/>
          <w:i/>
          <w:lang w:val="lv-LV"/>
        </w:rPr>
        <w:t xml:space="preserve"> </w:t>
      </w:r>
      <w:r w:rsidR="00E812A1" w:rsidRPr="00DF3BCB">
        <w:rPr>
          <w:b/>
          <w:i/>
          <w:lang w:val="lv-LV"/>
        </w:rPr>
        <w:t xml:space="preserve">(Nr. </w:t>
      </w:r>
      <w:r w:rsidR="00F7619E" w:rsidRPr="00DF3BCB">
        <w:rPr>
          <w:b/>
          <w:i/>
          <w:lang w:val="lv-LV"/>
        </w:rPr>
        <w:t>10</w:t>
      </w:r>
      <w:r>
        <w:rPr>
          <w:b/>
          <w:i/>
          <w:lang w:val="lv-LV"/>
        </w:rPr>
        <w:t>4</w:t>
      </w:r>
      <w:r w:rsidR="00A46D2F">
        <w:rPr>
          <w:b/>
          <w:i/>
          <w:lang w:val="lv-LV"/>
        </w:rPr>
        <w:t>7</w:t>
      </w:r>
      <w:r w:rsidR="00C45614" w:rsidRPr="00DF3BCB">
        <w:rPr>
          <w:b/>
          <w:i/>
          <w:lang w:val="lv-LV"/>
        </w:rPr>
        <w:t>/Lp12</w:t>
      </w:r>
      <w:r w:rsidR="00E812A1" w:rsidRPr="00DF3BCB">
        <w:rPr>
          <w:b/>
          <w:i/>
          <w:lang w:val="lv-LV"/>
        </w:rP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4"/>
        <w:gridCol w:w="3645"/>
        <w:gridCol w:w="729"/>
        <w:gridCol w:w="3645"/>
        <w:gridCol w:w="1823"/>
        <w:gridCol w:w="1823"/>
      </w:tblGrid>
      <w:tr w:rsidR="00DF3BCB" w:rsidRPr="00C126E4" w:rsidTr="00DF3BCB">
        <w:trPr>
          <w:trHeight w:val="680"/>
        </w:trPr>
        <w:tc>
          <w:tcPr>
            <w:tcW w:w="2835" w:type="dxa"/>
            <w:shd w:val="clear" w:color="auto" w:fill="auto"/>
          </w:tcPr>
          <w:p w:rsidR="00DF3BCB" w:rsidRPr="00C126E4" w:rsidRDefault="00DF3BCB" w:rsidP="00DF3BCB">
            <w:pPr>
              <w:ind w:left="-57" w:right="-57"/>
              <w:jc w:val="center"/>
              <w:rPr>
                <w:b/>
                <w:lang w:val="lv-LV"/>
              </w:rPr>
            </w:pPr>
            <w:r w:rsidRPr="00C126E4">
              <w:rPr>
                <w:b/>
                <w:lang w:val="lv-LV"/>
              </w:rPr>
              <w:t>Spēkā esošā likuma redakcija</w:t>
            </w:r>
          </w:p>
        </w:tc>
        <w:tc>
          <w:tcPr>
            <w:tcW w:w="2835" w:type="dxa"/>
            <w:shd w:val="clear" w:color="auto" w:fill="auto"/>
          </w:tcPr>
          <w:p w:rsidR="00DF3BCB" w:rsidRPr="00C126E4" w:rsidRDefault="00DF3BCB" w:rsidP="00DF3BCB">
            <w:pPr>
              <w:ind w:left="-57" w:right="-57"/>
              <w:jc w:val="center"/>
              <w:rPr>
                <w:b/>
                <w:lang w:val="lv-LV"/>
              </w:rPr>
            </w:pPr>
            <w:r w:rsidRPr="00C126E4">
              <w:rPr>
                <w:b/>
                <w:lang w:val="lv-LV"/>
              </w:rPr>
              <w:t>Pirmā lasījuma redakcija</w:t>
            </w:r>
          </w:p>
        </w:tc>
        <w:tc>
          <w:tcPr>
            <w:tcW w:w="567" w:type="dxa"/>
          </w:tcPr>
          <w:p w:rsidR="00DF3BCB" w:rsidRPr="00CD38E3" w:rsidRDefault="00DF3BCB" w:rsidP="00CD38E3">
            <w:pPr>
              <w:jc w:val="center"/>
              <w:rPr>
                <w:b/>
                <w:lang w:val="lv-LV"/>
              </w:rPr>
            </w:pPr>
            <w:r w:rsidRPr="00CD38E3">
              <w:rPr>
                <w:b/>
                <w:lang w:val="lv-LV"/>
              </w:rPr>
              <w:t>Nr.</w:t>
            </w:r>
          </w:p>
        </w:tc>
        <w:tc>
          <w:tcPr>
            <w:tcW w:w="2835" w:type="dxa"/>
          </w:tcPr>
          <w:p w:rsidR="00DF3BCB" w:rsidRPr="00C126E4" w:rsidRDefault="00DF3BCB" w:rsidP="00DF3BCB">
            <w:pPr>
              <w:ind w:left="-57" w:right="-57"/>
              <w:jc w:val="center"/>
              <w:rPr>
                <w:b/>
                <w:lang w:val="lv-LV"/>
              </w:rPr>
            </w:pPr>
            <w:r w:rsidRPr="00C126E4">
              <w:rPr>
                <w:b/>
                <w:lang w:val="lv-LV"/>
              </w:rPr>
              <w:t>Priekšlikumi</w:t>
            </w:r>
          </w:p>
          <w:p w:rsidR="00DF3BCB" w:rsidRPr="00C126E4" w:rsidRDefault="00DF3BCB" w:rsidP="00DF3BCB">
            <w:pPr>
              <w:ind w:left="-57" w:right="-57"/>
              <w:jc w:val="center"/>
              <w:rPr>
                <w:b/>
                <w:lang w:val="lv-LV"/>
              </w:rPr>
            </w:pPr>
            <w:r w:rsidRPr="00C126E4">
              <w:rPr>
                <w:b/>
                <w:lang w:val="lv-LV"/>
              </w:rPr>
              <w:t>(</w:t>
            </w:r>
            <w:r w:rsidR="002904C8">
              <w:rPr>
                <w:b/>
                <w:lang w:val="lv-LV"/>
              </w:rPr>
              <w:t>1</w:t>
            </w:r>
            <w:r w:rsidRPr="00C126E4">
              <w:rPr>
                <w:b/>
                <w:lang w:val="lv-LV"/>
              </w:rPr>
              <w:t>)</w:t>
            </w:r>
          </w:p>
        </w:tc>
        <w:tc>
          <w:tcPr>
            <w:tcW w:w="1418" w:type="dxa"/>
          </w:tcPr>
          <w:p w:rsidR="00DF3BCB" w:rsidRPr="00C126E4" w:rsidRDefault="00DF3BCB" w:rsidP="00DF3BCB">
            <w:pPr>
              <w:ind w:left="-57" w:right="-57"/>
              <w:jc w:val="center"/>
              <w:rPr>
                <w:b/>
                <w:lang w:val="lv-LV"/>
              </w:rPr>
            </w:pPr>
            <w:r w:rsidRPr="00C126E4">
              <w:rPr>
                <w:b/>
                <w:lang w:val="lv-LV"/>
              </w:rPr>
              <w:t>Ministru kabineta atzinums</w:t>
            </w:r>
          </w:p>
        </w:tc>
        <w:tc>
          <w:tcPr>
            <w:tcW w:w="1418" w:type="dxa"/>
          </w:tcPr>
          <w:p w:rsidR="00DF3BCB" w:rsidRPr="00C126E4" w:rsidRDefault="00DF3BCB" w:rsidP="00DF3BCB">
            <w:pPr>
              <w:ind w:left="-57" w:right="-57"/>
              <w:jc w:val="center"/>
              <w:rPr>
                <w:b/>
                <w:lang w:val="lv-LV"/>
              </w:rPr>
            </w:pPr>
            <w:r w:rsidRPr="00C126E4">
              <w:rPr>
                <w:b/>
                <w:lang w:val="lv-LV"/>
              </w:rPr>
              <w:t>Komisijas atzinums</w:t>
            </w:r>
          </w:p>
        </w:tc>
      </w:tr>
      <w:tr w:rsidR="00DF3BCB" w:rsidRPr="002904C8" w:rsidTr="00DF3BCB">
        <w:tc>
          <w:tcPr>
            <w:tcW w:w="2835" w:type="dxa"/>
            <w:shd w:val="clear" w:color="auto" w:fill="auto"/>
          </w:tcPr>
          <w:p w:rsidR="00DF3BCB" w:rsidRPr="00F7619E" w:rsidRDefault="00DF3BCB" w:rsidP="00507950">
            <w:pPr>
              <w:ind w:firstLine="567"/>
              <w:jc w:val="both"/>
              <w:rPr>
                <w:sz w:val="22"/>
                <w:szCs w:val="22"/>
                <w:lang w:val="lv-LV"/>
              </w:rPr>
            </w:pPr>
          </w:p>
        </w:tc>
        <w:tc>
          <w:tcPr>
            <w:tcW w:w="2835" w:type="dxa"/>
            <w:shd w:val="clear" w:color="auto" w:fill="auto"/>
          </w:tcPr>
          <w:p w:rsidR="00DF3BCB" w:rsidRPr="00C126E4" w:rsidRDefault="00A46D2F" w:rsidP="00507950">
            <w:pPr>
              <w:tabs>
                <w:tab w:val="left" w:pos="540"/>
                <w:tab w:val="left" w:pos="900"/>
              </w:tabs>
              <w:ind w:firstLine="567"/>
              <w:jc w:val="both"/>
              <w:rPr>
                <w:sz w:val="22"/>
                <w:szCs w:val="22"/>
                <w:lang w:val="lv-LV"/>
              </w:rPr>
            </w:pPr>
            <w:r w:rsidRPr="00A46D2F">
              <w:rPr>
                <w:rFonts w:eastAsia="Times New Roman"/>
                <w:sz w:val="22"/>
                <w:szCs w:val="22"/>
                <w:lang w:val="lv-LV" w:eastAsia="lv-LV"/>
              </w:rPr>
              <w:t xml:space="preserve">Izdarīt likumā "Par sabiedrisko pakalpojumu regulatoriem" </w:t>
            </w:r>
            <w:proofErr w:type="gramStart"/>
            <w:r w:rsidRPr="00A46D2F">
              <w:rPr>
                <w:rFonts w:eastAsia="Times New Roman"/>
                <w:sz w:val="22"/>
                <w:szCs w:val="22"/>
                <w:lang w:val="lv-LV" w:eastAsia="lv-LV"/>
              </w:rPr>
              <w:t>(</w:t>
            </w:r>
            <w:proofErr w:type="gramEnd"/>
            <w:r w:rsidRPr="00A46D2F">
              <w:rPr>
                <w:rFonts w:eastAsia="Times New Roman"/>
                <w:sz w:val="22"/>
                <w:szCs w:val="22"/>
                <w:lang w:val="lv-LV" w:eastAsia="lv-LV"/>
              </w:rPr>
              <w:t>Latvijas Republikas Saeimas un Ministru Kabineta Ziņotājs, 2000, 22. nr.; 2001, 11., 21. nr.; 2005, 2. nr.; 2006, 1., 24. nr.; 2007, 15. nr.; 2008, 3. nr.; 2009, 2., 15., 23. nr.; Latvijas Vēstnesis, 2009, 200. nr.; 2011, 117. nr.; 2013, 191. nr.; 2014, 199. nr.; 2016, 48. nr.) šādus grozījumus:</w:t>
            </w:r>
          </w:p>
        </w:tc>
        <w:tc>
          <w:tcPr>
            <w:tcW w:w="567" w:type="dxa"/>
          </w:tcPr>
          <w:p w:rsidR="00DF3BCB" w:rsidRPr="00CD38E3" w:rsidRDefault="00DF3BCB" w:rsidP="00CD38E3">
            <w:pPr>
              <w:pStyle w:val="NormalWeb"/>
              <w:spacing w:before="0" w:beforeAutospacing="0" w:after="0" w:afterAutospacing="0"/>
              <w:jc w:val="center"/>
              <w:rPr>
                <w:b/>
                <w:sz w:val="22"/>
                <w:szCs w:val="22"/>
                <w:lang w:val="lv-LV"/>
              </w:rPr>
            </w:pPr>
          </w:p>
        </w:tc>
        <w:tc>
          <w:tcPr>
            <w:tcW w:w="2835" w:type="dxa"/>
          </w:tcPr>
          <w:p w:rsidR="00DF3BCB" w:rsidRPr="00F7619E" w:rsidRDefault="00DF3BCB" w:rsidP="00507950">
            <w:pPr>
              <w:pStyle w:val="NormalWeb"/>
              <w:spacing w:before="0" w:beforeAutospacing="0" w:after="0" w:afterAutospacing="0"/>
              <w:ind w:firstLine="567"/>
              <w:jc w:val="both"/>
              <w:rPr>
                <w:sz w:val="22"/>
                <w:szCs w:val="22"/>
                <w:lang w:val="lv-LV"/>
              </w:rPr>
            </w:pPr>
          </w:p>
        </w:tc>
        <w:tc>
          <w:tcPr>
            <w:tcW w:w="1418" w:type="dxa"/>
          </w:tcPr>
          <w:p w:rsidR="00DF3BCB" w:rsidRPr="00F7619E" w:rsidRDefault="00DF3BCB" w:rsidP="00507950">
            <w:pPr>
              <w:pStyle w:val="NormalWeb"/>
              <w:spacing w:before="0" w:beforeAutospacing="0" w:after="0" w:afterAutospacing="0"/>
              <w:ind w:firstLine="567"/>
              <w:jc w:val="both"/>
              <w:rPr>
                <w:sz w:val="22"/>
                <w:szCs w:val="22"/>
                <w:lang w:val="lv-LV"/>
              </w:rPr>
            </w:pPr>
          </w:p>
        </w:tc>
        <w:tc>
          <w:tcPr>
            <w:tcW w:w="1418" w:type="dxa"/>
          </w:tcPr>
          <w:p w:rsidR="00DF3BCB" w:rsidRPr="00F7619E" w:rsidRDefault="00DF3BCB" w:rsidP="00507950">
            <w:pPr>
              <w:pStyle w:val="NormalWeb"/>
              <w:spacing w:before="0" w:beforeAutospacing="0" w:after="0" w:afterAutospacing="0"/>
              <w:ind w:firstLine="567"/>
              <w:jc w:val="both"/>
              <w:rPr>
                <w:sz w:val="22"/>
                <w:szCs w:val="22"/>
                <w:lang w:val="lv-LV"/>
              </w:rPr>
            </w:pPr>
          </w:p>
        </w:tc>
      </w:tr>
      <w:tr w:rsidR="00653EE6" w:rsidRPr="002904C8" w:rsidTr="00DF3BCB">
        <w:tc>
          <w:tcPr>
            <w:tcW w:w="2835" w:type="dxa"/>
            <w:shd w:val="clear" w:color="auto" w:fill="auto"/>
          </w:tcPr>
          <w:p w:rsidR="00653EE6" w:rsidRPr="00653EE6" w:rsidRDefault="00653EE6" w:rsidP="00507950">
            <w:pPr>
              <w:ind w:firstLine="567"/>
              <w:jc w:val="both"/>
              <w:rPr>
                <w:b/>
                <w:sz w:val="22"/>
                <w:szCs w:val="22"/>
                <w:lang w:val="lv-LV"/>
              </w:rPr>
            </w:pPr>
            <w:proofErr w:type="gramStart"/>
            <w:r w:rsidRPr="00653EE6">
              <w:rPr>
                <w:b/>
                <w:sz w:val="22"/>
                <w:szCs w:val="22"/>
                <w:lang w:val="lv-LV"/>
              </w:rPr>
              <w:t>14.pants</w:t>
            </w:r>
            <w:proofErr w:type="gramEnd"/>
            <w:r w:rsidRPr="00653EE6">
              <w:rPr>
                <w:b/>
                <w:sz w:val="22"/>
                <w:szCs w:val="22"/>
                <w:lang w:val="lv-LV"/>
              </w:rPr>
              <w:t>. Regulatora darbības kontrole</w:t>
            </w:r>
          </w:p>
          <w:p w:rsidR="00653EE6" w:rsidRPr="00653EE6" w:rsidRDefault="00653EE6" w:rsidP="00507950">
            <w:pPr>
              <w:ind w:firstLine="567"/>
              <w:jc w:val="both"/>
              <w:rPr>
                <w:sz w:val="22"/>
                <w:szCs w:val="22"/>
                <w:lang w:val="lv-LV"/>
              </w:rPr>
            </w:pPr>
            <w:r w:rsidRPr="00653EE6">
              <w:rPr>
                <w:sz w:val="22"/>
                <w:szCs w:val="22"/>
                <w:lang w:val="lv-LV"/>
              </w:rPr>
              <w:t xml:space="preserve">(1) Regulators reizi gadā līdz </w:t>
            </w:r>
            <w:proofErr w:type="gramStart"/>
            <w:r w:rsidRPr="00653EE6">
              <w:rPr>
                <w:sz w:val="22"/>
                <w:szCs w:val="22"/>
                <w:lang w:val="lv-LV"/>
              </w:rPr>
              <w:t>1.jūlijam</w:t>
            </w:r>
            <w:proofErr w:type="gramEnd"/>
            <w:r w:rsidRPr="00653EE6">
              <w:rPr>
                <w:sz w:val="22"/>
                <w:szCs w:val="22"/>
                <w:lang w:val="lv-LV"/>
              </w:rPr>
              <w:t xml:space="preserve"> iesniedz Saeimai rakstveida pārskatu par savu darbību iepriekšējā gadā un zvērināta revidenta pārbaudītu pilnu finanšu pārskatu. Šī informācija tiek publicēta regulatora mājaslapā internetā.</w:t>
            </w:r>
          </w:p>
          <w:p w:rsidR="00653EE6" w:rsidRPr="00653EE6" w:rsidRDefault="00653EE6" w:rsidP="00507950">
            <w:pPr>
              <w:ind w:firstLine="567"/>
              <w:jc w:val="both"/>
              <w:rPr>
                <w:i/>
                <w:sz w:val="22"/>
                <w:szCs w:val="22"/>
                <w:lang w:val="lv-LV"/>
              </w:rPr>
            </w:pPr>
            <w:r w:rsidRPr="00653EE6">
              <w:rPr>
                <w:i/>
                <w:sz w:val="22"/>
                <w:szCs w:val="22"/>
                <w:lang w:val="lv-LV"/>
              </w:rPr>
              <w:t>(2) (Izslēgta ar 11.06.2009. likumu.)</w:t>
            </w:r>
          </w:p>
        </w:tc>
        <w:tc>
          <w:tcPr>
            <w:tcW w:w="2835" w:type="dxa"/>
            <w:shd w:val="clear" w:color="auto" w:fill="auto"/>
          </w:tcPr>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1. Papildināt 14. pantu ar trešo un ceturto daļu šādā redakcijā:</w:t>
            </w:r>
          </w:p>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"(3) Regulators katru gadu sniedz Saeimai pārskatu par kārtējā gada likumā par valsts budžetu apstiprinātā regulatora budžeta izpildi un regulatora darbību.</w:t>
            </w:r>
          </w:p>
          <w:p w:rsidR="00653EE6" w:rsidRPr="00A46D2F"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(4) Regulators reizi trijos gados veic neatkarīgu savas darbības novērtējumu un publicē to regulatora mājaslapā internetā."</w:t>
            </w:r>
          </w:p>
        </w:tc>
        <w:tc>
          <w:tcPr>
            <w:tcW w:w="567" w:type="dxa"/>
          </w:tcPr>
          <w:p w:rsidR="00653EE6" w:rsidRPr="00CD38E3" w:rsidRDefault="00653EE6" w:rsidP="00CD38E3">
            <w:pPr>
              <w:pStyle w:val="NormalWeb"/>
              <w:spacing w:before="0" w:beforeAutospacing="0" w:after="0" w:afterAutospacing="0"/>
              <w:jc w:val="center"/>
              <w:rPr>
                <w:b/>
                <w:sz w:val="22"/>
                <w:szCs w:val="22"/>
                <w:lang w:val="lv-LV"/>
              </w:rPr>
            </w:pPr>
          </w:p>
        </w:tc>
        <w:tc>
          <w:tcPr>
            <w:tcW w:w="2835" w:type="dxa"/>
          </w:tcPr>
          <w:p w:rsidR="00653EE6" w:rsidRPr="00F7619E" w:rsidRDefault="00653EE6" w:rsidP="00507950">
            <w:pPr>
              <w:pStyle w:val="NormalWeb"/>
              <w:spacing w:before="0" w:beforeAutospacing="0" w:after="0" w:afterAutospacing="0"/>
              <w:ind w:firstLine="567"/>
              <w:jc w:val="both"/>
              <w:rPr>
                <w:sz w:val="22"/>
                <w:szCs w:val="22"/>
                <w:lang w:val="lv-LV"/>
              </w:rPr>
            </w:pPr>
          </w:p>
        </w:tc>
        <w:tc>
          <w:tcPr>
            <w:tcW w:w="1418" w:type="dxa"/>
          </w:tcPr>
          <w:p w:rsidR="00653EE6" w:rsidRPr="00F7619E" w:rsidRDefault="00653EE6" w:rsidP="00507950">
            <w:pPr>
              <w:pStyle w:val="NormalWeb"/>
              <w:spacing w:before="0" w:beforeAutospacing="0" w:after="0" w:afterAutospacing="0"/>
              <w:ind w:firstLine="567"/>
              <w:jc w:val="both"/>
              <w:rPr>
                <w:sz w:val="22"/>
                <w:szCs w:val="22"/>
                <w:lang w:val="lv-LV"/>
              </w:rPr>
            </w:pPr>
          </w:p>
        </w:tc>
        <w:tc>
          <w:tcPr>
            <w:tcW w:w="1418" w:type="dxa"/>
          </w:tcPr>
          <w:p w:rsidR="00653EE6" w:rsidRPr="00F7619E" w:rsidRDefault="00653EE6" w:rsidP="00507950">
            <w:pPr>
              <w:pStyle w:val="NormalWeb"/>
              <w:spacing w:before="0" w:beforeAutospacing="0" w:after="0" w:afterAutospacing="0"/>
              <w:ind w:firstLine="567"/>
              <w:jc w:val="both"/>
              <w:rPr>
                <w:sz w:val="22"/>
                <w:szCs w:val="22"/>
                <w:lang w:val="lv-LV"/>
              </w:rPr>
            </w:pPr>
          </w:p>
        </w:tc>
      </w:tr>
      <w:tr w:rsidR="00653EE6" w:rsidRPr="002904C8" w:rsidTr="00DF3BCB">
        <w:tc>
          <w:tcPr>
            <w:tcW w:w="2835" w:type="dxa"/>
            <w:shd w:val="clear" w:color="auto" w:fill="auto"/>
          </w:tcPr>
          <w:p w:rsidR="00653EE6" w:rsidRPr="00653EE6" w:rsidRDefault="00653EE6" w:rsidP="00507950">
            <w:pPr>
              <w:ind w:firstLine="567"/>
              <w:jc w:val="both"/>
              <w:rPr>
                <w:sz w:val="22"/>
                <w:szCs w:val="22"/>
                <w:lang w:val="lv-LV"/>
              </w:rPr>
            </w:pPr>
            <w:proofErr w:type="gramStart"/>
            <w:r w:rsidRPr="00653EE6">
              <w:rPr>
                <w:b/>
                <w:sz w:val="22"/>
                <w:szCs w:val="22"/>
                <w:lang w:val="lv-LV"/>
              </w:rPr>
              <w:t>29.pants</w:t>
            </w:r>
            <w:proofErr w:type="gramEnd"/>
            <w:r w:rsidRPr="00653EE6">
              <w:rPr>
                <w:b/>
                <w:sz w:val="22"/>
                <w:szCs w:val="22"/>
                <w:lang w:val="lv-LV"/>
              </w:rPr>
              <w:t>. Regulatora darbības finansēšana</w:t>
            </w:r>
          </w:p>
          <w:p w:rsidR="00653EE6" w:rsidRPr="00F7619E" w:rsidRDefault="00653EE6" w:rsidP="00507950">
            <w:pPr>
              <w:ind w:firstLine="567"/>
              <w:jc w:val="both"/>
              <w:rPr>
                <w:sz w:val="22"/>
                <w:szCs w:val="22"/>
                <w:lang w:val="lv-LV"/>
              </w:rPr>
            </w:pPr>
            <w:r w:rsidRPr="00653EE6">
              <w:rPr>
                <w:sz w:val="22"/>
                <w:szCs w:val="22"/>
                <w:lang w:val="lv-LV"/>
              </w:rPr>
              <w:t>Regulatora darbību finansē no ieņēmumiem, kas gūti, iekasējot valsts nodevu par sabiedrisko pakalpojumu regulēšanu.</w:t>
            </w:r>
          </w:p>
        </w:tc>
        <w:tc>
          <w:tcPr>
            <w:tcW w:w="2835" w:type="dxa"/>
            <w:shd w:val="clear" w:color="auto" w:fill="auto"/>
          </w:tcPr>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2. Izteikt 29. pantu šādā redakcijā:</w:t>
            </w:r>
          </w:p>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w:t>
            </w:r>
            <w:r w:rsidRPr="00653EE6">
              <w:rPr>
                <w:rFonts w:eastAsia="Times New Roman"/>
                <w:b/>
                <w:sz w:val="22"/>
                <w:szCs w:val="22"/>
                <w:lang w:val="lv-LV" w:eastAsia="lv-LV"/>
              </w:rPr>
              <w:t>29. pants. Regulatora darbības finansēšana</w:t>
            </w:r>
            <w:r w:rsidRPr="00653EE6">
              <w:rPr>
                <w:rFonts w:eastAsia="Times New Roman"/>
                <w:sz w:val="22"/>
                <w:szCs w:val="22"/>
                <w:lang w:val="lv-LV" w:eastAsia="lv-LV"/>
              </w:rPr>
              <w:t xml:space="preserve"> </w:t>
            </w:r>
          </w:p>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 xml:space="preserve">(1) Regulatora darbību finansē no ieņēmumiem, kas gūti, iekasējot </w:t>
            </w:r>
            <w:r w:rsidRPr="00653EE6">
              <w:rPr>
                <w:rFonts w:eastAsia="Times New Roman"/>
                <w:sz w:val="22"/>
                <w:szCs w:val="22"/>
                <w:lang w:val="lv-LV" w:eastAsia="lv-LV"/>
              </w:rPr>
              <w:lastRenderedPageBreak/>
              <w:t>valsts nodevu par sabiedrisko pakalpojumu regulēšanu (turpmāk – valsts nodeva) un</w:t>
            </w:r>
            <w:proofErr w:type="gramStart"/>
            <w:r w:rsidRPr="00653EE6">
              <w:rPr>
                <w:rFonts w:eastAsia="Times New Roman"/>
                <w:sz w:val="22"/>
                <w:szCs w:val="22"/>
                <w:lang w:val="lv-LV" w:eastAsia="lv-LV"/>
              </w:rPr>
              <w:t xml:space="preserve"> iekasējot maksājumus par regulatora sniegtajiem pakalpojumiem</w:t>
            </w:r>
            <w:proofErr w:type="gramEnd"/>
            <w:r w:rsidRPr="00653EE6">
              <w:rPr>
                <w:rFonts w:eastAsia="Times New Roman"/>
                <w:sz w:val="22"/>
                <w:szCs w:val="22"/>
                <w:lang w:val="lv-LV" w:eastAsia="lv-LV"/>
              </w:rPr>
              <w:t>, kuri noteikti citos normatīvajos aktos.</w:t>
            </w:r>
          </w:p>
          <w:p w:rsidR="00653EE6" w:rsidRPr="00A46D2F"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 xml:space="preserve">(2) Regulatora sniegto pakalpojumu maksas apmēru un maksāšanas kārtību nosaka </w:t>
            </w:r>
            <w:bookmarkStart w:id="0" w:name="_Hlk492385076"/>
            <w:r w:rsidRPr="00653EE6">
              <w:rPr>
                <w:rFonts w:eastAsia="Times New Roman"/>
                <w:sz w:val="22"/>
                <w:szCs w:val="22"/>
                <w:lang w:val="lv-LV" w:eastAsia="lv-LV"/>
              </w:rPr>
              <w:t>citos normatīvajos aktos</w:t>
            </w:r>
            <w:bookmarkEnd w:id="0"/>
            <w:r w:rsidRPr="00653EE6">
              <w:rPr>
                <w:rFonts w:eastAsia="Times New Roman"/>
                <w:sz w:val="22"/>
                <w:szCs w:val="22"/>
                <w:lang w:val="lv-LV" w:eastAsia="lv-LV"/>
              </w:rPr>
              <w:t>, ņemot vērā regulatora administratīvās izmaksas un attiecīgā pakalpojuma nodrošināšanai nepieciešamos izdevumus."</w:t>
            </w:r>
          </w:p>
        </w:tc>
        <w:tc>
          <w:tcPr>
            <w:tcW w:w="567" w:type="dxa"/>
          </w:tcPr>
          <w:p w:rsidR="00653EE6" w:rsidRPr="00CD38E3" w:rsidRDefault="00653EE6" w:rsidP="00CD38E3">
            <w:pPr>
              <w:pStyle w:val="NormalWeb"/>
              <w:spacing w:before="0" w:beforeAutospacing="0" w:after="0" w:afterAutospacing="0"/>
              <w:jc w:val="center"/>
              <w:rPr>
                <w:b/>
                <w:sz w:val="22"/>
                <w:szCs w:val="22"/>
                <w:lang w:val="lv-LV"/>
              </w:rPr>
            </w:pPr>
          </w:p>
        </w:tc>
        <w:tc>
          <w:tcPr>
            <w:tcW w:w="2835" w:type="dxa"/>
          </w:tcPr>
          <w:p w:rsidR="00653EE6" w:rsidRPr="00F7619E" w:rsidRDefault="00653EE6" w:rsidP="00507950">
            <w:pPr>
              <w:pStyle w:val="NormalWeb"/>
              <w:spacing w:before="0" w:beforeAutospacing="0" w:after="0" w:afterAutospacing="0"/>
              <w:ind w:firstLine="567"/>
              <w:jc w:val="both"/>
              <w:rPr>
                <w:sz w:val="22"/>
                <w:szCs w:val="22"/>
                <w:lang w:val="lv-LV"/>
              </w:rPr>
            </w:pPr>
          </w:p>
        </w:tc>
        <w:tc>
          <w:tcPr>
            <w:tcW w:w="1418" w:type="dxa"/>
          </w:tcPr>
          <w:p w:rsidR="00653EE6" w:rsidRPr="00F7619E" w:rsidRDefault="00653EE6" w:rsidP="00507950">
            <w:pPr>
              <w:pStyle w:val="NormalWeb"/>
              <w:spacing w:before="0" w:beforeAutospacing="0" w:after="0" w:afterAutospacing="0"/>
              <w:ind w:firstLine="567"/>
              <w:jc w:val="both"/>
              <w:rPr>
                <w:sz w:val="22"/>
                <w:szCs w:val="22"/>
                <w:lang w:val="lv-LV"/>
              </w:rPr>
            </w:pPr>
          </w:p>
        </w:tc>
        <w:tc>
          <w:tcPr>
            <w:tcW w:w="1418" w:type="dxa"/>
          </w:tcPr>
          <w:p w:rsidR="00653EE6" w:rsidRPr="00F7619E" w:rsidRDefault="00653EE6" w:rsidP="00507950">
            <w:pPr>
              <w:pStyle w:val="NormalWeb"/>
              <w:spacing w:before="0" w:beforeAutospacing="0" w:after="0" w:afterAutospacing="0"/>
              <w:ind w:firstLine="567"/>
              <w:jc w:val="both"/>
              <w:rPr>
                <w:sz w:val="22"/>
                <w:szCs w:val="22"/>
                <w:lang w:val="lv-LV"/>
              </w:rPr>
            </w:pPr>
          </w:p>
        </w:tc>
      </w:tr>
      <w:tr w:rsidR="00653EE6" w:rsidRPr="002904C8" w:rsidTr="00DF3BCB">
        <w:tc>
          <w:tcPr>
            <w:tcW w:w="2835" w:type="dxa"/>
            <w:shd w:val="clear" w:color="auto" w:fill="auto"/>
          </w:tcPr>
          <w:p w:rsidR="00653EE6" w:rsidRPr="002904C8" w:rsidRDefault="00653EE6" w:rsidP="00507950">
            <w:pPr>
              <w:ind w:firstLine="567"/>
              <w:jc w:val="both"/>
              <w:rPr>
                <w:sz w:val="22"/>
                <w:szCs w:val="22"/>
                <w:lang w:val="lv-LV"/>
              </w:rPr>
            </w:pPr>
            <w:proofErr w:type="gramStart"/>
            <w:r w:rsidRPr="002904C8">
              <w:rPr>
                <w:b/>
                <w:sz w:val="22"/>
                <w:szCs w:val="22"/>
                <w:lang w:val="lv-LV"/>
              </w:rPr>
              <w:lastRenderedPageBreak/>
              <w:t>30.pants</w:t>
            </w:r>
            <w:proofErr w:type="gramEnd"/>
            <w:r w:rsidRPr="002904C8">
              <w:rPr>
                <w:b/>
                <w:sz w:val="22"/>
                <w:szCs w:val="22"/>
                <w:lang w:val="lv-LV"/>
              </w:rPr>
              <w:t>. Valsts nodevas par sabiedrisko pakalpojumu regulēšanu maksātāji un izmantošana</w:t>
            </w:r>
          </w:p>
          <w:p w:rsidR="00653EE6" w:rsidRPr="002904C8" w:rsidRDefault="00653EE6" w:rsidP="00507950">
            <w:pPr>
              <w:ind w:firstLine="567"/>
              <w:jc w:val="both"/>
              <w:rPr>
                <w:sz w:val="22"/>
                <w:szCs w:val="22"/>
                <w:lang w:val="lv-LV"/>
              </w:rPr>
            </w:pPr>
            <w:r w:rsidRPr="002904C8">
              <w:rPr>
                <w:sz w:val="22"/>
                <w:szCs w:val="22"/>
                <w:lang w:val="lv-LV"/>
              </w:rPr>
              <w:t>(1) Sabiedrisko pakalpojumu regulēšanas nodrošināšanai visi regulējamo nozaru sabiedrisko pakalpojumu sniedzēji maksā valsts nodevu par sabiedrisko pakalpojumu regulēšanu.</w:t>
            </w:r>
          </w:p>
          <w:p w:rsidR="00653EE6" w:rsidRPr="00653EE6" w:rsidRDefault="00653EE6" w:rsidP="00507950">
            <w:pPr>
              <w:ind w:firstLine="567"/>
              <w:jc w:val="both"/>
              <w:rPr>
                <w:sz w:val="22"/>
                <w:szCs w:val="22"/>
                <w:lang w:val="lv-LV"/>
              </w:rPr>
            </w:pPr>
            <w:r w:rsidRPr="002904C8">
              <w:rPr>
                <w:sz w:val="22"/>
                <w:szCs w:val="22"/>
                <w:lang w:val="lv-LV"/>
              </w:rPr>
              <w:t>(2) Valsts nodeva par sabiedrisko pakalpojumu regulēšanu regulējamās nozarēs iemaksājama valsts budžetā un tiek ieskaitīta regulatora kontā Valsts kasē. Iemaksātā valsts nodeva par sabiedrisko pakalpojumu regulēšanu regulējamās nozarēs izmantojama vienīgi regulatora</w:t>
            </w:r>
            <w:r w:rsidRPr="00653EE6">
              <w:rPr>
                <w:sz w:val="22"/>
                <w:szCs w:val="22"/>
                <w:lang w:val="lv-LV"/>
              </w:rPr>
              <w:t xml:space="preserve"> darbības nodrošināšanai.</w:t>
            </w:r>
          </w:p>
          <w:p w:rsidR="00653EE6" w:rsidRPr="0099746E" w:rsidRDefault="00653EE6" w:rsidP="00507950">
            <w:pPr>
              <w:ind w:firstLine="567"/>
              <w:jc w:val="both"/>
              <w:rPr>
                <w:i/>
                <w:sz w:val="22"/>
                <w:szCs w:val="22"/>
                <w:lang w:val="lv-LV"/>
              </w:rPr>
            </w:pPr>
            <w:r w:rsidRPr="0099746E">
              <w:rPr>
                <w:i/>
                <w:sz w:val="22"/>
                <w:szCs w:val="22"/>
                <w:lang w:val="lv-LV"/>
              </w:rPr>
              <w:t>(3) (Izslēgta ar 11.06.2009. likumu)</w:t>
            </w:r>
          </w:p>
          <w:p w:rsidR="00653EE6" w:rsidRPr="00653EE6" w:rsidRDefault="00653EE6" w:rsidP="00507950">
            <w:pPr>
              <w:ind w:firstLine="567"/>
              <w:jc w:val="both"/>
              <w:rPr>
                <w:sz w:val="22"/>
                <w:szCs w:val="22"/>
                <w:lang w:val="lv-LV"/>
              </w:rPr>
            </w:pPr>
            <w:r w:rsidRPr="0099746E">
              <w:rPr>
                <w:i/>
                <w:sz w:val="22"/>
                <w:szCs w:val="22"/>
                <w:lang w:val="lv-LV"/>
              </w:rPr>
              <w:t xml:space="preserve">(4) (Izslēgta ar 14.07.2011. </w:t>
            </w:r>
            <w:r w:rsidRPr="0099746E">
              <w:rPr>
                <w:i/>
                <w:sz w:val="22"/>
                <w:szCs w:val="22"/>
                <w:lang w:val="lv-LV"/>
              </w:rPr>
              <w:lastRenderedPageBreak/>
              <w:t>likumu)</w:t>
            </w:r>
          </w:p>
          <w:p w:rsidR="00653EE6" w:rsidRPr="00653EE6" w:rsidRDefault="00653EE6" w:rsidP="00507950">
            <w:pPr>
              <w:ind w:firstLine="567"/>
              <w:jc w:val="both"/>
              <w:rPr>
                <w:sz w:val="22"/>
                <w:szCs w:val="22"/>
                <w:lang w:val="lv-LV"/>
              </w:rPr>
            </w:pPr>
            <w:r w:rsidRPr="002904C8">
              <w:rPr>
                <w:sz w:val="22"/>
                <w:szCs w:val="22"/>
                <w:lang w:val="lv-LV"/>
              </w:rPr>
              <w:t>(5) Sabiedrisko pakalpojumu sniedzējam neatmaksā samaksāto valsts nodevu par sabiedrisko pakalpojumu regulēšanu</w:t>
            </w:r>
            <w:r w:rsidRPr="00653EE6">
              <w:rPr>
                <w:sz w:val="22"/>
                <w:szCs w:val="22"/>
                <w:lang w:val="lv-LV"/>
              </w:rPr>
              <w:t xml:space="preserve"> šādos gadījumos:</w:t>
            </w:r>
          </w:p>
          <w:p w:rsidR="00653EE6" w:rsidRPr="00653EE6" w:rsidRDefault="00653EE6" w:rsidP="00507950">
            <w:pPr>
              <w:ind w:firstLine="567"/>
              <w:jc w:val="both"/>
              <w:rPr>
                <w:sz w:val="22"/>
                <w:szCs w:val="22"/>
                <w:lang w:val="lv-LV"/>
              </w:rPr>
            </w:pPr>
            <w:r w:rsidRPr="00653EE6">
              <w:rPr>
                <w:sz w:val="22"/>
                <w:szCs w:val="22"/>
                <w:lang w:val="lv-LV"/>
              </w:rPr>
              <w:t>1) sabiedrisko pakalpojumu sniedzējam izsniegtā licence ir anulēta vai apturēta;</w:t>
            </w:r>
          </w:p>
          <w:p w:rsidR="00653EE6" w:rsidRPr="00653EE6" w:rsidRDefault="00653EE6" w:rsidP="00507950">
            <w:pPr>
              <w:ind w:firstLine="567"/>
              <w:jc w:val="both"/>
              <w:rPr>
                <w:sz w:val="22"/>
                <w:szCs w:val="22"/>
                <w:lang w:val="lv-LV"/>
              </w:rPr>
            </w:pPr>
            <w:r w:rsidRPr="00653EE6">
              <w:rPr>
                <w:sz w:val="22"/>
                <w:szCs w:val="22"/>
                <w:lang w:val="lv-LV"/>
              </w:rPr>
              <w:t>2) sabiedrisko pakalpojumu sniedzējs ir izslēgts no reģistra vai reģistrā ir izdarīta atzīme par sabiedrisko pakalpojumu sniedzēja darbības apturēšanu;</w:t>
            </w:r>
          </w:p>
          <w:p w:rsidR="00653EE6" w:rsidRPr="00F7619E" w:rsidRDefault="00653EE6" w:rsidP="00507950">
            <w:pPr>
              <w:ind w:firstLine="567"/>
              <w:jc w:val="both"/>
              <w:rPr>
                <w:sz w:val="22"/>
                <w:szCs w:val="22"/>
                <w:lang w:val="lv-LV"/>
              </w:rPr>
            </w:pPr>
            <w:r w:rsidRPr="00653EE6">
              <w:rPr>
                <w:sz w:val="22"/>
                <w:szCs w:val="22"/>
                <w:lang w:val="lv-LV"/>
              </w:rPr>
              <w:t>3) sabiedriskā pakalpojuma regulēšana ir izbeigta.</w:t>
            </w:r>
          </w:p>
        </w:tc>
        <w:tc>
          <w:tcPr>
            <w:tcW w:w="2835" w:type="dxa"/>
            <w:shd w:val="clear" w:color="auto" w:fill="auto"/>
          </w:tcPr>
          <w:p w:rsidR="00653EE6" w:rsidRPr="00A46D2F"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lastRenderedPageBreak/>
              <w:t>3. Aizstāt 30. pantā vārdus "valsts nodeva par sabiedrisko pakalpojumu regulēšanu" (attiecīgā locījumā) ar vārdiem "valsts nodeva" (attiecīgā locījumā).</w:t>
            </w:r>
          </w:p>
        </w:tc>
        <w:tc>
          <w:tcPr>
            <w:tcW w:w="567" w:type="dxa"/>
          </w:tcPr>
          <w:p w:rsidR="00653EE6" w:rsidRPr="00CD38E3" w:rsidRDefault="00653EE6" w:rsidP="00CD38E3">
            <w:pPr>
              <w:pStyle w:val="NormalWeb"/>
              <w:spacing w:before="0" w:beforeAutospacing="0" w:after="0" w:afterAutospacing="0"/>
              <w:jc w:val="center"/>
              <w:rPr>
                <w:b/>
                <w:sz w:val="22"/>
                <w:szCs w:val="22"/>
                <w:lang w:val="lv-LV"/>
              </w:rPr>
            </w:pPr>
          </w:p>
        </w:tc>
        <w:tc>
          <w:tcPr>
            <w:tcW w:w="2835" w:type="dxa"/>
          </w:tcPr>
          <w:p w:rsidR="00653EE6" w:rsidRPr="00F7619E" w:rsidRDefault="00653EE6" w:rsidP="00507950">
            <w:pPr>
              <w:pStyle w:val="NormalWeb"/>
              <w:spacing w:before="0" w:beforeAutospacing="0" w:after="0" w:afterAutospacing="0"/>
              <w:ind w:firstLine="567"/>
              <w:jc w:val="both"/>
              <w:rPr>
                <w:sz w:val="22"/>
                <w:szCs w:val="22"/>
                <w:lang w:val="lv-LV"/>
              </w:rPr>
            </w:pPr>
          </w:p>
        </w:tc>
        <w:tc>
          <w:tcPr>
            <w:tcW w:w="1418" w:type="dxa"/>
          </w:tcPr>
          <w:p w:rsidR="00653EE6" w:rsidRPr="00F7619E" w:rsidRDefault="00653EE6" w:rsidP="00507950">
            <w:pPr>
              <w:pStyle w:val="NormalWeb"/>
              <w:spacing w:before="0" w:beforeAutospacing="0" w:after="0" w:afterAutospacing="0"/>
              <w:ind w:firstLine="567"/>
              <w:jc w:val="both"/>
              <w:rPr>
                <w:sz w:val="22"/>
                <w:szCs w:val="22"/>
                <w:lang w:val="lv-LV"/>
              </w:rPr>
            </w:pPr>
          </w:p>
        </w:tc>
        <w:tc>
          <w:tcPr>
            <w:tcW w:w="1418" w:type="dxa"/>
          </w:tcPr>
          <w:p w:rsidR="00653EE6" w:rsidRPr="00F7619E" w:rsidRDefault="00653EE6" w:rsidP="00507950">
            <w:pPr>
              <w:pStyle w:val="NormalWeb"/>
              <w:spacing w:before="0" w:beforeAutospacing="0" w:after="0" w:afterAutospacing="0"/>
              <w:ind w:firstLine="567"/>
              <w:jc w:val="both"/>
              <w:rPr>
                <w:sz w:val="22"/>
                <w:szCs w:val="22"/>
                <w:lang w:val="lv-LV"/>
              </w:rPr>
            </w:pPr>
          </w:p>
        </w:tc>
      </w:tr>
      <w:tr w:rsidR="00653EE6" w:rsidRPr="002904C8" w:rsidTr="00DF3BCB">
        <w:tc>
          <w:tcPr>
            <w:tcW w:w="2835" w:type="dxa"/>
            <w:shd w:val="clear" w:color="auto" w:fill="auto"/>
          </w:tcPr>
          <w:p w:rsidR="0099746E" w:rsidRPr="0099746E" w:rsidRDefault="0099746E" w:rsidP="00507950">
            <w:pPr>
              <w:ind w:firstLine="567"/>
              <w:jc w:val="both"/>
              <w:rPr>
                <w:sz w:val="22"/>
                <w:szCs w:val="22"/>
                <w:lang w:val="lv-LV"/>
              </w:rPr>
            </w:pPr>
            <w:proofErr w:type="gramStart"/>
            <w:r w:rsidRPr="0099746E">
              <w:rPr>
                <w:b/>
                <w:sz w:val="22"/>
                <w:szCs w:val="22"/>
                <w:lang w:val="lv-LV"/>
              </w:rPr>
              <w:lastRenderedPageBreak/>
              <w:t>31.pants</w:t>
            </w:r>
            <w:proofErr w:type="gramEnd"/>
            <w:r w:rsidRPr="0099746E">
              <w:rPr>
                <w:b/>
                <w:sz w:val="22"/>
                <w:szCs w:val="22"/>
                <w:lang w:val="lv-LV"/>
              </w:rPr>
              <w:t>. Valsts nodevas par sabiedrisko pakalpojumu regulēšanu likme un maksāšanas kārtība</w:t>
            </w:r>
          </w:p>
          <w:p w:rsidR="0099746E" w:rsidRPr="0099746E" w:rsidRDefault="0099746E" w:rsidP="00507950">
            <w:pPr>
              <w:ind w:firstLine="567"/>
              <w:jc w:val="both"/>
              <w:rPr>
                <w:sz w:val="22"/>
                <w:szCs w:val="22"/>
                <w:lang w:val="lv-LV"/>
              </w:rPr>
            </w:pPr>
            <w:r w:rsidRPr="0099746E">
              <w:rPr>
                <w:sz w:val="22"/>
                <w:szCs w:val="22"/>
                <w:lang w:val="lv-LV"/>
              </w:rPr>
              <w:t>(1) Valsts nodevas par sabiedrisko pakalpojumu regulēšanu likmi atsevišķi katram regulējamās nozares sabiedrisko pakalpojumu veidam nosaka Ministru kabinets, pamatojoties uz sabiedrisko pakalpojumu gada neto apgrozījumu un regulatora darbības nodrošināšanai nepieciešamajiem izdevumiem.</w:t>
            </w:r>
          </w:p>
          <w:p w:rsidR="0099746E" w:rsidRPr="0099746E" w:rsidRDefault="0099746E" w:rsidP="00507950">
            <w:pPr>
              <w:ind w:firstLine="567"/>
              <w:jc w:val="both"/>
              <w:rPr>
                <w:sz w:val="22"/>
                <w:szCs w:val="22"/>
                <w:lang w:val="lv-LV"/>
              </w:rPr>
            </w:pPr>
            <w:r w:rsidRPr="0099746E">
              <w:rPr>
                <w:sz w:val="22"/>
                <w:szCs w:val="22"/>
                <w:lang w:val="lv-LV"/>
              </w:rPr>
              <w:t xml:space="preserve">(2) Valsts nodevas par sabiedrisko pakalpojumu regulēšanu gada likme nedrīkst pārsniegt 0,2 </w:t>
            </w:r>
            <w:r w:rsidRPr="0099746E">
              <w:rPr>
                <w:sz w:val="22"/>
                <w:szCs w:val="22"/>
                <w:lang w:val="lv-LV"/>
              </w:rPr>
              <w:lastRenderedPageBreak/>
              <w:t>procentus no komersanta sniegto sabiedrisko pakalpojumu neto apgrozījuma iepriekšējā kalendāra gadā.</w:t>
            </w:r>
          </w:p>
          <w:p w:rsidR="0099746E" w:rsidRPr="0099746E" w:rsidRDefault="0099746E" w:rsidP="00507950">
            <w:pPr>
              <w:ind w:firstLine="567"/>
              <w:jc w:val="both"/>
              <w:rPr>
                <w:sz w:val="22"/>
                <w:szCs w:val="22"/>
                <w:lang w:val="lv-LV"/>
              </w:rPr>
            </w:pPr>
            <w:r w:rsidRPr="0099746E">
              <w:rPr>
                <w:sz w:val="22"/>
                <w:szCs w:val="22"/>
                <w:lang w:val="lv-LV"/>
              </w:rPr>
              <w:t>(2</w:t>
            </w:r>
            <w:r w:rsidRPr="0099746E">
              <w:rPr>
                <w:sz w:val="22"/>
                <w:szCs w:val="22"/>
                <w:vertAlign w:val="superscript"/>
                <w:lang w:val="lv-LV"/>
              </w:rPr>
              <w:t>1</w:t>
            </w:r>
            <w:r w:rsidRPr="0099746E">
              <w:rPr>
                <w:sz w:val="22"/>
                <w:szCs w:val="22"/>
                <w:lang w:val="lv-LV"/>
              </w:rPr>
              <w:t>) Komersanti, kuri sāk sabiedrisko pakalpojumu sniegšanu, valsts nodevu par pirmo darbības gadu maksā no pašu plānotā attiecīgā sabiedriskā pakalpojuma veida neto apgrozījuma pirmajā darbības gadā.</w:t>
            </w:r>
          </w:p>
          <w:p w:rsidR="0099746E" w:rsidRPr="0099746E" w:rsidRDefault="0099746E" w:rsidP="00507950">
            <w:pPr>
              <w:ind w:firstLine="567"/>
              <w:jc w:val="both"/>
              <w:rPr>
                <w:sz w:val="22"/>
                <w:szCs w:val="22"/>
                <w:lang w:val="lv-LV"/>
              </w:rPr>
            </w:pPr>
            <w:r w:rsidRPr="0099746E">
              <w:rPr>
                <w:sz w:val="22"/>
                <w:szCs w:val="22"/>
                <w:lang w:val="lv-LV"/>
              </w:rPr>
              <w:t>(2</w:t>
            </w:r>
            <w:r w:rsidRPr="0099746E">
              <w:rPr>
                <w:sz w:val="22"/>
                <w:szCs w:val="22"/>
                <w:vertAlign w:val="superscript"/>
                <w:lang w:val="lv-LV"/>
              </w:rPr>
              <w:t>2</w:t>
            </w:r>
            <w:r w:rsidRPr="0099746E">
              <w:rPr>
                <w:sz w:val="22"/>
                <w:szCs w:val="22"/>
                <w:lang w:val="lv-LV"/>
              </w:rPr>
              <w:t>) Ja sabiedrisko pakalpojumu sniegšanu uzsākuša komersanta saskaņā ar šā panta 2.</w:t>
            </w:r>
            <w:r w:rsidRPr="0099746E">
              <w:rPr>
                <w:sz w:val="22"/>
                <w:szCs w:val="22"/>
                <w:vertAlign w:val="superscript"/>
                <w:lang w:val="lv-LV"/>
              </w:rPr>
              <w:t>1</w:t>
            </w:r>
            <w:r w:rsidRPr="0099746E">
              <w:rPr>
                <w:sz w:val="22"/>
                <w:szCs w:val="22"/>
                <w:lang w:val="lv-LV"/>
              </w:rPr>
              <w:t xml:space="preserve"> daļu par pirmo darbības gadu samaksātā valsts nodeva ir mazāka par šā panta pirmajā un otrajā daļā paredzētajā kārtībā noteikto likmi, komersants līdz nākamā gada </w:t>
            </w:r>
            <w:proofErr w:type="gramStart"/>
            <w:r w:rsidRPr="0099746E">
              <w:rPr>
                <w:sz w:val="22"/>
                <w:szCs w:val="22"/>
                <w:lang w:val="lv-LV"/>
              </w:rPr>
              <w:t>30.janvārim</w:t>
            </w:r>
            <w:proofErr w:type="gramEnd"/>
            <w:r w:rsidRPr="0099746E">
              <w:rPr>
                <w:sz w:val="22"/>
                <w:szCs w:val="22"/>
                <w:lang w:val="lv-LV"/>
              </w:rPr>
              <w:t xml:space="preserve"> samaksā atlikušo valsts nodevas summu.</w:t>
            </w:r>
          </w:p>
          <w:p w:rsidR="0099746E" w:rsidRPr="0099746E" w:rsidRDefault="0099746E" w:rsidP="00507950">
            <w:pPr>
              <w:ind w:firstLine="567"/>
              <w:jc w:val="both"/>
              <w:rPr>
                <w:sz w:val="22"/>
                <w:szCs w:val="22"/>
                <w:lang w:val="lv-LV"/>
              </w:rPr>
            </w:pPr>
            <w:r w:rsidRPr="0099746E">
              <w:rPr>
                <w:sz w:val="22"/>
                <w:szCs w:val="22"/>
                <w:lang w:val="lv-LV"/>
              </w:rPr>
              <w:t>(2</w:t>
            </w:r>
            <w:r w:rsidRPr="0099746E">
              <w:rPr>
                <w:sz w:val="22"/>
                <w:szCs w:val="22"/>
                <w:vertAlign w:val="superscript"/>
                <w:lang w:val="lv-LV"/>
              </w:rPr>
              <w:t>3</w:t>
            </w:r>
            <w:r w:rsidRPr="0099746E">
              <w:rPr>
                <w:sz w:val="22"/>
                <w:szCs w:val="22"/>
                <w:lang w:val="lv-LV"/>
              </w:rPr>
              <w:t>) Ja sabiedrisko pakalpojumu sniegšanu uzsākuša komersanta saskaņā ar šā panta 2.</w:t>
            </w:r>
            <w:r w:rsidRPr="0099746E">
              <w:rPr>
                <w:sz w:val="22"/>
                <w:szCs w:val="22"/>
                <w:vertAlign w:val="superscript"/>
                <w:lang w:val="lv-LV"/>
              </w:rPr>
              <w:t>1</w:t>
            </w:r>
            <w:r w:rsidRPr="0099746E">
              <w:rPr>
                <w:sz w:val="22"/>
                <w:szCs w:val="22"/>
                <w:lang w:val="lv-LV"/>
              </w:rPr>
              <w:t xml:space="preserve"> daļu par pirmo darbības gadu samaksātā valsts nodeva pārsniedz šā panta pirmajā un otrajā daļā paredzētajā kārtībā noteikto likmi, pārmaksāto summu izlīdzina, valsts nodevas aprēķinā nākamajam kalendāra gadam samazinot maksājumu summu par pārmaksāto daļu.</w:t>
            </w:r>
          </w:p>
          <w:p w:rsidR="0099746E" w:rsidRPr="0099746E" w:rsidRDefault="0099746E" w:rsidP="00507950">
            <w:pPr>
              <w:ind w:firstLine="567"/>
              <w:jc w:val="both"/>
              <w:rPr>
                <w:sz w:val="22"/>
                <w:szCs w:val="22"/>
                <w:lang w:val="lv-LV"/>
              </w:rPr>
            </w:pPr>
            <w:r w:rsidRPr="0099746E">
              <w:rPr>
                <w:sz w:val="22"/>
                <w:szCs w:val="22"/>
                <w:lang w:val="lv-LV"/>
              </w:rPr>
              <w:t>(2</w:t>
            </w:r>
            <w:r w:rsidRPr="0099746E">
              <w:rPr>
                <w:sz w:val="22"/>
                <w:szCs w:val="22"/>
                <w:vertAlign w:val="superscript"/>
                <w:lang w:val="lv-LV"/>
              </w:rPr>
              <w:t>4</w:t>
            </w:r>
            <w:r w:rsidRPr="0099746E">
              <w:rPr>
                <w:sz w:val="22"/>
                <w:szCs w:val="22"/>
                <w:lang w:val="lv-LV"/>
              </w:rPr>
              <w:t xml:space="preserve">) Ja attiecīgajā kalendāra gadā samaksātā valsts nodeva par sabiedrisko pakalpojumu regulēšanu pārsniedz regulatora darbības nodrošināšanai nepieciešamās izmaksas, to izmanto regulatora </w:t>
            </w:r>
            <w:r w:rsidRPr="0099746E">
              <w:rPr>
                <w:sz w:val="22"/>
                <w:szCs w:val="22"/>
                <w:lang w:val="lv-LV"/>
              </w:rPr>
              <w:lastRenderedPageBreak/>
              <w:t>darbības nodrošināšanai nākamajā gadā un sabiedrisko pakalpojumu sniedzējam, kas attiecīgajā kalendāra gadā ir samaksājis valsts nodevu par sabiedrisko pakalpojumu regulēšanu, nākamajā gadā šīs nodevas apmēru samazina par pārmaksāto summu proporcionāli iemaksātās nodevas lielumam attiecīgajā gadā.</w:t>
            </w:r>
          </w:p>
          <w:p w:rsidR="0099746E" w:rsidRPr="0099746E" w:rsidRDefault="0099746E" w:rsidP="00507950">
            <w:pPr>
              <w:ind w:firstLine="567"/>
              <w:jc w:val="both"/>
              <w:rPr>
                <w:sz w:val="22"/>
                <w:szCs w:val="22"/>
                <w:lang w:val="lv-LV"/>
              </w:rPr>
            </w:pPr>
            <w:r w:rsidRPr="0099746E">
              <w:rPr>
                <w:i/>
                <w:sz w:val="22"/>
                <w:szCs w:val="22"/>
                <w:lang w:val="lv-LV"/>
              </w:rPr>
              <w:t>(3) (Izslēgta ar 10.05.2001. likumu)</w:t>
            </w:r>
          </w:p>
          <w:p w:rsidR="0099746E" w:rsidRPr="0099746E" w:rsidRDefault="0099746E" w:rsidP="00507950">
            <w:pPr>
              <w:ind w:firstLine="567"/>
              <w:jc w:val="both"/>
              <w:rPr>
                <w:sz w:val="22"/>
                <w:szCs w:val="22"/>
                <w:lang w:val="lv-LV"/>
              </w:rPr>
            </w:pPr>
            <w:r w:rsidRPr="0099746E">
              <w:rPr>
                <w:sz w:val="22"/>
                <w:szCs w:val="22"/>
                <w:lang w:val="lv-LV"/>
              </w:rPr>
              <w:t>(4) Kārtību, kādā maksājama valsts nodeva par sabiedrisko pakalpojumu regulēšanu, nosaka Ministru kabinets.</w:t>
            </w:r>
          </w:p>
          <w:p w:rsidR="0099746E" w:rsidRPr="0099746E" w:rsidRDefault="0099746E" w:rsidP="00507950">
            <w:pPr>
              <w:ind w:firstLine="567"/>
              <w:jc w:val="both"/>
              <w:rPr>
                <w:sz w:val="22"/>
                <w:szCs w:val="22"/>
                <w:lang w:val="lv-LV"/>
              </w:rPr>
            </w:pPr>
            <w:r w:rsidRPr="0099746E">
              <w:rPr>
                <w:sz w:val="22"/>
                <w:szCs w:val="22"/>
                <w:lang w:val="lv-LV"/>
              </w:rPr>
              <w:t>(5) Valsts nodevu par sabiedrisko pakalpojumu regulēšanu administrē regulators saskaņā ar nodokļu jomu regulējošiem normatīvajiem aktiem.</w:t>
            </w:r>
          </w:p>
          <w:p w:rsidR="00653EE6" w:rsidRPr="00F7619E" w:rsidRDefault="0099746E" w:rsidP="00507950">
            <w:pPr>
              <w:ind w:firstLine="567"/>
              <w:jc w:val="both"/>
              <w:rPr>
                <w:sz w:val="22"/>
                <w:szCs w:val="22"/>
                <w:lang w:val="lv-LV"/>
              </w:rPr>
            </w:pPr>
            <w:r w:rsidRPr="0099746E">
              <w:rPr>
                <w:sz w:val="22"/>
                <w:szCs w:val="22"/>
                <w:lang w:val="lv-LV"/>
              </w:rPr>
              <w:t>(6) Ja komersants Ministru kabineta noteiktajā termiņā nav samaksājis valsts nodevu par sabiedrisko pakalpojumu regulēšanu, tam tiek aprēķināta nokavējuma nauda saskaņā ar likumu “Par nodokļiem un nodevām”.</w:t>
            </w:r>
          </w:p>
        </w:tc>
        <w:tc>
          <w:tcPr>
            <w:tcW w:w="2835" w:type="dxa"/>
            <w:shd w:val="clear" w:color="auto" w:fill="auto"/>
          </w:tcPr>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lastRenderedPageBreak/>
              <w:t>4. Izteikt 31. pantu šādā redakcijā:</w:t>
            </w:r>
          </w:p>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w:t>
            </w:r>
            <w:r w:rsidRPr="00653EE6">
              <w:rPr>
                <w:rFonts w:eastAsia="Times New Roman"/>
                <w:b/>
                <w:sz w:val="22"/>
                <w:szCs w:val="22"/>
                <w:lang w:val="lv-LV" w:eastAsia="lv-LV"/>
              </w:rPr>
              <w:t>31. pants. Valsts nodevas likme un maksāšanas kārtība</w:t>
            </w:r>
          </w:p>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 xml:space="preserve">(1) Valsts nodevas gada likme ir 0,2 procenti no komersanta sniegto sabiedrisko pakalpojumu neto apgrozījuma aizpagājušā kalendāra gadā, bet ne </w:t>
            </w:r>
            <w:proofErr w:type="gramStart"/>
            <w:r w:rsidRPr="00653EE6">
              <w:rPr>
                <w:rFonts w:eastAsia="Times New Roman"/>
                <w:sz w:val="22"/>
                <w:szCs w:val="22"/>
                <w:lang w:val="lv-LV" w:eastAsia="lv-LV"/>
              </w:rPr>
              <w:t>mazāka kā</w:t>
            </w:r>
            <w:proofErr w:type="gramEnd"/>
            <w:r w:rsidRPr="00653EE6">
              <w:rPr>
                <w:rFonts w:eastAsia="Times New Roman"/>
                <w:sz w:val="22"/>
                <w:szCs w:val="22"/>
                <w:lang w:val="lv-LV" w:eastAsia="lv-LV"/>
              </w:rPr>
              <w:t xml:space="preserve"> </w:t>
            </w:r>
            <w:r w:rsidRPr="00492A7A">
              <w:rPr>
                <w:rFonts w:eastAsia="Times New Roman"/>
                <w:sz w:val="22"/>
                <w:szCs w:val="22"/>
                <w:u w:val="single"/>
                <w:lang w:val="lv-LV" w:eastAsia="lv-LV"/>
              </w:rPr>
              <w:t>400</w:t>
            </w:r>
            <w:r w:rsidRPr="00653EE6">
              <w:rPr>
                <w:rFonts w:eastAsia="Times New Roman"/>
                <w:sz w:val="22"/>
                <w:szCs w:val="22"/>
                <w:lang w:val="lv-LV" w:eastAsia="lv-LV"/>
              </w:rPr>
              <w:t xml:space="preserve"> </w:t>
            </w:r>
            <w:r w:rsidRPr="00653EE6">
              <w:rPr>
                <w:rFonts w:eastAsia="Times New Roman"/>
                <w:i/>
                <w:sz w:val="22"/>
                <w:szCs w:val="22"/>
                <w:lang w:val="lv-LV" w:eastAsia="lv-LV"/>
              </w:rPr>
              <w:t>euro</w:t>
            </w:r>
            <w:r w:rsidRPr="00653EE6">
              <w:rPr>
                <w:rFonts w:eastAsia="Times New Roman"/>
                <w:sz w:val="22"/>
                <w:szCs w:val="22"/>
                <w:lang w:val="lv-LV" w:eastAsia="lv-LV"/>
              </w:rPr>
              <w:t xml:space="preserve"> </w:t>
            </w:r>
            <w:bookmarkStart w:id="1" w:name="_Hlk492388232"/>
            <w:r w:rsidRPr="00653EE6">
              <w:rPr>
                <w:rFonts w:eastAsia="Times New Roman"/>
                <w:sz w:val="22"/>
                <w:szCs w:val="22"/>
                <w:lang w:val="lv-LV" w:eastAsia="lv-LV"/>
              </w:rPr>
              <w:t>kalendāra gadā</w:t>
            </w:r>
            <w:bookmarkEnd w:id="1"/>
            <w:r w:rsidRPr="00653EE6">
              <w:rPr>
                <w:rFonts w:eastAsia="Times New Roman"/>
                <w:sz w:val="22"/>
                <w:szCs w:val="22"/>
                <w:lang w:val="lv-LV" w:eastAsia="lv-LV"/>
              </w:rPr>
              <w:t>.</w:t>
            </w:r>
          </w:p>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 xml:space="preserve">(2) Valsts nodeva, ko komersants samaksājis par katru regulējamās nozares sabiedriskā pakalpojuma veidu, summā nedrīkst pārsniegt šā panta pirmajā daļā noteikto likmi no kopējā komersanta </w:t>
            </w:r>
            <w:r w:rsidRPr="00653EE6">
              <w:rPr>
                <w:rFonts w:eastAsia="Times New Roman"/>
                <w:sz w:val="22"/>
                <w:szCs w:val="22"/>
                <w:lang w:val="lv-LV" w:eastAsia="lv-LV"/>
              </w:rPr>
              <w:lastRenderedPageBreak/>
              <w:t xml:space="preserve">sniegto sabiedrisko pakalpojumu neto apgrozījuma aizpagājušā kalendāra gadā, bet nedrīkst būt mazāka par </w:t>
            </w:r>
            <w:r w:rsidRPr="00492A7A">
              <w:rPr>
                <w:rFonts w:eastAsia="Times New Roman"/>
                <w:sz w:val="22"/>
                <w:szCs w:val="22"/>
                <w:u w:val="single"/>
                <w:lang w:val="lv-LV" w:eastAsia="lv-LV"/>
              </w:rPr>
              <w:t>400</w:t>
            </w:r>
            <w:r w:rsidRPr="00653EE6">
              <w:rPr>
                <w:rFonts w:eastAsia="Times New Roman"/>
                <w:sz w:val="22"/>
                <w:szCs w:val="22"/>
                <w:lang w:val="lv-LV" w:eastAsia="lv-LV"/>
              </w:rPr>
              <w:t xml:space="preserve"> </w:t>
            </w:r>
            <w:r w:rsidRPr="00653EE6">
              <w:rPr>
                <w:rFonts w:eastAsia="Times New Roman"/>
                <w:i/>
                <w:sz w:val="22"/>
                <w:szCs w:val="22"/>
                <w:lang w:val="lv-LV" w:eastAsia="lv-LV"/>
              </w:rPr>
              <w:t>euro</w:t>
            </w:r>
            <w:r w:rsidRPr="00653EE6">
              <w:rPr>
                <w:rFonts w:eastAsia="Times New Roman"/>
                <w:sz w:val="22"/>
                <w:szCs w:val="22"/>
                <w:lang w:val="lv-LV" w:eastAsia="lv-LV"/>
              </w:rPr>
              <w:t xml:space="preserve"> kalendāra gadā.</w:t>
            </w:r>
          </w:p>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br w:type="page"/>
              <w:t>(3) Kalendāra gadā maksājamās valsts nodevas summu sadala četrās vienādās daļās. Pirmo daļu komersants samaksā līdz 10. janvārim, otro – līdz 10. aprīlim, trešo – līdz 10. jūlijam, ceturto – līdz 10. oktobrim.</w:t>
            </w:r>
          </w:p>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(4) Kalendāra gadā maksājamās valsts nodevas summu var precizēt, veicot pēdējo maksājumu kalendāra gadā.</w:t>
            </w:r>
          </w:p>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 xml:space="preserve">(5) Komersants, kurš sāk sabiedrisko pakalpojumu sniegšanu, valsts nodevu par pirmo darbības gadu maksā no komersanta plānotā attiecīgā sabiedriskā pakalpojuma veida neto apgrozījuma pirmajā darbības gadā, bet ne </w:t>
            </w:r>
            <w:proofErr w:type="gramStart"/>
            <w:r w:rsidRPr="00653EE6">
              <w:rPr>
                <w:rFonts w:eastAsia="Times New Roman"/>
                <w:sz w:val="22"/>
                <w:szCs w:val="22"/>
                <w:lang w:val="lv-LV" w:eastAsia="lv-LV"/>
              </w:rPr>
              <w:t>mazāku kā</w:t>
            </w:r>
            <w:proofErr w:type="gramEnd"/>
            <w:r w:rsidRPr="00653EE6">
              <w:rPr>
                <w:rFonts w:eastAsia="Times New Roman"/>
                <w:sz w:val="22"/>
                <w:szCs w:val="22"/>
                <w:lang w:val="lv-LV" w:eastAsia="lv-LV"/>
              </w:rPr>
              <w:t xml:space="preserve"> </w:t>
            </w:r>
            <w:r w:rsidRPr="00492A7A">
              <w:rPr>
                <w:rFonts w:eastAsia="Times New Roman"/>
                <w:sz w:val="22"/>
                <w:szCs w:val="22"/>
                <w:u w:val="single"/>
                <w:lang w:val="lv-LV" w:eastAsia="lv-LV"/>
              </w:rPr>
              <w:t>400</w:t>
            </w:r>
            <w:r w:rsidRPr="00653EE6">
              <w:rPr>
                <w:rFonts w:eastAsia="Times New Roman"/>
                <w:sz w:val="22"/>
                <w:szCs w:val="22"/>
                <w:lang w:val="lv-LV" w:eastAsia="lv-LV"/>
              </w:rPr>
              <w:t> </w:t>
            </w:r>
            <w:r w:rsidRPr="00653EE6">
              <w:rPr>
                <w:rFonts w:eastAsia="Times New Roman"/>
                <w:i/>
                <w:sz w:val="22"/>
                <w:szCs w:val="22"/>
                <w:lang w:val="lv-LV" w:eastAsia="lv-LV"/>
              </w:rPr>
              <w:t>euro</w:t>
            </w:r>
            <w:r w:rsidRPr="00653EE6">
              <w:rPr>
                <w:rFonts w:eastAsia="Times New Roman"/>
                <w:sz w:val="22"/>
                <w:szCs w:val="22"/>
                <w:lang w:val="lv-LV" w:eastAsia="lv-LV"/>
              </w:rPr>
              <w:t xml:space="preserve"> kalendāra gadā. Valsts nodevu par otro darbības gadu komersants maksā no komersanta sniegto sabiedrisko pakalpojumu neto apgrozījuma iepriekšējā kalendāra gadā, bet ne </w:t>
            </w:r>
            <w:proofErr w:type="gramStart"/>
            <w:r w:rsidRPr="00653EE6">
              <w:rPr>
                <w:rFonts w:eastAsia="Times New Roman"/>
                <w:sz w:val="22"/>
                <w:szCs w:val="22"/>
                <w:lang w:val="lv-LV" w:eastAsia="lv-LV"/>
              </w:rPr>
              <w:t>mazāku kā</w:t>
            </w:r>
            <w:proofErr w:type="gramEnd"/>
            <w:r w:rsidRPr="00653EE6">
              <w:rPr>
                <w:rFonts w:eastAsia="Times New Roman"/>
                <w:sz w:val="22"/>
                <w:szCs w:val="22"/>
                <w:lang w:val="lv-LV" w:eastAsia="lv-LV"/>
              </w:rPr>
              <w:t xml:space="preserve"> </w:t>
            </w:r>
            <w:r w:rsidRPr="00492A7A">
              <w:rPr>
                <w:rFonts w:eastAsia="Times New Roman"/>
                <w:sz w:val="22"/>
                <w:szCs w:val="22"/>
                <w:u w:val="single"/>
                <w:lang w:val="lv-LV" w:eastAsia="lv-LV"/>
              </w:rPr>
              <w:t>400</w:t>
            </w:r>
            <w:r w:rsidRPr="00653EE6">
              <w:rPr>
                <w:rFonts w:eastAsia="Times New Roman"/>
                <w:sz w:val="22"/>
                <w:szCs w:val="22"/>
                <w:lang w:val="lv-LV" w:eastAsia="lv-LV"/>
              </w:rPr>
              <w:t xml:space="preserve"> </w:t>
            </w:r>
            <w:r w:rsidRPr="00653EE6">
              <w:rPr>
                <w:rFonts w:eastAsia="Times New Roman"/>
                <w:i/>
                <w:sz w:val="22"/>
                <w:szCs w:val="22"/>
                <w:lang w:val="lv-LV" w:eastAsia="lv-LV"/>
              </w:rPr>
              <w:t>euro</w:t>
            </w:r>
            <w:r w:rsidRPr="00653EE6">
              <w:rPr>
                <w:rFonts w:eastAsia="Times New Roman"/>
                <w:sz w:val="22"/>
                <w:szCs w:val="22"/>
                <w:lang w:val="lv-LV" w:eastAsia="lv-LV"/>
              </w:rPr>
              <w:t xml:space="preserve"> kalendāra gadā.</w:t>
            </w:r>
          </w:p>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 xml:space="preserve">(6) Ja komersants, kurš uzsācis sniegt sabiedriskos pakalpojumus, par pirmo darbības gadu saskaņā ar šā panta piekto daļu ir samaksājis valsts nodevu, kas nav mazāka par </w:t>
            </w:r>
            <w:r w:rsidRPr="00492A7A">
              <w:rPr>
                <w:rFonts w:eastAsia="Times New Roman"/>
                <w:sz w:val="22"/>
                <w:szCs w:val="22"/>
                <w:u w:val="single"/>
                <w:lang w:val="lv-LV" w:eastAsia="lv-LV"/>
              </w:rPr>
              <w:t>400</w:t>
            </w:r>
            <w:r w:rsidRPr="00653EE6">
              <w:rPr>
                <w:rFonts w:eastAsia="Times New Roman"/>
                <w:sz w:val="22"/>
                <w:szCs w:val="22"/>
                <w:lang w:val="lv-LV" w:eastAsia="lv-LV"/>
              </w:rPr>
              <w:t xml:space="preserve"> </w:t>
            </w:r>
            <w:r w:rsidRPr="00653EE6">
              <w:rPr>
                <w:rFonts w:eastAsia="Times New Roman"/>
                <w:i/>
                <w:sz w:val="22"/>
                <w:szCs w:val="22"/>
                <w:lang w:val="lv-LV" w:eastAsia="lv-LV"/>
              </w:rPr>
              <w:t>euro</w:t>
            </w:r>
            <w:r w:rsidRPr="00653EE6">
              <w:rPr>
                <w:rFonts w:eastAsia="Times New Roman"/>
                <w:sz w:val="22"/>
                <w:szCs w:val="22"/>
                <w:lang w:val="lv-LV" w:eastAsia="lv-LV"/>
              </w:rPr>
              <w:t xml:space="preserve"> kalendāra gadā, bet ir mazāka par šā panta pirmajā daļā noteikto likmi, tas </w:t>
            </w:r>
            <w:proofErr w:type="gramStart"/>
            <w:r w:rsidRPr="00653EE6">
              <w:rPr>
                <w:rFonts w:eastAsia="Times New Roman"/>
                <w:sz w:val="22"/>
                <w:szCs w:val="22"/>
                <w:lang w:val="lv-LV" w:eastAsia="lv-LV"/>
              </w:rPr>
              <w:t>līdz nākamā</w:t>
            </w:r>
            <w:proofErr w:type="gramEnd"/>
            <w:r w:rsidRPr="00653EE6">
              <w:rPr>
                <w:rFonts w:eastAsia="Times New Roman"/>
                <w:sz w:val="22"/>
                <w:szCs w:val="22"/>
                <w:lang w:val="lv-LV" w:eastAsia="lv-LV"/>
              </w:rPr>
              <w:t xml:space="preserve"> gada 30. janvārim samaksā atlikušo valsts nodevas </w:t>
            </w:r>
            <w:r w:rsidRPr="00653EE6">
              <w:rPr>
                <w:rFonts w:eastAsia="Times New Roman"/>
                <w:sz w:val="22"/>
                <w:szCs w:val="22"/>
                <w:lang w:val="lv-LV" w:eastAsia="lv-LV"/>
              </w:rPr>
              <w:lastRenderedPageBreak/>
              <w:t>summas daļu.</w:t>
            </w:r>
          </w:p>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(7) Ja attiecīgajā kalendāra gadā samaksātā valsts nodeva pārsniedz regulatora darbības nodrošināšanai nepieciešamās izmaksas, to ieskaita regulatora kontā Valsts kasē valsts nodevas uzkrājumos (turpmāk – uzkrājumi) un izmanto regulatora darbības nodrošināšanai nākamajos periodos saskaņā ar likumā par valsts budžetu apstiprināto regulatora budžetu.</w:t>
            </w:r>
          </w:p>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 xml:space="preserve">(8) Uzkrājumu apmērs </w:t>
            </w:r>
            <w:bookmarkStart w:id="2" w:name="_Hlk492388424"/>
            <w:r w:rsidRPr="00653EE6">
              <w:rPr>
                <w:rFonts w:eastAsia="Times New Roman"/>
                <w:sz w:val="22"/>
                <w:szCs w:val="22"/>
                <w:lang w:val="lv-LV" w:eastAsia="lv-LV"/>
              </w:rPr>
              <w:t xml:space="preserve">regulatora kontā Valsts kasē </w:t>
            </w:r>
            <w:bookmarkEnd w:id="2"/>
            <w:r w:rsidRPr="00653EE6">
              <w:rPr>
                <w:rFonts w:eastAsia="Times New Roman"/>
                <w:sz w:val="22"/>
                <w:szCs w:val="22"/>
                <w:lang w:val="lv-LV" w:eastAsia="lv-LV"/>
              </w:rPr>
              <w:t>gada beigās nedrīkst pārsniegt 25 % no regulatora aizpagājušā saimnieciskā gada faktisko valsts nodevas ieņēmumu apmēra.</w:t>
            </w:r>
          </w:p>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(9) </w:t>
            </w:r>
            <w:bookmarkStart w:id="3" w:name="_Hlk492388282"/>
            <w:proofErr w:type="gramStart"/>
            <w:r w:rsidRPr="00653EE6">
              <w:rPr>
                <w:rFonts w:eastAsia="Times New Roman"/>
                <w:sz w:val="22"/>
                <w:szCs w:val="22"/>
                <w:lang w:val="lv-LV" w:eastAsia="lv-LV"/>
              </w:rPr>
              <w:t>Ja faktiskais uzkrājumu apmērs regulatora kontā Valsts kasē gada beigās pārsniedz</w:t>
            </w:r>
            <w:proofErr w:type="gramEnd"/>
            <w:r w:rsidRPr="00653EE6">
              <w:rPr>
                <w:rFonts w:eastAsia="Times New Roman"/>
                <w:sz w:val="22"/>
                <w:szCs w:val="22"/>
                <w:lang w:val="lv-LV" w:eastAsia="lv-LV"/>
              </w:rPr>
              <w:t xml:space="preserve"> 25 % no regulatora aizpagājušā saimnieciskā gada faktisko valsts nodevas ieņēmumu apmēra, sabiedrisko pakalpojumu sniedzējam, kas attiecīgajā kalendāra gadā ir samaksājis valsts nodevu, nākamajā gadā samazina maksājamās valsts nodevas summu faktiskā uzkrājuma pārsnieguma apmērā proporcionāli iemaksātās valsts nodevas lielumam attiecīgajā gadā</w:t>
            </w:r>
            <w:bookmarkEnd w:id="3"/>
            <w:r w:rsidRPr="00653EE6">
              <w:rPr>
                <w:rFonts w:eastAsia="Times New Roman"/>
                <w:sz w:val="22"/>
                <w:szCs w:val="22"/>
                <w:lang w:val="lv-LV" w:eastAsia="lv-LV"/>
              </w:rPr>
              <w:t>.</w:t>
            </w:r>
          </w:p>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(10) Valsts nodevu administrē regulators saskaņā ar likumu "Par nodokļiem un nodevām".</w:t>
            </w:r>
          </w:p>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 xml:space="preserve">(11) Ja komersants šā panta </w:t>
            </w:r>
            <w:r w:rsidRPr="00653EE6">
              <w:rPr>
                <w:rFonts w:eastAsia="Times New Roman"/>
                <w:sz w:val="22"/>
                <w:szCs w:val="22"/>
                <w:lang w:val="lv-LV" w:eastAsia="lv-LV"/>
              </w:rPr>
              <w:lastRenderedPageBreak/>
              <w:t>trešajā, ceturtajā un sestajā daļā noteiktajā termiņā nav samaksājis valsts nodevu, tam aprēķina nokavējuma naudu saskaņā ar likumu "Par nodokļiem un nodevām".</w:t>
            </w:r>
          </w:p>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(12) Nepareizi iemaksātās valsts nodevas summas regulators atmaksā no regulatora budžeta 15 dienu laikā pēc valsts nodevas maksātāja pamatota iesnieguma saņemšanas regulatorā.</w:t>
            </w:r>
          </w:p>
          <w:p w:rsidR="00653EE6" w:rsidRPr="00A46D2F"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(13) Valsts nodevu iemaksā regulatora kontā Valsts kasē ar tāda maksājumu pakalpojumu sniedzēja starpniecību, kuram ir tiesības sniegt maksājumu pakalpojumus Maksājumu pakalpojumu un elektroniskās naudas likuma izpratnē."</w:t>
            </w:r>
          </w:p>
        </w:tc>
        <w:tc>
          <w:tcPr>
            <w:tcW w:w="567" w:type="dxa"/>
          </w:tcPr>
          <w:p w:rsidR="00653EE6" w:rsidRPr="00CD38E3" w:rsidRDefault="00CD38E3" w:rsidP="00CD38E3">
            <w:pPr>
              <w:pStyle w:val="NormalWeb"/>
              <w:spacing w:before="0" w:beforeAutospacing="0" w:after="0" w:afterAutospacing="0"/>
              <w:jc w:val="center"/>
              <w:rPr>
                <w:b/>
                <w:sz w:val="22"/>
                <w:szCs w:val="22"/>
                <w:lang w:val="lv-LV"/>
              </w:rPr>
            </w:pPr>
            <w:r>
              <w:rPr>
                <w:b/>
                <w:sz w:val="22"/>
                <w:szCs w:val="22"/>
                <w:lang w:val="lv-LV"/>
              </w:rPr>
              <w:lastRenderedPageBreak/>
              <w:t>1</w:t>
            </w:r>
            <w:bookmarkStart w:id="4" w:name="_GoBack"/>
            <w:bookmarkEnd w:id="4"/>
          </w:p>
        </w:tc>
        <w:tc>
          <w:tcPr>
            <w:tcW w:w="2835" w:type="dxa"/>
          </w:tcPr>
          <w:p w:rsidR="00492A7A" w:rsidRDefault="00492A7A" w:rsidP="00492A7A">
            <w:pPr>
              <w:pStyle w:val="NormalWeb"/>
              <w:spacing w:before="0" w:beforeAutospacing="0" w:after="0" w:afterAutospacing="0"/>
              <w:ind w:firstLine="567"/>
              <w:jc w:val="both"/>
              <w:rPr>
                <w:b/>
                <w:sz w:val="22"/>
                <w:szCs w:val="22"/>
                <w:u w:val="single"/>
                <w:lang w:val="lv-LV"/>
              </w:rPr>
            </w:pPr>
            <w:r w:rsidRPr="00492A7A">
              <w:rPr>
                <w:b/>
                <w:sz w:val="22"/>
                <w:szCs w:val="22"/>
                <w:u w:val="single"/>
                <w:lang w:val="lv-LV"/>
              </w:rPr>
              <w:t>Tautsaimniecības, agrārās, vides un reģionālās politikas komisija</w:t>
            </w:r>
          </w:p>
          <w:p w:rsidR="00492A7A" w:rsidRPr="00492A7A" w:rsidRDefault="00492A7A" w:rsidP="00492A7A">
            <w:pPr>
              <w:pStyle w:val="NormalWeb"/>
              <w:spacing w:before="0" w:beforeAutospacing="0" w:after="0" w:afterAutospacing="0"/>
              <w:ind w:firstLine="567"/>
              <w:jc w:val="both"/>
              <w:rPr>
                <w:sz w:val="22"/>
                <w:szCs w:val="22"/>
                <w:lang w:val="lv-LV"/>
              </w:rPr>
            </w:pPr>
            <w:r w:rsidRPr="00492A7A">
              <w:rPr>
                <w:sz w:val="22"/>
                <w:szCs w:val="22"/>
                <w:lang w:val="lv-LV"/>
              </w:rPr>
              <w:t xml:space="preserve"> Aizstāt likumprojekta 4. pantā (par likuma 31. panta izteikšanu jaunā redakcijā) skaitli “400” ar skaitli “200”.</w:t>
            </w:r>
            <w:r>
              <w:rPr>
                <w:rStyle w:val="FootnoteReference"/>
                <w:sz w:val="22"/>
                <w:szCs w:val="22"/>
                <w:lang w:val="lv-LV"/>
              </w:rPr>
              <w:footnoteReference w:id="1"/>
            </w:r>
          </w:p>
          <w:p w:rsidR="00492A7A" w:rsidRPr="00492A7A" w:rsidRDefault="00492A7A" w:rsidP="00507950">
            <w:pPr>
              <w:pStyle w:val="NormalWeb"/>
              <w:spacing w:before="0" w:beforeAutospacing="0" w:after="0" w:afterAutospacing="0"/>
              <w:ind w:firstLine="567"/>
              <w:jc w:val="both"/>
              <w:rPr>
                <w:sz w:val="22"/>
                <w:szCs w:val="22"/>
                <w:lang w:val="lv-LV"/>
              </w:rPr>
            </w:pPr>
          </w:p>
        </w:tc>
        <w:tc>
          <w:tcPr>
            <w:tcW w:w="1418" w:type="dxa"/>
          </w:tcPr>
          <w:p w:rsidR="00653EE6" w:rsidRPr="00F7619E" w:rsidRDefault="00653EE6" w:rsidP="00507950">
            <w:pPr>
              <w:pStyle w:val="NormalWeb"/>
              <w:spacing w:before="0" w:beforeAutospacing="0" w:after="0" w:afterAutospacing="0"/>
              <w:ind w:firstLine="567"/>
              <w:jc w:val="both"/>
              <w:rPr>
                <w:sz w:val="22"/>
                <w:szCs w:val="22"/>
                <w:lang w:val="lv-LV"/>
              </w:rPr>
            </w:pPr>
          </w:p>
        </w:tc>
        <w:tc>
          <w:tcPr>
            <w:tcW w:w="1418" w:type="dxa"/>
          </w:tcPr>
          <w:p w:rsidR="00653EE6" w:rsidRPr="00F7619E" w:rsidRDefault="00653EE6" w:rsidP="00507950">
            <w:pPr>
              <w:pStyle w:val="NormalWeb"/>
              <w:spacing w:before="0" w:beforeAutospacing="0" w:after="0" w:afterAutospacing="0"/>
              <w:ind w:firstLine="567"/>
              <w:jc w:val="both"/>
              <w:rPr>
                <w:sz w:val="22"/>
                <w:szCs w:val="22"/>
                <w:lang w:val="lv-LV"/>
              </w:rPr>
            </w:pPr>
          </w:p>
        </w:tc>
      </w:tr>
      <w:tr w:rsidR="00653EE6" w:rsidRPr="002904C8" w:rsidTr="00DF3BCB">
        <w:tc>
          <w:tcPr>
            <w:tcW w:w="2835" w:type="dxa"/>
            <w:shd w:val="clear" w:color="auto" w:fill="auto"/>
          </w:tcPr>
          <w:p w:rsidR="000570B7" w:rsidRPr="000570B7" w:rsidRDefault="000570B7" w:rsidP="00507950">
            <w:pPr>
              <w:ind w:firstLine="567"/>
              <w:jc w:val="both"/>
              <w:rPr>
                <w:b/>
                <w:sz w:val="22"/>
                <w:szCs w:val="22"/>
                <w:lang w:val="lv-LV"/>
              </w:rPr>
            </w:pPr>
            <w:r w:rsidRPr="000570B7">
              <w:rPr>
                <w:b/>
                <w:sz w:val="22"/>
                <w:szCs w:val="22"/>
                <w:lang w:val="lv-LV"/>
              </w:rPr>
              <w:lastRenderedPageBreak/>
              <w:t>Pārejas noteikumi</w:t>
            </w:r>
          </w:p>
          <w:p w:rsidR="00653EE6" w:rsidRPr="00F7619E" w:rsidRDefault="000570B7" w:rsidP="00507950">
            <w:pPr>
              <w:ind w:firstLine="567"/>
              <w:jc w:val="both"/>
              <w:rPr>
                <w:sz w:val="22"/>
                <w:szCs w:val="22"/>
                <w:lang w:val="lv-LV"/>
              </w:rPr>
            </w:pPr>
            <w:r w:rsidRPr="000570B7">
              <w:rPr>
                <w:sz w:val="22"/>
                <w:szCs w:val="22"/>
                <w:lang w:val="lv-LV"/>
              </w:rPr>
              <w:t>26. Šā likuma VII nodaļas “Strīdu izskatīšana” jaunā redakcija stājas spēkā vienlaikus ar attiecīgajiem grozījumiem Civilprocesa likumā.</w:t>
            </w:r>
          </w:p>
        </w:tc>
        <w:tc>
          <w:tcPr>
            <w:tcW w:w="2835" w:type="dxa"/>
            <w:shd w:val="clear" w:color="auto" w:fill="auto"/>
          </w:tcPr>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5. Papildināt pārejas noteikumus ar 27. punktu šādā redakcijā:</w:t>
            </w:r>
          </w:p>
          <w:p w:rsidR="00653EE6" w:rsidRPr="00A46D2F"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"27. Ja līdz 2018. gada 1. janvārim samaksātā valsts nodeva pārsniedz regulatora darbības nodrošināšanai 2017. gadā nepieciešamās izmaksas, to 2018. gadā ieskaita šā likuma 31. panta septītajā daļā minētājos uzkrājumos un izmanto regulatora darbības nodrošināšanai nākamajos periodos saskaņā ar likumā par valsts budžetu apstiprināto regulatora budžetu."</w:t>
            </w:r>
          </w:p>
        </w:tc>
        <w:tc>
          <w:tcPr>
            <w:tcW w:w="567" w:type="dxa"/>
          </w:tcPr>
          <w:p w:rsidR="00653EE6" w:rsidRPr="00CD38E3" w:rsidRDefault="00653EE6" w:rsidP="00CD38E3">
            <w:pPr>
              <w:pStyle w:val="NormalWeb"/>
              <w:spacing w:before="0" w:beforeAutospacing="0" w:after="0" w:afterAutospacing="0"/>
              <w:jc w:val="center"/>
              <w:rPr>
                <w:b/>
                <w:sz w:val="22"/>
                <w:szCs w:val="22"/>
                <w:lang w:val="lv-LV"/>
              </w:rPr>
            </w:pPr>
          </w:p>
        </w:tc>
        <w:tc>
          <w:tcPr>
            <w:tcW w:w="2835" w:type="dxa"/>
          </w:tcPr>
          <w:p w:rsidR="00653EE6" w:rsidRPr="00F7619E" w:rsidRDefault="00653EE6" w:rsidP="00507950">
            <w:pPr>
              <w:pStyle w:val="NormalWeb"/>
              <w:spacing w:before="0" w:beforeAutospacing="0" w:after="0" w:afterAutospacing="0"/>
              <w:ind w:firstLine="567"/>
              <w:jc w:val="both"/>
              <w:rPr>
                <w:sz w:val="22"/>
                <w:szCs w:val="22"/>
                <w:lang w:val="lv-LV"/>
              </w:rPr>
            </w:pPr>
          </w:p>
        </w:tc>
        <w:tc>
          <w:tcPr>
            <w:tcW w:w="1418" w:type="dxa"/>
          </w:tcPr>
          <w:p w:rsidR="00653EE6" w:rsidRPr="00F7619E" w:rsidRDefault="00653EE6" w:rsidP="00507950">
            <w:pPr>
              <w:pStyle w:val="NormalWeb"/>
              <w:spacing w:before="0" w:beforeAutospacing="0" w:after="0" w:afterAutospacing="0"/>
              <w:ind w:firstLine="567"/>
              <w:jc w:val="both"/>
              <w:rPr>
                <w:sz w:val="22"/>
                <w:szCs w:val="22"/>
                <w:lang w:val="lv-LV"/>
              </w:rPr>
            </w:pPr>
          </w:p>
        </w:tc>
        <w:tc>
          <w:tcPr>
            <w:tcW w:w="1418" w:type="dxa"/>
          </w:tcPr>
          <w:p w:rsidR="00653EE6" w:rsidRPr="00F7619E" w:rsidRDefault="00653EE6" w:rsidP="00507950">
            <w:pPr>
              <w:pStyle w:val="NormalWeb"/>
              <w:spacing w:before="0" w:beforeAutospacing="0" w:after="0" w:afterAutospacing="0"/>
              <w:ind w:firstLine="567"/>
              <w:jc w:val="both"/>
              <w:rPr>
                <w:sz w:val="22"/>
                <w:szCs w:val="22"/>
                <w:lang w:val="lv-LV"/>
              </w:rPr>
            </w:pPr>
          </w:p>
        </w:tc>
      </w:tr>
      <w:tr w:rsidR="00653EE6" w:rsidRPr="002904C8" w:rsidTr="00DF3BCB">
        <w:tc>
          <w:tcPr>
            <w:tcW w:w="2835" w:type="dxa"/>
            <w:shd w:val="clear" w:color="auto" w:fill="auto"/>
          </w:tcPr>
          <w:p w:rsidR="00653EE6" w:rsidRPr="00F7619E" w:rsidRDefault="00653EE6" w:rsidP="00507950">
            <w:pPr>
              <w:ind w:firstLine="567"/>
              <w:jc w:val="both"/>
              <w:rPr>
                <w:sz w:val="22"/>
                <w:szCs w:val="22"/>
                <w:lang w:val="lv-LV"/>
              </w:rPr>
            </w:pPr>
          </w:p>
        </w:tc>
        <w:tc>
          <w:tcPr>
            <w:tcW w:w="2835" w:type="dxa"/>
            <w:shd w:val="clear" w:color="auto" w:fill="auto"/>
          </w:tcPr>
          <w:p w:rsidR="00653EE6" w:rsidRPr="00653EE6" w:rsidRDefault="00653EE6" w:rsidP="00507950">
            <w:pPr>
              <w:tabs>
                <w:tab w:val="left" w:pos="540"/>
                <w:tab w:val="left" w:pos="900"/>
              </w:tabs>
              <w:ind w:firstLine="567"/>
              <w:jc w:val="both"/>
              <w:rPr>
                <w:rFonts w:eastAsia="Times New Roman"/>
                <w:sz w:val="22"/>
                <w:szCs w:val="22"/>
                <w:lang w:val="lv-LV" w:eastAsia="lv-LV"/>
              </w:rPr>
            </w:pPr>
            <w:r w:rsidRPr="00653EE6">
              <w:rPr>
                <w:rFonts w:eastAsia="Times New Roman"/>
                <w:sz w:val="22"/>
                <w:szCs w:val="22"/>
                <w:lang w:val="lv-LV" w:eastAsia="lv-LV"/>
              </w:rPr>
              <w:t>Likums stājas spēkā 2018. gada 1. janvārī.</w:t>
            </w:r>
          </w:p>
        </w:tc>
        <w:tc>
          <w:tcPr>
            <w:tcW w:w="567" w:type="dxa"/>
          </w:tcPr>
          <w:p w:rsidR="00653EE6" w:rsidRPr="00CD38E3" w:rsidRDefault="00653EE6" w:rsidP="00CD38E3">
            <w:pPr>
              <w:pStyle w:val="NormalWeb"/>
              <w:spacing w:before="0" w:beforeAutospacing="0" w:after="0" w:afterAutospacing="0"/>
              <w:jc w:val="center"/>
              <w:rPr>
                <w:b/>
                <w:sz w:val="22"/>
                <w:szCs w:val="22"/>
                <w:lang w:val="lv-LV"/>
              </w:rPr>
            </w:pPr>
          </w:p>
        </w:tc>
        <w:tc>
          <w:tcPr>
            <w:tcW w:w="2835" w:type="dxa"/>
          </w:tcPr>
          <w:p w:rsidR="00653EE6" w:rsidRPr="00F7619E" w:rsidRDefault="00653EE6" w:rsidP="00507950">
            <w:pPr>
              <w:pStyle w:val="NormalWeb"/>
              <w:spacing w:before="0" w:beforeAutospacing="0" w:after="0" w:afterAutospacing="0"/>
              <w:ind w:firstLine="567"/>
              <w:jc w:val="both"/>
              <w:rPr>
                <w:sz w:val="22"/>
                <w:szCs w:val="22"/>
                <w:lang w:val="lv-LV"/>
              </w:rPr>
            </w:pPr>
          </w:p>
        </w:tc>
        <w:tc>
          <w:tcPr>
            <w:tcW w:w="1418" w:type="dxa"/>
          </w:tcPr>
          <w:p w:rsidR="00653EE6" w:rsidRPr="00F7619E" w:rsidRDefault="00653EE6" w:rsidP="00507950">
            <w:pPr>
              <w:pStyle w:val="NormalWeb"/>
              <w:spacing w:before="0" w:beforeAutospacing="0" w:after="0" w:afterAutospacing="0"/>
              <w:ind w:firstLine="567"/>
              <w:jc w:val="both"/>
              <w:rPr>
                <w:sz w:val="22"/>
                <w:szCs w:val="22"/>
                <w:lang w:val="lv-LV"/>
              </w:rPr>
            </w:pPr>
          </w:p>
        </w:tc>
        <w:tc>
          <w:tcPr>
            <w:tcW w:w="1418" w:type="dxa"/>
          </w:tcPr>
          <w:p w:rsidR="00653EE6" w:rsidRPr="00F7619E" w:rsidRDefault="00653EE6" w:rsidP="00507950">
            <w:pPr>
              <w:pStyle w:val="NormalWeb"/>
              <w:spacing w:before="0" w:beforeAutospacing="0" w:after="0" w:afterAutospacing="0"/>
              <w:ind w:firstLine="567"/>
              <w:jc w:val="both"/>
              <w:rPr>
                <w:sz w:val="22"/>
                <w:szCs w:val="22"/>
                <w:lang w:val="lv-LV"/>
              </w:rPr>
            </w:pPr>
          </w:p>
        </w:tc>
      </w:tr>
    </w:tbl>
    <w:p w:rsidR="00694A05" w:rsidRPr="00FC2E43" w:rsidRDefault="00694A05" w:rsidP="00507950">
      <w:pPr>
        <w:ind w:firstLine="567"/>
        <w:rPr>
          <w:lang w:val="lv-LV"/>
        </w:rPr>
      </w:pPr>
    </w:p>
    <w:sectPr w:rsidR="00694A05" w:rsidRPr="00FC2E43" w:rsidSect="00C46C8B">
      <w:footerReference w:type="even" r:id="rId9"/>
      <w:footerReference w:type="default" r:id="rId10"/>
      <w:type w:val="continuous"/>
      <w:pgSz w:w="16840" w:h="11900"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92D" w:rsidRDefault="0092792D" w:rsidP="00733790">
      <w:r>
        <w:separator/>
      </w:r>
    </w:p>
  </w:endnote>
  <w:endnote w:type="continuationSeparator" w:id="0">
    <w:p w:rsidR="0092792D" w:rsidRDefault="0092792D" w:rsidP="0073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01" w:rsidRDefault="000B4301" w:rsidP="00733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4301" w:rsidRDefault="000B4301" w:rsidP="007337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01" w:rsidRDefault="000B4301" w:rsidP="00733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8E3">
      <w:rPr>
        <w:rStyle w:val="PageNumber"/>
        <w:noProof/>
      </w:rPr>
      <w:t>2</w:t>
    </w:r>
    <w:r>
      <w:rPr>
        <w:rStyle w:val="PageNumber"/>
      </w:rPr>
      <w:fldChar w:fldCharType="end"/>
    </w:r>
  </w:p>
  <w:p w:rsidR="000B4301" w:rsidRDefault="000B4301" w:rsidP="007337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92D" w:rsidRDefault="0092792D" w:rsidP="00733790">
      <w:r>
        <w:separator/>
      </w:r>
    </w:p>
  </w:footnote>
  <w:footnote w:type="continuationSeparator" w:id="0">
    <w:p w:rsidR="0092792D" w:rsidRDefault="0092792D" w:rsidP="00733790">
      <w:r>
        <w:continuationSeparator/>
      </w:r>
    </w:p>
  </w:footnote>
  <w:footnote w:id="1">
    <w:p w:rsidR="00492A7A" w:rsidRPr="00492A7A" w:rsidRDefault="00492A7A" w:rsidP="00492A7A">
      <w:pPr>
        <w:pStyle w:val="FootnoteText"/>
        <w:rPr>
          <w:i/>
          <w:lang w:val="lv-LV"/>
        </w:rPr>
      </w:pPr>
      <w:r>
        <w:rPr>
          <w:rStyle w:val="FootnoteReference"/>
        </w:rPr>
        <w:footnoteRef/>
      </w:r>
      <w:r>
        <w:t xml:space="preserve"> </w:t>
      </w:r>
      <w:r w:rsidRPr="00492A7A">
        <w:rPr>
          <w:i/>
          <w:lang w:val="lv-LV"/>
        </w:rPr>
        <w:t xml:space="preserve">Likumprojekta anotācijā nav analizētas sekas, kas notiks ar tiem pakalpojumu sniedzējiem, kuri pakalpojumus sniedz, bet to neto apgrozījums nesasniedz 200 000 euro gadā. Komisijas ieskatā, nosakot neproporcionāli augstu valsts nodevas likmi šiem pakalpojumu sniedzējiem, tiks uzlikts nesamērīgs slogs, kas būtiski ietekmēs sniegtā pakalpojuma cenu, kā rezultātā tiks pārtraukta pakalpojuma sniegšana lietotājiem. </w:t>
      </w:r>
      <w:r w:rsidR="00CD38E3">
        <w:rPr>
          <w:i/>
          <w:lang w:val="lv-LV"/>
        </w:rPr>
        <w:t>(skat.</w:t>
      </w:r>
      <w:r w:rsidR="00CD38E3" w:rsidRPr="00CD38E3">
        <w:rPr>
          <w:i/>
          <w:lang w:val="lv-LV"/>
        </w:rPr>
        <w:t>Latvijas Elektronisko komunikāciju Asociācijas vēstule</w:t>
      </w:r>
      <w:r w:rsidR="00CD38E3">
        <w:rPr>
          <w:i/>
          <w:lang w:val="lv-LV"/>
        </w:rPr>
        <w:t xml:space="preserve"> Tautsaimniecibas komisijai un EM 2017.23.10. Nr.23/10-2)</w:t>
      </w:r>
    </w:p>
    <w:p w:rsidR="00492A7A" w:rsidRPr="00492A7A" w:rsidRDefault="00492A7A">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70C4"/>
    <w:multiLevelType w:val="multilevel"/>
    <w:tmpl w:val="F3F003A8"/>
    <w:lvl w:ilvl="0">
      <w:start w:val="1"/>
      <w:numFmt w:val="decimal"/>
      <w:pStyle w:val="1krta"/>
      <w:lvlText w:val="%1."/>
      <w:lvlJc w:val="left"/>
      <w:pPr>
        <w:tabs>
          <w:tab w:val="num" w:pos="284"/>
        </w:tabs>
        <w:ind w:left="284" w:hanging="426"/>
      </w:pPr>
      <w:rPr>
        <w:rFonts w:ascii="Times New Roman" w:hAnsi="Times New Roman" w:hint="default"/>
        <w:b/>
        <w:bCs/>
        <w:i w:val="0"/>
        <w:iCs w:val="0"/>
        <w:sz w:val="24"/>
        <w:szCs w:val="24"/>
      </w:rPr>
    </w:lvl>
    <w:lvl w:ilvl="1">
      <w:start w:val="1"/>
      <w:numFmt w:val="decimal"/>
      <w:pStyle w:val="2krta"/>
      <w:lvlText w:val="%1.%2."/>
      <w:lvlJc w:val="left"/>
      <w:pPr>
        <w:tabs>
          <w:tab w:val="num" w:pos="992"/>
        </w:tabs>
        <w:ind w:left="992" w:hanging="708"/>
      </w:pPr>
      <w:rPr>
        <w:rFonts w:ascii="Times New Roman" w:hAnsi="Times New Roman" w:hint="default"/>
        <w:b w:val="0"/>
        <w:bCs w:val="0"/>
        <w:i w:val="0"/>
        <w:iCs w:val="0"/>
        <w:sz w:val="24"/>
        <w:szCs w:val="24"/>
      </w:rPr>
    </w:lvl>
    <w:lvl w:ilvl="2">
      <w:start w:val="1"/>
      <w:numFmt w:val="decimal"/>
      <w:pStyle w:val="3krta"/>
      <w:lvlText w:val="%1.%2.%3."/>
      <w:lvlJc w:val="left"/>
      <w:pPr>
        <w:tabs>
          <w:tab w:val="num" w:pos="1701"/>
        </w:tabs>
        <w:ind w:left="1701" w:hanging="709"/>
      </w:pPr>
      <w:rPr>
        <w:rFonts w:ascii="Times New Roman" w:hAnsi="Times New Roman"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90"/>
    <w:rsid w:val="000372A6"/>
    <w:rsid w:val="000570B7"/>
    <w:rsid w:val="000A4C97"/>
    <w:rsid w:val="000B4301"/>
    <w:rsid w:val="00166ACF"/>
    <w:rsid w:val="00192C4F"/>
    <w:rsid w:val="00197028"/>
    <w:rsid w:val="0025448B"/>
    <w:rsid w:val="00277DC6"/>
    <w:rsid w:val="002904C8"/>
    <w:rsid w:val="002F7B53"/>
    <w:rsid w:val="003439AC"/>
    <w:rsid w:val="00401800"/>
    <w:rsid w:val="00455309"/>
    <w:rsid w:val="00492A7A"/>
    <w:rsid w:val="00497754"/>
    <w:rsid w:val="005001F6"/>
    <w:rsid w:val="00507950"/>
    <w:rsid w:val="00555B25"/>
    <w:rsid w:val="005677BC"/>
    <w:rsid w:val="00653EE6"/>
    <w:rsid w:val="006722EC"/>
    <w:rsid w:val="00681A10"/>
    <w:rsid w:val="00694A05"/>
    <w:rsid w:val="00733790"/>
    <w:rsid w:val="00770D10"/>
    <w:rsid w:val="007853BE"/>
    <w:rsid w:val="00785FFB"/>
    <w:rsid w:val="007A184A"/>
    <w:rsid w:val="007C4428"/>
    <w:rsid w:val="007F7598"/>
    <w:rsid w:val="00824041"/>
    <w:rsid w:val="00836484"/>
    <w:rsid w:val="00865BC8"/>
    <w:rsid w:val="00871B44"/>
    <w:rsid w:val="0092792D"/>
    <w:rsid w:val="00941FB3"/>
    <w:rsid w:val="00950DA3"/>
    <w:rsid w:val="0099746E"/>
    <w:rsid w:val="009A7585"/>
    <w:rsid w:val="00A164B2"/>
    <w:rsid w:val="00A46D2F"/>
    <w:rsid w:val="00A51B34"/>
    <w:rsid w:val="00B11F94"/>
    <w:rsid w:val="00B17130"/>
    <w:rsid w:val="00C126E4"/>
    <w:rsid w:val="00C45614"/>
    <w:rsid w:val="00C46C8B"/>
    <w:rsid w:val="00C964A2"/>
    <w:rsid w:val="00CA5C7D"/>
    <w:rsid w:val="00CD38E3"/>
    <w:rsid w:val="00CD60D5"/>
    <w:rsid w:val="00D41A85"/>
    <w:rsid w:val="00DE519D"/>
    <w:rsid w:val="00DF28E9"/>
    <w:rsid w:val="00DF3BCB"/>
    <w:rsid w:val="00E54625"/>
    <w:rsid w:val="00E812A1"/>
    <w:rsid w:val="00EF17D4"/>
    <w:rsid w:val="00F42668"/>
    <w:rsid w:val="00F7619E"/>
    <w:rsid w:val="00FC2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94A05"/>
    <w:rPr>
      <w:rFonts w:ascii="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krta">
    <w:name w:val="1.kārta"/>
    <w:basedOn w:val="Normal"/>
    <w:qFormat/>
    <w:rsid w:val="007A184A"/>
    <w:pPr>
      <w:numPr>
        <w:numId w:val="3"/>
      </w:numPr>
      <w:spacing w:before="240" w:line="276" w:lineRule="auto"/>
      <w:ind w:right="-62"/>
      <w:jc w:val="both"/>
    </w:pPr>
    <w:rPr>
      <w:rFonts w:eastAsia="Times New Roman"/>
      <w:b/>
      <w:lang w:val="lv-LV"/>
    </w:rPr>
  </w:style>
  <w:style w:type="paragraph" w:customStyle="1" w:styleId="2krta">
    <w:name w:val="2.kārta"/>
    <w:basedOn w:val="Normal"/>
    <w:qFormat/>
    <w:rsid w:val="007A184A"/>
    <w:pPr>
      <w:numPr>
        <w:ilvl w:val="1"/>
        <w:numId w:val="3"/>
      </w:numPr>
      <w:spacing w:before="120" w:line="276" w:lineRule="auto"/>
      <w:ind w:right="-62"/>
      <w:jc w:val="both"/>
    </w:pPr>
    <w:rPr>
      <w:rFonts w:eastAsia="Times New Roman"/>
      <w:szCs w:val="20"/>
      <w:lang w:val="lv-LV"/>
    </w:rPr>
  </w:style>
  <w:style w:type="paragraph" w:customStyle="1" w:styleId="3krta">
    <w:name w:val="3.kārta"/>
    <w:basedOn w:val="Normal"/>
    <w:qFormat/>
    <w:rsid w:val="007A184A"/>
    <w:pPr>
      <w:numPr>
        <w:ilvl w:val="2"/>
        <w:numId w:val="3"/>
      </w:numPr>
      <w:spacing w:before="60" w:line="276" w:lineRule="auto"/>
      <w:ind w:right="-62"/>
      <w:jc w:val="both"/>
    </w:pPr>
    <w:rPr>
      <w:rFonts w:eastAsia="Times New Roman"/>
      <w:szCs w:val="20"/>
      <w:lang w:val="lv-LV"/>
    </w:rPr>
  </w:style>
  <w:style w:type="paragraph" w:styleId="Footer">
    <w:name w:val="footer"/>
    <w:basedOn w:val="Normal"/>
    <w:link w:val="FooterChar"/>
    <w:uiPriority w:val="99"/>
    <w:unhideWhenUsed/>
    <w:rsid w:val="00733790"/>
    <w:pPr>
      <w:tabs>
        <w:tab w:val="center" w:pos="4320"/>
        <w:tab w:val="right" w:pos="8640"/>
      </w:tabs>
    </w:pPr>
  </w:style>
  <w:style w:type="character" w:customStyle="1" w:styleId="FooterChar">
    <w:name w:val="Footer Char"/>
    <w:basedOn w:val="DefaultParagraphFont"/>
    <w:link w:val="Footer"/>
    <w:uiPriority w:val="99"/>
    <w:rsid w:val="00733790"/>
  </w:style>
  <w:style w:type="character" w:styleId="PageNumber">
    <w:name w:val="page number"/>
    <w:uiPriority w:val="99"/>
    <w:semiHidden/>
    <w:unhideWhenUsed/>
    <w:rsid w:val="00733790"/>
  </w:style>
  <w:style w:type="table" w:styleId="TableGrid">
    <w:name w:val="Table Grid"/>
    <w:basedOn w:val="TableNormal"/>
    <w:uiPriority w:val="59"/>
    <w:rsid w:val="0069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7619E"/>
    <w:pPr>
      <w:spacing w:before="100" w:beforeAutospacing="1" w:after="100" w:afterAutospacing="1"/>
    </w:pPr>
    <w:rPr>
      <w:rFonts w:eastAsia="Times New Roman"/>
    </w:rPr>
  </w:style>
  <w:style w:type="character" w:styleId="Hyperlink">
    <w:name w:val="Hyperlink"/>
    <w:uiPriority w:val="99"/>
    <w:unhideWhenUsed/>
    <w:rsid w:val="005677BC"/>
    <w:rPr>
      <w:color w:val="0000FF"/>
      <w:u w:val="single"/>
    </w:rPr>
  </w:style>
  <w:style w:type="paragraph" w:styleId="EndnoteText">
    <w:name w:val="endnote text"/>
    <w:basedOn w:val="Normal"/>
    <w:link w:val="EndnoteTextChar"/>
    <w:uiPriority w:val="99"/>
    <w:semiHidden/>
    <w:unhideWhenUsed/>
    <w:rsid w:val="005677BC"/>
    <w:rPr>
      <w:sz w:val="20"/>
      <w:szCs w:val="20"/>
    </w:rPr>
  </w:style>
  <w:style w:type="character" w:customStyle="1" w:styleId="EndnoteTextChar">
    <w:name w:val="Endnote Text Char"/>
    <w:link w:val="EndnoteText"/>
    <w:uiPriority w:val="99"/>
    <w:semiHidden/>
    <w:rsid w:val="005677BC"/>
    <w:rPr>
      <w:rFonts w:ascii="Times New Roman" w:hAnsi="Times New Roman"/>
      <w:lang w:val="en-US" w:eastAsia="en-US"/>
    </w:rPr>
  </w:style>
  <w:style w:type="character" w:styleId="EndnoteReference">
    <w:name w:val="endnote reference"/>
    <w:uiPriority w:val="99"/>
    <w:semiHidden/>
    <w:unhideWhenUsed/>
    <w:rsid w:val="005677BC"/>
    <w:rPr>
      <w:vertAlign w:val="superscript"/>
    </w:rPr>
  </w:style>
  <w:style w:type="paragraph" w:styleId="FootnoteText">
    <w:name w:val="footnote text"/>
    <w:basedOn w:val="Normal"/>
    <w:link w:val="FootnoteTextChar"/>
    <w:uiPriority w:val="99"/>
    <w:semiHidden/>
    <w:unhideWhenUsed/>
    <w:rsid w:val="00492A7A"/>
    <w:rPr>
      <w:sz w:val="20"/>
      <w:szCs w:val="20"/>
    </w:rPr>
  </w:style>
  <w:style w:type="character" w:customStyle="1" w:styleId="FootnoteTextChar">
    <w:name w:val="Footnote Text Char"/>
    <w:basedOn w:val="DefaultParagraphFont"/>
    <w:link w:val="FootnoteText"/>
    <w:uiPriority w:val="99"/>
    <w:semiHidden/>
    <w:rsid w:val="00492A7A"/>
    <w:rPr>
      <w:rFonts w:ascii="Times New Roman" w:hAnsi="Times New Roman"/>
      <w:lang w:val="en-US" w:eastAsia="en-US"/>
    </w:rPr>
  </w:style>
  <w:style w:type="character" w:styleId="FootnoteReference">
    <w:name w:val="footnote reference"/>
    <w:basedOn w:val="DefaultParagraphFont"/>
    <w:uiPriority w:val="99"/>
    <w:semiHidden/>
    <w:unhideWhenUsed/>
    <w:rsid w:val="00492A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94A05"/>
    <w:rPr>
      <w:rFonts w:ascii="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krta">
    <w:name w:val="1.kārta"/>
    <w:basedOn w:val="Normal"/>
    <w:qFormat/>
    <w:rsid w:val="007A184A"/>
    <w:pPr>
      <w:numPr>
        <w:numId w:val="3"/>
      </w:numPr>
      <w:spacing w:before="240" w:line="276" w:lineRule="auto"/>
      <w:ind w:right="-62"/>
      <w:jc w:val="both"/>
    </w:pPr>
    <w:rPr>
      <w:rFonts w:eastAsia="Times New Roman"/>
      <w:b/>
      <w:lang w:val="lv-LV"/>
    </w:rPr>
  </w:style>
  <w:style w:type="paragraph" w:customStyle="1" w:styleId="2krta">
    <w:name w:val="2.kārta"/>
    <w:basedOn w:val="Normal"/>
    <w:qFormat/>
    <w:rsid w:val="007A184A"/>
    <w:pPr>
      <w:numPr>
        <w:ilvl w:val="1"/>
        <w:numId w:val="3"/>
      </w:numPr>
      <w:spacing w:before="120" w:line="276" w:lineRule="auto"/>
      <w:ind w:right="-62"/>
      <w:jc w:val="both"/>
    </w:pPr>
    <w:rPr>
      <w:rFonts w:eastAsia="Times New Roman"/>
      <w:szCs w:val="20"/>
      <w:lang w:val="lv-LV"/>
    </w:rPr>
  </w:style>
  <w:style w:type="paragraph" w:customStyle="1" w:styleId="3krta">
    <w:name w:val="3.kārta"/>
    <w:basedOn w:val="Normal"/>
    <w:qFormat/>
    <w:rsid w:val="007A184A"/>
    <w:pPr>
      <w:numPr>
        <w:ilvl w:val="2"/>
        <w:numId w:val="3"/>
      </w:numPr>
      <w:spacing w:before="60" w:line="276" w:lineRule="auto"/>
      <w:ind w:right="-62"/>
      <w:jc w:val="both"/>
    </w:pPr>
    <w:rPr>
      <w:rFonts w:eastAsia="Times New Roman"/>
      <w:szCs w:val="20"/>
      <w:lang w:val="lv-LV"/>
    </w:rPr>
  </w:style>
  <w:style w:type="paragraph" w:styleId="Footer">
    <w:name w:val="footer"/>
    <w:basedOn w:val="Normal"/>
    <w:link w:val="FooterChar"/>
    <w:uiPriority w:val="99"/>
    <w:unhideWhenUsed/>
    <w:rsid w:val="00733790"/>
    <w:pPr>
      <w:tabs>
        <w:tab w:val="center" w:pos="4320"/>
        <w:tab w:val="right" w:pos="8640"/>
      </w:tabs>
    </w:pPr>
  </w:style>
  <w:style w:type="character" w:customStyle="1" w:styleId="FooterChar">
    <w:name w:val="Footer Char"/>
    <w:basedOn w:val="DefaultParagraphFont"/>
    <w:link w:val="Footer"/>
    <w:uiPriority w:val="99"/>
    <w:rsid w:val="00733790"/>
  </w:style>
  <w:style w:type="character" w:styleId="PageNumber">
    <w:name w:val="page number"/>
    <w:uiPriority w:val="99"/>
    <w:semiHidden/>
    <w:unhideWhenUsed/>
    <w:rsid w:val="00733790"/>
  </w:style>
  <w:style w:type="table" w:styleId="TableGrid">
    <w:name w:val="Table Grid"/>
    <w:basedOn w:val="TableNormal"/>
    <w:uiPriority w:val="59"/>
    <w:rsid w:val="0069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7619E"/>
    <w:pPr>
      <w:spacing w:before="100" w:beforeAutospacing="1" w:after="100" w:afterAutospacing="1"/>
    </w:pPr>
    <w:rPr>
      <w:rFonts w:eastAsia="Times New Roman"/>
    </w:rPr>
  </w:style>
  <w:style w:type="character" w:styleId="Hyperlink">
    <w:name w:val="Hyperlink"/>
    <w:uiPriority w:val="99"/>
    <w:unhideWhenUsed/>
    <w:rsid w:val="005677BC"/>
    <w:rPr>
      <w:color w:val="0000FF"/>
      <w:u w:val="single"/>
    </w:rPr>
  </w:style>
  <w:style w:type="paragraph" w:styleId="EndnoteText">
    <w:name w:val="endnote text"/>
    <w:basedOn w:val="Normal"/>
    <w:link w:val="EndnoteTextChar"/>
    <w:uiPriority w:val="99"/>
    <w:semiHidden/>
    <w:unhideWhenUsed/>
    <w:rsid w:val="005677BC"/>
    <w:rPr>
      <w:sz w:val="20"/>
      <w:szCs w:val="20"/>
    </w:rPr>
  </w:style>
  <w:style w:type="character" w:customStyle="1" w:styleId="EndnoteTextChar">
    <w:name w:val="Endnote Text Char"/>
    <w:link w:val="EndnoteText"/>
    <w:uiPriority w:val="99"/>
    <w:semiHidden/>
    <w:rsid w:val="005677BC"/>
    <w:rPr>
      <w:rFonts w:ascii="Times New Roman" w:hAnsi="Times New Roman"/>
      <w:lang w:val="en-US" w:eastAsia="en-US"/>
    </w:rPr>
  </w:style>
  <w:style w:type="character" w:styleId="EndnoteReference">
    <w:name w:val="endnote reference"/>
    <w:uiPriority w:val="99"/>
    <w:semiHidden/>
    <w:unhideWhenUsed/>
    <w:rsid w:val="005677BC"/>
    <w:rPr>
      <w:vertAlign w:val="superscript"/>
    </w:rPr>
  </w:style>
  <w:style w:type="paragraph" w:styleId="FootnoteText">
    <w:name w:val="footnote text"/>
    <w:basedOn w:val="Normal"/>
    <w:link w:val="FootnoteTextChar"/>
    <w:uiPriority w:val="99"/>
    <w:semiHidden/>
    <w:unhideWhenUsed/>
    <w:rsid w:val="00492A7A"/>
    <w:rPr>
      <w:sz w:val="20"/>
      <w:szCs w:val="20"/>
    </w:rPr>
  </w:style>
  <w:style w:type="character" w:customStyle="1" w:styleId="FootnoteTextChar">
    <w:name w:val="Footnote Text Char"/>
    <w:basedOn w:val="DefaultParagraphFont"/>
    <w:link w:val="FootnoteText"/>
    <w:uiPriority w:val="99"/>
    <w:semiHidden/>
    <w:rsid w:val="00492A7A"/>
    <w:rPr>
      <w:rFonts w:ascii="Times New Roman" w:hAnsi="Times New Roman"/>
      <w:lang w:val="en-US" w:eastAsia="en-US"/>
    </w:rPr>
  </w:style>
  <w:style w:type="character" w:styleId="FootnoteReference">
    <w:name w:val="footnote reference"/>
    <w:basedOn w:val="DefaultParagraphFont"/>
    <w:uiPriority w:val="99"/>
    <w:semiHidden/>
    <w:unhideWhenUsed/>
    <w:rsid w:val="00492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3199">
      <w:bodyDiv w:val="1"/>
      <w:marLeft w:val="0"/>
      <w:marRight w:val="0"/>
      <w:marTop w:val="0"/>
      <w:marBottom w:val="0"/>
      <w:divBdr>
        <w:top w:val="none" w:sz="0" w:space="0" w:color="auto"/>
        <w:left w:val="none" w:sz="0" w:space="0" w:color="auto"/>
        <w:bottom w:val="none" w:sz="0" w:space="0" w:color="auto"/>
        <w:right w:val="none" w:sz="0" w:space="0" w:color="auto"/>
      </w:divBdr>
    </w:div>
    <w:div w:id="896746712">
      <w:bodyDiv w:val="1"/>
      <w:marLeft w:val="0"/>
      <w:marRight w:val="0"/>
      <w:marTop w:val="0"/>
      <w:marBottom w:val="0"/>
      <w:divBdr>
        <w:top w:val="none" w:sz="0" w:space="0" w:color="auto"/>
        <w:left w:val="none" w:sz="0" w:space="0" w:color="auto"/>
        <w:bottom w:val="none" w:sz="0" w:space="0" w:color="auto"/>
        <w:right w:val="none" w:sz="0" w:space="0" w:color="auto"/>
      </w:divBdr>
    </w:div>
    <w:div w:id="9338551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D48B-6293-4F1D-B1E9-AAE711E8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6190</Words>
  <Characters>3529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Latvijas Republikas Saeima</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Balana</dc:creator>
  <cp:lastModifiedBy>B-735</cp:lastModifiedBy>
  <cp:revision>10</cp:revision>
  <cp:lastPrinted>2013-09-20T09:10:00Z</cp:lastPrinted>
  <dcterms:created xsi:type="dcterms:W3CDTF">2017-10-13T08:51:00Z</dcterms:created>
  <dcterms:modified xsi:type="dcterms:W3CDTF">2017-11-01T12:10:00Z</dcterms:modified>
</cp:coreProperties>
</file>