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A1" w:rsidRPr="00FC2E43" w:rsidRDefault="00F7619E" w:rsidP="00E812A1">
      <w:pPr>
        <w:rPr>
          <w:lang w:val="lv-LV"/>
        </w:rPr>
      </w:pPr>
      <w:r>
        <w:rPr>
          <w:lang w:val="lv-LV"/>
        </w:rPr>
        <w:t>Budžeta un finanšu (nodokļu)</w:t>
      </w:r>
      <w:r w:rsidR="00E812A1" w:rsidRPr="00FC2E43">
        <w:rPr>
          <w:lang w:val="lv-LV"/>
        </w:rPr>
        <w:t xml:space="preserve"> komisija</w:t>
      </w:r>
    </w:p>
    <w:p w:rsidR="00E812A1" w:rsidRPr="00FC2E43" w:rsidRDefault="00E812A1" w:rsidP="00E812A1">
      <w:pPr>
        <w:jc w:val="right"/>
        <w:rPr>
          <w:lang w:val="lv-LV"/>
        </w:rPr>
      </w:pPr>
      <w:r w:rsidRPr="00FC2E43">
        <w:rPr>
          <w:lang w:val="lv-LV"/>
        </w:rPr>
        <w:t xml:space="preserve">Likumprojekts </w:t>
      </w:r>
      <w:r w:rsidR="00EF17D4">
        <w:rPr>
          <w:lang w:val="lv-LV"/>
        </w:rPr>
        <w:t>(steidzams)</w:t>
      </w:r>
      <w:r w:rsidR="00EF17D4" w:rsidRPr="00FC2E43">
        <w:rPr>
          <w:lang w:val="lv-LV"/>
        </w:rPr>
        <w:t xml:space="preserve"> </w:t>
      </w:r>
      <w:r w:rsidR="00DF3BCB">
        <w:rPr>
          <w:lang w:val="lv-LV"/>
        </w:rPr>
        <w:t xml:space="preserve">otrajam </w:t>
      </w:r>
      <w:r w:rsidRPr="00FC2E43">
        <w:rPr>
          <w:lang w:val="lv-LV"/>
        </w:rPr>
        <w:t>lasījumam</w:t>
      </w:r>
    </w:p>
    <w:p w:rsidR="006F7274" w:rsidRPr="00D56369" w:rsidRDefault="006F7274" w:rsidP="006F7274">
      <w:pPr>
        <w:pStyle w:val="NormalWeb"/>
        <w:spacing w:before="0" w:beforeAutospacing="0" w:after="0" w:afterAutospacing="0"/>
        <w:jc w:val="center"/>
        <w:rPr>
          <w:sz w:val="28"/>
          <w:szCs w:val="28"/>
          <w:lang w:val="lv-LV"/>
        </w:rPr>
      </w:pPr>
      <w:r w:rsidRPr="00D56369">
        <w:rPr>
          <w:rStyle w:val="Strong"/>
          <w:sz w:val="28"/>
          <w:szCs w:val="28"/>
          <w:lang w:val="lv-LV"/>
        </w:rPr>
        <w:t>Grozījums likumā "Par palīdzību dzīvokļa jautājumu risināšanā"</w:t>
      </w:r>
    </w:p>
    <w:p w:rsidR="00E812A1" w:rsidRPr="00DF3BCB" w:rsidRDefault="00C126E4" w:rsidP="00C126E4">
      <w:pPr>
        <w:spacing w:after="240"/>
        <w:jc w:val="center"/>
        <w:rPr>
          <w:b/>
          <w:i/>
          <w:lang w:val="lv-LV"/>
        </w:rPr>
      </w:pPr>
      <w:r w:rsidRPr="00DF3BCB">
        <w:rPr>
          <w:b/>
          <w:i/>
          <w:lang w:val="lv-LV"/>
        </w:rPr>
        <w:t xml:space="preserve"> </w:t>
      </w:r>
      <w:r w:rsidR="00E812A1" w:rsidRPr="00DF3BCB">
        <w:rPr>
          <w:b/>
          <w:i/>
          <w:lang w:val="lv-LV"/>
        </w:rPr>
        <w:t xml:space="preserve">(Nr. </w:t>
      </w:r>
      <w:r w:rsidR="00F7619E" w:rsidRPr="00DF3BCB">
        <w:rPr>
          <w:b/>
          <w:i/>
          <w:lang w:val="lv-LV"/>
        </w:rPr>
        <w:t>10</w:t>
      </w:r>
      <w:r>
        <w:rPr>
          <w:b/>
          <w:i/>
          <w:lang w:val="lv-LV"/>
        </w:rPr>
        <w:t>4</w:t>
      </w:r>
      <w:r w:rsidR="006F7274">
        <w:rPr>
          <w:b/>
          <w:i/>
          <w:lang w:val="lv-LV"/>
        </w:rPr>
        <w:t>9</w:t>
      </w:r>
      <w:r w:rsidR="00C45614" w:rsidRPr="00DF3BCB">
        <w:rPr>
          <w:b/>
          <w:i/>
          <w:lang w:val="lv-LV"/>
        </w:rPr>
        <w:t>/Lp12</w:t>
      </w:r>
      <w:r w:rsidR="00E812A1" w:rsidRPr="00DF3BCB">
        <w:rPr>
          <w:b/>
          <w:i/>
          <w:lang w:val="lv-LV"/>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3645"/>
        <w:gridCol w:w="729"/>
        <w:gridCol w:w="3645"/>
        <w:gridCol w:w="1823"/>
        <w:gridCol w:w="1823"/>
      </w:tblGrid>
      <w:tr w:rsidR="00DF3BCB" w:rsidRPr="00C126E4" w:rsidTr="006F7274">
        <w:trPr>
          <w:trHeight w:val="680"/>
        </w:trPr>
        <w:tc>
          <w:tcPr>
            <w:tcW w:w="3644" w:type="dxa"/>
            <w:shd w:val="clear" w:color="auto" w:fill="auto"/>
          </w:tcPr>
          <w:p w:rsidR="00DF3BCB" w:rsidRPr="00C126E4" w:rsidRDefault="00DF3BCB" w:rsidP="00DF3BCB">
            <w:pPr>
              <w:ind w:left="-57" w:right="-57"/>
              <w:jc w:val="center"/>
              <w:rPr>
                <w:b/>
                <w:lang w:val="lv-LV"/>
              </w:rPr>
            </w:pPr>
            <w:r w:rsidRPr="00C126E4">
              <w:rPr>
                <w:b/>
                <w:lang w:val="lv-LV"/>
              </w:rPr>
              <w:t>Spēkā esošā likuma redakcija</w:t>
            </w:r>
          </w:p>
        </w:tc>
        <w:tc>
          <w:tcPr>
            <w:tcW w:w="3645" w:type="dxa"/>
            <w:shd w:val="clear" w:color="auto" w:fill="auto"/>
          </w:tcPr>
          <w:p w:rsidR="00DF3BCB" w:rsidRPr="00C126E4" w:rsidRDefault="00DF3BCB" w:rsidP="00DF3BCB">
            <w:pPr>
              <w:ind w:left="-57" w:right="-57"/>
              <w:jc w:val="center"/>
              <w:rPr>
                <w:b/>
                <w:lang w:val="lv-LV"/>
              </w:rPr>
            </w:pPr>
            <w:r w:rsidRPr="00C126E4">
              <w:rPr>
                <w:b/>
                <w:lang w:val="lv-LV"/>
              </w:rPr>
              <w:t>Pirmā lasījuma redakcija</w:t>
            </w:r>
          </w:p>
        </w:tc>
        <w:tc>
          <w:tcPr>
            <w:tcW w:w="729" w:type="dxa"/>
          </w:tcPr>
          <w:p w:rsidR="00DF3BCB" w:rsidRPr="004539CC" w:rsidRDefault="00DF3BCB" w:rsidP="004539CC">
            <w:pPr>
              <w:jc w:val="center"/>
              <w:rPr>
                <w:b/>
                <w:lang w:val="lv-LV"/>
              </w:rPr>
            </w:pPr>
            <w:r w:rsidRPr="004539CC">
              <w:rPr>
                <w:b/>
                <w:lang w:val="lv-LV"/>
              </w:rPr>
              <w:t>Nr.</w:t>
            </w:r>
          </w:p>
        </w:tc>
        <w:tc>
          <w:tcPr>
            <w:tcW w:w="3645" w:type="dxa"/>
          </w:tcPr>
          <w:p w:rsidR="00DF3BCB" w:rsidRPr="00C126E4" w:rsidRDefault="00DF3BCB" w:rsidP="00DF3BCB">
            <w:pPr>
              <w:ind w:left="-57" w:right="-57"/>
              <w:jc w:val="center"/>
              <w:rPr>
                <w:b/>
                <w:lang w:val="lv-LV"/>
              </w:rPr>
            </w:pPr>
            <w:r w:rsidRPr="00C126E4">
              <w:rPr>
                <w:b/>
                <w:lang w:val="lv-LV"/>
              </w:rPr>
              <w:t>Priekšlikumi</w:t>
            </w:r>
          </w:p>
          <w:p w:rsidR="00DF3BCB" w:rsidRPr="00C126E4" w:rsidRDefault="00DF3BCB" w:rsidP="00DF3BCB">
            <w:pPr>
              <w:ind w:left="-57" w:right="-57"/>
              <w:jc w:val="center"/>
              <w:rPr>
                <w:b/>
                <w:lang w:val="lv-LV"/>
              </w:rPr>
            </w:pPr>
            <w:r w:rsidRPr="00C126E4">
              <w:rPr>
                <w:b/>
                <w:lang w:val="lv-LV"/>
              </w:rPr>
              <w:t>(</w:t>
            </w:r>
            <w:r w:rsidR="006C0514">
              <w:rPr>
                <w:b/>
                <w:lang w:val="lv-LV"/>
              </w:rPr>
              <w:t>2</w:t>
            </w:r>
            <w:bookmarkStart w:id="0" w:name="_GoBack"/>
            <w:bookmarkEnd w:id="0"/>
            <w:r w:rsidRPr="00C126E4">
              <w:rPr>
                <w:b/>
                <w:lang w:val="lv-LV"/>
              </w:rPr>
              <w:t>)</w:t>
            </w:r>
          </w:p>
        </w:tc>
        <w:tc>
          <w:tcPr>
            <w:tcW w:w="1823" w:type="dxa"/>
          </w:tcPr>
          <w:p w:rsidR="00DF3BCB" w:rsidRPr="00C126E4" w:rsidRDefault="00DF3BCB" w:rsidP="00DF3BCB">
            <w:pPr>
              <w:ind w:left="-57" w:right="-57"/>
              <w:jc w:val="center"/>
              <w:rPr>
                <w:b/>
                <w:lang w:val="lv-LV"/>
              </w:rPr>
            </w:pPr>
            <w:r w:rsidRPr="00C126E4">
              <w:rPr>
                <w:b/>
                <w:lang w:val="lv-LV"/>
              </w:rPr>
              <w:t>Ministru kabineta atzinums</w:t>
            </w:r>
          </w:p>
        </w:tc>
        <w:tc>
          <w:tcPr>
            <w:tcW w:w="1823" w:type="dxa"/>
          </w:tcPr>
          <w:p w:rsidR="00DF3BCB" w:rsidRPr="00C126E4" w:rsidRDefault="00DF3BCB" w:rsidP="00DF3BCB">
            <w:pPr>
              <w:ind w:left="-57" w:right="-57"/>
              <w:jc w:val="center"/>
              <w:rPr>
                <w:b/>
                <w:lang w:val="lv-LV"/>
              </w:rPr>
            </w:pPr>
            <w:r w:rsidRPr="00C126E4">
              <w:rPr>
                <w:b/>
                <w:lang w:val="lv-LV"/>
              </w:rPr>
              <w:t>Komisijas atzinums</w:t>
            </w:r>
          </w:p>
        </w:tc>
      </w:tr>
      <w:tr w:rsidR="00DF3BCB" w:rsidRPr="004539CC" w:rsidTr="006F7274">
        <w:tc>
          <w:tcPr>
            <w:tcW w:w="3644" w:type="dxa"/>
            <w:shd w:val="clear" w:color="auto" w:fill="auto"/>
          </w:tcPr>
          <w:p w:rsidR="00DF3BCB" w:rsidRPr="00F7619E" w:rsidRDefault="00DF3BCB" w:rsidP="00F7619E">
            <w:pPr>
              <w:ind w:firstLine="567"/>
              <w:jc w:val="both"/>
              <w:rPr>
                <w:sz w:val="22"/>
                <w:szCs w:val="22"/>
                <w:lang w:val="lv-LV"/>
              </w:rPr>
            </w:pPr>
          </w:p>
        </w:tc>
        <w:tc>
          <w:tcPr>
            <w:tcW w:w="3645" w:type="dxa"/>
            <w:shd w:val="clear" w:color="auto" w:fill="auto"/>
          </w:tcPr>
          <w:p w:rsidR="00DF3BCB" w:rsidRPr="00C126E4" w:rsidRDefault="006F7274" w:rsidP="00C126E4">
            <w:pPr>
              <w:tabs>
                <w:tab w:val="left" w:pos="540"/>
                <w:tab w:val="left" w:pos="900"/>
              </w:tabs>
              <w:ind w:firstLine="720"/>
              <w:jc w:val="both"/>
              <w:rPr>
                <w:sz w:val="22"/>
                <w:szCs w:val="22"/>
                <w:lang w:val="lv-LV"/>
              </w:rPr>
            </w:pPr>
            <w:r w:rsidRPr="006F7274">
              <w:rPr>
                <w:sz w:val="22"/>
                <w:szCs w:val="22"/>
                <w:lang w:val="lv-LV"/>
              </w:rPr>
              <w:t xml:space="preserve">Izdarīt likumā "Par palīdzību dzīvokļa jautājumu risināšanā" </w:t>
            </w:r>
            <w:proofErr w:type="gramStart"/>
            <w:r w:rsidRPr="006F7274">
              <w:rPr>
                <w:sz w:val="22"/>
                <w:szCs w:val="22"/>
                <w:lang w:val="lv-LV"/>
              </w:rPr>
              <w:t>(</w:t>
            </w:r>
            <w:proofErr w:type="gramEnd"/>
            <w:r w:rsidRPr="006F7274">
              <w:rPr>
                <w:sz w:val="22"/>
                <w:szCs w:val="22"/>
                <w:lang w:val="lv-LV"/>
              </w:rPr>
              <w:t>Latvijas Republikas Saeimas un Ministru Kabineta Ziņotājs, 2002, 2. nr.; 2003, 20. nr.; 2005, 9. nr.; 2007, 12., 24. nr.; 2009, 12. nr.; Latvijas Vēstnesis, 2009, 196. nr.; 2010, 157. nr.; 2013, 232. nr.; 2014, 131. nr.; 2015, 248. nr.; 2016, 64. nr.; 2017, 75. nr.) šādu grozījumu:</w:t>
            </w:r>
          </w:p>
        </w:tc>
        <w:tc>
          <w:tcPr>
            <w:tcW w:w="729" w:type="dxa"/>
          </w:tcPr>
          <w:p w:rsidR="00DF3BCB" w:rsidRPr="004539CC" w:rsidRDefault="00DF3BCB" w:rsidP="004539CC">
            <w:pPr>
              <w:pStyle w:val="NormalWeb"/>
              <w:spacing w:before="0" w:beforeAutospacing="0" w:after="0" w:afterAutospacing="0"/>
              <w:jc w:val="center"/>
              <w:rPr>
                <w:b/>
                <w:sz w:val="22"/>
                <w:szCs w:val="22"/>
                <w:lang w:val="lv-LV"/>
              </w:rPr>
            </w:pPr>
          </w:p>
        </w:tc>
        <w:tc>
          <w:tcPr>
            <w:tcW w:w="3645"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823"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823" w:type="dxa"/>
          </w:tcPr>
          <w:p w:rsidR="00DF3BCB" w:rsidRPr="00F7619E" w:rsidRDefault="00DF3BCB" w:rsidP="00F7619E">
            <w:pPr>
              <w:pStyle w:val="NormalWeb"/>
              <w:spacing w:before="0" w:beforeAutospacing="0" w:after="0" w:afterAutospacing="0"/>
              <w:ind w:firstLine="567"/>
              <w:jc w:val="both"/>
              <w:rPr>
                <w:sz w:val="22"/>
                <w:szCs w:val="22"/>
                <w:lang w:val="lv-LV"/>
              </w:rPr>
            </w:pPr>
          </w:p>
        </w:tc>
      </w:tr>
      <w:tr w:rsidR="00DF3BCB" w:rsidRPr="004539CC" w:rsidTr="006F7274">
        <w:tc>
          <w:tcPr>
            <w:tcW w:w="3644" w:type="dxa"/>
            <w:shd w:val="clear" w:color="auto" w:fill="auto"/>
          </w:tcPr>
          <w:p w:rsidR="00990448" w:rsidRPr="00990448" w:rsidRDefault="00990448" w:rsidP="00990448">
            <w:pPr>
              <w:ind w:firstLine="567"/>
              <w:jc w:val="both"/>
              <w:rPr>
                <w:b/>
                <w:sz w:val="22"/>
                <w:szCs w:val="22"/>
                <w:lang w:val="lv-LV"/>
              </w:rPr>
            </w:pPr>
            <w:r w:rsidRPr="00990448">
              <w:rPr>
                <w:b/>
                <w:sz w:val="22"/>
                <w:szCs w:val="22"/>
                <w:lang w:val="lv-LV"/>
              </w:rPr>
              <w:t>27.</w:t>
            </w:r>
            <w:r w:rsidRPr="00990448">
              <w:rPr>
                <w:b/>
                <w:sz w:val="22"/>
                <w:szCs w:val="22"/>
                <w:vertAlign w:val="superscript"/>
                <w:lang w:val="lv-LV"/>
              </w:rPr>
              <w:t>1</w:t>
            </w:r>
            <w:r w:rsidRPr="00990448">
              <w:rPr>
                <w:b/>
                <w:sz w:val="22"/>
                <w:szCs w:val="22"/>
                <w:lang w:val="lv-LV"/>
              </w:rPr>
              <w:t xml:space="preserve"> pants. Palīdzība dzīvojamās telpas iegādei vai būvniecībai</w:t>
            </w:r>
          </w:p>
          <w:p w:rsidR="00990448" w:rsidRPr="00990448" w:rsidRDefault="00990448" w:rsidP="00990448">
            <w:pPr>
              <w:ind w:firstLine="567"/>
              <w:jc w:val="both"/>
              <w:rPr>
                <w:sz w:val="22"/>
                <w:szCs w:val="22"/>
                <w:lang w:val="lv-LV"/>
              </w:rPr>
            </w:pPr>
            <w:r w:rsidRPr="00990448">
              <w:rPr>
                <w:sz w:val="22"/>
                <w:szCs w:val="22"/>
                <w:lang w:val="lv-LV"/>
              </w:rPr>
              <w:t>(1) Valsts sniedz palīdzību, daļēji sedzot aizņēmēja neizpildītās parādsaistības attiecībā uz dzīvojamās telpas iegādei vai būvniecībai ņemto aizdevumu. Ministru kabinets nosaka institūciju, kas administrē palīdzības sniegšanu, kā arī tās kritērijus un kārtību.</w:t>
            </w:r>
          </w:p>
          <w:p w:rsidR="00990448" w:rsidRPr="006C0514" w:rsidRDefault="00990448" w:rsidP="00990448">
            <w:pPr>
              <w:ind w:firstLine="567"/>
              <w:jc w:val="both"/>
              <w:rPr>
                <w:sz w:val="22"/>
                <w:szCs w:val="22"/>
                <w:lang w:val="lv-LV"/>
              </w:rPr>
            </w:pPr>
            <w:r w:rsidRPr="006C0514">
              <w:rPr>
                <w:sz w:val="22"/>
                <w:szCs w:val="22"/>
                <w:lang w:val="lv-LV"/>
              </w:rPr>
              <w:t>(2) Šā panta pirmajā daļā minēto palīdzību var saņemt persona, ar kuru kopā dzīvo un kuras apgādībā ir vismaz viens nepilngadīgs bērns.</w:t>
            </w:r>
          </w:p>
          <w:p w:rsidR="00990448" w:rsidRPr="00990448" w:rsidRDefault="00990448" w:rsidP="00990448">
            <w:pPr>
              <w:ind w:firstLine="567"/>
              <w:jc w:val="both"/>
              <w:rPr>
                <w:sz w:val="22"/>
                <w:szCs w:val="22"/>
                <w:lang w:val="lv-LV"/>
              </w:rPr>
            </w:pPr>
            <w:r w:rsidRPr="00990448">
              <w:rPr>
                <w:sz w:val="22"/>
                <w:szCs w:val="22"/>
                <w:lang w:val="lv-LV"/>
              </w:rPr>
              <w:t xml:space="preserve">(3) Dzīvojamās telpas iegādes vai būvniecības gadījumā pašvaldības var sniegt palīdzību to saistošajos </w:t>
            </w:r>
            <w:r w:rsidRPr="00990448">
              <w:rPr>
                <w:sz w:val="22"/>
                <w:szCs w:val="22"/>
                <w:lang w:val="lv-LV"/>
              </w:rPr>
              <w:lastRenderedPageBreak/>
              <w:t>noteikumos paredzētajā kārtībā un apmērā, pilnībā vai daļēji sedzot kredītprocentu maksājumus.</w:t>
            </w:r>
          </w:p>
          <w:p w:rsidR="00DF3BCB" w:rsidRPr="005677BC" w:rsidRDefault="00990448" w:rsidP="00990448">
            <w:pPr>
              <w:ind w:firstLine="567"/>
              <w:jc w:val="both"/>
              <w:rPr>
                <w:sz w:val="22"/>
                <w:szCs w:val="22"/>
                <w:lang w:val="lv-LV"/>
              </w:rPr>
            </w:pPr>
            <w:r w:rsidRPr="00990448">
              <w:rPr>
                <w:sz w:val="22"/>
                <w:szCs w:val="22"/>
                <w:lang w:val="lv-LV"/>
              </w:rPr>
              <w:t xml:space="preserve">(4) Šā panta trešajā daļā minēto palīdzību var saņemt persona, </w:t>
            </w:r>
            <w:proofErr w:type="gramStart"/>
            <w:r w:rsidRPr="00990448">
              <w:rPr>
                <w:sz w:val="22"/>
                <w:szCs w:val="22"/>
                <w:lang w:val="lv-LV"/>
              </w:rPr>
              <w:t>ar kuru kopā dzīvo un kuras apgādībā ir vismaz viens nepilngadīgs bērns, kā arī īrnieks</w:t>
            </w:r>
            <w:proofErr w:type="gramEnd"/>
            <w:r w:rsidRPr="00990448">
              <w:rPr>
                <w:sz w:val="22"/>
                <w:szCs w:val="22"/>
                <w:lang w:val="lv-LV"/>
              </w:rPr>
              <w:t xml:space="preserve"> vai viņa ģimenes loceklis, ja tie lieto dzīvojamo telpu denacionalizētā vai likumīgajam īpašniekam atdotā mājā un ir to lietojuši līdz īpašuma tiesību atjaunošanai.</w:t>
            </w:r>
          </w:p>
        </w:tc>
        <w:tc>
          <w:tcPr>
            <w:tcW w:w="3645" w:type="dxa"/>
            <w:shd w:val="clear" w:color="auto" w:fill="auto"/>
          </w:tcPr>
          <w:p w:rsidR="006F7274" w:rsidRDefault="006F7274" w:rsidP="006F7274">
            <w:pPr>
              <w:pStyle w:val="NormalWeb"/>
              <w:spacing w:before="0" w:beforeAutospacing="0" w:after="0" w:afterAutospacing="0"/>
              <w:ind w:firstLine="567"/>
              <w:jc w:val="both"/>
              <w:rPr>
                <w:sz w:val="22"/>
                <w:szCs w:val="22"/>
                <w:lang w:val="lv-LV"/>
              </w:rPr>
            </w:pPr>
            <w:r w:rsidRPr="006F7274">
              <w:rPr>
                <w:sz w:val="22"/>
                <w:szCs w:val="22"/>
                <w:lang w:val="lv-LV"/>
              </w:rPr>
              <w:lastRenderedPageBreak/>
              <w:t>Izteikt 27.</w:t>
            </w:r>
            <w:r w:rsidRPr="006F7274">
              <w:rPr>
                <w:sz w:val="22"/>
                <w:szCs w:val="22"/>
                <w:vertAlign w:val="superscript"/>
                <w:lang w:val="lv-LV"/>
              </w:rPr>
              <w:t>1</w:t>
            </w:r>
            <w:r w:rsidRPr="006F7274">
              <w:rPr>
                <w:sz w:val="22"/>
                <w:szCs w:val="22"/>
                <w:lang w:val="lv-LV"/>
              </w:rPr>
              <w:t xml:space="preserve"> panta otro daļu šādā redakcijā:</w:t>
            </w:r>
          </w:p>
          <w:p w:rsidR="006F7274" w:rsidRPr="006F7274" w:rsidRDefault="006F7274" w:rsidP="006F7274">
            <w:pPr>
              <w:pStyle w:val="NormalWeb"/>
              <w:spacing w:before="0" w:beforeAutospacing="0" w:after="0" w:afterAutospacing="0"/>
              <w:ind w:firstLine="567"/>
              <w:jc w:val="both"/>
              <w:rPr>
                <w:sz w:val="22"/>
                <w:szCs w:val="22"/>
                <w:lang w:val="lv-LV"/>
              </w:rPr>
            </w:pPr>
            <w:r w:rsidRPr="006F7274">
              <w:rPr>
                <w:sz w:val="22"/>
                <w:szCs w:val="22"/>
                <w:lang w:val="lv-LV"/>
              </w:rPr>
              <w:t>"(2) Šā panta pirmajā daļā minēto palīdzību var saņemt persona:</w:t>
            </w:r>
          </w:p>
          <w:p w:rsidR="006F7274" w:rsidRPr="006F7274" w:rsidRDefault="006F7274" w:rsidP="006F7274">
            <w:pPr>
              <w:pStyle w:val="NormalWeb"/>
              <w:spacing w:before="0" w:beforeAutospacing="0" w:after="0" w:afterAutospacing="0"/>
              <w:ind w:firstLine="567"/>
              <w:jc w:val="both"/>
              <w:rPr>
                <w:sz w:val="22"/>
                <w:szCs w:val="22"/>
                <w:lang w:val="lv-LV"/>
              </w:rPr>
            </w:pPr>
            <w:r w:rsidRPr="006F7274">
              <w:rPr>
                <w:sz w:val="22"/>
                <w:szCs w:val="22"/>
                <w:lang w:val="lv-LV"/>
              </w:rPr>
              <w:t>1)</w:t>
            </w:r>
            <w:r>
              <w:rPr>
                <w:sz w:val="22"/>
                <w:szCs w:val="22"/>
                <w:lang w:val="lv-LV"/>
              </w:rPr>
              <w:t xml:space="preserve"> </w:t>
            </w:r>
            <w:r w:rsidRPr="006F7274">
              <w:rPr>
                <w:sz w:val="22"/>
                <w:szCs w:val="22"/>
                <w:lang w:val="lv-LV"/>
              </w:rPr>
              <w:t>ar kuru kopā dzīvo un kuras apgādībā ir vismaz viens bērns. Bērns šīs daļas izpratnē ir persona, kas nav sasniegusi 24 gadu vecumu;</w:t>
            </w:r>
          </w:p>
          <w:p w:rsidR="00DF3BCB" w:rsidRPr="004539CC" w:rsidRDefault="006F7274" w:rsidP="006F7274">
            <w:pPr>
              <w:pStyle w:val="NormalWeb"/>
              <w:spacing w:before="0" w:beforeAutospacing="0" w:after="0" w:afterAutospacing="0"/>
              <w:ind w:firstLine="567"/>
              <w:jc w:val="both"/>
              <w:rPr>
                <w:sz w:val="22"/>
                <w:szCs w:val="22"/>
                <w:u w:val="single"/>
                <w:lang w:val="lv-LV"/>
              </w:rPr>
            </w:pPr>
            <w:r w:rsidRPr="004539CC">
              <w:rPr>
                <w:sz w:val="22"/>
                <w:szCs w:val="22"/>
                <w:u w:val="single"/>
                <w:lang w:val="lv-LV"/>
              </w:rPr>
              <w:t>2) kura ieguvusi profesionālo vai augstāko izglītību un kura nepārsniedz 35 gadu vecumu."</w:t>
            </w:r>
          </w:p>
        </w:tc>
        <w:tc>
          <w:tcPr>
            <w:tcW w:w="729" w:type="dxa"/>
          </w:tcPr>
          <w:p w:rsidR="00DF3BCB" w:rsidRDefault="004539CC" w:rsidP="004539CC">
            <w:pPr>
              <w:pStyle w:val="NormalWeb"/>
              <w:spacing w:before="0" w:beforeAutospacing="0" w:after="0" w:afterAutospacing="0"/>
              <w:jc w:val="center"/>
              <w:rPr>
                <w:b/>
                <w:sz w:val="22"/>
                <w:szCs w:val="22"/>
                <w:lang w:val="lv-LV"/>
              </w:rPr>
            </w:pPr>
            <w:r>
              <w:rPr>
                <w:b/>
                <w:sz w:val="22"/>
                <w:szCs w:val="22"/>
                <w:lang w:val="lv-LV"/>
              </w:rPr>
              <w:t>1</w:t>
            </w: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Default="004539CC" w:rsidP="004539CC">
            <w:pPr>
              <w:pStyle w:val="NormalWeb"/>
              <w:spacing w:before="0" w:beforeAutospacing="0" w:after="0" w:afterAutospacing="0"/>
              <w:jc w:val="center"/>
              <w:rPr>
                <w:b/>
                <w:sz w:val="22"/>
                <w:szCs w:val="22"/>
                <w:lang w:val="lv-LV"/>
              </w:rPr>
            </w:pPr>
          </w:p>
          <w:p w:rsidR="004539CC" w:rsidRPr="004539CC" w:rsidRDefault="004539CC" w:rsidP="004539CC">
            <w:pPr>
              <w:pStyle w:val="NormalWeb"/>
              <w:spacing w:before="0" w:beforeAutospacing="0" w:after="0" w:afterAutospacing="0"/>
              <w:jc w:val="center"/>
              <w:rPr>
                <w:b/>
                <w:sz w:val="22"/>
                <w:szCs w:val="22"/>
                <w:lang w:val="lv-LV"/>
              </w:rPr>
            </w:pPr>
            <w:r>
              <w:rPr>
                <w:b/>
                <w:sz w:val="22"/>
                <w:szCs w:val="22"/>
                <w:lang w:val="lv-LV"/>
              </w:rPr>
              <w:lastRenderedPageBreak/>
              <w:t>2</w:t>
            </w:r>
          </w:p>
        </w:tc>
        <w:tc>
          <w:tcPr>
            <w:tcW w:w="3645" w:type="dxa"/>
          </w:tcPr>
          <w:p w:rsidR="00910D48" w:rsidRPr="00910D48" w:rsidRDefault="00910D48" w:rsidP="00910D48">
            <w:pPr>
              <w:pStyle w:val="NormalWeb"/>
              <w:spacing w:before="0" w:beforeAutospacing="0" w:after="0" w:afterAutospacing="0"/>
              <w:ind w:firstLine="567"/>
              <w:jc w:val="both"/>
              <w:rPr>
                <w:b/>
                <w:sz w:val="22"/>
                <w:szCs w:val="22"/>
                <w:u w:val="single"/>
                <w:lang w:val="lv-LV"/>
              </w:rPr>
            </w:pPr>
            <w:r w:rsidRPr="00910D48">
              <w:rPr>
                <w:b/>
                <w:sz w:val="22"/>
                <w:szCs w:val="22"/>
                <w:u w:val="single"/>
                <w:lang w:val="lv-LV"/>
              </w:rPr>
              <w:lastRenderedPageBreak/>
              <w:t>Juridiskais birojs</w:t>
            </w:r>
          </w:p>
          <w:p w:rsidR="00910D48" w:rsidRPr="00910D48" w:rsidRDefault="00910D48" w:rsidP="00910D48">
            <w:pPr>
              <w:pStyle w:val="NormalWeb"/>
              <w:spacing w:before="0" w:beforeAutospacing="0" w:after="0" w:afterAutospacing="0"/>
              <w:ind w:firstLine="567"/>
              <w:jc w:val="both"/>
              <w:rPr>
                <w:i/>
                <w:sz w:val="22"/>
                <w:szCs w:val="22"/>
                <w:lang w:val="lv-LV"/>
              </w:rPr>
            </w:pPr>
            <w:r w:rsidRPr="00910D48">
              <w:rPr>
                <w:i/>
                <w:sz w:val="22"/>
                <w:szCs w:val="22"/>
                <w:lang w:val="lv-LV"/>
              </w:rPr>
              <w:t xml:space="preserve">Saeimas Juridiskais birojs izskatīja pirmajā lasījumā pieņemto likumprojektu „Grozījums likumā “Par palīdzību dzīvokļa jautājumu risināšanā”” (likumprojekta reģistra Nr. 1049/Lp12) un ierosina tajā precizēt </w:t>
            </w:r>
            <w:r w:rsidRPr="00910D48">
              <w:rPr>
                <w:bCs/>
                <w:i/>
                <w:sz w:val="22"/>
                <w:szCs w:val="22"/>
                <w:lang w:val="lv-LV"/>
              </w:rPr>
              <w:t>27.</w:t>
            </w:r>
            <w:r w:rsidRPr="00910D48">
              <w:rPr>
                <w:bCs/>
                <w:i/>
                <w:sz w:val="22"/>
                <w:szCs w:val="22"/>
                <w:vertAlign w:val="superscript"/>
                <w:lang w:val="lv-LV"/>
              </w:rPr>
              <w:t>1</w:t>
            </w:r>
            <w:r w:rsidRPr="00910D48">
              <w:rPr>
                <w:bCs/>
                <w:i/>
                <w:sz w:val="22"/>
                <w:szCs w:val="22"/>
                <w:lang w:val="lv-LV"/>
              </w:rPr>
              <w:t xml:space="preserve"> panta otrās daļas 2. punktā paredzēto palīdzības saņemšanai nepieciešamo izglītības nosacījumu. Normā ietvertā izvēle starp profesionālo vai augstāko izglītību nav korekta, jo profesionālā izglītība ir izglītības veids, bet augstākā izglītība – izglītības pakāpe.  </w:t>
            </w:r>
          </w:p>
          <w:p w:rsidR="004539CC" w:rsidRDefault="004539CC" w:rsidP="00FF12FF">
            <w:pPr>
              <w:pStyle w:val="NormalWeb"/>
              <w:spacing w:before="0" w:beforeAutospacing="0" w:after="0" w:afterAutospacing="0"/>
              <w:ind w:firstLine="567"/>
              <w:jc w:val="both"/>
              <w:rPr>
                <w:b/>
                <w:bCs/>
                <w:sz w:val="22"/>
                <w:szCs w:val="22"/>
                <w:u w:val="single"/>
                <w:lang w:val="lv-LV"/>
              </w:rPr>
            </w:pPr>
          </w:p>
          <w:p w:rsidR="004539CC" w:rsidRDefault="004539CC" w:rsidP="00FF12FF">
            <w:pPr>
              <w:pStyle w:val="NormalWeb"/>
              <w:spacing w:before="0" w:beforeAutospacing="0" w:after="0" w:afterAutospacing="0"/>
              <w:ind w:firstLine="567"/>
              <w:jc w:val="both"/>
              <w:rPr>
                <w:b/>
                <w:bCs/>
                <w:sz w:val="22"/>
                <w:szCs w:val="22"/>
                <w:u w:val="single"/>
                <w:lang w:val="lv-LV"/>
              </w:rPr>
            </w:pPr>
          </w:p>
          <w:p w:rsidR="004539CC" w:rsidRDefault="004539CC" w:rsidP="00FF12FF">
            <w:pPr>
              <w:pStyle w:val="NormalWeb"/>
              <w:spacing w:before="0" w:beforeAutospacing="0" w:after="0" w:afterAutospacing="0"/>
              <w:ind w:firstLine="567"/>
              <w:jc w:val="both"/>
              <w:rPr>
                <w:b/>
                <w:bCs/>
                <w:sz w:val="22"/>
                <w:szCs w:val="22"/>
                <w:u w:val="single"/>
                <w:lang w:val="lv-LV"/>
              </w:rPr>
            </w:pPr>
          </w:p>
          <w:p w:rsidR="00FF12FF" w:rsidRDefault="00FF12FF" w:rsidP="00FF12FF">
            <w:pPr>
              <w:pStyle w:val="NormalWeb"/>
              <w:spacing w:before="0" w:beforeAutospacing="0" w:after="0" w:afterAutospacing="0"/>
              <w:ind w:firstLine="567"/>
              <w:jc w:val="both"/>
              <w:rPr>
                <w:b/>
                <w:bCs/>
                <w:sz w:val="22"/>
                <w:szCs w:val="22"/>
                <w:u w:val="single"/>
                <w:lang w:val="lv-LV"/>
              </w:rPr>
            </w:pPr>
            <w:r w:rsidRPr="00FF12FF">
              <w:rPr>
                <w:b/>
                <w:bCs/>
                <w:sz w:val="22"/>
                <w:szCs w:val="22"/>
                <w:u w:val="single"/>
                <w:lang w:val="lv-LV"/>
              </w:rPr>
              <w:lastRenderedPageBreak/>
              <w:t>Ministru prezidenta biedrs, ekonomikas ministrs A.Ašeradens</w:t>
            </w:r>
          </w:p>
          <w:p w:rsidR="00FF12FF" w:rsidRPr="00FF12FF" w:rsidRDefault="00FF12FF" w:rsidP="00FF12FF">
            <w:pPr>
              <w:pStyle w:val="NormalWeb"/>
              <w:spacing w:before="0" w:beforeAutospacing="0" w:after="0" w:afterAutospacing="0"/>
              <w:ind w:firstLine="567"/>
              <w:jc w:val="both"/>
              <w:rPr>
                <w:bCs/>
                <w:sz w:val="22"/>
                <w:szCs w:val="22"/>
                <w:lang w:val="lv-LV"/>
              </w:rPr>
            </w:pPr>
            <w:r>
              <w:rPr>
                <w:bCs/>
                <w:sz w:val="22"/>
                <w:szCs w:val="22"/>
                <w:lang w:val="lv-LV"/>
              </w:rPr>
              <w:t>P</w:t>
            </w:r>
            <w:r w:rsidRPr="00FF12FF">
              <w:rPr>
                <w:bCs/>
                <w:sz w:val="22"/>
                <w:szCs w:val="22"/>
                <w:lang w:val="lv-LV"/>
              </w:rPr>
              <w:t>recizēt likumprojekta pantu, izsakot plānoto likuma „Par palīdzību dzīvokļa jautājumu risināšanā” 27.</w:t>
            </w:r>
            <w:r w:rsidRPr="00FF12FF">
              <w:rPr>
                <w:bCs/>
                <w:sz w:val="22"/>
                <w:szCs w:val="22"/>
                <w:vertAlign w:val="superscript"/>
                <w:lang w:val="lv-LV"/>
              </w:rPr>
              <w:t>1</w:t>
            </w:r>
            <w:r w:rsidRPr="00FF12FF">
              <w:rPr>
                <w:bCs/>
                <w:sz w:val="22"/>
                <w:szCs w:val="22"/>
                <w:lang w:val="lv-LV"/>
              </w:rPr>
              <w:t> panta otro daļu šādā redakcijā:</w:t>
            </w:r>
          </w:p>
          <w:p w:rsidR="00FF12FF" w:rsidRPr="00FF12FF" w:rsidRDefault="00FF12FF" w:rsidP="00FF12FF">
            <w:pPr>
              <w:pStyle w:val="NormalWeb"/>
              <w:spacing w:before="0" w:beforeAutospacing="0" w:after="0" w:afterAutospacing="0"/>
              <w:ind w:firstLine="567"/>
              <w:jc w:val="both"/>
              <w:rPr>
                <w:bCs/>
                <w:sz w:val="22"/>
                <w:szCs w:val="22"/>
                <w:lang w:val="lv-LV"/>
              </w:rPr>
            </w:pPr>
            <w:r w:rsidRPr="00FF12FF">
              <w:rPr>
                <w:bCs/>
                <w:sz w:val="22"/>
                <w:szCs w:val="22"/>
                <w:lang w:val="lv-LV"/>
              </w:rPr>
              <w:t>"(2) Šā panta pirmajā daļā minēto palīdzību var saņemt persona:</w:t>
            </w:r>
          </w:p>
          <w:p w:rsidR="00FF12FF" w:rsidRPr="00FF12FF" w:rsidRDefault="00FF12FF" w:rsidP="00FF12FF">
            <w:pPr>
              <w:pStyle w:val="NormalWeb"/>
              <w:spacing w:before="0" w:beforeAutospacing="0" w:after="0" w:afterAutospacing="0"/>
              <w:ind w:firstLine="567"/>
              <w:jc w:val="both"/>
              <w:rPr>
                <w:bCs/>
                <w:sz w:val="22"/>
                <w:szCs w:val="22"/>
                <w:lang w:val="lv-LV"/>
              </w:rPr>
            </w:pPr>
            <w:r w:rsidRPr="00FF12FF">
              <w:rPr>
                <w:bCs/>
                <w:sz w:val="22"/>
                <w:szCs w:val="22"/>
                <w:lang w:val="lv-LV"/>
              </w:rPr>
              <w:t>1) ar kuru kopā dzīvo un kuras apgādībā ir vismaz viens bērns. Bērns šīs daļas izpratnē ir persona, kas nav sasniegusi 24 gadu vecumu;</w:t>
            </w:r>
          </w:p>
          <w:p w:rsidR="00DF3BCB" w:rsidRPr="00F7619E" w:rsidRDefault="00FF12FF" w:rsidP="004539CC">
            <w:pPr>
              <w:pStyle w:val="NormalWeb"/>
              <w:spacing w:before="0" w:beforeAutospacing="0" w:after="0" w:afterAutospacing="0"/>
              <w:ind w:firstLine="567"/>
              <w:jc w:val="both"/>
              <w:rPr>
                <w:sz w:val="22"/>
                <w:szCs w:val="22"/>
                <w:lang w:val="lv-LV"/>
              </w:rPr>
            </w:pPr>
            <w:r w:rsidRPr="004539CC">
              <w:rPr>
                <w:bCs/>
                <w:sz w:val="22"/>
                <w:szCs w:val="22"/>
                <w:u w:val="single"/>
                <w:lang w:val="lv-LV"/>
              </w:rPr>
              <w:t>2) kura ieguvusi akadēmisko vai profesionālo izglītību un kura nepārsniedz 35 gadu vecumu."</w:t>
            </w:r>
          </w:p>
        </w:tc>
        <w:tc>
          <w:tcPr>
            <w:tcW w:w="1823"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823" w:type="dxa"/>
          </w:tcPr>
          <w:p w:rsidR="00DF3BCB" w:rsidRPr="00F7619E" w:rsidRDefault="00DF3BCB" w:rsidP="00F7619E">
            <w:pPr>
              <w:pStyle w:val="NormalWeb"/>
              <w:spacing w:before="0" w:beforeAutospacing="0" w:after="0" w:afterAutospacing="0"/>
              <w:ind w:firstLine="567"/>
              <w:jc w:val="both"/>
              <w:rPr>
                <w:sz w:val="22"/>
                <w:szCs w:val="22"/>
                <w:lang w:val="lv-LV"/>
              </w:rPr>
            </w:pPr>
          </w:p>
        </w:tc>
      </w:tr>
      <w:tr w:rsidR="00DF3BCB" w:rsidRPr="004539CC" w:rsidTr="006F7274">
        <w:tc>
          <w:tcPr>
            <w:tcW w:w="3644" w:type="dxa"/>
            <w:shd w:val="clear" w:color="auto" w:fill="auto"/>
          </w:tcPr>
          <w:p w:rsidR="00C126E4" w:rsidRPr="00C126E4" w:rsidRDefault="00C126E4" w:rsidP="00F7619E">
            <w:pPr>
              <w:ind w:firstLine="567"/>
              <w:jc w:val="both"/>
              <w:rPr>
                <w:sz w:val="22"/>
                <w:szCs w:val="22"/>
                <w:lang w:val="lv-LV"/>
              </w:rPr>
            </w:pPr>
          </w:p>
        </w:tc>
        <w:tc>
          <w:tcPr>
            <w:tcW w:w="3645" w:type="dxa"/>
            <w:shd w:val="clear" w:color="auto" w:fill="auto"/>
          </w:tcPr>
          <w:p w:rsidR="00DF3BCB" w:rsidRPr="00C126E4" w:rsidRDefault="006F7274" w:rsidP="006F7274">
            <w:pPr>
              <w:pStyle w:val="NormalWeb"/>
              <w:ind w:firstLine="567"/>
              <w:rPr>
                <w:sz w:val="22"/>
                <w:szCs w:val="22"/>
                <w:lang w:val="lv-LV"/>
              </w:rPr>
            </w:pPr>
            <w:r w:rsidRPr="006F7274">
              <w:rPr>
                <w:sz w:val="22"/>
                <w:szCs w:val="22"/>
                <w:lang w:val="lv-LV"/>
              </w:rPr>
              <w:t>Likums stājas spēkā 2018. gada 1. janvārī.</w:t>
            </w:r>
          </w:p>
        </w:tc>
        <w:tc>
          <w:tcPr>
            <w:tcW w:w="729" w:type="dxa"/>
          </w:tcPr>
          <w:p w:rsidR="00DF3BCB" w:rsidRPr="004539CC" w:rsidRDefault="00DF3BCB" w:rsidP="004539CC">
            <w:pPr>
              <w:pStyle w:val="NormalWeb"/>
              <w:spacing w:before="0" w:beforeAutospacing="0" w:after="0" w:afterAutospacing="0"/>
              <w:jc w:val="center"/>
              <w:rPr>
                <w:b/>
                <w:sz w:val="22"/>
                <w:szCs w:val="22"/>
                <w:lang w:val="lv-LV"/>
              </w:rPr>
            </w:pPr>
          </w:p>
        </w:tc>
        <w:tc>
          <w:tcPr>
            <w:tcW w:w="3645"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823" w:type="dxa"/>
          </w:tcPr>
          <w:p w:rsidR="00DF3BCB" w:rsidRPr="00F7619E" w:rsidRDefault="00DF3BCB" w:rsidP="00F7619E">
            <w:pPr>
              <w:pStyle w:val="NormalWeb"/>
              <w:spacing w:before="0" w:beforeAutospacing="0" w:after="0" w:afterAutospacing="0"/>
              <w:ind w:firstLine="567"/>
              <w:jc w:val="both"/>
              <w:rPr>
                <w:sz w:val="22"/>
                <w:szCs w:val="22"/>
                <w:lang w:val="lv-LV"/>
              </w:rPr>
            </w:pPr>
          </w:p>
        </w:tc>
        <w:tc>
          <w:tcPr>
            <w:tcW w:w="1823" w:type="dxa"/>
          </w:tcPr>
          <w:p w:rsidR="00DF3BCB" w:rsidRPr="00F7619E" w:rsidRDefault="00DF3BCB" w:rsidP="00F7619E">
            <w:pPr>
              <w:pStyle w:val="NormalWeb"/>
              <w:spacing w:before="0" w:beforeAutospacing="0" w:after="0" w:afterAutospacing="0"/>
              <w:ind w:firstLine="567"/>
              <w:jc w:val="both"/>
              <w:rPr>
                <w:sz w:val="22"/>
                <w:szCs w:val="22"/>
                <w:lang w:val="lv-LV"/>
              </w:rPr>
            </w:pPr>
          </w:p>
        </w:tc>
      </w:tr>
    </w:tbl>
    <w:p w:rsidR="00694A05" w:rsidRPr="00FC2E43" w:rsidRDefault="00694A05">
      <w:pPr>
        <w:rPr>
          <w:lang w:val="lv-LV"/>
        </w:rPr>
      </w:pPr>
    </w:p>
    <w:sectPr w:rsidR="00694A05" w:rsidRPr="00FC2E43" w:rsidSect="00C46C8B">
      <w:footerReference w:type="even" r:id="rId9"/>
      <w:footerReference w:type="default" r:id="rId10"/>
      <w:type w:val="continuous"/>
      <w:pgSz w:w="16840" w:h="11900"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25" w:rsidRDefault="00376B25" w:rsidP="00733790">
      <w:r>
        <w:separator/>
      </w:r>
    </w:p>
  </w:endnote>
  <w:endnote w:type="continuationSeparator" w:id="0">
    <w:p w:rsidR="00376B25" w:rsidRDefault="00376B25" w:rsidP="007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301" w:rsidRDefault="000B4301" w:rsidP="007337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9CC">
      <w:rPr>
        <w:rStyle w:val="PageNumber"/>
        <w:noProof/>
      </w:rPr>
      <w:t>2</w:t>
    </w:r>
    <w:r>
      <w:rPr>
        <w:rStyle w:val="PageNumber"/>
      </w:rPr>
      <w:fldChar w:fldCharType="end"/>
    </w:r>
  </w:p>
  <w:p w:rsidR="000B4301" w:rsidRDefault="000B4301" w:rsidP="007337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25" w:rsidRDefault="00376B25" w:rsidP="00733790">
      <w:r>
        <w:separator/>
      </w:r>
    </w:p>
  </w:footnote>
  <w:footnote w:type="continuationSeparator" w:id="0">
    <w:p w:rsidR="00376B25" w:rsidRDefault="00376B25" w:rsidP="0073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87E3E"/>
    <w:multiLevelType w:val="multilevel"/>
    <w:tmpl w:val="A4C0F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F70C4"/>
    <w:multiLevelType w:val="multilevel"/>
    <w:tmpl w:val="F3F003A8"/>
    <w:lvl w:ilvl="0">
      <w:start w:val="1"/>
      <w:numFmt w:val="decimal"/>
      <w:pStyle w:val="1krta"/>
      <w:lvlText w:val="%1."/>
      <w:lvlJc w:val="left"/>
      <w:pPr>
        <w:tabs>
          <w:tab w:val="num" w:pos="284"/>
        </w:tabs>
        <w:ind w:left="284" w:hanging="426"/>
      </w:pPr>
      <w:rPr>
        <w:rFonts w:ascii="Times New Roman" w:hAnsi="Times New Roman" w:hint="default"/>
        <w:b/>
        <w:bCs/>
        <w:i w:val="0"/>
        <w:iCs w:val="0"/>
        <w:sz w:val="24"/>
        <w:szCs w:val="24"/>
      </w:rPr>
    </w:lvl>
    <w:lvl w:ilvl="1">
      <w:start w:val="1"/>
      <w:numFmt w:val="decimal"/>
      <w:pStyle w:val="2krta"/>
      <w:lvlText w:val="%1.%2."/>
      <w:lvlJc w:val="left"/>
      <w:pPr>
        <w:tabs>
          <w:tab w:val="num" w:pos="992"/>
        </w:tabs>
        <w:ind w:left="992" w:hanging="708"/>
      </w:pPr>
      <w:rPr>
        <w:rFonts w:ascii="Times New Roman" w:hAnsi="Times New Roman" w:hint="default"/>
        <w:b w:val="0"/>
        <w:bCs w:val="0"/>
        <w:i w:val="0"/>
        <w:iCs w:val="0"/>
        <w:sz w:val="24"/>
        <w:szCs w:val="24"/>
      </w:rPr>
    </w:lvl>
    <w:lvl w:ilvl="2">
      <w:start w:val="1"/>
      <w:numFmt w:val="decimal"/>
      <w:pStyle w:val="3krta"/>
      <w:lvlText w:val="%1.%2.%3."/>
      <w:lvlJc w:val="left"/>
      <w:pPr>
        <w:tabs>
          <w:tab w:val="num" w:pos="1701"/>
        </w:tabs>
        <w:ind w:left="1701" w:hanging="709"/>
      </w:pPr>
      <w:rPr>
        <w:rFonts w:ascii="Times New Roman" w:hAnsi="Times New Roman"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0"/>
    <w:rsid w:val="000372A6"/>
    <w:rsid w:val="000A4C97"/>
    <w:rsid w:val="000B4301"/>
    <w:rsid w:val="000F1184"/>
    <w:rsid w:val="00166ACF"/>
    <w:rsid w:val="00197028"/>
    <w:rsid w:val="0025448B"/>
    <w:rsid w:val="00277DC6"/>
    <w:rsid w:val="002F7B53"/>
    <w:rsid w:val="003439AC"/>
    <w:rsid w:val="00376B25"/>
    <w:rsid w:val="00401800"/>
    <w:rsid w:val="004539CC"/>
    <w:rsid w:val="00497754"/>
    <w:rsid w:val="005001F6"/>
    <w:rsid w:val="00555B25"/>
    <w:rsid w:val="005677BC"/>
    <w:rsid w:val="006722EC"/>
    <w:rsid w:val="00681A10"/>
    <w:rsid w:val="00694A05"/>
    <w:rsid w:val="006C0514"/>
    <w:rsid w:val="006F7274"/>
    <w:rsid w:val="00733790"/>
    <w:rsid w:val="00770D10"/>
    <w:rsid w:val="007853BE"/>
    <w:rsid w:val="00785FFB"/>
    <w:rsid w:val="007A184A"/>
    <w:rsid w:val="007C4428"/>
    <w:rsid w:val="007F7598"/>
    <w:rsid w:val="00824041"/>
    <w:rsid w:val="00836484"/>
    <w:rsid w:val="00871B44"/>
    <w:rsid w:val="009102FA"/>
    <w:rsid w:val="00910D48"/>
    <w:rsid w:val="00941FB3"/>
    <w:rsid w:val="00950DA3"/>
    <w:rsid w:val="00990448"/>
    <w:rsid w:val="009A7585"/>
    <w:rsid w:val="00A164B2"/>
    <w:rsid w:val="00A51B34"/>
    <w:rsid w:val="00B11F94"/>
    <w:rsid w:val="00B17130"/>
    <w:rsid w:val="00BB55C4"/>
    <w:rsid w:val="00C126E4"/>
    <w:rsid w:val="00C45614"/>
    <w:rsid w:val="00C46C8B"/>
    <w:rsid w:val="00C964A2"/>
    <w:rsid w:val="00CD60D5"/>
    <w:rsid w:val="00D41A85"/>
    <w:rsid w:val="00DE519D"/>
    <w:rsid w:val="00DF28E9"/>
    <w:rsid w:val="00DF3BCB"/>
    <w:rsid w:val="00E54625"/>
    <w:rsid w:val="00E67256"/>
    <w:rsid w:val="00E812A1"/>
    <w:rsid w:val="00EF17D4"/>
    <w:rsid w:val="00F7619E"/>
    <w:rsid w:val="00FC2E43"/>
    <w:rsid w:val="00FF12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character" w:styleId="Strong">
    <w:name w:val="Strong"/>
    <w:uiPriority w:val="22"/>
    <w:qFormat/>
    <w:rsid w:val="006F7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character" w:styleId="Strong">
    <w:name w:val="Strong"/>
    <w:uiPriority w:val="22"/>
    <w:qFormat/>
    <w:rsid w:val="006F7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199">
      <w:bodyDiv w:val="1"/>
      <w:marLeft w:val="0"/>
      <w:marRight w:val="0"/>
      <w:marTop w:val="0"/>
      <w:marBottom w:val="0"/>
      <w:divBdr>
        <w:top w:val="none" w:sz="0" w:space="0" w:color="auto"/>
        <w:left w:val="none" w:sz="0" w:space="0" w:color="auto"/>
        <w:bottom w:val="none" w:sz="0" w:space="0" w:color="auto"/>
        <w:right w:val="none" w:sz="0" w:space="0" w:color="auto"/>
      </w:divBdr>
    </w:div>
    <w:div w:id="896746712">
      <w:bodyDiv w:val="1"/>
      <w:marLeft w:val="0"/>
      <w:marRight w:val="0"/>
      <w:marTop w:val="0"/>
      <w:marBottom w:val="0"/>
      <w:divBdr>
        <w:top w:val="none" w:sz="0" w:space="0" w:color="auto"/>
        <w:left w:val="none" w:sz="0" w:space="0" w:color="auto"/>
        <w:bottom w:val="none" w:sz="0" w:space="0" w:color="auto"/>
        <w:right w:val="none" w:sz="0" w:space="0" w:color="auto"/>
      </w:divBdr>
    </w:div>
    <w:div w:id="9338551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4804-6DEE-4226-8AF4-100E6196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1914</Words>
  <Characters>1092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Latvijas Republikas Saeima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Balana</dc:creator>
  <cp:lastModifiedBy>B-735</cp:lastModifiedBy>
  <cp:revision>8</cp:revision>
  <cp:lastPrinted>2013-09-20T09:10:00Z</cp:lastPrinted>
  <dcterms:created xsi:type="dcterms:W3CDTF">2017-10-13T09:11:00Z</dcterms:created>
  <dcterms:modified xsi:type="dcterms:W3CDTF">2017-11-01T12:22:00Z</dcterms:modified>
</cp:coreProperties>
</file>