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D6" w:rsidRPr="00F05ED3" w:rsidRDefault="001A2FD6" w:rsidP="001A2FD6">
      <w:pPr>
        <w:pStyle w:val="Title"/>
        <w:jc w:val="left"/>
        <w:rPr>
          <w:b w:val="0"/>
          <w:szCs w:val="24"/>
        </w:rPr>
      </w:pPr>
      <w:r w:rsidRPr="00F05ED3">
        <w:rPr>
          <w:b w:val="0"/>
          <w:szCs w:val="24"/>
        </w:rPr>
        <w:t>Budžeta un finanšu (nodokļu) komisija</w:t>
      </w:r>
    </w:p>
    <w:p w:rsidR="001A2FD6" w:rsidRPr="00F05ED3" w:rsidRDefault="001A2FD6" w:rsidP="001A2FD6">
      <w:pPr>
        <w:pStyle w:val="Title"/>
        <w:jc w:val="right"/>
        <w:rPr>
          <w:b w:val="0"/>
          <w:szCs w:val="24"/>
        </w:rPr>
      </w:pPr>
      <w:r w:rsidRPr="00F05ED3">
        <w:rPr>
          <w:b w:val="0"/>
          <w:szCs w:val="24"/>
        </w:rPr>
        <w:tab/>
        <w:t>Likumprojekts (steidzams) otrajam lasījumam</w:t>
      </w:r>
    </w:p>
    <w:p w:rsidR="001A2FD6" w:rsidRPr="00F05ED3" w:rsidRDefault="001A2FD6" w:rsidP="001A2FD6">
      <w:pPr>
        <w:tabs>
          <w:tab w:val="center" w:pos="7568"/>
          <w:tab w:val="left" w:pos="10455"/>
        </w:tabs>
        <w:jc w:val="center"/>
        <w:rPr>
          <w:b/>
          <w:i/>
          <w:sz w:val="26"/>
          <w:szCs w:val="26"/>
        </w:rPr>
      </w:pPr>
      <w:r w:rsidRPr="00F05ED3">
        <w:rPr>
          <w:b/>
          <w:bCs/>
          <w:sz w:val="26"/>
          <w:szCs w:val="26"/>
        </w:rPr>
        <w:t xml:space="preserve">Grozījumi Bērnu tiesību aizsardzības likumā </w:t>
      </w:r>
    </w:p>
    <w:p w:rsidR="001A2FD6" w:rsidRPr="00F05ED3" w:rsidRDefault="001A2FD6" w:rsidP="001A2FD6">
      <w:pPr>
        <w:tabs>
          <w:tab w:val="center" w:pos="7568"/>
          <w:tab w:val="left" w:pos="9617"/>
          <w:tab w:val="left" w:pos="10455"/>
        </w:tabs>
        <w:rPr>
          <w:b/>
          <w:i/>
          <w:sz w:val="26"/>
          <w:szCs w:val="26"/>
        </w:rPr>
      </w:pPr>
      <w:r w:rsidRPr="00F05ED3">
        <w:rPr>
          <w:b/>
          <w:i/>
          <w:sz w:val="26"/>
          <w:szCs w:val="26"/>
        </w:rPr>
        <w:tab/>
        <w:t>(Nr. 1064/Lp12)</w:t>
      </w:r>
      <w:r w:rsidRPr="00F05ED3">
        <w:rPr>
          <w:b/>
          <w:i/>
          <w:sz w:val="26"/>
          <w:szCs w:val="26"/>
        </w:rPr>
        <w:tab/>
      </w:r>
    </w:p>
    <w:p w:rsidR="001A2FD6" w:rsidRPr="00F05ED3" w:rsidRDefault="001A2FD6" w:rsidP="001A2FD6">
      <w:pPr>
        <w:tabs>
          <w:tab w:val="center" w:pos="7568"/>
          <w:tab w:val="left" w:pos="10455"/>
        </w:tabs>
        <w:rPr>
          <w:b/>
          <w:i/>
          <w:sz w:val="22"/>
        </w:rPr>
      </w:pPr>
      <w:r w:rsidRPr="00F05ED3">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F05ED3" w:rsidRPr="00F05ED3" w:rsidTr="001A2FD6">
        <w:tc>
          <w:tcPr>
            <w:tcW w:w="3960" w:type="dxa"/>
            <w:tcBorders>
              <w:top w:val="single" w:sz="4" w:space="0" w:color="auto"/>
              <w:left w:val="single" w:sz="4" w:space="0" w:color="auto"/>
              <w:bottom w:val="single" w:sz="4" w:space="0" w:color="auto"/>
              <w:right w:val="single" w:sz="4" w:space="0" w:color="auto"/>
            </w:tcBorders>
            <w:vAlign w:val="center"/>
            <w:hideMark/>
          </w:tcPr>
          <w:p w:rsidR="001A2FD6" w:rsidRPr="00F05ED3" w:rsidRDefault="001A2FD6" w:rsidP="00A77C4B">
            <w:pPr>
              <w:spacing w:line="256" w:lineRule="auto"/>
              <w:jc w:val="center"/>
              <w:rPr>
                <w:b/>
                <w:bCs/>
                <w:iCs/>
                <w:szCs w:val="24"/>
              </w:rPr>
            </w:pPr>
            <w:r w:rsidRPr="00F05ED3">
              <w:rPr>
                <w:b/>
                <w:bCs/>
                <w:iCs/>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1A2FD6" w:rsidRPr="00F05ED3" w:rsidRDefault="001A2FD6" w:rsidP="00A77C4B">
            <w:pPr>
              <w:pStyle w:val="Heading1"/>
              <w:spacing w:line="256" w:lineRule="auto"/>
            </w:pPr>
            <w:r w:rsidRPr="00F05ED3">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1A2FD6" w:rsidRPr="00F05ED3" w:rsidRDefault="001A2FD6" w:rsidP="00A77C4B">
            <w:pPr>
              <w:spacing w:line="256" w:lineRule="auto"/>
              <w:jc w:val="center"/>
              <w:rPr>
                <w:b/>
                <w:bCs/>
                <w:iCs/>
                <w:szCs w:val="24"/>
              </w:rPr>
            </w:pPr>
            <w:r w:rsidRPr="00F05ED3">
              <w:rPr>
                <w:b/>
                <w:bCs/>
                <w:iCs/>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1A2FD6" w:rsidRPr="00F05ED3" w:rsidRDefault="001A2FD6" w:rsidP="00A77C4B">
            <w:pPr>
              <w:spacing w:line="256" w:lineRule="auto"/>
              <w:ind w:firstLine="10"/>
              <w:jc w:val="center"/>
              <w:rPr>
                <w:b/>
                <w:bCs/>
                <w:iCs/>
                <w:szCs w:val="24"/>
              </w:rPr>
            </w:pPr>
            <w:r w:rsidRPr="00F05ED3">
              <w:rPr>
                <w:b/>
                <w:bCs/>
                <w:iCs/>
                <w:szCs w:val="24"/>
              </w:rPr>
              <w:t>Priekšlikumi</w:t>
            </w:r>
          </w:p>
          <w:p w:rsidR="001A2FD6" w:rsidRPr="00F05ED3" w:rsidRDefault="001A2FD6" w:rsidP="00751496">
            <w:pPr>
              <w:spacing w:line="256" w:lineRule="auto"/>
              <w:jc w:val="center"/>
              <w:rPr>
                <w:b/>
                <w:bCs/>
                <w:iCs/>
                <w:szCs w:val="24"/>
              </w:rPr>
            </w:pPr>
            <w:r w:rsidRPr="00F05ED3">
              <w:rPr>
                <w:b/>
                <w:bCs/>
                <w:iCs/>
                <w:szCs w:val="24"/>
              </w:rPr>
              <w:t>(</w:t>
            </w:r>
            <w:r w:rsidR="00751496" w:rsidRPr="00F05ED3">
              <w:rPr>
                <w:b/>
                <w:bCs/>
                <w:iCs/>
                <w:szCs w:val="24"/>
              </w:rPr>
              <w:t>7</w:t>
            </w:r>
            <w:r w:rsidRPr="00F05ED3">
              <w:rPr>
                <w:b/>
                <w:bCs/>
                <w:iCs/>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1A2FD6" w:rsidRPr="00F05ED3" w:rsidRDefault="001A2FD6" w:rsidP="00A77C4B">
            <w:pPr>
              <w:spacing w:line="256" w:lineRule="auto"/>
              <w:jc w:val="center"/>
              <w:rPr>
                <w:b/>
                <w:bCs/>
                <w:iCs/>
                <w:szCs w:val="24"/>
              </w:rPr>
            </w:pPr>
            <w:r w:rsidRPr="00F05ED3">
              <w:rPr>
                <w:b/>
                <w:bCs/>
                <w:iCs/>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1A2FD6" w:rsidRPr="00F05ED3" w:rsidRDefault="001A2FD6" w:rsidP="00A77C4B">
            <w:pPr>
              <w:spacing w:line="256" w:lineRule="auto"/>
              <w:jc w:val="center"/>
              <w:rPr>
                <w:b/>
                <w:bCs/>
                <w:iCs/>
                <w:szCs w:val="24"/>
              </w:rPr>
            </w:pPr>
            <w:r w:rsidRPr="00F05ED3">
              <w:rPr>
                <w:b/>
                <w:bCs/>
                <w:iCs/>
                <w:szCs w:val="24"/>
              </w:rPr>
              <w:t>Komisijas atzinums</w:t>
            </w: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both"/>
              <w:rPr>
                <w:sz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pStyle w:val="tv213tvp"/>
              <w:shd w:val="clear" w:color="auto" w:fill="FFFFFF"/>
              <w:spacing w:before="0" w:beforeAutospacing="0" w:after="0" w:afterAutospacing="0"/>
              <w:ind w:firstLine="567"/>
              <w:jc w:val="both"/>
              <w:rPr>
                <w:bCs/>
                <w:sz w:val="22"/>
                <w:szCs w:val="22"/>
              </w:rPr>
            </w:pPr>
            <w:r w:rsidRPr="00F05ED3">
              <w:rPr>
                <w:sz w:val="22"/>
                <w:szCs w:val="22"/>
              </w:rPr>
              <w:t>Izdarīt Bērnu tiesību aizsardzības likumā (Latvijas Republikas Saeimas un Ministru Kabineta Ziņotājs, 1998, 15. nr.; 2000, 8., 12. nr.; 2001, 24. nr.; 2002, 23. nr.; 2003, 12. nr.; 2004, 12. nr.; 2005, 8. nr.; 2006, 22. nr.; 2007, 9. nr.; 2008, 15. nr.; 2009, 14., 23. nr.; Latvijas Vēstnesis, 2009, 193. nr.; 2010, 47., 205. nr.; 2011, 112., 132. nr.; 2013, 118. nr.; 2014, 51., 60. nr.; 2015, 245. nr.; 2016, 241. nr.; 2017, 54. nr.) šādus grozījumus:</w:t>
            </w:r>
          </w:p>
        </w:tc>
        <w:tc>
          <w:tcPr>
            <w:tcW w:w="567"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ind w:firstLine="567"/>
              <w:jc w:val="both"/>
              <w:rPr>
                <w:rFonts w:eastAsia="Times New Roman"/>
                <w:sz w:val="22"/>
                <w:lang w:eastAsia="lv-LV"/>
              </w:rPr>
            </w:pPr>
            <w:r w:rsidRPr="00F05ED3">
              <w:rPr>
                <w:rFonts w:eastAsia="Times New Roman"/>
                <w:b/>
                <w:bCs/>
                <w:sz w:val="22"/>
                <w:lang w:eastAsia="lv-LV"/>
              </w:rPr>
              <w:t>1.pants. Likumā lietotie termini</w:t>
            </w:r>
          </w:p>
          <w:p w:rsidR="001A2FD6" w:rsidRPr="00F05ED3" w:rsidRDefault="001A2FD6" w:rsidP="001A2FD6">
            <w:pPr>
              <w:ind w:firstLine="567"/>
              <w:jc w:val="both"/>
              <w:rPr>
                <w:rFonts w:eastAsia="Times New Roman"/>
                <w:sz w:val="22"/>
                <w:lang w:eastAsia="lv-LV"/>
              </w:rPr>
            </w:pPr>
            <w:r w:rsidRPr="00F05ED3">
              <w:rPr>
                <w:rFonts w:eastAsia="Times New Roman"/>
                <w:sz w:val="22"/>
                <w:lang w:eastAsia="lv-LV"/>
              </w:rPr>
              <w:t>Likumā ir lietoti šādi termini:</w:t>
            </w:r>
          </w:p>
          <w:p w:rsidR="001A2FD6" w:rsidRPr="00F05ED3" w:rsidRDefault="001A2FD6" w:rsidP="001A2FD6">
            <w:pPr>
              <w:ind w:firstLine="567"/>
              <w:jc w:val="both"/>
              <w:rPr>
                <w:rFonts w:eastAsia="Times New Roman"/>
                <w:sz w:val="22"/>
                <w:lang w:eastAsia="lv-LV"/>
              </w:rPr>
            </w:pPr>
            <w:r w:rsidRPr="00F05ED3">
              <w:rPr>
                <w:rFonts w:eastAsia="Times New Roman"/>
                <w:sz w:val="22"/>
                <w:lang w:eastAsia="lv-LV"/>
              </w:rPr>
              <w:t xml:space="preserve">1) </w:t>
            </w:r>
            <w:r w:rsidRPr="00F05ED3">
              <w:rPr>
                <w:rFonts w:eastAsia="Times New Roman"/>
                <w:b/>
                <w:bCs/>
                <w:sz w:val="22"/>
                <w:lang w:eastAsia="lv-LV"/>
              </w:rPr>
              <w:t>bārenis</w:t>
            </w:r>
            <w:r w:rsidRPr="00F05ED3">
              <w:rPr>
                <w:rFonts w:eastAsia="Times New Roman"/>
                <w:sz w:val="22"/>
                <w:lang w:eastAsia="lv-LV"/>
              </w:rPr>
              <w:t xml:space="preserve"> — bērns, kura vecāki ir miruši vai likumā noteiktajā kārtībā atzīti par mirušiem;</w:t>
            </w:r>
          </w:p>
          <w:p w:rsidR="001A2FD6" w:rsidRPr="00F05ED3" w:rsidRDefault="001A2FD6" w:rsidP="001A2FD6">
            <w:pPr>
              <w:ind w:firstLine="567"/>
              <w:jc w:val="both"/>
              <w:rPr>
                <w:rFonts w:eastAsia="Times New Roman"/>
                <w:sz w:val="22"/>
                <w:lang w:eastAsia="lv-LV"/>
              </w:rPr>
            </w:pPr>
            <w:r w:rsidRPr="00F05ED3">
              <w:rPr>
                <w:rFonts w:eastAsia="Times New Roman"/>
                <w:sz w:val="22"/>
                <w:lang w:eastAsia="lv-LV"/>
              </w:rPr>
              <w:t xml:space="preserve">2) </w:t>
            </w:r>
            <w:r w:rsidRPr="00F05ED3">
              <w:rPr>
                <w:rFonts w:eastAsia="Times New Roman"/>
                <w:b/>
                <w:bCs/>
                <w:sz w:val="22"/>
                <w:lang w:eastAsia="lv-LV"/>
              </w:rPr>
              <w:t>bez vecāku gādības palicis bērns</w:t>
            </w:r>
            <w:r w:rsidRPr="00F05ED3">
              <w:rPr>
                <w:rFonts w:eastAsia="Times New Roman"/>
                <w:sz w:val="22"/>
                <w:lang w:eastAsia="lv-LV"/>
              </w:rPr>
              <w:t xml:space="preserve"> — bērns, kura vecāki nav zināmi, ir pazuduši vai ilgstošas slimības dēļ nespēj realizēt aizgādību vai kura vecākiem pārtrauktas vai atņemtas aizgādības tiesības;</w:t>
            </w:r>
          </w:p>
          <w:p w:rsidR="001A2FD6" w:rsidRPr="00F05ED3" w:rsidRDefault="001A2FD6" w:rsidP="001A2FD6">
            <w:pPr>
              <w:ind w:firstLine="567"/>
              <w:jc w:val="both"/>
              <w:rPr>
                <w:rFonts w:eastAsia="Times New Roman"/>
                <w:sz w:val="22"/>
                <w:lang w:eastAsia="lv-LV"/>
              </w:rPr>
            </w:pPr>
            <w:r w:rsidRPr="00F05ED3">
              <w:rPr>
                <w:rFonts w:eastAsia="Times New Roman"/>
                <w:sz w:val="22"/>
                <w:lang w:eastAsia="lv-LV"/>
              </w:rPr>
              <w:t xml:space="preserve">3) </w:t>
            </w:r>
            <w:r w:rsidRPr="00F05ED3">
              <w:rPr>
                <w:rFonts w:eastAsia="Times New Roman"/>
                <w:b/>
                <w:bCs/>
                <w:sz w:val="22"/>
                <w:lang w:eastAsia="lv-LV"/>
              </w:rPr>
              <w:t>audžuģimene</w:t>
            </w:r>
            <w:r w:rsidRPr="00F05ED3">
              <w:rPr>
                <w:rFonts w:eastAsia="Times New Roman"/>
                <w:sz w:val="22"/>
                <w:lang w:eastAsia="lv-LV"/>
              </w:rPr>
              <w:t xml:space="preserve"> — ģimene vai persona, kas nodrošina aprūpi bērnam, kuram uz laiku vai pastāvīgi atņemta viņa ģimeniskā vide vai kura interesēs nav pieļaujama palikšana savā ģimenē, līdz </w:t>
            </w:r>
            <w:r w:rsidRPr="00F05ED3">
              <w:rPr>
                <w:rFonts w:eastAsia="Times New Roman"/>
                <w:sz w:val="22"/>
                <w:lang w:eastAsia="lv-LV"/>
              </w:rPr>
              <w:lastRenderedPageBreak/>
              <w:t>brīdim, kad bērns var atgriezties savā ģimenē vai, ja tas nav iespējams, tiek adoptēts, viņam nodibināta aizbildnība vai bērns ievietots bērnu aprūpes iestādē;</w:t>
            </w: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pStyle w:val="tv213tvp"/>
              <w:shd w:val="clear" w:color="auto" w:fill="FFFFFF"/>
              <w:tabs>
                <w:tab w:val="left" w:pos="284"/>
                <w:tab w:val="left" w:pos="1134"/>
              </w:tabs>
              <w:spacing w:before="0" w:beforeAutospacing="0" w:after="0" w:afterAutospacing="0"/>
              <w:ind w:firstLine="567"/>
              <w:jc w:val="both"/>
              <w:rPr>
                <w:rFonts w:eastAsiaTheme="minorHAnsi"/>
                <w:sz w:val="22"/>
                <w:szCs w:val="22"/>
                <w:lang w:eastAsia="en-US"/>
              </w:rPr>
            </w:pPr>
            <w:r w:rsidRPr="00F05ED3">
              <w:rPr>
                <w:rFonts w:eastAsiaTheme="minorHAnsi"/>
                <w:sz w:val="22"/>
                <w:szCs w:val="22"/>
                <w:lang w:eastAsia="en-US"/>
              </w:rPr>
              <w:lastRenderedPageBreak/>
              <w:t>1. Papildināt 1. pantu ar 3.</w:t>
            </w:r>
            <w:r w:rsidRPr="00F05ED3">
              <w:rPr>
                <w:rFonts w:eastAsiaTheme="minorHAnsi"/>
                <w:sz w:val="22"/>
                <w:szCs w:val="22"/>
                <w:vertAlign w:val="superscript"/>
                <w:lang w:eastAsia="en-US"/>
              </w:rPr>
              <w:t>1</w:t>
            </w:r>
            <w:r w:rsidRPr="00F05ED3">
              <w:rPr>
                <w:rFonts w:eastAsiaTheme="minorHAnsi"/>
                <w:sz w:val="22"/>
                <w:szCs w:val="22"/>
                <w:lang w:eastAsia="en-US"/>
              </w:rPr>
              <w:t> punktu šādā redakcijā:</w:t>
            </w:r>
          </w:p>
          <w:p w:rsidR="001A2FD6" w:rsidRPr="00F05ED3" w:rsidRDefault="001A2FD6" w:rsidP="001A2FD6">
            <w:pPr>
              <w:pStyle w:val="tv213"/>
              <w:tabs>
                <w:tab w:val="left" w:pos="1134"/>
              </w:tabs>
              <w:spacing w:before="0" w:beforeAutospacing="0" w:after="0" w:afterAutospacing="0"/>
              <w:ind w:firstLine="567"/>
              <w:jc w:val="both"/>
              <w:rPr>
                <w:sz w:val="22"/>
                <w:szCs w:val="22"/>
              </w:rPr>
            </w:pPr>
            <w:r w:rsidRPr="00F05ED3">
              <w:rPr>
                <w:bCs/>
                <w:sz w:val="22"/>
                <w:szCs w:val="22"/>
              </w:rPr>
              <w:t>"</w:t>
            </w:r>
            <w:r w:rsidRPr="00F05ED3">
              <w:rPr>
                <w:rFonts w:eastAsiaTheme="minorHAnsi"/>
                <w:sz w:val="22"/>
                <w:szCs w:val="22"/>
                <w:lang w:eastAsia="en-US"/>
              </w:rPr>
              <w:t>3</w:t>
            </w:r>
            <w:r w:rsidRPr="00F05ED3">
              <w:rPr>
                <w:rFonts w:eastAsiaTheme="minorHAnsi"/>
                <w:sz w:val="22"/>
                <w:szCs w:val="22"/>
                <w:vertAlign w:val="superscript"/>
                <w:lang w:eastAsia="en-US"/>
              </w:rPr>
              <w:t>1</w:t>
            </w:r>
            <w:r w:rsidRPr="00F05ED3">
              <w:rPr>
                <w:rFonts w:eastAsiaTheme="minorHAnsi"/>
                <w:sz w:val="22"/>
                <w:szCs w:val="22"/>
                <w:lang w:eastAsia="en-US"/>
              </w:rPr>
              <w:t>) </w:t>
            </w:r>
            <w:r w:rsidRPr="00F05ED3">
              <w:rPr>
                <w:rFonts w:eastAsiaTheme="minorHAnsi"/>
                <w:b/>
                <w:sz w:val="22"/>
                <w:szCs w:val="22"/>
                <w:lang w:eastAsia="en-US"/>
              </w:rPr>
              <w:t>specializētā</w:t>
            </w:r>
            <w:r w:rsidRPr="00F05ED3">
              <w:rPr>
                <w:rFonts w:eastAsiaTheme="minorHAnsi"/>
                <w:sz w:val="22"/>
                <w:szCs w:val="22"/>
                <w:lang w:eastAsia="en-US"/>
              </w:rPr>
              <w:t xml:space="preserve"> </w:t>
            </w:r>
            <w:r w:rsidRPr="00F05ED3">
              <w:rPr>
                <w:b/>
                <w:bCs/>
                <w:sz w:val="22"/>
                <w:szCs w:val="22"/>
              </w:rPr>
              <w:t>audžuģimene</w:t>
            </w:r>
            <w:r w:rsidRPr="00F05ED3">
              <w:rPr>
                <w:sz w:val="22"/>
                <w:szCs w:val="22"/>
              </w:rPr>
              <w:t xml:space="preserve"> – audžuģimene, kas </w:t>
            </w:r>
            <w:r w:rsidRPr="00F05ED3">
              <w:rPr>
                <w:sz w:val="22"/>
                <w:szCs w:val="22"/>
                <w:u w:val="single"/>
              </w:rPr>
              <w:t>ir sagatavota nodro</w:t>
            </w:r>
            <w:r w:rsidRPr="00F05ED3">
              <w:rPr>
                <w:sz w:val="22"/>
                <w:szCs w:val="22"/>
                <w:u w:val="single"/>
              </w:rPr>
              <w:softHyphen/>
              <w:t>šināt</w:t>
            </w:r>
            <w:r w:rsidRPr="00F05ED3">
              <w:rPr>
                <w:sz w:val="22"/>
                <w:szCs w:val="22"/>
              </w:rPr>
              <w:t xml:space="preserve"> aprūpi noteiktas mērķgrupas bērnam, kuram ir nepieciešama īpaša ap</w:t>
            </w:r>
            <w:bookmarkStart w:id="0" w:name="_GoBack"/>
            <w:bookmarkEnd w:id="0"/>
            <w:r w:rsidRPr="00F05ED3">
              <w:rPr>
                <w:sz w:val="22"/>
                <w:szCs w:val="22"/>
              </w:rPr>
              <w:t>rūpe;".</w:t>
            </w:r>
          </w:p>
        </w:tc>
        <w:tc>
          <w:tcPr>
            <w:tcW w:w="567" w:type="dxa"/>
            <w:tcBorders>
              <w:top w:val="single" w:sz="4" w:space="0" w:color="auto"/>
              <w:left w:val="single" w:sz="4" w:space="0" w:color="auto"/>
              <w:bottom w:val="single" w:sz="4" w:space="0" w:color="auto"/>
              <w:right w:val="single" w:sz="4" w:space="0" w:color="auto"/>
            </w:tcBorders>
          </w:tcPr>
          <w:p w:rsidR="001A2FD6" w:rsidRPr="00F05ED3" w:rsidRDefault="00751496" w:rsidP="00A77C4B">
            <w:pPr>
              <w:spacing w:line="256" w:lineRule="auto"/>
              <w:jc w:val="center"/>
              <w:rPr>
                <w:b/>
                <w:sz w:val="22"/>
              </w:rPr>
            </w:pPr>
            <w:r w:rsidRPr="00F05ED3">
              <w:rPr>
                <w:b/>
                <w:sz w:val="22"/>
              </w:rPr>
              <w:t>1</w:t>
            </w: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2810D1" w:rsidP="00A77C4B">
            <w:pPr>
              <w:spacing w:line="256" w:lineRule="auto"/>
              <w:ind w:firstLine="567"/>
              <w:jc w:val="both"/>
              <w:rPr>
                <w:b/>
                <w:sz w:val="22"/>
                <w:u w:val="single"/>
              </w:rPr>
            </w:pPr>
            <w:r w:rsidRPr="00F05ED3">
              <w:rPr>
                <w:b/>
                <w:sz w:val="22"/>
                <w:u w:val="single"/>
              </w:rPr>
              <w:t>Juridiskais birojs</w:t>
            </w:r>
          </w:p>
          <w:p w:rsidR="002810D1" w:rsidRPr="00F05ED3" w:rsidRDefault="002810D1" w:rsidP="002810D1">
            <w:pPr>
              <w:pStyle w:val="BodyTextIndent"/>
              <w:ind w:firstLine="567"/>
              <w:rPr>
                <w:sz w:val="22"/>
                <w:szCs w:val="22"/>
              </w:rPr>
            </w:pPr>
            <w:r w:rsidRPr="00F05ED3">
              <w:rPr>
                <w:sz w:val="22"/>
                <w:szCs w:val="22"/>
              </w:rPr>
              <w:t>Aizstāt likumprojektā piedāvātajā likuma 1. panta 3.</w:t>
            </w:r>
            <w:r w:rsidRPr="00F05ED3">
              <w:rPr>
                <w:sz w:val="22"/>
                <w:szCs w:val="22"/>
                <w:vertAlign w:val="superscript"/>
              </w:rPr>
              <w:t>1</w:t>
            </w:r>
            <w:r w:rsidRPr="00F05ED3">
              <w:rPr>
                <w:sz w:val="22"/>
                <w:szCs w:val="22"/>
              </w:rPr>
              <w:t> punktā vārdus “ir sagatavota nodrošināt” ar vārdu “</w:t>
            </w:r>
            <w:r w:rsidRPr="00F05ED3">
              <w:rPr>
                <w:sz w:val="22"/>
                <w:szCs w:val="22"/>
                <w:u w:val="single"/>
              </w:rPr>
              <w:t>nodrošina</w:t>
            </w:r>
            <w:r w:rsidRPr="00F05ED3">
              <w:rPr>
                <w:sz w:val="22"/>
                <w:szCs w:val="22"/>
              </w:rPr>
              <w:t>”.</w:t>
            </w:r>
          </w:p>
          <w:p w:rsidR="002810D1" w:rsidRPr="00F05ED3" w:rsidRDefault="002810D1"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ind w:firstLine="567"/>
              <w:jc w:val="both"/>
              <w:rPr>
                <w:rFonts w:eastAsia="Times New Roman"/>
                <w:sz w:val="22"/>
                <w:lang w:eastAsia="lv-LV"/>
              </w:rPr>
            </w:pPr>
            <w:r w:rsidRPr="00F05ED3">
              <w:rPr>
                <w:rFonts w:eastAsia="Times New Roman"/>
                <w:b/>
                <w:bCs/>
                <w:sz w:val="22"/>
                <w:lang w:eastAsia="lv-LV"/>
              </w:rPr>
              <w:t xml:space="preserve">36.pants. Bērna aprūpe audžuģimenē </w:t>
            </w:r>
          </w:p>
          <w:p w:rsidR="001A2FD6" w:rsidRPr="00F05ED3" w:rsidRDefault="001A2FD6" w:rsidP="001A2FD6">
            <w:pPr>
              <w:ind w:firstLine="567"/>
              <w:jc w:val="both"/>
              <w:rPr>
                <w:rFonts w:eastAsia="Times New Roman"/>
                <w:sz w:val="22"/>
                <w:lang w:eastAsia="lv-LV"/>
              </w:rPr>
            </w:pPr>
            <w:r w:rsidRPr="00F05ED3">
              <w:rPr>
                <w:rFonts w:eastAsia="Times New Roman"/>
                <w:sz w:val="22"/>
                <w:lang w:eastAsia="lv-LV"/>
              </w:rPr>
              <w:t>(1) Bāriņtiesa atbilstoši Ministru kabineta noteikumiem piešķir audžuģimenes statusu, gādā par attiecīgās ģimenes apmācību un bērna aprūpes līguma slēgšanu ar to.</w:t>
            </w:r>
          </w:p>
          <w:p w:rsidR="001A2FD6" w:rsidRPr="00F05ED3" w:rsidRDefault="001A2FD6" w:rsidP="001A2FD6">
            <w:pPr>
              <w:pStyle w:val="labojumupamats"/>
              <w:spacing w:before="0" w:beforeAutospacing="0" w:after="0" w:afterAutospacing="0"/>
              <w:ind w:firstLine="567"/>
              <w:jc w:val="both"/>
              <w:rPr>
                <w:i/>
                <w:sz w:val="22"/>
                <w:szCs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tabs>
                <w:tab w:val="left" w:pos="284"/>
                <w:tab w:val="left" w:pos="1134"/>
              </w:tabs>
              <w:ind w:firstLine="567"/>
              <w:jc w:val="both"/>
              <w:rPr>
                <w:iCs/>
                <w:sz w:val="22"/>
              </w:rPr>
            </w:pPr>
            <w:r w:rsidRPr="00F05ED3">
              <w:rPr>
                <w:iCs/>
                <w:sz w:val="22"/>
              </w:rPr>
              <w:t>2. 36. pantā:</w:t>
            </w:r>
          </w:p>
          <w:p w:rsidR="001A2FD6" w:rsidRPr="00F05ED3" w:rsidRDefault="001A2FD6" w:rsidP="001A2FD6">
            <w:pPr>
              <w:autoSpaceDE w:val="0"/>
              <w:autoSpaceDN w:val="0"/>
              <w:adjustRightInd w:val="0"/>
              <w:ind w:firstLine="567"/>
              <w:jc w:val="both"/>
              <w:rPr>
                <w:rFonts w:eastAsiaTheme="minorHAnsi"/>
                <w:sz w:val="22"/>
              </w:rPr>
            </w:pPr>
            <w:r w:rsidRPr="00F05ED3">
              <w:rPr>
                <w:rFonts w:eastAsiaTheme="minorHAnsi"/>
                <w:sz w:val="22"/>
              </w:rPr>
              <w:t>izteikt pirmo daļu šādā redakcijā:</w:t>
            </w:r>
          </w:p>
          <w:p w:rsidR="001A2FD6" w:rsidRPr="00F05ED3" w:rsidRDefault="001A2FD6" w:rsidP="001A2FD6">
            <w:pPr>
              <w:autoSpaceDE w:val="0"/>
              <w:autoSpaceDN w:val="0"/>
              <w:adjustRightInd w:val="0"/>
              <w:ind w:firstLine="567"/>
              <w:jc w:val="both"/>
              <w:rPr>
                <w:rFonts w:eastAsiaTheme="minorHAnsi"/>
                <w:sz w:val="22"/>
              </w:rPr>
            </w:pPr>
            <w:r w:rsidRPr="00F05ED3">
              <w:rPr>
                <w:rFonts w:eastAsiaTheme="minorHAnsi"/>
                <w:sz w:val="22"/>
              </w:rPr>
              <w:t>"(1) Bāriņtiesa piešķir audžuģimenes statusu, tai skaitā specializētās audžuģimenes statusu, un gādā par bērna aprūpes līguma slēgšanu ar audžuģimeni. Ministru kabinets nosaka kritērijus ģimenes (personas) atzīšanai par audžuģimeni vai specializētu audžuģimeni, kā arī specializēto audžuģimeņu veidus.";</w:t>
            </w:r>
          </w:p>
        </w:tc>
        <w:tc>
          <w:tcPr>
            <w:tcW w:w="567"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ind w:firstLine="567"/>
              <w:jc w:val="both"/>
              <w:rPr>
                <w:rFonts w:eastAsia="Times New Roman"/>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tabs>
                <w:tab w:val="left" w:pos="567"/>
              </w:tabs>
              <w:ind w:firstLine="567"/>
              <w:jc w:val="both"/>
              <w:rPr>
                <w:iCs/>
                <w:sz w:val="22"/>
              </w:rPr>
            </w:pPr>
            <w:r w:rsidRPr="00F05ED3">
              <w:rPr>
                <w:iCs/>
                <w:sz w:val="22"/>
              </w:rPr>
              <w:t>papildināt pantu ar 1.</w:t>
            </w:r>
            <w:r w:rsidRPr="00F05ED3">
              <w:rPr>
                <w:iCs/>
                <w:sz w:val="22"/>
                <w:vertAlign w:val="superscript"/>
              </w:rPr>
              <w:t>1</w:t>
            </w:r>
            <w:r w:rsidRPr="00F05ED3">
              <w:rPr>
                <w:iCs/>
                <w:sz w:val="22"/>
              </w:rPr>
              <w:t xml:space="preserve"> daļu šādā redakcijā:</w:t>
            </w:r>
          </w:p>
          <w:p w:rsidR="002810D1" w:rsidRPr="00F05ED3" w:rsidRDefault="001A2FD6" w:rsidP="00751496">
            <w:pPr>
              <w:tabs>
                <w:tab w:val="left" w:pos="567"/>
              </w:tabs>
              <w:ind w:firstLine="567"/>
              <w:jc w:val="both"/>
              <w:rPr>
                <w:iCs/>
                <w:sz w:val="22"/>
              </w:rPr>
            </w:pPr>
            <w:r w:rsidRPr="00F05ED3">
              <w:rPr>
                <w:iCs/>
                <w:sz w:val="22"/>
              </w:rPr>
              <w:t>"(1</w:t>
            </w:r>
            <w:r w:rsidRPr="00F05ED3">
              <w:rPr>
                <w:iCs/>
                <w:sz w:val="22"/>
                <w:vertAlign w:val="superscript"/>
              </w:rPr>
              <w:t>1</w:t>
            </w:r>
            <w:r w:rsidRPr="00F05ED3">
              <w:rPr>
                <w:iCs/>
                <w:sz w:val="22"/>
              </w:rPr>
              <w:t>) Pēc tam kad pieņemts bāriņtiesas lēmums par ģimenes vai personas piemērotību audžuģimenes statusam, tai skaitā specializētas audžuģimenes statusam, šā likuma 36.</w:t>
            </w:r>
            <w:r w:rsidRPr="00F05ED3">
              <w:rPr>
                <w:iCs/>
                <w:sz w:val="22"/>
                <w:vertAlign w:val="superscript"/>
              </w:rPr>
              <w:t>1</w:t>
            </w:r>
            <w:r w:rsidRPr="00F05ED3">
              <w:rPr>
                <w:iCs/>
                <w:sz w:val="22"/>
              </w:rPr>
              <w:t> pantā minētais atbalsta centrs organizē audžuģimeņu apmācības."</w:t>
            </w:r>
          </w:p>
        </w:tc>
        <w:tc>
          <w:tcPr>
            <w:tcW w:w="567"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751496">
            <w:pPr>
              <w:ind w:firstLine="567"/>
              <w:jc w:val="both"/>
              <w:rPr>
                <w:rFonts w:eastAsia="Times New Roman"/>
                <w:sz w:val="22"/>
                <w:lang w:eastAsia="lv-LV"/>
              </w:rPr>
            </w:pPr>
            <w:r w:rsidRPr="00F05ED3">
              <w:rPr>
                <w:rFonts w:eastAsia="Times New Roman"/>
                <w:sz w:val="22"/>
                <w:lang w:eastAsia="lv-LV"/>
              </w:rPr>
              <w:t>(2) Pašvaldība palīdz audžuģimenēm bērnu audzināšanā un nodrošina nepieciešamos sociālos pakalpojumus. Audžuģimenei ir tiesības saņemt līdzekļus bērna uzturam. Šo līdzekļu apmērs nedrīkst būt mazāks par apmēru, kādu, pamatojoties uz Civillikuma 179.panta piekto daļu, noteicis Ministru kabinets.</w:t>
            </w: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1A2FD6">
            <w:pPr>
              <w:tabs>
                <w:tab w:val="left" w:pos="567"/>
              </w:tabs>
              <w:ind w:firstLine="567"/>
              <w:jc w:val="both"/>
              <w:rPr>
                <w:iCs/>
                <w:sz w:val="22"/>
              </w:rPr>
            </w:pPr>
          </w:p>
        </w:tc>
        <w:tc>
          <w:tcPr>
            <w:tcW w:w="567" w:type="dxa"/>
            <w:tcBorders>
              <w:top w:val="single" w:sz="4" w:space="0" w:color="auto"/>
              <w:left w:val="single" w:sz="4" w:space="0" w:color="auto"/>
              <w:bottom w:val="single" w:sz="4" w:space="0" w:color="auto"/>
              <w:right w:val="single" w:sz="4" w:space="0" w:color="auto"/>
            </w:tcBorders>
          </w:tcPr>
          <w:p w:rsidR="002810D1" w:rsidRPr="00F05ED3" w:rsidRDefault="00751496" w:rsidP="00A77C4B">
            <w:pPr>
              <w:spacing w:line="256" w:lineRule="auto"/>
              <w:jc w:val="center"/>
              <w:rPr>
                <w:b/>
                <w:sz w:val="22"/>
              </w:rPr>
            </w:pPr>
            <w:r w:rsidRPr="00F05ED3">
              <w:rPr>
                <w:b/>
                <w:sz w:val="22"/>
              </w:rPr>
              <w:t>2</w:t>
            </w:r>
          </w:p>
        </w:tc>
        <w:tc>
          <w:tcPr>
            <w:tcW w:w="3960" w:type="dxa"/>
            <w:tcBorders>
              <w:top w:val="single" w:sz="4" w:space="0" w:color="auto"/>
              <w:left w:val="single" w:sz="4" w:space="0" w:color="auto"/>
              <w:bottom w:val="single" w:sz="4" w:space="0" w:color="auto"/>
              <w:right w:val="single" w:sz="4" w:space="0" w:color="auto"/>
            </w:tcBorders>
          </w:tcPr>
          <w:p w:rsidR="00751496" w:rsidRPr="00F05ED3" w:rsidRDefault="00751496" w:rsidP="00751496">
            <w:pPr>
              <w:spacing w:line="256" w:lineRule="auto"/>
              <w:ind w:firstLine="567"/>
              <w:jc w:val="both"/>
              <w:rPr>
                <w:b/>
                <w:sz w:val="22"/>
                <w:u w:val="single"/>
              </w:rPr>
            </w:pPr>
            <w:r w:rsidRPr="00F05ED3">
              <w:rPr>
                <w:b/>
                <w:sz w:val="22"/>
                <w:u w:val="single"/>
              </w:rPr>
              <w:t>Labklājības ministrs J.Reirs</w:t>
            </w:r>
          </w:p>
          <w:p w:rsidR="00751496" w:rsidRPr="00F05ED3" w:rsidRDefault="00751496" w:rsidP="00751496">
            <w:pPr>
              <w:tabs>
                <w:tab w:val="left" w:pos="426"/>
              </w:tabs>
              <w:ind w:firstLine="567"/>
              <w:jc w:val="both"/>
              <w:rPr>
                <w:sz w:val="22"/>
              </w:rPr>
            </w:pPr>
            <w:r w:rsidRPr="00F05ED3">
              <w:rPr>
                <w:sz w:val="22"/>
              </w:rPr>
              <w:t>Papildināt likumprojekta otro pantu ar grozījumu Bērnu tiesību aizsardzības likuma (turpmāk – Likums) 36.pantā, papildinot pantu ar jaunu daļu šādā redakcijā:</w:t>
            </w:r>
          </w:p>
          <w:p w:rsidR="00751496" w:rsidRPr="00F05ED3" w:rsidRDefault="00751496" w:rsidP="00751496">
            <w:pPr>
              <w:ind w:firstLine="567"/>
              <w:jc w:val="both"/>
              <w:rPr>
                <w:sz w:val="22"/>
                <w:lang w:eastAsia="lv-LV"/>
              </w:rPr>
            </w:pPr>
            <w:r w:rsidRPr="00F05ED3">
              <w:rPr>
                <w:sz w:val="22"/>
              </w:rPr>
              <w:t>“</w:t>
            </w:r>
            <w:r w:rsidRPr="00F05ED3">
              <w:rPr>
                <w:sz w:val="22"/>
                <w:lang w:eastAsia="lv-LV"/>
              </w:rPr>
              <w:t>papildināt pantu ar 2.</w:t>
            </w:r>
            <w:r w:rsidRPr="00F05ED3">
              <w:rPr>
                <w:sz w:val="22"/>
                <w:vertAlign w:val="superscript"/>
                <w:lang w:eastAsia="lv-LV"/>
              </w:rPr>
              <w:t>1</w:t>
            </w:r>
            <w:r w:rsidRPr="00F05ED3">
              <w:rPr>
                <w:sz w:val="22"/>
                <w:lang w:eastAsia="lv-LV"/>
              </w:rPr>
              <w:t>daļu šādā redakcijā:</w:t>
            </w:r>
          </w:p>
          <w:p w:rsidR="002810D1" w:rsidRPr="00F05ED3" w:rsidRDefault="00751496" w:rsidP="00751496">
            <w:pPr>
              <w:spacing w:line="256" w:lineRule="auto"/>
              <w:ind w:firstLine="567"/>
              <w:jc w:val="both"/>
              <w:rPr>
                <w:sz w:val="22"/>
              </w:rPr>
            </w:pPr>
            <w:r w:rsidRPr="00F05ED3">
              <w:rPr>
                <w:sz w:val="22"/>
              </w:rPr>
              <w:t>(2</w:t>
            </w:r>
            <w:r w:rsidRPr="00F05ED3">
              <w:rPr>
                <w:sz w:val="22"/>
                <w:vertAlign w:val="superscript"/>
              </w:rPr>
              <w:t>1</w:t>
            </w:r>
            <w:r w:rsidRPr="00F05ED3">
              <w:rPr>
                <w:sz w:val="22"/>
              </w:rPr>
              <w:t xml:space="preserve">) Valsts </w:t>
            </w:r>
            <w:r w:rsidRPr="00F05ED3">
              <w:rPr>
                <w:sz w:val="22"/>
                <w:lang w:eastAsia="lv-LV"/>
              </w:rPr>
              <w:t>atbilstoši likumā par valsts budžetu kārtējam gadam piešķirtajiem līdzekļiem nodrošina a</w:t>
            </w:r>
            <w:r w:rsidRPr="00F05ED3">
              <w:rPr>
                <w:sz w:val="22"/>
              </w:rPr>
              <w:t xml:space="preserve">tlīdzību par specializētās audžuģimenes pienākumu pildīšanu. Atlīdzības apmēru, </w:t>
            </w:r>
            <w:r w:rsidRPr="00F05ED3">
              <w:rPr>
                <w:sz w:val="22"/>
              </w:rPr>
              <w:lastRenderedPageBreak/>
              <w:t>tās piešķiršanas, izmaksas, pārskatīšanas un pārtraukšanas kārtību, kā arī audžuģimenes iesniedzamos dokumentus, kas nepieciešami atlīdzības saņemšanai, nosaka Ministru kabinets.”</w:t>
            </w:r>
            <w:r w:rsidRPr="00F05ED3">
              <w:rPr>
                <w:rStyle w:val="FootnoteReference"/>
                <w:sz w:val="22"/>
              </w:rPr>
              <w:footnoteReference w:id="1"/>
            </w: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1A2FD6">
            <w:pPr>
              <w:ind w:firstLine="567"/>
              <w:jc w:val="both"/>
              <w:rPr>
                <w:rFonts w:eastAsia="Times New Roman"/>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2810D1">
            <w:pPr>
              <w:pStyle w:val="tv213tvp"/>
              <w:shd w:val="clear" w:color="auto" w:fill="FFFFFF"/>
              <w:tabs>
                <w:tab w:val="left" w:pos="284"/>
                <w:tab w:val="left" w:pos="1134"/>
              </w:tabs>
              <w:spacing w:before="0" w:beforeAutospacing="0" w:after="0" w:afterAutospacing="0"/>
              <w:ind w:firstLine="567"/>
              <w:jc w:val="both"/>
              <w:rPr>
                <w:rFonts w:eastAsiaTheme="minorHAnsi"/>
                <w:sz w:val="22"/>
                <w:szCs w:val="22"/>
                <w:lang w:eastAsia="en-US"/>
              </w:rPr>
            </w:pPr>
            <w:r w:rsidRPr="00F05ED3">
              <w:rPr>
                <w:rFonts w:eastAsiaTheme="minorHAnsi"/>
                <w:sz w:val="22"/>
                <w:szCs w:val="22"/>
                <w:lang w:eastAsia="en-US"/>
              </w:rPr>
              <w:t>3. Papildināt likumu ar 36.</w:t>
            </w:r>
            <w:r w:rsidRPr="00F05ED3">
              <w:rPr>
                <w:rFonts w:eastAsiaTheme="minorHAnsi"/>
                <w:sz w:val="22"/>
                <w:szCs w:val="22"/>
                <w:vertAlign w:val="superscript"/>
                <w:lang w:eastAsia="en-US"/>
              </w:rPr>
              <w:t>1</w:t>
            </w:r>
            <w:r w:rsidRPr="00F05ED3">
              <w:rPr>
                <w:rFonts w:eastAsiaTheme="minorHAnsi"/>
                <w:sz w:val="22"/>
                <w:szCs w:val="22"/>
                <w:lang w:eastAsia="en-US"/>
              </w:rPr>
              <w:t> pantu šādā redakcijā:</w:t>
            </w:r>
          </w:p>
          <w:p w:rsidR="002810D1" w:rsidRPr="00F05ED3" w:rsidRDefault="002810D1" w:rsidP="002810D1">
            <w:pPr>
              <w:pStyle w:val="tv213"/>
              <w:spacing w:before="0" w:beforeAutospacing="0" w:after="0" w:afterAutospacing="0"/>
              <w:ind w:firstLine="567"/>
              <w:jc w:val="both"/>
              <w:rPr>
                <w:b/>
                <w:bCs/>
                <w:sz w:val="22"/>
                <w:szCs w:val="22"/>
              </w:rPr>
            </w:pPr>
            <w:r w:rsidRPr="00F05ED3">
              <w:rPr>
                <w:bCs/>
                <w:sz w:val="22"/>
                <w:szCs w:val="22"/>
              </w:rPr>
              <w:t>"</w:t>
            </w:r>
            <w:r w:rsidRPr="00F05ED3">
              <w:rPr>
                <w:b/>
                <w:bCs/>
                <w:sz w:val="22"/>
                <w:szCs w:val="22"/>
              </w:rPr>
              <w:t>36.</w:t>
            </w:r>
            <w:r w:rsidRPr="00F05ED3">
              <w:rPr>
                <w:b/>
                <w:bCs/>
                <w:sz w:val="22"/>
                <w:szCs w:val="22"/>
                <w:vertAlign w:val="superscript"/>
              </w:rPr>
              <w:t>1</w:t>
            </w:r>
            <w:r w:rsidRPr="00F05ED3">
              <w:rPr>
                <w:b/>
                <w:bCs/>
                <w:sz w:val="22"/>
                <w:szCs w:val="22"/>
              </w:rPr>
              <w:t> pants. Atbalsts ārpusģimenes aprūpes pakalpojumu sniegšanā</w:t>
            </w:r>
          </w:p>
          <w:p w:rsidR="002810D1" w:rsidRPr="00F05ED3" w:rsidRDefault="00751496" w:rsidP="00751496">
            <w:pPr>
              <w:pStyle w:val="tv213"/>
              <w:tabs>
                <w:tab w:val="left" w:pos="426"/>
                <w:tab w:val="left" w:pos="1276"/>
              </w:tabs>
              <w:spacing w:before="0" w:beforeAutospacing="0" w:after="0" w:afterAutospacing="0"/>
              <w:ind w:firstLine="567"/>
              <w:jc w:val="both"/>
              <w:rPr>
                <w:bCs/>
                <w:sz w:val="22"/>
                <w:szCs w:val="22"/>
              </w:rPr>
            </w:pPr>
            <w:r w:rsidRPr="00F05ED3">
              <w:rPr>
                <w:sz w:val="22"/>
                <w:szCs w:val="22"/>
              </w:rPr>
              <w:t xml:space="preserve">(1) </w:t>
            </w:r>
            <w:r w:rsidR="002810D1" w:rsidRPr="00F05ED3">
              <w:rPr>
                <w:sz w:val="22"/>
                <w:szCs w:val="22"/>
              </w:rPr>
              <w:t xml:space="preserve">Valsts sniedz finansiālu atbalstu ārpusģimenes aprūpes pakalpojumu sniegšanā </w:t>
            </w:r>
            <w:r w:rsidR="002810D1" w:rsidRPr="00F05ED3">
              <w:rPr>
                <w:bCs/>
                <w:sz w:val="22"/>
                <w:szCs w:val="22"/>
              </w:rPr>
              <w:t>atbilstoši likumā par valsts budžetu kārtējam gadam piešķirtajiem līdzekļiem</w:t>
            </w:r>
            <w:r w:rsidR="002810D1" w:rsidRPr="00F05ED3">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1A2FD6">
            <w:pPr>
              <w:ind w:firstLine="567"/>
              <w:jc w:val="both"/>
              <w:rPr>
                <w:rFonts w:eastAsia="Times New Roman"/>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751496" w:rsidP="00751496">
            <w:pPr>
              <w:pStyle w:val="tv213"/>
              <w:tabs>
                <w:tab w:val="left" w:pos="0"/>
                <w:tab w:val="left" w:pos="1276"/>
              </w:tabs>
              <w:spacing w:before="0" w:beforeAutospacing="0" w:after="0" w:afterAutospacing="0"/>
              <w:ind w:firstLine="567"/>
              <w:jc w:val="both"/>
              <w:rPr>
                <w:bCs/>
                <w:sz w:val="22"/>
                <w:szCs w:val="22"/>
              </w:rPr>
            </w:pPr>
            <w:r w:rsidRPr="00F05ED3">
              <w:rPr>
                <w:bCs/>
                <w:sz w:val="22"/>
                <w:szCs w:val="22"/>
              </w:rPr>
              <w:t xml:space="preserve"> (2) </w:t>
            </w:r>
            <w:r w:rsidR="002810D1" w:rsidRPr="00F05ED3">
              <w:rPr>
                <w:bCs/>
                <w:sz w:val="22"/>
                <w:szCs w:val="22"/>
              </w:rPr>
              <w:t xml:space="preserve">Šā panta pirmajā daļā minētā atbalsta sniegšanu nodrošina pašvaldības, komersanta, biedrības vai nodibinājuma izveidota institūcija – ārpusģimenes aprūpes atbalsta centrs (turpmāk – atbalsta centrs). </w:t>
            </w:r>
          </w:p>
        </w:tc>
        <w:tc>
          <w:tcPr>
            <w:tcW w:w="567" w:type="dxa"/>
            <w:tcBorders>
              <w:top w:val="single" w:sz="4" w:space="0" w:color="auto"/>
              <w:left w:val="single" w:sz="4" w:space="0" w:color="auto"/>
              <w:bottom w:val="single" w:sz="4" w:space="0" w:color="auto"/>
              <w:right w:val="single" w:sz="4" w:space="0" w:color="auto"/>
            </w:tcBorders>
          </w:tcPr>
          <w:p w:rsidR="002810D1" w:rsidRPr="00F05ED3" w:rsidRDefault="00751496" w:rsidP="00A77C4B">
            <w:pPr>
              <w:spacing w:line="256" w:lineRule="auto"/>
              <w:jc w:val="center"/>
              <w:rPr>
                <w:b/>
                <w:sz w:val="22"/>
              </w:rPr>
            </w:pPr>
            <w:r w:rsidRPr="00F05ED3">
              <w:rPr>
                <w:b/>
                <w:sz w:val="22"/>
              </w:rPr>
              <w:t>3</w:t>
            </w: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2810D1">
            <w:pPr>
              <w:spacing w:line="256" w:lineRule="auto"/>
              <w:ind w:firstLine="567"/>
              <w:jc w:val="both"/>
              <w:rPr>
                <w:b/>
                <w:sz w:val="22"/>
                <w:u w:val="single"/>
              </w:rPr>
            </w:pPr>
            <w:r w:rsidRPr="00F05ED3">
              <w:rPr>
                <w:b/>
                <w:sz w:val="22"/>
                <w:u w:val="single"/>
              </w:rPr>
              <w:t>Juridiskais birojs</w:t>
            </w:r>
          </w:p>
          <w:p w:rsidR="002810D1" w:rsidRPr="00F05ED3" w:rsidRDefault="002810D1" w:rsidP="002810D1">
            <w:pPr>
              <w:pStyle w:val="BodyTextIndent"/>
              <w:ind w:firstLine="567"/>
              <w:rPr>
                <w:sz w:val="22"/>
                <w:szCs w:val="22"/>
              </w:rPr>
            </w:pPr>
            <w:r w:rsidRPr="00F05ED3">
              <w:rPr>
                <w:sz w:val="22"/>
                <w:szCs w:val="22"/>
              </w:rPr>
              <w:t>Izteikt likumprojektā piedāvāto likuma 36.</w:t>
            </w:r>
            <w:r w:rsidRPr="00F05ED3">
              <w:rPr>
                <w:sz w:val="22"/>
                <w:szCs w:val="22"/>
                <w:vertAlign w:val="superscript"/>
              </w:rPr>
              <w:t>1</w:t>
            </w:r>
            <w:r w:rsidRPr="00F05ED3">
              <w:rPr>
                <w:sz w:val="22"/>
                <w:szCs w:val="22"/>
              </w:rPr>
              <w:t> panta otro daļu šādā redakcijā:</w:t>
            </w:r>
          </w:p>
          <w:p w:rsidR="000A0370" w:rsidRPr="00F05ED3" w:rsidRDefault="002810D1" w:rsidP="00751496">
            <w:pPr>
              <w:pStyle w:val="BodyTextIndent"/>
              <w:ind w:firstLine="567"/>
              <w:rPr>
                <w:sz w:val="22"/>
                <w:szCs w:val="22"/>
              </w:rPr>
            </w:pPr>
            <w:r w:rsidRPr="00F05ED3">
              <w:rPr>
                <w:sz w:val="22"/>
                <w:szCs w:val="22"/>
              </w:rPr>
              <w:t>“(2) Atbalstu ārpusģimenes aprūpes pakalpojumu sniegšanā nodrošina ārpusģimenes aprūpes atbalsta centrs (turpmāk – atbalsta centrs).”</w:t>
            </w: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1A2FD6">
            <w:pPr>
              <w:ind w:firstLine="567"/>
              <w:jc w:val="both"/>
              <w:rPr>
                <w:rFonts w:eastAsia="Times New Roman"/>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751496" w:rsidP="00751496">
            <w:pPr>
              <w:pStyle w:val="tv213"/>
              <w:tabs>
                <w:tab w:val="left" w:pos="426"/>
                <w:tab w:val="left" w:pos="1276"/>
              </w:tabs>
              <w:spacing w:before="0" w:beforeAutospacing="0" w:after="0" w:afterAutospacing="0"/>
              <w:ind w:firstLine="567"/>
              <w:jc w:val="both"/>
              <w:rPr>
                <w:bCs/>
                <w:sz w:val="22"/>
                <w:szCs w:val="22"/>
              </w:rPr>
            </w:pPr>
            <w:r w:rsidRPr="00F05ED3">
              <w:rPr>
                <w:sz w:val="22"/>
                <w:szCs w:val="22"/>
              </w:rPr>
              <w:t xml:space="preserve">(3) </w:t>
            </w:r>
            <w:r w:rsidR="002810D1" w:rsidRPr="00F05ED3">
              <w:rPr>
                <w:sz w:val="22"/>
                <w:szCs w:val="22"/>
              </w:rPr>
              <w:t xml:space="preserve">Ministru kabinets nosaka kritērijus atbalsta centru izveidei, atbalsta centru reģistrēšanas kārtību, kā arī prasības atbalsta centriem, </w:t>
            </w:r>
            <w:r w:rsidR="002810D1" w:rsidRPr="00F05ED3">
              <w:rPr>
                <w:sz w:val="22"/>
                <w:szCs w:val="22"/>
                <w:u w:val="single"/>
              </w:rPr>
              <w:t>nodrošinot atbalstu ārpusģimenes aprūpes pakalpojumu sniegšanā</w:t>
            </w:r>
            <w:r w:rsidR="002810D1" w:rsidRPr="00F05ED3">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2810D1" w:rsidRPr="00F05ED3" w:rsidRDefault="00751496" w:rsidP="00A77C4B">
            <w:pPr>
              <w:spacing w:line="256" w:lineRule="auto"/>
              <w:jc w:val="center"/>
              <w:rPr>
                <w:b/>
                <w:sz w:val="22"/>
              </w:rPr>
            </w:pPr>
            <w:r w:rsidRPr="00F05ED3">
              <w:rPr>
                <w:b/>
                <w:sz w:val="22"/>
              </w:rPr>
              <w:t>4</w:t>
            </w:r>
          </w:p>
        </w:tc>
        <w:tc>
          <w:tcPr>
            <w:tcW w:w="3960" w:type="dxa"/>
            <w:tcBorders>
              <w:top w:val="single" w:sz="4" w:space="0" w:color="auto"/>
              <w:left w:val="single" w:sz="4" w:space="0" w:color="auto"/>
              <w:bottom w:val="single" w:sz="4" w:space="0" w:color="auto"/>
              <w:right w:val="single" w:sz="4" w:space="0" w:color="auto"/>
            </w:tcBorders>
          </w:tcPr>
          <w:p w:rsidR="002810D1" w:rsidRPr="00F05ED3" w:rsidRDefault="002810D1" w:rsidP="002810D1">
            <w:pPr>
              <w:spacing w:line="256" w:lineRule="auto"/>
              <w:ind w:firstLine="567"/>
              <w:jc w:val="both"/>
              <w:rPr>
                <w:b/>
                <w:sz w:val="22"/>
                <w:u w:val="single"/>
              </w:rPr>
            </w:pPr>
            <w:r w:rsidRPr="00F05ED3">
              <w:rPr>
                <w:b/>
                <w:sz w:val="22"/>
                <w:u w:val="single"/>
              </w:rPr>
              <w:t>Juridiskais birojs</w:t>
            </w:r>
          </w:p>
          <w:p w:rsidR="000A0370" w:rsidRPr="00F05ED3" w:rsidRDefault="002810D1" w:rsidP="00751496">
            <w:pPr>
              <w:pStyle w:val="BodyTextIndent"/>
              <w:ind w:firstLine="567"/>
              <w:rPr>
                <w:sz w:val="22"/>
                <w:szCs w:val="22"/>
              </w:rPr>
            </w:pPr>
            <w:r w:rsidRPr="00F05ED3">
              <w:rPr>
                <w:sz w:val="22"/>
                <w:szCs w:val="22"/>
              </w:rPr>
              <w:t>Izslēgt likumprojektā piedāvātajā likuma 36.</w:t>
            </w:r>
            <w:r w:rsidRPr="00F05ED3">
              <w:rPr>
                <w:sz w:val="22"/>
                <w:szCs w:val="22"/>
                <w:vertAlign w:val="superscript"/>
              </w:rPr>
              <w:t>1</w:t>
            </w:r>
            <w:r w:rsidRPr="00F05ED3">
              <w:rPr>
                <w:sz w:val="22"/>
                <w:szCs w:val="22"/>
              </w:rPr>
              <w:t> panta trešajā daļā vārdus “nodrošinot atbalstu ārpusģimenes aprūpes pakalpojumu sniegšanā”.</w:t>
            </w: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2810D1" w:rsidRPr="00F05ED3" w:rsidRDefault="002810D1"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pStyle w:val="tv213"/>
              <w:spacing w:before="0" w:beforeAutospacing="0" w:after="0" w:afterAutospacing="0"/>
              <w:ind w:firstLine="567"/>
              <w:jc w:val="both"/>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751496" w:rsidP="00751496">
            <w:pPr>
              <w:pStyle w:val="tv213"/>
              <w:tabs>
                <w:tab w:val="left" w:pos="426"/>
                <w:tab w:val="left" w:pos="1276"/>
              </w:tabs>
              <w:spacing w:before="0" w:beforeAutospacing="0" w:after="0" w:afterAutospacing="0"/>
              <w:ind w:firstLine="567"/>
              <w:jc w:val="both"/>
              <w:rPr>
                <w:bCs/>
                <w:sz w:val="22"/>
                <w:szCs w:val="22"/>
              </w:rPr>
            </w:pPr>
            <w:r w:rsidRPr="00F05ED3">
              <w:rPr>
                <w:bCs/>
                <w:sz w:val="22"/>
                <w:szCs w:val="22"/>
              </w:rPr>
              <w:t xml:space="preserve">(4) </w:t>
            </w:r>
            <w:r w:rsidR="001A2FD6" w:rsidRPr="00F05ED3">
              <w:rPr>
                <w:bCs/>
                <w:sz w:val="22"/>
                <w:szCs w:val="22"/>
              </w:rPr>
              <w:t>Ministru kabinets nosaka nosacījumus valsts finansējuma piešķiršanai atbalsta centriem, finansējuma apmēru, kā arī kārtību, kādā sniedzams atbalsts."</w:t>
            </w:r>
          </w:p>
        </w:tc>
        <w:tc>
          <w:tcPr>
            <w:tcW w:w="567"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2810D1">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pStyle w:val="tv213"/>
              <w:spacing w:before="0" w:beforeAutospacing="0" w:after="0" w:afterAutospacing="0"/>
              <w:ind w:firstLine="567"/>
              <w:jc w:val="both"/>
              <w:rPr>
                <w:b/>
                <w:bCs/>
                <w:sz w:val="22"/>
                <w:szCs w:val="22"/>
              </w:rPr>
            </w:pPr>
            <w:r w:rsidRPr="00F05ED3">
              <w:rPr>
                <w:b/>
                <w:bCs/>
                <w:sz w:val="22"/>
                <w:szCs w:val="22"/>
              </w:rPr>
              <w:t>45.</w:t>
            </w:r>
            <w:r w:rsidRPr="00F05ED3">
              <w:rPr>
                <w:b/>
                <w:bCs/>
                <w:sz w:val="22"/>
                <w:szCs w:val="22"/>
                <w:vertAlign w:val="superscript"/>
              </w:rPr>
              <w:t>4</w:t>
            </w:r>
            <w:r w:rsidRPr="00F05ED3">
              <w:rPr>
                <w:b/>
                <w:bCs/>
                <w:sz w:val="22"/>
                <w:szCs w:val="22"/>
              </w:rPr>
              <w:t xml:space="preserve"> pants. Vecāku aprūpē un ārpusģimenes aprūpē esoša bērna nodošana citas personas aprūpē ārvalstī un aprūpes uzraudzība</w:t>
            </w:r>
          </w:p>
          <w:p w:rsidR="000A0370" w:rsidRPr="00F05ED3" w:rsidRDefault="000A0370" w:rsidP="000A0370">
            <w:pPr>
              <w:pStyle w:val="tv213"/>
              <w:spacing w:before="0" w:beforeAutospacing="0" w:after="0" w:afterAutospacing="0"/>
              <w:ind w:firstLine="567"/>
              <w:jc w:val="both"/>
              <w:rPr>
                <w:sz w:val="22"/>
                <w:szCs w:val="22"/>
              </w:rPr>
            </w:pPr>
            <w:r w:rsidRPr="00F05ED3">
              <w:rPr>
                <w:sz w:val="22"/>
                <w:szCs w:val="22"/>
              </w:rPr>
              <w:t>(2) Ārpusģimenes aprūpē esošu bērnu var nodot uz laiku citas personas aprūpē ārvalstī, ja tam piekrīt bāriņtiesa, kas pieņēmusi lēmumu par bērna ārpusģimenes aprūpi, un ja šī bāriņtiesa atzinusi, ka nodošana atbilst bērna interesēm un attiecīgā persona spēs bērnu pienācīgi aprūpēt.</w:t>
            </w: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pStyle w:val="tv213"/>
              <w:tabs>
                <w:tab w:val="left" w:pos="426"/>
                <w:tab w:val="left" w:pos="1276"/>
              </w:tabs>
              <w:spacing w:before="0" w:beforeAutospacing="0" w:after="0" w:afterAutospacing="0"/>
              <w:ind w:left="567"/>
              <w:jc w:val="both"/>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A0370" w:rsidRPr="00F05ED3" w:rsidRDefault="00751496" w:rsidP="00A77C4B">
            <w:pPr>
              <w:spacing w:line="256" w:lineRule="auto"/>
              <w:jc w:val="center"/>
              <w:rPr>
                <w:b/>
                <w:sz w:val="22"/>
              </w:rPr>
            </w:pPr>
            <w:r w:rsidRPr="00F05ED3">
              <w:rPr>
                <w:b/>
                <w:sz w:val="22"/>
              </w:rPr>
              <w:t>5</w:t>
            </w: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2810D1">
            <w:pPr>
              <w:spacing w:line="256" w:lineRule="auto"/>
              <w:ind w:firstLine="567"/>
              <w:jc w:val="both"/>
              <w:rPr>
                <w:b/>
                <w:sz w:val="22"/>
                <w:u w:val="single"/>
              </w:rPr>
            </w:pPr>
            <w:r w:rsidRPr="00F05ED3">
              <w:rPr>
                <w:b/>
                <w:sz w:val="22"/>
                <w:u w:val="single"/>
              </w:rPr>
              <w:t>Labklājības ministrs J.Reirs</w:t>
            </w:r>
          </w:p>
          <w:p w:rsidR="000A0370" w:rsidRPr="00F05ED3" w:rsidRDefault="000A0370" w:rsidP="00B7053E">
            <w:pPr>
              <w:tabs>
                <w:tab w:val="left" w:pos="426"/>
              </w:tabs>
              <w:ind w:firstLine="567"/>
              <w:jc w:val="both"/>
              <w:rPr>
                <w:sz w:val="22"/>
              </w:rPr>
            </w:pPr>
            <w:r w:rsidRPr="00F05ED3">
              <w:rPr>
                <w:sz w:val="22"/>
              </w:rPr>
              <w:t xml:space="preserve">Papildināt likumprojektu ar jaunu 4.pantu </w:t>
            </w:r>
            <w:r w:rsidR="00B7053E" w:rsidRPr="00F05ED3">
              <w:rPr>
                <w:sz w:val="22"/>
              </w:rPr>
              <w:t xml:space="preserve">– grozījumiem Likuma </w:t>
            </w:r>
            <w:r w:rsidRPr="00F05ED3">
              <w:rPr>
                <w:sz w:val="22"/>
              </w:rPr>
              <w:t>45.</w:t>
            </w:r>
            <w:r w:rsidRPr="00F05ED3">
              <w:rPr>
                <w:sz w:val="22"/>
                <w:vertAlign w:val="superscript"/>
              </w:rPr>
              <w:t>4</w:t>
            </w:r>
            <w:r w:rsidRPr="00F05ED3">
              <w:rPr>
                <w:sz w:val="22"/>
              </w:rPr>
              <w:t>pantā, izsakot pantu šādā redakcijā:</w:t>
            </w:r>
          </w:p>
          <w:p w:rsidR="000A0370" w:rsidRPr="00F05ED3" w:rsidRDefault="000A0370" w:rsidP="000A0370">
            <w:pPr>
              <w:pStyle w:val="tv213tvp"/>
              <w:shd w:val="clear" w:color="auto" w:fill="FFFFFF"/>
              <w:tabs>
                <w:tab w:val="left" w:pos="709"/>
              </w:tabs>
              <w:spacing w:before="0" w:beforeAutospacing="0" w:after="0" w:afterAutospacing="0"/>
              <w:ind w:firstLine="567"/>
              <w:jc w:val="both"/>
              <w:rPr>
                <w:rFonts w:eastAsia="Calibri"/>
                <w:sz w:val="22"/>
                <w:szCs w:val="22"/>
                <w:lang w:eastAsia="en-US"/>
              </w:rPr>
            </w:pPr>
            <w:r w:rsidRPr="00F05ED3">
              <w:rPr>
                <w:rFonts w:eastAsia="Calibri"/>
                <w:sz w:val="22"/>
                <w:szCs w:val="22"/>
                <w:lang w:eastAsia="en-US"/>
              </w:rPr>
              <w:t>„45.</w:t>
            </w:r>
            <w:r w:rsidRPr="00F05ED3">
              <w:rPr>
                <w:rFonts w:eastAsia="Calibri"/>
                <w:sz w:val="22"/>
                <w:szCs w:val="22"/>
                <w:vertAlign w:val="superscript"/>
                <w:lang w:eastAsia="en-US"/>
              </w:rPr>
              <w:t xml:space="preserve">4 </w:t>
            </w:r>
            <w:r w:rsidRPr="00F05ED3">
              <w:rPr>
                <w:rFonts w:eastAsia="Calibri"/>
                <w:sz w:val="22"/>
                <w:szCs w:val="22"/>
                <w:lang w:eastAsia="en-US"/>
              </w:rPr>
              <w:t xml:space="preserve"> pantā: </w:t>
            </w:r>
          </w:p>
          <w:p w:rsidR="000A0370" w:rsidRPr="00F05ED3" w:rsidRDefault="000A0370" w:rsidP="000A0370">
            <w:pPr>
              <w:pStyle w:val="tv213"/>
              <w:spacing w:before="0" w:beforeAutospacing="0" w:after="0" w:afterAutospacing="0"/>
              <w:ind w:firstLine="567"/>
              <w:jc w:val="both"/>
              <w:rPr>
                <w:bCs/>
                <w:sz w:val="22"/>
                <w:szCs w:val="22"/>
              </w:rPr>
            </w:pPr>
            <w:r w:rsidRPr="00F05ED3">
              <w:rPr>
                <w:bCs/>
                <w:sz w:val="22"/>
                <w:szCs w:val="22"/>
              </w:rPr>
              <w:t>izteikt otro daļu šādā redakcijā:</w:t>
            </w:r>
          </w:p>
          <w:p w:rsidR="000A0370" w:rsidRPr="00F05ED3" w:rsidRDefault="000A0370" w:rsidP="000A0370">
            <w:pPr>
              <w:ind w:firstLine="567"/>
              <w:jc w:val="both"/>
              <w:rPr>
                <w:sz w:val="22"/>
              </w:rPr>
            </w:pPr>
            <w:r w:rsidRPr="00F05ED3">
              <w:rPr>
                <w:bCs/>
                <w:sz w:val="22"/>
              </w:rPr>
              <w:t>„(2) Bērnu aprūpes iestādē</w:t>
            </w:r>
            <w:r w:rsidRPr="00F05ED3">
              <w:rPr>
                <w:rFonts w:ascii="Arial" w:hAnsi="Arial" w:cs="Arial"/>
                <w:sz w:val="22"/>
              </w:rPr>
              <w:t xml:space="preserve"> </w:t>
            </w:r>
            <w:r w:rsidRPr="00F05ED3">
              <w:rPr>
                <w:sz w:val="22"/>
              </w:rPr>
              <w:t>esošu bērnu, kurš sasniedzis divpadsmit gadu vecumu, var nodot uz laiku citas personas aprūpē ārvalstī, ja tam piekrīt bāriņtiesa, kas pieņēmusi lēmumu par bērna ārpusģimenes aprūpi, un ja šī bāriņtiesa atzinusi, ka nodošana atbilst bērna interesēm un attiecīgā persona spēs bērnu pienācīgi aprūpēt.”</w:t>
            </w:r>
          </w:p>
        </w:tc>
        <w:tc>
          <w:tcPr>
            <w:tcW w:w="1420" w:type="dxa"/>
            <w:tcBorders>
              <w:top w:val="single" w:sz="4" w:space="0" w:color="auto"/>
              <w:left w:val="single" w:sz="4" w:space="0" w:color="auto"/>
              <w:bottom w:val="single" w:sz="4" w:space="0" w:color="auto"/>
              <w:right w:val="single" w:sz="4" w:space="0" w:color="auto"/>
            </w:tcBorders>
          </w:tcPr>
          <w:p w:rsidR="000A0370" w:rsidRPr="00F05ED3" w:rsidRDefault="000A0370"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A0370" w:rsidRPr="00F05ED3" w:rsidRDefault="000A0370"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pStyle w:val="tv213"/>
              <w:spacing w:before="0" w:beforeAutospacing="0" w:after="0" w:afterAutospacing="0"/>
              <w:ind w:firstLine="567"/>
              <w:jc w:val="both"/>
              <w:rPr>
                <w:b/>
                <w:bCs/>
                <w:sz w:val="22"/>
                <w:szCs w:val="22"/>
              </w:rPr>
            </w:pP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pStyle w:val="tv213"/>
              <w:tabs>
                <w:tab w:val="left" w:pos="426"/>
                <w:tab w:val="left" w:pos="1276"/>
              </w:tabs>
              <w:spacing w:before="0" w:beforeAutospacing="0" w:after="0" w:afterAutospacing="0"/>
              <w:ind w:left="567"/>
              <w:jc w:val="both"/>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A0370" w:rsidRPr="00F05ED3" w:rsidRDefault="00751496" w:rsidP="00A77C4B">
            <w:pPr>
              <w:spacing w:line="256" w:lineRule="auto"/>
              <w:jc w:val="center"/>
              <w:rPr>
                <w:b/>
                <w:sz w:val="22"/>
              </w:rPr>
            </w:pPr>
            <w:r w:rsidRPr="00F05ED3">
              <w:rPr>
                <w:b/>
                <w:sz w:val="22"/>
              </w:rPr>
              <w:t>6</w:t>
            </w: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spacing w:line="256" w:lineRule="auto"/>
              <w:ind w:firstLine="567"/>
              <w:jc w:val="both"/>
              <w:rPr>
                <w:b/>
                <w:sz w:val="22"/>
                <w:u w:val="single"/>
              </w:rPr>
            </w:pPr>
            <w:r w:rsidRPr="00F05ED3">
              <w:rPr>
                <w:b/>
                <w:sz w:val="22"/>
                <w:u w:val="single"/>
              </w:rPr>
              <w:t>Labklājības ministrs J.Reirs</w:t>
            </w:r>
          </w:p>
          <w:p w:rsidR="000A0370" w:rsidRPr="00F05ED3" w:rsidRDefault="000A0370" w:rsidP="000A0370">
            <w:pPr>
              <w:pStyle w:val="tv213"/>
              <w:spacing w:before="0" w:beforeAutospacing="0" w:after="0" w:afterAutospacing="0"/>
              <w:ind w:firstLine="567"/>
              <w:jc w:val="both"/>
              <w:rPr>
                <w:sz w:val="22"/>
                <w:szCs w:val="22"/>
              </w:rPr>
            </w:pPr>
            <w:r w:rsidRPr="00F05ED3">
              <w:rPr>
                <w:sz w:val="22"/>
                <w:szCs w:val="22"/>
              </w:rPr>
              <w:t xml:space="preserve">papildināt pantu </w:t>
            </w:r>
            <w:r w:rsidRPr="00F05ED3">
              <w:rPr>
                <w:bCs/>
                <w:sz w:val="22"/>
                <w:szCs w:val="22"/>
              </w:rPr>
              <w:t>ar 2.</w:t>
            </w:r>
            <w:r w:rsidRPr="00F05ED3">
              <w:rPr>
                <w:rFonts w:eastAsia="Calibri"/>
                <w:sz w:val="22"/>
                <w:szCs w:val="22"/>
                <w:vertAlign w:val="superscript"/>
                <w:lang w:eastAsia="en-US"/>
              </w:rPr>
              <w:t xml:space="preserve">1 </w:t>
            </w:r>
            <w:r w:rsidRPr="00F05ED3">
              <w:rPr>
                <w:rFonts w:eastAsia="Calibri"/>
                <w:sz w:val="22"/>
                <w:szCs w:val="22"/>
                <w:lang w:eastAsia="en-US"/>
              </w:rPr>
              <w:t>daļu šādā redakcijā:</w:t>
            </w:r>
          </w:p>
          <w:p w:rsidR="000A0370" w:rsidRPr="00F05ED3" w:rsidRDefault="000A0370" w:rsidP="000A0370">
            <w:pPr>
              <w:ind w:firstLine="567"/>
              <w:jc w:val="both"/>
              <w:rPr>
                <w:b/>
                <w:sz w:val="22"/>
                <w:u w:val="single"/>
              </w:rPr>
            </w:pPr>
            <w:r w:rsidRPr="00F05ED3">
              <w:rPr>
                <w:sz w:val="22"/>
              </w:rPr>
              <w:t>“(</w:t>
            </w:r>
            <w:r w:rsidRPr="00F05ED3">
              <w:rPr>
                <w:bCs/>
                <w:sz w:val="22"/>
              </w:rPr>
              <w:t>2.</w:t>
            </w:r>
            <w:r w:rsidRPr="00F05ED3">
              <w:rPr>
                <w:sz w:val="22"/>
                <w:vertAlign w:val="superscript"/>
              </w:rPr>
              <w:t xml:space="preserve">1 </w:t>
            </w:r>
            <w:r w:rsidRPr="00F05ED3">
              <w:rPr>
                <w:sz w:val="22"/>
              </w:rPr>
              <w:t>) Aizbildnībā esošu bērnu var nodot uz laiku citas personas aprūpē ārvalstī, ja tam piekrīt bāriņtiesa, kas pieņēmusi lēmumu par bērna ārpusģimenes aprūpi, un ja šī bāriņtiesa atzinusi, ka nodošana atbilst bērna interesēm un attiecīgā persona spēs bērnu pienācīgi aprūpēt.”</w:t>
            </w:r>
          </w:p>
        </w:tc>
        <w:tc>
          <w:tcPr>
            <w:tcW w:w="1420" w:type="dxa"/>
            <w:tcBorders>
              <w:top w:val="single" w:sz="4" w:space="0" w:color="auto"/>
              <w:left w:val="single" w:sz="4" w:space="0" w:color="auto"/>
              <w:bottom w:val="single" w:sz="4" w:space="0" w:color="auto"/>
              <w:right w:val="single" w:sz="4" w:space="0" w:color="auto"/>
            </w:tcBorders>
          </w:tcPr>
          <w:p w:rsidR="000A0370" w:rsidRPr="00F05ED3" w:rsidRDefault="000A0370"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A0370" w:rsidRPr="00F05ED3" w:rsidRDefault="000A0370" w:rsidP="00A77C4B">
            <w:pPr>
              <w:spacing w:line="256" w:lineRule="auto"/>
              <w:jc w:val="center"/>
              <w:rPr>
                <w:sz w:val="22"/>
              </w:rPr>
            </w:pPr>
          </w:p>
        </w:tc>
      </w:tr>
      <w:tr w:rsidR="00F05ED3" w:rsidRPr="00F05ED3" w:rsidTr="001A2FD6">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pStyle w:val="tv213"/>
              <w:spacing w:before="0" w:beforeAutospacing="0" w:after="0" w:afterAutospacing="0"/>
              <w:ind w:firstLine="567"/>
              <w:jc w:val="both"/>
              <w:rPr>
                <w:b/>
                <w:bCs/>
                <w:sz w:val="22"/>
                <w:szCs w:val="22"/>
              </w:rPr>
            </w:pPr>
            <w:r w:rsidRPr="00F05ED3">
              <w:rPr>
                <w:sz w:val="22"/>
                <w:szCs w:val="22"/>
              </w:rPr>
              <w:lastRenderedPageBreak/>
              <w:t xml:space="preserve">(5) Aizbildnis </w:t>
            </w:r>
            <w:r w:rsidRPr="00F05ED3">
              <w:rPr>
                <w:sz w:val="22"/>
                <w:szCs w:val="22"/>
                <w:u w:val="single"/>
              </w:rPr>
              <w:t>un audžuģimene</w:t>
            </w:r>
            <w:r w:rsidRPr="00F05ED3">
              <w:rPr>
                <w:sz w:val="22"/>
                <w:szCs w:val="22"/>
              </w:rPr>
              <w:t xml:space="preserve"> vienojas ar personu par kārtību, kādā personai sedz izdevumus, kas saistīti ar bērna uzturu.</w:t>
            </w: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pStyle w:val="tv213"/>
              <w:tabs>
                <w:tab w:val="left" w:pos="426"/>
                <w:tab w:val="left" w:pos="1276"/>
              </w:tabs>
              <w:spacing w:before="0" w:beforeAutospacing="0" w:after="0" w:afterAutospacing="0"/>
              <w:ind w:left="567"/>
              <w:jc w:val="both"/>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0A0370" w:rsidRPr="00F05ED3" w:rsidRDefault="00751496" w:rsidP="00A77C4B">
            <w:pPr>
              <w:spacing w:line="256" w:lineRule="auto"/>
              <w:jc w:val="center"/>
              <w:rPr>
                <w:b/>
                <w:sz w:val="22"/>
              </w:rPr>
            </w:pPr>
            <w:r w:rsidRPr="00F05ED3">
              <w:rPr>
                <w:b/>
                <w:sz w:val="22"/>
              </w:rPr>
              <w:t>7</w:t>
            </w:r>
          </w:p>
        </w:tc>
        <w:tc>
          <w:tcPr>
            <w:tcW w:w="3960" w:type="dxa"/>
            <w:tcBorders>
              <w:top w:val="single" w:sz="4" w:space="0" w:color="auto"/>
              <w:left w:val="single" w:sz="4" w:space="0" w:color="auto"/>
              <w:bottom w:val="single" w:sz="4" w:space="0" w:color="auto"/>
              <w:right w:val="single" w:sz="4" w:space="0" w:color="auto"/>
            </w:tcBorders>
          </w:tcPr>
          <w:p w:rsidR="000A0370" w:rsidRPr="00F05ED3" w:rsidRDefault="000A0370" w:rsidP="000A0370">
            <w:pPr>
              <w:spacing w:line="256" w:lineRule="auto"/>
              <w:ind w:firstLine="567"/>
              <w:jc w:val="both"/>
              <w:rPr>
                <w:b/>
                <w:sz w:val="22"/>
                <w:u w:val="single"/>
              </w:rPr>
            </w:pPr>
            <w:r w:rsidRPr="00F05ED3">
              <w:rPr>
                <w:b/>
                <w:sz w:val="22"/>
                <w:u w:val="single"/>
              </w:rPr>
              <w:t>Labklājības ministrs J.Reirs</w:t>
            </w:r>
          </w:p>
          <w:p w:rsidR="000A0370" w:rsidRPr="00F05ED3" w:rsidRDefault="000A0370" w:rsidP="000A0370">
            <w:pPr>
              <w:pStyle w:val="tv213"/>
              <w:shd w:val="clear" w:color="auto" w:fill="FFFFFF"/>
              <w:spacing w:before="0" w:beforeAutospacing="0" w:after="0" w:afterAutospacing="0"/>
              <w:ind w:firstLine="567"/>
              <w:jc w:val="both"/>
              <w:rPr>
                <w:sz w:val="22"/>
                <w:szCs w:val="22"/>
              </w:rPr>
            </w:pPr>
            <w:r w:rsidRPr="00F05ED3">
              <w:rPr>
                <w:bCs/>
                <w:sz w:val="22"/>
                <w:szCs w:val="22"/>
              </w:rPr>
              <w:t xml:space="preserve">izslēgt piektajā daļā </w:t>
            </w:r>
            <w:r w:rsidRPr="00F05ED3">
              <w:rPr>
                <w:sz w:val="22"/>
                <w:szCs w:val="22"/>
              </w:rPr>
              <w:t xml:space="preserve"> vārdus “un audžuģimene”.</w:t>
            </w:r>
            <w:r w:rsidR="00751496" w:rsidRPr="00F05ED3">
              <w:rPr>
                <w:rStyle w:val="FootnoteReference"/>
                <w:sz w:val="22"/>
                <w:szCs w:val="22"/>
              </w:rPr>
              <w:footnoteReference w:id="2"/>
            </w:r>
          </w:p>
        </w:tc>
        <w:tc>
          <w:tcPr>
            <w:tcW w:w="1420" w:type="dxa"/>
            <w:tcBorders>
              <w:top w:val="single" w:sz="4" w:space="0" w:color="auto"/>
              <w:left w:val="single" w:sz="4" w:space="0" w:color="auto"/>
              <w:bottom w:val="single" w:sz="4" w:space="0" w:color="auto"/>
              <w:right w:val="single" w:sz="4" w:space="0" w:color="auto"/>
            </w:tcBorders>
          </w:tcPr>
          <w:p w:rsidR="000A0370" w:rsidRPr="00F05ED3" w:rsidRDefault="000A0370"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0A0370" w:rsidRPr="00F05ED3" w:rsidRDefault="000A0370" w:rsidP="00A77C4B">
            <w:pPr>
              <w:spacing w:line="256" w:lineRule="auto"/>
              <w:jc w:val="center"/>
              <w:rPr>
                <w:sz w:val="22"/>
              </w:rPr>
            </w:pPr>
          </w:p>
        </w:tc>
      </w:tr>
      <w:tr w:rsidR="001A2FD6" w:rsidRPr="00F05ED3" w:rsidTr="001A2FD6">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ind w:firstLine="567"/>
              <w:jc w:val="both"/>
              <w:rPr>
                <w:rFonts w:eastAsia="Times New Roman"/>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1A2FD6">
            <w:pPr>
              <w:ind w:firstLine="567"/>
              <w:jc w:val="both"/>
              <w:rPr>
                <w:sz w:val="22"/>
              </w:rPr>
            </w:pPr>
            <w:r w:rsidRPr="00F05ED3">
              <w:rPr>
                <w:sz w:val="22"/>
              </w:rPr>
              <w:t>Likums stājas spēkā 2018. gada 1. jūlijā.</w:t>
            </w:r>
          </w:p>
        </w:tc>
        <w:tc>
          <w:tcPr>
            <w:tcW w:w="567"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1A2FD6" w:rsidRPr="00F05ED3" w:rsidRDefault="001A2FD6" w:rsidP="00A77C4B">
            <w:pPr>
              <w:spacing w:line="256" w:lineRule="auto"/>
              <w:jc w:val="center"/>
              <w:rPr>
                <w:sz w:val="22"/>
              </w:rPr>
            </w:pPr>
          </w:p>
        </w:tc>
      </w:tr>
    </w:tbl>
    <w:p w:rsidR="001A2FD6" w:rsidRPr="00F05ED3" w:rsidRDefault="001A2FD6" w:rsidP="00751496"/>
    <w:sectPr w:rsidR="001A2FD6" w:rsidRPr="00F05ED3" w:rsidSect="00751496">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7A" w:rsidRDefault="00C84C38">
      <w:r>
        <w:separator/>
      </w:r>
    </w:p>
  </w:endnote>
  <w:endnote w:type="continuationSeparator" w:id="0">
    <w:p w:rsidR="00AD067A" w:rsidRDefault="00C8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1A2FD6"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F05ED3"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1A2FD6"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ED3">
      <w:rPr>
        <w:rStyle w:val="PageNumber"/>
        <w:noProof/>
      </w:rPr>
      <w:t>2</w:t>
    </w:r>
    <w:r>
      <w:rPr>
        <w:rStyle w:val="PageNumber"/>
      </w:rPr>
      <w:fldChar w:fldCharType="end"/>
    </w:r>
  </w:p>
  <w:p w:rsidR="00C71E28" w:rsidRDefault="00F05ED3"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F05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7A" w:rsidRDefault="00C84C38">
      <w:r>
        <w:separator/>
      </w:r>
    </w:p>
  </w:footnote>
  <w:footnote w:type="continuationSeparator" w:id="0">
    <w:p w:rsidR="00AD067A" w:rsidRDefault="00C84C38">
      <w:r>
        <w:continuationSeparator/>
      </w:r>
    </w:p>
  </w:footnote>
  <w:footnote w:id="1">
    <w:p w:rsidR="00751496" w:rsidRPr="00751496" w:rsidRDefault="00751496" w:rsidP="00751496">
      <w:pPr>
        <w:ind w:firstLine="567"/>
        <w:jc w:val="both"/>
        <w:rPr>
          <w:sz w:val="20"/>
          <w:szCs w:val="20"/>
        </w:rPr>
      </w:pPr>
      <w:r>
        <w:rPr>
          <w:rStyle w:val="FootnoteReference"/>
        </w:rPr>
        <w:footnoteRef/>
      </w:r>
      <w:r>
        <w:t xml:space="preserve"> </w:t>
      </w:r>
      <w:r w:rsidRPr="00751496">
        <w:rPr>
          <w:sz w:val="20"/>
          <w:szCs w:val="20"/>
        </w:rPr>
        <w:t>Pamatojums:</w:t>
      </w:r>
    </w:p>
    <w:p w:rsidR="00751496" w:rsidRPr="00751496" w:rsidRDefault="00751496" w:rsidP="00751496">
      <w:pPr>
        <w:ind w:firstLine="567"/>
        <w:jc w:val="both"/>
        <w:rPr>
          <w:bCs/>
          <w:iCs/>
          <w:sz w:val="20"/>
          <w:szCs w:val="20"/>
          <w:shd w:val="clear" w:color="auto" w:fill="FFFFFF"/>
        </w:rPr>
      </w:pPr>
      <w:r w:rsidRPr="00751496">
        <w:rPr>
          <w:bCs/>
          <w:sz w:val="20"/>
          <w:szCs w:val="20"/>
        </w:rPr>
        <w:t xml:space="preserve">Saskaņā ar Koncepciju “Par adopcijas un ārpusģimenes aprūpes sistēmu pilnveidošanu”, kas apstiprināta ar Ministru kabineta </w:t>
      </w:r>
      <w:r w:rsidRPr="00751496">
        <w:rPr>
          <w:sz w:val="20"/>
          <w:szCs w:val="20"/>
        </w:rPr>
        <w:t xml:space="preserve">2015.gada 9.marta </w:t>
      </w:r>
      <w:r w:rsidRPr="00751496">
        <w:rPr>
          <w:bCs/>
          <w:sz w:val="20"/>
          <w:szCs w:val="20"/>
        </w:rPr>
        <w:t xml:space="preserve">rīkojuma Nr.114, (turpmāk – Koncepcija) </w:t>
      </w:r>
      <w:r w:rsidRPr="00751496">
        <w:rPr>
          <w:sz w:val="20"/>
          <w:szCs w:val="20"/>
        </w:rPr>
        <w:t>jautājumu par papildu valsts budžeta līdzekļu piešķiršanu Labklājības ministrijai (turpmāk – Ministrija) adopcijas un ārpusģimenes aprūpes sistēmu pilnveidošanai paredzēts izskatīt Ministru kabinetā kopā ar visu ministriju un centrālo valsts iestāžu priekšlikumiem prioritārajiem pasākumiem. Atbilstoši Ministru kabineta 2017.gada 8.septembra sēdes protokollēmuma Nr.44 1.§ 15.punktam atbalstīts priekšlikums piešķirt finansējumu Ministrijas prioritārajam pasākumam „Alternatīvo ģimenes aprūpes formu attīstība” K</w:t>
      </w:r>
      <w:r w:rsidRPr="00751496">
        <w:rPr>
          <w:bCs/>
          <w:iCs/>
          <w:sz w:val="20"/>
          <w:szCs w:val="20"/>
          <w:shd w:val="clear" w:color="auto" w:fill="FFFFFF"/>
        </w:rPr>
        <w:t xml:space="preserve">oncepcijā paredzēto pasākumu īstenošanai 2017. - 2019.gadā, 2017. gadā piešķirot 1 026 007 euro apmērā, 2018. un 2019. gadā ik gadu 1 264 804 euro apmērā. </w:t>
      </w:r>
    </w:p>
    <w:p w:rsidR="00751496" w:rsidRPr="00751496" w:rsidRDefault="00751496" w:rsidP="00751496">
      <w:pPr>
        <w:ind w:firstLine="567"/>
        <w:jc w:val="both"/>
        <w:rPr>
          <w:sz w:val="20"/>
          <w:szCs w:val="20"/>
        </w:rPr>
      </w:pPr>
      <w:r w:rsidRPr="00751496">
        <w:rPr>
          <w:bCs/>
          <w:iCs/>
          <w:sz w:val="20"/>
          <w:szCs w:val="20"/>
          <w:shd w:val="clear" w:color="auto" w:fill="FFFFFF"/>
        </w:rPr>
        <w:t xml:space="preserve">No 2018.gada 1.jūlija Latvijā </w:t>
      </w:r>
      <w:r w:rsidRPr="00751496">
        <w:rPr>
          <w:sz w:val="20"/>
          <w:szCs w:val="20"/>
        </w:rPr>
        <w:t>ir plānots ieviest specializētās audžuģimenes, lai primāri mazinātu bērna nonākšanu vai ilgstošu uzturēšanos institucionālā aprūpē. Pašlaik ir identificēti šādi specializēto audžuģimeņu veidi:</w:t>
      </w:r>
    </w:p>
    <w:p w:rsidR="00751496" w:rsidRPr="00751496" w:rsidRDefault="00751496" w:rsidP="00751496">
      <w:pPr>
        <w:pStyle w:val="ListParagraph"/>
        <w:numPr>
          <w:ilvl w:val="0"/>
          <w:numId w:val="5"/>
        </w:numPr>
        <w:tabs>
          <w:tab w:val="right" w:pos="993"/>
        </w:tabs>
        <w:ind w:left="0" w:firstLine="567"/>
        <w:contextualSpacing w:val="0"/>
        <w:jc w:val="both"/>
        <w:rPr>
          <w:sz w:val="20"/>
          <w:szCs w:val="20"/>
        </w:rPr>
      </w:pPr>
      <w:r w:rsidRPr="00751496">
        <w:rPr>
          <w:sz w:val="20"/>
          <w:szCs w:val="20"/>
        </w:rPr>
        <w:t>Krīzes audžuģimenes, lai nodrošinātu nekavējošu aprūpi ģimeniskā vidē pēc tam, kad bērns ir šķirts no ģimenes;</w:t>
      </w:r>
    </w:p>
    <w:p w:rsidR="00751496" w:rsidRPr="00751496" w:rsidRDefault="00751496" w:rsidP="00751496">
      <w:pPr>
        <w:pStyle w:val="ListParagraph"/>
        <w:numPr>
          <w:ilvl w:val="0"/>
          <w:numId w:val="5"/>
        </w:numPr>
        <w:tabs>
          <w:tab w:val="right" w:pos="993"/>
        </w:tabs>
        <w:ind w:left="0" w:firstLine="567"/>
        <w:contextualSpacing w:val="0"/>
        <w:jc w:val="both"/>
        <w:rPr>
          <w:sz w:val="20"/>
          <w:szCs w:val="20"/>
        </w:rPr>
      </w:pPr>
      <w:r w:rsidRPr="00751496">
        <w:rPr>
          <w:sz w:val="20"/>
          <w:szCs w:val="20"/>
        </w:rPr>
        <w:t>Zīdaiņu audžuģimenes, kas aprūpētu bērnu līdz 3 gadu vecumam;</w:t>
      </w:r>
    </w:p>
    <w:p w:rsidR="00751496" w:rsidRPr="00751496" w:rsidRDefault="00751496" w:rsidP="00751496">
      <w:pPr>
        <w:pStyle w:val="ListParagraph"/>
        <w:numPr>
          <w:ilvl w:val="0"/>
          <w:numId w:val="5"/>
        </w:numPr>
        <w:tabs>
          <w:tab w:val="right" w:pos="993"/>
        </w:tabs>
        <w:ind w:left="0" w:firstLine="567"/>
        <w:contextualSpacing w:val="0"/>
        <w:jc w:val="both"/>
        <w:rPr>
          <w:sz w:val="20"/>
          <w:szCs w:val="20"/>
        </w:rPr>
      </w:pPr>
      <w:r w:rsidRPr="00751496">
        <w:rPr>
          <w:sz w:val="20"/>
          <w:szCs w:val="20"/>
        </w:rPr>
        <w:t>Audžuģimenes, kas aprūpētu bērnus ar funkcionāliem traucējumiem;</w:t>
      </w:r>
    </w:p>
    <w:p w:rsidR="00751496" w:rsidRPr="00751496" w:rsidRDefault="00751496" w:rsidP="00751496">
      <w:pPr>
        <w:pStyle w:val="ListParagraph"/>
        <w:numPr>
          <w:ilvl w:val="0"/>
          <w:numId w:val="5"/>
        </w:numPr>
        <w:tabs>
          <w:tab w:val="right" w:pos="993"/>
        </w:tabs>
        <w:ind w:left="0" w:firstLine="567"/>
        <w:contextualSpacing w:val="0"/>
        <w:jc w:val="both"/>
        <w:rPr>
          <w:sz w:val="20"/>
          <w:szCs w:val="20"/>
        </w:rPr>
      </w:pPr>
      <w:r w:rsidRPr="00751496">
        <w:rPr>
          <w:sz w:val="20"/>
          <w:szCs w:val="20"/>
        </w:rPr>
        <w:t>Audžuģimenes, kas aprūpētu bērnus, kuri cietuši no smagas vardarbības, lai pēc iespējas ātrāk bērnam varētu sniegt nepieciešamos atbalsta pasākumus, mazinot traumas radītās sekas ilgtermiņā. Lai Ministru kabinets varētu noteikt atlīdzības specializētajām audžuģimenēm apmēru, tā pārskatīšanas kārtību, kā arī piešķiršanas, izmaksas un pārtraukšanas kārtību un dokumentus, kas nepieciešami atlīdzības saņemšanai, ir nepieciešams likumā noteikt īpašas pilnvaras jeb deleģējumu Ministru kabinetam.</w:t>
      </w:r>
    </w:p>
  </w:footnote>
  <w:footnote w:id="2">
    <w:p w:rsidR="00751496" w:rsidRPr="00751496" w:rsidRDefault="00751496" w:rsidP="00751496">
      <w:pPr>
        <w:ind w:firstLine="567"/>
        <w:jc w:val="both"/>
        <w:rPr>
          <w:color w:val="000000"/>
          <w:sz w:val="20"/>
          <w:szCs w:val="20"/>
        </w:rPr>
      </w:pPr>
      <w:r w:rsidRPr="00751496">
        <w:rPr>
          <w:rStyle w:val="FootnoteReference"/>
          <w:sz w:val="20"/>
          <w:szCs w:val="20"/>
        </w:rPr>
        <w:footnoteRef/>
      </w:r>
      <w:r w:rsidRPr="00751496">
        <w:rPr>
          <w:sz w:val="20"/>
          <w:szCs w:val="20"/>
        </w:rPr>
        <w:t xml:space="preserve"> </w:t>
      </w:r>
      <w:r w:rsidRPr="00751496">
        <w:rPr>
          <w:color w:val="000000"/>
          <w:sz w:val="20"/>
          <w:szCs w:val="20"/>
        </w:rPr>
        <w:t>Pamatojums:</w:t>
      </w:r>
      <w:r>
        <w:rPr>
          <w:color w:val="000000"/>
          <w:sz w:val="20"/>
          <w:szCs w:val="20"/>
        </w:rPr>
        <w:t xml:space="preserve"> </w:t>
      </w:r>
      <w:r w:rsidRPr="00751496">
        <w:rPr>
          <w:color w:val="000000"/>
          <w:sz w:val="20"/>
          <w:szCs w:val="20"/>
        </w:rPr>
        <w:t xml:space="preserve">Saskaņā ar </w:t>
      </w:r>
      <w:r w:rsidRPr="00751496">
        <w:rPr>
          <w:sz w:val="20"/>
          <w:szCs w:val="20"/>
        </w:rPr>
        <w:t>Ministru kabineta 2011.gada 4.oktobra noteikumiem Nr.763 “</w:t>
      </w:r>
      <w:r w:rsidRPr="00751496">
        <w:rPr>
          <w:bCs/>
          <w:sz w:val="20"/>
          <w:szCs w:val="20"/>
          <w:lang w:eastAsia="lv-LV"/>
        </w:rPr>
        <w:t xml:space="preserve">Noteikumi par bāriņtiesas ikgadējā pārskata veidlapas paraugu un pārskata iesniegšanas un aizpildīšanas kārtību”, kas zaudēja spēku 2017.gada 1.jūnijā, bāriņtiesas sagatavoja ikgadējo statistikas pārskatu par bāriņtiesas darbu 2016.gadā. Statiskas pārskatā par 2016.gadu norādīts, ka 2016.gadā 118 bērni no audžuģimenēm ciemojās viesģimenēs ārvalstīs, kā arī 152 bērni no bērnu aprūpes iestādēm.  </w:t>
      </w:r>
    </w:p>
    <w:p w:rsidR="00751496" w:rsidRPr="00751496" w:rsidRDefault="00751496" w:rsidP="00751496">
      <w:pPr>
        <w:ind w:firstLine="567"/>
        <w:jc w:val="both"/>
        <w:rPr>
          <w:sz w:val="20"/>
          <w:szCs w:val="20"/>
        </w:rPr>
      </w:pPr>
      <w:r w:rsidRPr="00751496">
        <w:rPr>
          <w:color w:val="000000"/>
          <w:sz w:val="20"/>
          <w:szCs w:val="20"/>
        </w:rPr>
        <w:t xml:space="preserve">Praksē konstatēti vairāki gadījumi, kad bāriņtiesas pieņēmušas lēmumus par bērna, kurš ievietots audžuģimenē un nav sasniedzis 7 gadu vecumu, ciemošanos viesģimenē ārvalstīs, kā arī nepietiekošu vai neesošu argumentāciju gadījumos, kad no vairākiem vienas ģimenes bērniem, tiek pieņemts lēmums par ciemošanos viesģimenē ārvalstīs vienam bērnam, tādējādi </w:t>
      </w:r>
      <w:r w:rsidRPr="00751496">
        <w:rPr>
          <w:sz w:val="20"/>
          <w:szCs w:val="20"/>
        </w:rPr>
        <w:t>pakļaujot bērnu negatīviem pārdzīvojumiem un iespējams arī veselības apdraudējuma riskam. Vienlaikus ilgais un sarežģītais brauciens uz citu valsti un atrašanās svešā ģimenē, ar kuru bērnam vispār nav iespējams sazināties valodas barjeras dēļ, gan psiholoģiski, gan fiziski var radīt tādus stresa apstākļus, kas var būtiski negatīvi ietekmēt bērna pašsajūtu ilgtermiņā, veicinot gan disfunkcionālu uzvedību, gan saasinot veselības problēmas, tādējādi būtu ierobežojams bērna vecums bērnu aprūpes iestādē esošam bērnam ciemoties viesģimenē ārvalstīs.</w:t>
      </w:r>
    </w:p>
    <w:p w:rsidR="00751496" w:rsidRPr="00751496" w:rsidRDefault="00751496" w:rsidP="00751496">
      <w:pPr>
        <w:ind w:firstLine="567"/>
        <w:jc w:val="both"/>
        <w:rPr>
          <w:sz w:val="20"/>
          <w:szCs w:val="20"/>
        </w:rPr>
      </w:pPr>
      <w:r w:rsidRPr="00751496">
        <w:rPr>
          <w:sz w:val="20"/>
          <w:szCs w:val="20"/>
        </w:rPr>
        <w:t xml:space="preserve">Vienlaikus nav atbalstāma bērna, kurš atrodas audžuģimenē un kuram nodrošināta ģimeniska vide, ciemošanās viesģimenē ārvalstīs. </w:t>
      </w:r>
    </w:p>
    <w:p w:rsidR="00751496" w:rsidRPr="00751496" w:rsidRDefault="00751496" w:rsidP="00751496">
      <w:pPr>
        <w:pStyle w:val="FootnoteText"/>
        <w:ind w:firstLine="567"/>
        <w:jc w:val="both"/>
      </w:pPr>
      <w:r w:rsidRPr="00751496">
        <w:t>Samazinoties audžuģimenē ievietoto bērnu, kuri ciemojas ārvalstīs skaitam, iespējams, pieaugs to gadījumu skaits, kad viesģimenē ārvalstīs ciemosies bērnu aprūpes iestādēs ievietotie bērni, kuriem Latvijā nav iespējams nodrošināt ģimenisku vidi. Tādējādi bērnu aprūpes iestādēs esošajiem bērniem palielināsies iespēja baudīt ģimenes rūpes un gādību, apgūt dažādas turpmākajā dzīvē noderīgas prasmes un iemaņas (piemēram, uzlabot angļu valodas zināšanas)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F05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F05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F05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CA0"/>
    <w:multiLevelType w:val="hybridMultilevel"/>
    <w:tmpl w:val="549A01F2"/>
    <w:lvl w:ilvl="0" w:tplc="4CE689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D4285"/>
    <w:multiLevelType w:val="singleLevel"/>
    <w:tmpl w:val="C4105550"/>
    <w:lvl w:ilvl="0">
      <w:start w:val="1"/>
      <w:numFmt w:val="decimal"/>
      <w:lvlText w:val="%1."/>
      <w:lvlJc w:val="left"/>
      <w:pPr>
        <w:tabs>
          <w:tab w:val="num" w:pos="1080"/>
        </w:tabs>
        <w:ind w:left="0" w:firstLine="720"/>
      </w:pPr>
    </w:lvl>
  </w:abstractNum>
  <w:abstractNum w:abstractNumId="2" w15:restartNumberingAfterBreak="0">
    <w:nsid w:val="46E864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090E1B"/>
    <w:multiLevelType w:val="hybridMultilevel"/>
    <w:tmpl w:val="A0847B7A"/>
    <w:lvl w:ilvl="0" w:tplc="233AC882">
      <w:start w:val="4"/>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7CE651A6"/>
    <w:multiLevelType w:val="hybridMultilevel"/>
    <w:tmpl w:val="83A013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D6"/>
    <w:rsid w:val="000A0370"/>
    <w:rsid w:val="001A2FD6"/>
    <w:rsid w:val="002640C1"/>
    <w:rsid w:val="002810D1"/>
    <w:rsid w:val="00405509"/>
    <w:rsid w:val="004D7945"/>
    <w:rsid w:val="00751496"/>
    <w:rsid w:val="007A4333"/>
    <w:rsid w:val="00AA55B8"/>
    <w:rsid w:val="00AD067A"/>
    <w:rsid w:val="00B7053E"/>
    <w:rsid w:val="00C84C38"/>
    <w:rsid w:val="00D0185A"/>
    <w:rsid w:val="00F05ED3"/>
    <w:rsid w:val="00FF43BF"/>
    <w:rsid w:val="00FF5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B542-59FE-4D75-9F21-8C5FA76C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D6"/>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1A2FD6"/>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D6"/>
    <w:rPr>
      <w:rFonts w:ascii="Times New Roman" w:eastAsia="Times New Roman" w:hAnsi="Times New Roman" w:cs="Times New Roman"/>
      <w:b/>
      <w:bCs/>
      <w:iCs/>
      <w:sz w:val="24"/>
      <w:szCs w:val="24"/>
    </w:rPr>
  </w:style>
  <w:style w:type="paragraph" w:styleId="Title">
    <w:name w:val="Title"/>
    <w:basedOn w:val="Normal"/>
    <w:link w:val="TitleChar"/>
    <w:qFormat/>
    <w:rsid w:val="001A2FD6"/>
    <w:pPr>
      <w:jc w:val="center"/>
    </w:pPr>
    <w:rPr>
      <w:rFonts w:eastAsia="Times New Roman"/>
      <w:b/>
      <w:szCs w:val="20"/>
    </w:rPr>
  </w:style>
  <w:style w:type="character" w:customStyle="1" w:styleId="TitleChar">
    <w:name w:val="Title Char"/>
    <w:basedOn w:val="DefaultParagraphFont"/>
    <w:link w:val="Title"/>
    <w:rsid w:val="001A2FD6"/>
    <w:rPr>
      <w:rFonts w:ascii="Times New Roman" w:eastAsia="Times New Roman" w:hAnsi="Times New Roman" w:cs="Times New Roman"/>
      <w:b/>
      <w:sz w:val="24"/>
      <w:szCs w:val="20"/>
    </w:rPr>
  </w:style>
  <w:style w:type="paragraph" w:styleId="Footer">
    <w:name w:val="footer"/>
    <w:basedOn w:val="Normal"/>
    <w:link w:val="FooterChar"/>
    <w:uiPriority w:val="99"/>
    <w:rsid w:val="001A2FD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1A2FD6"/>
    <w:rPr>
      <w:rFonts w:ascii="Times New Roman" w:eastAsia="Times New Roman" w:hAnsi="Times New Roman" w:cs="Times New Roman"/>
      <w:sz w:val="24"/>
      <w:szCs w:val="24"/>
      <w:lang w:val="en-GB"/>
    </w:rPr>
  </w:style>
  <w:style w:type="character" w:styleId="PageNumber">
    <w:name w:val="page number"/>
    <w:rsid w:val="001A2FD6"/>
  </w:style>
  <w:style w:type="paragraph" w:styleId="Header">
    <w:name w:val="header"/>
    <w:basedOn w:val="Normal"/>
    <w:link w:val="HeaderChar"/>
    <w:unhideWhenUsed/>
    <w:rsid w:val="001A2FD6"/>
    <w:pPr>
      <w:tabs>
        <w:tab w:val="center" w:pos="4153"/>
        <w:tab w:val="right" w:pos="8306"/>
      </w:tabs>
    </w:pPr>
  </w:style>
  <w:style w:type="character" w:customStyle="1" w:styleId="HeaderChar">
    <w:name w:val="Header Char"/>
    <w:basedOn w:val="DefaultParagraphFont"/>
    <w:link w:val="Header"/>
    <w:rsid w:val="001A2FD6"/>
    <w:rPr>
      <w:rFonts w:ascii="Times New Roman" w:eastAsia="Calibri" w:hAnsi="Times New Roman" w:cs="Times New Roman"/>
      <w:sz w:val="24"/>
    </w:rPr>
  </w:style>
  <w:style w:type="paragraph" w:customStyle="1" w:styleId="tv213">
    <w:name w:val="tv213"/>
    <w:basedOn w:val="Normal"/>
    <w:rsid w:val="001A2FD6"/>
    <w:pPr>
      <w:spacing w:before="100" w:beforeAutospacing="1" w:after="100" w:afterAutospacing="1"/>
    </w:pPr>
    <w:rPr>
      <w:rFonts w:eastAsia="Times New Roman"/>
      <w:szCs w:val="24"/>
      <w:lang w:eastAsia="lv-LV"/>
    </w:rPr>
  </w:style>
  <w:style w:type="paragraph" w:customStyle="1" w:styleId="labojumupamats">
    <w:name w:val="labojumu_pamats"/>
    <w:basedOn w:val="Normal"/>
    <w:rsid w:val="001A2FD6"/>
    <w:pPr>
      <w:spacing w:before="100" w:beforeAutospacing="1" w:after="100" w:afterAutospacing="1"/>
    </w:pPr>
    <w:rPr>
      <w:rFonts w:eastAsia="Times New Roman"/>
      <w:szCs w:val="24"/>
      <w:lang w:eastAsia="lv-LV"/>
    </w:rPr>
  </w:style>
  <w:style w:type="paragraph" w:styleId="ListParagraph">
    <w:name w:val="List Paragraph"/>
    <w:aliases w:val="2,Akapit z listą BS,H&amp;P List Paragraph,Strip"/>
    <w:basedOn w:val="Normal"/>
    <w:link w:val="ListParagraphChar"/>
    <w:uiPriority w:val="34"/>
    <w:qFormat/>
    <w:rsid w:val="001A2FD6"/>
    <w:pPr>
      <w:ind w:left="720"/>
      <w:contextualSpacing/>
    </w:pPr>
    <w:rPr>
      <w:rFonts w:eastAsiaTheme="minorHAnsi" w:cstheme="minorBidi"/>
    </w:rPr>
  </w:style>
  <w:style w:type="paragraph" w:customStyle="1" w:styleId="tv213tvp">
    <w:name w:val="tv213 tvp"/>
    <w:basedOn w:val="Normal"/>
    <w:rsid w:val="001A2FD6"/>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1A2FD6"/>
    <w:rPr>
      <w:color w:val="0000FF"/>
      <w:u w:val="single"/>
    </w:rPr>
  </w:style>
  <w:style w:type="paragraph" w:styleId="BodyTextIndent">
    <w:name w:val="Body Text Indent"/>
    <w:basedOn w:val="Normal"/>
    <w:link w:val="BodyTextIndentChar"/>
    <w:rsid w:val="002810D1"/>
    <w:pPr>
      <w:ind w:firstLine="709"/>
      <w:jc w:val="both"/>
    </w:pPr>
    <w:rPr>
      <w:rFonts w:eastAsia="Times New Roman"/>
      <w:sz w:val="26"/>
      <w:szCs w:val="20"/>
    </w:rPr>
  </w:style>
  <w:style w:type="character" w:customStyle="1" w:styleId="BodyTextIndentChar">
    <w:name w:val="Body Text Indent Char"/>
    <w:basedOn w:val="DefaultParagraphFont"/>
    <w:link w:val="BodyTextIndent"/>
    <w:rsid w:val="002810D1"/>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0A0370"/>
    <w:rPr>
      <w:sz w:val="20"/>
      <w:szCs w:val="20"/>
    </w:rPr>
  </w:style>
  <w:style w:type="character" w:customStyle="1" w:styleId="FootnoteTextChar">
    <w:name w:val="Footnote Text Char"/>
    <w:basedOn w:val="DefaultParagraphFont"/>
    <w:link w:val="FootnoteText"/>
    <w:uiPriority w:val="99"/>
    <w:semiHidden/>
    <w:rsid w:val="000A037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A0370"/>
    <w:rPr>
      <w:vertAlign w:val="superscript"/>
    </w:rPr>
  </w:style>
  <w:style w:type="character" w:customStyle="1" w:styleId="ListParagraphChar">
    <w:name w:val="List Paragraph Char"/>
    <w:aliases w:val="2 Char,Akapit z listą BS Char,H&amp;P List Paragraph Char,Strip Char"/>
    <w:link w:val="ListParagraph"/>
    <w:uiPriority w:val="34"/>
    <w:locked/>
    <w:rsid w:val="000A03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618">
      <w:bodyDiv w:val="1"/>
      <w:marLeft w:val="0"/>
      <w:marRight w:val="0"/>
      <w:marTop w:val="0"/>
      <w:marBottom w:val="0"/>
      <w:divBdr>
        <w:top w:val="none" w:sz="0" w:space="0" w:color="auto"/>
        <w:left w:val="none" w:sz="0" w:space="0" w:color="auto"/>
        <w:bottom w:val="none" w:sz="0" w:space="0" w:color="auto"/>
        <w:right w:val="none" w:sz="0" w:space="0" w:color="auto"/>
      </w:divBdr>
    </w:div>
    <w:div w:id="325211794">
      <w:bodyDiv w:val="1"/>
      <w:marLeft w:val="0"/>
      <w:marRight w:val="0"/>
      <w:marTop w:val="0"/>
      <w:marBottom w:val="0"/>
      <w:divBdr>
        <w:top w:val="none" w:sz="0" w:space="0" w:color="auto"/>
        <w:left w:val="none" w:sz="0" w:space="0" w:color="auto"/>
        <w:bottom w:val="none" w:sz="0" w:space="0" w:color="auto"/>
        <w:right w:val="none" w:sz="0" w:space="0" w:color="auto"/>
      </w:divBdr>
    </w:div>
    <w:div w:id="4044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A303-7B57-476B-A98D-40878A5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4008</Words>
  <Characters>2286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2017-11-02T08:43:00Z</dcterms:created>
  <dcterms:modified xsi:type="dcterms:W3CDTF">2017-11-02T12:03:00Z</dcterms:modified>
</cp:coreProperties>
</file>