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93627" w14:textId="77777777" w:rsidR="004D15A9" w:rsidRPr="0099131E" w:rsidRDefault="0099131E" w:rsidP="0099131E">
      <w:pPr>
        <w:spacing w:after="0" w:line="240" w:lineRule="auto"/>
        <w:jc w:val="center"/>
        <w:rPr>
          <w:rFonts w:ascii="Times New Roman" w:eastAsia="Times New Roman" w:hAnsi="Times New Roman" w:cs="Times New Roman"/>
          <w:b/>
          <w:bCs/>
          <w:color w:val="000000"/>
          <w:sz w:val="24"/>
          <w:szCs w:val="24"/>
          <w:lang w:eastAsia="lv-LV"/>
        </w:rPr>
      </w:pPr>
      <w:r w:rsidRPr="0099131E">
        <w:rPr>
          <w:rFonts w:ascii="Times New Roman" w:eastAsia="Times New Roman" w:hAnsi="Times New Roman" w:cs="Times New Roman"/>
          <w:b/>
          <w:bCs/>
          <w:sz w:val="24"/>
          <w:szCs w:val="24"/>
          <w:lang w:eastAsia="lv-LV"/>
        </w:rPr>
        <w:t>Ministru kabineta noteikumu projekta "</w:t>
      </w:r>
      <w:r w:rsidR="00CA6ED1" w:rsidRPr="00CA6ED1">
        <w:rPr>
          <w:rFonts w:ascii="Times New Roman" w:eastAsia="Times New Roman" w:hAnsi="Times New Roman" w:cs="Times New Roman"/>
          <w:b/>
          <w:bCs/>
          <w:sz w:val="24"/>
          <w:szCs w:val="24"/>
          <w:lang w:eastAsia="lv-LV"/>
        </w:rPr>
        <w:t>Grozījumi Ministru kabineta 2012. gada 6. novembra noteikumos Nr. 751 "Maksātnespējas administrācijas nolikums"</w:t>
      </w:r>
      <w:r w:rsidRPr="0099131E">
        <w:rPr>
          <w:rFonts w:ascii="Times New Roman" w:eastAsia="Times New Roman" w:hAnsi="Times New Roman" w:cs="Times New Roman"/>
          <w:b/>
          <w:bCs/>
          <w:sz w:val="24"/>
          <w:szCs w:val="24"/>
          <w:lang w:eastAsia="lv-LV"/>
        </w:rPr>
        <w:t>"</w:t>
      </w:r>
      <w:r w:rsidR="004D15A9" w:rsidRPr="0099131E">
        <w:rPr>
          <w:rFonts w:ascii="Times New Roman" w:eastAsia="Times New Roman" w:hAnsi="Times New Roman" w:cs="Times New Roman"/>
          <w:b/>
          <w:bCs/>
          <w:sz w:val="24"/>
          <w:szCs w:val="24"/>
          <w:lang w:eastAsia="lv-LV"/>
        </w:rPr>
        <w:t xml:space="preserve"> sākotnējās ietekmes novērtējuma ziņojums (anotācija)</w:t>
      </w:r>
    </w:p>
    <w:p w14:paraId="5EEF6031" w14:textId="77777777" w:rsidR="00DA596D" w:rsidRPr="00BC2633"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84" w:type="pct"/>
        <w:tblInd w:w="-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267"/>
        <w:gridCol w:w="993"/>
        <w:gridCol w:w="5528"/>
      </w:tblGrid>
      <w:tr w:rsidR="00BC2633" w:rsidRPr="00BC2633" w14:paraId="54B330D4" w14:textId="77777777" w:rsidTr="00004317">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204A1277"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BC2633" w:rsidRPr="00BC2633" w14:paraId="13C2AD01" w14:textId="77777777" w:rsidTr="0030089F">
        <w:trPr>
          <w:trHeight w:val="405"/>
        </w:trPr>
        <w:tc>
          <w:tcPr>
            <w:tcW w:w="228" w:type="pct"/>
            <w:tcBorders>
              <w:top w:val="outset" w:sz="6" w:space="0" w:color="414142"/>
              <w:left w:val="outset" w:sz="6" w:space="0" w:color="414142"/>
              <w:bottom w:val="outset" w:sz="6" w:space="0" w:color="414142"/>
              <w:right w:val="outset" w:sz="6" w:space="0" w:color="414142"/>
            </w:tcBorders>
            <w:hideMark/>
          </w:tcPr>
          <w:p w14:paraId="7965076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31" w:type="pct"/>
            <w:tcBorders>
              <w:top w:val="outset" w:sz="6" w:space="0" w:color="414142"/>
              <w:left w:val="outset" w:sz="6" w:space="0" w:color="414142"/>
              <w:bottom w:val="outset" w:sz="6" w:space="0" w:color="414142"/>
              <w:right w:val="outset" w:sz="6" w:space="0" w:color="414142"/>
            </w:tcBorders>
            <w:hideMark/>
          </w:tcPr>
          <w:p w14:paraId="33DB260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541" w:type="pct"/>
            <w:gridSpan w:val="2"/>
            <w:tcBorders>
              <w:top w:val="outset" w:sz="6" w:space="0" w:color="414142"/>
              <w:left w:val="outset" w:sz="6" w:space="0" w:color="414142"/>
              <w:bottom w:val="outset" w:sz="6" w:space="0" w:color="414142"/>
              <w:right w:val="outset" w:sz="6" w:space="0" w:color="414142"/>
            </w:tcBorders>
            <w:hideMark/>
          </w:tcPr>
          <w:p w14:paraId="794EF2B8" w14:textId="77777777" w:rsidR="00EC5ED8" w:rsidRDefault="00EC5ED8" w:rsidP="00EC5ED8">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Pēc Maksātnespējas administrācijas iniciatīvas</w:t>
            </w:r>
            <w:r w:rsidR="00D95F01">
              <w:rPr>
                <w:rFonts w:ascii="Times New Roman" w:eastAsia="Times New Roman" w:hAnsi="Times New Roman" w:cs="Times New Roman"/>
                <w:bCs/>
                <w:sz w:val="24"/>
                <w:szCs w:val="24"/>
                <w:lang w:eastAsia="lv-LV"/>
              </w:rPr>
              <w:t>.</w:t>
            </w:r>
          </w:p>
          <w:p w14:paraId="64C279AC" w14:textId="77777777" w:rsidR="004D15A9" w:rsidRPr="00BC2633" w:rsidRDefault="00CA6ED1" w:rsidP="00EC5ED8">
            <w:pPr>
              <w:spacing w:after="0" w:line="240" w:lineRule="auto"/>
              <w:jc w:val="both"/>
              <w:rPr>
                <w:rFonts w:ascii="Times New Roman" w:eastAsia="Times New Roman" w:hAnsi="Times New Roman" w:cs="Times New Roman"/>
                <w:sz w:val="24"/>
                <w:szCs w:val="24"/>
                <w:lang w:eastAsia="lv-LV"/>
              </w:rPr>
            </w:pPr>
            <w:r w:rsidRPr="00CA6ED1">
              <w:rPr>
                <w:rFonts w:ascii="Times New Roman" w:eastAsia="Times New Roman" w:hAnsi="Times New Roman" w:cs="Times New Roman"/>
                <w:bCs/>
                <w:sz w:val="24"/>
                <w:szCs w:val="24"/>
                <w:lang w:eastAsia="lv-LV"/>
              </w:rPr>
              <w:t>Maksātnespējas likuma 174.</w:t>
            </w:r>
            <w:r w:rsidRPr="00CA6ED1">
              <w:rPr>
                <w:rFonts w:ascii="Times New Roman" w:eastAsia="Times New Roman" w:hAnsi="Times New Roman" w:cs="Times New Roman"/>
                <w:bCs/>
                <w:sz w:val="24"/>
                <w:szCs w:val="24"/>
                <w:vertAlign w:val="superscript"/>
                <w:lang w:eastAsia="lv-LV"/>
              </w:rPr>
              <w:t>1</w:t>
            </w:r>
            <w:r w:rsidRPr="00CA6ED1">
              <w:rPr>
                <w:rFonts w:ascii="Times New Roman" w:eastAsia="Times New Roman" w:hAnsi="Times New Roman" w:cs="Times New Roman"/>
                <w:bCs/>
                <w:sz w:val="24"/>
                <w:szCs w:val="24"/>
                <w:lang w:eastAsia="lv-LV"/>
              </w:rPr>
              <w:t> panta 9. un 10. punkt</w:t>
            </w:r>
            <w:r>
              <w:rPr>
                <w:rFonts w:ascii="Times New Roman" w:eastAsia="Times New Roman" w:hAnsi="Times New Roman" w:cs="Times New Roman"/>
                <w:bCs/>
                <w:sz w:val="24"/>
                <w:szCs w:val="24"/>
                <w:lang w:eastAsia="lv-LV"/>
              </w:rPr>
              <w:t>s</w:t>
            </w:r>
            <w:r w:rsidRPr="00CA6ED1">
              <w:rPr>
                <w:rFonts w:ascii="Times New Roman" w:eastAsia="Times New Roman" w:hAnsi="Times New Roman" w:cs="Times New Roman"/>
                <w:sz w:val="24"/>
                <w:szCs w:val="24"/>
                <w:lang w:eastAsia="lv-LV"/>
              </w:rPr>
              <w:t xml:space="preserve"> </w:t>
            </w:r>
            <w:r w:rsidR="00D95F01">
              <w:rPr>
                <w:rFonts w:ascii="Times New Roman" w:eastAsia="Times New Roman" w:hAnsi="Times New Roman" w:cs="Times New Roman"/>
                <w:sz w:val="24"/>
                <w:szCs w:val="24"/>
                <w:lang w:eastAsia="lv-LV"/>
              </w:rPr>
              <w:t>.</w:t>
            </w:r>
          </w:p>
        </w:tc>
      </w:tr>
      <w:tr w:rsidR="00BC2633" w:rsidRPr="00BC2633" w14:paraId="7631426B" w14:textId="77777777" w:rsidTr="0030089F">
        <w:trPr>
          <w:trHeight w:val="465"/>
        </w:trPr>
        <w:tc>
          <w:tcPr>
            <w:tcW w:w="228" w:type="pct"/>
            <w:tcBorders>
              <w:top w:val="outset" w:sz="6" w:space="0" w:color="414142"/>
              <w:left w:val="outset" w:sz="6" w:space="0" w:color="414142"/>
              <w:bottom w:val="outset" w:sz="6" w:space="0" w:color="414142"/>
              <w:right w:val="outset" w:sz="6" w:space="0" w:color="414142"/>
            </w:tcBorders>
            <w:hideMark/>
          </w:tcPr>
          <w:p w14:paraId="2E73B9F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231" w:type="pct"/>
            <w:tcBorders>
              <w:top w:val="outset" w:sz="6" w:space="0" w:color="414142"/>
              <w:left w:val="outset" w:sz="6" w:space="0" w:color="414142"/>
              <w:bottom w:val="outset" w:sz="6" w:space="0" w:color="414142"/>
              <w:right w:val="outset" w:sz="6" w:space="0" w:color="414142"/>
            </w:tcBorders>
            <w:hideMark/>
          </w:tcPr>
          <w:p w14:paraId="28B1C77E" w14:textId="77777777" w:rsidR="003C58E8"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73EFE4C" w14:textId="77777777" w:rsidR="003C58E8" w:rsidRPr="003C58E8" w:rsidRDefault="003C58E8" w:rsidP="003C58E8">
            <w:pPr>
              <w:rPr>
                <w:rFonts w:ascii="Times New Roman" w:eastAsia="Times New Roman" w:hAnsi="Times New Roman" w:cs="Times New Roman"/>
                <w:sz w:val="24"/>
                <w:szCs w:val="24"/>
                <w:lang w:eastAsia="lv-LV"/>
              </w:rPr>
            </w:pPr>
          </w:p>
          <w:p w14:paraId="56AE7510" w14:textId="77777777" w:rsidR="003C58E8" w:rsidRPr="003C58E8" w:rsidRDefault="003C58E8" w:rsidP="003C58E8">
            <w:pPr>
              <w:rPr>
                <w:rFonts w:ascii="Times New Roman" w:eastAsia="Times New Roman" w:hAnsi="Times New Roman" w:cs="Times New Roman"/>
                <w:sz w:val="24"/>
                <w:szCs w:val="24"/>
                <w:lang w:eastAsia="lv-LV"/>
              </w:rPr>
            </w:pPr>
          </w:p>
          <w:p w14:paraId="7DCDBD47" w14:textId="77777777" w:rsidR="003C58E8" w:rsidRPr="003C58E8" w:rsidRDefault="003C58E8" w:rsidP="003C58E8">
            <w:pPr>
              <w:rPr>
                <w:rFonts w:ascii="Times New Roman" w:eastAsia="Times New Roman" w:hAnsi="Times New Roman" w:cs="Times New Roman"/>
                <w:sz w:val="24"/>
                <w:szCs w:val="24"/>
                <w:lang w:eastAsia="lv-LV"/>
              </w:rPr>
            </w:pPr>
          </w:p>
          <w:p w14:paraId="58E33E29" w14:textId="77777777" w:rsidR="003C58E8" w:rsidRPr="003C58E8" w:rsidRDefault="003C58E8" w:rsidP="003C58E8">
            <w:pPr>
              <w:rPr>
                <w:rFonts w:ascii="Times New Roman" w:eastAsia="Times New Roman" w:hAnsi="Times New Roman" w:cs="Times New Roman"/>
                <w:sz w:val="24"/>
                <w:szCs w:val="24"/>
                <w:lang w:eastAsia="lv-LV"/>
              </w:rPr>
            </w:pPr>
          </w:p>
          <w:p w14:paraId="20D47DFE" w14:textId="77777777" w:rsidR="003C58E8" w:rsidRPr="003C58E8" w:rsidRDefault="003C58E8" w:rsidP="003C58E8">
            <w:pPr>
              <w:rPr>
                <w:rFonts w:ascii="Times New Roman" w:eastAsia="Times New Roman" w:hAnsi="Times New Roman" w:cs="Times New Roman"/>
                <w:sz w:val="24"/>
                <w:szCs w:val="24"/>
                <w:lang w:eastAsia="lv-LV"/>
              </w:rPr>
            </w:pPr>
          </w:p>
          <w:p w14:paraId="12F23D9C" w14:textId="77777777" w:rsidR="003C58E8" w:rsidRPr="003C58E8" w:rsidRDefault="003C58E8" w:rsidP="003C58E8">
            <w:pPr>
              <w:rPr>
                <w:rFonts w:ascii="Times New Roman" w:eastAsia="Times New Roman" w:hAnsi="Times New Roman" w:cs="Times New Roman"/>
                <w:sz w:val="24"/>
                <w:szCs w:val="24"/>
                <w:lang w:eastAsia="lv-LV"/>
              </w:rPr>
            </w:pPr>
          </w:p>
          <w:p w14:paraId="72325652" w14:textId="77777777" w:rsidR="003C58E8" w:rsidRPr="003C58E8" w:rsidRDefault="003C58E8" w:rsidP="003C58E8">
            <w:pPr>
              <w:rPr>
                <w:rFonts w:ascii="Times New Roman" w:eastAsia="Times New Roman" w:hAnsi="Times New Roman" w:cs="Times New Roman"/>
                <w:sz w:val="24"/>
                <w:szCs w:val="24"/>
                <w:lang w:eastAsia="lv-LV"/>
              </w:rPr>
            </w:pPr>
          </w:p>
          <w:p w14:paraId="10268107" w14:textId="77777777" w:rsidR="003C58E8" w:rsidRPr="003C58E8" w:rsidRDefault="003C58E8" w:rsidP="003C58E8">
            <w:pPr>
              <w:rPr>
                <w:rFonts w:ascii="Times New Roman" w:eastAsia="Times New Roman" w:hAnsi="Times New Roman" w:cs="Times New Roman"/>
                <w:sz w:val="24"/>
                <w:szCs w:val="24"/>
                <w:lang w:eastAsia="lv-LV"/>
              </w:rPr>
            </w:pPr>
          </w:p>
          <w:p w14:paraId="30309920" w14:textId="77777777" w:rsidR="003C58E8" w:rsidRPr="003C58E8" w:rsidRDefault="003C58E8" w:rsidP="003C58E8">
            <w:pPr>
              <w:rPr>
                <w:rFonts w:ascii="Times New Roman" w:eastAsia="Times New Roman" w:hAnsi="Times New Roman" w:cs="Times New Roman"/>
                <w:sz w:val="24"/>
                <w:szCs w:val="24"/>
                <w:lang w:eastAsia="lv-LV"/>
              </w:rPr>
            </w:pPr>
          </w:p>
          <w:p w14:paraId="536F2136" w14:textId="77777777" w:rsidR="003C58E8" w:rsidRPr="003C58E8" w:rsidRDefault="003C58E8" w:rsidP="003C58E8">
            <w:pPr>
              <w:rPr>
                <w:rFonts w:ascii="Times New Roman" w:eastAsia="Times New Roman" w:hAnsi="Times New Roman" w:cs="Times New Roman"/>
                <w:sz w:val="24"/>
                <w:szCs w:val="24"/>
                <w:lang w:eastAsia="lv-LV"/>
              </w:rPr>
            </w:pPr>
          </w:p>
          <w:p w14:paraId="695A047C" w14:textId="77777777" w:rsidR="003C58E8" w:rsidRPr="003C58E8" w:rsidRDefault="003C58E8" w:rsidP="003C58E8">
            <w:pPr>
              <w:rPr>
                <w:rFonts w:ascii="Times New Roman" w:eastAsia="Times New Roman" w:hAnsi="Times New Roman" w:cs="Times New Roman"/>
                <w:sz w:val="24"/>
                <w:szCs w:val="24"/>
                <w:lang w:eastAsia="lv-LV"/>
              </w:rPr>
            </w:pPr>
          </w:p>
          <w:p w14:paraId="3D6AEA28" w14:textId="77777777" w:rsidR="003C58E8" w:rsidRPr="003C58E8" w:rsidRDefault="003C58E8" w:rsidP="003C58E8">
            <w:pPr>
              <w:rPr>
                <w:rFonts w:ascii="Times New Roman" w:eastAsia="Times New Roman" w:hAnsi="Times New Roman" w:cs="Times New Roman"/>
                <w:sz w:val="24"/>
                <w:szCs w:val="24"/>
                <w:lang w:eastAsia="lv-LV"/>
              </w:rPr>
            </w:pPr>
          </w:p>
          <w:p w14:paraId="49A5C398" w14:textId="77777777" w:rsidR="003C58E8" w:rsidRPr="003C58E8" w:rsidRDefault="003C58E8" w:rsidP="003C58E8">
            <w:pPr>
              <w:rPr>
                <w:rFonts w:ascii="Times New Roman" w:eastAsia="Times New Roman" w:hAnsi="Times New Roman" w:cs="Times New Roman"/>
                <w:sz w:val="24"/>
                <w:szCs w:val="24"/>
                <w:lang w:eastAsia="lv-LV"/>
              </w:rPr>
            </w:pPr>
          </w:p>
          <w:p w14:paraId="774D677F" w14:textId="77777777" w:rsidR="003C58E8" w:rsidRPr="003C58E8" w:rsidRDefault="003C58E8" w:rsidP="003C58E8">
            <w:pPr>
              <w:rPr>
                <w:rFonts w:ascii="Times New Roman" w:eastAsia="Times New Roman" w:hAnsi="Times New Roman" w:cs="Times New Roman"/>
                <w:sz w:val="24"/>
                <w:szCs w:val="24"/>
                <w:lang w:eastAsia="lv-LV"/>
              </w:rPr>
            </w:pPr>
          </w:p>
          <w:p w14:paraId="6F8865B3" w14:textId="77777777" w:rsidR="003C58E8" w:rsidRPr="003C58E8" w:rsidRDefault="003C58E8" w:rsidP="003C58E8">
            <w:pPr>
              <w:rPr>
                <w:rFonts w:ascii="Times New Roman" w:eastAsia="Times New Roman" w:hAnsi="Times New Roman" w:cs="Times New Roman"/>
                <w:sz w:val="24"/>
                <w:szCs w:val="24"/>
                <w:lang w:eastAsia="lv-LV"/>
              </w:rPr>
            </w:pPr>
          </w:p>
          <w:p w14:paraId="5EB279E3" w14:textId="77777777" w:rsidR="003C58E8" w:rsidRPr="003C58E8" w:rsidRDefault="003C58E8" w:rsidP="003C58E8">
            <w:pPr>
              <w:rPr>
                <w:rFonts w:ascii="Times New Roman" w:eastAsia="Times New Roman" w:hAnsi="Times New Roman" w:cs="Times New Roman"/>
                <w:sz w:val="24"/>
                <w:szCs w:val="24"/>
                <w:lang w:eastAsia="lv-LV"/>
              </w:rPr>
            </w:pPr>
          </w:p>
          <w:p w14:paraId="7FFAEF06" w14:textId="77777777" w:rsidR="003C58E8" w:rsidRPr="003C58E8" w:rsidRDefault="003C58E8" w:rsidP="003C58E8">
            <w:pPr>
              <w:rPr>
                <w:rFonts w:ascii="Times New Roman" w:eastAsia="Times New Roman" w:hAnsi="Times New Roman" w:cs="Times New Roman"/>
                <w:sz w:val="24"/>
                <w:szCs w:val="24"/>
                <w:lang w:eastAsia="lv-LV"/>
              </w:rPr>
            </w:pPr>
          </w:p>
          <w:p w14:paraId="58B0B928" w14:textId="77777777" w:rsidR="003C58E8" w:rsidRPr="003C58E8" w:rsidRDefault="003C58E8" w:rsidP="003C58E8">
            <w:pPr>
              <w:rPr>
                <w:rFonts w:ascii="Times New Roman" w:eastAsia="Times New Roman" w:hAnsi="Times New Roman" w:cs="Times New Roman"/>
                <w:sz w:val="24"/>
                <w:szCs w:val="24"/>
                <w:lang w:eastAsia="lv-LV"/>
              </w:rPr>
            </w:pPr>
          </w:p>
          <w:p w14:paraId="0EBC16AA" w14:textId="77777777" w:rsidR="004D15A9" w:rsidRPr="003C58E8" w:rsidRDefault="004D15A9" w:rsidP="003C58E8">
            <w:pPr>
              <w:rPr>
                <w:rFonts w:ascii="Times New Roman" w:eastAsia="Times New Roman" w:hAnsi="Times New Roman" w:cs="Times New Roman"/>
                <w:sz w:val="24"/>
                <w:szCs w:val="24"/>
                <w:lang w:eastAsia="lv-LV"/>
              </w:rPr>
            </w:pPr>
          </w:p>
        </w:tc>
        <w:tc>
          <w:tcPr>
            <w:tcW w:w="3541" w:type="pct"/>
            <w:gridSpan w:val="2"/>
            <w:tcBorders>
              <w:top w:val="outset" w:sz="6" w:space="0" w:color="414142"/>
              <w:left w:val="outset" w:sz="6" w:space="0" w:color="414142"/>
              <w:bottom w:val="outset" w:sz="6" w:space="0" w:color="414142"/>
              <w:right w:val="outset" w:sz="6" w:space="0" w:color="414142"/>
            </w:tcBorders>
            <w:hideMark/>
          </w:tcPr>
          <w:p w14:paraId="60BE3725" w14:textId="3F4467CB" w:rsidR="00510E90" w:rsidRDefault="00510E90" w:rsidP="00EC5ED8">
            <w:pPr>
              <w:spacing w:after="0" w:line="240" w:lineRule="auto"/>
              <w:jc w:val="both"/>
              <w:rPr>
                <w:rFonts w:ascii="Times New Roman" w:eastAsia="Times New Roman" w:hAnsi="Times New Roman" w:cs="Times New Roman"/>
                <w:sz w:val="24"/>
                <w:szCs w:val="24"/>
                <w:lang w:eastAsia="lv-LV"/>
              </w:rPr>
            </w:pPr>
            <w:r w:rsidRPr="00510E90">
              <w:rPr>
                <w:rFonts w:ascii="Times New Roman" w:eastAsia="Times New Roman" w:hAnsi="Times New Roman" w:cs="Times New Roman"/>
                <w:sz w:val="24"/>
                <w:szCs w:val="24"/>
                <w:lang w:eastAsia="lv-LV"/>
              </w:rPr>
              <w:t>Atbilstoši Valsts pārvaldes iekārtas likuma 16.</w:t>
            </w:r>
            <w:r w:rsidR="00266FE7">
              <w:rPr>
                <w:rFonts w:ascii="Times New Roman" w:eastAsia="Times New Roman" w:hAnsi="Times New Roman" w:cs="Times New Roman"/>
                <w:sz w:val="24"/>
                <w:szCs w:val="24"/>
                <w:lang w:eastAsia="lv-LV"/>
              </w:rPr>
              <w:t> </w:t>
            </w:r>
            <w:r w:rsidRPr="00510E90">
              <w:rPr>
                <w:rFonts w:ascii="Times New Roman" w:eastAsia="Times New Roman" w:hAnsi="Times New Roman" w:cs="Times New Roman"/>
                <w:sz w:val="24"/>
                <w:szCs w:val="24"/>
                <w:lang w:eastAsia="lv-LV"/>
              </w:rPr>
              <w:t xml:space="preserve">panta otrajai daļai   </w:t>
            </w:r>
            <w:r w:rsidRPr="00510E90">
              <w:rPr>
                <w:rFonts w:ascii="Times New Roman" w:eastAsia="Times New Roman" w:hAnsi="Times New Roman" w:cs="Times New Roman"/>
                <w:bCs/>
                <w:sz w:val="24"/>
                <w:szCs w:val="24"/>
                <w:lang w:eastAsia="lv-LV"/>
              </w:rPr>
              <w:t>Ministru kabineta 2012. gada 6. novembra noteikumos Nr. 751 "Maksātnespējas administrācijas nolikums"</w:t>
            </w:r>
            <w:r>
              <w:rPr>
                <w:rFonts w:ascii="Times New Roman" w:eastAsia="Times New Roman" w:hAnsi="Times New Roman" w:cs="Times New Roman"/>
                <w:bCs/>
                <w:sz w:val="24"/>
                <w:szCs w:val="24"/>
                <w:lang w:eastAsia="lv-LV"/>
              </w:rPr>
              <w:t xml:space="preserve"> </w:t>
            </w:r>
            <w:r w:rsidR="00620F89">
              <w:rPr>
                <w:rFonts w:ascii="Times New Roman" w:eastAsia="Times New Roman" w:hAnsi="Times New Roman" w:cs="Times New Roman"/>
                <w:bCs/>
                <w:sz w:val="24"/>
                <w:szCs w:val="24"/>
                <w:lang w:eastAsia="lv-LV"/>
              </w:rPr>
              <w:t xml:space="preserve">(turpmāk – Maksātnespējas administrācijas nolikums) </w:t>
            </w:r>
            <w:r>
              <w:rPr>
                <w:rFonts w:ascii="Times New Roman" w:eastAsia="Times New Roman" w:hAnsi="Times New Roman" w:cs="Times New Roman"/>
                <w:bCs/>
                <w:sz w:val="24"/>
                <w:szCs w:val="24"/>
                <w:lang w:eastAsia="lv-LV"/>
              </w:rPr>
              <w:t xml:space="preserve">ir norādīts iestādes nosaukums, </w:t>
            </w:r>
            <w:r w:rsidRPr="00510E90">
              <w:rPr>
                <w:rFonts w:ascii="Times New Roman" w:eastAsia="Times New Roman" w:hAnsi="Times New Roman" w:cs="Times New Roman"/>
                <w:sz w:val="24"/>
                <w:szCs w:val="24"/>
                <w:lang w:eastAsia="lv-LV"/>
              </w:rPr>
              <w:t>iestādes fun</w:t>
            </w:r>
            <w:r>
              <w:rPr>
                <w:rFonts w:ascii="Times New Roman" w:eastAsia="Times New Roman" w:hAnsi="Times New Roman" w:cs="Times New Roman"/>
                <w:sz w:val="24"/>
                <w:szCs w:val="24"/>
                <w:lang w:eastAsia="lv-LV"/>
              </w:rPr>
              <w:t xml:space="preserve">kcijas, uzdevumi un kompetence, kā arī </w:t>
            </w:r>
            <w:r w:rsidRPr="00510E90">
              <w:rPr>
                <w:rFonts w:ascii="Times New Roman" w:eastAsia="Times New Roman" w:hAnsi="Times New Roman" w:cs="Times New Roman"/>
                <w:sz w:val="24"/>
                <w:szCs w:val="24"/>
                <w:lang w:eastAsia="lv-LV"/>
              </w:rPr>
              <w:t xml:space="preserve"> iestādes darbības ties</w:t>
            </w:r>
            <w:r>
              <w:rPr>
                <w:rFonts w:ascii="Times New Roman" w:eastAsia="Times New Roman" w:hAnsi="Times New Roman" w:cs="Times New Roman"/>
                <w:sz w:val="24"/>
                <w:szCs w:val="24"/>
                <w:lang w:eastAsia="lv-LV"/>
              </w:rPr>
              <w:t>iskuma nodrošināšanas mehānismi.</w:t>
            </w:r>
          </w:p>
          <w:p w14:paraId="7C5679E7" w14:textId="77777777" w:rsidR="00C649EF" w:rsidRDefault="00C649EF" w:rsidP="00EC5ED8">
            <w:pPr>
              <w:spacing w:after="0" w:line="240" w:lineRule="auto"/>
              <w:jc w:val="both"/>
              <w:rPr>
                <w:rFonts w:ascii="Times New Roman" w:eastAsia="Times New Roman" w:hAnsi="Times New Roman" w:cs="Times New Roman"/>
                <w:sz w:val="24"/>
                <w:szCs w:val="24"/>
                <w:lang w:eastAsia="lv-LV"/>
              </w:rPr>
            </w:pPr>
          </w:p>
          <w:p w14:paraId="1C8F8F9A" w14:textId="68C59F99" w:rsidR="00CA6ED1" w:rsidRPr="00CA6ED1" w:rsidRDefault="00CA6ED1" w:rsidP="00EC5ED8">
            <w:pPr>
              <w:spacing w:after="0" w:line="240" w:lineRule="auto"/>
              <w:jc w:val="both"/>
              <w:rPr>
                <w:rFonts w:ascii="Times New Roman" w:eastAsia="Times New Roman" w:hAnsi="Times New Roman" w:cs="Times New Roman"/>
                <w:bCs/>
                <w:sz w:val="24"/>
                <w:szCs w:val="24"/>
                <w:lang w:eastAsia="lv-LV"/>
              </w:rPr>
            </w:pPr>
            <w:r w:rsidRPr="00CA6ED1">
              <w:rPr>
                <w:rFonts w:ascii="Times New Roman" w:eastAsia="Times New Roman" w:hAnsi="Times New Roman" w:cs="Times New Roman"/>
                <w:bCs/>
                <w:sz w:val="24"/>
                <w:szCs w:val="24"/>
                <w:lang w:eastAsia="lv-LV"/>
              </w:rPr>
              <w:t>2017. gada 6. janvārī spēkā stāj</w:t>
            </w:r>
            <w:r w:rsidR="00D95F01">
              <w:rPr>
                <w:rFonts w:ascii="Times New Roman" w:eastAsia="Times New Roman" w:hAnsi="Times New Roman" w:cs="Times New Roman"/>
                <w:bCs/>
                <w:sz w:val="24"/>
                <w:szCs w:val="24"/>
                <w:lang w:eastAsia="lv-LV"/>
              </w:rPr>
              <w:t>ā</w:t>
            </w:r>
            <w:r w:rsidRPr="00CA6ED1">
              <w:rPr>
                <w:rFonts w:ascii="Times New Roman" w:eastAsia="Times New Roman" w:hAnsi="Times New Roman" w:cs="Times New Roman"/>
                <w:bCs/>
                <w:sz w:val="24"/>
                <w:szCs w:val="24"/>
                <w:lang w:eastAsia="lv-LV"/>
              </w:rPr>
              <w:t xml:space="preserve">s grozījumi Maksātnespējas likumā, ar kuriem </w:t>
            </w:r>
            <w:r w:rsidR="00D95F01">
              <w:rPr>
                <w:rFonts w:ascii="Times New Roman" w:eastAsia="Times New Roman" w:hAnsi="Times New Roman" w:cs="Times New Roman"/>
                <w:bCs/>
                <w:sz w:val="24"/>
                <w:szCs w:val="24"/>
                <w:lang w:eastAsia="lv-LV"/>
              </w:rPr>
              <w:t xml:space="preserve">maksātnespējas procesa </w:t>
            </w:r>
            <w:r w:rsidRPr="00CA6ED1">
              <w:rPr>
                <w:rFonts w:ascii="Times New Roman" w:eastAsia="Times New Roman" w:hAnsi="Times New Roman" w:cs="Times New Roman"/>
                <w:bCs/>
                <w:sz w:val="24"/>
                <w:szCs w:val="24"/>
                <w:lang w:eastAsia="lv-LV"/>
              </w:rPr>
              <w:t>administratoru</w:t>
            </w:r>
            <w:r w:rsidR="00D95F01">
              <w:rPr>
                <w:rFonts w:ascii="Times New Roman" w:eastAsia="Times New Roman" w:hAnsi="Times New Roman" w:cs="Times New Roman"/>
                <w:bCs/>
                <w:sz w:val="24"/>
                <w:szCs w:val="24"/>
                <w:lang w:eastAsia="lv-LV"/>
              </w:rPr>
              <w:t xml:space="preserve"> (turpmāk – administrators)</w:t>
            </w:r>
            <w:r w:rsidRPr="00CA6ED1">
              <w:rPr>
                <w:rFonts w:ascii="Times New Roman" w:eastAsia="Times New Roman" w:hAnsi="Times New Roman" w:cs="Times New Roman"/>
                <w:bCs/>
                <w:sz w:val="24"/>
                <w:szCs w:val="24"/>
                <w:lang w:eastAsia="lv-LV"/>
              </w:rPr>
              <w:t xml:space="preserve"> kvalifikācijas kontroles funkcija ir nodota valstij. Saskaņā ar Maksātnespējas likuma 174.</w:t>
            </w:r>
            <w:r w:rsidRPr="00CA6ED1">
              <w:rPr>
                <w:rFonts w:ascii="Times New Roman" w:eastAsia="Times New Roman" w:hAnsi="Times New Roman" w:cs="Times New Roman"/>
                <w:bCs/>
                <w:sz w:val="24"/>
                <w:szCs w:val="24"/>
                <w:vertAlign w:val="superscript"/>
                <w:lang w:eastAsia="lv-LV"/>
              </w:rPr>
              <w:t>1</w:t>
            </w:r>
            <w:r w:rsidRPr="00CA6ED1">
              <w:rPr>
                <w:rFonts w:ascii="Times New Roman" w:eastAsia="Times New Roman" w:hAnsi="Times New Roman" w:cs="Times New Roman"/>
                <w:bCs/>
                <w:sz w:val="24"/>
                <w:szCs w:val="24"/>
                <w:lang w:eastAsia="lv-LV"/>
              </w:rPr>
              <w:t> panta 9. un 10. punktu Maksātnespējas administrācija ieceļ amatā administratorus, atbrīvo, atceļ un atstādina no amata administratorus, kā arī aptur administratora amata darbību. Savukārt saskaņā ar Maksātnespējas likuma 175. panta pirmās daļas 3. punktu</w:t>
            </w:r>
            <w:r w:rsidRPr="00CA6ED1">
              <w:rPr>
                <w:rFonts w:ascii="Times New Roman" w:eastAsia="Times New Roman" w:hAnsi="Times New Roman" w:cs="Times New Roman"/>
                <w:sz w:val="24"/>
                <w:szCs w:val="24"/>
                <w:lang w:eastAsia="lv-LV"/>
              </w:rPr>
              <w:t xml:space="preserve"> Maksātnespējas administrācijas lēmumus par </w:t>
            </w:r>
            <w:r w:rsidRPr="00CA6ED1">
              <w:rPr>
                <w:rFonts w:ascii="Times New Roman" w:eastAsia="Times New Roman" w:hAnsi="Times New Roman" w:cs="Times New Roman"/>
                <w:bCs/>
                <w:sz w:val="24"/>
                <w:szCs w:val="24"/>
                <w:lang w:eastAsia="lv-LV"/>
              </w:rPr>
              <w:t xml:space="preserve">administratora iecelšanu amatā, atbrīvošanu, atcelšanu un atstādināšanu no amata, kā arī administratora amata darbības apturēšanu var pārsūdzēt tiesā. </w:t>
            </w:r>
            <w:r w:rsidR="00620F89">
              <w:rPr>
                <w:rFonts w:ascii="Times New Roman" w:eastAsia="Times New Roman" w:hAnsi="Times New Roman" w:cs="Times New Roman"/>
                <w:bCs/>
                <w:sz w:val="24"/>
                <w:szCs w:val="24"/>
                <w:lang w:eastAsia="lv-LV"/>
              </w:rPr>
              <w:t xml:space="preserve">Vienlaikus </w:t>
            </w:r>
            <w:r w:rsidR="00C86D12">
              <w:rPr>
                <w:rFonts w:ascii="Times New Roman" w:eastAsia="Times New Roman" w:hAnsi="Times New Roman" w:cs="Times New Roman"/>
                <w:bCs/>
                <w:sz w:val="24"/>
                <w:szCs w:val="24"/>
                <w:lang w:eastAsia="lv-LV"/>
              </w:rPr>
              <w:t>M</w:t>
            </w:r>
            <w:r w:rsidR="00620F89">
              <w:rPr>
                <w:rFonts w:ascii="Times New Roman" w:eastAsia="Times New Roman" w:hAnsi="Times New Roman" w:cs="Times New Roman"/>
                <w:bCs/>
                <w:sz w:val="24"/>
                <w:szCs w:val="24"/>
                <w:lang w:eastAsia="lv-LV"/>
              </w:rPr>
              <w:t>aksātnespējas likuma 175.</w:t>
            </w:r>
            <w:r w:rsidR="00266FE7">
              <w:rPr>
                <w:rFonts w:ascii="Times New Roman" w:eastAsia="Times New Roman" w:hAnsi="Times New Roman" w:cs="Times New Roman"/>
                <w:bCs/>
                <w:sz w:val="24"/>
                <w:szCs w:val="24"/>
                <w:lang w:eastAsia="lv-LV"/>
              </w:rPr>
              <w:t> </w:t>
            </w:r>
            <w:r w:rsidR="00620F89">
              <w:rPr>
                <w:rFonts w:ascii="Times New Roman" w:eastAsia="Times New Roman" w:hAnsi="Times New Roman" w:cs="Times New Roman"/>
                <w:bCs/>
                <w:sz w:val="24"/>
                <w:szCs w:val="24"/>
                <w:lang w:eastAsia="lv-LV"/>
              </w:rPr>
              <w:t>pantā ir noteikta arī citu Maksātnespējas administrācijas lēmumu apstrīdēšanas un pārsūdzēšanas kārtība.</w:t>
            </w:r>
          </w:p>
          <w:p w14:paraId="4A84C403" w14:textId="09238A8A" w:rsidR="00CA6ED1" w:rsidRDefault="00620F89" w:rsidP="00620F8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Šobrīd </w:t>
            </w:r>
            <w:r w:rsidR="00CA6ED1" w:rsidRPr="00CA6ED1">
              <w:rPr>
                <w:rFonts w:ascii="Times New Roman" w:eastAsia="Times New Roman" w:hAnsi="Times New Roman" w:cs="Times New Roman"/>
                <w:bCs/>
                <w:sz w:val="24"/>
                <w:szCs w:val="24"/>
                <w:lang w:eastAsia="lv-LV"/>
              </w:rPr>
              <w:t xml:space="preserve">Maksātnespējas administrācijas nolikumā atbilstoši </w:t>
            </w:r>
            <w:r>
              <w:rPr>
                <w:rFonts w:ascii="Times New Roman" w:eastAsia="Times New Roman" w:hAnsi="Times New Roman" w:cs="Times New Roman"/>
                <w:bCs/>
                <w:sz w:val="24"/>
                <w:szCs w:val="24"/>
                <w:lang w:eastAsia="lv-LV"/>
              </w:rPr>
              <w:t>Maksātnespējas likuma redakcijai</w:t>
            </w:r>
            <w:r w:rsidR="00CA6ED1" w:rsidRPr="00CA6ED1">
              <w:rPr>
                <w:rFonts w:ascii="Times New Roman" w:eastAsia="Times New Roman" w:hAnsi="Times New Roman" w:cs="Times New Roman"/>
                <w:bCs/>
                <w:sz w:val="24"/>
                <w:szCs w:val="24"/>
                <w:lang w:eastAsia="lv-LV"/>
              </w:rPr>
              <w:t>, kas bija spēkā līdz 2017. gada 6. janvārim, ir paredzēt</w:t>
            </w:r>
            <w:r>
              <w:rPr>
                <w:rFonts w:ascii="Times New Roman" w:eastAsia="Times New Roman" w:hAnsi="Times New Roman" w:cs="Times New Roman"/>
                <w:bCs/>
                <w:sz w:val="24"/>
                <w:szCs w:val="24"/>
                <w:lang w:eastAsia="lv-LV"/>
              </w:rPr>
              <w:t xml:space="preserve">a kārtība, kādā ir iespējams apstrīdēt </w:t>
            </w:r>
            <w:r w:rsidRPr="00620F89">
              <w:rPr>
                <w:rFonts w:ascii="Times New Roman" w:eastAsia="Times New Roman" w:hAnsi="Times New Roman" w:cs="Times New Roman"/>
                <w:bCs/>
                <w:sz w:val="24"/>
                <w:szCs w:val="24"/>
                <w:lang w:eastAsia="lv-LV"/>
              </w:rPr>
              <w:t>direktora izdotos administratīvos aktus un faktisko rīcību</w:t>
            </w:r>
            <w:r w:rsidR="00D152E0">
              <w:rPr>
                <w:rFonts w:ascii="Times New Roman" w:eastAsia="Times New Roman" w:hAnsi="Times New Roman" w:cs="Times New Roman"/>
                <w:bCs/>
                <w:sz w:val="24"/>
                <w:szCs w:val="24"/>
                <w:lang w:eastAsia="lv-LV"/>
              </w:rPr>
              <w:t xml:space="preserve">. Atbilstoši spēkā esošajai </w:t>
            </w:r>
            <w:r w:rsidR="00D152E0" w:rsidRPr="00D152E0">
              <w:rPr>
                <w:rFonts w:ascii="Times New Roman" w:eastAsia="Times New Roman" w:hAnsi="Times New Roman" w:cs="Times New Roman"/>
                <w:bCs/>
                <w:sz w:val="24"/>
                <w:szCs w:val="24"/>
                <w:lang w:eastAsia="lv-LV"/>
              </w:rPr>
              <w:t>Maksātnespējas administrācijas nolikum</w:t>
            </w:r>
            <w:r w:rsidR="00D152E0">
              <w:rPr>
                <w:rFonts w:ascii="Times New Roman" w:eastAsia="Times New Roman" w:hAnsi="Times New Roman" w:cs="Times New Roman"/>
                <w:bCs/>
                <w:sz w:val="24"/>
                <w:szCs w:val="24"/>
                <w:lang w:eastAsia="lv-LV"/>
              </w:rPr>
              <w:t>a redakcijai Tieslietu ministrijā var apstrīdēt lēmumus</w:t>
            </w:r>
            <w:r w:rsidRPr="00620F89">
              <w:rPr>
                <w:rFonts w:ascii="Times New Roman" w:eastAsia="Times New Roman" w:hAnsi="Times New Roman" w:cs="Times New Roman"/>
                <w:bCs/>
                <w:sz w:val="24"/>
                <w:szCs w:val="24"/>
                <w:lang w:eastAsia="lv-LV"/>
              </w:rPr>
              <w:t xml:space="preserve"> par maksātnespējīgo darba devēju darbinieku prasījumu apmierināšanu un maksātnespējas procesa izmaksu segšanu</w:t>
            </w:r>
            <w:r w:rsidR="00D152E0">
              <w:rPr>
                <w:rFonts w:ascii="Times New Roman" w:eastAsia="Times New Roman" w:hAnsi="Times New Roman" w:cs="Times New Roman"/>
                <w:bCs/>
                <w:sz w:val="24"/>
                <w:szCs w:val="24"/>
                <w:lang w:eastAsia="lv-LV"/>
              </w:rPr>
              <w:t>, savukārt tiesā var</w:t>
            </w:r>
            <w:r>
              <w:rPr>
                <w:rFonts w:ascii="Times New Roman" w:eastAsia="Times New Roman" w:hAnsi="Times New Roman" w:cs="Times New Roman"/>
                <w:bCs/>
                <w:sz w:val="24"/>
                <w:szCs w:val="24"/>
                <w:lang w:eastAsia="lv-LV"/>
              </w:rPr>
              <w:t xml:space="preserve"> </w:t>
            </w:r>
            <w:r w:rsidR="00CA6ED1" w:rsidRPr="00CA6ED1">
              <w:rPr>
                <w:rFonts w:ascii="Times New Roman" w:eastAsia="Times New Roman" w:hAnsi="Times New Roman" w:cs="Times New Roman"/>
                <w:bCs/>
                <w:sz w:val="24"/>
                <w:szCs w:val="24"/>
                <w:lang w:eastAsia="lv-LV"/>
              </w:rPr>
              <w:t>pārsūdzēt iestādes lēmumus tikai administratoru sertificēšanas jautājumo</w:t>
            </w:r>
            <w:r w:rsidR="00D152E0">
              <w:rPr>
                <w:rFonts w:ascii="Times New Roman" w:eastAsia="Times New Roman" w:hAnsi="Times New Roman" w:cs="Times New Roman"/>
                <w:bCs/>
                <w:sz w:val="24"/>
                <w:szCs w:val="24"/>
                <w:lang w:eastAsia="lv-LV"/>
              </w:rPr>
              <w:t xml:space="preserve">s. Ņemot vērā minēto, Maksātnespējas administrācijas nolikumā </w:t>
            </w:r>
            <w:r w:rsidR="00CA6ED1" w:rsidRPr="00CA6ED1">
              <w:rPr>
                <w:rFonts w:ascii="Times New Roman" w:eastAsia="Times New Roman" w:hAnsi="Times New Roman" w:cs="Times New Roman"/>
                <w:bCs/>
                <w:sz w:val="24"/>
                <w:szCs w:val="24"/>
                <w:lang w:eastAsia="lv-LV"/>
              </w:rPr>
              <w:t>jāveic grozījumi, iekļaujot lēmumu, kas skar administratora amata darbību</w:t>
            </w:r>
            <w:r w:rsidR="00D95F01">
              <w:rPr>
                <w:rFonts w:ascii="Times New Roman" w:eastAsia="Times New Roman" w:hAnsi="Times New Roman" w:cs="Times New Roman"/>
                <w:bCs/>
                <w:sz w:val="24"/>
                <w:szCs w:val="24"/>
                <w:lang w:eastAsia="lv-LV"/>
              </w:rPr>
              <w:t>,</w:t>
            </w:r>
            <w:r w:rsidR="00CA6ED1" w:rsidRPr="00CA6ED1">
              <w:rPr>
                <w:rFonts w:ascii="Times New Roman" w:eastAsia="Times New Roman" w:hAnsi="Times New Roman" w:cs="Times New Roman"/>
                <w:bCs/>
                <w:sz w:val="24"/>
                <w:szCs w:val="24"/>
                <w:lang w:eastAsia="lv-LV"/>
              </w:rPr>
              <w:t xml:space="preserve"> pārsūdzēšanas kārtību. </w:t>
            </w:r>
            <w:r>
              <w:rPr>
                <w:rFonts w:ascii="Times New Roman" w:eastAsia="Times New Roman" w:hAnsi="Times New Roman" w:cs="Times New Roman"/>
                <w:bCs/>
                <w:sz w:val="24"/>
                <w:szCs w:val="24"/>
                <w:lang w:eastAsia="lv-LV"/>
              </w:rPr>
              <w:t>Līdz ar to Maksātnespējas administrācijas nolikumā ietvertais regulējums neatbilst Maksātnespējas likumā noteiktajam.</w:t>
            </w:r>
          </w:p>
          <w:p w14:paraId="6260825A" w14:textId="00889A9C" w:rsidR="00620F89" w:rsidRPr="00620F89" w:rsidRDefault="00EC5ED8" w:rsidP="00620F89">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Vienlaikus</w:t>
            </w:r>
            <w:r w:rsidR="00620F89" w:rsidRPr="00620F89">
              <w:rPr>
                <w:i/>
                <w:iCs/>
              </w:rPr>
              <w:t xml:space="preserve"> </w:t>
            </w:r>
            <w:r w:rsidR="00620F89">
              <w:rPr>
                <w:rFonts w:ascii="Times New Roman" w:eastAsia="Times New Roman" w:hAnsi="Times New Roman" w:cs="Times New Roman"/>
                <w:bCs/>
                <w:sz w:val="24"/>
                <w:szCs w:val="24"/>
                <w:lang w:eastAsia="lv-LV"/>
              </w:rPr>
              <w:t>a</w:t>
            </w:r>
            <w:r w:rsidR="00620F89" w:rsidRPr="00620F89">
              <w:rPr>
                <w:rFonts w:ascii="Times New Roman" w:eastAsia="Times New Roman" w:hAnsi="Times New Roman" w:cs="Times New Roman"/>
                <w:bCs/>
                <w:sz w:val="24"/>
                <w:szCs w:val="24"/>
                <w:lang w:eastAsia="lv-LV"/>
              </w:rPr>
              <w:t>tbilstoši Ministru kabineta 2009. gada 3. februāra noteikumu Nr. 108 "Normatīvo aktu projektu sagatavošanas noteikumi" 3.2. apakšpunktam normatīvā akta projektā neietver normas, kas dublē augstāka vai tāda paša spēka normatīvā akta tiesību normās ietverto normatīvo regulējumu.</w:t>
            </w:r>
            <w:r w:rsidR="00620F89" w:rsidRPr="00620F89">
              <w:rPr>
                <w:i/>
                <w:iCs/>
              </w:rPr>
              <w:t xml:space="preserve"> </w:t>
            </w:r>
            <w:r w:rsidR="00620F89" w:rsidRPr="00620F89">
              <w:rPr>
                <w:rFonts w:ascii="Times New Roman" w:eastAsia="Times New Roman" w:hAnsi="Times New Roman" w:cs="Times New Roman"/>
                <w:bCs/>
                <w:sz w:val="24"/>
                <w:szCs w:val="24"/>
                <w:lang w:eastAsia="lv-LV"/>
              </w:rPr>
              <w:t xml:space="preserve">Līdz ar to </w:t>
            </w:r>
            <w:r w:rsidR="00620F89">
              <w:rPr>
                <w:rFonts w:ascii="Times New Roman" w:eastAsia="Times New Roman" w:hAnsi="Times New Roman" w:cs="Times New Roman"/>
                <w:bCs/>
                <w:sz w:val="24"/>
                <w:szCs w:val="24"/>
                <w:lang w:eastAsia="lv-LV"/>
              </w:rPr>
              <w:t>maksātnespējas administrācijas nolikumā nav jādublē</w:t>
            </w:r>
            <w:r w:rsidR="00620F89" w:rsidRPr="00620F89">
              <w:rPr>
                <w:rFonts w:ascii="Times New Roman" w:eastAsia="Times New Roman" w:hAnsi="Times New Roman" w:cs="Times New Roman"/>
                <w:bCs/>
                <w:sz w:val="24"/>
                <w:szCs w:val="24"/>
                <w:lang w:eastAsia="lv-LV"/>
              </w:rPr>
              <w:t xml:space="preserve"> Maksātnespējas likum</w:t>
            </w:r>
            <w:r w:rsidR="00620F89">
              <w:rPr>
                <w:rFonts w:ascii="Times New Roman" w:eastAsia="Times New Roman" w:hAnsi="Times New Roman" w:cs="Times New Roman"/>
                <w:bCs/>
                <w:sz w:val="24"/>
                <w:szCs w:val="24"/>
                <w:lang w:eastAsia="lv-LV"/>
              </w:rPr>
              <w:t xml:space="preserve">ā un administratīvā procesa likumā ietvertais </w:t>
            </w:r>
            <w:r w:rsidR="00620F89">
              <w:rPr>
                <w:rFonts w:ascii="Times New Roman" w:eastAsia="Times New Roman" w:hAnsi="Times New Roman" w:cs="Times New Roman"/>
                <w:bCs/>
                <w:sz w:val="24"/>
                <w:szCs w:val="24"/>
                <w:lang w:eastAsia="lv-LV"/>
              </w:rPr>
              <w:lastRenderedPageBreak/>
              <w:t xml:space="preserve">regulējums par iestādes lēmumu </w:t>
            </w:r>
            <w:r w:rsidR="00620F89" w:rsidRPr="00620F89">
              <w:rPr>
                <w:rFonts w:ascii="Times New Roman" w:eastAsia="Times New Roman" w:hAnsi="Times New Roman" w:cs="Times New Roman"/>
                <w:bCs/>
                <w:sz w:val="24"/>
                <w:szCs w:val="24"/>
                <w:lang w:eastAsia="lv-LV"/>
              </w:rPr>
              <w:t>apstrīdēšan</w:t>
            </w:r>
            <w:r w:rsidR="00620F89">
              <w:rPr>
                <w:rFonts w:ascii="Times New Roman" w:eastAsia="Times New Roman" w:hAnsi="Times New Roman" w:cs="Times New Roman"/>
                <w:bCs/>
                <w:sz w:val="24"/>
                <w:szCs w:val="24"/>
                <w:lang w:eastAsia="lv-LV"/>
              </w:rPr>
              <w:t>as</w:t>
            </w:r>
            <w:r w:rsidR="00620F89" w:rsidRPr="00620F89">
              <w:rPr>
                <w:rFonts w:ascii="Times New Roman" w:eastAsia="Times New Roman" w:hAnsi="Times New Roman" w:cs="Times New Roman"/>
                <w:bCs/>
                <w:sz w:val="24"/>
                <w:szCs w:val="24"/>
                <w:lang w:eastAsia="lv-LV"/>
              </w:rPr>
              <w:t xml:space="preserve"> un pārsūdzēšan</w:t>
            </w:r>
            <w:r w:rsidR="00620F89">
              <w:rPr>
                <w:rFonts w:ascii="Times New Roman" w:eastAsia="Times New Roman" w:hAnsi="Times New Roman" w:cs="Times New Roman"/>
                <w:bCs/>
                <w:sz w:val="24"/>
                <w:szCs w:val="24"/>
                <w:lang w:eastAsia="lv-LV"/>
              </w:rPr>
              <w:t>as kārtību</w:t>
            </w:r>
            <w:r w:rsidR="00620F89" w:rsidRPr="00620F89">
              <w:rPr>
                <w:rFonts w:ascii="Times New Roman" w:eastAsia="Times New Roman" w:hAnsi="Times New Roman" w:cs="Times New Roman"/>
                <w:bCs/>
                <w:sz w:val="24"/>
                <w:szCs w:val="24"/>
                <w:lang w:eastAsia="lv-LV"/>
              </w:rPr>
              <w:t>.</w:t>
            </w:r>
          </w:p>
          <w:p w14:paraId="2B7599AD" w14:textId="77777777" w:rsidR="00C649EF" w:rsidRDefault="00620F89" w:rsidP="00EC5ED8">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Ņemot vērā minēto, nepieciešams precizēt Maksātnespējas administrācijas nolikumu, nosakot, ka </w:t>
            </w:r>
            <w:r w:rsidR="00C649EF" w:rsidRPr="00C649EF">
              <w:rPr>
                <w:rFonts w:ascii="Times New Roman" w:eastAsia="Times New Roman" w:hAnsi="Times New Roman" w:cs="Times New Roman"/>
                <w:bCs/>
                <w:sz w:val="24"/>
                <w:szCs w:val="24"/>
                <w:lang w:eastAsia="lv-LV"/>
              </w:rPr>
              <w:t>Maksātnespējas administrācijas lēmumu un faktiskās rīcības apstrīdēšanas un pārsūdzēšanas kārtība noteikta Maksātnespējas likumā un Administratīvā procesa likumā</w:t>
            </w:r>
            <w:r w:rsidR="00C649EF">
              <w:rPr>
                <w:rFonts w:ascii="Times New Roman" w:eastAsia="Times New Roman" w:hAnsi="Times New Roman" w:cs="Times New Roman"/>
                <w:bCs/>
                <w:sz w:val="24"/>
                <w:szCs w:val="24"/>
                <w:lang w:eastAsia="lv-LV"/>
              </w:rPr>
              <w:t>.</w:t>
            </w:r>
          </w:p>
          <w:p w14:paraId="599559AA" w14:textId="77777777" w:rsidR="00291DBE" w:rsidRDefault="00CA6ED1" w:rsidP="00EC5ED8">
            <w:pPr>
              <w:spacing w:after="0" w:line="240" w:lineRule="auto"/>
              <w:jc w:val="both"/>
              <w:rPr>
                <w:rFonts w:ascii="Times New Roman" w:eastAsia="Times New Roman" w:hAnsi="Times New Roman" w:cs="Times New Roman"/>
                <w:bCs/>
                <w:sz w:val="24"/>
                <w:szCs w:val="24"/>
                <w:lang w:eastAsia="lv-LV"/>
              </w:rPr>
            </w:pPr>
            <w:r w:rsidRPr="00CA6ED1">
              <w:rPr>
                <w:rFonts w:ascii="Times New Roman" w:eastAsia="Times New Roman" w:hAnsi="Times New Roman" w:cs="Times New Roman"/>
                <w:sz w:val="24"/>
                <w:szCs w:val="24"/>
                <w:lang w:eastAsia="lv-LV"/>
              </w:rPr>
              <w:t xml:space="preserve">Ministru kabineta </w:t>
            </w:r>
            <w:r w:rsidRPr="00CA6ED1">
              <w:rPr>
                <w:rFonts w:ascii="Times New Roman" w:eastAsia="Times New Roman" w:hAnsi="Times New Roman" w:cs="Times New Roman"/>
                <w:bCs/>
                <w:sz w:val="24"/>
                <w:szCs w:val="24"/>
                <w:lang w:eastAsia="lv-LV"/>
              </w:rPr>
              <w:t>2017. gada 18. jūlija sēdē ir izskatīts informatīvais ziņojums "Par Maksātnespējas administrācijas attīstību" (prot. Nr.36 31.</w:t>
            </w:r>
            <w:r w:rsidR="0034044A">
              <w:rPr>
                <w:rFonts w:ascii="Times New Roman" w:eastAsia="Times New Roman" w:hAnsi="Times New Roman" w:cs="Times New Roman"/>
                <w:bCs/>
                <w:sz w:val="24"/>
                <w:szCs w:val="24"/>
                <w:lang w:eastAsia="lv-LV"/>
              </w:rPr>
              <w:t> </w:t>
            </w:r>
            <w:r w:rsidRPr="00CA6ED1">
              <w:rPr>
                <w:rFonts w:ascii="Times New Roman" w:eastAsia="Times New Roman" w:hAnsi="Times New Roman" w:cs="Times New Roman"/>
                <w:bCs/>
                <w:sz w:val="24"/>
                <w:szCs w:val="24"/>
                <w:lang w:eastAsia="lv-LV"/>
              </w:rPr>
              <w:t>§). Izskatot minēto ziņojumu, Ministru kabinets ir nolēmis, ka, lai nodrošinātu Maksātnespējas administrācijas kapacitātes stiprināšanu, Tieslietu ministrijai līdz 2017. gada 1. novembrim jāsaskaņo ar Valsts kanceleju Maksātnespējas administrācijas amatu klasificēšanas rezultātu apkopojumu. Izvērtējot jautājumu par Maksātnespējas administrācijas amatu klasificēšanu, tika pārskatīti iestādes veicami</w:t>
            </w:r>
            <w:r w:rsidR="0034044A">
              <w:rPr>
                <w:rFonts w:ascii="Times New Roman" w:eastAsia="Times New Roman" w:hAnsi="Times New Roman" w:cs="Times New Roman"/>
                <w:bCs/>
                <w:sz w:val="24"/>
                <w:szCs w:val="24"/>
                <w:lang w:eastAsia="lv-LV"/>
              </w:rPr>
              <w:t>e</w:t>
            </w:r>
            <w:r w:rsidRPr="00CA6ED1">
              <w:rPr>
                <w:rFonts w:ascii="Times New Roman" w:eastAsia="Times New Roman" w:hAnsi="Times New Roman" w:cs="Times New Roman"/>
                <w:bCs/>
                <w:sz w:val="24"/>
                <w:szCs w:val="24"/>
                <w:lang w:eastAsia="lv-LV"/>
              </w:rPr>
              <w:t xml:space="preserve"> uzdevumi. </w:t>
            </w:r>
          </w:p>
          <w:p w14:paraId="519DA41A" w14:textId="7D38500D" w:rsidR="006F1FC9" w:rsidRDefault="00291DBE" w:rsidP="00EC5ED8">
            <w:pPr>
              <w:spacing w:after="0" w:line="240" w:lineRule="auto"/>
              <w:jc w:val="both"/>
              <w:rPr>
                <w:rFonts w:ascii="Times New Roman" w:eastAsia="Times New Roman" w:hAnsi="Times New Roman" w:cs="Times New Roman"/>
                <w:bCs/>
                <w:sz w:val="24"/>
                <w:szCs w:val="24"/>
                <w:lang w:eastAsia="lv-LV"/>
              </w:rPr>
            </w:pPr>
            <w:r w:rsidRPr="004F129F">
              <w:rPr>
                <w:rFonts w:ascii="Times New Roman" w:eastAsia="Times New Roman" w:hAnsi="Times New Roman" w:cs="Times New Roman"/>
                <w:bCs/>
                <w:sz w:val="24"/>
                <w:szCs w:val="24"/>
                <w:lang w:eastAsia="lv-LV"/>
              </w:rPr>
              <w:t>V</w:t>
            </w:r>
            <w:r w:rsidR="00CA6ED1" w:rsidRPr="004F129F">
              <w:rPr>
                <w:rFonts w:ascii="Times New Roman" w:eastAsia="Times New Roman" w:hAnsi="Times New Roman" w:cs="Times New Roman"/>
                <w:bCs/>
                <w:sz w:val="24"/>
                <w:szCs w:val="24"/>
                <w:lang w:eastAsia="lv-LV"/>
              </w:rPr>
              <w:t>iens no būtiskajiem Maksātnespējas admin</w:t>
            </w:r>
            <w:r w:rsidR="00E347AD" w:rsidRPr="004F129F">
              <w:rPr>
                <w:rFonts w:ascii="Times New Roman" w:eastAsia="Times New Roman" w:hAnsi="Times New Roman" w:cs="Times New Roman"/>
                <w:bCs/>
                <w:sz w:val="24"/>
                <w:szCs w:val="24"/>
                <w:lang w:eastAsia="lv-LV"/>
              </w:rPr>
              <w:t>istrācijas uzdevumiem ir vienota</w:t>
            </w:r>
            <w:r w:rsidR="00CA6ED1" w:rsidRPr="004F129F">
              <w:rPr>
                <w:rFonts w:ascii="Times New Roman" w:eastAsia="Times New Roman" w:hAnsi="Times New Roman" w:cs="Times New Roman"/>
                <w:bCs/>
                <w:sz w:val="24"/>
                <w:szCs w:val="24"/>
                <w:lang w:eastAsia="lv-LV"/>
              </w:rPr>
              <w:t>s maksātnespējas procesu regulējošo normatīvo aktu piemērošanas prakses veidošanas veicināšana</w:t>
            </w:r>
            <w:r w:rsidRPr="004F129F">
              <w:rPr>
                <w:rFonts w:ascii="Times New Roman" w:eastAsia="Times New Roman" w:hAnsi="Times New Roman" w:cs="Times New Roman"/>
                <w:bCs/>
                <w:sz w:val="24"/>
                <w:szCs w:val="24"/>
                <w:lang w:eastAsia="lv-LV"/>
              </w:rPr>
              <w:t xml:space="preserve">. Līdz ar to Maksātnespējas administrācija </w:t>
            </w:r>
            <w:r w:rsidR="005C5897" w:rsidRPr="004F129F">
              <w:rPr>
                <w:rFonts w:ascii="Times New Roman" w:eastAsia="Times New Roman" w:hAnsi="Times New Roman" w:cs="Times New Roman"/>
                <w:bCs/>
                <w:sz w:val="24"/>
                <w:szCs w:val="24"/>
                <w:lang w:eastAsia="lv-LV"/>
              </w:rPr>
              <w:t xml:space="preserve">jau </w:t>
            </w:r>
            <w:r w:rsidRPr="004F129F">
              <w:rPr>
                <w:rFonts w:ascii="Times New Roman" w:eastAsia="Times New Roman" w:hAnsi="Times New Roman" w:cs="Times New Roman"/>
                <w:bCs/>
                <w:sz w:val="24"/>
                <w:szCs w:val="24"/>
                <w:lang w:eastAsia="lv-LV"/>
              </w:rPr>
              <w:t xml:space="preserve">šobrīd </w:t>
            </w:r>
            <w:r w:rsidR="005C5897" w:rsidRPr="004F129F">
              <w:rPr>
                <w:rFonts w:ascii="Times New Roman" w:eastAsia="Times New Roman" w:hAnsi="Times New Roman" w:cs="Times New Roman"/>
                <w:bCs/>
                <w:sz w:val="24"/>
                <w:szCs w:val="24"/>
                <w:lang w:eastAsia="lv-LV"/>
              </w:rPr>
              <w:t xml:space="preserve">faktiski </w:t>
            </w:r>
            <w:r w:rsidRPr="004F129F">
              <w:rPr>
                <w:rFonts w:ascii="Times New Roman" w:eastAsia="Times New Roman" w:hAnsi="Times New Roman" w:cs="Times New Roman"/>
                <w:bCs/>
                <w:sz w:val="24"/>
                <w:szCs w:val="24"/>
                <w:lang w:eastAsia="lv-LV"/>
              </w:rPr>
              <w:t xml:space="preserve">piedalās ārējo </w:t>
            </w:r>
            <w:r w:rsidR="005C5897" w:rsidRPr="004F129F">
              <w:rPr>
                <w:rFonts w:ascii="Times New Roman" w:eastAsia="Times New Roman" w:hAnsi="Times New Roman" w:cs="Times New Roman"/>
                <w:bCs/>
                <w:sz w:val="24"/>
                <w:szCs w:val="24"/>
                <w:lang w:eastAsia="lv-LV"/>
              </w:rPr>
              <w:t>tiesību aktu, i</w:t>
            </w:r>
            <w:r w:rsidRPr="004F129F">
              <w:rPr>
                <w:rFonts w:ascii="Times New Roman" w:eastAsia="Times New Roman" w:hAnsi="Times New Roman" w:cs="Times New Roman"/>
                <w:bCs/>
                <w:sz w:val="24"/>
                <w:szCs w:val="24"/>
                <w:lang w:eastAsia="lv-LV"/>
              </w:rPr>
              <w:t>nformatīvo ziņojumu</w:t>
            </w:r>
            <w:r w:rsidR="005C5897" w:rsidRPr="004F129F">
              <w:rPr>
                <w:rFonts w:ascii="Times New Roman" w:eastAsia="Times New Roman" w:hAnsi="Times New Roman" w:cs="Times New Roman"/>
                <w:bCs/>
                <w:sz w:val="24"/>
                <w:szCs w:val="24"/>
                <w:lang w:eastAsia="lv-LV"/>
              </w:rPr>
              <w:t xml:space="preserve"> un Ministru kabineta rīkojumu </w:t>
            </w:r>
            <w:r w:rsidR="00D95F01" w:rsidRPr="004F129F">
              <w:rPr>
                <w:rFonts w:ascii="Times New Roman" w:eastAsia="Times New Roman" w:hAnsi="Times New Roman" w:cs="Times New Roman"/>
                <w:bCs/>
                <w:sz w:val="24"/>
                <w:szCs w:val="24"/>
                <w:lang w:eastAsia="lv-LV"/>
              </w:rPr>
              <w:t xml:space="preserve">projektu </w:t>
            </w:r>
            <w:r w:rsidR="005C5897" w:rsidRPr="004F129F">
              <w:rPr>
                <w:rFonts w:ascii="Times New Roman" w:eastAsia="Times New Roman" w:hAnsi="Times New Roman" w:cs="Times New Roman"/>
                <w:bCs/>
                <w:sz w:val="24"/>
                <w:szCs w:val="24"/>
                <w:lang w:eastAsia="lv-LV"/>
              </w:rPr>
              <w:t>izstrādē</w:t>
            </w:r>
            <w:r w:rsidR="00DB0080" w:rsidRPr="004F129F">
              <w:rPr>
                <w:rFonts w:ascii="Times New Roman" w:eastAsia="Times New Roman" w:hAnsi="Times New Roman" w:cs="Times New Roman"/>
                <w:bCs/>
                <w:sz w:val="24"/>
                <w:szCs w:val="24"/>
                <w:lang w:eastAsia="lv-LV"/>
              </w:rPr>
              <w:t xml:space="preserve">, t.i., nevis tikai iesniedz Tieslietu ministrija </w:t>
            </w:r>
            <w:r w:rsidR="00982A25" w:rsidRPr="004F129F">
              <w:rPr>
                <w:rFonts w:ascii="Times New Roman" w:eastAsia="Times New Roman" w:hAnsi="Times New Roman" w:cs="Times New Roman"/>
                <w:bCs/>
                <w:sz w:val="24"/>
                <w:szCs w:val="24"/>
                <w:lang w:eastAsia="lv-LV"/>
              </w:rPr>
              <w:t xml:space="preserve">formālu </w:t>
            </w:r>
            <w:r w:rsidR="00DB0080" w:rsidRPr="004F129F">
              <w:rPr>
                <w:rFonts w:ascii="Times New Roman" w:eastAsia="Times New Roman" w:hAnsi="Times New Roman" w:cs="Times New Roman"/>
                <w:bCs/>
                <w:sz w:val="24"/>
                <w:szCs w:val="24"/>
                <w:lang w:eastAsia="lv-LV"/>
              </w:rPr>
              <w:t>priekšlikumu par nepieciešamību risināt konstatēto problēmjautājumu, bet</w:t>
            </w:r>
            <w:r w:rsidR="00D95F01" w:rsidRPr="004F129F">
              <w:rPr>
                <w:rFonts w:ascii="Times New Roman" w:eastAsia="Times New Roman" w:hAnsi="Times New Roman" w:cs="Times New Roman"/>
                <w:bCs/>
                <w:sz w:val="24"/>
                <w:szCs w:val="24"/>
                <w:lang w:eastAsia="lv-LV"/>
              </w:rPr>
              <w:t xml:space="preserve"> piedalās</w:t>
            </w:r>
            <w:r w:rsidR="00DB0080" w:rsidRPr="004F129F">
              <w:rPr>
                <w:rFonts w:ascii="Times New Roman" w:eastAsia="Times New Roman" w:hAnsi="Times New Roman" w:cs="Times New Roman"/>
                <w:bCs/>
                <w:sz w:val="24"/>
                <w:szCs w:val="24"/>
                <w:lang w:eastAsia="lv-LV"/>
              </w:rPr>
              <w:t xml:space="preserve"> tiesību aktu un tā pavaddokumentu</w:t>
            </w:r>
            <w:r w:rsidR="00D95F01" w:rsidRPr="004F129F">
              <w:rPr>
                <w:rFonts w:ascii="Times New Roman" w:eastAsia="Times New Roman" w:hAnsi="Times New Roman" w:cs="Times New Roman"/>
                <w:bCs/>
                <w:sz w:val="24"/>
                <w:szCs w:val="24"/>
                <w:lang w:eastAsia="lv-LV"/>
              </w:rPr>
              <w:t xml:space="preserve"> projektu sagatavošanā</w:t>
            </w:r>
            <w:r w:rsidR="00DB0080" w:rsidRPr="004F129F">
              <w:rPr>
                <w:rFonts w:ascii="Times New Roman" w:eastAsia="Times New Roman" w:hAnsi="Times New Roman" w:cs="Times New Roman"/>
                <w:bCs/>
                <w:sz w:val="24"/>
                <w:szCs w:val="24"/>
                <w:lang w:eastAsia="lv-LV"/>
              </w:rPr>
              <w:t xml:space="preserve"> atbilstoši normatīvajos aktos par normatīvo aktu</w:t>
            </w:r>
            <w:r w:rsidR="004C52BF" w:rsidRPr="004F129F">
              <w:rPr>
                <w:rFonts w:ascii="Times New Roman" w:eastAsia="Times New Roman" w:hAnsi="Times New Roman" w:cs="Times New Roman"/>
                <w:bCs/>
                <w:sz w:val="24"/>
                <w:szCs w:val="24"/>
                <w:lang w:eastAsia="lv-LV"/>
              </w:rPr>
              <w:t xml:space="preserve"> projektu</w:t>
            </w:r>
            <w:r w:rsidR="00DB0080" w:rsidRPr="004F129F">
              <w:rPr>
                <w:rFonts w:ascii="Times New Roman" w:eastAsia="Times New Roman" w:hAnsi="Times New Roman" w:cs="Times New Roman"/>
                <w:bCs/>
                <w:sz w:val="24"/>
                <w:szCs w:val="24"/>
                <w:lang w:eastAsia="lv-LV"/>
              </w:rPr>
              <w:t xml:space="preserve"> izstrādi un virzību </w:t>
            </w:r>
            <w:r w:rsidR="00897B48" w:rsidRPr="004F129F">
              <w:rPr>
                <w:rFonts w:ascii="Times New Roman" w:eastAsia="Times New Roman" w:hAnsi="Times New Roman" w:cs="Times New Roman"/>
                <w:bCs/>
                <w:sz w:val="24"/>
                <w:szCs w:val="24"/>
                <w:lang w:eastAsia="lv-LV"/>
              </w:rPr>
              <w:t>izskatīšanai Ministru kabinet</w:t>
            </w:r>
            <w:r w:rsidR="00D95F01" w:rsidRPr="004F129F">
              <w:rPr>
                <w:rFonts w:ascii="Times New Roman" w:eastAsia="Times New Roman" w:hAnsi="Times New Roman" w:cs="Times New Roman"/>
                <w:bCs/>
                <w:sz w:val="24"/>
                <w:szCs w:val="24"/>
                <w:lang w:eastAsia="lv-LV"/>
              </w:rPr>
              <w:t>a sēdē</w:t>
            </w:r>
            <w:r w:rsidR="00897B48" w:rsidRPr="004F129F">
              <w:rPr>
                <w:rFonts w:ascii="Times New Roman" w:eastAsia="Times New Roman" w:hAnsi="Times New Roman" w:cs="Times New Roman"/>
                <w:bCs/>
                <w:sz w:val="24"/>
                <w:szCs w:val="24"/>
                <w:lang w:eastAsia="lv-LV"/>
              </w:rPr>
              <w:t xml:space="preserve"> </w:t>
            </w:r>
            <w:r w:rsidR="00DB0080" w:rsidRPr="004F129F">
              <w:rPr>
                <w:rFonts w:ascii="Times New Roman" w:eastAsia="Times New Roman" w:hAnsi="Times New Roman" w:cs="Times New Roman"/>
                <w:bCs/>
                <w:sz w:val="24"/>
                <w:szCs w:val="24"/>
                <w:lang w:eastAsia="lv-LV"/>
              </w:rPr>
              <w:t>noteiktaj</w:t>
            </w:r>
            <w:r w:rsidR="004C52BF" w:rsidRPr="004F129F">
              <w:rPr>
                <w:rFonts w:ascii="Times New Roman" w:eastAsia="Times New Roman" w:hAnsi="Times New Roman" w:cs="Times New Roman"/>
                <w:bCs/>
                <w:sz w:val="24"/>
                <w:szCs w:val="24"/>
                <w:lang w:eastAsia="lv-LV"/>
              </w:rPr>
              <w:t>ai</w:t>
            </w:r>
            <w:r w:rsidR="00DB0080" w:rsidRPr="004F129F">
              <w:rPr>
                <w:rFonts w:ascii="Times New Roman" w:eastAsia="Times New Roman" w:hAnsi="Times New Roman" w:cs="Times New Roman"/>
                <w:bCs/>
                <w:sz w:val="24"/>
                <w:szCs w:val="24"/>
                <w:lang w:eastAsia="lv-LV"/>
              </w:rPr>
              <w:t xml:space="preserve"> kārtīb</w:t>
            </w:r>
            <w:r w:rsidR="004C52BF" w:rsidRPr="004F129F">
              <w:rPr>
                <w:rFonts w:ascii="Times New Roman" w:eastAsia="Times New Roman" w:hAnsi="Times New Roman" w:cs="Times New Roman"/>
                <w:bCs/>
                <w:sz w:val="24"/>
                <w:szCs w:val="24"/>
                <w:lang w:eastAsia="lv-LV"/>
              </w:rPr>
              <w:t>ai</w:t>
            </w:r>
            <w:r w:rsidR="00897B48" w:rsidRPr="004F129F">
              <w:rPr>
                <w:rFonts w:ascii="Times New Roman" w:eastAsia="Times New Roman" w:hAnsi="Times New Roman" w:cs="Times New Roman"/>
                <w:bCs/>
                <w:sz w:val="24"/>
                <w:szCs w:val="24"/>
                <w:lang w:eastAsia="lv-LV"/>
              </w:rPr>
              <w:t xml:space="preserve">. </w:t>
            </w:r>
            <w:r w:rsidR="005C5897" w:rsidRPr="004F129F">
              <w:rPr>
                <w:rFonts w:ascii="Times New Roman" w:eastAsia="Times New Roman" w:hAnsi="Times New Roman" w:cs="Times New Roman"/>
                <w:bCs/>
                <w:sz w:val="24"/>
                <w:szCs w:val="24"/>
                <w:lang w:eastAsia="lv-LV"/>
              </w:rPr>
              <w:t xml:space="preserve">Maksātnespējas administrācija </w:t>
            </w:r>
            <w:r w:rsidRPr="004F129F">
              <w:rPr>
                <w:rFonts w:ascii="Times New Roman" w:eastAsia="Times New Roman" w:hAnsi="Times New Roman" w:cs="Times New Roman"/>
                <w:bCs/>
                <w:sz w:val="24"/>
                <w:szCs w:val="24"/>
                <w:lang w:eastAsia="lv-LV"/>
              </w:rPr>
              <w:t>izstrādā attiecīg</w:t>
            </w:r>
            <w:r w:rsidR="005D0462">
              <w:rPr>
                <w:rFonts w:ascii="Times New Roman" w:eastAsia="Times New Roman" w:hAnsi="Times New Roman" w:cs="Times New Roman"/>
                <w:bCs/>
                <w:sz w:val="24"/>
                <w:szCs w:val="24"/>
                <w:lang w:eastAsia="lv-LV"/>
              </w:rPr>
              <w:t>o do</w:t>
            </w:r>
            <w:r w:rsidR="00776D9D">
              <w:rPr>
                <w:rFonts w:ascii="Times New Roman" w:eastAsia="Times New Roman" w:hAnsi="Times New Roman" w:cs="Times New Roman"/>
                <w:bCs/>
                <w:sz w:val="24"/>
                <w:szCs w:val="24"/>
                <w:lang w:eastAsia="lv-LV"/>
              </w:rPr>
              <w:t>kumentu</w:t>
            </w:r>
            <w:r w:rsidRPr="004F129F">
              <w:rPr>
                <w:rFonts w:ascii="Times New Roman" w:eastAsia="Times New Roman" w:hAnsi="Times New Roman" w:cs="Times New Roman"/>
                <w:bCs/>
                <w:sz w:val="24"/>
                <w:szCs w:val="24"/>
                <w:lang w:eastAsia="lv-LV"/>
              </w:rPr>
              <w:t xml:space="preserve"> projektu</w:t>
            </w:r>
            <w:r w:rsidR="004C52BF" w:rsidRPr="004F129F">
              <w:rPr>
                <w:rFonts w:ascii="Times New Roman" w:eastAsia="Times New Roman" w:hAnsi="Times New Roman" w:cs="Times New Roman"/>
                <w:bCs/>
                <w:sz w:val="24"/>
                <w:szCs w:val="24"/>
                <w:lang w:eastAsia="lv-LV"/>
              </w:rPr>
              <w:t>s</w:t>
            </w:r>
            <w:r w:rsidRPr="004F129F">
              <w:rPr>
                <w:rFonts w:ascii="Times New Roman" w:eastAsia="Times New Roman" w:hAnsi="Times New Roman" w:cs="Times New Roman"/>
                <w:bCs/>
                <w:sz w:val="24"/>
                <w:szCs w:val="24"/>
                <w:lang w:eastAsia="lv-LV"/>
              </w:rPr>
              <w:t xml:space="preserve">, </w:t>
            </w:r>
            <w:r w:rsidR="00CA6ED1" w:rsidRPr="004F129F">
              <w:rPr>
                <w:rFonts w:ascii="Times New Roman" w:eastAsia="Times New Roman" w:hAnsi="Times New Roman" w:cs="Times New Roman"/>
                <w:bCs/>
                <w:sz w:val="24"/>
                <w:szCs w:val="24"/>
                <w:lang w:eastAsia="lv-LV"/>
              </w:rPr>
              <w:t xml:space="preserve"> </w:t>
            </w:r>
            <w:r w:rsidR="00C41625" w:rsidRPr="004F129F">
              <w:rPr>
                <w:rFonts w:ascii="Times New Roman" w:eastAsia="Times New Roman" w:hAnsi="Times New Roman" w:cs="Times New Roman"/>
                <w:bCs/>
                <w:sz w:val="24"/>
                <w:szCs w:val="24"/>
                <w:lang w:eastAsia="lv-LV"/>
              </w:rPr>
              <w:t>sagatavo sākotnējās ietekmes novērtējuma ziņojumu (anotāciju)</w:t>
            </w:r>
            <w:r w:rsidR="004F129F">
              <w:rPr>
                <w:rFonts w:ascii="Times New Roman" w:eastAsia="Times New Roman" w:hAnsi="Times New Roman" w:cs="Times New Roman"/>
                <w:bCs/>
                <w:sz w:val="24"/>
                <w:szCs w:val="24"/>
                <w:lang w:eastAsia="lv-LV"/>
              </w:rPr>
              <w:t xml:space="preserve"> projektus</w:t>
            </w:r>
            <w:r w:rsidR="007139F7" w:rsidRPr="004F129F">
              <w:rPr>
                <w:rFonts w:ascii="Times New Roman" w:eastAsia="Times New Roman" w:hAnsi="Times New Roman" w:cs="Times New Roman"/>
                <w:bCs/>
                <w:sz w:val="24"/>
                <w:szCs w:val="24"/>
                <w:lang w:eastAsia="lv-LV"/>
              </w:rPr>
              <w:t>, kā arī</w:t>
            </w:r>
            <w:r w:rsidR="00C41625" w:rsidRPr="004F129F">
              <w:rPr>
                <w:rFonts w:ascii="Times New Roman" w:eastAsia="Times New Roman" w:hAnsi="Times New Roman" w:cs="Times New Roman"/>
                <w:bCs/>
                <w:sz w:val="24"/>
                <w:szCs w:val="24"/>
                <w:lang w:eastAsia="lv-LV"/>
              </w:rPr>
              <w:t xml:space="preserve"> pavaddokumentu projektus iesniegšanai Ministru kabinetā.</w:t>
            </w:r>
            <w:r w:rsidR="005C5897" w:rsidRPr="004F129F">
              <w:rPr>
                <w:rFonts w:ascii="Times New Roman" w:eastAsia="Times New Roman" w:hAnsi="Times New Roman" w:cs="Times New Roman"/>
                <w:bCs/>
                <w:sz w:val="24"/>
                <w:szCs w:val="24"/>
                <w:lang w:eastAsia="lv-LV"/>
              </w:rPr>
              <w:t xml:space="preserve"> </w:t>
            </w:r>
            <w:r w:rsidR="008C27B9" w:rsidRPr="004F129F">
              <w:rPr>
                <w:rFonts w:ascii="Times New Roman" w:eastAsia="Times New Roman" w:hAnsi="Times New Roman" w:cs="Times New Roman"/>
                <w:bCs/>
                <w:sz w:val="24"/>
                <w:szCs w:val="24"/>
                <w:lang w:eastAsia="lv-LV"/>
              </w:rPr>
              <w:t>Pamatojoties uz Maksātnespējas likuma 173. panta pirmo daļu</w:t>
            </w:r>
            <w:r w:rsidR="007139F7" w:rsidRPr="004F129F">
              <w:rPr>
                <w:rFonts w:ascii="Times New Roman" w:eastAsia="Times New Roman" w:hAnsi="Times New Roman" w:cs="Times New Roman"/>
                <w:bCs/>
                <w:sz w:val="24"/>
                <w:szCs w:val="24"/>
                <w:lang w:eastAsia="lv-LV"/>
              </w:rPr>
              <w:t>, s</w:t>
            </w:r>
            <w:r w:rsidR="005C5897" w:rsidRPr="004F129F">
              <w:rPr>
                <w:rFonts w:ascii="Times New Roman" w:eastAsia="Times New Roman" w:hAnsi="Times New Roman" w:cs="Times New Roman"/>
                <w:bCs/>
                <w:sz w:val="24"/>
                <w:szCs w:val="24"/>
                <w:lang w:eastAsia="lv-LV"/>
              </w:rPr>
              <w:t xml:space="preserve">agatavotie dokumentu projekti tiek </w:t>
            </w:r>
            <w:r w:rsidR="008C27B9" w:rsidRPr="004F129F">
              <w:rPr>
                <w:rFonts w:ascii="Times New Roman" w:eastAsia="Times New Roman" w:hAnsi="Times New Roman" w:cs="Times New Roman"/>
                <w:bCs/>
                <w:sz w:val="24"/>
                <w:szCs w:val="24"/>
                <w:lang w:eastAsia="lv-LV"/>
              </w:rPr>
              <w:t xml:space="preserve">iesniegti </w:t>
            </w:r>
            <w:r w:rsidR="006F1FC9" w:rsidRPr="004F129F">
              <w:rPr>
                <w:rFonts w:ascii="Times New Roman" w:eastAsia="Times New Roman" w:hAnsi="Times New Roman" w:cs="Times New Roman"/>
                <w:bCs/>
                <w:sz w:val="24"/>
                <w:szCs w:val="24"/>
                <w:lang w:eastAsia="lv-LV"/>
              </w:rPr>
              <w:t xml:space="preserve">Tieslietu ministrijā </w:t>
            </w:r>
            <w:r w:rsidR="005C5897" w:rsidRPr="004F129F">
              <w:rPr>
                <w:rFonts w:ascii="Times New Roman" w:eastAsia="Times New Roman" w:hAnsi="Times New Roman" w:cs="Times New Roman"/>
                <w:bCs/>
                <w:sz w:val="24"/>
                <w:szCs w:val="24"/>
                <w:lang w:eastAsia="lv-LV"/>
              </w:rPr>
              <w:t>saskaņošanai</w:t>
            </w:r>
            <w:r w:rsidR="006F1FC9" w:rsidRPr="004F129F">
              <w:rPr>
                <w:rFonts w:ascii="Times New Roman" w:eastAsia="Times New Roman" w:hAnsi="Times New Roman" w:cs="Times New Roman"/>
                <w:bCs/>
                <w:sz w:val="24"/>
                <w:szCs w:val="24"/>
                <w:lang w:eastAsia="lv-LV"/>
              </w:rPr>
              <w:t xml:space="preserve"> un turpmākai virzībai iesniegšanai Ministru kabinetā, ņemot vērā Ministru kabineta 2009. gada 7. aprīļa noteikumu Nr.300</w:t>
            </w:r>
            <w:r w:rsidR="005C5897" w:rsidRPr="004F129F">
              <w:rPr>
                <w:rFonts w:ascii="Times New Roman" w:eastAsia="Times New Roman" w:hAnsi="Times New Roman" w:cs="Times New Roman"/>
                <w:bCs/>
                <w:sz w:val="24"/>
                <w:szCs w:val="24"/>
                <w:lang w:eastAsia="lv-LV"/>
              </w:rPr>
              <w:t xml:space="preserve"> </w:t>
            </w:r>
            <w:r w:rsidR="006F1FC9" w:rsidRPr="004F129F">
              <w:rPr>
                <w:rFonts w:ascii="Times New Roman" w:eastAsia="Times New Roman" w:hAnsi="Times New Roman" w:cs="Times New Roman"/>
                <w:bCs/>
                <w:sz w:val="24"/>
                <w:szCs w:val="24"/>
                <w:lang w:eastAsia="lv-LV"/>
              </w:rPr>
              <w:t xml:space="preserve">"Ministru kabineta kārtības rullis" 10. punktā noteikto. </w:t>
            </w:r>
            <w:r w:rsidR="007139F7" w:rsidRPr="004F129F">
              <w:rPr>
                <w:rFonts w:ascii="Times New Roman" w:eastAsia="Times New Roman" w:hAnsi="Times New Roman" w:cs="Times New Roman"/>
                <w:bCs/>
                <w:sz w:val="24"/>
                <w:szCs w:val="24"/>
                <w:lang w:eastAsia="lv-LV"/>
              </w:rPr>
              <w:t xml:space="preserve">Šobrīd Maksātnespējas administrācijas uzdevumi tiesību aktu izstrādes jomā ir minēti Maksātnespējas administrācijas nolikuma 4.2. apakšpunktā, kur noteikts, ka Maksātnespējas administrācija apkopo un sniedz priekšlikumus ar maksātnespējas jomu saistīto tiesību aktu pilnveidošanai. </w:t>
            </w:r>
            <w:r w:rsidR="009D750E" w:rsidRPr="004F129F">
              <w:rPr>
                <w:rFonts w:ascii="Times New Roman" w:eastAsia="Times New Roman" w:hAnsi="Times New Roman" w:cs="Times New Roman"/>
                <w:bCs/>
                <w:sz w:val="24"/>
                <w:szCs w:val="24"/>
                <w:lang w:eastAsia="lv-LV"/>
              </w:rPr>
              <w:t xml:space="preserve">Līdz ar to Maksātnespējas administrācijas nolikumā iestādes uzdevumi tiesību aktu izstrādes jomā nav atspoguļoti pilnā apmērā un Maksātnespējas administrācijas nolikuma 4.2. apakšpunktu nepieciešams papildināt, nosakot, ka iestāde </w:t>
            </w:r>
            <w:r w:rsidR="009D750E" w:rsidRPr="004F129F">
              <w:rPr>
                <w:rFonts w:ascii="Times New Roman" w:eastAsia="Times New Roman" w:hAnsi="Times New Roman" w:cs="Times New Roman"/>
                <w:bCs/>
                <w:color w:val="000000"/>
                <w:sz w:val="24"/>
                <w:szCs w:val="24"/>
                <w:lang w:eastAsia="lv-LV"/>
              </w:rPr>
              <w:t>piedalās normatīvo aktu projektu izstrādē</w:t>
            </w:r>
            <w:r w:rsidR="00776D9D">
              <w:rPr>
                <w:rFonts w:ascii="Times New Roman" w:eastAsia="Times New Roman" w:hAnsi="Times New Roman" w:cs="Times New Roman"/>
                <w:bCs/>
                <w:color w:val="000000"/>
                <w:sz w:val="24"/>
                <w:szCs w:val="24"/>
                <w:lang w:eastAsia="lv-LV"/>
              </w:rPr>
              <w:t>.</w:t>
            </w:r>
          </w:p>
          <w:p w14:paraId="27AD4F04" w14:textId="77777777" w:rsidR="00256570" w:rsidRDefault="00CA6ED1" w:rsidP="00EC5ED8">
            <w:pPr>
              <w:spacing w:after="0" w:line="240" w:lineRule="auto"/>
              <w:jc w:val="both"/>
              <w:rPr>
                <w:rFonts w:ascii="Times New Roman" w:eastAsia="Times New Roman" w:hAnsi="Times New Roman" w:cs="Times New Roman"/>
                <w:bCs/>
                <w:sz w:val="24"/>
                <w:szCs w:val="24"/>
                <w:lang w:eastAsia="lv-LV"/>
              </w:rPr>
            </w:pPr>
            <w:r w:rsidRPr="00CA6ED1">
              <w:rPr>
                <w:rFonts w:ascii="Times New Roman" w:eastAsia="Times New Roman" w:hAnsi="Times New Roman" w:cs="Times New Roman"/>
                <w:bCs/>
                <w:sz w:val="24"/>
                <w:szCs w:val="24"/>
                <w:lang w:eastAsia="lv-LV"/>
              </w:rPr>
              <w:t xml:space="preserve">Ņemot vēra minēto, </w:t>
            </w:r>
            <w:r w:rsidR="00B5627C">
              <w:rPr>
                <w:rFonts w:ascii="Times New Roman" w:eastAsia="Times New Roman" w:hAnsi="Times New Roman" w:cs="Times New Roman"/>
                <w:bCs/>
                <w:sz w:val="24"/>
                <w:szCs w:val="24"/>
                <w:lang w:eastAsia="lv-LV"/>
              </w:rPr>
              <w:t>ir izstrādāts</w:t>
            </w:r>
            <w:r w:rsidR="006F1FC9">
              <w:rPr>
                <w:rFonts w:ascii="Times New Roman" w:eastAsia="Times New Roman" w:hAnsi="Times New Roman" w:cs="Times New Roman"/>
                <w:bCs/>
                <w:sz w:val="24"/>
                <w:szCs w:val="24"/>
                <w:lang w:eastAsia="lv-LV"/>
              </w:rPr>
              <w:t xml:space="preserve"> </w:t>
            </w:r>
            <w:r w:rsidRPr="00CA6ED1">
              <w:rPr>
                <w:rFonts w:ascii="Times New Roman" w:eastAsia="Times New Roman" w:hAnsi="Times New Roman" w:cs="Times New Roman"/>
                <w:bCs/>
                <w:sz w:val="24"/>
                <w:szCs w:val="24"/>
                <w:lang w:eastAsia="lv-LV"/>
              </w:rPr>
              <w:t>Ministru kabineta noteikumu projekt</w:t>
            </w:r>
            <w:r w:rsidR="00B5627C">
              <w:rPr>
                <w:rFonts w:ascii="Times New Roman" w:eastAsia="Times New Roman" w:hAnsi="Times New Roman" w:cs="Times New Roman"/>
                <w:bCs/>
                <w:sz w:val="24"/>
                <w:szCs w:val="24"/>
                <w:lang w:eastAsia="lv-LV"/>
              </w:rPr>
              <w:t>s</w:t>
            </w:r>
            <w:r w:rsidRPr="00CA6ED1">
              <w:rPr>
                <w:rFonts w:ascii="Times New Roman" w:eastAsia="Times New Roman" w:hAnsi="Times New Roman" w:cs="Times New Roman"/>
                <w:b/>
                <w:bCs/>
                <w:sz w:val="24"/>
                <w:szCs w:val="24"/>
                <w:lang w:eastAsia="lv-LV"/>
              </w:rPr>
              <w:t xml:space="preserve"> </w:t>
            </w:r>
            <w:r w:rsidRPr="00CA6ED1">
              <w:rPr>
                <w:rFonts w:ascii="Times New Roman" w:eastAsia="Times New Roman" w:hAnsi="Times New Roman" w:cs="Times New Roman"/>
                <w:bCs/>
                <w:sz w:val="24"/>
                <w:szCs w:val="24"/>
                <w:lang w:eastAsia="lv-LV"/>
              </w:rPr>
              <w:t>"Grozījumi Ministru kabineta 2012. gada 6. novembra noteikumos Nr. 751 "Maksātnespējas administrācijas nolikums"" (turpmāk – noteikumu projekts)</w:t>
            </w:r>
            <w:r w:rsidR="00776D9D">
              <w:rPr>
                <w:rFonts w:ascii="Times New Roman" w:eastAsia="Times New Roman" w:hAnsi="Times New Roman" w:cs="Times New Roman"/>
                <w:bCs/>
                <w:sz w:val="24"/>
                <w:szCs w:val="24"/>
                <w:lang w:eastAsia="lv-LV"/>
              </w:rPr>
              <w:t>.</w:t>
            </w:r>
          </w:p>
          <w:p w14:paraId="3EBD1090" w14:textId="77777777" w:rsidR="00CA6ED1" w:rsidRPr="00BC2633" w:rsidRDefault="00CA6ED1" w:rsidP="00C649EF">
            <w:pPr>
              <w:spacing w:after="0" w:line="240" w:lineRule="auto"/>
              <w:jc w:val="both"/>
              <w:rPr>
                <w:rFonts w:ascii="Times New Roman" w:eastAsia="Times New Roman" w:hAnsi="Times New Roman" w:cs="Times New Roman"/>
                <w:sz w:val="24"/>
                <w:szCs w:val="24"/>
                <w:lang w:eastAsia="lv-LV"/>
              </w:rPr>
            </w:pPr>
          </w:p>
        </w:tc>
      </w:tr>
      <w:tr w:rsidR="00BC2633" w:rsidRPr="00BC2633" w14:paraId="57001B76" w14:textId="77777777" w:rsidTr="0030089F">
        <w:trPr>
          <w:trHeight w:val="465"/>
        </w:trPr>
        <w:tc>
          <w:tcPr>
            <w:tcW w:w="228" w:type="pct"/>
            <w:tcBorders>
              <w:top w:val="outset" w:sz="6" w:space="0" w:color="414142"/>
              <w:left w:val="outset" w:sz="6" w:space="0" w:color="414142"/>
              <w:bottom w:val="outset" w:sz="6" w:space="0" w:color="414142"/>
              <w:right w:val="outset" w:sz="6" w:space="0" w:color="414142"/>
            </w:tcBorders>
            <w:hideMark/>
          </w:tcPr>
          <w:p w14:paraId="5ACE087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231" w:type="pct"/>
            <w:tcBorders>
              <w:top w:val="outset" w:sz="6" w:space="0" w:color="414142"/>
              <w:left w:val="outset" w:sz="6" w:space="0" w:color="414142"/>
              <w:bottom w:val="outset" w:sz="6" w:space="0" w:color="414142"/>
              <w:right w:val="outset" w:sz="6" w:space="0" w:color="414142"/>
            </w:tcBorders>
            <w:hideMark/>
          </w:tcPr>
          <w:p w14:paraId="2D27B8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p>
        </w:tc>
        <w:tc>
          <w:tcPr>
            <w:tcW w:w="3541" w:type="pct"/>
            <w:gridSpan w:val="2"/>
            <w:tcBorders>
              <w:top w:val="outset" w:sz="6" w:space="0" w:color="414142"/>
              <w:left w:val="outset" w:sz="6" w:space="0" w:color="414142"/>
              <w:bottom w:val="outset" w:sz="6" w:space="0" w:color="414142"/>
              <w:right w:val="outset" w:sz="6" w:space="0" w:color="414142"/>
            </w:tcBorders>
            <w:hideMark/>
          </w:tcPr>
          <w:p w14:paraId="67D7A5CA" w14:textId="77777777" w:rsidR="004D15A9" w:rsidRPr="00BC2633" w:rsidRDefault="0033522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 (</w:t>
            </w:r>
            <w:r w:rsidR="00AA29A1">
              <w:rPr>
                <w:rFonts w:ascii="Times New Roman" w:eastAsia="Times New Roman" w:hAnsi="Times New Roman" w:cs="Times New Roman"/>
                <w:sz w:val="24"/>
                <w:szCs w:val="24"/>
                <w:lang w:eastAsia="lv-LV"/>
              </w:rPr>
              <w:t>Maksātnespējas administrācija</w:t>
            </w:r>
            <w:r>
              <w:rPr>
                <w:rFonts w:ascii="Times New Roman" w:eastAsia="Times New Roman" w:hAnsi="Times New Roman" w:cs="Times New Roman"/>
                <w:sz w:val="24"/>
                <w:szCs w:val="24"/>
                <w:lang w:eastAsia="lv-LV"/>
              </w:rPr>
              <w:t>)</w:t>
            </w:r>
            <w:r w:rsidR="0034044A">
              <w:rPr>
                <w:rFonts w:ascii="Times New Roman" w:eastAsia="Times New Roman" w:hAnsi="Times New Roman" w:cs="Times New Roman"/>
                <w:sz w:val="24"/>
                <w:szCs w:val="24"/>
                <w:lang w:eastAsia="lv-LV"/>
              </w:rPr>
              <w:t>.</w:t>
            </w:r>
          </w:p>
        </w:tc>
      </w:tr>
      <w:tr w:rsidR="00BC2633" w:rsidRPr="00BC2633" w14:paraId="0BC6AD96" w14:textId="77777777" w:rsidTr="0030089F">
        <w:tc>
          <w:tcPr>
            <w:tcW w:w="228" w:type="pct"/>
            <w:tcBorders>
              <w:top w:val="outset" w:sz="6" w:space="0" w:color="414142"/>
              <w:left w:val="outset" w:sz="6" w:space="0" w:color="414142"/>
              <w:bottom w:val="outset" w:sz="6" w:space="0" w:color="414142"/>
              <w:right w:val="outset" w:sz="6" w:space="0" w:color="414142"/>
            </w:tcBorders>
            <w:hideMark/>
          </w:tcPr>
          <w:p w14:paraId="3A2A58F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231" w:type="pct"/>
            <w:tcBorders>
              <w:top w:val="outset" w:sz="6" w:space="0" w:color="414142"/>
              <w:left w:val="outset" w:sz="6" w:space="0" w:color="414142"/>
              <w:bottom w:val="outset" w:sz="6" w:space="0" w:color="414142"/>
              <w:right w:val="outset" w:sz="6" w:space="0" w:color="414142"/>
            </w:tcBorders>
            <w:hideMark/>
          </w:tcPr>
          <w:p w14:paraId="05A46A3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41" w:type="pct"/>
            <w:gridSpan w:val="2"/>
            <w:tcBorders>
              <w:top w:val="outset" w:sz="6" w:space="0" w:color="414142"/>
              <w:left w:val="outset" w:sz="6" w:space="0" w:color="414142"/>
              <w:bottom w:val="outset" w:sz="6" w:space="0" w:color="414142"/>
              <w:right w:val="outset" w:sz="6" w:space="0" w:color="414142"/>
            </w:tcBorders>
            <w:hideMark/>
          </w:tcPr>
          <w:p w14:paraId="0F8C1322" w14:textId="77777777" w:rsidR="004D15A9" w:rsidRPr="00BC2633" w:rsidRDefault="00AA29A1"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34044A">
              <w:rPr>
                <w:rFonts w:ascii="Times New Roman" w:eastAsia="Times New Roman" w:hAnsi="Times New Roman" w:cs="Times New Roman"/>
                <w:sz w:val="24"/>
                <w:szCs w:val="24"/>
                <w:lang w:eastAsia="lv-LV"/>
              </w:rPr>
              <w:t>.</w:t>
            </w:r>
          </w:p>
        </w:tc>
      </w:tr>
      <w:tr w:rsidR="005D4E8A" w:rsidRPr="00BC2633" w14:paraId="45F09587" w14:textId="77777777" w:rsidTr="00004317">
        <w:trPr>
          <w:trHeight w:val="128"/>
        </w:trPr>
        <w:tc>
          <w:tcPr>
            <w:tcW w:w="5000" w:type="pct"/>
            <w:gridSpan w:val="4"/>
            <w:tcBorders>
              <w:top w:val="outset" w:sz="6" w:space="0" w:color="414142"/>
              <w:left w:val="nil"/>
              <w:bottom w:val="single" w:sz="4" w:space="0" w:color="auto"/>
              <w:right w:val="nil"/>
            </w:tcBorders>
          </w:tcPr>
          <w:p w14:paraId="18CE90CA" w14:textId="2E04B2FA" w:rsidR="00D152E0" w:rsidRDefault="00D152E0" w:rsidP="0030089F">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91"/>
              <w:gridCol w:w="2052"/>
              <w:gridCol w:w="6694"/>
            </w:tblGrid>
            <w:tr w:rsidR="00EA03D4" w:rsidRPr="00BC2633" w14:paraId="3AA26B8C" w14:textId="77777777" w:rsidTr="00E07821">
              <w:trPr>
                <w:trHeight w:val="555"/>
              </w:trPr>
              <w:tc>
                <w:tcPr>
                  <w:tcW w:w="5000" w:type="pct"/>
                  <w:gridSpan w:val="3"/>
                  <w:vAlign w:val="center"/>
                  <w:hideMark/>
                </w:tcPr>
                <w:p w14:paraId="2FC884FB" w14:textId="77777777" w:rsidR="00EA03D4" w:rsidRPr="00BC2633" w:rsidRDefault="00EA03D4" w:rsidP="007139F7">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03D4" w:rsidRPr="00BC2633" w14:paraId="7A22FC2D" w14:textId="77777777" w:rsidTr="0093026F">
              <w:trPr>
                <w:trHeight w:val="465"/>
              </w:trPr>
              <w:tc>
                <w:tcPr>
                  <w:tcW w:w="214" w:type="pct"/>
                  <w:hideMark/>
                </w:tcPr>
                <w:p w14:paraId="0404B5F3" w14:textId="77777777" w:rsidR="00EA03D4" w:rsidRPr="00BC2633" w:rsidRDefault="00EA03D4" w:rsidP="007139F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23" w:type="pct"/>
                  <w:hideMark/>
                </w:tcPr>
                <w:p w14:paraId="43C4E7D2" w14:textId="77777777" w:rsidR="00EA03D4" w:rsidRPr="00BC2633" w:rsidRDefault="00EA03D4" w:rsidP="007139F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663" w:type="pct"/>
                  <w:hideMark/>
                </w:tcPr>
                <w:p w14:paraId="73FE3422" w14:textId="77777777" w:rsidR="00EA03D4" w:rsidRPr="00BC2633" w:rsidRDefault="00EA03D4" w:rsidP="007139F7">
                  <w:pPr>
                    <w:spacing w:after="0" w:line="240" w:lineRule="auto"/>
                    <w:jc w:val="both"/>
                    <w:rPr>
                      <w:rFonts w:ascii="Times New Roman" w:eastAsia="Times New Roman" w:hAnsi="Times New Roman" w:cs="Times New Roman"/>
                      <w:sz w:val="24"/>
                      <w:szCs w:val="24"/>
                      <w:lang w:eastAsia="lv-LV"/>
                    </w:rPr>
                  </w:pPr>
                  <w:r w:rsidRPr="00C36BA6">
                    <w:rPr>
                      <w:rFonts w:ascii="Times New Roman" w:eastAsia="Times New Roman" w:hAnsi="Times New Roman" w:cs="Times New Roman"/>
                      <w:sz w:val="24"/>
                      <w:szCs w:val="24"/>
                      <w:lang w:eastAsia="lv-LV"/>
                    </w:rPr>
                    <w:t>Ministru kabineta noteikumu projekts ietekmē</w:t>
                  </w:r>
                  <w:r w:rsidR="00CA6ED1">
                    <w:rPr>
                      <w:rFonts w:ascii="Times New Roman" w:eastAsia="Times New Roman" w:hAnsi="Times New Roman" w:cs="Times New Roman"/>
                      <w:sz w:val="24"/>
                      <w:szCs w:val="24"/>
                      <w:lang w:eastAsia="lv-LV"/>
                    </w:rPr>
                    <w:t xml:space="preserve"> Maksātnespējas administrācijas amatpersonas (darbiniekus).</w:t>
                  </w:r>
                </w:p>
              </w:tc>
            </w:tr>
            <w:tr w:rsidR="004D26A1" w:rsidRPr="00BC2633" w14:paraId="7E4ABCDF" w14:textId="77777777" w:rsidTr="0093026F">
              <w:trPr>
                <w:trHeight w:val="465"/>
              </w:trPr>
              <w:tc>
                <w:tcPr>
                  <w:tcW w:w="214" w:type="pct"/>
                </w:tcPr>
                <w:p w14:paraId="2B31460E" w14:textId="77777777" w:rsidR="004D26A1" w:rsidRPr="00BC2633" w:rsidRDefault="004D26A1" w:rsidP="007139F7">
                  <w:pPr>
                    <w:spacing w:after="0" w:line="240" w:lineRule="auto"/>
                    <w:rPr>
                      <w:rFonts w:ascii="Times New Roman" w:eastAsia="Times New Roman" w:hAnsi="Times New Roman" w:cs="Times New Roman"/>
                      <w:sz w:val="24"/>
                      <w:szCs w:val="24"/>
                      <w:lang w:eastAsia="lv-LV"/>
                    </w:rPr>
                  </w:pPr>
                </w:p>
              </w:tc>
              <w:tc>
                <w:tcPr>
                  <w:tcW w:w="1123" w:type="pct"/>
                </w:tcPr>
                <w:p w14:paraId="1C595CBB" w14:textId="77777777" w:rsidR="004D26A1" w:rsidRPr="00BC2633" w:rsidRDefault="004D26A1" w:rsidP="007139F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663" w:type="pct"/>
                </w:tcPr>
                <w:p w14:paraId="2B473D03" w14:textId="74640701" w:rsidR="004D26A1" w:rsidRDefault="001273C6" w:rsidP="004D26A1">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Noteikumu p</w:t>
                  </w:r>
                  <w:r w:rsidR="004D26A1" w:rsidRPr="00CA6ED1">
                    <w:rPr>
                      <w:rFonts w:ascii="Times New Roman" w:eastAsia="Times New Roman" w:hAnsi="Times New Roman" w:cs="Times New Roman"/>
                      <w:sz w:val="24"/>
                      <w:szCs w:val="24"/>
                      <w:lang w:eastAsia="lv-LV"/>
                    </w:rPr>
                    <w:t>rojekts šo jomu neskar</w:t>
                  </w:r>
                  <w:r w:rsidR="004D26A1" w:rsidRPr="0093026F">
                    <w:rPr>
                      <w:rFonts w:ascii="Times New Roman" w:eastAsia="Times New Roman" w:hAnsi="Times New Roman" w:cs="Times New Roman"/>
                      <w:sz w:val="24"/>
                      <w:szCs w:val="24"/>
                      <w:lang w:eastAsia="lv-LV"/>
                    </w:rPr>
                    <w:t>.</w:t>
                  </w:r>
                </w:p>
                <w:p w14:paraId="66FC7614" w14:textId="77777777" w:rsidR="004D26A1" w:rsidRPr="00C36BA6" w:rsidRDefault="004D26A1" w:rsidP="007139F7">
                  <w:pPr>
                    <w:spacing w:after="0" w:line="240" w:lineRule="auto"/>
                    <w:jc w:val="both"/>
                    <w:rPr>
                      <w:rFonts w:ascii="Times New Roman" w:eastAsia="Times New Roman" w:hAnsi="Times New Roman" w:cs="Times New Roman"/>
                      <w:sz w:val="24"/>
                      <w:szCs w:val="24"/>
                      <w:lang w:eastAsia="lv-LV"/>
                    </w:rPr>
                  </w:pPr>
                </w:p>
              </w:tc>
            </w:tr>
            <w:tr w:rsidR="00EA03D4" w:rsidRPr="00BC2633" w14:paraId="3086DA32" w14:textId="77777777" w:rsidTr="0093026F">
              <w:trPr>
                <w:trHeight w:val="510"/>
              </w:trPr>
              <w:tc>
                <w:tcPr>
                  <w:tcW w:w="214" w:type="pct"/>
                  <w:hideMark/>
                </w:tcPr>
                <w:p w14:paraId="143CAE86" w14:textId="77777777" w:rsidR="00EA03D4" w:rsidRPr="00BC2633" w:rsidRDefault="00EA03D4" w:rsidP="007139F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23" w:type="pct"/>
                  <w:hideMark/>
                </w:tcPr>
                <w:p w14:paraId="770019BA" w14:textId="77777777" w:rsidR="00EA03D4" w:rsidRPr="00BC2633" w:rsidRDefault="00EA03D4" w:rsidP="007139F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663" w:type="pct"/>
                  <w:hideMark/>
                </w:tcPr>
                <w:p w14:paraId="59E7E69C" w14:textId="3C6DB8C2" w:rsidR="00EA03D4" w:rsidRPr="00BC2633" w:rsidRDefault="001273C6" w:rsidP="007139F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EA03D4" w:rsidRPr="001D0245">
                    <w:rPr>
                      <w:rFonts w:ascii="Times New Roman" w:eastAsia="Times New Roman" w:hAnsi="Times New Roman" w:cs="Times New Roman"/>
                      <w:sz w:val="24"/>
                      <w:szCs w:val="24"/>
                      <w:lang w:eastAsia="lv-LV"/>
                    </w:rPr>
                    <w:t>rojekts šo jomu neskar.</w:t>
                  </w:r>
                </w:p>
              </w:tc>
            </w:tr>
            <w:tr w:rsidR="00EA03D4" w:rsidRPr="00BC2633" w14:paraId="2F3141BB" w14:textId="77777777" w:rsidTr="0093026F">
              <w:trPr>
                <w:trHeight w:val="345"/>
              </w:trPr>
              <w:tc>
                <w:tcPr>
                  <w:tcW w:w="214" w:type="pct"/>
                  <w:hideMark/>
                </w:tcPr>
                <w:p w14:paraId="406D7CBE" w14:textId="77777777" w:rsidR="00EA03D4" w:rsidRPr="00BC2633" w:rsidRDefault="00EA03D4" w:rsidP="007139F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23" w:type="pct"/>
                  <w:hideMark/>
                </w:tcPr>
                <w:p w14:paraId="435750ED" w14:textId="77777777" w:rsidR="00EA03D4" w:rsidRPr="00BC2633" w:rsidRDefault="00EA03D4" w:rsidP="007139F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663" w:type="pct"/>
                  <w:hideMark/>
                </w:tcPr>
                <w:p w14:paraId="07C86E04" w14:textId="77777777" w:rsidR="00EA03D4" w:rsidRPr="00BC2633" w:rsidRDefault="00EA03D4" w:rsidP="007139F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B37835" w14:textId="77777777" w:rsidR="006F19CF" w:rsidRDefault="006F19CF" w:rsidP="006F19CF">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6F19CF" w:rsidRPr="00224EB3" w14:paraId="5BD27701" w14:textId="77777777" w:rsidTr="007139F7">
              <w:trPr>
                <w:trHeight w:val="36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17317D" w14:textId="77777777" w:rsidR="006F19CF" w:rsidRPr="00224EB3" w:rsidRDefault="006F19CF" w:rsidP="007139F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w:t>
                  </w:r>
                  <w:r w:rsidRPr="00224EB3">
                    <w:rPr>
                      <w:rFonts w:ascii="Times New Roman" w:eastAsia="Times New Roman" w:hAnsi="Times New Roman" w:cs="Times New Roman"/>
                      <w:b/>
                      <w:bCs/>
                      <w:sz w:val="24"/>
                      <w:szCs w:val="24"/>
                      <w:lang w:eastAsia="lv-LV"/>
                    </w:rPr>
                    <w:t>Tiesību akta projekta ietekme uz valsts budžetu un pašvaldību budžetiem</w:t>
                  </w:r>
                </w:p>
              </w:tc>
            </w:tr>
            <w:tr w:rsidR="006F19CF" w:rsidRPr="00224EB3" w14:paraId="207D84D7" w14:textId="77777777" w:rsidTr="007139F7">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342C3F1A" w14:textId="5855CD02" w:rsidR="006F19CF" w:rsidRPr="00224EB3" w:rsidRDefault="001273C6" w:rsidP="007139F7">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EA03D4" w:rsidRPr="001D0245">
                    <w:rPr>
                      <w:rFonts w:ascii="Times New Roman" w:eastAsia="Times New Roman" w:hAnsi="Times New Roman" w:cs="Times New Roman"/>
                      <w:sz w:val="24"/>
                      <w:szCs w:val="24"/>
                      <w:lang w:eastAsia="lv-LV"/>
                    </w:rPr>
                    <w:t>rojekts šo jomu neskar.</w:t>
                  </w:r>
                </w:p>
              </w:tc>
            </w:tr>
          </w:tbl>
          <w:p w14:paraId="0A5DEF05" w14:textId="77777777" w:rsidR="00CA6ED1" w:rsidRDefault="00CA6ED1" w:rsidP="006F19CF">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6F19CF" w:rsidRPr="00224EB3" w14:paraId="3D6E4F57" w14:textId="77777777" w:rsidTr="007139F7">
              <w:trPr>
                <w:trHeight w:val="36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A74E29" w14:textId="77777777" w:rsidR="006F19CF" w:rsidRPr="00224EB3" w:rsidRDefault="006F19CF" w:rsidP="007139F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w:t>
                  </w:r>
                  <w:r w:rsidRPr="00224EB3">
                    <w:rPr>
                      <w:rFonts w:ascii="Times New Roman" w:eastAsia="Times New Roman" w:hAnsi="Times New Roman" w:cs="Times New Roman"/>
                      <w:b/>
                      <w:bCs/>
                      <w:sz w:val="24"/>
                      <w:szCs w:val="24"/>
                      <w:lang w:eastAsia="lv-LV"/>
                    </w:rPr>
                    <w:t>Tiesību akta projekta ietekme uz spēkā esošo tiesību normu sistēmu</w:t>
                  </w:r>
                </w:p>
              </w:tc>
            </w:tr>
            <w:tr w:rsidR="006F19CF" w:rsidRPr="00224EB3" w14:paraId="667A185A" w14:textId="77777777" w:rsidTr="007139F7">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4BE68B48" w14:textId="6EA69A18" w:rsidR="006F19CF" w:rsidRPr="00224EB3" w:rsidRDefault="001273C6" w:rsidP="007139F7">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6F19CF" w:rsidRPr="001D0245">
                    <w:rPr>
                      <w:rFonts w:ascii="Times New Roman" w:eastAsia="Times New Roman" w:hAnsi="Times New Roman" w:cs="Times New Roman"/>
                      <w:sz w:val="24"/>
                      <w:szCs w:val="24"/>
                      <w:lang w:eastAsia="lv-LV"/>
                    </w:rPr>
                    <w:t>rojekts šo jomu neskar.</w:t>
                  </w:r>
                </w:p>
              </w:tc>
            </w:tr>
          </w:tbl>
          <w:p w14:paraId="750534AB" w14:textId="77777777" w:rsidR="006F19CF" w:rsidRDefault="006F19CF" w:rsidP="006F19CF">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6F19CF" w:rsidRPr="00224EB3" w14:paraId="39BFA5DD" w14:textId="77777777" w:rsidTr="007139F7">
              <w:trPr>
                <w:trHeight w:val="360"/>
              </w:trPr>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C28D9D" w14:textId="77777777" w:rsidR="006F19CF" w:rsidRPr="00224EB3" w:rsidRDefault="006F19CF" w:rsidP="007139F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 </w:t>
                  </w:r>
                  <w:r w:rsidRPr="00224EB3">
                    <w:rPr>
                      <w:rFonts w:ascii="Times New Roman" w:eastAsia="Times New Roman" w:hAnsi="Times New Roman" w:cs="Times New Roman"/>
                      <w:b/>
                      <w:bCs/>
                      <w:sz w:val="24"/>
                      <w:szCs w:val="24"/>
                      <w:lang w:eastAsia="lv-LV"/>
                    </w:rPr>
                    <w:t>Tiesību akta projekta atbilstība Latvijas Republikas starptautiskajām saistībām</w:t>
                  </w:r>
                </w:p>
              </w:tc>
            </w:tr>
            <w:tr w:rsidR="006F19CF" w:rsidRPr="00224EB3" w14:paraId="3C00EC41" w14:textId="77777777" w:rsidTr="007139F7">
              <w:trPr>
                <w:trHeight w:val="525"/>
              </w:trPr>
              <w:tc>
                <w:tcPr>
                  <w:tcW w:w="5000" w:type="pct"/>
                  <w:tcBorders>
                    <w:top w:val="outset" w:sz="6" w:space="0" w:color="414142"/>
                    <w:left w:val="outset" w:sz="6" w:space="0" w:color="414142"/>
                    <w:right w:val="outset" w:sz="6" w:space="0" w:color="414142"/>
                  </w:tcBorders>
                  <w:shd w:val="clear" w:color="auto" w:fill="FFFFFF"/>
                  <w:vAlign w:val="center"/>
                  <w:hideMark/>
                </w:tcPr>
                <w:p w14:paraId="084AE35C" w14:textId="087278CB" w:rsidR="006F19CF" w:rsidRPr="00224EB3" w:rsidRDefault="001273C6" w:rsidP="007139F7">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6F19CF" w:rsidRPr="001D0245">
                    <w:rPr>
                      <w:rFonts w:ascii="Times New Roman" w:eastAsia="Times New Roman" w:hAnsi="Times New Roman" w:cs="Times New Roman"/>
                      <w:sz w:val="24"/>
                      <w:szCs w:val="24"/>
                      <w:lang w:eastAsia="lv-LV"/>
                    </w:rPr>
                    <w:t>rojekts šo jomu neskar.</w:t>
                  </w:r>
                </w:p>
              </w:tc>
            </w:tr>
          </w:tbl>
          <w:p w14:paraId="0A745D6C" w14:textId="77777777" w:rsidR="006F19CF" w:rsidRDefault="006F19CF" w:rsidP="0081203F">
            <w:pPr>
              <w:tabs>
                <w:tab w:val="left" w:pos="990"/>
              </w:tabs>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341"/>
              <w:gridCol w:w="6333"/>
            </w:tblGrid>
            <w:tr w:rsidR="006F19CF" w:rsidRPr="00BC2633" w14:paraId="3EE7BA69" w14:textId="77777777" w:rsidTr="000D4E0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30A99D" w14:textId="77777777" w:rsidR="006F19CF" w:rsidRPr="00BC2633" w:rsidRDefault="006F19CF" w:rsidP="007139F7">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6F19CF" w:rsidRPr="00BC2633" w14:paraId="72094330" w14:textId="77777777" w:rsidTr="0030089F">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AE727D5" w14:textId="77777777" w:rsidR="006F19CF" w:rsidRPr="00F07759" w:rsidRDefault="006F19CF" w:rsidP="007139F7">
                  <w:pPr>
                    <w:spacing w:after="0" w:line="240" w:lineRule="auto"/>
                    <w:rPr>
                      <w:rFonts w:ascii="Times New Roman" w:eastAsia="Times New Roman" w:hAnsi="Times New Roman" w:cs="Times New Roman"/>
                      <w:sz w:val="24"/>
                      <w:szCs w:val="24"/>
                      <w:lang w:eastAsia="lv-LV"/>
                    </w:rPr>
                  </w:pPr>
                  <w:r w:rsidRPr="00F07759">
                    <w:rPr>
                      <w:rFonts w:ascii="Times New Roman" w:eastAsia="Times New Roman" w:hAnsi="Times New Roman" w:cs="Times New Roman"/>
                      <w:sz w:val="24"/>
                      <w:szCs w:val="24"/>
                      <w:lang w:eastAsia="lv-LV"/>
                    </w:rPr>
                    <w:t>1.</w:t>
                  </w:r>
                </w:p>
              </w:tc>
              <w:tc>
                <w:tcPr>
                  <w:tcW w:w="1282" w:type="pct"/>
                  <w:tcBorders>
                    <w:top w:val="outset" w:sz="6" w:space="0" w:color="414142"/>
                    <w:left w:val="outset" w:sz="6" w:space="0" w:color="414142"/>
                    <w:bottom w:val="outset" w:sz="6" w:space="0" w:color="414142"/>
                    <w:right w:val="outset" w:sz="6" w:space="0" w:color="414142"/>
                  </w:tcBorders>
                  <w:hideMark/>
                </w:tcPr>
                <w:p w14:paraId="70F0007A" w14:textId="77777777" w:rsidR="006F19CF" w:rsidRPr="00F07759" w:rsidRDefault="006F19CF" w:rsidP="007139F7">
                  <w:pPr>
                    <w:spacing w:after="0" w:line="240" w:lineRule="auto"/>
                    <w:rPr>
                      <w:rFonts w:ascii="Times New Roman" w:eastAsia="Times New Roman" w:hAnsi="Times New Roman" w:cs="Times New Roman"/>
                      <w:sz w:val="24"/>
                      <w:szCs w:val="24"/>
                      <w:lang w:eastAsia="lv-LV"/>
                    </w:rPr>
                  </w:pPr>
                  <w:r w:rsidRPr="00F07759">
                    <w:rPr>
                      <w:rFonts w:ascii="Times New Roman" w:eastAsia="Times New Roman" w:hAnsi="Times New Roman" w:cs="Times New Roman"/>
                      <w:sz w:val="24"/>
                      <w:szCs w:val="24"/>
                      <w:lang w:eastAsia="lv-LV"/>
                    </w:rPr>
                    <w:t>Plānotās sabiedrības līdzdalības un komunikācijas aktivitātes saistībā ar projektu</w:t>
                  </w:r>
                </w:p>
              </w:tc>
              <w:tc>
                <w:tcPr>
                  <w:tcW w:w="3468" w:type="pct"/>
                  <w:tcBorders>
                    <w:top w:val="outset" w:sz="6" w:space="0" w:color="414142"/>
                    <w:left w:val="outset" w:sz="6" w:space="0" w:color="414142"/>
                    <w:bottom w:val="outset" w:sz="6" w:space="0" w:color="414142"/>
                    <w:right w:val="outset" w:sz="6" w:space="0" w:color="414142"/>
                  </w:tcBorders>
                  <w:hideMark/>
                </w:tcPr>
                <w:p w14:paraId="424F29F4" w14:textId="3218B182" w:rsidR="006F19CF" w:rsidRPr="00F07759" w:rsidRDefault="00D152E0" w:rsidP="00AB2F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w:t>
                  </w:r>
                </w:p>
              </w:tc>
            </w:tr>
            <w:tr w:rsidR="006F19CF" w:rsidRPr="00BC2633" w14:paraId="4B4B8A62" w14:textId="77777777" w:rsidTr="0030089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68638890" w14:textId="77777777" w:rsidR="006F19CF" w:rsidRPr="00F07759" w:rsidRDefault="006F19CF" w:rsidP="007139F7">
                  <w:pPr>
                    <w:spacing w:after="0" w:line="240" w:lineRule="auto"/>
                    <w:rPr>
                      <w:rFonts w:ascii="Times New Roman" w:eastAsia="Times New Roman" w:hAnsi="Times New Roman" w:cs="Times New Roman"/>
                      <w:sz w:val="24"/>
                      <w:szCs w:val="24"/>
                      <w:lang w:eastAsia="lv-LV"/>
                    </w:rPr>
                  </w:pPr>
                  <w:r w:rsidRPr="00F07759">
                    <w:rPr>
                      <w:rFonts w:ascii="Times New Roman" w:eastAsia="Times New Roman" w:hAnsi="Times New Roman" w:cs="Times New Roman"/>
                      <w:sz w:val="24"/>
                      <w:szCs w:val="24"/>
                      <w:lang w:eastAsia="lv-LV"/>
                    </w:rPr>
                    <w:t>2.</w:t>
                  </w:r>
                </w:p>
              </w:tc>
              <w:tc>
                <w:tcPr>
                  <w:tcW w:w="1282" w:type="pct"/>
                  <w:tcBorders>
                    <w:top w:val="outset" w:sz="6" w:space="0" w:color="414142"/>
                    <w:left w:val="outset" w:sz="6" w:space="0" w:color="414142"/>
                    <w:bottom w:val="outset" w:sz="6" w:space="0" w:color="414142"/>
                    <w:right w:val="outset" w:sz="6" w:space="0" w:color="414142"/>
                  </w:tcBorders>
                  <w:hideMark/>
                </w:tcPr>
                <w:p w14:paraId="4D7AED87" w14:textId="77777777" w:rsidR="006F19CF" w:rsidRPr="00F07759" w:rsidRDefault="006F19CF" w:rsidP="007139F7">
                  <w:pPr>
                    <w:spacing w:after="0" w:line="240" w:lineRule="auto"/>
                    <w:rPr>
                      <w:rFonts w:ascii="Times New Roman" w:eastAsia="Times New Roman" w:hAnsi="Times New Roman" w:cs="Times New Roman"/>
                      <w:sz w:val="24"/>
                      <w:szCs w:val="24"/>
                      <w:lang w:eastAsia="lv-LV"/>
                    </w:rPr>
                  </w:pPr>
                  <w:r w:rsidRPr="00F07759">
                    <w:rPr>
                      <w:rFonts w:ascii="Times New Roman" w:eastAsia="Times New Roman" w:hAnsi="Times New Roman" w:cs="Times New Roman"/>
                      <w:sz w:val="24"/>
                      <w:szCs w:val="24"/>
                      <w:lang w:eastAsia="lv-LV"/>
                    </w:rPr>
                    <w:t>Sabiedrības līdzdalība projekta izstrādē</w:t>
                  </w:r>
                </w:p>
              </w:tc>
              <w:tc>
                <w:tcPr>
                  <w:tcW w:w="3468" w:type="pct"/>
                  <w:tcBorders>
                    <w:top w:val="outset" w:sz="6" w:space="0" w:color="414142"/>
                    <w:left w:val="outset" w:sz="6" w:space="0" w:color="414142"/>
                    <w:bottom w:val="outset" w:sz="6" w:space="0" w:color="414142"/>
                    <w:right w:val="outset" w:sz="6" w:space="0" w:color="414142"/>
                  </w:tcBorders>
                  <w:hideMark/>
                </w:tcPr>
                <w:p w14:paraId="7FF73F7D" w14:textId="5736AC3D" w:rsidR="006F19CF" w:rsidRPr="00F07759" w:rsidRDefault="001A4D4A" w:rsidP="002C1347">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līdzdalība noteikumu projekta izstrādē nebija nepieciešama</w:t>
                  </w:r>
                  <w:bookmarkStart w:id="0" w:name="_GoBack"/>
                  <w:bookmarkEnd w:id="0"/>
                  <w:r>
                    <w:rPr>
                      <w:rFonts w:ascii="Times New Roman" w:eastAsia="Times New Roman" w:hAnsi="Times New Roman" w:cs="Times New Roman"/>
                      <w:sz w:val="24"/>
                      <w:szCs w:val="24"/>
                      <w:lang w:eastAsia="lv-LV"/>
                    </w:rPr>
                    <w:t>, jo n</w:t>
                  </w:r>
                  <w:r w:rsidR="00D152E0" w:rsidRPr="00D152E0">
                    <w:rPr>
                      <w:rFonts w:ascii="Times New Roman" w:eastAsia="Times New Roman" w:hAnsi="Times New Roman" w:cs="Times New Roman"/>
                      <w:sz w:val="24"/>
                      <w:szCs w:val="24"/>
                      <w:lang w:eastAsia="lv-LV"/>
                    </w:rPr>
                    <w:t xml:space="preserve">oteikumu projekts nemaina esošo regulējumu pēc būtības un </w:t>
                  </w:r>
                  <w:r w:rsidR="0030089F">
                    <w:rPr>
                      <w:rFonts w:ascii="Times New Roman" w:eastAsia="Times New Roman" w:hAnsi="Times New Roman" w:cs="Times New Roman"/>
                      <w:sz w:val="24"/>
                      <w:szCs w:val="24"/>
                      <w:lang w:eastAsia="lv-LV"/>
                    </w:rPr>
                    <w:t>ne</w:t>
                  </w:r>
                  <w:r w:rsidR="00D152E0" w:rsidRPr="00D152E0">
                    <w:rPr>
                      <w:rFonts w:ascii="Times New Roman" w:eastAsia="Times New Roman" w:hAnsi="Times New Roman" w:cs="Times New Roman"/>
                      <w:sz w:val="24"/>
                      <w:szCs w:val="24"/>
                      <w:lang w:eastAsia="lv-LV"/>
                    </w:rPr>
                    <w:t xml:space="preserve">paredz ieviest jaunas politiskās iniciatīvas. Noteikumu projekts saskaņo Maksātnespējas administrācijas nolikumu ar </w:t>
                  </w:r>
                  <w:r w:rsidR="0030089F">
                    <w:rPr>
                      <w:rFonts w:ascii="Times New Roman" w:eastAsia="Times New Roman" w:hAnsi="Times New Roman" w:cs="Times New Roman"/>
                      <w:sz w:val="24"/>
                      <w:szCs w:val="24"/>
                      <w:lang w:eastAsia="lv-LV"/>
                    </w:rPr>
                    <w:t>Maksātnespējas likuma regulējumu</w:t>
                  </w:r>
                  <w:r w:rsidR="00D152E0" w:rsidRPr="00D152E0">
                    <w:rPr>
                      <w:rFonts w:ascii="Times New Roman" w:eastAsia="Times New Roman" w:hAnsi="Times New Roman" w:cs="Times New Roman"/>
                      <w:sz w:val="24"/>
                      <w:szCs w:val="24"/>
                      <w:lang w:eastAsia="lv-LV"/>
                    </w:rPr>
                    <w:t>, kas stājies spēkā 2017. gada 6. janvārī.</w:t>
                  </w:r>
                </w:p>
              </w:tc>
            </w:tr>
            <w:tr w:rsidR="006F19CF" w:rsidRPr="00BC2633" w14:paraId="65AB2272" w14:textId="77777777" w:rsidTr="0030089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C08A1B4" w14:textId="77777777" w:rsidR="006F19CF" w:rsidRPr="00F07759" w:rsidRDefault="006F19CF" w:rsidP="007139F7">
                  <w:pPr>
                    <w:spacing w:after="0" w:line="240" w:lineRule="auto"/>
                    <w:rPr>
                      <w:rFonts w:ascii="Times New Roman" w:eastAsia="Times New Roman" w:hAnsi="Times New Roman" w:cs="Times New Roman"/>
                      <w:sz w:val="24"/>
                      <w:szCs w:val="24"/>
                      <w:lang w:eastAsia="lv-LV"/>
                    </w:rPr>
                  </w:pPr>
                  <w:r w:rsidRPr="00F07759">
                    <w:rPr>
                      <w:rFonts w:ascii="Times New Roman" w:eastAsia="Times New Roman" w:hAnsi="Times New Roman" w:cs="Times New Roman"/>
                      <w:sz w:val="24"/>
                      <w:szCs w:val="24"/>
                      <w:lang w:eastAsia="lv-LV"/>
                    </w:rPr>
                    <w:lastRenderedPageBreak/>
                    <w:t>3.</w:t>
                  </w:r>
                </w:p>
              </w:tc>
              <w:tc>
                <w:tcPr>
                  <w:tcW w:w="1282" w:type="pct"/>
                  <w:tcBorders>
                    <w:top w:val="outset" w:sz="6" w:space="0" w:color="414142"/>
                    <w:left w:val="outset" w:sz="6" w:space="0" w:color="414142"/>
                    <w:bottom w:val="outset" w:sz="6" w:space="0" w:color="414142"/>
                    <w:right w:val="outset" w:sz="6" w:space="0" w:color="414142"/>
                  </w:tcBorders>
                  <w:hideMark/>
                </w:tcPr>
                <w:p w14:paraId="62303089" w14:textId="77777777" w:rsidR="006F19CF" w:rsidRPr="00F07759" w:rsidRDefault="006F19CF" w:rsidP="007139F7">
                  <w:pPr>
                    <w:spacing w:after="0" w:line="240" w:lineRule="auto"/>
                    <w:rPr>
                      <w:rFonts w:ascii="Times New Roman" w:eastAsia="Times New Roman" w:hAnsi="Times New Roman" w:cs="Times New Roman"/>
                      <w:sz w:val="24"/>
                      <w:szCs w:val="24"/>
                      <w:lang w:eastAsia="lv-LV"/>
                    </w:rPr>
                  </w:pPr>
                  <w:r w:rsidRPr="00F07759">
                    <w:rPr>
                      <w:rFonts w:ascii="Times New Roman" w:eastAsia="Times New Roman" w:hAnsi="Times New Roman" w:cs="Times New Roman"/>
                      <w:sz w:val="24"/>
                      <w:szCs w:val="24"/>
                      <w:lang w:eastAsia="lv-LV"/>
                    </w:rPr>
                    <w:t>Sabiedrības līdzdalības rezultāti</w:t>
                  </w:r>
                </w:p>
              </w:tc>
              <w:tc>
                <w:tcPr>
                  <w:tcW w:w="3468" w:type="pct"/>
                  <w:tcBorders>
                    <w:top w:val="outset" w:sz="6" w:space="0" w:color="414142"/>
                    <w:left w:val="outset" w:sz="6" w:space="0" w:color="414142"/>
                    <w:bottom w:val="outset" w:sz="6" w:space="0" w:color="414142"/>
                    <w:right w:val="outset" w:sz="6" w:space="0" w:color="414142"/>
                  </w:tcBorders>
                  <w:hideMark/>
                </w:tcPr>
                <w:p w14:paraId="6DC2CFCF" w14:textId="77777777" w:rsidR="006F19CF" w:rsidRPr="00F07759" w:rsidRDefault="00CA6ED1" w:rsidP="00B06F93">
                  <w:pPr>
                    <w:spacing w:line="240" w:lineRule="auto"/>
                    <w:jc w:val="both"/>
                    <w:rPr>
                      <w:rFonts w:ascii="Times New Roman" w:eastAsia="Times New Roman" w:hAnsi="Times New Roman" w:cs="Times New Roman"/>
                      <w:sz w:val="24"/>
                      <w:szCs w:val="24"/>
                      <w:lang w:eastAsia="lv-LV"/>
                    </w:rPr>
                  </w:pPr>
                  <w:r w:rsidRPr="00CA6ED1">
                    <w:rPr>
                      <w:rFonts w:ascii="Times New Roman" w:eastAsia="Times New Roman" w:hAnsi="Times New Roman" w:cs="Times New Roman"/>
                      <w:sz w:val="24"/>
                      <w:szCs w:val="24"/>
                      <w:lang w:eastAsia="lv-LV"/>
                    </w:rPr>
                    <w:t>Nav</w:t>
                  </w:r>
                  <w:r w:rsidR="00AC144F">
                    <w:rPr>
                      <w:rFonts w:ascii="Times New Roman" w:eastAsia="Times New Roman" w:hAnsi="Times New Roman" w:cs="Times New Roman"/>
                      <w:sz w:val="24"/>
                      <w:szCs w:val="24"/>
                      <w:lang w:eastAsia="lv-LV"/>
                    </w:rPr>
                    <w:t>.</w:t>
                  </w:r>
                </w:p>
              </w:tc>
            </w:tr>
            <w:tr w:rsidR="006F19CF" w:rsidRPr="00BC2633" w14:paraId="5DB6ACE4" w14:textId="77777777" w:rsidTr="0030089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1555F21" w14:textId="77777777" w:rsidR="006F19CF" w:rsidRPr="00BC2633" w:rsidRDefault="006F19CF" w:rsidP="007139F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282" w:type="pct"/>
                  <w:tcBorders>
                    <w:top w:val="outset" w:sz="6" w:space="0" w:color="414142"/>
                    <w:left w:val="outset" w:sz="6" w:space="0" w:color="414142"/>
                    <w:bottom w:val="outset" w:sz="6" w:space="0" w:color="414142"/>
                    <w:right w:val="outset" w:sz="6" w:space="0" w:color="414142"/>
                  </w:tcBorders>
                  <w:hideMark/>
                </w:tcPr>
                <w:p w14:paraId="732F6E85" w14:textId="77777777" w:rsidR="006F19CF" w:rsidRPr="00BC2633" w:rsidRDefault="006F19CF" w:rsidP="007139F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68" w:type="pct"/>
                  <w:tcBorders>
                    <w:top w:val="outset" w:sz="6" w:space="0" w:color="414142"/>
                    <w:left w:val="outset" w:sz="6" w:space="0" w:color="414142"/>
                    <w:bottom w:val="outset" w:sz="6" w:space="0" w:color="414142"/>
                    <w:right w:val="outset" w:sz="6" w:space="0" w:color="414142"/>
                  </w:tcBorders>
                  <w:hideMark/>
                </w:tcPr>
                <w:p w14:paraId="7DAFD621" w14:textId="77777777" w:rsidR="006F19CF" w:rsidRPr="00BC2633" w:rsidRDefault="006F19CF" w:rsidP="007139F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AC144F">
                    <w:rPr>
                      <w:rFonts w:ascii="Times New Roman" w:eastAsia="Times New Roman" w:hAnsi="Times New Roman" w:cs="Times New Roman"/>
                      <w:sz w:val="24"/>
                      <w:szCs w:val="24"/>
                      <w:lang w:eastAsia="lv-LV"/>
                    </w:rPr>
                    <w:t>.</w:t>
                  </w:r>
                </w:p>
              </w:tc>
            </w:tr>
          </w:tbl>
          <w:p w14:paraId="44139F3D" w14:textId="77777777" w:rsidR="00004317" w:rsidRDefault="00004317" w:rsidP="00004317">
            <w:pPr>
              <w:tabs>
                <w:tab w:val="left" w:pos="2817"/>
              </w:tabs>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FD0BD07" w14:textId="38C2783D" w:rsidR="00D152E0" w:rsidRPr="00BC2633" w:rsidRDefault="00D152E0" w:rsidP="00004317">
            <w:pPr>
              <w:tabs>
                <w:tab w:val="left" w:pos="2817"/>
              </w:tabs>
              <w:spacing w:after="0" w:line="240" w:lineRule="auto"/>
              <w:rPr>
                <w:rFonts w:ascii="Times New Roman" w:eastAsia="Times New Roman" w:hAnsi="Times New Roman" w:cs="Times New Roman"/>
                <w:sz w:val="24"/>
                <w:szCs w:val="24"/>
                <w:lang w:eastAsia="lv-LV"/>
              </w:rPr>
            </w:pPr>
          </w:p>
        </w:tc>
      </w:tr>
      <w:tr w:rsidR="00004317" w:rsidRPr="00BC2633" w14:paraId="781C4923" w14:textId="77777777" w:rsidTr="00004317">
        <w:trPr>
          <w:trHeight w:val="420"/>
        </w:trPr>
        <w:tc>
          <w:tcPr>
            <w:tcW w:w="5000" w:type="pct"/>
            <w:gridSpan w:val="4"/>
            <w:tcBorders>
              <w:top w:val="outset" w:sz="6" w:space="0" w:color="414142"/>
              <w:left w:val="outset" w:sz="6" w:space="0" w:color="414142"/>
              <w:bottom w:val="single" w:sz="4" w:space="0" w:color="auto"/>
              <w:right w:val="outset" w:sz="6" w:space="0" w:color="414142"/>
            </w:tcBorders>
          </w:tcPr>
          <w:p w14:paraId="103C65DB" w14:textId="153D4711" w:rsidR="00004317" w:rsidRPr="005D0462" w:rsidRDefault="00004317" w:rsidP="0093026F">
            <w:pPr>
              <w:spacing w:after="0" w:line="240" w:lineRule="auto"/>
              <w:jc w:val="center"/>
              <w:rPr>
                <w:rFonts w:ascii="Times New Roman" w:eastAsia="Times New Roman" w:hAnsi="Times New Roman" w:cs="Times New Roman"/>
                <w:sz w:val="24"/>
                <w:szCs w:val="24"/>
                <w:lang w:eastAsia="lv-LV"/>
              </w:rPr>
            </w:pPr>
            <w:r w:rsidRPr="007472E6">
              <w:rPr>
                <w:rFonts w:ascii="Times New Roman" w:eastAsia="Times New Roman" w:hAnsi="Times New Roman" w:cs="Times New Roman"/>
                <w:b/>
                <w:sz w:val="24"/>
                <w:szCs w:val="24"/>
                <w:lang w:eastAsia="lv-LV"/>
              </w:rPr>
              <w:lastRenderedPageBreak/>
              <w:t>VII. Tiesību akta projekta izpildes nodrošināšana un tās ietekme uz institūcijām</w:t>
            </w:r>
            <w:r w:rsidR="005D0462">
              <w:rPr>
                <w:rFonts w:ascii="Times New Roman" w:eastAsia="Times New Roman" w:hAnsi="Times New Roman" w:cs="Times New Roman"/>
                <w:sz w:val="24"/>
                <w:szCs w:val="24"/>
                <w:lang w:eastAsia="lv-LV"/>
              </w:rPr>
              <w:tab/>
            </w:r>
          </w:p>
        </w:tc>
      </w:tr>
      <w:tr w:rsidR="006476C0" w:rsidRPr="00BC2633" w14:paraId="2F39DBE7" w14:textId="77777777" w:rsidTr="00004317">
        <w:trPr>
          <w:trHeight w:val="420"/>
        </w:trPr>
        <w:tc>
          <w:tcPr>
            <w:tcW w:w="228" w:type="pct"/>
            <w:tcBorders>
              <w:top w:val="outset" w:sz="6" w:space="0" w:color="414142"/>
              <w:left w:val="outset" w:sz="6" w:space="0" w:color="414142"/>
              <w:bottom w:val="single" w:sz="4" w:space="0" w:color="auto"/>
              <w:right w:val="outset" w:sz="6" w:space="0" w:color="414142"/>
            </w:tcBorders>
            <w:hideMark/>
          </w:tcPr>
          <w:p w14:paraId="702EC7F6" w14:textId="77777777" w:rsidR="006476C0" w:rsidRPr="00BC2633" w:rsidRDefault="006476C0" w:rsidP="007139F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770" w:type="pct"/>
            <w:gridSpan w:val="2"/>
            <w:tcBorders>
              <w:top w:val="outset" w:sz="6" w:space="0" w:color="414142"/>
              <w:left w:val="outset" w:sz="6" w:space="0" w:color="414142"/>
              <w:bottom w:val="single" w:sz="4" w:space="0" w:color="auto"/>
              <w:right w:val="outset" w:sz="6" w:space="0" w:color="414142"/>
            </w:tcBorders>
            <w:hideMark/>
          </w:tcPr>
          <w:p w14:paraId="4DBA1922" w14:textId="77777777" w:rsidR="006476C0" w:rsidRPr="00BC2633" w:rsidRDefault="006476C0" w:rsidP="007139F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002" w:type="pct"/>
            <w:tcBorders>
              <w:top w:val="outset" w:sz="6" w:space="0" w:color="414142"/>
              <w:left w:val="outset" w:sz="6" w:space="0" w:color="414142"/>
              <w:bottom w:val="single" w:sz="4" w:space="0" w:color="auto"/>
              <w:right w:val="outset" w:sz="6" w:space="0" w:color="414142"/>
            </w:tcBorders>
            <w:hideMark/>
          </w:tcPr>
          <w:p w14:paraId="7763156D" w14:textId="77777777" w:rsidR="006476C0" w:rsidRPr="00CA6ED1" w:rsidRDefault="006476C0" w:rsidP="007139F7">
            <w:pPr>
              <w:spacing w:after="0" w:line="240" w:lineRule="auto"/>
              <w:jc w:val="both"/>
              <w:rPr>
                <w:rFonts w:ascii="Times New Roman" w:eastAsia="Times New Roman" w:hAnsi="Times New Roman" w:cs="Times New Roman"/>
                <w:sz w:val="24"/>
                <w:szCs w:val="24"/>
                <w:lang w:eastAsia="lv-LV"/>
              </w:rPr>
            </w:pPr>
            <w:r w:rsidRPr="00CA6ED1">
              <w:rPr>
                <w:rFonts w:ascii="Times New Roman" w:eastAsia="Times New Roman" w:hAnsi="Times New Roman" w:cs="Times New Roman"/>
                <w:sz w:val="24"/>
                <w:szCs w:val="24"/>
                <w:lang w:eastAsia="lv-LV"/>
              </w:rPr>
              <w:t>Noteikuma projekta izpildi nodrošinās Maksātnespējas administrācija</w:t>
            </w:r>
            <w:r w:rsidR="00AC144F">
              <w:rPr>
                <w:rFonts w:ascii="Times New Roman" w:eastAsia="Times New Roman" w:hAnsi="Times New Roman" w:cs="Times New Roman"/>
                <w:sz w:val="24"/>
                <w:szCs w:val="24"/>
                <w:lang w:eastAsia="lv-LV"/>
              </w:rPr>
              <w:t>.</w:t>
            </w:r>
          </w:p>
        </w:tc>
      </w:tr>
      <w:tr w:rsidR="006476C0" w:rsidRPr="00BC2633" w14:paraId="6C322960" w14:textId="77777777" w:rsidTr="00004317">
        <w:trPr>
          <w:trHeight w:val="450"/>
        </w:trPr>
        <w:tc>
          <w:tcPr>
            <w:tcW w:w="228" w:type="pct"/>
            <w:tcBorders>
              <w:top w:val="single" w:sz="4" w:space="0" w:color="auto"/>
              <w:left w:val="outset" w:sz="6" w:space="0" w:color="414142"/>
              <w:bottom w:val="outset" w:sz="6" w:space="0" w:color="414142"/>
              <w:right w:val="outset" w:sz="6" w:space="0" w:color="414142"/>
            </w:tcBorders>
            <w:hideMark/>
          </w:tcPr>
          <w:p w14:paraId="59B5F692" w14:textId="77777777" w:rsidR="006476C0" w:rsidRPr="00BC2633" w:rsidRDefault="006476C0" w:rsidP="007139F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770" w:type="pct"/>
            <w:gridSpan w:val="2"/>
            <w:tcBorders>
              <w:top w:val="single" w:sz="4" w:space="0" w:color="auto"/>
              <w:left w:val="outset" w:sz="6" w:space="0" w:color="414142"/>
              <w:bottom w:val="outset" w:sz="6" w:space="0" w:color="414142"/>
              <w:right w:val="outset" w:sz="6" w:space="0" w:color="414142"/>
            </w:tcBorders>
            <w:hideMark/>
          </w:tcPr>
          <w:p w14:paraId="34C12E15" w14:textId="77777777" w:rsidR="006476C0" w:rsidRPr="00BC2633" w:rsidRDefault="006476C0" w:rsidP="007139F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7211BCCF" w14:textId="77777777" w:rsidR="006476C0" w:rsidRPr="00BC2633" w:rsidRDefault="006476C0" w:rsidP="007139F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02" w:type="pct"/>
            <w:tcBorders>
              <w:top w:val="single" w:sz="4" w:space="0" w:color="auto"/>
              <w:left w:val="outset" w:sz="6" w:space="0" w:color="414142"/>
              <w:bottom w:val="outset" w:sz="6" w:space="0" w:color="414142"/>
              <w:right w:val="outset" w:sz="6" w:space="0" w:color="414142"/>
            </w:tcBorders>
            <w:hideMark/>
          </w:tcPr>
          <w:p w14:paraId="2D854198" w14:textId="77777777" w:rsidR="006476C0" w:rsidRPr="00CA6ED1" w:rsidRDefault="002C6534" w:rsidP="002C6534">
            <w:pPr>
              <w:spacing w:after="0" w:line="240" w:lineRule="auto"/>
              <w:jc w:val="both"/>
              <w:rPr>
                <w:rFonts w:ascii="Times New Roman" w:eastAsia="Times New Roman" w:hAnsi="Times New Roman" w:cs="Times New Roman"/>
                <w:sz w:val="24"/>
                <w:szCs w:val="24"/>
                <w:lang w:eastAsia="lv-LV"/>
              </w:rPr>
            </w:pPr>
            <w:r w:rsidRPr="00CA6ED1">
              <w:rPr>
                <w:rFonts w:ascii="Times New Roman" w:eastAsia="Times New Roman" w:hAnsi="Times New Roman" w:cs="Times New Roman"/>
                <w:sz w:val="24"/>
                <w:szCs w:val="24"/>
                <w:lang w:eastAsia="lv-LV"/>
              </w:rPr>
              <w:t>Jaunas institūcijas netiek veidotas. Esošu institūciju likvidācija vai reorganizācija netiek plānota.</w:t>
            </w:r>
          </w:p>
        </w:tc>
      </w:tr>
      <w:tr w:rsidR="006476C0" w:rsidRPr="00BC2633" w14:paraId="14D5A3E3" w14:textId="77777777" w:rsidTr="00004317">
        <w:trPr>
          <w:trHeight w:val="390"/>
        </w:trPr>
        <w:tc>
          <w:tcPr>
            <w:tcW w:w="228" w:type="pct"/>
            <w:tcBorders>
              <w:top w:val="outset" w:sz="6" w:space="0" w:color="414142"/>
              <w:left w:val="outset" w:sz="6" w:space="0" w:color="414142"/>
              <w:bottom w:val="outset" w:sz="6" w:space="0" w:color="414142"/>
              <w:right w:val="outset" w:sz="6" w:space="0" w:color="414142"/>
            </w:tcBorders>
            <w:hideMark/>
          </w:tcPr>
          <w:p w14:paraId="5B6A3AD0" w14:textId="77777777" w:rsidR="006476C0" w:rsidRPr="00BC2633" w:rsidRDefault="006476C0" w:rsidP="007139F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770" w:type="pct"/>
            <w:gridSpan w:val="2"/>
            <w:tcBorders>
              <w:top w:val="outset" w:sz="6" w:space="0" w:color="414142"/>
              <w:left w:val="outset" w:sz="6" w:space="0" w:color="414142"/>
              <w:bottom w:val="outset" w:sz="6" w:space="0" w:color="414142"/>
              <w:right w:val="outset" w:sz="6" w:space="0" w:color="414142"/>
            </w:tcBorders>
            <w:hideMark/>
          </w:tcPr>
          <w:p w14:paraId="155F2FFB" w14:textId="77777777" w:rsidR="006476C0" w:rsidRPr="00BC2633" w:rsidRDefault="006476C0" w:rsidP="007139F7">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002" w:type="pct"/>
            <w:tcBorders>
              <w:top w:val="outset" w:sz="6" w:space="0" w:color="414142"/>
              <w:left w:val="outset" w:sz="6" w:space="0" w:color="414142"/>
              <w:bottom w:val="outset" w:sz="6" w:space="0" w:color="414142"/>
              <w:right w:val="outset" w:sz="6" w:space="0" w:color="414142"/>
            </w:tcBorders>
            <w:hideMark/>
          </w:tcPr>
          <w:p w14:paraId="7FC071AB" w14:textId="77777777" w:rsidR="006476C0" w:rsidRPr="00BC2633" w:rsidRDefault="006476C0" w:rsidP="007139F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2FCEB31"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p w14:paraId="1BD7ABB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p w14:paraId="3BE26690" w14:textId="77777777" w:rsidR="00A43B71" w:rsidRDefault="00A43B71" w:rsidP="00DA596D">
      <w:pPr>
        <w:pStyle w:val="StyleRight"/>
        <w:spacing w:after="0"/>
        <w:ind w:firstLine="0"/>
        <w:jc w:val="both"/>
        <w:rPr>
          <w:sz w:val="24"/>
          <w:szCs w:val="24"/>
        </w:rPr>
      </w:pPr>
    </w:p>
    <w:p w14:paraId="7785842A" w14:textId="77777777" w:rsidR="004D15A9" w:rsidRDefault="004D15A9" w:rsidP="00DA596D">
      <w:pPr>
        <w:pStyle w:val="StyleRight"/>
        <w:spacing w:after="0"/>
        <w:ind w:firstLine="0"/>
        <w:jc w:val="both"/>
        <w:rPr>
          <w:sz w:val="24"/>
          <w:szCs w:val="24"/>
        </w:rPr>
      </w:pPr>
      <w:r w:rsidRPr="00BC2633">
        <w:rPr>
          <w:sz w:val="24"/>
          <w:szCs w:val="24"/>
        </w:rPr>
        <w:t>Iesniedzējs:</w:t>
      </w:r>
    </w:p>
    <w:p w14:paraId="35D314DF" w14:textId="15554892" w:rsidR="00A43B71" w:rsidRPr="00BC2633" w:rsidRDefault="00A43B71" w:rsidP="00A43B71">
      <w:pPr>
        <w:pStyle w:val="StyleRight"/>
        <w:tabs>
          <w:tab w:val="left" w:pos="7088"/>
        </w:tabs>
        <w:spacing w:after="0"/>
        <w:ind w:firstLine="0"/>
        <w:jc w:val="both"/>
        <w:rPr>
          <w:sz w:val="24"/>
          <w:szCs w:val="24"/>
        </w:rPr>
      </w:pPr>
      <w:r>
        <w:rPr>
          <w:sz w:val="24"/>
          <w:szCs w:val="24"/>
        </w:rPr>
        <w:t>Tieslietu ministr</w:t>
      </w:r>
      <w:r w:rsidR="00AC144F">
        <w:rPr>
          <w:sz w:val="24"/>
          <w:szCs w:val="24"/>
        </w:rPr>
        <w:t>ijas valsts sekretārs</w:t>
      </w:r>
      <w:r>
        <w:rPr>
          <w:sz w:val="24"/>
          <w:szCs w:val="24"/>
        </w:rPr>
        <w:t xml:space="preserve"> </w:t>
      </w:r>
      <w:r>
        <w:rPr>
          <w:sz w:val="24"/>
          <w:szCs w:val="24"/>
        </w:rPr>
        <w:tab/>
      </w:r>
      <w:r w:rsidR="00AC144F">
        <w:rPr>
          <w:sz w:val="24"/>
          <w:szCs w:val="24"/>
        </w:rPr>
        <w:t>Raivis Kronbergs</w:t>
      </w:r>
    </w:p>
    <w:p w14:paraId="7DD485ED" w14:textId="77777777" w:rsidR="004D15A9" w:rsidRDefault="004D15A9" w:rsidP="00DA596D">
      <w:pPr>
        <w:pStyle w:val="StyleRight"/>
        <w:spacing w:after="0"/>
        <w:ind w:firstLine="0"/>
        <w:jc w:val="both"/>
        <w:rPr>
          <w:sz w:val="24"/>
          <w:szCs w:val="24"/>
        </w:rPr>
      </w:pPr>
    </w:p>
    <w:p w14:paraId="5D22C9E9" w14:textId="77777777" w:rsidR="00506E86" w:rsidRPr="005D1BB2" w:rsidRDefault="00506E86" w:rsidP="00506E86">
      <w:pPr>
        <w:tabs>
          <w:tab w:val="left" w:pos="6237"/>
        </w:tabs>
        <w:spacing w:after="0" w:line="240" w:lineRule="auto"/>
        <w:ind w:firstLine="720"/>
        <w:rPr>
          <w:rFonts w:ascii="Times New Roman" w:hAnsi="Times New Roman" w:cs="Times New Roman"/>
          <w:sz w:val="24"/>
          <w:szCs w:val="24"/>
        </w:rPr>
      </w:pPr>
    </w:p>
    <w:p w14:paraId="1AA8D061" w14:textId="77777777" w:rsidR="00D06694" w:rsidRDefault="00A43B71" w:rsidP="00D06694">
      <w:pPr>
        <w:spacing w:after="0" w:line="240" w:lineRule="auto"/>
        <w:rPr>
          <w:rFonts w:ascii="Times New Roman" w:hAnsi="Times New Roman" w:cs="Times New Roman"/>
          <w:sz w:val="20"/>
          <w:szCs w:val="20"/>
        </w:rPr>
      </w:pPr>
      <w:r w:rsidRPr="00A43B71">
        <w:rPr>
          <w:rFonts w:ascii="Times New Roman" w:hAnsi="Times New Roman" w:cs="Times New Roman"/>
          <w:sz w:val="20"/>
          <w:szCs w:val="20"/>
        </w:rPr>
        <w:t>Ličkovska 967099126</w:t>
      </w:r>
    </w:p>
    <w:p w14:paraId="41ED592D" w14:textId="03CDB507" w:rsidR="00AB6562" w:rsidRPr="00220682" w:rsidRDefault="004F13C5" w:rsidP="00AB6562">
      <w:pPr>
        <w:spacing w:after="0" w:line="240" w:lineRule="auto"/>
        <w:rPr>
          <w:rFonts w:ascii="Times New Roman" w:hAnsi="Times New Roman" w:cs="Times New Roman"/>
          <w:color w:val="404040" w:themeColor="text1" w:themeTint="BF"/>
        </w:rPr>
      </w:pPr>
      <w:r>
        <w:rPr>
          <w:rFonts w:ascii="Times New Roman" w:hAnsi="Times New Roman" w:cs="Times New Roman"/>
          <w:sz w:val="20"/>
          <w:szCs w:val="20"/>
        </w:rPr>
        <w:t>a</w:t>
      </w:r>
      <w:r w:rsidR="00A43B71" w:rsidRPr="00A43B71">
        <w:rPr>
          <w:rFonts w:ascii="Times New Roman" w:hAnsi="Times New Roman" w:cs="Times New Roman"/>
          <w:sz w:val="20"/>
          <w:szCs w:val="20"/>
        </w:rPr>
        <w:t>lla.lickovska@mna.gov.lv</w:t>
      </w:r>
    </w:p>
    <w:sectPr w:rsidR="00AB6562" w:rsidRPr="00220682"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9B1FD" w14:textId="77777777" w:rsidR="00C8347B" w:rsidRDefault="00C8347B" w:rsidP="004D15A9">
      <w:pPr>
        <w:spacing w:after="0" w:line="240" w:lineRule="auto"/>
      </w:pPr>
      <w:r>
        <w:separator/>
      </w:r>
    </w:p>
  </w:endnote>
  <w:endnote w:type="continuationSeparator" w:id="0">
    <w:p w14:paraId="1E1935A6" w14:textId="77777777" w:rsidR="00C8347B" w:rsidRDefault="00C8347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41B73" w14:textId="77777777" w:rsidR="007139F7" w:rsidRDefault="007139F7" w:rsidP="0042645D">
    <w:pPr>
      <w:pStyle w:val="Kjene"/>
      <w:rPr>
        <w:rFonts w:ascii="Times New Roman" w:hAnsi="Times New Roman" w:cs="Times New Roman"/>
        <w:sz w:val="20"/>
        <w:szCs w:val="20"/>
      </w:rPr>
    </w:pPr>
  </w:p>
  <w:p w14:paraId="35BDFBEC" w14:textId="5B29583F" w:rsidR="007139F7" w:rsidRPr="0042645D" w:rsidRDefault="007139F7" w:rsidP="00D55635">
    <w:pPr>
      <w:pStyle w:val="Kjene"/>
    </w:pPr>
    <w:r w:rsidRPr="00D55635">
      <w:rPr>
        <w:rFonts w:ascii="Times New Roman" w:hAnsi="Times New Roman" w:cs="Times New Roman"/>
        <w:sz w:val="20"/>
        <w:szCs w:val="20"/>
      </w:rPr>
      <w:fldChar w:fldCharType="begin"/>
    </w:r>
    <w:r w:rsidRPr="00D55635">
      <w:rPr>
        <w:rFonts w:ascii="Times New Roman" w:hAnsi="Times New Roman" w:cs="Times New Roman"/>
        <w:sz w:val="20"/>
        <w:szCs w:val="20"/>
      </w:rPr>
      <w:instrText xml:space="preserve"> FILENAME   \* MERGEFORMAT </w:instrText>
    </w:r>
    <w:r w:rsidRPr="00D55635">
      <w:rPr>
        <w:rFonts w:ascii="Times New Roman" w:hAnsi="Times New Roman" w:cs="Times New Roman"/>
        <w:sz w:val="20"/>
        <w:szCs w:val="20"/>
      </w:rPr>
      <w:fldChar w:fldCharType="separate"/>
    </w:r>
    <w:r w:rsidR="00D152E0">
      <w:rPr>
        <w:rFonts w:ascii="Times New Roman" w:hAnsi="Times New Roman" w:cs="Times New Roman"/>
        <w:sz w:val="20"/>
        <w:szCs w:val="20"/>
      </w:rPr>
      <w:t>TMAnot_06</w:t>
    </w:r>
    <w:r w:rsidR="003C58E8">
      <w:rPr>
        <w:rFonts w:ascii="Times New Roman" w:hAnsi="Times New Roman" w:cs="Times New Roman"/>
        <w:sz w:val="20"/>
        <w:szCs w:val="20"/>
      </w:rPr>
      <w:t>11</w:t>
    </w:r>
    <w:r>
      <w:rPr>
        <w:rFonts w:ascii="Times New Roman" w:hAnsi="Times New Roman" w:cs="Times New Roman"/>
        <w:sz w:val="20"/>
        <w:szCs w:val="20"/>
      </w:rPr>
      <w:t>17_nolikums</w:t>
    </w:r>
    <w:r w:rsidRPr="00D55635">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256EC" w14:textId="5D85A772" w:rsidR="007139F7" w:rsidRPr="0042645D" w:rsidRDefault="007139F7"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5D0462">
      <w:rPr>
        <w:rFonts w:ascii="Times New Roman" w:hAnsi="Times New Roman" w:cs="Times New Roman"/>
        <w:noProof/>
        <w:sz w:val="20"/>
        <w:szCs w:val="20"/>
      </w:rPr>
      <w:t>TMAnot_0</w:t>
    </w:r>
    <w:r w:rsidR="00266FE7">
      <w:rPr>
        <w:rFonts w:ascii="Times New Roman" w:hAnsi="Times New Roman" w:cs="Times New Roman"/>
        <w:noProof/>
        <w:sz w:val="20"/>
        <w:szCs w:val="20"/>
      </w:rPr>
      <w:t>6</w:t>
    </w:r>
    <w:r w:rsidR="003C58E8">
      <w:rPr>
        <w:rFonts w:ascii="Times New Roman" w:hAnsi="Times New Roman" w:cs="Times New Roman"/>
        <w:noProof/>
        <w:sz w:val="20"/>
        <w:szCs w:val="20"/>
      </w:rPr>
      <w:t>11</w:t>
    </w:r>
    <w:r>
      <w:rPr>
        <w:rFonts w:ascii="Times New Roman" w:hAnsi="Times New Roman" w:cs="Times New Roman"/>
        <w:noProof/>
        <w:sz w:val="20"/>
        <w:szCs w:val="20"/>
      </w:rPr>
      <w:t>17_</w:t>
    </w:r>
    <w:r w:rsidRPr="0042645D">
      <w:rPr>
        <w:rFonts w:ascii="Times New Roman" w:hAnsi="Times New Roman" w:cs="Times New Roman"/>
        <w:sz w:val="20"/>
        <w:szCs w:val="20"/>
      </w:rPr>
      <w:fldChar w:fldCharType="end"/>
    </w:r>
    <w:r>
      <w:rPr>
        <w:rFonts w:ascii="Times New Roman" w:hAnsi="Times New Roman" w:cs="Times New Roman"/>
        <w:sz w:val="20"/>
        <w:szCs w:val="20"/>
      </w:rPr>
      <w:t>nolikums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6678F" w14:textId="77777777" w:rsidR="00C8347B" w:rsidRDefault="00C8347B" w:rsidP="004D15A9">
      <w:pPr>
        <w:spacing w:after="0" w:line="240" w:lineRule="auto"/>
      </w:pPr>
      <w:r>
        <w:separator/>
      </w:r>
    </w:p>
  </w:footnote>
  <w:footnote w:type="continuationSeparator" w:id="0">
    <w:p w14:paraId="0E47247E" w14:textId="77777777" w:rsidR="00C8347B" w:rsidRDefault="00C8347B"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4872F09C" w14:textId="2D268E5C" w:rsidR="007139F7" w:rsidRPr="004D15A9" w:rsidRDefault="007139F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A4D4A">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7C8577C5" w14:textId="77777777" w:rsidR="007139F7" w:rsidRDefault="007139F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2D0F"/>
    <w:rsid w:val="00004317"/>
    <w:rsid w:val="00031256"/>
    <w:rsid w:val="000519D9"/>
    <w:rsid w:val="000574CD"/>
    <w:rsid w:val="0009019F"/>
    <w:rsid w:val="000D4E0A"/>
    <w:rsid w:val="000E3461"/>
    <w:rsid w:val="000E42FD"/>
    <w:rsid w:val="00101CD5"/>
    <w:rsid w:val="00103179"/>
    <w:rsid w:val="00104FEF"/>
    <w:rsid w:val="0012142F"/>
    <w:rsid w:val="00122DDC"/>
    <w:rsid w:val="001273C6"/>
    <w:rsid w:val="00137E7A"/>
    <w:rsid w:val="00192F52"/>
    <w:rsid w:val="001A4D4A"/>
    <w:rsid w:val="001B5955"/>
    <w:rsid w:val="001C5969"/>
    <w:rsid w:val="00220682"/>
    <w:rsid w:val="00221B7E"/>
    <w:rsid w:val="00256570"/>
    <w:rsid w:val="00264A87"/>
    <w:rsid w:val="00266FE7"/>
    <w:rsid w:val="0027119A"/>
    <w:rsid w:val="00274EB2"/>
    <w:rsid w:val="0029183E"/>
    <w:rsid w:val="00291DBE"/>
    <w:rsid w:val="0029279D"/>
    <w:rsid w:val="002A4724"/>
    <w:rsid w:val="002C0998"/>
    <w:rsid w:val="002C1347"/>
    <w:rsid w:val="002C6534"/>
    <w:rsid w:val="002D204B"/>
    <w:rsid w:val="0030089F"/>
    <w:rsid w:val="00304392"/>
    <w:rsid w:val="0033522A"/>
    <w:rsid w:val="0034044A"/>
    <w:rsid w:val="00343F46"/>
    <w:rsid w:val="00367D1E"/>
    <w:rsid w:val="00381567"/>
    <w:rsid w:val="003922B0"/>
    <w:rsid w:val="003A2A0B"/>
    <w:rsid w:val="003B2B69"/>
    <w:rsid w:val="003C58E8"/>
    <w:rsid w:val="00416C59"/>
    <w:rsid w:val="0042645D"/>
    <w:rsid w:val="00450D63"/>
    <w:rsid w:val="00461275"/>
    <w:rsid w:val="00482E35"/>
    <w:rsid w:val="004A481A"/>
    <w:rsid w:val="004C52BF"/>
    <w:rsid w:val="004D15A9"/>
    <w:rsid w:val="004D26A1"/>
    <w:rsid w:val="004F129F"/>
    <w:rsid w:val="004F13C5"/>
    <w:rsid w:val="004F5FAA"/>
    <w:rsid w:val="005057C2"/>
    <w:rsid w:val="00506E86"/>
    <w:rsid w:val="00510E90"/>
    <w:rsid w:val="00515CEE"/>
    <w:rsid w:val="00527BEA"/>
    <w:rsid w:val="00552E4D"/>
    <w:rsid w:val="0055665C"/>
    <w:rsid w:val="005612C3"/>
    <w:rsid w:val="00567B7C"/>
    <w:rsid w:val="00580EF8"/>
    <w:rsid w:val="0059637C"/>
    <w:rsid w:val="005B133E"/>
    <w:rsid w:val="005C5897"/>
    <w:rsid w:val="005D0462"/>
    <w:rsid w:val="005D4E8A"/>
    <w:rsid w:val="005E7FDA"/>
    <w:rsid w:val="00600027"/>
    <w:rsid w:val="00607364"/>
    <w:rsid w:val="00612A92"/>
    <w:rsid w:val="00620F89"/>
    <w:rsid w:val="00633313"/>
    <w:rsid w:val="006476C0"/>
    <w:rsid w:val="00672528"/>
    <w:rsid w:val="006A0433"/>
    <w:rsid w:val="006E57E4"/>
    <w:rsid w:val="006F19CF"/>
    <w:rsid w:val="006F1B6C"/>
    <w:rsid w:val="006F1FC9"/>
    <w:rsid w:val="006F769D"/>
    <w:rsid w:val="007024B2"/>
    <w:rsid w:val="007047F3"/>
    <w:rsid w:val="007139F7"/>
    <w:rsid w:val="0073730D"/>
    <w:rsid w:val="007436B8"/>
    <w:rsid w:val="007472E6"/>
    <w:rsid w:val="00772D18"/>
    <w:rsid w:val="00776D9D"/>
    <w:rsid w:val="00780205"/>
    <w:rsid w:val="007D3E4A"/>
    <w:rsid w:val="0081203F"/>
    <w:rsid w:val="008216CE"/>
    <w:rsid w:val="00841836"/>
    <w:rsid w:val="00844DF3"/>
    <w:rsid w:val="00863838"/>
    <w:rsid w:val="008826E9"/>
    <w:rsid w:val="00897B48"/>
    <w:rsid w:val="008A79FA"/>
    <w:rsid w:val="008B0F87"/>
    <w:rsid w:val="008C27B9"/>
    <w:rsid w:val="008E2AE8"/>
    <w:rsid w:val="008E4E93"/>
    <w:rsid w:val="008E78B2"/>
    <w:rsid w:val="0093026F"/>
    <w:rsid w:val="00954170"/>
    <w:rsid w:val="00965434"/>
    <w:rsid w:val="0097690A"/>
    <w:rsid w:val="00982A25"/>
    <w:rsid w:val="0099131E"/>
    <w:rsid w:val="00997954"/>
    <w:rsid w:val="009D750E"/>
    <w:rsid w:val="00A12908"/>
    <w:rsid w:val="00A310FB"/>
    <w:rsid w:val="00A43B71"/>
    <w:rsid w:val="00AA2892"/>
    <w:rsid w:val="00AA29A1"/>
    <w:rsid w:val="00AA3BC9"/>
    <w:rsid w:val="00AA5C74"/>
    <w:rsid w:val="00AA5FEF"/>
    <w:rsid w:val="00AA689D"/>
    <w:rsid w:val="00AB2F78"/>
    <w:rsid w:val="00AB6562"/>
    <w:rsid w:val="00AC144F"/>
    <w:rsid w:val="00AE09AD"/>
    <w:rsid w:val="00B04AE3"/>
    <w:rsid w:val="00B06F93"/>
    <w:rsid w:val="00B30002"/>
    <w:rsid w:val="00B45186"/>
    <w:rsid w:val="00B5627C"/>
    <w:rsid w:val="00B752EE"/>
    <w:rsid w:val="00B76011"/>
    <w:rsid w:val="00B81C6E"/>
    <w:rsid w:val="00B90A94"/>
    <w:rsid w:val="00BB040F"/>
    <w:rsid w:val="00BB1F46"/>
    <w:rsid w:val="00BB75BE"/>
    <w:rsid w:val="00BC2633"/>
    <w:rsid w:val="00BC6837"/>
    <w:rsid w:val="00BD4766"/>
    <w:rsid w:val="00BF327D"/>
    <w:rsid w:val="00BF3A34"/>
    <w:rsid w:val="00C02D79"/>
    <w:rsid w:val="00C14358"/>
    <w:rsid w:val="00C36BA6"/>
    <w:rsid w:val="00C41625"/>
    <w:rsid w:val="00C649EF"/>
    <w:rsid w:val="00C8286D"/>
    <w:rsid w:val="00C8347B"/>
    <w:rsid w:val="00C86D12"/>
    <w:rsid w:val="00CA3C35"/>
    <w:rsid w:val="00CA6ED1"/>
    <w:rsid w:val="00CD04DC"/>
    <w:rsid w:val="00CE6FD0"/>
    <w:rsid w:val="00D06694"/>
    <w:rsid w:val="00D1107A"/>
    <w:rsid w:val="00D123DB"/>
    <w:rsid w:val="00D152E0"/>
    <w:rsid w:val="00D313D5"/>
    <w:rsid w:val="00D35DD8"/>
    <w:rsid w:val="00D55635"/>
    <w:rsid w:val="00D95F01"/>
    <w:rsid w:val="00DA52AC"/>
    <w:rsid w:val="00DA596D"/>
    <w:rsid w:val="00DB0080"/>
    <w:rsid w:val="00DE78C6"/>
    <w:rsid w:val="00DE7CFF"/>
    <w:rsid w:val="00E07821"/>
    <w:rsid w:val="00E347AD"/>
    <w:rsid w:val="00E44C94"/>
    <w:rsid w:val="00E76895"/>
    <w:rsid w:val="00EA03D4"/>
    <w:rsid w:val="00EC5ED8"/>
    <w:rsid w:val="00ED573E"/>
    <w:rsid w:val="00EE289A"/>
    <w:rsid w:val="00EE76FC"/>
    <w:rsid w:val="00EF5002"/>
    <w:rsid w:val="00F07759"/>
    <w:rsid w:val="00F21D88"/>
    <w:rsid w:val="00F539AA"/>
    <w:rsid w:val="00F94D66"/>
    <w:rsid w:val="00F9577F"/>
    <w:rsid w:val="00FB2959"/>
    <w:rsid w:val="00FC3CC1"/>
    <w:rsid w:val="00FD1875"/>
    <w:rsid w:val="00FE37A8"/>
    <w:rsid w:val="00FE5A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2606EB"/>
  <w15:docId w15:val="{503A05B6-6A5C-46D6-8AAB-40C2C9A9F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Paraststmeklis">
    <w:name w:val="Normal (Web)"/>
    <w:basedOn w:val="Parasts"/>
    <w:uiPriority w:val="99"/>
    <w:semiHidden/>
    <w:unhideWhenUsed/>
    <w:rsid w:val="00BD476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622">
      <w:bodyDiv w:val="1"/>
      <w:marLeft w:val="0"/>
      <w:marRight w:val="0"/>
      <w:marTop w:val="0"/>
      <w:marBottom w:val="0"/>
      <w:divBdr>
        <w:top w:val="none" w:sz="0" w:space="0" w:color="auto"/>
        <w:left w:val="none" w:sz="0" w:space="0" w:color="auto"/>
        <w:bottom w:val="none" w:sz="0" w:space="0" w:color="auto"/>
        <w:right w:val="none" w:sz="0" w:space="0" w:color="auto"/>
      </w:divBdr>
      <w:divsChild>
        <w:div w:id="1240099764">
          <w:marLeft w:val="0"/>
          <w:marRight w:val="0"/>
          <w:marTop w:val="0"/>
          <w:marBottom w:val="0"/>
          <w:divBdr>
            <w:top w:val="none" w:sz="0" w:space="0" w:color="auto"/>
            <w:left w:val="none" w:sz="0" w:space="0" w:color="auto"/>
            <w:bottom w:val="none" w:sz="0" w:space="0" w:color="auto"/>
            <w:right w:val="none" w:sz="0" w:space="0" w:color="auto"/>
          </w:divBdr>
          <w:divsChild>
            <w:div w:id="866530700">
              <w:marLeft w:val="0"/>
              <w:marRight w:val="0"/>
              <w:marTop w:val="0"/>
              <w:marBottom w:val="0"/>
              <w:divBdr>
                <w:top w:val="none" w:sz="0" w:space="0" w:color="auto"/>
                <w:left w:val="none" w:sz="0" w:space="0" w:color="auto"/>
                <w:bottom w:val="none" w:sz="0" w:space="0" w:color="auto"/>
                <w:right w:val="none" w:sz="0" w:space="0" w:color="auto"/>
              </w:divBdr>
              <w:divsChild>
                <w:div w:id="329215152">
                  <w:marLeft w:val="0"/>
                  <w:marRight w:val="0"/>
                  <w:marTop w:val="0"/>
                  <w:marBottom w:val="0"/>
                  <w:divBdr>
                    <w:top w:val="none" w:sz="0" w:space="0" w:color="auto"/>
                    <w:left w:val="none" w:sz="0" w:space="0" w:color="auto"/>
                    <w:bottom w:val="none" w:sz="0" w:space="0" w:color="auto"/>
                    <w:right w:val="none" w:sz="0" w:space="0" w:color="auto"/>
                  </w:divBdr>
                  <w:divsChild>
                    <w:div w:id="413629082">
                      <w:marLeft w:val="0"/>
                      <w:marRight w:val="0"/>
                      <w:marTop w:val="0"/>
                      <w:marBottom w:val="0"/>
                      <w:divBdr>
                        <w:top w:val="none" w:sz="0" w:space="0" w:color="auto"/>
                        <w:left w:val="none" w:sz="0" w:space="0" w:color="auto"/>
                        <w:bottom w:val="none" w:sz="0" w:space="0" w:color="auto"/>
                        <w:right w:val="none" w:sz="0" w:space="0" w:color="auto"/>
                      </w:divBdr>
                      <w:divsChild>
                        <w:div w:id="120392938">
                          <w:marLeft w:val="0"/>
                          <w:marRight w:val="0"/>
                          <w:marTop w:val="0"/>
                          <w:marBottom w:val="0"/>
                          <w:divBdr>
                            <w:top w:val="none" w:sz="0" w:space="0" w:color="auto"/>
                            <w:left w:val="none" w:sz="0" w:space="0" w:color="auto"/>
                            <w:bottom w:val="none" w:sz="0" w:space="0" w:color="auto"/>
                            <w:right w:val="none" w:sz="0" w:space="0" w:color="auto"/>
                          </w:divBdr>
                          <w:divsChild>
                            <w:div w:id="12265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79423096">
      <w:bodyDiv w:val="1"/>
      <w:marLeft w:val="0"/>
      <w:marRight w:val="0"/>
      <w:marTop w:val="0"/>
      <w:marBottom w:val="0"/>
      <w:divBdr>
        <w:top w:val="none" w:sz="0" w:space="0" w:color="auto"/>
        <w:left w:val="none" w:sz="0" w:space="0" w:color="auto"/>
        <w:bottom w:val="none" w:sz="0" w:space="0" w:color="auto"/>
        <w:right w:val="none" w:sz="0" w:space="0" w:color="auto"/>
      </w:divBdr>
    </w:div>
    <w:div w:id="1482112943">
      <w:bodyDiv w:val="1"/>
      <w:marLeft w:val="0"/>
      <w:marRight w:val="0"/>
      <w:marTop w:val="0"/>
      <w:marBottom w:val="0"/>
      <w:divBdr>
        <w:top w:val="none" w:sz="0" w:space="0" w:color="auto"/>
        <w:left w:val="none" w:sz="0" w:space="0" w:color="auto"/>
        <w:bottom w:val="none" w:sz="0" w:space="0" w:color="auto"/>
        <w:right w:val="none" w:sz="0" w:space="0" w:color="auto"/>
      </w:divBdr>
    </w:div>
    <w:div w:id="192606241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3254-E273-4FA3-89C7-FDE94350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5124</Words>
  <Characters>2921</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2012. gada 6. novembra noteikumos Nr. 751 "Maksātnespējas administrācijas nolikums"" sākotnējās ietekmes novērtējuma ziņojums (anotācija)</vt:lpstr>
      <vt:lpstr>Ministru kabineta noteikumu projekta "Grozījumi Ministru kabineta 2010. gada 26. oktobra noteikumos Nr. 1001 "Kārtība, kādā Maksātnespējas administrācijas izvēlas un iesaka tiesai maksātnespējas procesa administratora amata kandidātu"" sākotnējās ietekmes</vt:lpstr>
    </vt:vector>
  </TitlesOfParts>
  <Company>Tieslietu ministrija</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6. novembra noteikumos Nr. 751 "Maksātnespējas administrācijas nolikums"" sākotnējās ietekmes novērtējuma ziņojums (anotācija)</dc:title>
  <dc:subject>Anotācija</dc:subject>
  <dc:creator>Alla Ličkovska</dc:creator>
  <cp:keywords/>
  <dc:description>67099126, alla.lickovska@mna.gov.lv</dc:description>
  <cp:lastModifiedBy>Lelde Stepanova</cp:lastModifiedBy>
  <cp:revision>4</cp:revision>
  <cp:lastPrinted>2017-08-04T10:09:00Z</cp:lastPrinted>
  <dcterms:created xsi:type="dcterms:W3CDTF">2017-11-06T14:27:00Z</dcterms:created>
  <dcterms:modified xsi:type="dcterms:W3CDTF">2017-11-06T15:04:00Z</dcterms:modified>
</cp:coreProperties>
</file>