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871" w:rsidRPr="00A405A8" w:rsidRDefault="006E5871" w:rsidP="006E5871">
      <w:pPr>
        <w:pStyle w:val="Galvene"/>
        <w:rPr>
          <w:rFonts w:eastAsia="Times New Roman"/>
          <w:szCs w:val="24"/>
        </w:rPr>
      </w:pPr>
      <w:r w:rsidRPr="00A405A8">
        <w:rPr>
          <w:rFonts w:eastAsia="Times New Roman"/>
          <w:szCs w:val="24"/>
        </w:rPr>
        <w:t xml:space="preserve">Uz </w:t>
      </w:r>
      <w:r>
        <w:rPr>
          <w:rFonts w:eastAsia="Times New Roman"/>
          <w:szCs w:val="24"/>
        </w:rPr>
        <w:t>27</w:t>
      </w:r>
      <w:r w:rsidRPr="00A405A8">
        <w:rPr>
          <w:rFonts w:eastAsia="Times New Roman"/>
          <w:szCs w:val="24"/>
        </w:rPr>
        <w:t>.</w:t>
      </w:r>
      <w:r>
        <w:rPr>
          <w:rFonts w:eastAsia="Times New Roman"/>
          <w:szCs w:val="24"/>
        </w:rPr>
        <w:t>10</w:t>
      </w:r>
      <w:r w:rsidRPr="00D4719A">
        <w:rPr>
          <w:rFonts w:eastAsia="Times New Roman"/>
          <w:szCs w:val="24"/>
        </w:rPr>
        <w:t>.2017</w:t>
      </w:r>
      <w:r w:rsidRPr="00A405A8">
        <w:rPr>
          <w:rFonts w:eastAsia="Times New Roman"/>
          <w:szCs w:val="24"/>
        </w:rPr>
        <w:t>. Nr.</w:t>
      </w:r>
      <w:r>
        <w:rPr>
          <w:rFonts w:eastAsia="Times New Roman"/>
          <w:szCs w:val="24"/>
        </w:rPr>
        <w:t>2017-UZD-2398</w:t>
      </w:r>
    </w:p>
    <w:p w:rsidR="002E1474" w:rsidRPr="0087450D" w:rsidRDefault="002E1474" w:rsidP="00726E06"/>
    <w:p w:rsidR="00830970" w:rsidRDefault="00830970" w:rsidP="007B3740"/>
    <w:p w:rsidR="00580AF4" w:rsidRDefault="00580AF4" w:rsidP="00580AF4">
      <w:pPr>
        <w:autoSpaceDE w:val="0"/>
        <w:autoSpaceDN w:val="0"/>
        <w:adjustRightInd w:val="0"/>
        <w:ind w:right="13"/>
        <w:jc w:val="right"/>
        <w:rPr>
          <w:b/>
          <w:bCs/>
          <w:color w:val="000000"/>
        </w:rPr>
      </w:pPr>
      <w:r w:rsidRPr="00654B20">
        <w:rPr>
          <w:b/>
          <w:bCs/>
          <w:color w:val="000000"/>
        </w:rPr>
        <w:t>Valsts kancelejai</w:t>
      </w:r>
    </w:p>
    <w:p w:rsidR="006E5871" w:rsidRPr="00654B20" w:rsidRDefault="006E5871" w:rsidP="00580AF4">
      <w:pPr>
        <w:autoSpaceDE w:val="0"/>
        <w:autoSpaceDN w:val="0"/>
        <w:adjustRightInd w:val="0"/>
        <w:ind w:right="13"/>
        <w:jc w:val="right"/>
        <w:rPr>
          <w:b/>
          <w:bCs/>
          <w:color w:val="000000"/>
        </w:rPr>
      </w:pPr>
    </w:p>
    <w:p w:rsidR="00075C0A" w:rsidRDefault="006E5871" w:rsidP="006E5871">
      <w:pPr>
        <w:jc w:val="left"/>
        <w:rPr>
          <w:rFonts w:eastAsia="Times New Roman"/>
          <w:i/>
          <w:szCs w:val="24"/>
        </w:rPr>
      </w:pPr>
      <w:r w:rsidRPr="00206A3C">
        <w:rPr>
          <w:rFonts w:eastAsia="Times New Roman"/>
          <w:i/>
          <w:szCs w:val="24"/>
        </w:rPr>
        <w:t xml:space="preserve">Par </w:t>
      </w:r>
      <w:r w:rsidR="003A76C2">
        <w:rPr>
          <w:rFonts w:eastAsia="Times New Roman"/>
          <w:i/>
          <w:szCs w:val="24"/>
        </w:rPr>
        <w:t>uzdevuma</w:t>
      </w:r>
      <w:r>
        <w:rPr>
          <w:rFonts w:eastAsia="Times New Roman"/>
          <w:i/>
          <w:szCs w:val="24"/>
        </w:rPr>
        <w:t xml:space="preserve"> Nr.</w:t>
      </w:r>
      <w:r w:rsidRPr="00153C27">
        <w:rPr>
          <w:rFonts w:eastAsia="Times New Roman"/>
          <w:szCs w:val="24"/>
        </w:rPr>
        <w:t xml:space="preserve"> </w:t>
      </w:r>
      <w:r w:rsidRPr="00153C27">
        <w:rPr>
          <w:rFonts w:eastAsia="Times New Roman"/>
          <w:i/>
          <w:szCs w:val="24"/>
        </w:rPr>
        <w:t>2017-UZD-2398</w:t>
      </w:r>
      <w:r w:rsidR="00075C0A">
        <w:rPr>
          <w:rFonts w:eastAsia="Times New Roman"/>
          <w:i/>
          <w:szCs w:val="24"/>
        </w:rPr>
        <w:t xml:space="preserve"> </w:t>
      </w:r>
    </w:p>
    <w:p w:rsidR="006E5871" w:rsidRPr="00153C27" w:rsidRDefault="00075C0A" w:rsidP="006E5871">
      <w:pPr>
        <w:jc w:val="left"/>
        <w:rPr>
          <w:rFonts w:eastAsia="Times New Roman"/>
          <w:i/>
          <w:szCs w:val="24"/>
        </w:rPr>
      </w:pPr>
      <w:r>
        <w:rPr>
          <w:rFonts w:eastAsia="Times New Roman"/>
          <w:i/>
          <w:szCs w:val="24"/>
        </w:rPr>
        <w:t>termiņa pagarināšanu</w:t>
      </w:r>
    </w:p>
    <w:p w:rsidR="00580AF4" w:rsidRPr="00E8789E" w:rsidRDefault="00580AF4" w:rsidP="00580AF4">
      <w:pPr>
        <w:ind w:right="282"/>
        <w:rPr>
          <w:i/>
        </w:rPr>
      </w:pPr>
    </w:p>
    <w:p w:rsidR="00580AF4" w:rsidRPr="006E5871" w:rsidRDefault="00580AF4" w:rsidP="006E5871">
      <w:pPr>
        <w:ind w:firstLine="720"/>
        <w:rPr>
          <w:color w:val="000000"/>
          <w:szCs w:val="24"/>
        </w:rPr>
      </w:pPr>
      <w:r w:rsidRPr="006E5871">
        <w:rPr>
          <w:szCs w:val="24"/>
        </w:rPr>
        <w:t xml:space="preserve">Pamatojoties uz Ministru kabineta 2009. gada 7. aprīļa noteikumu Nr. 300 "Ministru kabineta kārtības rullis" </w:t>
      </w:r>
      <w:r w:rsidR="008E4819" w:rsidRPr="006E5871">
        <w:rPr>
          <w:szCs w:val="24"/>
        </w:rPr>
        <w:t xml:space="preserve">73.1. apakšpunktu un </w:t>
      </w:r>
      <w:r w:rsidR="00D63B49" w:rsidRPr="006E5871">
        <w:rPr>
          <w:szCs w:val="24"/>
        </w:rPr>
        <w:t>244. </w:t>
      </w:r>
      <w:r w:rsidRPr="006E5871">
        <w:rPr>
          <w:szCs w:val="24"/>
        </w:rPr>
        <w:t xml:space="preserve">punktu, iesniedzu izskatīšanai Ministru kabineta sēdē Ministru kabineta </w:t>
      </w:r>
      <w:r w:rsidR="00B650F3" w:rsidRPr="006E5871">
        <w:rPr>
          <w:szCs w:val="24"/>
        </w:rPr>
        <w:t xml:space="preserve">sēdes </w:t>
      </w:r>
      <w:r w:rsidRPr="006E5871">
        <w:rPr>
          <w:szCs w:val="24"/>
        </w:rPr>
        <w:t xml:space="preserve">protokollēmuma projektu </w:t>
      </w:r>
      <w:r w:rsidR="006E5871" w:rsidRPr="006E5871">
        <w:rPr>
          <w:color w:val="000000"/>
          <w:spacing w:val="-2"/>
          <w:szCs w:val="24"/>
        </w:rPr>
        <w:t>“</w:t>
      </w:r>
      <w:r w:rsidR="006E5871" w:rsidRPr="006E5871">
        <w:rPr>
          <w:color w:val="000000"/>
          <w:szCs w:val="24"/>
        </w:rPr>
        <w:t>“Par Ministru kabineta 2017. gada 28. augusta sēdes protoko</w:t>
      </w:r>
      <w:bookmarkStart w:id="0" w:name="_GoBack"/>
      <w:bookmarkEnd w:id="0"/>
      <w:r w:rsidR="006E5871" w:rsidRPr="006E5871">
        <w:rPr>
          <w:color w:val="000000"/>
          <w:szCs w:val="24"/>
        </w:rPr>
        <w:t xml:space="preserve">llēmuma </w:t>
      </w:r>
      <w:proofErr w:type="gramStart"/>
      <w:r w:rsidR="006E5871" w:rsidRPr="006E5871">
        <w:rPr>
          <w:color w:val="000000"/>
          <w:szCs w:val="24"/>
        </w:rPr>
        <w:t>(</w:t>
      </w:r>
      <w:proofErr w:type="gramEnd"/>
      <w:r w:rsidR="006E5871" w:rsidRPr="006E5871">
        <w:rPr>
          <w:color w:val="000000"/>
          <w:szCs w:val="24"/>
        </w:rPr>
        <w:t>prot. Nr.41 1.§) “Informatīvais ziņojums “Par valsts budžeta izdevumu pārskatīšanas 2018., 2019. un 2020. gadam rezultātiem un priekšlikumi par šo rezultātu izmantošanu likumprojekta “Par vidēja termiņa budžeta ietvaru 2018., 2019. un 2020.gadam” un likumprojekta “Par valsts budžetu 2018.gadam” izstrādes procesā” 22.punktā dotā uzdevuma izpildi”</w:t>
      </w:r>
      <w:r w:rsidR="00A41938" w:rsidRPr="006445EC">
        <w:rPr>
          <w:noProof/>
        </w:rPr>
        <w:t xml:space="preserve"> </w:t>
      </w:r>
      <w:r w:rsidRPr="006445EC">
        <w:rPr>
          <w:noProof/>
        </w:rPr>
        <w:t>(turpmāk - </w:t>
      </w:r>
      <w:r w:rsidRPr="006445EC">
        <w:t>projekts).</w:t>
      </w:r>
    </w:p>
    <w:p w:rsidR="006918D6" w:rsidRPr="006445EC" w:rsidRDefault="006918D6" w:rsidP="00580AF4">
      <w:pPr>
        <w:ind w:firstLine="720"/>
      </w:pPr>
    </w:p>
    <w:tbl>
      <w:tblPr>
        <w:tblW w:w="497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2"/>
        <w:gridCol w:w="6323"/>
      </w:tblGrid>
      <w:tr w:rsidR="006918D6" w:rsidRPr="00E8789E" w:rsidTr="006918D6">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Iesniegšanas pamatojums</w:t>
            </w:r>
          </w:p>
        </w:tc>
        <w:tc>
          <w:tcPr>
            <w:tcW w:w="3503" w:type="pct"/>
            <w:tcBorders>
              <w:top w:val="outset" w:sz="6" w:space="0" w:color="auto"/>
              <w:left w:val="outset" w:sz="6" w:space="0" w:color="auto"/>
              <w:bottom w:val="outset" w:sz="6" w:space="0" w:color="auto"/>
              <w:right w:val="outset" w:sz="6" w:space="0" w:color="auto"/>
            </w:tcBorders>
          </w:tcPr>
          <w:p w:rsidR="006918D6" w:rsidRPr="00B23D20" w:rsidRDefault="00D63B49" w:rsidP="00E049A3">
            <w:pPr>
              <w:ind w:firstLine="15"/>
              <w:rPr>
                <w:bCs/>
                <w:lang w:bidi="lo-LA"/>
              </w:rPr>
            </w:pPr>
            <w:r w:rsidRPr="00A41938">
              <w:rPr>
                <w:szCs w:val="24"/>
              </w:rPr>
              <w:t xml:space="preserve">Ministru kabineta </w:t>
            </w:r>
            <w:r w:rsidRPr="006445EC">
              <w:rPr>
                <w:szCs w:val="24"/>
              </w:rPr>
              <w:t xml:space="preserve">2009. gada 7. aprīļa noteikumu Nr. 300 "Ministru kabineta kārtības rullis" </w:t>
            </w:r>
            <w:r>
              <w:rPr>
                <w:szCs w:val="24"/>
              </w:rPr>
              <w:t>244. </w:t>
            </w:r>
            <w:r w:rsidRPr="006445EC">
              <w:rPr>
                <w:szCs w:val="24"/>
              </w:rPr>
              <w:t>punkt</w:t>
            </w:r>
            <w:r>
              <w:rPr>
                <w:szCs w:val="24"/>
              </w:rPr>
              <w:t>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Valsts sekretāru sanāksmes datums un numurs</w:t>
            </w:r>
          </w:p>
        </w:tc>
        <w:tc>
          <w:tcPr>
            <w:tcW w:w="3503"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pPr>
              <w:rPr>
                <w:b/>
                <w:u w:val="single"/>
              </w:rPr>
            </w:pPr>
            <w:r>
              <w:rPr>
                <w:iCs/>
              </w:rPr>
              <w:t>Nav attiecināms.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Informācija par saskaņojumiem</w:t>
            </w:r>
          </w:p>
        </w:tc>
        <w:tc>
          <w:tcPr>
            <w:tcW w:w="3503" w:type="pct"/>
            <w:tcBorders>
              <w:top w:val="outset" w:sz="6" w:space="0" w:color="auto"/>
              <w:left w:val="outset" w:sz="6" w:space="0" w:color="auto"/>
              <w:bottom w:val="outset" w:sz="6" w:space="0" w:color="auto"/>
              <w:right w:val="outset" w:sz="6" w:space="0" w:color="auto"/>
            </w:tcBorders>
            <w:hideMark/>
          </w:tcPr>
          <w:p w:rsidR="006918D6" w:rsidRPr="006E5871" w:rsidRDefault="006918D6" w:rsidP="00A005B1">
            <w:pPr>
              <w:rPr>
                <w:noProof/>
              </w:rPr>
            </w:pPr>
            <w:r>
              <w:t xml:space="preserve">Projekts atbilstoši </w:t>
            </w:r>
            <w:r w:rsidRPr="00E8789E">
              <w:t>Ministru kabineta 2009. gada 7. aprīļa noteikumu Nr. 300 "Ministru kabineta kārtības rullis"</w:t>
            </w:r>
            <w:r>
              <w:t xml:space="preserve"> 111. punktam nebija jāskaņo ne ar vienu, jo </w:t>
            </w:r>
            <w:r w:rsidRPr="00B23D20">
              <w:t xml:space="preserve">Ministru kabineta </w:t>
            </w:r>
            <w:r w:rsidR="006E5871">
              <w:rPr>
                <w:noProof/>
              </w:rPr>
              <w:t>2017</w:t>
            </w:r>
            <w:r w:rsidRPr="00B23D20">
              <w:rPr>
                <w:noProof/>
              </w:rPr>
              <w:t xml:space="preserve">. gada </w:t>
            </w:r>
            <w:r w:rsidR="006E5871">
              <w:rPr>
                <w:noProof/>
              </w:rPr>
              <w:t>28</w:t>
            </w:r>
            <w:r w:rsidRPr="00B23D20">
              <w:rPr>
                <w:noProof/>
              </w:rPr>
              <w:t xml:space="preserve">. augusta sēdes protokollēmumā </w:t>
            </w:r>
            <w:r w:rsidR="006E5871" w:rsidRPr="006E5871">
              <w:rPr>
                <w:color w:val="000000"/>
                <w:szCs w:val="24"/>
              </w:rPr>
              <w:t>(prot. Nr.41 1.§</w:t>
            </w:r>
            <w:r w:rsidR="006E5871">
              <w:rPr>
                <w:color w:val="000000"/>
                <w:szCs w:val="24"/>
              </w:rPr>
              <w:t xml:space="preserve"> 22.punkts</w:t>
            </w:r>
            <w:r w:rsidR="006E5871" w:rsidRPr="006E5871">
              <w:rPr>
                <w:color w:val="000000"/>
                <w:szCs w:val="24"/>
              </w:rPr>
              <w:t>)</w:t>
            </w:r>
            <w:r w:rsidR="006E5871">
              <w:rPr>
                <w:noProof/>
              </w:rPr>
              <w:t xml:space="preserve"> </w:t>
            </w:r>
            <w:r w:rsidR="006E5871">
              <w:t xml:space="preserve">dotais uzdevums </w:t>
            </w:r>
            <w:r>
              <w:t>skar tikai Tieslietu ministriju.</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Informācija par saskaņojumu ar Eiropas Savienības institūcijām</w:t>
            </w:r>
          </w:p>
        </w:tc>
        <w:tc>
          <w:tcPr>
            <w:tcW w:w="3503" w:type="pct"/>
            <w:tcBorders>
              <w:top w:val="outset" w:sz="6" w:space="0" w:color="auto"/>
              <w:left w:val="outset" w:sz="6" w:space="0" w:color="auto"/>
              <w:bottom w:val="outset" w:sz="6" w:space="0" w:color="auto"/>
              <w:right w:val="outset" w:sz="6" w:space="0" w:color="auto"/>
            </w:tcBorders>
          </w:tcPr>
          <w:p w:rsidR="006918D6" w:rsidRPr="00107F28" w:rsidRDefault="006918D6" w:rsidP="00A005B1">
            <w:r w:rsidRPr="00107F28">
              <w:t>Nav attiecināms.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Politikas joma</w:t>
            </w:r>
          </w:p>
        </w:tc>
        <w:tc>
          <w:tcPr>
            <w:tcW w:w="3503"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pPr>
              <w:rPr>
                <w:i/>
              </w:rPr>
            </w:pPr>
            <w:r>
              <w:t>Tieslietu politika.</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Atbildīgā amatpersona</w:t>
            </w:r>
          </w:p>
        </w:tc>
        <w:tc>
          <w:tcPr>
            <w:tcW w:w="3503" w:type="pct"/>
            <w:tcBorders>
              <w:top w:val="outset" w:sz="6" w:space="0" w:color="auto"/>
              <w:left w:val="outset" w:sz="6" w:space="0" w:color="auto"/>
              <w:bottom w:val="outset" w:sz="6" w:space="0" w:color="auto"/>
              <w:right w:val="outset" w:sz="6" w:space="0" w:color="auto"/>
            </w:tcBorders>
            <w:hideMark/>
          </w:tcPr>
          <w:p w:rsidR="006918D6" w:rsidRPr="00107F28" w:rsidRDefault="006918D6" w:rsidP="00A005B1">
            <w:r w:rsidRPr="00107F28">
              <w:t>Tieslietu ministrijas Tiesu sistēmas politikas departamenta direktore I.</w:t>
            </w:r>
            <w:r>
              <w:t> </w:t>
            </w:r>
            <w:r w:rsidRPr="00107F28">
              <w:t>Ilgaža.</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Uzaicināmās personas</w:t>
            </w:r>
          </w:p>
        </w:tc>
        <w:tc>
          <w:tcPr>
            <w:tcW w:w="3503" w:type="pct"/>
            <w:tcBorders>
              <w:top w:val="outset" w:sz="6" w:space="0" w:color="auto"/>
              <w:left w:val="outset" w:sz="6" w:space="0" w:color="auto"/>
              <w:bottom w:val="outset" w:sz="6" w:space="0" w:color="auto"/>
              <w:right w:val="outset" w:sz="6" w:space="0" w:color="auto"/>
            </w:tcBorders>
            <w:hideMark/>
          </w:tcPr>
          <w:p w:rsidR="006918D6" w:rsidRPr="00107F28" w:rsidRDefault="006918D6" w:rsidP="00A005B1">
            <w:r w:rsidRPr="00107F28">
              <w:t>Nav attiecināms.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Projekta ierobežotas pieejamības statuss</w:t>
            </w:r>
          </w:p>
        </w:tc>
        <w:tc>
          <w:tcPr>
            <w:tcW w:w="3503" w:type="pct"/>
            <w:tcBorders>
              <w:top w:val="outset" w:sz="6" w:space="0" w:color="auto"/>
              <w:left w:val="outset" w:sz="6" w:space="0" w:color="auto"/>
              <w:bottom w:val="outset" w:sz="6" w:space="0" w:color="auto"/>
              <w:right w:val="outset" w:sz="6" w:space="0" w:color="auto"/>
            </w:tcBorders>
          </w:tcPr>
          <w:p w:rsidR="006918D6" w:rsidRPr="00E8789E" w:rsidRDefault="006918D6" w:rsidP="00A005B1">
            <w:pPr>
              <w:rPr>
                <w:i/>
              </w:rPr>
            </w:pPr>
            <w:r>
              <w:t>Nav piešķirts ierobežotas pieejamības statuss</w:t>
            </w:r>
            <w:r w:rsidRPr="00107F28">
              <w:t>.</w:t>
            </w:r>
          </w:p>
        </w:tc>
      </w:tr>
      <w:tr w:rsidR="00D63B49" w:rsidRPr="00E8789E" w:rsidTr="00A005B1">
        <w:trPr>
          <w:trHeight w:val="375"/>
        </w:trPr>
        <w:tc>
          <w:tcPr>
            <w:tcW w:w="1497" w:type="pct"/>
            <w:tcBorders>
              <w:top w:val="outset" w:sz="6" w:space="0" w:color="auto"/>
              <w:left w:val="outset" w:sz="6" w:space="0" w:color="auto"/>
              <w:bottom w:val="outset" w:sz="6" w:space="0" w:color="auto"/>
              <w:right w:val="outset" w:sz="6" w:space="0" w:color="auto"/>
            </w:tcBorders>
            <w:hideMark/>
          </w:tcPr>
          <w:p w:rsidR="00D63B49" w:rsidRPr="00E8789E" w:rsidRDefault="00D63B49" w:rsidP="00D63B49">
            <w:r w:rsidRPr="00E8789E">
              <w:t>Cita informācija</w:t>
            </w:r>
          </w:p>
        </w:tc>
        <w:tc>
          <w:tcPr>
            <w:tcW w:w="3503" w:type="pct"/>
            <w:tcBorders>
              <w:top w:val="outset" w:sz="6" w:space="0" w:color="auto"/>
              <w:left w:val="outset" w:sz="6" w:space="0" w:color="auto"/>
              <w:bottom w:val="outset" w:sz="6" w:space="0" w:color="auto"/>
              <w:right w:val="outset" w:sz="6" w:space="0" w:color="auto"/>
            </w:tcBorders>
          </w:tcPr>
          <w:p w:rsidR="00325A4E" w:rsidRPr="001C0EE1" w:rsidRDefault="00325A4E" w:rsidP="00033255">
            <w:pPr>
              <w:rPr>
                <w:color w:val="000000"/>
                <w:szCs w:val="24"/>
              </w:rPr>
            </w:pPr>
            <w:r>
              <w:rPr>
                <w:color w:val="000000"/>
                <w:szCs w:val="24"/>
              </w:rPr>
              <w:t xml:space="preserve">Ministru kabineta 2017. gada 28. augusta ārkārtas sēdes protokola (turpmāk – Protokols) 22. punktā </w:t>
            </w:r>
            <w:r w:rsidRPr="001C0EE1">
              <w:t xml:space="preserve">Tieslietu ministrijai dots </w:t>
            </w:r>
            <w:r w:rsidRPr="001C0EE1">
              <w:lastRenderedPageBreak/>
              <w:t xml:space="preserve">uzdevums </w:t>
            </w:r>
            <w:r w:rsidRPr="001C0EE1">
              <w:rPr>
                <w:color w:val="000000"/>
                <w:szCs w:val="24"/>
              </w:rPr>
              <w:t>izvērtēt Uzturlīdzekļu garantiju fonda izdevumu straujo pieaugumu, sniedzot priekšlikumus, lai ierobežotu turpmāku izmaksu pieauguma risku no Uzturlīdzekļu garantiju fonda. Atbilstoši Ministru kabineta 2009.</w:t>
            </w:r>
            <w:r>
              <w:rPr>
                <w:color w:val="000000"/>
                <w:szCs w:val="24"/>
              </w:rPr>
              <w:t> </w:t>
            </w:r>
            <w:r w:rsidRPr="001C0EE1">
              <w:rPr>
                <w:color w:val="000000"/>
                <w:szCs w:val="24"/>
              </w:rPr>
              <w:t>gada 7.</w:t>
            </w:r>
            <w:r>
              <w:rPr>
                <w:color w:val="000000"/>
                <w:szCs w:val="24"/>
              </w:rPr>
              <w:t> </w:t>
            </w:r>
            <w:r w:rsidRPr="001C0EE1">
              <w:rPr>
                <w:color w:val="000000"/>
                <w:szCs w:val="24"/>
              </w:rPr>
              <w:t>aprīļa noteikumu Nr.300 “Ministru kabineta kārtības rullis” 243. punktam Ministru kabineta sēdes protokollēmumā doto uzdevumu izpildes termiņš ir divi mēneši, ja nav noteikts cits termiņš. Līdz ar to secināms, ka šajā gadījumā izpildes termiņš ir nosakāms atbilstoši minētajai tiesību normai un tas ir divi mēneši, proti - 2017.</w:t>
            </w:r>
            <w:r>
              <w:rPr>
                <w:color w:val="000000"/>
                <w:szCs w:val="24"/>
              </w:rPr>
              <w:t> </w:t>
            </w:r>
            <w:r w:rsidRPr="001C0EE1">
              <w:rPr>
                <w:color w:val="000000"/>
                <w:szCs w:val="24"/>
              </w:rPr>
              <w:t>gada 30.</w:t>
            </w:r>
            <w:r>
              <w:rPr>
                <w:color w:val="000000"/>
                <w:szCs w:val="24"/>
              </w:rPr>
              <w:t> </w:t>
            </w:r>
            <w:r w:rsidRPr="001C0EE1">
              <w:rPr>
                <w:color w:val="000000"/>
                <w:szCs w:val="24"/>
              </w:rPr>
              <w:t xml:space="preserve">oktobris. </w:t>
            </w:r>
          </w:p>
          <w:p w:rsidR="00325A4E" w:rsidRDefault="00325A4E" w:rsidP="00325A4E">
            <w:pPr>
              <w:widowControl/>
              <w:ind w:firstLine="720"/>
              <w:rPr>
                <w:rFonts w:eastAsia="Times New Roman"/>
                <w:szCs w:val="24"/>
                <w:lang w:eastAsia="lv-LV"/>
              </w:rPr>
            </w:pPr>
            <w:r w:rsidRPr="001C0EE1">
              <w:rPr>
                <w:color w:val="000000"/>
                <w:szCs w:val="24"/>
              </w:rPr>
              <w:t xml:space="preserve">Vienlaikus Protokola 28. punktā </w:t>
            </w:r>
            <w:r w:rsidRPr="001C0EE1">
              <w:rPr>
                <w:rFonts w:eastAsia="Times New Roman"/>
                <w:szCs w:val="24"/>
                <w:lang w:eastAsia="lv-LV"/>
              </w:rPr>
              <w:t>Tieslietu ministrijai uzdots līdz 2018. gada 2. jūlijam izvērtēt iespēju samērot ar uzturlīdzekļu izmaksu saistīto tiesisko regulējumu ar plānoto nodokļu reformu, nepieciešamības gadījumā virzot priekšlikumus par grozījumiem Ministru kabineta 2013. gada 15. janvāra noteikumos Nr.37 "Noteikumi par minimālo uzturlīdzekļu apmēru bērnam", izvērtējot procentuālā apmēra no minimālās mēnešalgas atbilstību valsts attīstības iespējām, kā arī iespējas rast nepieciešamo finansējumu uzturlīdzekļu izmaksai no Uzturlīdzekļu garantiju fonda, piemēram, meklējot veidus, kā palielināt regresa kārtībā atgūto līdzekļu apjomu no parādniekiem un samazināt nepamatotu pieprasījumu risku.</w:t>
            </w:r>
          </w:p>
          <w:p w:rsidR="00231A06" w:rsidRDefault="00325A4E" w:rsidP="00231A06">
            <w:pPr>
              <w:widowControl/>
              <w:ind w:firstLine="720"/>
              <w:rPr>
                <w:rFonts w:eastAsia="Times New Roman"/>
                <w:szCs w:val="24"/>
                <w:lang w:eastAsia="lv-LV"/>
              </w:rPr>
            </w:pPr>
            <w:r>
              <w:rPr>
                <w:rFonts w:eastAsia="Times New Roman"/>
                <w:szCs w:val="24"/>
                <w:lang w:eastAsia="lv-LV"/>
              </w:rPr>
              <w:t xml:space="preserve">Ņemot vērā minēto, secināms, ka gan Protokola 22. punktā, gan 28.punktā dotie uzdevumi ir savstarpēji saistīti, jo izmaksu pieauguma risku izvērtēšana cieši </w:t>
            </w:r>
            <w:proofErr w:type="gramStart"/>
            <w:r>
              <w:rPr>
                <w:rFonts w:eastAsia="Times New Roman"/>
                <w:szCs w:val="24"/>
                <w:lang w:eastAsia="lv-LV"/>
              </w:rPr>
              <w:t>ir saistīta gan ar nepamatotu pieprasījumu riska samazināšanu, gan regresa kārtībā atgūto līdzekļu palielināšanu</w:t>
            </w:r>
            <w:proofErr w:type="gramEnd"/>
            <w:r>
              <w:rPr>
                <w:rFonts w:eastAsia="Times New Roman"/>
                <w:szCs w:val="24"/>
                <w:lang w:eastAsia="lv-LV"/>
              </w:rPr>
              <w:t xml:space="preserve">. </w:t>
            </w:r>
          </w:p>
          <w:p w:rsidR="00D63B49" w:rsidRPr="00231A06" w:rsidRDefault="00325A4E" w:rsidP="00231A06">
            <w:pPr>
              <w:widowControl/>
              <w:ind w:firstLine="720"/>
              <w:rPr>
                <w:rFonts w:eastAsia="Times New Roman"/>
                <w:szCs w:val="24"/>
                <w:lang w:eastAsia="lv-LV"/>
              </w:rPr>
            </w:pPr>
            <w:r>
              <w:rPr>
                <w:rFonts w:eastAsia="Times New Roman"/>
                <w:szCs w:val="24"/>
                <w:lang w:eastAsia="lv-LV"/>
              </w:rPr>
              <w:t xml:space="preserve">Pamatojoties uz iepriekš minēto, lūdzam pagarināt termiņu Protokola 22. punktā noteiktā uzdevuma izpildei, saskaņojot to ar 28.punktā ietvertā uzdevuma izpildes termiņu un nosakot to līdz </w:t>
            </w:r>
            <w:r w:rsidRPr="00227418">
              <w:rPr>
                <w:rFonts w:eastAsia="Times New Roman"/>
                <w:szCs w:val="24"/>
                <w:lang w:eastAsia="lv-LV"/>
              </w:rPr>
              <w:t>2018.</w:t>
            </w:r>
            <w:r>
              <w:rPr>
                <w:rFonts w:eastAsia="Times New Roman"/>
                <w:szCs w:val="24"/>
                <w:lang w:eastAsia="lv-LV"/>
              </w:rPr>
              <w:t> </w:t>
            </w:r>
            <w:r w:rsidRPr="00227418">
              <w:rPr>
                <w:rFonts w:eastAsia="Times New Roman"/>
                <w:szCs w:val="24"/>
                <w:lang w:eastAsia="lv-LV"/>
              </w:rPr>
              <w:t>gada 2.</w:t>
            </w:r>
            <w:r w:rsidR="00231A06">
              <w:rPr>
                <w:rFonts w:eastAsia="Times New Roman"/>
                <w:szCs w:val="24"/>
                <w:lang w:eastAsia="lv-LV"/>
              </w:rPr>
              <w:t> </w:t>
            </w:r>
            <w:r w:rsidR="00033255">
              <w:rPr>
                <w:rFonts w:eastAsia="Times New Roman"/>
                <w:szCs w:val="24"/>
                <w:lang w:eastAsia="lv-LV"/>
              </w:rPr>
              <w:t>jūlijam.</w:t>
            </w:r>
          </w:p>
        </w:tc>
      </w:tr>
    </w:tbl>
    <w:p w:rsidR="006918D6" w:rsidRPr="00E8789E" w:rsidRDefault="006918D6" w:rsidP="006918D6"/>
    <w:p w:rsidR="006918D6" w:rsidRDefault="006918D6" w:rsidP="006918D6">
      <w:r>
        <w:t>Pie</w:t>
      </w:r>
      <w:r w:rsidR="00CC030D">
        <w:t xml:space="preserve">likumā: </w:t>
      </w:r>
      <w:r w:rsidR="00656617">
        <w:t>P</w:t>
      </w:r>
      <w:r w:rsidR="00CC030D">
        <w:t>rojekts</w:t>
      </w:r>
      <w:r>
        <w:rPr>
          <w:noProof/>
        </w:rPr>
        <w:t xml:space="preserve"> </w:t>
      </w:r>
      <w:r w:rsidRPr="000C5C56">
        <w:t>uz 1 lp. (datne: TM</w:t>
      </w:r>
      <w:r>
        <w:t>prot</w:t>
      </w:r>
      <w:r w:rsidRPr="000C5C56">
        <w:t>_</w:t>
      </w:r>
      <w:r w:rsidR="00231A06">
        <w:t>0311</w:t>
      </w:r>
      <w:r>
        <w:t>17</w:t>
      </w:r>
      <w:r w:rsidRPr="000C5C56">
        <w:t>_</w:t>
      </w:r>
      <w:r w:rsidR="00020DCE">
        <w:t>uzturlidzekli</w:t>
      </w:r>
      <w:r>
        <w:t>).</w:t>
      </w:r>
    </w:p>
    <w:p w:rsidR="006918D6" w:rsidRDefault="006918D6" w:rsidP="006918D6">
      <w:pPr>
        <w:tabs>
          <w:tab w:val="right" w:pos="9074"/>
        </w:tabs>
      </w:pPr>
    </w:p>
    <w:p w:rsidR="006918D6" w:rsidRDefault="006918D6" w:rsidP="006918D6">
      <w:pPr>
        <w:tabs>
          <w:tab w:val="right" w:pos="9074"/>
        </w:tabs>
      </w:pPr>
    </w:p>
    <w:p w:rsidR="006918D6" w:rsidRPr="00E8789E" w:rsidRDefault="006918D6" w:rsidP="006918D6">
      <w:pPr>
        <w:tabs>
          <w:tab w:val="right" w:pos="9074"/>
        </w:tabs>
      </w:pPr>
      <w:r w:rsidRPr="00E8789E">
        <w:t xml:space="preserve">Tieslietu ministrs </w:t>
      </w:r>
      <w:r w:rsidRPr="00E8789E">
        <w:tab/>
      </w:r>
      <w:r>
        <w:t>Dzintars Rasnačs</w:t>
      </w:r>
    </w:p>
    <w:p w:rsidR="006918D6" w:rsidRDefault="006918D6" w:rsidP="006918D6"/>
    <w:p w:rsidR="006918D6" w:rsidRDefault="006918D6" w:rsidP="006918D6"/>
    <w:p w:rsidR="00656617" w:rsidRPr="00DB54BF" w:rsidRDefault="00656617" w:rsidP="006918D6"/>
    <w:p w:rsidR="006918D6" w:rsidRPr="00231A06" w:rsidRDefault="00231A06" w:rsidP="006918D6">
      <w:pPr>
        <w:rPr>
          <w:sz w:val="20"/>
          <w:szCs w:val="20"/>
        </w:rPr>
      </w:pPr>
      <w:r w:rsidRPr="00231A06">
        <w:rPr>
          <w:sz w:val="20"/>
          <w:szCs w:val="20"/>
        </w:rPr>
        <w:t>Šube 67036838</w:t>
      </w:r>
    </w:p>
    <w:p w:rsidR="006918D6" w:rsidRPr="00231A06" w:rsidRDefault="00231A06" w:rsidP="00E049A3">
      <w:pPr>
        <w:jc w:val="left"/>
        <w:rPr>
          <w:noProof/>
          <w:sz w:val="20"/>
          <w:szCs w:val="20"/>
        </w:rPr>
      </w:pPr>
      <w:r>
        <w:rPr>
          <w:sz w:val="20"/>
          <w:szCs w:val="20"/>
        </w:rPr>
        <w:t>Sindija</w:t>
      </w:r>
      <w:r w:rsidR="006918D6" w:rsidRPr="00231A06">
        <w:rPr>
          <w:sz w:val="20"/>
          <w:szCs w:val="20"/>
        </w:rPr>
        <w:t>.</w:t>
      </w:r>
      <w:r>
        <w:rPr>
          <w:sz w:val="20"/>
          <w:szCs w:val="20"/>
        </w:rPr>
        <w:t>Sube</w:t>
      </w:r>
      <w:r w:rsidR="006918D6" w:rsidRPr="00231A06">
        <w:rPr>
          <w:sz w:val="20"/>
          <w:szCs w:val="20"/>
        </w:rPr>
        <w:t>@tm.gov.lv</w:t>
      </w:r>
    </w:p>
    <w:sectPr w:rsidR="006918D6" w:rsidRPr="00231A06" w:rsidSect="00E049A3">
      <w:headerReference w:type="default" r:id="rId8"/>
      <w:footerReference w:type="default" r:id="rId9"/>
      <w:headerReference w:type="first" r:id="rId10"/>
      <w:footerReference w:type="first" r:id="rId11"/>
      <w:type w:val="continuous"/>
      <w:pgSz w:w="11920" w:h="16840"/>
      <w:pgMar w:top="1134" w:right="1134" w:bottom="1134" w:left="1701" w:header="709" w:footer="709"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499" w:rsidRDefault="00816499">
      <w:r>
        <w:separator/>
      </w:r>
    </w:p>
  </w:endnote>
  <w:endnote w:type="continuationSeparator" w:id="0">
    <w:p w:rsidR="00816499" w:rsidRDefault="0081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8D6" w:rsidRDefault="006918D6">
    <w:pPr>
      <w:pStyle w:val="Kjene"/>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075C0A">
      <w:rPr>
        <w:noProof/>
        <w:sz w:val="20"/>
        <w:szCs w:val="20"/>
      </w:rPr>
      <w:t>TMpav_031117_MKprot</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03" w:rsidRDefault="00975703">
    <w:pPr>
      <w:pStyle w:val="Kjene"/>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075C0A">
      <w:rPr>
        <w:noProof/>
        <w:sz w:val="20"/>
        <w:szCs w:val="20"/>
      </w:rPr>
      <w:t>TMpav_031117_MKprot</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499" w:rsidRDefault="00816499">
      <w:r>
        <w:separator/>
      </w:r>
    </w:p>
  </w:footnote>
  <w:footnote w:type="continuationSeparator" w:id="0">
    <w:p w:rsidR="00816499" w:rsidRDefault="0081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pPr>
          <w:pStyle w:val="Galvene"/>
          <w:jc w:val="center"/>
        </w:pPr>
        <w:r>
          <w:fldChar w:fldCharType="begin"/>
        </w:r>
        <w:r>
          <w:instrText>PAGE   \* MERGEFORMAT</w:instrText>
        </w:r>
        <w:r>
          <w:fldChar w:fldCharType="separate"/>
        </w:r>
        <w:r w:rsidR="00075C0A">
          <w:rPr>
            <w:noProof/>
          </w:rPr>
          <w:t>2</w:t>
        </w:r>
        <w:r>
          <w:fldChar w:fldCharType="end"/>
        </w:r>
      </w:p>
    </w:sdtContent>
  </w:sdt>
  <w:p w:rsidR="006C6018" w:rsidRDefault="006C601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RDefault="00A34ACB" w:rsidP="00A34ACB">
    <w:pPr>
      <w:pStyle w:val="Galvene"/>
    </w:pPr>
  </w:p>
  <w:p w:rsidR="00A34ACB" w:rsidRDefault="00E40434" w:rsidP="00A34ACB">
    <w:pPr>
      <w:pStyle w:val="Galvene"/>
    </w:pPr>
    <w:r>
      <w:rPr>
        <w:noProof/>
        <w:lang w:eastAsia="lv-LV"/>
      </w:rPr>
      <w:drawing>
        <wp:anchor distT="0" distB="0" distL="114300" distR="114300" simplePos="0" relativeHeight="251660800" behindDoc="1" locked="0" layoutInCell="1" allowOverlap="1">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Pr="00815277" w:rsidRDefault="00E40434" w:rsidP="00A34ACB">
    <w:pPr>
      <w:pStyle w:val="Galvene"/>
    </w:pPr>
    <w:r>
      <w:rPr>
        <w:noProof/>
        <w:lang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filled="f" stroked="f">
              <v:textbox inset="0,0,0,0">
                <w:txbxContent>
                  <w:p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A2FC4"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AB4E8A" w:rsidRPr="00C836FF" w:rsidRDefault="00AB4E8A" w:rsidP="00AB4E8A">
    <w:pPr>
      <w:jc w:val="center"/>
      <w:rPr>
        <w:szCs w:val="24"/>
      </w:rPr>
    </w:pPr>
    <w:r w:rsidRPr="00C836FF">
      <w:rPr>
        <w:szCs w:val="24"/>
      </w:rPr>
      <w:t>Rīgā</w:t>
    </w:r>
  </w:p>
  <w:p w:rsidR="00AB4E8A" w:rsidRPr="00C836FF" w:rsidRDefault="00AB4E8A" w:rsidP="00AB4E8A">
    <w:pPr>
      <w:jc w:val="center"/>
      <w:rPr>
        <w:szCs w:val="24"/>
      </w:rPr>
    </w:pPr>
  </w:p>
  <w:p w:rsidR="00AB4E8A" w:rsidRPr="00075C0A" w:rsidRDefault="00075C0A" w:rsidP="00AB4E8A">
    <w:pPr>
      <w:tabs>
        <w:tab w:val="center" w:pos="4320"/>
        <w:tab w:val="right" w:pos="8640"/>
      </w:tabs>
      <w:rPr>
        <w:b/>
        <w:sz w:val="28"/>
        <w:szCs w:val="28"/>
        <w:u w:val="single"/>
      </w:rPr>
    </w:pPr>
    <w:r>
      <w:rPr>
        <w:b/>
        <w:sz w:val="28"/>
        <w:szCs w:val="28"/>
        <w:u w:val="single"/>
      </w:rPr>
      <w:t>07.11.2017.</w:t>
    </w:r>
    <w:proofErr w:type="gramStart"/>
    <w:r>
      <w:rPr>
        <w:b/>
        <w:sz w:val="28"/>
        <w:szCs w:val="28"/>
        <w:u w:val="single"/>
      </w:rPr>
      <w:t xml:space="preserve">       </w:t>
    </w:r>
    <w:proofErr w:type="gramEnd"/>
    <w:r>
      <w:rPr>
        <w:b/>
        <w:sz w:val="28"/>
        <w:szCs w:val="28"/>
        <w:u w:val="single"/>
      </w:rPr>
      <w:t>Nr. 1-9.2/1367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20DCE"/>
    <w:rsid w:val="00030349"/>
    <w:rsid w:val="00033255"/>
    <w:rsid w:val="000509A5"/>
    <w:rsid w:val="00075C0A"/>
    <w:rsid w:val="00091ABD"/>
    <w:rsid w:val="000E7F03"/>
    <w:rsid w:val="001151CB"/>
    <w:rsid w:val="00124173"/>
    <w:rsid w:val="00231A06"/>
    <w:rsid w:val="00275B9E"/>
    <w:rsid w:val="00291EC2"/>
    <w:rsid w:val="002B3077"/>
    <w:rsid w:val="002E1474"/>
    <w:rsid w:val="00325A4E"/>
    <w:rsid w:val="00335032"/>
    <w:rsid w:val="003A76C2"/>
    <w:rsid w:val="00493308"/>
    <w:rsid w:val="00535564"/>
    <w:rsid w:val="00580AF4"/>
    <w:rsid w:val="005E672B"/>
    <w:rsid w:val="006445EC"/>
    <w:rsid w:val="00656617"/>
    <w:rsid w:val="00663C3A"/>
    <w:rsid w:val="006918D6"/>
    <w:rsid w:val="006C1639"/>
    <w:rsid w:val="006C6018"/>
    <w:rsid w:val="006E5871"/>
    <w:rsid w:val="00704DB6"/>
    <w:rsid w:val="00724680"/>
    <w:rsid w:val="00726E06"/>
    <w:rsid w:val="00747CCB"/>
    <w:rsid w:val="007704BD"/>
    <w:rsid w:val="007B3740"/>
    <w:rsid w:val="007B3BA5"/>
    <w:rsid w:val="007B48EC"/>
    <w:rsid w:val="007E0D0E"/>
    <w:rsid w:val="007E4D1F"/>
    <w:rsid w:val="00815277"/>
    <w:rsid w:val="00816499"/>
    <w:rsid w:val="00830970"/>
    <w:rsid w:val="0087450D"/>
    <w:rsid w:val="00876C21"/>
    <w:rsid w:val="00883533"/>
    <w:rsid w:val="008A679D"/>
    <w:rsid w:val="008E3CED"/>
    <w:rsid w:val="008E4819"/>
    <w:rsid w:val="00954D5A"/>
    <w:rsid w:val="0096342D"/>
    <w:rsid w:val="00975703"/>
    <w:rsid w:val="009D6B6A"/>
    <w:rsid w:val="00A34ACB"/>
    <w:rsid w:val="00A41938"/>
    <w:rsid w:val="00AB4E8A"/>
    <w:rsid w:val="00AC270F"/>
    <w:rsid w:val="00AF10A5"/>
    <w:rsid w:val="00B650F3"/>
    <w:rsid w:val="00BB087F"/>
    <w:rsid w:val="00C04896"/>
    <w:rsid w:val="00C255D9"/>
    <w:rsid w:val="00C47F57"/>
    <w:rsid w:val="00C5174F"/>
    <w:rsid w:val="00C836FF"/>
    <w:rsid w:val="00CA3ED2"/>
    <w:rsid w:val="00CC030D"/>
    <w:rsid w:val="00CF0967"/>
    <w:rsid w:val="00D21FA6"/>
    <w:rsid w:val="00D55B4B"/>
    <w:rsid w:val="00D63B49"/>
    <w:rsid w:val="00E049A3"/>
    <w:rsid w:val="00E365CE"/>
    <w:rsid w:val="00E40434"/>
    <w:rsid w:val="00E44743"/>
    <w:rsid w:val="00E66E69"/>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4D20998"/>
  <w15:docId w15:val="{FD8813E0-C11D-4AFF-8E35-AD34000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2360</Words>
  <Characters>1346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 projekta "Par Ministru kabineta 2016. gada 9. augusta sēdes protokollēmuma (prot. Nr. 39 19.§) "Likumprojekts "Noziedzīgi iegūtas mantas konfiskācijas izpildes likums"" 5. un 6. punktā un Ministru kabineta 2016. </vt:lpstr>
      <vt:lpstr/>
    </vt:vector>
  </TitlesOfParts>
  <Manager/>
  <Company>Tieslietu ministrija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2016. gada 9. augusta sēdes protokollēmuma (prot. Nr. 39 19.§) "Likumprojekts "Noziedzīgi iegūtas mantas konfiskācijas izpildes likums"" 5. un 6. punktā un Ministru kabineta 2016. gada 9. augusta sēdes protokollēmuma (prot. Nr. 39 22. §) "Likumprojekts "Grozījumi Civilprocesa likumā"" 5. un 6. punktā doto uzdevumu izpildi" iesniegšanu</dc:title>
  <dc:subject>Pavadvēstule</dc:subject>
  <dc:creator>Evija Timpare</dc:creator>
  <dc:description>evija.timpare@tm.gov.lv, 67036829</dc:description>
  <cp:lastModifiedBy>Līga Kokare-Zviedre</cp:lastModifiedBy>
  <cp:revision>7</cp:revision>
  <cp:lastPrinted>2017-11-07T07:36:00Z</cp:lastPrinted>
  <dcterms:created xsi:type="dcterms:W3CDTF">2017-11-03T08:21:00Z</dcterms:created>
  <dcterms:modified xsi:type="dcterms:W3CDTF">2017-11-07T07:38:00Z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