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E2576" w:rsidRPr="008C093B" w:rsidP="008C093B" w14:paraId="283E0A2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F7654D" w:rsidRPr="008C093B" w:rsidP="008C093B" w14:paraId="6F193FB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финансировании и реализации</w:t>
      </w:r>
    </w:p>
    <w:p w:rsidR="00F7654D" w:rsidRPr="008C093B" w:rsidP="008C093B" w14:paraId="36AECB8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приграничного сотрудничества </w:t>
      </w:r>
    </w:p>
    <w:p w:rsidR="00F7654D" w:rsidRPr="008C093B" w:rsidP="008C093B" w14:paraId="6AC34878" w14:textId="243D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6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Латвия</w:t>
      </w:r>
      <w:r w:rsidRPr="006E2BB0" w:rsidR="005B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B2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  <w:r w:rsidR="00CC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C093B" w:rsidR="004E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</w:t>
      </w:r>
      <w:r w:rsidRPr="008C093B" w:rsidR="004E2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2014-2020</w:t>
      </w:r>
      <w:r w:rsidRPr="004274FE" w:rsidR="0042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7654D" w:rsidRPr="008C093B" w:rsidP="008C093B" w14:paraId="60C00D8A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4D" w:rsidRPr="00A34F0C" w:rsidP="001D23E1" w14:paraId="42D46131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Преамбула</w:t>
      </w:r>
    </w:p>
    <w:p w:rsidR="00F7654D" w:rsidRPr="008C093B" w:rsidP="008C093B" w14:paraId="68A16A84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143" w:rsidRPr="008C093B" w:rsidP="005B2143" w14:paraId="2FBB0CB2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комиссия (далее – Комиссия), действующая от имени Европейского союза (далее – ЕС),</w:t>
      </w:r>
    </w:p>
    <w:p w:rsidR="00700B28" w:rsidRPr="008C093B" w:rsidP="00700B28" w14:paraId="1380425E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действующее от имени Российской Федерации (далее – Российская Федерация)</w:t>
      </w:r>
      <w:r w:rsidRPr="008C093B" w:rsidR="002645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654D" w:rsidRPr="008C093B" w:rsidP="008C093B" w14:paraId="1995594C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7654D" w:rsidRPr="008C093B" w:rsidP="008C093B" w14:paraId="118F72FB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Pr="008C093B" w:rsidR="0051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Латвийской</w:t>
      </w:r>
      <w:r w:rsidRPr="008C093B" w:rsid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</w:t>
      </w:r>
      <w:r w:rsidRPr="00304444" w:rsid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Латвийской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8C093B" w:rsidR="0051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осударство-член ЕС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45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654D" w:rsidRPr="008C093B" w:rsidP="008C093B" w14:paraId="473ACDC4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совместно именуемые Сторон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</w:p>
    <w:p w:rsidR="00F7654D" w:rsidRPr="008C093B" w:rsidP="008C093B" w14:paraId="35F4B617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согласились о нижеследующем:</w:t>
      </w:r>
    </w:p>
    <w:p w:rsidR="00F7654D" w:rsidRPr="008C093B" w:rsidP="008C093B" w14:paraId="07FA5AB0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3763C9" w:rsidP="008C093B" w14:paraId="2A75CC9C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</w:t>
      </w:r>
    </w:p>
    <w:p w:rsidR="00F7654D" w:rsidRPr="008C093B" w:rsidP="008C093B" w14:paraId="043738C5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P="008C093B" w14:paraId="5589849A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F7654D" w:rsidRPr="00184F1E" w:rsidP="008C093B" w14:paraId="17B0FA24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</w:p>
    <w:p w:rsidR="008C093B" w:rsidRPr="008C093B" w:rsidP="008C093B" w14:paraId="7B78E3A8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4D" w:rsidRPr="008C093B" w:rsidP="008C093B" w14:paraId="67C2A727" w14:textId="5670BE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определяет порядок </w:t>
      </w:r>
      <w:r w:rsidRPr="008C093B" w:rsidR="00700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Pr="00A34F0C" w:rsidR="00700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программ</w:t>
      </w:r>
      <w:r w:rsidRPr="008C093B" w:rsidR="008C1AD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пригр</w:t>
      </w:r>
      <w:r w:rsidRPr="008C093B" w:rsidR="0051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аничного </w:t>
      </w:r>
      <w:r w:rsidRPr="008C093B" w:rsidR="00700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</w:t>
      </w:r>
      <w:r w:rsidRPr="00A34F0C" w:rsidR="00700B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214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«Латвия-Россия</w:t>
      </w:r>
      <w:r w:rsidR="00CC0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2014-2020</w:t>
      </w:r>
      <w:r w:rsidR="00B4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описание которой содержится в Совместном программном документе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одобренном </w:t>
      </w:r>
      <w:r w:rsidR="00A25C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решением </w:t>
      </w:r>
      <w:r w:rsidR="00D71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</w:t>
      </w:r>
      <w:r w:rsidRPr="00D7113A" w:rsidR="00D7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 w:rsidR="00BF41F9">
        <w:rPr>
          <w:rFonts w:ascii="Times New Roman" w:hAnsi="Times New Roman" w:cs="Times New Roman"/>
          <w:sz w:val="28"/>
          <w:szCs w:val="28"/>
        </w:rPr>
        <w:t>2015/039-0</w:t>
      </w:r>
      <w:r w:rsidR="00AE6694">
        <w:rPr>
          <w:rFonts w:ascii="Times New Roman" w:hAnsi="Times New Roman" w:cs="Times New Roman"/>
          <w:sz w:val="28"/>
          <w:szCs w:val="28"/>
        </w:rPr>
        <w:t>67</w:t>
      </w:r>
      <w:r w:rsidRPr="00206B05" w:rsidR="005B5AAC">
        <w:rPr>
          <w:rFonts w:ascii="Times New Roman" w:hAnsi="Times New Roman" w:cs="Times New Roman"/>
          <w:sz w:val="28"/>
          <w:szCs w:val="28"/>
        </w:rPr>
        <w:t>.</w:t>
      </w:r>
      <w:r w:rsidRPr="008C093B" w:rsidR="00CC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46F" w:rsidP="00CC0E72" w14:paraId="31937E93" w14:textId="777777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72" w:rsidP="00CC0E72" w14:paraId="026BAD77" w14:textId="777777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72" w:rsidP="00CC0E72" w14:paraId="77EA5C75" w14:textId="777777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72" w:rsidP="00CC0E72" w14:paraId="74E9F77A" w14:textId="777777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P="008C093B" w14:paraId="4EC807B8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F7654D" w:rsidRPr="008C093B" w:rsidP="008C093B" w14:paraId="6ADCF62F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бюджет и финансовые взносы в Программу</w:t>
      </w:r>
    </w:p>
    <w:p w:rsidR="008C093B" w:rsidP="008C093B" w14:paraId="39DD48D5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793FF29C" w14:textId="4801A8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Общий бюджет 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исчисляется в евро и составляет </w:t>
      </w:r>
      <w:r w:rsidRPr="00AE6694" w:rsidR="00AE6694">
        <w:rPr>
          <w:rFonts w:ascii="Times New Roman" w:hAnsi="Times New Roman" w:cs="Times New Roman"/>
          <w:iCs/>
          <w:sz w:val="28"/>
          <w:szCs w:val="28"/>
        </w:rPr>
        <w:t>24</w:t>
      </w:r>
      <w:r w:rsidR="00C61825">
        <w:rPr>
          <w:rFonts w:ascii="Times New Roman" w:hAnsi="Times New Roman" w:cs="Times New Roman"/>
          <w:iCs/>
          <w:sz w:val="28"/>
          <w:szCs w:val="28"/>
        </w:rPr>
        <w:t> </w:t>
      </w:r>
      <w:r w:rsidRPr="00AE6694" w:rsidR="00AE6694">
        <w:rPr>
          <w:rFonts w:ascii="Times New Roman" w:hAnsi="Times New Roman" w:cs="Times New Roman"/>
          <w:iCs/>
          <w:sz w:val="28"/>
          <w:szCs w:val="28"/>
        </w:rPr>
        <w:t>812</w:t>
      </w:r>
      <w:r w:rsidR="00C61825">
        <w:rPr>
          <w:rFonts w:ascii="Times New Roman" w:hAnsi="Times New Roman" w:cs="Times New Roman"/>
          <w:iCs/>
          <w:sz w:val="28"/>
          <w:szCs w:val="28"/>
        </w:rPr>
        <w:t> </w:t>
      </w:r>
      <w:r w:rsidRPr="00AE6694" w:rsidR="00AE6694">
        <w:rPr>
          <w:rFonts w:ascii="Times New Roman" w:hAnsi="Times New Roman" w:cs="Times New Roman"/>
          <w:iCs/>
          <w:sz w:val="28"/>
          <w:szCs w:val="28"/>
        </w:rPr>
        <w:t>082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</w:t>
      </w:r>
      <w:r w:rsidRPr="008C093B" w:rsidR="005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взносу ЕС</w:t>
      </w:r>
      <w:r w:rsidR="005B21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93B" w:rsidR="005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 w:rsidR="0070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взносу Российской Федерации </w:t>
      </w:r>
      <w:r w:rsidR="000C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взносу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осударства-члена ЕС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этому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предоставляется проектными партнерами</w:t>
      </w:r>
      <w:r w:rsidRPr="008C093B" w:rsidR="001E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реализации проектов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P="008C093B" w14:paraId="254B45B5" w14:textId="77777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Максимальный финансовый взнос ЕС в Программу составляет </w:t>
      </w:r>
      <w:r w:rsidRPr="00AE6694" w:rsidR="00AE6694">
        <w:rPr>
          <w:rFonts w:ascii="Times New Roman" w:hAnsi="Times New Roman" w:cs="Times New Roman"/>
          <w:sz w:val="28"/>
          <w:szCs w:val="28"/>
        </w:rPr>
        <w:t>15 875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AE6694" w:rsidR="00AE6694">
        <w:rPr>
          <w:rFonts w:ascii="Times New Roman" w:hAnsi="Times New Roman" w:cs="Times New Roman"/>
          <w:sz w:val="28"/>
          <w:szCs w:val="28"/>
        </w:rPr>
        <w:t>028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евро.</w:t>
      </w:r>
    </w:p>
    <w:p w:rsidR="00F7654D" w:rsidRPr="008C093B" w:rsidP="008C093B" w14:paraId="53BDEE1F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взнос ЕС 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Европейского инструмента соседства и Европейского </w:t>
      </w:r>
      <w:r w:rsidRPr="008C093B" w:rsidR="00BE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развития. </w:t>
      </w:r>
    </w:p>
    <w:p w:rsidR="00F7654D" w:rsidRPr="008C093B" w:rsidP="008C093B" w14:paraId="3864EC09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Финансовый взнос </w:t>
      </w:r>
      <w:r w:rsidRPr="008C093B" w:rsidR="001E6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составляет </w:t>
      </w:r>
      <w:r w:rsidRPr="00AE6694" w:rsidR="00AE6694">
        <w:rPr>
          <w:rFonts w:ascii="Times New Roman" w:hAnsi="Times New Roman" w:cs="Times New Roman"/>
          <w:sz w:val="28"/>
          <w:szCs w:val="28"/>
        </w:rPr>
        <w:t>7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AE6694" w:rsidR="00AE6694">
        <w:rPr>
          <w:rFonts w:ascii="Times New Roman" w:hAnsi="Times New Roman" w:cs="Times New Roman"/>
          <w:sz w:val="28"/>
          <w:szCs w:val="28"/>
        </w:rPr>
        <w:t>937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AE6694" w:rsidR="00AE6694">
        <w:rPr>
          <w:rFonts w:ascii="Times New Roman" w:hAnsi="Times New Roman" w:cs="Times New Roman"/>
          <w:sz w:val="28"/>
          <w:szCs w:val="28"/>
        </w:rPr>
        <w:t>514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евро.</w:t>
      </w:r>
    </w:p>
    <w:p w:rsidR="00F7654D" w:rsidRPr="008C093B" w:rsidP="008C093B" w14:paraId="12BFE7C5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взнос Российской Федерации в Программу предоставляется из федерального бюджета Российской Федерации. </w:t>
      </w:r>
    </w:p>
    <w:p w:rsidR="00AE6694" w:rsidP="00AE6694" w14:paraId="672B2384" w14:textId="539578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Максимальный финансовый взнос в Программу </w:t>
      </w:r>
      <w:r w:rsidR="0070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государства-члена ЕС </w:t>
      </w:r>
      <w:r w:rsidRPr="00A3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AE6694">
        <w:rPr>
          <w:rFonts w:ascii="Times New Roman" w:hAnsi="Times New Roman" w:cs="Times New Roman"/>
          <w:sz w:val="28"/>
          <w:szCs w:val="28"/>
        </w:rPr>
        <w:t>999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AE6694">
        <w:rPr>
          <w:rFonts w:ascii="Times New Roman" w:hAnsi="Times New Roman" w:cs="Times New Roman"/>
          <w:sz w:val="28"/>
          <w:szCs w:val="28"/>
        </w:rPr>
        <w:t>540</w:t>
      </w:r>
      <w:r w:rsidR="00780072">
        <w:rPr>
          <w:rFonts w:ascii="Times New Roman" w:hAnsi="Times New Roman" w:cs="Times New Roman"/>
          <w:sz w:val="28"/>
          <w:szCs w:val="28"/>
        </w:rPr>
        <w:t> </w:t>
      </w:r>
      <w:r w:rsidRPr="00A30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7CC" w:rsidP="000F17CC" w14:paraId="7CFE6C92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взнос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осударства-члена ЕС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предоставляется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осударства-члена ЕС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P="008C093B" w14:paraId="47981347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66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распределение финансовых взносов Сторон представлено в бюджете, приведенном в Совместном программном документе.</w:t>
      </w:r>
    </w:p>
    <w:p w:rsidR="00F7654D" w:rsidRPr="008C093B" w:rsidP="008C093B" w14:paraId="3028568C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66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</w:t>
      </w:r>
      <w:r w:rsidRPr="008C093B" w:rsidR="004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софинансирование Программы посредством привлечения Европейского банка реконструкции</w:t>
      </w:r>
      <w:r w:rsidR="0014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(далее –</w:t>
      </w:r>
      <w:r w:rsidRPr="008C093B" w:rsidR="004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ЕБРР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Условия осуществления перевода с</w:t>
      </w:r>
      <w:r w:rsidRPr="008C093B" w:rsidR="00421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Российской Федерации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соглашении между Российской Федерацией и </w:t>
      </w:r>
      <w:r w:rsidRPr="008C093B" w:rsidR="004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ЕБРР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D23E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3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условия).</w:t>
      </w:r>
    </w:p>
    <w:p w:rsidR="00F7654D" w:rsidRPr="008C093B" w:rsidP="008C093B" w14:paraId="168D04D7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P="008C093B" w14:paraId="3AFF66A0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F7654D" w:rsidRPr="008C093B" w:rsidP="008C093B" w14:paraId="7310DCA4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</w:t>
      </w:r>
    </w:p>
    <w:p w:rsidR="008C093B" w:rsidP="008C093B" w14:paraId="68ED7B95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79AAF4A4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</w:t>
      </w:r>
      <w:r w:rsidRPr="008C093B" w:rsidR="0062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принципу</w:t>
      </w:r>
      <w:r w:rsidRPr="008C093B" w:rsidR="004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 w:rsidR="00421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настоящего Соглашения, применимым законодательством Сторон, положениями Совместного программного документа и документа, содержащего описание системы управления и контроля Программы. </w:t>
      </w:r>
    </w:p>
    <w:p w:rsidR="00F7654D" w:rsidRPr="008C093B" w:rsidP="008C093B" w14:paraId="2E783EE6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P="008C093B" w14:paraId="5611D931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</w:p>
    <w:p w:rsidR="00F7654D" w:rsidRPr="008C093B" w:rsidP="008C093B" w14:paraId="05C60C43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</w:t>
      </w:r>
    </w:p>
    <w:p w:rsidR="008C093B" w:rsidP="008C093B" w14:paraId="19D1298E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0833DD71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реализации 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107F27" w:rsidR="0010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 Приложения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(Общие условия) начинается со дня вступления в силу настоящего Соглашения</w:t>
      </w:r>
      <w:r w:rsidRPr="00107F27" w:rsidR="0010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заканчивается не позднее 31 декабря 2024 года.</w:t>
      </w:r>
    </w:p>
    <w:p w:rsidR="00F7654D" w:rsidRPr="008C093B" w:rsidP="008C093B" w14:paraId="48C2FC03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P="008C093B" w14:paraId="7B4ACF43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</w:t>
      </w:r>
    </w:p>
    <w:p w:rsidR="00F7654D" w:rsidRPr="008C093B" w:rsidP="008C093B" w14:paraId="7FFE24D0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</w:t>
      </w:r>
    </w:p>
    <w:p w:rsidR="008C093B" w:rsidP="008C093B" w14:paraId="53D739EB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02D5DE0B" w14:textId="4823A9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по вопросам реализации настоящего Соглашения</w:t>
      </w:r>
      <w:r w:rsidR="00EC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письменной форме. Такое взаимодействие </w:t>
      </w:r>
      <w:r w:rsidRPr="008C093B" w:rsidR="0062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ссылку на Программу в соответствии со статьей 1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CB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Соглашения </w:t>
      </w:r>
      <w:r w:rsidR="00C5145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53AAF">
        <w:rPr>
          <w:rFonts w:ascii="Times New Roman" w:eastAsia="Times New Roman" w:hAnsi="Times New Roman"/>
          <w:sz w:val="28"/>
          <w:szCs w:val="28"/>
          <w:lang w:eastAsia="ru-RU"/>
        </w:rPr>
        <w:t>Особые условия</w:t>
      </w:r>
      <w:r w:rsidR="00C5145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</w:t>
      </w:r>
      <w:r w:rsidRPr="008C093B" w:rsidR="00622E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следующим органам:</w:t>
      </w:r>
    </w:p>
    <w:p w:rsidR="00F7654D" w:rsidP="008C093B" w14:paraId="61B3EE29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 </w:t>
      </w:r>
      <w:r w:rsidR="0010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B28" w:rsidRPr="008C093B" w:rsidP="008C093B" w14:paraId="4EC49481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комиссия</w:t>
      </w:r>
    </w:p>
    <w:p w:rsidR="00F7654D" w:rsidRPr="00961A64" w:rsidP="008C093B" w14:paraId="66820223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директорат по вопросам расширения и добрососедства</w:t>
      </w:r>
    </w:p>
    <w:p w:rsidR="00C52DA0" w:rsidP="008C093B" w14:paraId="2498DA6C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г-н </w:t>
      </w:r>
      <w:r w:rsidR="00D7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Буске</w:t>
      </w:r>
    </w:p>
    <w:p w:rsidR="00C52DA0" w:rsidP="008C093B" w14:paraId="170035AE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</w:t>
      </w:r>
      <w:r w:rsidR="005E12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Грузии, Молдавии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приграничного сотрудничества (С1)</w:t>
      </w:r>
    </w:p>
    <w:p w:rsidR="00C52DA0" w:rsidP="008C093B" w14:paraId="7E1822E2" w14:textId="777777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</w:t>
      </w:r>
      <w:r w:rsidRPr="00DA0CA0">
        <w:rPr>
          <w:rFonts w:ascii="Times New Roman" w:hAnsi="Times New Roman" w:cs="Times New Roman"/>
          <w:sz w:val="28"/>
          <w:szCs w:val="28"/>
          <w:lang w:val="fr-BE"/>
        </w:rPr>
        <w:t>L</w:t>
      </w:r>
      <w:r w:rsidRPr="00F56104" w:rsidR="00F754E7">
        <w:rPr>
          <w:rFonts w:ascii="Times New Roman" w:hAnsi="Times New Roman" w:cs="Times New Roman"/>
          <w:sz w:val="28"/>
          <w:szCs w:val="28"/>
        </w:rPr>
        <w:t>-15 04/058</w:t>
      </w:r>
    </w:p>
    <w:p w:rsidR="00C52DA0" w:rsidP="008C093B" w14:paraId="7EFF2DA9" w14:textId="777777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Авеню дю Бур</w:t>
      </w:r>
      <w:r w:rsidR="005E128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е, 1</w:t>
      </w:r>
    </w:p>
    <w:p w:rsidR="00C52DA0" w:rsidP="008C093B" w14:paraId="1E87AC73" w14:textId="777777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В-1049 Брюссель</w:t>
      </w:r>
    </w:p>
    <w:p w:rsidR="00271556" w:rsidP="008C093B" w14:paraId="55EF7B96" w14:textId="20451D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Бельгия</w:t>
      </w:r>
    </w:p>
    <w:p w:rsidR="002160F0" w:rsidRPr="00C52DA0" w:rsidP="008C093B" w14:paraId="5F651217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4373EC13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</w:t>
      </w:r>
      <w:r w:rsidRPr="008C093B" w:rsidR="0007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54D" w:rsidP="008C093B" w14:paraId="51346812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Российской Федерации</w:t>
      </w:r>
    </w:p>
    <w:p w:rsidR="004D009A" w:rsidP="00BE2BD5" w14:paraId="62896C34" w14:textId="77777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1-я Тверская-Ямская,</w:t>
      </w:r>
      <w:r w:rsidRPr="0083772E" w:rsidR="00F7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09A">
        <w:rPr>
          <w:rFonts w:ascii="Times New Roman" w:eastAsia="Times New Roman" w:hAnsi="Times New Roman" w:cs="Times New Roman"/>
          <w:sz w:val="28"/>
          <w:szCs w:val="28"/>
          <w:lang w:eastAsia="ru-RU"/>
        </w:rPr>
        <w:t>д. 1,3</w:t>
      </w:r>
    </w:p>
    <w:p w:rsidR="004D009A" w:rsidP="004D009A" w14:paraId="6BC9F343" w14:textId="1B1F3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9A">
        <w:rPr>
          <w:rFonts w:ascii="Times New Roman" w:eastAsia="Times New Roman" w:hAnsi="Times New Roman" w:cs="Times New Roman"/>
          <w:sz w:val="28"/>
          <w:szCs w:val="28"/>
          <w:lang w:eastAsia="ru-RU"/>
        </w:rPr>
        <w:t>125993, ГСП-3, А-47</w:t>
      </w:r>
      <w:r w:rsidR="00216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DC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009A" w:rsidP="004D009A" w14:paraId="3D8649FA" w14:textId="77777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160F0" w:rsidP="004D009A" w14:paraId="63D0C061" w14:textId="77777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5A712ACB" w14:textId="77777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осударства-члена ЕС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B89" w:rsidP="008C093B" w14:paraId="42839A9E" w14:textId="777777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B89">
        <w:rPr>
          <w:rFonts w:ascii="Times New Roman" w:hAnsi="Times New Roman"/>
          <w:sz w:val="28"/>
          <w:szCs w:val="28"/>
          <w:lang w:eastAsia="ru-RU"/>
        </w:rPr>
        <w:t>Министерство охраны окружающей среды и регионального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Латвийской Республики</w:t>
      </w:r>
    </w:p>
    <w:p w:rsidR="00C52DA0" w:rsidP="008C093B" w14:paraId="4DCF7651" w14:textId="777777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3F0B">
        <w:rPr>
          <w:rFonts w:ascii="Times New Roman" w:hAnsi="Times New Roman" w:cs="Times New Roman"/>
          <w:sz w:val="28"/>
          <w:szCs w:val="28"/>
          <w:lang w:eastAsia="ru-RU"/>
        </w:rPr>
        <w:t>г-н </w:t>
      </w:r>
      <w:r w:rsidRPr="00EC3F0B" w:rsidR="00AE6694">
        <w:rPr>
          <w:rFonts w:ascii="Times New Roman" w:hAnsi="Times New Roman" w:cs="Times New Roman"/>
          <w:sz w:val="28"/>
          <w:szCs w:val="28"/>
          <w:lang w:eastAsia="ru-RU"/>
        </w:rPr>
        <w:t xml:space="preserve">Сандис </w:t>
      </w:r>
      <w:r w:rsidRPr="00EC3F0B" w:rsidR="00B665BC">
        <w:rPr>
          <w:rFonts w:ascii="Times New Roman" w:hAnsi="Times New Roman" w:cs="Times New Roman"/>
          <w:sz w:val="28"/>
          <w:szCs w:val="28"/>
          <w:lang w:eastAsia="ru-RU"/>
        </w:rPr>
        <w:t>Цакулс</w:t>
      </w:r>
    </w:p>
    <w:p w:rsidR="00AE6694" w:rsidP="008C093B" w14:paraId="2AFACFE1" w14:textId="7B3EA0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Управляющего органа программы приграничного сотрудничества </w:t>
      </w:r>
      <w:r w:rsidR="00AF6C55">
        <w:rPr>
          <w:rFonts w:ascii="Times New Roman" w:hAnsi="Times New Roman" w:cs="Times New Roman"/>
          <w:sz w:val="28"/>
          <w:szCs w:val="28"/>
          <w:lang w:eastAsia="ru-RU"/>
        </w:rPr>
        <w:t xml:space="preserve">«Латвия </w:t>
      </w:r>
      <w:r w:rsidR="00AF6C55">
        <w:rPr>
          <w:rFonts w:ascii="Times New Roman" w:hAnsi="Times New Roman" w:cs="Times New Roman"/>
          <w:sz w:val="28"/>
          <w:szCs w:val="28"/>
          <w:lang w:val="lv-LV" w:eastAsia="ru-RU"/>
        </w:rPr>
        <w:t xml:space="preserve">- </w:t>
      </w:r>
      <w:r w:rsidR="00AF6C55">
        <w:rPr>
          <w:rFonts w:ascii="Times New Roman" w:hAnsi="Times New Roman" w:cs="Times New Roman"/>
          <w:sz w:val="28"/>
          <w:szCs w:val="28"/>
          <w:lang w:eastAsia="ru-RU"/>
        </w:rPr>
        <w:t xml:space="preserve">Россия» </w:t>
      </w:r>
      <w:r w:rsidR="00226287">
        <w:rPr>
          <w:rFonts w:ascii="Times New Roman" w:hAnsi="Times New Roman" w:cs="Times New Roman"/>
          <w:sz w:val="28"/>
          <w:szCs w:val="28"/>
          <w:lang w:eastAsia="ru-RU"/>
        </w:rPr>
        <w:t>на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2014-2020</w:t>
      </w:r>
      <w:r w:rsidR="00226287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AE6694" w:rsidP="008C093B" w14:paraId="7305A508" w14:textId="7A6474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hAnsi="Times New Roman" w:cs="Times New Roman"/>
          <w:sz w:val="28"/>
          <w:szCs w:val="28"/>
          <w:lang w:eastAsia="ru-RU"/>
        </w:rPr>
        <w:t>Пелду 25</w:t>
      </w:r>
    </w:p>
    <w:p w:rsidR="00C52DA0" w:rsidRPr="00AE6694" w:rsidP="008C093B" w14:paraId="3A9909E2" w14:textId="777777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Рига,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LV</w:t>
      </w:r>
      <w:r>
        <w:rPr>
          <w:rFonts w:ascii="Times New Roman" w:hAnsi="Times New Roman" w:cs="Times New Roman"/>
          <w:sz w:val="28"/>
          <w:szCs w:val="28"/>
          <w:lang w:eastAsia="ru-RU"/>
        </w:rPr>
        <w:t>1494</w:t>
      </w:r>
    </w:p>
    <w:p w:rsidR="00C52DA0" w:rsidP="008C093B" w14:paraId="1C1D052F" w14:textId="169553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Латви</w:t>
      </w:r>
      <w:r w:rsidR="00A2375C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F7654D" w:rsidRPr="008C093B" w:rsidP="008C093B" w14:paraId="205CAD00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P="008C093B" w14:paraId="1E659312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</w:t>
      </w:r>
    </w:p>
    <w:p w:rsidR="00F7654D" w:rsidRPr="008C093B" w:rsidP="008C093B" w14:paraId="39C7EA9D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Европейским бюро по борьбе с мошенничеством</w:t>
      </w:r>
    </w:p>
    <w:p w:rsidR="008C093B" w:rsidP="008C093B" w14:paraId="4580510B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P="008C093B" w14:paraId="66B1DBD3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</w:t>
      </w:r>
      <w:r w:rsidR="005E1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93B" w:rsidR="005E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17 Приложения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(Общие условия), контактн</w:t>
      </w:r>
      <w:r w:rsidR="00C52DA0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Российской Федерации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сотрудничества</w:t>
      </w:r>
      <w:r w:rsidR="006A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Европейским бюро по борьбе с мошенничеством </w:t>
      </w:r>
      <w:r w:rsidR="003929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OLAF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содействия текущей деятельности </w:t>
      </w:r>
      <w:r w:rsidR="00CD3F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OLAF</w:t>
      </w:r>
      <w:r w:rsidRPr="00CD3F19" w:rsidR="00CD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C093B" w:rsidR="0007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Национальный орган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24A" w:rsidRPr="008C093B" w:rsidP="008C093B" w14:paraId="504B1CC5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P="008C093B" w14:paraId="36CAEB3B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</w:t>
      </w:r>
    </w:p>
    <w:p w:rsidR="00F7654D" w:rsidRPr="008C093B" w:rsidP="008C093B" w14:paraId="21AF0FFA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8C093B" w:rsidP="008C093B" w14:paraId="54049F9E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4D" w:rsidP="00C87DC2" w14:paraId="506C5A45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состоит из:</w:t>
      </w:r>
    </w:p>
    <w:p w:rsidR="00AC534D" w:rsidP="00C87DC2" w14:paraId="67CFFC27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астоящих Особых условий;</w:t>
      </w:r>
    </w:p>
    <w:p w:rsidR="00AC534D" w:rsidRPr="00684A1A" w:rsidP="00C87DC2" w14:paraId="3109645F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условия);</w:t>
      </w:r>
    </w:p>
    <w:p w:rsidR="00AC534D" w:rsidRPr="00684A1A" w:rsidP="00C87DC2" w14:paraId="505C622F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4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российскими частными партнерами)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P="008C093B" w14:paraId="032F7E78" w14:textId="0127A3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 случае возникновения противоречий между положениями Приложений и положениями настоящ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Соглашения (</w:t>
      </w:r>
      <w:r w:rsidR="0070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последн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При наличии противоречий между положениями Приложения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</w:t>
      </w:r>
      <w:r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4A1A"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российскими частными партнерами)</w:t>
      </w:r>
      <w:r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положения </w:t>
      </w:r>
      <w:r w:rsidRPr="008C093B" w:rsidR="00700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700B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 w:rsidR="00EF6C9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P="008C093B" w14:paraId="50136974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P="008C093B" w14:paraId="13C17943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</w:t>
      </w:r>
    </w:p>
    <w:p w:rsidR="00C5005E" w:rsidP="008C093B" w14:paraId="0055BBF6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отличные или дополняющие Приложение </w:t>
      </w:r>
      <w:r w:rsidRPr="008C0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7654D" w:rsidRPr="008C093B" w:rsidP="008C093B" w14:paraId="74187DD1" w14:textId="68B519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</w:t>
      </w:r>
    </w:p>
    <w:p w:rsidR="008C093B" w:rsidP="008C093B" w14:paraId="6A9FB6A2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17B89" w:rsidP="008C093B" w14:paraId="0C2E48E2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5E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дополняет Приложение </w:t>
      </w:r>
      <w:r w:rsidRPr="0083772E" w:rsidR="00F754E7">
        <w:rPr>
          <w:rFonts w:ascii="Times New Roman" w:eastAsia="Times New Roman" w:hAnsi="Times New Roman" w:cs="Times New Roman"/>
          <w:sz w:val="28"/>
          <w:szCs w:val="28"/>
          <w:lang w:val="es-ES_tradnl" w:eastAsia="ru-RU"/>
        </w:rPr>
        <w:t>I</w:t>
      </w:r>
      <w:r w:rsidRP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условия):</w:t>
      </w:r>
    </w:p>
    <w:p w:rsidR="0043024A" w:rsidRPr="00D77400" w:rsidP="00D77400" w14:paraId="79611E62" w14:textId="6E7930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и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90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осударство-член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FE1" w:rsidR="006E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 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проверки использования финансирования Программы</w:t>
      </w:r>
      <w:r w:rsidR="0099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настоящего Соглашения</w:t>
      </w:r>
      <w:r w:rsidR="00990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на своей соответствующей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93B" w:rsidP="008C093B" w14:paraId="7044EC7B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7654D" w:rsidRPr="008C093B" w:rsidP="008C093B" w14:paraId="1F31183B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</w:p>
    <w:p w:rsidR="008C093B" w:rsidP="008C093B" w14:paraId="397B587D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4BFE9112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093B" w:rsidR="0008380B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Стороны проводят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консультации для разрешения любых противоречий, касающихся реализации и толкования настоящего Соглашения.</w:t>
      </w:r>
    </w:p>
    <w:p w:rsidR="00F7654D" w:rsidRPr="008C093B" w:rsidP="008C093B" w14:paraId="00103B55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Сторон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обнаружившая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реализации процедур, связанных с контролем за выполнением настоящего Соглашения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взаимодействие с другими Сторонами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Управляющим органом для принятия необходимых мер</w:t>
      </w:r>
      <w:r w:rsidR="00BC3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разрешения возникших затруднений.</w:t>
      </w:r>
    </w:p>
    <w:p w:rsidR="00F7654D" w:rsidRPr="0083772E" w:rsidP="008C093B" w14:paraId="09C0CC8D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.3 Консультации могут привести к внесению изменений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приостановлению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прекращению действия настоящего Соглашения</w:t>
      </w:r>
      <w:r w:rsidRPr="0083772E" w:rsidR="00837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928" w:rsidP="008C093B" w14:paraId="4473F831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P="008C093B" w14:paraId="3005556C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F7654D" w:rsidRPr="00F04CC2" w:rsidP="008C093B" w14:paraId="57AAEDE5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настоящее Соглашение</w:t>
      </w:r>
    </w:p>
    <w:p w:rsidR="008C093B" w:rsidP="008C093B" w14:paraId="537545FA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550A7537" w14:textId="7CBAF8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Любые изменения </w:t>
      </w:r>
      <w:r w:rsidRPr="008C093B" w:rsidR="002E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Соглашение </w:t>
      </w:r>
      <w:r w:rsidRPr="008C093B"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</w:t>
      </w:r>
      <w:r w:rsidR="004302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93B"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включая возможность обмена </w:t>
      </w:r>
      <w:r w:rsidRPr="008C093B"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письмами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Сторон.</w:t>
      </w:r>
    </w:p>
    <w:p w:rsidR="00F7654D" w:rsidRPr="008C093B" w:rsidP="008C093B" w14:paraId="0D3FA051" w14:textId="2BD016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Сторона, инициирующая внесение изменений, обязана направить запрос другим 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 не позднее трех </w:t>
      </w:r>
      <w:r w:rsidRPr="008C093B"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предполагаемого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изменения в силу, за исключением случаев, должным образом обоснован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инициирующей Стороной и одобрен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Сторонами.</w:t>
      </w:r>
    </w:p>
    <w:p w:rsidR="0043024A" w:rsidRPr="006E2BB0" w:rsidP="00D77400" w14:paraId="4E24CA10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P="008C093B" w14:paraId="7468A432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7654D" w:rsidRPr="008C093B" w:rsidP="008C093B" w14:paraId="6D7010F1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действия настоящего Соглашения</w:t>
      </w:r>
    </w:p>
    <w:p w:rsidR="008C093B" w:rsidP="008C093B" w14:paraId="7F46D446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5B4A82D4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.1 Действие настоящего Соглашения может быть приостановлено в следующих случаях:</w:t>
      </w:r>
    </w:p>
    <w:p w:rsidR="00F7654D" w:rsidRPr="008C093B" w:rsidP="008C093B" w14:paraId="5489F387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из Сторон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приостановить </w:t>
      </w:r>
      <w:r w:rsidR="00892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8C093B" w:rsidR="002E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если одна из Сторон нарушает обязательства по 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Соглашению;</w:t>
      </w:r>
    </w:p>
    <w:p w:rsidR="00F7654D" w:rsidRPr="008C093B" w:rsidP="008C093B" w14:paraId="4B506D31" w14:textId="690062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из </w:t>
      </w:r>
      <w:r w:rsidR="00EF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приостановить действие 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83772E" w:rsidR="0083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одной из Сторон 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правового обязательства относительно соблюдения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человека, принципов демократии и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верховенства </w:t>
      </w:r>
      <w:r w:rsid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выявлении серье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зных коррупционных преступлений в </w:t>
      </w:r>
      <w:r w:rsidRPr="008C093B"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22628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статьи 18 Приложения 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 условия);</w:t>
      </w:r>
    </w:p>
    <w:p w:rsidR="00F7654D" w:rsidRPr="008C093B" w:rsidP="008C093B" w14:paraId="6779C0E6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1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Соглашен</w:t>
      </w:r>
      <w:r w:rsidR="0076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приос</w:t>
      </w:r>
      <w:r w:rsidRPr="008C093B" w:rsidR="00DD6C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тановлено в случае форс-мажора в соответствии с приведенным ниже определением.</w:t>
      </w:r>
    </w:p>
    <w:p w:rsidR="00F7654D" w:rsidRPr="008C093B" w:rsidP="008C093B" w14:paraId="44EA1810" w14:textId="16C6DC5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«Форс-мажор» означает любую непредвиденную </w:t>
      </w:r>
      <w:r w:rsidRPr="008C093B"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событие вне контроля Сторон, которые не позволяют какой-либо</w:t>
      </w:r>
      <w:r w:rsidR="00D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Сторон выполнить свои обязательства, не связаны с ошибкой или небрежностью Сторон (либо подрядчиков, агентов и работников)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являются непреодолимыми вне зависимости от предпринятых усилий. Дефекты в оборудовании и материалах или задержки в их установке, трудовые споры, забастовки или финансовые трудности не могут считаться форс-мажором. Сторона, испытывающая форс-мажор, незамедлительно уведомляет об этом друг</w:t>
      </w:r>
      <w:r w:rsidR="009A4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9A45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 характера обстоятельств, приблизительной продолжительности</w:t>
      </w:r>
      <w:r w:rsidRPr="00D77400" w:rsidR="00D7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прогнозируемого воздействия,</w:t>
      </w:r>
      <w:r w:rsidRPr="00D77400" w:rsidR="00D77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предпринимает все меры</w:t>
      </w:r>
      <w:r w:rsidRPr="00D77400" w:rsidR="00D7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уменьшения возможного ущерба.</w:t>
      </w:r>
    </w:p>
    <w:p w:rsidR="00F7654D" w:rsidRPr="008C093B" w:rsidP="008C093B" w14:paraId="63A9F5DA" w14:textId="6575EBF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одна из </w:t>
      </w:r>
      <w:r w:rsidR="00A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Pr="008C093B" w:rsidR="00A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5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обязательств, предусмотренных настоящим Соглашением, если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выполнению помешал форс-мажор при условии, что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2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r w:rsidR="002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93B" w:rsidR="00BF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д</w:t>
      </w:r>
      <w:r w:rsidRPr="008C093B" w:rsidR="00794F1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уменьшения возможного ущерба и уведомил</w:t>
      </w:r>
      <w:r w:rsidR="002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93B" w:rsidR="0079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</w:t>
      </w:r>
      <w:r w:rsidRPr="008C093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093B" w:rsidR="00794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в надлежащем порядке.</w:t>
      </w:r>
    </w:p>
    <w:p w:rsidR="00F7654D" w:rsidRPr="008C093B" w:rsidP="008C093B" w14:paraId="0A499672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EA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из Сторон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711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предпринять необходимые предупредительные меры перед приостановлением действия настоящего Соглашения.</w:t>
      </w:r>
    </w:p>
    <w:p w:rsidR="00A86021" w:rsidRPr="008C093B" w:rsidP="008C093B" w14:paraId="441D5C9E" w14:textId="77EAD5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уведомлении о приостановлении действия настоящего Соглашения</w:t>
      </w:r>
      <w:r w:rsidRPr="0083772E" w:rsidR="0083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последствия такого приос</w:t>
      </w:r>
      <w:r w:rsidRPr="008C093B" w:rsidR="002D4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 w:rsidR="002D4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текущих договоров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 и</w:t>
      </w:r>
      <w:r w:rsidRPr="008C093B" w:rsidR="007A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грант-контрактов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</w:t>
      </w:r>
      <w:r w:rsidRPr="008C093B" w:rsidR="002D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C093B" w:rsidR="002D4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должны быть </w:t>
      </w:r>
      <w:r w:rsidR="00756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021" w:rsidRPr="008C093B" w:rsidP="008C093B" w14:paraId="357704FF" w14:textId="5EDFC7F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ущерба </w:t>
      </w:r>
      <w:r w:rsidRPr="008C093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8C093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на приостановление действия настоящего Соглашения, 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Сторон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финансирующи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мо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частично или полностью приостановить свои платежи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надлежащ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образом 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после предоставления Управляющему органу возможности 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мнение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вопросу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P="008C093B" w14:paraId="32077E2F" w14:textId="0876D2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Сторон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возобновля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реализацию настоящего Соглашения </w:t>
      </w:r>
      <w:r w:rsidRPr="008C093B" w:rsidR="00120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позволят обстоятельства после предварительного взаимного письменного согласования</w:t>
      </w:r>
      <w:r w:rsidRP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772E" w:rsidR="00F75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481377" w:rsidR="00E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377" w:rsidR="005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83772E" w:rsidR="00F7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377" w:rsidR="005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ограничивает возможность внесения в настоящее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любых необходимых изменений для его адаптации к новы</w:t>
      </w:r>
      <w:r w:rsidRPr="008C093B" w:rsidR="0012069C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условиям реализации, включая,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 w:rsidR="0012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такой возможности,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периода реализации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прекращения </w:t>
      </w:r>
      <w:r w:rsidRPr="008C093B" w:rsidR="0012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в соответствии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12 </w:t>
      </w:r>
      <w:r w:rsid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(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</w:t>
      </w:r>
      <w:r w:rsidR="004813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2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54D" w:rsidRPr="008C093B" w:rsidP="008C093B" w14:paraId="648098DB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93B" w:rsidRPr="008C093B" w:rsidP="008C093B" w14:paraId="3474E3D9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7654D" w:rsidRPr="008C093B" w:rsidP="008C093B" w14:paraId="0355D0F4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действия </w:t>
      </w:r>
      <w:r w:rsidRPr="008C093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</w:p>
    <w:p w:rsidR="008C093B" w:rsidP="008C093B" w14:paraId="0E3DE14F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76F93DCE" w14:textId="056116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Если обстоятельства, которые привели к приостановлению действия настоящего Соглашения, не были устранены в течение 180 дней, </w:t>
      </w:r>
      <w:r w:rsidR="00537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С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прекратить действие настоящего Соглашения, уведомив об этом </w:t>
      </w:r>
      <w:r w:rsidRPr="008C093B" w:rsidR="002645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264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C093B" w:rsidR="0026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2645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093B" w:rsidR="0026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 дней.</w:t>
      </w:r>
    </w:p>
    <w:p w:rsidR="00BB0254" w:rsidRPr="008C093B" w:rsidP="008C093B" w14:paraId="52C50B2F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При уведомлении о прекращении</w:t>
      </w:r>
      <w:r w:rsidRPr="008C093B" w:rsidR="0012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последствия такого </w:t>
      </w:r>
      <w:r w:rsid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</w:t>
      </w:r>
      <w:r w:rsidRPr="008C093B" w:rsidR="002D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текущих договоров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 и</w:t>
      </w:r>
      <w:r w:rsidRPr="008C093B" w:rsidR="007A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грант-контрактов</w:t>
      </w:r>
      <w:r w:rsidRPr="008C093B" w:rsidR="002D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7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C093B" w:rsidR="002D4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должны быть </w:t>
      </w:r>
      <w:r w:rsidR="00980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заключены.</w:t>
      </w:r>
    </w:p>
    <w:p w:rsidR="00E90422" w:rsidP="00CC0E72" w14:paraId="6C4AF3F2" w14:textId="5CFDC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.3 Если Программа не может быть реализована в связи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проблемами, возникшими в отношениях между государствами – участниками Программы</w:t>
      </w:r>
      <w:r w:rsidR="00E53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обоснованных случаях, </w:t>
      </w:r>
      <w:r w:rsidR="001E16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может принять решение о прекращении Программы до окончания периода ее исполнения по запросу Совместного мониторингового комитета или</w:t>
      </w:r>
      <w:r w:rsidR="00F80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после консультации с Совместным мониторинговым комитетом.</w:t>
      </w:r>
    </w:p>
    <w:p w:rsidR="00196141" w:rsidP="003763A1" w14:paraId="127D7E02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A1" w:rsidRPr="003763A1" w:rsidP="003763A1" w14:paraId="7357C633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8E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7654D" w:rsidRPr="003763A1" w:rsidP="003763A1" w14:paraId="095B8A91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силу</w:t>
      </w:r>
    </w:p>
    <w:p w:rsidR="003763A1" w:rsidP="008C093B" w14:paraId="17DF8FDB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4D" w:rsidRPr="008C093B" w:rsidP="008C093B" w14:paraId="769E7A5B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вступает в 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Pr="005810C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Pr="005810C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C093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месяца после даты получения </w:t>
      </w:r>
      <w:r w:rsidR="001E16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</w:t>
      </w:r>
      <w:r w:rsidRPr="008C093B" w:rsidR="0029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от Ро</w:t>
      </w:r>
      <w:r w:rsidRPr="008C093B" w:rsidR="00DE2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и</w:t>
      </w:r>
      <w:r w:rsidR="00AD2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C093B" w:rsidR="00DE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осударства-члена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</w:t>
      </w:r>
      <w:r w:rsidRPr="005810C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письменного</w:t>
      </w:r>
      <w:r w:rsidRPr="008C093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выполнении ими внутренних процедур, необходимых для вступления в силу настоящего Соглашения. </w:t>
      </w:r>
      <w:r w:rsidR="001E16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информирует Российскую Федерацию и </w:t>
      </w:r>
      <w:r w:rsidR="00C261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осударство-член ЕС</w:t>
      </w:r>
      <w:r w:rsidRPr="008C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получения указанного уведомления. </w:t>
      </w:r>
    </w:p>
    <w:p w:rsidR="000D6C89" w:rsidP="008C093B" w14:paraId="38C8DEEF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27" w:rsidRPr="00D77400" w:rsidP="00D77400" w14:paraId="79A52D47" w14:textId="65FF55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Совершено в </w:t>
      </w:r>
      <w:r w:rsidRPr="005810C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</w:t>
      </w:r>
      <w:r w:rsidRPr="005810C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и английском языках,</w:t>
      </w:r>
      <w:r w:rsidRPr="005810C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экземпляру для каждой </w:t>
      </w:r>
      <w:r w:rsidR="00A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CD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10C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все тексты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 w:rsidRPr="005810CB" w:rsidR="003F44D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одинаковую</w:t>
      </w:r>
      <w:r w:rsidRPr="0058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12069C" w:rsidRPr="008C093B" w:rsidP="008C093B" w14:paraId="50C700AB" w14:textId="777777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9" w:type="dxa"/>
        <w:tblLook w:val="01E0"/>
      </w:tblPr>
      <w:tblGrid>
        <w:gridCol w:w="3085"/>
        <w:gridCol w:w="3085"/>
        <w:gridCol w:w="3119"/>
      </w:tblGrid>
      <w:tr w14:paraId="6EC26CB3" w14:textId="77777777" w:rsidTr="00D77400">
        <w:tblPrEx>
          <w:tblW w:w="9289" w:type="dxa"/>
          <w:tblLook w:val="01E0"/>
        </w:tblPrEx>
        <w:tc>
          <w:tcPr>
            <w:tcW w:w="3085" w:type="dxa"/>
          </w:tcPr>
          <w:p w:rsidR="000A25DC" w:rsidRPr="000418BC" w:rsidP="005B2143" w14:paraId="7D716DF8" w14:textId="372C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3085" w:type="dxa"/>
            <w:shd w:val="clear" w:color="auto" w:fill="auto"/>
          </w:tcPr>
          <w:p w:rsidR="000A25DC" w:rsidRPr="000418BC" w:rsidP="00D77400" w14:paraId="0394B8BC" w14:textId="3A7E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0A25DC" w:rsidRPr="000418BC" w:rsidP="00D77400" w14:paraId="7B7FBE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ЛАТВИЙ</w:t>
            </w:r>
            <w:r w:rsidRPr="0004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РЕСПУБЛИКИ</w:t>
            </w:r>
          </w:p>
        </w:tc>
      </w:tr>
      <w:tr w14:paraId="42869D1E" w14:textId="77777777" w:rsidTr="00D77400">
        <w:tblPrEx>
          <w:tblW w:w="9289" w:type="dxa"/>
          <w:tblLook w:val="01E0"/>
        </w:tblPrEx>
        <w:tc>
          <w:tcPr>
            <w:tcW w:w="3085" w:type="dxa"/>
          </w:tcPr>
          <w:p w:rsidR="005B2143" w:rsidRPr="00F56104" w:rsidP="005B2143" w14:paraId="33D1136D" w14:textId="7AFDBF19">
            <w:pPr>
              <w:pStyle w:val="Default"/>
              <w:jc w:val="center"/>
              <w:rPr>
                <w:rFonts w:eastAsia="Times New Roman"/>
                <w:strike/>
                <w:sz w:val="28"/>
                <w:szCs w:val="28"/>
                <w:lang w:eastAsia="ru-RU"/>
              </w:rPr>
            </w:pPr>
            <w:r w:rsidRPr="00F56104">
              <w:rPr>
                <w:sz w:val="28"/>
                <w:szCs w:val="28"/>
              </w:rPr>
              <w:t xml:space="preserve">Лоуренс Мередит Директор Генерального Директората Европейской Комиссии по вопросам Восточного соседства и расширения </w:t>
            </w:r>
          </w:p>
          <w:p w:rsidR="000A25DC" w:rsidRPr="00F56104" w:rsidP="00D77400" w14:paraId="76E314EF" w14:textId="3AD4D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0A25DC" w:rsidRPr="00F56104" w:rsidP="005B2143" w14:paraId="00A71AF3" w14:textId="4EE69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A25DC" w:rsidRPr="00107F27" w:rsidP="00D77400" w14:paraId="25C19526" w14:textId="0133E3E6">
            <w:pPr>
              <w:pStyle w:val="Default"/>
              <w:jc w:val="center"/>
              <w:rPr>
                <w:sz w:val="28"/>
                <w:szCs w:val="28"/>
              </w:rPr>
            </w:pPr>
            <w:r w:rsidRPr="00EC3F0B">
              <w:rPr>
                <w:sz w:val="28"/>
                <w:szCs w:val="28"/>
              </w:rPr>
              <w:t xml:space="preserve">Каспарс </w:t>
            </w:r>
            <w:r w:rsidRPr="00EC3F0B" w:rsidR="001E1632">
              <w:rPr>
                <w:sz w:val="28"/>
                <w:szCs w:val="28"/>
              </w:rPr>
              <w:t>Герхардс</w:t>
            </w:r>
          </w:p>
          <w:p w:rsidR="00AE1256" w:rsidP="00D77400" w14:paraId="0E83A77A" w14:textId="3EB28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защиты окружающей среды</w:t>
            </w:r>
            <w:r w:rsidRPr="00D77400" w:rsidR="00D77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регионального развития</w:t>
            </w:r>
          </w:p>
          <w:p w:rsidR="000A25DC" w:rsidRPr="00576E0D" w:rsidP="00D77400" w14:paraId="6BBCBC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Латвийской Республики</w:t>
            </w:r>
          </w:p>
        </w:tc>
      </w:tr>
      <w:tr w14:paraId="4E364D18" w14:textId="77777777" w:rsidTr="00D77400">
        <w:tblPrEx>
          <w:tblW w:w="9289" w:type="dxa"/>
          <w:tblLook w:val="01E0"/>
        </w:tblPrEx>
        <w:tc>
          <w:tcPr>
            <w:tcW w:w="3085" w:type="dxa"/>
          </w:tcPr>
          <w:p w:rsidR="000A25DC" w:rsidP="000831F3" w14:paraId="018C49A5" w14:textId="77777777">
            <w:pPr>
              <w:pStyle w:val="Default"/>
              <w:spacing w:line="360" w:lineRule="auto"/>
              <w:rPr>
                <w:sz w:val="28"/>
                <w:szCs w:val="28"/>
                <w:lang w:val="fi-FI"/>
              </w:rPr>
            </w:pPr>
            <w:bookmarkStart w:id="0" w:name="_GoBack"/>
            <w:bookmarkEnd w:id="0"/>
          </w:p>
          <w:p w:rsidR="000A25DC" w:rsidRPr="000418BC" w:rsidP="00D77400" w14:paraId="7DF1F14A" w14:textId="77777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85" w:type="dxa"/>
            <w:shd w:val="clear" w:color="auto" w:fill="auto"/>
          </w:tcPr>
          <w:p w:rsidR="000A25DC" w:rsidP="000831F3" w14:paraId="555099F8" w14:textId="77777777">
            <w:pPr>
              <w:pStyle w:val="Default"/>
              <w:spacing w:line="360" w:lineRule="auto"/>
              <w:rPr>
                <w:sz w:val="28"/>
                <w:szCs w:val="28"/>
                <w:lang w:val="en-GB"/>
              </w:rPr>
            </w:pPr>
          </w:p>
          <w:p w:rsidR="000A25DC" w:rsidRPr="000418BC" w:rsidP="00D77400" w14:paraId="102FA872" w14:textId="77777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shd w:val="clear" w:color="auto" w:fill="auto"/>
          </w:tcPr>
          <w:p w:rsidR="000A25DC" w:rsidP="000831F3" w14:paraId="79DE27E5" w14:textId="77777777">
            <w:pPr>
              <w:pStyle w:val="Default"/>
              <w:spacing w:line="360" w:lineRule="auto"/>
              <w:rPr>
                <w:sz w:val="28"/>
                <w:szCs w:val="28"/>
                <w:lang w:val="en-GB"/>
              </w:rPr>
            </w:pPr>
          </w:p>
          <w:p w:rsidR="000A25DC" w:rsidRPr="000418BC" w:rsidP="00D77400" w14:paraId="5AAD878F" w14:textId="77777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7F1148" w:rsidP="007F1148" w14:paraId="65B02AA7" w14:textId="77777777">
      <w:pPr>
        <w:spacing w:after="0" w:line="240" w:lineRule="auto"/>
        <w:ind w:right="226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7F1148" w:rsidRPr="007F1148" w:rsidP="007F1148" w14:paraId="10863F7C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F1148">
        <w:rPr>
          <w:rFonts w:ascii="Times New Roman" w:eastAsia="Times New Roman" w:hAnsi="Times New Roman" w:cs="Times New Roman"/>
          <w:sz w:val="20"/>
          <w:szCs w:val="20"/>
          <w:lang w:val="en-US"/>
        </w:rPr>
        <w:t>N.Kulakova</w:t>
      </w:r>
    </w:p>
    <w:p w:rsidR="00E92F42" w:rsidRPr="000831F3" w:rsidP="000831F3" w14:paraId="1AB9FD41" w14:textId="49DC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F114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67026481, </w:t>
      </w:r>
      <w:r>
        <w:fldChar w:fldCharType="begin"/>
      </w:r>
      <w:r>
        <w:instrText xml:space="preserve"> HYPERLINK "mailto:natalija.kulakova@varam.gov.lv" </w:instrText>
      </w:r>
      <w:r>
        <w:fldChar w:fldCharType="separate"/>
      </w:r>
      <w:r w:rsidRPr="007F114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natalija.kulakova@varam.gov.lv</w:t>
      </w:r>
      <w:r>
        <w:fldChar w:fldCharType="end"/>
      </w:r>
      <w:r w:rsidRPr="007F114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sectPr w:rsidSect="000831F3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31F3" w:rsidRPr="000831F3" w14:paraId="5E35F711" w14:textId="77FE8C0F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lv-LV"/>
      </w:rPr>
      <w:t>VARAMP2_papild_vien_LV-RU_07</w:t>
    </w:r>
    <w:r w:rsidR="0082564C">
      <w:rPr>
        <w:rFonts w:ascii="Times New Roman" w:hAnsi="Times New Roman" w:cs="Times New Roman"/>
        <w:sz w:val="24"/>
        <w:szCs w:val="24"/>
        <w:lang w:val="lv-LV"/>
      </w:rPr>
      <w:t>11</w:t>
    </w:r>
    <w:r w:rsidRPr="000831F3">
      <w:rPr>
        <w:rFonts w:ascii="Times New Roman" w:hAnsi="Times New Roman" w:cs="Times New Roman"/>
        <w:sz w:val="24"/>
        <w:szCs w:val="24"/>
        <w:lang w:val="lv-LV"/>
      </w:rPr>
      <w:t>2017_</w:t>
    </w:r>
    <w:r>
      <w:rPr>
        <w:rFonts w:ascii="Times New Roman" w:hAnsi="Times New Roman" w:cs="Times New Roman"/>
        <w:sz w:val="24"/>
        <w:szCs w:val="24"/>
        <w:lang w:val="lv-LV"/>
      </w:rPr>
      <w:t>ru</w:t>
    </w:r>
  </w:p>
  <w:p w:rsidR="000831F3" w:rsidRPr="000831F3" w14:paraId="5276F2EF" w14:textId="7777777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31F3" w:rsidRPr="000831F3" w:rsidP="000831F3" w14:paraId="76E66E61" w14:textId="750CF8CF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lv-LV"/>
      </w:rPr>
      <w:t>VARAMP2_papild_vien_LV-RU_07</w:t>
    </w:r>
    <w:r w:rsidR="0082564C">
      <w:rPr>
        <w:rFonts w:ascii="Times New Roman" w:hAnsi="Times New Roman" w:cs="Times New Roman"/>
        <w:sz w:val="24"/>
        <w:szCs w:val="24"/>
        <w:lang w:val="lv-LV"/>
      </w:rPr>
      <w:t>11</w:t>
    </w:r>
    <w:r w:rsidRPr="000831F3">
      <w:rPr>
        <w:rFonts w:ascii="Times New Roman" w:hAnsi="Times New Roman" w:cs="Times New Roman"/>
        <w:sz w:val="24"/>
        <w:szCs w:val="24"/>
        <w:lang w:val="lv-LV"/>
      </w:rPr>
      <w:t>2017_</w:t>
    </w:r>
    <w:r>
      <w:rPr>
        <w:rFonts w:ascii="Times New Roman" w:hAnsi="Times New Roman" w:cs="Times New Roman"/>
        <w:sz w:val="24"/>
        <w:szCs w:val="24"/>
        <w:lang w:val="lv-LV"/>
      </w:rPr>
      <w:t>ru</w:t>
    </w:r>
  </w:p>
  <w:p w:rsidR="000831F3" w:rsidRPr="000831F3" w14:paraId="0B232458" w14:textId="77777777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7E16" w:rsidP="00105E96" w14:paraId="63D51F21" w14:textId="777777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77E16" w:rsidP="00105E96" w14:paraId="02182D8D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7E16" w:rsidRPr="00A34F0C" w:rsidP="0098190B" w14:paraId="0E9C4C81" w14:textId="77777777">
    <w:pPr>
      <w:pStyle w:val="Header"/>
      <w:framePr w:wrap="around" w:vAnchor="text" w:hAnchor="page" w:x="6466" w:y="-32"/>
      <w:jc w:val="center"/>
      <w:rPr>
        <w:rStyle w:val="PageNumber"/>
        <w:sz w:val="28"/>
        <w:szCs w:val="28"/>
      </w:rPr>
    </w:pPr>
    <w:r w:rsidRPr="00A34F0C">
      <w:rPr>
        <w:rStyle w:val="PageNumber"/>
        <w:sz w:val="28"/>
        <w:szCs w:val="28"/>
      </w:rPr>
      <w:fldChar w:fldCharType="begin"/>
    </w:r>
    <w:r w:rsidRPr="00A34F0C">
      <w:rPr>
        <w:rStyle w:val="PageNumber"/>
        <w:sz w:val="28"/>
        <w:szCs w:val="28"/>
      </w:rPr>
      <w:instrText xml:space="preserve">PAGE  </w:instrText>
    </w:r>
    <w:r w:rsidRPr="00A34F0C">
      <w:rPr>
        <w:rStyle w:val="PageNumber"/>
        <w:sz w:val="28"/>
        <w:szCs w:val="28"/>
      </w:rPr>
      <w:fldChar w:fldCharType="separate"/>
    </w:r>
    <w:r w:rsidRPr="00A34F0C">
      <w:rPr>
        <w:rStyle w:val="PageNumber"/>
        <w:sz w:val="28"/>
        <w:szCs w:val="28"/>
      </w:rPr>
      <w:t>9</w:t>
    </w:r>
    <w:r w:rsidRPr="00A34F0C">
      <w:rPr>
        <w:rStyle w:val="PageNumber"/>
        <w:sz w:val="28"/>
        <w:szCs w:val="28"/>
      </w:rPr>
      <w:fldChar w:fldCharType="end"/>
    </w:r>
  </w:p>
  <w:p w:rsidR="00C77E16" w:rsidRPr="00BF41F9" w:rsidP="008C093B" w14:paraId="1D2FAFE1" w14:textId="77777777">
    <w:pPr>
      <w:pStyle w:val="Header"/>
      <w:ind w:right="360"/>
      <w:rPr>
        <w:strike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D3"/>
    <w:rsid w:val="00002674"/>
    <w:rsid w:val="000043BD"/>
    <w:rsid w:val="000229CD"/>
    <w:rsid w:val="0002662D"/>
    <w:rsid w:val="00027E4E"/>
    <w:rsid w:val="000418BC"/>
    <w:rsid w:val="00045113"/>
    <w:rsid w:val="000626C8"/>
    <w:rsid w:val="00077EE5"/>
    <w:rsid w:val="000831F3"/>
    <w:rsid w:val="0008380B"/>
    <w:rsid w:val="00092DA1"/>
    <w:rsid w:val="000A215F"/>
    <w:rsid w:val="000A25DC"/>
    <w:rsid w:val="000C342A"/>
    <w:rsid w:val="000C765B"/>
    <w:rsid w:val="000D4463"/>
    <w:rsid w:val="000D6C89"/>
    <w:rsid w:val="000E3438"/>
    <w:rsid w:val="000F17CC"/>
    <w:rsid w:val="00105E96"/>
    <w:rsid w:val="00107F27"/>
    <w:rsid w:val="0012069C"/>
    <w:rsid w:val="00121214"/>
    <w:rsid w:val="00140875"/>
    <w:rsid w:val="00144A36"/>
    <w:rsid w:val="00151782"/>
    <w:rsid w:val="00167B69"/>
    <w:rsid w:val="001839D4"/>
    <w:rsid w:val="00184F1E"/>
    <w:rsid w:val="00196141"/>
    <w:rsid w:val="001A116E"/>
    <w:rsid w:val="001D23E1"/>
    <w:rsid w:val="001E1632"/>
    <w:rsid w:val="001E60D6"/>
    <w:rsid w:val="001F54B6"/>
    <w:rsid w:val="00206AA9"/>
    <w:rsid w:val="00206B05"/>
    <w:rsid w:val="002160F0"/>
    <w:rsid w:val="002174F3"/>
    <w:rsid w:val="00226287"/>
    <w:rsid w:val="002433F3"/>
    <w:rsid w:val="002548F7"/>
    <w:rsid w:val="00254A52"/>
    <w:rsid w:val="002645FC"/>
    <w:rsid w:val="00264866"/>
    <w:rsid w:val="002656FF"/>
    <w:rsid w:val="00271556"/>
    <w:rsid w:val="00273F38"/>
    <w:rsid w:val="00295BAC"/>
    <w:rsid w:val="002C0F99"/>
    <w:rsid w:val="002D482D"/>
    <w:rsid w:val="002E022F"/>
    <w:rsid w:val="002E7F49"/>
    <w:rsid w:val="00304444"/>
    <w:rsid w:val="00310F40"/>
    <w:rsid w:val="00310F7F"/>
    <w:rsid w:val="0035120A"/>
    <w:rsid w:val="003607DD"/>
    <w:rsid w:val="00375CEF"/>
    <w:rsid w:val="003763A1"/>
    <w:rsid w:val="003763C9"/>
    <w:rsid w:val="003770E0"/>
    <w:rsid w:val="00392973"/>
    <w:rsid w:val="003B5E4F"/>
    <w:rsid w:val="003C1F35"/>
    <w:rsid w:val="003E0C76"/>
    <w:rsid w:val="003E718C"/>
    <w:rsid w:val="003F44D2"/>
    <w:rsid w:val="00405030"/>
    <w:rsid w:val="00421654"/>
    <w:rsid w:val="004274FE"/>
    <w:rsid w:val="0043024A"/>
    <w:rsid w:val="004616AE"/>
    <w:rsid w:val="00463F4E"/>
    <w:rsid w:val="004650D0"/>
    <w:rsid w:val="00477A34"/>
    <w:rsid w:val="00481377"/>
    <w:rsid w:val="004C0021"/>
    <w:rsid w:val="004D009A"/>
    <w:rsid w:val="004E2576"/>
    <w:rsid w:val="00517B89"/>
    <w:rsid w:val="0053444B"/>
    <w:rsid w:val="00536B36"/>
    <w:rsid w:val="00537CC7"/>
    <w:rsid w:val="0055189F"/>
    <w:rsid w:val="00576E0D"/>
    <w:rsid w:val="005810CB"/>
    <w:rsid w:val="005B2143"/>
    <w:rsid w:val="005B5AAC"/>
    <w:rsid w:val="005C581B"/>
    <w:rsid w:val="005D1FE1"/>
    <w:rsid w:val="005E128F"/>
    <w:rsid w:val="005E134C"/>
    <w:rsid w:val="00622EE8"/>
    <w:rsid w:val="00627AFD"/>
    <w:rsid w:val="00637BDA"/>
    <w:rsid w:val="006575C1"/>
    <w:rsid w:val="00666AD5"/>
    <w:rsid w:val="00684A1A"/>
    <w:rsid w:val="006A06F3"/>
    <w:rsid w:val="006E2BB0"/>
    <w:rsid w:val="006E7FE1"/>
    <w:rsid w:val="006F4D85"/>
    <w:rsid w:val="006F5A15"/>
    <w:rsid w:val="00700B28"/>
    <w:rsid w:val="007030AF"/>
    <w:rsid w:val="00711A20"/>
    <w:rsid w:val="00733196"/>
    <w:rsid w:val="007568CE"/>
    <w:rsid w:val="00760D03"/>
    <w:rsid w:val="00765889"/>
    <w:rsid w:val="00780072"/>
    <w:rsid w:val="00794F1F"/>
    <w:rsid w:val="007A48C0"/>
    <w:rsid w:val="007D32FF"/>
    <w:rsid w:val="007E26E7"/>
    <w:rsid w:val="007E3EF7"/>
    <w:rsid w:val="007F1148"/>
    <w:rsid w:val="007F4E21"/>
    <w:rsid w:val="0082564C"/>
    <w:rsid w:val="0083772E"/>
    <w:rsid w:val="00866A9B"/>
    <w:rsid w:val="008928F6"/>
    <w:rsid w:val="008939B9"/>
    <w:rsid w:val="00897360"/>
    <w:rsid w:val="008C093B"/>
    <w:rsid w:val="008C1AD9"/>
    <w:rsid w:val="008C50EF"/>
    <w:rsid w:val="008E1599"/>
    <w:rsid w:val="008E6928"/>
    <w:rsid w:val="009164CB"/>
    <w:rsid w:val="009228C8"/>
    <w:rsid w:val="00926296"/>
    <w:rsid w:val="00961A64"/>
    <w:rsid w:val="00980F81"/>
    <w:rsid w:val="0098190B"/>
    <w:rsid w:val="00985086"/>
    <w:rsid w:val="00990320"/>
    <w:rsid w:val="00992224"/>
    <w:rsid w:val="009A458B"/>
    <w:rsid w:val="009B675F"/>
    <w:rsid w:val="00A20C2B"/>
    <w:rsid w:val="00A21D70"/>
    <w:rsid w:val="00A22673"/>
    <w:rsid w:val="00A2375C"/>
    <w:rsid w:val="00A25CA2"/>
    <w:rsid w:val="00A3074B"/>
    <w:rsid w:val="00A33D3E"/>
    <w:rsid w:val="00A34F0C"/>
    <w:rsid w:val="00A61A1D"/>
    <w:rsid w:val="00A86021"/>
    <w:rsid w:val="00AA234D"/>
    <w:rsid w:val="00AC0C89"/>
    <w:rsid w:val="00AC534D"/>
    <w:rsid w:val="00AD2C09"/>
    <w:rsid w:val="00AE1256"/>
    <w:rsid w:val="00AE4946"/>
    <w:rsid w:val="00AE6694"/>
    <w:rsid w:val="00AF6C55"/>
    <w:rsid w:val="00B16487"/>
    <w:rsid w:val="00B47962"/>
    <w:rsid w:val="00B635CA"/>
    <w:rsid w:val="00B665BC"/>
    <w:rsid w:val="00B66913"/>
    <w:rsid w:val="00B76C09"/>
    <w:rsid w:val="00BB0254"/>
    <w:rsid w:val="00BC3B4D"/>
    <w:rsid w:val="00BD1DD3"/>
    <w:rsid w:val="00BD4D4C"/>
    <w:rsid w:val="00BE2BD5"/>
    <w:rsid w:val="00BE5994"/>
    <w:rsid w:val="00BF41F9"/>
    <w:rsid w:val="00BF6D31"/>
    <w:rsid w:val="00C15B47"/>
    <w:rsid w:val="00C24C37"/>
    <w:rsid w:val="00C261F4"/>
    <w:rsid w:val="00C360F7"/>
    <w:rsid w:val="00C5005E"/>
    <w:rsid w:val="00C51455"/>
    <w:rsid w:val="00C52DA0"/>
    <w:rsid w:val="00C61825"/>
    <w:rsid w:val="00C65630"/>
    <w:rsid w:val="00C73DF1"/>
    <w:rsid w:val="00C77E16"/>
    <w:rsid w:val="00C85371"/>
    <w:rsid w:val="00C87DC2"/>
    <w:rsid w:val="00CA61FA"/>
    <w:rsid w:val="00CB2D23"/>
    <w:rsid w:val="00CB45B5"/>
    <w:rsid w:val="00CC0E72"/>
    <w:rsid w:val="00CD3F19"/>
    <w:rsid w:val="00D001FE"/>
    <w:rsid w:val="00D25B87"/>
    <w:rsid w:val="00D7113A"/>
    <w:rsid w:val="00D728D4"/>
    <w:rsid w:val="00D77400"/>
    <w:rsid w:val="00D97FA5"/>
    <w:rsid w:val="00DA0CA0"/>
    <w:rsid w:val="00DA55DC"/>
    <w:rsid w:val="00DC19E1"/>
    <w:rsid w:val="00DC76BC"/>
    <w:rsid w:val="00DD6CC3"/>
    <w:rsid w:val="00DE2324"/>
    <w:rsid w:val="00E01314"/>
    <w:rsid w:val="00E36F9F"/>
    <w:rsid w:val="00E53AAF"/>
    <w:rsid w:val="00E90422"/>
    <w:rsid w:val="00E92F42"/>
    <w:rsid w:val="00EA233C"/>
    <w:rsid w:val="00EC3F0B"/>
    <w:rsid w:val="00ED1C40"/>
    <w:rsid w:val="00EE0F61"/>
    <w:rsid w:val="00EE4472"/>
    <w:rsid w:val="00EE5D4A"/>
    <w:rsid w:val="00EF4164"/>
    <w:rsid w:val="00EF6C96"/>
    <w:rsid w:val="00F04CC2"/>
    <w:rsid w:val="00F43291"/>
    <w:rsid w:val="00F45754"/>
    <w:rsid w:val="00F56104"/>
    <w:rsid w:val="00F754E7"/>
    <w:rsid w:val="00F7654D"/>
    <w:rsid w:val="00F80B2D"/>
    <w:rsid w:val="00FA0F0C"/>
    <w:rsid w:val="00FB52E0"/>
    <w:rsid w:val="00FB646F"/>
  </w:rsids>
  <w:docVars>
    <w:docVar w:name="LW_DocType" w:val="NORMAL"/>
  </w:docVars>
  <m:mathPr>
    <m:mathFont m:val="Cambria Math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E9CC2E63-74E2-48FA-B12F-188656D8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7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76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7654D"/>
    <w:rPr>
      <w:vertAlign w:val="superscript"/>
    </w:rPr>
  </w:style>
  <w:style w:type="paragraph" w:styleId="Header">
    <w:name w:val="header"/>
    <w:basedOn w:val="Normal"/>
    <w:link w:val="HeaderChar"/>
    <w:rsid w:val="00F76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F76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7654D"/>
  </w:style>
  <w:style w:type="paragraph" w:styleId="Footer">
    <w:name w:val="footer"/>
    <w:basedOn w:val="Normal"/>
    <w:link w:val="FooterChar"/>
    <w:uiPriority w:val="99"/>
    <w:unhideWhenUsed/>
    <w:rsid w:val="0076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03"/>
  </w:style>
  <w:style w:type="paragraph" w:styleId="BalloonText">
    <w:name w:val="Balloon Text"/>
    <w:basedOn w:val="Normal"/>
    <w:link w:val="BalloonTextChar"/>
    <w:uiPriority w:val="99"/>
    <w:semiHidden/>
    <w:unhideWhenUsed/>
    <w:rsid w:val="005B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3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F38"/>
    <w:rPr>
      <w:b/>
      <w:bCs/>
      <w:sz w:val="20"/>
      <w:szCs w:val="20"/>
    </w:rPr>
  </w:style>
  <w:style w:type="character" w:customStyle="1" w:styleId="st">
    <w:name w:val="st"/>
    <w:basedOn w:val="DefaultParagraphFont"/>
    <w:rsid w:val="00A33D3E"/>
  </w:style>
  <w:style w:type="character" w:styleId="Emphasis">
    <w:name w:val="Emphasis"/>
    <w:basedOn w:val="DefaultParagraphFont"/>
    <w:uiPriority w:val="20"/>
    <w:qFormat/>
    <w:rsid w:val="00A33D3E"/>
    <w:rPr>
      <w:i/>
      <w:iCs/>
    </w:rPr>
  </w:style>
  <w:style w:type="paragraph" w:customStyle="1" w:styleId="Default">
    <w:name w:val="Default"/>
    <w:rsid w:val="000A2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5D78-B6A8-4579-9412-16E3EE87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6923</Words>
  <Characters>3947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2.pielikums Papildinājumam vienošanās par Latvijas-Krievijas pārrobežu sadarbības programmas 2014.-2020.gadam finansēšanu un īstenošanu angļu valodā</vt:lpstr>
      <vt:lpstr/>
    </vt:vector>
  </TitlesOfParts>
  <Company>VARAM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Papildinājumam vienošanās par Latvijas-Krievijas pārrobežu sadarbības programmas 2014.-2020.gadam finansēšanu un īstenošanu angļu valodā</dc:title>
  <dc:description>Natālija Kulakova, 67 026 481</dc:description>
  <cp:lastModifiedBy>Natālija Kulakova</cp:lastModifiedBy>
  <cp:revision>11</cp:revision>
  <cp:lastPrinted>2017-06-19T13:46:00Z</cp:lastPrinted>
  <dcterms:created xsi:type="dcterms:W3CDTF">2017-06-29T13:24:00Z</dcterms:created>
  <dcterms:modified xsi:type="dcterms:W3CDTF">2017-11-06T15:46:00Z</dcterms:modified>
</cp:coreProperties>
</file>