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D6" w:rsidRDefault="003B33D6" w:rsidP="008412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4126E" w:rsidRDefault="00011AB2" w:rsidP="0084126E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ADDENDUM</w:t>
      </w:r>
      <w:r w:rsidR="0084126E">
        <w:rPr>
          <w:b/>
          <w:bCs/>
          <w:sz w:val="28"/>
          <w:szCs w:val="28"/>
          <w:lang w:val="en-US"/>
        </w:rPr>
        <w:t xml:space="preserve"> </w:t>
      </w:r>
      <w:r w:rsidR="0086488F">
        <w:rPr>
          <w:b/>
          <w:bCs/>
          <w:sz w:val="28"/>
          <w:szCs w:val="28"/>
          <w:lang w:val="en-US"/>
        </w:rPr>
        <w:t>TO</w:t>
      </w:r>
      <w:r w:rsidR="0084126E">
        <w:rPr>
          <w:b/>
          <w:bCs/>
          <w:sz w:val="28"/>
          <w:szCs w:val="28"/>
          <w:lang w:val="en-US"/>
        </w:rPr>
        <w:t xml:space="preserve"> THE </w:t>
      </w:r>
    </w:p>
    <w:p w:rsidR="0084126E" w:rsidRDefault="0084126E" w:rsidP="0084126E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AGREEMENT </w:t>
      </w:r>
    </w:p>
    <w:p w:rsidR="0084126E" w:rsidRPr="00DA0CA0" w:rsidRDefault="0084126E" w:rsidP="0084126E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 w:rsidRPr="00DA0CA0">
        <w:rPr>
          <w:b/>
          <w:bCs/>
          <w:sz w:val="28"/>
          <w:szCs w:val="28"/>
          <w:lang w:val="en-US"/>
        </w:rPr>
        <w:t>on</w:t>
      </w:r>
      <w:proofErr w:type="gramEnd"/>
      <w:r w:rsidRPr="00DA0CA0">
        <w:rPr>
          <w:b/>
          <w:bCs/>
          <w:sz w:val="28"/>
          <w:szCs w:val="28"/>
          <w:lang w:val="en-US"/>
        </w:rPr>
        <w:t xml:space="preserve"> financing and implementation of </w:t>
      </w:r>
    </w:p>
    <w:p w:rsidR="0084126E" w:rsidRDefault="0084126E" w:rsidP="0084126E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DA0CA0">
        <w:rPr>
          <w:b/>
          <w:bCs/>
          <w:sz w:val="28"/>
          <w:szCs w:val="28"/>
          <w:lang w:val="en-US"/>
        </w:rPr>
        <w:t>Cross Border Cooperation Programme</w:t>
      </w:r>
    </w:p>
    <w:p w:rsidR="0084126E" w:rsidRPr="00320AD6" w:rsidRDefault="0084126E" w:rsidP="0084126E">
      <w:pPr>
        <w:pStyle w:val="Default"/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"</w:t>
      </w:r>
      <w:r w:rsidR="00E31358" w:rsidRPr="00E31358">
        <w:rPr>
          <w:b/>
          <w:bCs/>
          <w:sz w:val="28"/>
          <w:szCs w:val="28"/>
          <w:lang w:val="en-US"/>
        </w:rPr>
        <w:t>Latvia</w:t>
      </w:r>
      <w:r w:rsidR="00515318" w:rsidRPr="00395BA4">
        <w:rPr>
          <w:b/>
          <w:bCs/>
          <w:sz w:val="28"/>
          <w:szCs w:val="28"/>
          <w:lang w:val="en-US"/>
        </w:rPr>
        <w:t xml:space="preserve"> </w:t>
      </w:r>
      <w:r w:rsidR="00515318">
        <w:rPr>
          <w:b/>
          <w:bCs/>
          <w:sz w:val="28"/>
          <w:szCs w:val="28"/>
          <w:lang w:val="en-US"/>
        </w:rPr>
        <w:t>–</w:t>
      </w:r>
      <w:r w:rsidR="00515318" w:rsidRPr="00395BA4">
        <w:rPr>
          <w:b/>
          <w:bCs/>
          <w:sz w:val="28"/>
          <w:szCs w:val="28"/>
          <w:lang w:val="en-US"/>
        </w:rPr>
        <w:t xml:space="preserve"> </w:t>
      </w:r>
      <w:r w:rsidR="00E31358" w:rsidRPr="00E31358">
        <w:rPr>
          <w:b/>
          <w:bCs/>
          <w:sz w:val="28"/>
          <w:szCs w:val="28"/>
          <w:lang w:val="en-US"/>
        </w:rPr>
        <w:t>Russia</w:t>
      </w:r>
      <w:r>
        <w:rPr>
          <w:b/>
          <w:bCs/>
          <w:sz w:val="28"/>
          <w:szCs w:val="28"/>
          <w:lang w:val="en-US"/>
        </w:rPr>
        <w:t>" 2014-2020</w:t>
      </w:r>
    </w:p>
    <w:p w:rsidR="0084126E" w:rsidRPr="00DA0CA0" w:rsidRDefault="0084126E" w:rsidP="0084126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84126E" w:rsidRDefault="0084126E" w:rsidP="0084126E">
      <w:pPr>
        <w:pStyle w:val="Default"/>
        <w:spacing w:line="360" w:lineRule="auto"/>
        <w:ind w:firstLine="709"/>
        <w:jc w:val="center"/>
        <w:rPr>
          <w:sz w:val="28"/>
          <w:szCs w:val="28"/>
          <w:lang w:val="en-GB"/>
        </w:rPr>
      </w:pPr>
    </w:p>
    <w:p w:rsidR="00A717C5" w:rsidRPr="00A717C5" w:rsidRDefault="00011AB2" w:rsidP="00A717C5">
      <w:pPr>
        <w:pStyle w:val="Default"/>
        <w:jc w:val="both"/>
        <w:rPr>
          <w:sz w:val="28"/>
          <w:szCs w:val="28"/>
          <w:lang w:val="en-US"/>
        </w:rPr>
      </w:pPr>
      <w:r w:rsidRPr="00EA7DAA">
        <w:rPr>
          <w:sz w:val="28"/>
          <w:szCs w:val="28"/>
          <w:lang w:val="en-US"/>
        </w:rPr>
        <w:t xml:space="preserve">The European Commission, acting on behalf of the European Union, the Government of the Russian Federation, acting on behalf of the Russian Federation, and </w:t>
      </w:r>
      <w:r w:rsidR="00A717C5" w:rsidRPr="00A717C5">
        <w:rPr>
          <w:sz w:val="28"/>
          <w:szCs w:val="28"/>
          <w:lang w:val="en-US"/>
        </w:rPr>
        <w:br/>
      </w:r>
      <w:r w:rsidR="00A717C5" w:rsidRPr="00A717C5">
        <w:rPr>
          <w:sz w:val="28"/>
          <w:szCs w:val="28"/>
          <w:lang w:val="en-GB"/>
        </w:rPr>
        <w:t xml:space="preserve">the Government of the Republic of Latvia, acting on behalf of the Republic of Latvia, hereinafter collectively referred to as "the Parties", </w:t>
      </w:r>
    </w:p>
    <w:p w:rsidR="00A717C5" w:rsidRPr="00F53CC8" w:rsidRDefault="00A717C5" w:rsidP="00011AB2">
      <w:pPr>
        <w:pStyle w:val="Default"/>
        <w:jc w:val="both"/>
        <w:rPr>
          <w:sz w:val="28"/>
          <w:szCs w:val="28"/>
          <w:lang w:val="en-US"/>
        </w:rPr>
      </w:pPr>
    </w:p>
    <w:p w:rsidR="00011AB2" w:rsidRDefault="0050388B" w:rsidP="00011AB2">
      <w:pPr>
        <w:pStyle w:val="Default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in </w:t>
      </w:r>
      <w:r w:rsidR="00011AB2">
        <w:rPr>
          <w:sz w:val="28"/>
          <w:szCs w:val="28"/>
          <w:lang w:val="en-GB"/>
        </w:rPr>
        <w:t xml:space="preserve">accordance with Article 10 </w:t>
      </w:r>
      <w:r w:rsidR="0062631D">
        <w:rPr>
          <w:sz w:val="28"/>
          <w:szCs w:val="28"/>
          <w:lang w:val="en-GB"/>
        </w:rPr>
        <w:t xml:space="preserve">of </w:t>
      </w:r>
      <w:r w:rsidR="00011AB2">
        <w:rPr>
          <w:sz w:val="28"/>
          <w:szCs w:val="28"/>
          <w:lang w:val="en-GB"/>
        </w:rPr>
        <w:t xml:space="preserve">the Agreement </w:t>
      </w:r>
      <w:r w:rsidR="00011AB2" w:rsidRPr="0084126E">
        <w:rPr>
          <w:bCs/>
          <w:sz w:val="28"/>
          <w:szCs w:val="28"/>
          <w:lang w:val="en-US"/>
        </w:rPr>
        <w:t xml:space="preserve">on financing and implementation </w:t>
      </w:r>
      <w:r w:rsidR="00185A55" w:rsidRPr="00185A55">
        <w:rPr>
          <w:bCs/>
          <w:sz w:val="28"/>
          <w:szCs w:val="28"/>
          <w:lang w:val="en-US"/>
        </w:rPr>
        <w:br/>
      </w:r>
      <w:r w:rsidR="00011AB2" w:rsidRPr="0084126E">
        <w:rPr>
          <w:bCs/>
          <w:sz w:val="28"/>
          <w:szCs w:val="28"/>
          <w:lang w:val="en-US"/>
        </w:rPr>
        <w:t xml:space="preserve">of </w:t>
      </w:r>
      <w:r w:rsidR="00011AB2">
        <w:rPr>
          <w:bCs/>
          <w:sz w:val="28"/>
          <w:szCs w:val="28"/>
          <w:lang w:val="en-US"/>
        </w:rPr>
        <w:t xml:space="preserve">the </w:t>
      </w:r>
      <w:r w:rsidR="00011AB2" w:rsidRPr="0084126E">
        <w:rPr>
          <w:bCs/>
          <w:sz w:val="28"/>
          <w:szCs w:val="28"/>
          <w:lang w:val="en-US"/>
        </w:rPr>
        <w:t>Cross Border Cooperation Programme</w:t>
      </w:r>
      <w:r w:rsidR="00011AB2">
        <w:rPr>
          <w:bCs/>
          <w:sz w:val="28"/>
          <w:szCs w:val="28"/>
          <w:lang w:val="en-US"/>
        </w:rPr>
        <w:t xml:space="preserve"> </w:t>
      </w:r>
      <w:r w:rsidR="00011AB2" w:rsidRPr="0084126E">
        <w:rPr>
          <w:bCs/>
          <w:sz w:val="28"/>
          <w:szCs w:val="28"/>
          <w:lang w:val="en-US"/>
        </w:rPr>
        <w:t>"</w:t>
      </w:r>
      <w:r w:rsidR="00A717C5" w:rsidRPr="00A717C5">
        <w:rPr>
          <w:bCs/>
          <w:sz w:val="28"/>
          <w:szCs w:val="28"/>
          <w:lang w:val="en-US"/>
        </w:rPr>
        <w:t>Latvia</w:t>
      </w:r>
      <w:r w:rsidR="00395BA4" w:rsidRPr="00395BA4">
        <w:rPr>
          <w:bCs/>
          <w:sz w:val="28"/>
          <w:szCs w:val="28"/>
          <w:lang w:val="en-US"/>
        </w:rPr>
        <w:t xml:space="preserve"> </w:t>
      </w:r>
      <w:r w:rsidR="00395BA4">
        <w:rPr>
          <w:b/>
          <w:bCs/>
          <w:sz w:val="28"/>
          <w:szCs w:val="28"/>
          <w:lang w:val="en-US"/>
        </w:rPr>
        <w:t>–</w:t>
      </w:r>
      <w:r w:rsidR="00395BA4" w:rsidRPr="00395BA4">
        <w:rPr>
          <w:b/>
          <w:bCs/>
          <w:sz w:val="28"/>
          <w:szCs w:val="28"/>
          <w:lang w:val="en-US"/>
        </w:rPr>
        <w:t xml:space="preserve"> </w:t>
      </w:r>
      <w:r w:rsidR="00011AB2" w:rsidRPr="0084126E">
        <w:rPr>
          <w:bCs/>
          <w:sz w:val="28"/>
          <w:szCs w:val="28"/>
          <w:lang w:val="en-US"/>
        </w:rPr>
        <w:t>Russia" 2014-2020</w:t>
      </w:r>
      <w:r w:rsidR="00EA7DAA" w:rsidRPr="00F53CC8">
        <w:rPr>
          <w:bCs/>
          <w:sz w:val="28"/>
          <w:szCs w:val="28"/>
          <w:lang w:val="en-US"/>
        </w:rPr>
        <w:t xml:space="preserve"> </w:t>
      </w:r>
      <w:r w:rsidR="00EA7DAA" w:rsidRPr="00EA7DAA">
        <w:rPr>
          <w:bCs/>
          <w:sz w:val="28"/>
          <w:szCs w:val="28"/>
          <w:lang w:val="en-US"/>
        </w:rPr>
        <w:t>(Special Conditions)</w:t>
      </w:r>
      <w:r w:rsidR="00011AB2">
        <w:rPr>
          <w:bCs/>
          <w:sz w:val="28"/>
          <w:szCs w:val="28"/>
          <w:lang w:val="en-US"/>
        </w:rPr>
        <w:t>,</w:t>
      </w:r>
      <w:r>
        <w:rPr>
          <w:bCs/>
          <w:sz w:val="28"/>
          <w:szCs w:val="28"/>
          <w:lang w:val="en-US"/>
        </w:rPr>
        <w:t xml:space="preserve"> signed in December 2016, </w:t>
      </w:r>
      <w:r w:rsidR="00EA7DAA" w:rsidRPr="00EA7DAA">
        <w:rPr>
          <w:bCs/>
          <w:sz w:val="28"/>
          <w:szCs w:val="28"/>
          <w:lang w:val="en-US"/>
        </w:rPr>
        <w:t xml:space="preserve">hereinafter referred to as "the Agreement", </w:t>
      </w:r>
      <w:r>
        <w:rPr>
          <w:bCs/>
          <w:sz w:val="28"/>
          <w:szCs w:val="28"/>
          <w:lang w:val="en-US"/>
        </w:rPr>
        <w:t xml:space="preserve">have agreed to apply the alternate rule and to implement </w:t>
      </w:r>
      <w:r w:rsidR="00011AB2">
        <w:rPr>
          <w:bCs/>
          <w:sz w:val="28"/>
          <w:szCs w:val="28"/>
          <w:lang w:val="en-US"/>
        </w:rPr>
        <w:t>some technical minor adjustments</w:t>
      </w:r>
      <w:r>
        <w:rPr>
          <w:bCs/>
          <w:sz w:val="28"/>
          <w:szCs w:val="28"/>
          <w:lang w:val="en-US"/>
        </w:rPr>
        <w:t xml:space="preserve"> to the Agreement as follows:</w:t>
      </w:r>
    </w:p>
    <w:p w:rsidR="00011AB2" w:rsidRDefault="00011AB2" w:rsidP="00011AB2">
      <w:pPr>
        <w:pStyle w:val="Default"/>
        <w:jc w:val="both"/>
        <w:rPr>
          <w:bCs/>
          <w:sz w:val="28"/>
          <w:szCs w:val="28"/>
          <w:lang w:val="en-US"/>
        </w:rPr>
      </w:pPr>
    </w:p>
    <w:p w:rsidR="00011AB2" w:rsidRDefault="00011AB2" w:rsidP="0050388B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Provisions affected by the alternate rule (both in the English and Russian versions) </w:t>
      </w:r>
      <w:proofErr w:type="gramStart"/>
      <w:r>
        <w:rPr>
          <w:bCs/>
          <w:sz w:val="28"/>
          <w:szCs w:val="28"/>
          <w:lang w:val="en-US"/>
        </w:rPr>
        <w:t>are hereby listed</w:t>
      </w:r>
      <w:proofErr w:type="gramEnd"/>
      <w:r>
        <w:rPr>
          <w:bCs/>
          <w:sz w:val="28"/>
          <w:szCs w:val="28"/>
          <w:lang w:val="en-US"/>
        </w:rPr>
        <w:t xml:space="preserve">: title of the Agreement, Preamble, Article 1, </w:t>
      </w:r>
      <w:r w:rsidR="00EA7DAA" w:rsidRPr="00EA7DAA">
        <w:rPr>
          <w:bCs/>
          <w:sz w:val="28"/>
          <w:szCs w:val="28"/>
          <w:lang w:val="en-GB"/>
        </w:rPr>
        <w:t>paragraph</w:t>
      </w:r>
      <w:r w:rsidR="00EA7DAA" w:rsidRPr="00EA7DAA">
        <w:rPr>
          <w:bCs/>
          <w:sz w:val="28"/>
          <w:szCs w:val="28"/>
          <w:lang w:val="en-US"/>
        </w:rPr>
        <w:t xml:space="preserve"> 2.1 of </w:t>
      </w:r>
      <w:r>
        <w:rPr>
          <w:bCs/>
          <w:sz w:val="28"/>
          <w:szCs w:val="28"/>
          <w:lang w:val="en-US"/>
        </w:rPr>
        <w:t xml:space="preserve">Article 2 and signature of the </w:t>
      </w:r>
      <w:r w:rsidR="00EA7DAA">
        <w:rPr>
          <w:bCs/>
          <w:sz w:val="28"/>
          <w:szCs w:val="28"/>
          <w:lang w:val="en-US"/>
        </w:rPr>
        <w:t>Agreement (</w:t>
      </w:r>
      <w:r>
        <w:rPr>
          <w:bCs/>
          <w:sz w:val="28"/>
          <w:szCs w:val="28"/>
          <w:lang w:val="en-US"/>
        </w:rPr>
        <w:t>Special Conditions</w:t>
      </w:r>
      <w:r w:rsidR="00EA7DAA"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 xml:space="preserve">; </w:t>
      </w:r>
      <w:r w:rsidR="00EA7DAA" w:rsidRPr="00EA7DAA">
        <w:rPr>
          <w:bCs/>
          <w:sz w:val="28"/>
          <w:szCs w:val="28"/>
          <w:lang w:val="en-GB"/>
        </w:rPr>
        <w:t>paragraphs</w:t>
      </w:r>
      <w:r w:rsidR="00EA7DAA" w:rsidRPr="00EA7DAA">
        <w:rPr>
          <w:bCs/>
          <w:sz w:val="28"/>
          <w:szCs w:val="28"/>
          <w:lang w:val="en-US"/>
        </w:rPr>
        <w:t xml:space="preserve"> 5.3 and 5.4 of </w:t>
      </w:r>
      <w:r>
        <w:rPr>
          <w:bCs/>
          <w:sz w:val="28"/>
          <w:szCs w:val="28"/>
          <w:lang w:val="en-US"/>
        </w:rPr>
        <w:t xml:space="preserve">Article 5of Annex I (General Conditions). </w:t>
      </w:r>
    </w:p>
    <w:p w:rsidR="00011AB2" w:rsidRDefault="00011AB2" w:rsidP="00011AB2">
      <w:pPr>
        <w:pStyle w:val="Default"/>
        <w:jc w:val="both"/>
        <w:rPr>
          <w:bCs/>
          <w:sz w:val="28"/>
          <w:szCs w:val="28"/>
          <w:lang w:val="en-US"/>
        </w:rPr>
      </w:pPr>
    </w:p>
    <w:p w:rsidR="00011AB2" w:rsidRDefault="00011AB2" w:rsidP="0050388B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The technical adjustments of the Agreement and its Annex I (General Conditions) in the English and Russian versions </w:t>
      </w:r>
      <w:proofErr w:type="gramStart"/>
      <w:r>
        <w:rPr>
          <w:bCs/>
          <w:sz w:val="28"/>
          <w:szCs w:val="28"/>
          <w:lang w:val="en-US"/>
        </w:rPr>
        <w:t>are detailed</w:t>
      </w:r>
      <w:proofErr w:type="gramEnd"/>
      <w:r>
        <w:rPr>
          <w:bCs/>
          <w:sz w:val="28"/>
          <w:szCs w:val="28"/>
          <w:lang w:val="en-US"/>
        </w:rPr>
        <w:t xml:space="preserve"> in the attached table. </w:t>
      </w:r>
    </w:p>
    <w:p w:rsidR="00011AB2" w:rsidRDefault="00011AB2" w:rsidP="00011AB2">
      <w:pPr>
        <w:pStyle w:val="Default"/>
        <w:jc w:val="both"/>
        <w:rPr>
          <w:bCs/>
          <w:sz w:val="28"/>
          <w:szCs w:val="28"/>
          <w:lang w:val="en-US"/>
        </w:rPr>
      </w:pPr>
    </w:p>
    <w:p w:rsidR="00011AB2" w:rsidRDefault="0050388B" w:rsidP="00011AB2">
      <w:pPr>
        <w:pStyle w:val="Default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 corrected and r</w:t>
      </w:r>
      <w:r w:rsidR="00011AB2">
        <w:rPr>
          <w:bCs/>
          <w:sz w:val="28"/>
          <w:szCs w:val="28"/>
          <w:lang w:val="en-US"/>
        </w:rPr>
        <w:t xml:space="preserve">estated </w:t>
      </w:r>
      <w:r>
        <w:rPr>
          <w:bCs/>
          <w:sz w:val="28"/>
          <w:szCs w:val="28"/>
          <w:lang w:val="en-US"/>
        </w:rPr>
        <w:t xml:space="preserve">text of the Agreement, duly signed by the authorized representatives of the Parties </w:t>
      </w:r>
      <w:r w:rsidR="00011AB2">
        <w:rPr>
          <w:bCs/>
          <w:sz w:val="28"/>
          <w:szCs w:val="28"/>
          <w:lang w:val="en-US"/>
        </w:rPr>
        <w:t xml:space="preserve">(in four original versions, in application of the alternate rule) </w:t>
      </w:r>
      <w:proofErr w:type="gramStart"/>
      <w:r w:rsidR="00011AB2">
        <w:rPr>
          <w:bCs/>
          <w:sz w:val="28"/>
          <w:szCs w:val="28"/>
          <w:lang w:val="en-US"/>
        </w:rPr>
        <w:t>shall be considered</w:t>
      </w:r>
      <w:proofErr w:type="gramEnd"/>
      <w:r w:rsidR="00011AB2">
        <w:rPr>
          <w:bCs/>
          <w:sz w:val="28"/>
          <w:szCs w:val="28"/>
          <w:lang w:val="en-US"/>
        </w:rPr>
        <w:t xml:space="preserve"> an integral part of this Addendum.  </w:t>
      </w:r>
    </w:p>
    <w:p w:rsidR="00011AB2" w:rsidRDefault="00BB5540" w:rsidP="00BB5540">
      <w:pPr>
        <w:pStyle w:val="Default"/>
        <w:tabs>
          <w:tab w:val="left" w:pos="7875"/>
        </w:tabs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</w:p>
    <w:p w:rsidR="0050388B" w:rsidRDefault="0050388B" w:rsidP="00011AB2">
      <w:pPr>
        <w:pStyle w:val="Default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The date of the signature of the Addendum by a Party </w:t>
      </w:r>
      <w:proofErr w:type="gramStart"/>
      <w:r>
        <w:rPr>
          <w:bCs/>
          <w:sz w:val="28"/>
          <w:szCs w:val="28"/>
          <w:lang w:val="en-US"/>
        </w:rPr>
        <w:t>will be considered</w:t>
      </w:r>
      <w:proofErr w:type="gramEnd"/>
      <w:r>
        <w:rPr>
          <w:bCs/>
          <w:sz w:val="28"/>
          <w:szCs w:val="28"/>
          <w:lang w:val="en-US"/>
        </w:rPr>
        <w:t xml:space="preserve"> as the date of the signature of the attached restated Agreement. </w:t>
      </w:r>
    </w:p>
    <w:p w:rsidR="0050388B" w:rsidRDefault="0050388B" w:rsidP="00011AB2">
      <w:pPr>
        <w:pStyle w:val="Default"/>
        <w:jc w:val="both"/>
        <w:rPr>
          <w:bCs/>
          <w:sz w:val="28"/>
          <w:szCs w:val="28"/>
          <w:lang w:val="en-US"/>
        </w:rPr>
      </w:pPr>
    </w:p>
    <w:p w:rsidR="00011AB2" w:rsidRDefault="00011AB2" w:rsidP="0050388B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Addendum</w:t>
      </w:r>
      <w:r w:rsidRPr="00FA69E2">
        <w:rPr>
          <w:sz w:val="28"/>
          <w:szCs w:val="28"/>
          <w:lang w:val="en-US"/>
        </w:rPr>
        <w:t xml:space="preserve"> shall come into </w:t>
      </w:r>
      <w:r w:rsidR="00EA7DAA">
        <w:rPr>
          <w:sz w:val="28"/>
          <w:szCs w:val="28"/>
          <w:lang w:val="en-US"/>
        </w:rPr>
        <w:t xml:space="preserve">force </w:t>
      </w:r>
      <w:r w:rsidR="0050388B">
        <w:rPr>
          <w:sz w:val="28"/>
          <w:szCs w:val="28"/>
          <w:lang w:val="en-US"/>
        </w:rPr>
        <w:t>upon the last signature of a Party.</w:t>
      </w:r>
    </w:p>
    <w:p w:rsidR="0050388B" w:rsidRPr="00FA69E2" w:rsidRDefault="0050388B" w:rsidP="0050388B">
      <w:pPr>
        <w:pStyle w:val="Default"/>
        <w:jc w:val="both"/>
        <w:rPr>
          <w:sz w:val="28"/>
          <w:szCs w:val="28"/>
          <w:lang w:val="en-US"/>
        </w:rPr>
      </w:pPr>
    </w:p>
    <w:p w:rsidR="003B33D6" w:rsidRPr="00F53CC8" w:rsidRDefault="003B33D6" w:rsidP="003B33D6">
      <w:pPr>
        <w:spacing w:after="14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B33D6" w:rsidRPr="00F53CC8" w:rsidRDefault="003B33D6" w:rsidP="003B33D6">
      <w:pPr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11AB2" w:rsidRPr="00F53CC8" w:rsidRDefault="00011AB2" w:rsidP="003B33D6">
      <w:pPr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69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Done in </w:t>
      </w:r>
      <w:r w:rsidR="0086488F">
        <w:rPr>
          <w:rFonts w:ascii="Times New Roman" w:eastAsia="Calibri" w:hAnsi="Times New Roman" w:cs="Times New Roman"/>
          <w:sz w:val="28"/>
          <w:szCs w:val="28"/>
          <w:lang w:val="en-US"/>
        </w:rPr>
        <w:t>three copies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86488F">
        <w:rPr>
          <w:rFonts w:ascii="Times New Roman" w:eastAsia="Calibri" w:hAnsi="Times New Roman" w:cs="Times New Roman"/>
          <w:sz w:val="28"/>
          <w:szCs w:val="28"/>
          <w:lang w:val="en-US"/>
        </w:rPr>
        <w:t>each in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English and Russian, </w:t>
      </w:r>
      <w:r w:rsidR="00FB31C5">
        <w:rPr>
          <w:rFonts w:ascii="Times New Roman" w:eastAsia="Calibri" w:hAnsi="Times New Roman" w:cs="Times New Roman"/>
          <w:sz w:val="28"/>
          <w:szCs w:val="28"/>
          <w:lang w:val="en-US"/>
        </w:rPr>
        <w:t>one for each P</w:t>
      </w:r>
      <w:r w:rsidR="008648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arty, all </w:t>
      </w:r>
      <w:r w:rsidR="00EA7DAA" w:rsidRPr="00EA7DAA">
        <w:rPr>
          <w:rFonts w:ascii="Times New Roman" w:eastAsia="Calibri" w:hAnsi="Times New Roman" w:cs="Times New Roman"/>
          <w:sz w:val="28"/>
          <w:szCs w:val="28"/>
          <w:lang w:val="en-US"/>
        </w:rPr>
        <w:t>texts having equal legal effect</w:t>
      </w:r>
      <w:r w:rsidR="005038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3B33D6" w:rsidRPr="00F53CC8" w:rsidRDefault="003B33D6" w:rsidP="003B33D6">
      <w:pPr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011AB2" w:rsidRPr="00A06BF7" w:rsidTr="00C22969">
        <w:trPr>
          <w:trHeight w:val="1664"/>
        </w:trPr>
        <w:tc>
          <w:tcPr>
            <w:tcW w:w="3356" w:type="dxa"/>
            <w:hideMark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FOR THE </w:t>
            </w:r>
            <w:r w:rsidR="004F4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EUROPEAN</w:t>
            </w:r>
          </w:p>
          <w:p w:rsidR="00011AB2" w:rsidRPr="00A06BF7" w:rsidRDefault="00011AB2" w:rsidP="00F53C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COMMISSION</w:t>
            </w:r>
          </w:p>
        </w:tc>
        <w:tc>
          <w:tcPr>
            <w:tcW w:w="3356" w:type="dxa"/>
            <w:hideMark/>
          </w:tcPr>
          <w:p w:rsidR="00011AB2" w:rsidRPr="00A06BF7" w:rsidRDefault="00011AB2" w:rsidP="00F53C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FOR THE GOVERNMENT OF THE RUSSIAN FEDERATION</w:t>
            </w:r>
          </w:p>
        </w:tc>
        <w:tc>
          <w:tcPr>
            <w:tcW w:w="3356" w:type="dxa"/>
            <w:hideMark/>
          </w:tcPr>
          <w:p w:rsidR="00011AB2" w:rsidRPr="00A06BF7" w:rsidRDefault="00CB4F2B" w:rsidP="00F53C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4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FOR THE GOVERNMENT OF THE REPUBLIC OF LATVIA</w:t>
            </w:r>
          </w:p>
        </w:tc>
      </w:tr>
      <w:tr w:rsidR="00011AB2" w:rsidRPr="00A06BF7" w:rsidTr="00C22969">
        <w:trPr>
          <w:trHeight w:val="2046"/>
        </w:trPr>
        <w:tc>
          <w:tcPr>
            <w:tcW w:w="3356" w:type="dxa"/>
            <w:hideMark/>
          </w:tcPr>
          <w:p w:rsidR="00F74B07" w:rsidRDefault="00F74B07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85BBE" w:rsidRDefault="00011AB2" w:rsidP="00F74B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Lawrence Meredith</w:t>
            </w:r>
          </w:p>
          <w:p w:rsidR="00011AB2" w:rsidRPr="00A06BF7" w:rsidRDefault="00011AB2" w:rsidP="0078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Director Neighbourhood East</w:t>
            </w:r>
          </w:p>
        </w:tc>
        <w:tc>
          <w:tcPr>
            <w:tcW w:w="3356" w:type="dxa"/>
            <w:hideMark/>
          </w:tcPr>
          <w:p w:rsidR="00F74B07" w:rsidRDefault="00F74B07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F5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6" w:type="dxa"/>
            <w:hideMark/>
          </w:tcPr>
          <w:p w:rsidR="00F74B07" w:rsidRDefault="00F74B07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4F2B" w:rsidRPr="00CB4F2B" w:rsidRDefault="00CB4F2B" w:rsidP="00CB4F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4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Kaspars </w:t>
            </w:r>
            <w:proofErr w:type="spellStart"/>
            <w:r w:rsidRPr="00CB4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Gerhards</w:t>
            </w:r>
            <w:proofErr w:type="spellEnd"/>
          </w:p>
          <w:p w:rsidR="00CB4F2B" w:rsidRPr="00CB4F2B" w:rsidRDefault="00CB4F2B" w:rsidP="00CB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4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Minister of Environmental Protection and Regional Development </w:t>
            </w:r>
          </w:p>
          <w:p w:rsidR="0050388B" w:rsidRPr="00A06BF7" w:rsidRDefault="00CB4F2B" w:rsidP="00F53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4F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of the Republic of Latvia</w:t>
            </w:r>
          </w:p>
        </w:tc>
      </w:tr>
      <w:tr w:rsidR="00011AB2" w:rsidRPr="00A06BF7" w:rsidTr="00C22969">
        <w:trPr>
          <w:trHeight w:val="1902"/>
        </w:trPr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Signature</w:t>
            </w:r>
          </w:p>
        </w:tc>
      </w:tr>
      <w:tr w:rsidR="00011AB2" w:rsidRPr="00A06BF7" w:rsidTr="00C22969">
        <w:trPr>
          <w:trHeight w:val="1098"/>
        </w:trPr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ind w:firstLine="5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ind w:firstLine="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356" w:type="dxa"/>
          </w:tcPr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1AB2" w:rsidRPr="00A06BF7" w:rsidRDefault="00011AB2" w:rsidP="00B5294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06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Date</w:t>
            </w:r>
          </w:p>
        </w:tc>
      </w:tr>
      <w:tr w:rsidR="00C22969" w:rsidRPr="00A06BF7" w:rsidTr="00C22969">
        <w:trPr>
          <w:trHeight w:val="1098"/>
        </w:trPr>
        <w:tc>
          <w:tcPr>
            <w:tcW w:w="3356" w:type="dxa"/>
          </w:tcPr>
          <w:p w:rsidR="00C22969" w:rsidRDefault="00C22969" w:rsidP="00C229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22969" w:rsidRPr="00C22969" w:rsidRDefault="00E52B69" w:rsidP="00C229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Place</w:t>
            </w:r>
          </w:p>
        </w:tc>
        <w:tc>
          <w:tcPr>
            <w:tcW w:w="3356" w:type="dxa"/>
          </w:tcPr>
          <w:p w:rsidR="00C22969" w:rsidRPr="00C22969" w:rsidRDefault="00C22969" w:rsidP="00C229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22969" w:rsidRPr="00C22969" w:rsidRDefault="00E52B69" w:rsidP="00C22969">
            <w:pPr>
              <w:autoSpaceDE w:val="0"/>
              <w:autoSpaceDN w:val="0"/>
              <w:adjustRightInd w:val="0"/>
              <w:spacing w:after="0" w:line="360" w:lineRule="auto"/>
              <w:ind w:firstLine="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Place</w:t>
            </w:r>
          </w:p>
        </w:tc>
        <w:tc>
          <w:tcPr>
            <w:tcW w:w="3356" w:type="dxa"/>
          </w:tcPr>
          <w:p w:rsidR="00C22969" w:rsidRDefault="00C22969" w:rsidP="00C229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22969" w:rsidRPr="00C22969" w:rsidRDefault="00E52B69" w:rsidP="00C229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Place</w:t>
            </w:r>
          </w:p>
        </w:tc>
      </w:tr>
    </w:tbl>
    <w:p w:rsidR="00022403" w:rsidRDefault="00022403" w:rsidP="00022403">
      <w:pPr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22403" w:rsidRPr="00A03D5E" w:rsidRDefault="00022403" w:rsidP="0002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03D5E">
        <w:rPr>
          <w:rFonts w:ascii="Times New Roman" w:eastAsia="Times New Roman" w:hAnsi="Times New Roman" w:cs="Times New Roman"/>
          <w:sz w:val="20"/>
          <w:szCs w:val="20"/>
        </w:rPr>
        <w:t>N.Kulakova</w:t>
      </w:r>
      <w:bookmarkStart w:id="0" w:name="_GoBack"/>
      <w:bookmarkEnd w:id="0"/>
      <w:proofErr w:type="spellEnd"/>
    </w:p>
    <w:p w:rsidR="00022403" w:rsidRPr="00A03D5E" w:rsidRDefault="00022403" w:rsidP="000224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3D5E">
        <w:rPr>
          <w:rFonts w:ascii="Times New Roman" w:eastAsia="Times New Roman" w:hAnsi="Times New Roman" w:cs="Times New Roman"/>
          <w:sz w:val="20"/>
          <w:szCs w:val="20"/>
        </w:rPr>
        <w:t>67026481</w:t>
      </w:r>
      <w:proofErr w:type="gramEnd"/>
      <w:r w:rsidRPr="00A03D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8" w:history="1">
        <w:r w:rsidRPr="00A03D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natalija.kulakova@varam.gov.lv</w:t>
        </w:r>
      </w:hyperlink>
      <w:r w:rsidRPr="00A03D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11AB2" w:rsidRDefault="00A6731E" w:rsidP="00A6731E">
      <w:pPr>
        <w:pStyle w:val="Default"/>
        <w:tabs>
          <w:tab w:val="left" w:pos="8940"/>
        </w:tabs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sectPr w:rsidR="00011AB2" w:rsidSect="00F53CC8">
      <w:headerReference w:type="default" r:id="rId9"/>
      <w:footerReference w:type="default" r:id="rId10"/>
      <w:footerReference w:type="first" r:id="rId11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53" w:rsidRDefault="00344C53" w:rsidP="00FA69E2">
      <w:pPr>
        <w:spacing w:after="0" w:line="240" w:lineRule="auto"/>
      </w:pPr>
      <w:r>
        <w:separator/>
      </w:r>
    </w:p>
  </w:endnote>
  <w:endnote w:type="continuationSeparator" w:id="0">
    <w:p w:rsidR="00344C53" w:rsidRDefault="00344C53" w:rsidP="00FA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03" w:rsidRDefault="00A6731E">
    <w:pPr>
      <w:pStyle w:val="Footer"/>
    </w:pPr>
    <w:r>
      <w:rPr>
        <w:rFonts w:ascii="Times New Roman" w:eastAsia="Times New Roman" w:hAnsi="Times New Roman"/>
        <w:sz w:val="24"/>
        <w:szCs w:val="24"/>
      </w:rPr>
      <w:t>VARAMpapild_vien_LV-RU_07</w:t>
    </w:r>
    <w:r w:rsidR="00D6033A">
      <w:rPr>
        <w:rFonts w:ascii="Times New Roman" w:eastAsia="Times New Roman" w:hAnsi="Times New Roman"/>
        <w:sz w:val="24"/>
        <w:szCs w:val="24"/>
      </w:rPr>
      <w:t>11</w:t>
    </w:r>
    <w:r w:rsidR="00022403" w:rsidRPr="008F1B2B">
      <w:rPr>
        <w:rFonts w:ascii="Times New Roman" w:eastAsia="Times New Roman" w:hAnsi="Times New Roman"/>
        <w:sz w:val="24"/>
        <w:szCs w:val="24"/>
      </w:rPr>
      <w:t>2017_en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03" w:rsidRDefault="00A6731E">
    <w:pPr>
      <w:pStyle w:val="Footer"/>
    </w:pPr>
    <w:r>
      <w:rPr>
        <w:rFonts w:ascii="Times New Roman" w:eastAsia="Times New Roman" w:hAnsi="Times New Roman"/>
        <w:sz w:val="24"/>
        <w:szCs w:val="24"/>
      </w:rPr>
      <w:t>VARAMpapild_vien_LV-RU_07</w:t>
    </w:r>
    <w:r w:rsidR="00D6033A">
      <w:rPr>
        <w:rFonts w:ascii="Times New Roman" w:eastAsia="Times New Roman" w:hAnsi="Times New Roman"/>
        <w:sz w:val="24"/>
        <w:szCs w:val="24"/>
      </w:rPr>
      <w:t>11</w:t>
    </w:r>
    <w:r w:rsidR="00022403" w:rsidRPr="008F1B2B">
      <w:rPr>
        <w:rFonts w:ascii="Times New Roman" w:eastAsia="Times New Roman" w:hAnsi="Times New Roman"/>
        <w:sz w:val="24"/>
        <w:szCs w:val="24"/>
      </w:rPr>
      <w:t>2017_en</w:t>
    </w:r>
  </w:p>
  <w:p w:rsidR="00022403" w:rsidRDefault="0002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53" w:rsidRDefault="00344C53" w:rsidP="00FA69E2">
      <w:pPr>
        <w:spacing w:after="0" w:line="240" w:lineRule="auto"/>
      </w:pPr>
      <w:r>
        <w:separator/>
      </w:r>
    </w:p>
  </w:footnote>
  <w:footnote w:type="continuationSeparator" w:id="0">
    <w:p w:rsidR="00344C53" w:rsidRDefault="00344C53" w:rsidP="00FA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876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33D6" w:rsidRPr="003B33D6" w:rsidRDefault="003B33D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33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33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33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6B9B" w:rsidRPr="00096B9B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3B33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28D6" w:rsidRPr="00F97B4B" w:rsidRDefault="00DA5095" w:rsidP="00F9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74E4"/>
    <w:multiLevelType w:val="hybridMultilevel"/>
    <w:tmpl w:val="2B60459E"/>
    <w:lvl w:ilvl="0" w:tplc="1A302C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17322"/>
    <w:rsid w:val="00011AB2"/>
    <w:rsid w:val="00015A92"/>
    <w:rsid w:val="00022403"/>
    <w:rsid w:val="00046D5E"/>
    <w:rsid w:val="00096B9B"/>
    <w:rsid w:val="000E37B6"/>
    <w:rsid w:val="000F12B0"/>
    <w:rsid w:val="00113EB2"/>
    <w:rsid w:val="00116855"/>
    <w:rsid w:val="0012503E"/>
    <w:rsid w:val="00185299"/>
    <w:rsid w:val="00185A55"/>
    <w:rsid w:val="00195362"/>
    <w:rsid w:val="001A1EE5"/>
    <w:rsid w:val="001B5D59"/>
    <w:rsid w:val="001C4C02"/>
    <w:rsid w:val="002D597A"/>
    <w:rsid w:val="00315BD2"/>
    <w:rsid w:val="00344C53"/>
    <w:rsid w:val="0036651A"/>
    <w:rsid w:val="003744DB"/>
    <w:rsid w:val="00395BA4"/>
    <w:rsid w:val="003B33D6"/>
    <w:rsid w:val="003B65AB"/>
    <w:rsid w:val="00412A70"/>
    <w:rsid w:val="00417322"/>
    <w:rsid w:val="004544EA"/>
    <w:rsid w:val="00476F1B"/>
    <w:rsid w:val="004878A7"/>
    <w:rsid w:val="004F0401"/>
    <w:rsid w:val="004F4002"/>
    <w:rsid w:val="0050388B"/>
    <w:rsid w:val="00515318"/>
    <w:rsid w:val="00542908"/>
    <w:rsid w:val="00595674"/>
    <w:rsid w:val="005B4A3C"/>
    <w:rsid w:val="00615A09"/>
    <w:rsid w:val="00625D64"/>
    <w:rsid w:val="0062631D"/>
    <w:rsid w:val="006A739D"/>
    <w:rsid w:val="006B4555"/>
    <w:rsid w:val="006B5C61"/>
    <w:rsid w:val="007471B1"/>
    <w:rsid w:val="00785BBE"/>
    <w:rsid w:val="007F43CC"/>
    <w:rsid w:val="0084126E"/>
    <w:rsid w:val="0086488F"/>
    <w:rsid w:val="008F04CE"/>
    <w:rsid w:val="008F48EC"/>
    <w:rsid w:val="009132C7"/>
    <w:rsid w:val="0095046E"/>
    <w:rsid w:val="009732E5"/>
    <w:rsid w:val="009D0CB2"/>
    <w:rsid w:val="00A03153"/>
    <w:rsid w:val="00A6731E"/>
    <w:rsid w:val="00A717C5"/>
    <w:rsid w:val="00AA1D10"/>
    <w:rsid w:val="00AA61A0"/>
    <w:rsid w:val="00B60699"/>
    <w:rsid w:val="00B907F3"/>
    <w:rsid w:val="00BB5540"/>
    <w:rsid w:val="00BD4B97"/>
    <w:rsid w:val="00C22969"/>
    <w:rsid w:val="00C85638"/>
    <w:rsid w:val="00CB4F2B"/>
    <w:rsid w:val="00CC101C"/>
    <w:rsid w:val="00D10B00"/>
    <w:rsid w:val="00D47563"/>
    <w:rsid w:val="00D6033A"/>
    <w:rsid w:val="00D825C5"/>
    <w:rsid w:val="00D908A5"/>
    <w:rsid w:val="00DA5095"/>
    <w:rsid w:val="00DC20A4"/>
    <w:rsid w:val="00E22255"/>
    <w:rsid w:val="00E31358"/>
    <w:rsid w:val="00E31FBC"/>
    <w:rsid w:val="00E40B8E"/>
    <w:rsid w:val="00E52B69"/>
    <w:rsid w:val="00E76889"/>
    <w:rsid w:val="00EA7DAA"/>
    <w:rsid w:val="00F41643"/>
    <w:rsid w:val="00F521E1"/>
    <w:rsid w:val="00F53CC8"/>
    <w:rsid w:val="00F74B07"/>
    <w:rsid w:val="00F941F4"/>
    <w:rsid w:val="00F97B4B"/>
    <w:rsid w:val="00FA69E2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D13B31-645C-41B2-AD6F-38AA2D5B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E2"/>
  </w:style>
  <w:style w:type="table" w:styleId="TableGrid">
    <w:name w:val="Table Grid"/>
    <w:basedOn w:val="TableNormal"/>
    <w:uiPriority w:val="59"/>
    <w:rsid w:val="00FA69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E2"/>
  </w:style>
  <w:style w:type="paragraph" w:customStyle="1" w:styleId="Default">
    <w:name w:val="Default"/>
    <w:rsid w:val="0084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ja.kulakov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2485-6198-471E-A9E3-6B0DF8E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Papildinājums vienošanās par Latvijas-Krievijas pārrobežu sadarbības programmas 2014.-2020.gadam finansēšanu un īstenošanu angļu valodā</vt:lpstr>
      <vt:lpstr/>
    </vt:vector>
  </TitlesOfParts>
  <Company>VARAM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 vienošanās par Latvijas-Krievijas pārrobežu sadarbības programmas 2014.-2020.gadam finansēšanu un īstenošanu angļu valodā</dc:title>
  <dc:creator/>
  <dc:description>Natālija Kulakova, 67026481</dc:description>
  <cp:lastModifiedBy>Natālija Kulakova</cp:lastModifiedBy>
  <cp:revision>30</cp:revision>
  <cp:lastPrinted>2017-06-28T13:12:00Z</cp:lastPrinted>
  <dcterms:created xsi:type="dcterms:W3CDTF">2017-06-26T15:42:00Z</dcterms:created>
  <dcterms:modified xsi:type="dcterms:W3CDTF">2017-11-06T15:59:00Z</dcterms:modified>
</cp:coreProperties>
</file>