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94C55" w:rsidRPr="003306E9"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3306E9">
        <w:rPr>
          <w:rFonts w:ascii="Times New Roman" w:eastAsia="Times New Roman" w:hAnsi="Times New Roman" w:cs="Times New Roman"/>
          <w:b/>
          <w:bCs/>
          <w:sz w:val="28"/>
          <w:szCs w:val="24"/>
          <w:lang w:eastAsia="lv-LV"/>
        </w:rPr>
        <w:t xml:space="preserve"> Ministru kabineta noteikumu projekta “Valsts sporta medicīnas centra maksas pakalpojumu cenrādis” sākotnējās ietekmes novērtējuma ziņojums (anotācija)</w:t>
      </w:r>
    </w:p>
    <w:p w:rsidR="00894C55" w:rsidRPr="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86F58"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6F58">
              <w:rPr>
                <w:rFonts w:ascii="Times New Roman" w:eastAsia="Times New Roman" w:hAnsi="Times New Roman" w:cs="Times New Roman"/>
                <w:b/>
                <w:bCs/>
                <w:sz w:val="24"/>
                <w:szCs w:val="24"/>
                <w:lang w:eastAsia="lv-LV"/>
              </w:rPr>
              <w:t>I.</w:t>
            </w:r>
            <w:r w:rsidRPr="00086F58" w:rsidR="0050178F">
              <w:rPr>
                <w:rFonts w:ascii="Times New Roman" w:eastAsia="Times New Roman" w:hAnsi="Times New Roman" w:cs="Times New Roman"/>
                <w:b/>
                <w:bCs/>
                <w:sz w:val="24"/>
                <w:szCs w:val="24"/>
                <w:lang w:eastAsia="lv-LV"/>
              </w:rPr>
              <w:t> </w:t>
            </w:r>
            <w:r w:rsidRPr="00086F58">
              <w:rPr>
                <w:rFonts w:ascii="Times New Roman" w:eastAsia="Times New Roman" w:hAnsi="Times New Roman" w:cs="Times New Roman"/>
                <w:b/>
                <w:bCs/>
                <w:sz w:val="24"/>
                <w:szCs w:val="24"/>
                <w:lang w:eastAsia="lv-LV"/>
              </w:rPr>
              <w:t>Tiesību akta projekta izstrādes nepieciešamība</w:t>
            </w:r>
          </w:p>
        </w:tc>
      </w:tr>
      <w:tr w:rsidTr="00894C55">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Pamatojums</w:t>
            </w:r>
          </w:p>
        </w:tc>
        <w:sdt>
          <w:sdtPr>
            <w:rPr>
              <w:rFonts w:ascii="Times New Roman" w:eastAsia="Times New Roman" w:hAnsi="Times New Roman" w:cs="Times New Roman"/>
              <w:sz w:val="24"/>
              <w:szCs w:val="24"/>
              <w:lang w:eastAsia="lv-LV"/>
            </w:rPr>
            <w:id w:val="293268613"/>
            <w:placeholder>
              <w:docPart w:val="62FCE0315F9A49B88D7551D29C9154E7"/>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086F58" w:rsidP="00D13457">
                <w:pPr>
                  <w:spacing w:after="0" w:line="240" w:lineRule="auto"/>
                  <w:ind w:firstLine="720"/>
                  <w:jc w:val="both"/>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Ministru kabineta noteikumu projekts „Valsts sporta medicīnas centra maksas pakalpojumu cenrādis” (turpmāk – Projekts) sagatavots saskaņā ar Likuma par budžetu un finanšu vadību 5.panta devīto daļu.</w:t>
                </w:r>
              </w:p>
            </w:tc>
          </w:sdtContent>
        </w:sdt>
      </w:tr>
      <w:tr w:rsidTr="00A048D8">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92EC1" w:rsidRPr="00086F58" w:rsidP="00B92EC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w:t>
            </w: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B92EC1" w:rsidRPr="00086F58" w:rsidP="00B92EC1">
            <w:pPr>
              <w:rPr>
                <w:rFonts w:ascii="Times New Roman" w:eastAsia="Times New Roman" w:hAnsi="Times New Roman" w:cs="Times New Roman"/>
                <w:sz w:val="24"/>
                <w:szCs w:val="24"/>
                <w:lang w:eastAsia="lv-LV"/>
              </w:rPr>
            </w:pPr>
          </w:p>
          <w:p w:rsidR="00145877" w:rsidP="00B92EC1">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RPr="00145877" w:rsidP="00145877">
            <w:pPr>
              <w:rPr>
                <w:rFonts w:ascii="Times New Roman" w:eastAsia="Times New Roman" w:hAnsi="Times New Roman" w:cs="Times New Roman"/>
                <w:sz w:val="24"/>
                <w:szCs w:val="24"/>
                <w:lang w:eastAsia="lv-LV"/>
              </w:rPr>
            </w:pPr>
          </w:p>
          <w:p w:rsidR="00145877" w:rsidP="00145877">
            <w:pPr>
              <w:rPr>
                <w:rFonts w:ascii="Times New Roman" w:eastAsia="Times New Roman" w:hAnsi="Times New Roman" w:cs="Times New Roman"/>
                <w:sz w:val="24"/>
                <w:szCs w:val="24"/>
                <w:lang w:eastAsia="lv-LV"/>
              </w:rPr>
            </w:pPr>
          </w:p>
          <w:p w:rsidR="00B92EC1" w:rsidRPr="00145877" w:rsidP="00145877">
            <w:pPr>
              <w:rPr>
                <w:rFonts w:ascii="Times New Roman" w:eastAsia="Times New Roman" w:hAnsi="Times New Roman" w:cs="Times New Roman"/>
                <w:sz w:val="24"/>
                <w:szCs w:val="24"/>
                <w:lang w:eastAsia="lv-LV"/>
              </w:rPr>
            </w:pPr>
          </w:p>
        </w:tc>
        <w:tc>
          <w:tcPr>
            <w:tcW w:w="1550" w:type="pct"/>
            <w:tcBorders>
              <w:top w:val="outset" w:sz="6" w:space="0" w:color="414142"/>
              <w:left w:val="outset" w:sz="6" w:space="0" w:color="414142"/>
              <w:bottom w:val="outset" w:sz="6" w:space="0" w:color="414142"/>
              <w:right w:val="outset" w:sz="6" w:space="0" w:color="414142"/>
            </w:tcBorders>
            <w:hideMark/>
          </w:tcPr>
          <w:p w:rsidR="007D37EF" w:rsidP="00B92EC1">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7D37EF" w:rsidRPr="007D37EF" w:rsidP="008C6A3C">
            <w:pPr>
              <w:rPr>
                <w:rFonts w:ascii="Times New Roman" w:eastAsia="Times New Roman" w:hAnsi="Times New Roman" w:cs="Times New Roman"/>
                <w:sz w:val="24"/>
                <w:szCs w:val="24"/>
                <w:lang w:eastAsia="lv-LV"/>
              </w:rPr>
            </w:pPr>
          </w:p>
          <w:p w:rsidR="007D37EF" w:rsidRPr="007D37EF" w:rsidP="008C6A3C">
            <w:pPr>
              <w:rPr>
                <w:rFonts w:ascii="Times New Roman" w:eastAsia="Times New Roman" w:hAnsi="Times New Roman" w:cs="Times New Roman"/>
                <w:sz w:val="24"/>
                <w:szCs w:val="24"/>
                <w:lang w:eastAsia="lv-LV"/>
              </w:rPr>
            </w:pPr>
          </w:p>
          <w:p w:rsidR="007D37EF" w:rsidRPr="007D37EF" w:rsidP="008C6A3C">
            <w:pPr>
              <w:rPr>
                <w:rFonts w:ascii="Times New Roman" w:eastAsia="Times New Roman" w:hAnsi="Times New Roman" w:cs="Times New Roman"/>
                <w:sz w:val="24"/>
                <w:szCs w:val="24"/>
                <w:lang w:eastAsia="lv-LV"/>
              </w:rPr>
            </w:pPr>
          </w:p>
          <w:p w:rsidR="007D37EF" w:rsidRPr="007D37EF" w:rsidP="008C6A3C">
            <w:pPr>
              <w:rPr>
                <w:rFonts w:ascii="Times New Roman" w:eastAsia="Times New Roman" w:hAnsi="Times New Roman" w:cs="Times New Roman"/>
                <w:sz w:val="24"/>
                <w:szCs w:val="24"/>
                <w:lang w:eastAsia="lv-LV"/>
              </w:rPr>
            </w:pPr>
          </w:p>
          <w:p w:rsidR="007D37EF" w:rsidRPr="007D37EF" w:rsidP="008C6A3C">
            <w:pPr>
              <w:rPr>
                <w:rFonts w:ascii="Times New Roman" w:eastAsia="Times New Roman" w:hAnsi="Times New Roman" w:cs="Times New Roman"/>
                <w:sz w:val="24"/>
                <w:szCs w:val="24"/>
                <w:lang w:eastAsia="lv-LV"/>
              </w:rPr>
            </w:pPr>
          </w:p>
          <w:p w:rsidR="007D37EF" w:rsidRPr="007D37EF" w:rsidP="008C6A3C">
            <w:pPr>
              <w:rPr>
                <w:rFonts w:ascii="Times New Roman" w:eastAsia="Times New Roman" w:hAnsi="Times New Roman" w:cs="Times New Roman"/>
                <w:sz w:val="24"/>
                <w:szCs w:val="24"/>
                <w:lang w:eastAsia="lv-LV"/>
              </w:rPr>
            </w:pPr>
          </w:p>
          <w:p w:rsidR="007D37EF" w:rsidRPr="007D37EF" w:rsidP="008C6A3C">
            <w:pPr>
              <w:rPr>
                <w:rFonts w:ascii="Times New Roman" w:eastAsia="Times New Roman" w:hAnsi="Times New Roman" w:cs="Times New Roman"/>
                <w:sz w:val="24"/>
                <w:szCs w:val="24"/>
                <w:lang w:eastAsia="lv-LV"/>
              </w:rPr>
            </w:pPr>
          </w:p>
          <w:p w:rsidR="007D37EF" w:rsidRPr="007D37EF" w:rsidP="008C6A3C">
            <w:pPr>
              <w:rPr>
                <w:rFonts w:ascii="Times New Roman" w:eastAsia="Times New Roman" w:hAnsi="Times New Roman" w:cs="Times New Roman"/>
                <w:sz w:val="24"/>
                <w:szCs w:val="24"/>
                <w:lang w:eastAsia="lv-LV"/>
              </w:rPr>
            </w:pPr>
          </w:p>
          <w:p w:rsidR="007D37EF" w:rsidRPr="007D37EF" w:rsidP="008C6A3C">
            <w:pPr>
              <w:rPr>
                <w:rFonts w:ascii="Times New Roman" w:eastAsia="Times New Roman" w:hAnsi="Times New Roman" w:cs="Times New Roman"/>
                <w:sz w:val="24"/>
                <w:szCs w:val="24"/>
                <w:lang w:eastAsia="lv-LV"/>
              </w:rPr>
            </w:pPr>
          </w:p>
          <w:p w:rsidR="007D37EF" w:rsidRPr="007D37EF" w:rsidP="008C6A3C">
            <w:pPr>
              <w:rPr>
                <w:rFonts w:ascii="Times New Roman" w:eastAsia="Times New Roman" w:hAnsi="Times New Roman" w:cs="Times New Roman"/>
                <w:sz w:val="24"/>
                <w:szCs w:val="24"/>
                <w:lang w:eastAsia="lv-LV"/>
              </w:rPr>
            </w:pPr>
          </w:p>
          <w:p w:rsidR="007D37EF" w:rsidRPr="007D37EF" w:rsidP="008C6A3C">
            <w:pPr>
              <w:rPr>
                <w:rFonts w:ascii="Times New Roman" w:eastAsia="Times New Roman" w:hAnsi="Times New Roman" w:cs="Times New Roman"/>
                <w:sz w:val="24"/>
                <w:szCs w:val="24"/>
                <w:lang w:eastAsia="lv-LV"/>
              </w:rPr>
            </w:pPr>
          </w:p>
          <w:p w:rsidR="007D37EF" w:rsidRPr="007D37EF" w:rsidP="008C6A3C">
            <w:pPr>
              <w:rPr>
                <w:rFonts w:ascii="Times New Roman" w:eastAsia="Times New Roman" w:hAnsi="Times New Roman" w:cs="Times New Roman"/>
                <w:sz w:val="24"/>
                <w:szCs w:val="24"/>
                <w:lang w:eastAsia="lv-LV"/>
              </w:rPr>
            </w:pPr>
          </w:p>
          <w:p w:rsidR="007D37EF" w:rsidRPr="007D37EF" w:rsidP="008C6A3C">
            <w:pPr>
              <w:rPr>
                <w:rFonts w:ascii="Times New Roman" w:eastAsia="Times New Roman" w:hAnsi="Times New Roman" w:cs="Times New Roman"/>
                <w:sz w:val="24"/>
                <w:szCs w:val="24"/>
                <w:lang w:eastAsia="lv-LV"/>
              </w:rPr>
            </w:pPr>
          </w:p>
          <w:p w:rsidR="007D37EF" w:rsidRPr="007D37EF" w:rsidP="008C6A3C">
            <w:pPr>
              <w:rPr>
                <w:rFonts w:ascii="Times New Roman" w:eastAsia="Times New Roman" w:hAnsi="Times New Roman" w:cs="Times New Roman"/>
                <w:sz w:val="24"/>
                <w:szCs w:val="24"/>
                <w:lang w:eastAsia="lv-LV"/>
              </w:rPr>
            </w:pPr>
          </w:p>
          <w:p w:rsidR="007D37EF" w:rsidRPr="007D37EF" w:rsidP="008C6A3C">
            <w:pPr>
              <w:rPr>
                <w:rFonts w:ascii="Times New Roman" w:eastAsia="Times New Roman" w:hAnsi="Times New Roman" w:cs="Times New Roman"/>
                <w:sz w:val="24"/>
                <w:szCs w:val="24"/>
                <w:lang w:eastAsia="lv-LV"/>
              </w:rPr>
            </w:pPr>
          </w:p>
          <w:p w:rsidR="007D37EF" w:rsidRPr="007D37EF" w:rsidP="008C6A3C">
            <w:pPr>
              <w:rPr>
                <w:rFonts w:ascii="Times New Roman" w:eastAsia="Times New Roman" w:hAnsi="Times New Roman" w:cs="Times New Roman"/>
                <w:sz w:val="24"/>
                <w:szCs w:val="24"/>
                <w:lang w:eastAsia="lv-LV"/>
              </w:rPr>
            </w:pPr>
          </w:p>
          <w:p w:rsidR="007D37EF" w:rsidRPr="007D37EF" w:rsidP="008C6A3C">
            <w:pPr>
              <w:rPr>
                <w:rFonts w:ascii="Times New Roman" w:eastAsia="Times New Roman" w:hAnsi="Times New Roman" w:cs="Times New Roman"/>
                <w:sz w:val="24"/>
                <w:szCs w:val="24"/>
                <w:lang w:eastAsia="lv-LV"/>
              </w:rPr>
            </w:pPr>
          </w:p>
          <w:p w:rsidR="007D37EF" w:rsidRPr="007D37EF" w:rsidP="008C6A3C">
            <w:pPr>
              <w:rPr>
                <w:rFonts w:ascii="Times New Roman" w:eastAsia="Times New Roman" w:hAnsi="Times New Roman" w:cs="Times New Roman"/>
                <w:sz w:val="24"/>
                <w:szCs w:val="24"/>
                <w:lang w:eastAsia="lv-LV"/>
              </w:rPr>
            </w:pPr>
          </w:p>
          <w:p w:rsidR="007D37EF" w:rsidRPr="007D37EF" w:rsidP="008C6A3C">
            <w:pPr>
              <w:rPr>
                <w:rFonts w:ascii="Times New Roman" w:eastAsia="Times New Roman" w:hAnsi="Times New Roman" w:cs="Times New Roman"/>
                <w:sz w:val="24"/>
                <w:szCs w:val="24"/>
                <w:lang w:eastAsia="lv-LV"/>
              </w:rPr>
            </w:pPr>
          </w:p>
          <w:p w:rsidR="007D37EF" w:rsidRPr="007D37EF" w:rsidP="008C6A3C">
            <w:pPr>
              <w:rPr>
                <w:rFonts w:ascii="Times New Roman" w:eastAsia="Times New Roman" w:hAnsi="Times New Roman" w:cs="Times New Roman"/>
                <w:sz w:val="24"/>
                <w:szCs w:val="24"/>
                <w:lang w:eastAsia="lv-LV"/>
              </w:rPr>
            </w:pPr>
          </w:p>
          <w:p w:rsidR="00B92EC1" w:rsidRPr="007D37EF" w:rsidP="008C6A3C">
            <w:pPr>
              <w:rPr>
                <w:rFonts w:ascii="Times New Roman" w:eastAsia="Times New Roman" w:hAnsi="Times New Roman" w:cs="Times New Roman"/>
                <w:sz w:val="24"/>
                <w:szCs w:val="24"/>
                <w:lang w:eastAsia="lv-LV"/>
              </w:rPr>
            </w:pPr>
            <w:bookmarkStart w:id="0" w:name="_GoBack"/>
            <w:bookmarkEnd w:id="0"/>
          </w:p>
        </w:tc>
        <w:tc>
          <w:tcPr>
            <w:tcW w:w="3200" w:type="pct"/>
            <w:tcBorders>
              <w:top w:val="outset" w:sz="6" w:space="0" w:color="auto"/>
              <w:left w:val="outset" w:sz="6" w:space="0" w:color="auto"/>
              <w:bottom w:val="outset" w:sz="6" w:space="0" w:color="auto"/>
              <w:right w:val="outset" w:sz="6" w:space="0" w:color="auto"/>
            </w:tcBorders>
            <w:hideMark/>
          </w:tcPr>
          <w:p w:rsidR="00B92EC1" w:rsidRPr="00086F58" w:rsidP="00683340">
            <w:pPr>
              <w:spacing w:after="0" w:line="240" w:lineRule="auto"/>
              <w:ind w:right="68" w:firstLine="720"/>
              <w:jc w:val="both"/>
              <w:rPr>
                <w:rFonts w:ascii="Times New Roman" w:hAnsi="Times New Roman" w:cs="Times New Roman"/>
                <w:sz w:val="24"/>
                <w:szCs w:val="24"/>
                <w:lang w:eastAsia="lv-LV"/>
              </w:rPr>
            </w:pPr>
            <w:r w:rsidRPr="00086F58">
              <w:rPr>
                <w:rFonts w:ascii="Times New Roman" w:hAnsi="Times New Roman" w:cs="Times New Roman"/>
                <w:bCs/>
                <w:kern w:val="1"/>
                <w:sz w:val="24"/>
                <w:szCs w:val="24"/>
                <w:lang w:eastAsia="ar-SA"/>
              </w:rPr>
              <w:t xml:space="preserve">Saskaņā ar Ministru kabineta 2012.gada 4.decembra noteikumu Nr.821 „Valsts sporta medicīnas centra nolikums” 5.4.apakšpunktu Valsts sporta medicīnas centram </w:t>
            </w:r>
            <w:r w:rsidRPr="00086F58">
              <w:rPr>
                <w:rFonts w:ascii="Times New Roman" w:hAnsi="Times New Roman" w:cs="Times New Roman"/>
                <w:bCs/>
                <w:kern w:val="1"/>
                <w:sz w:val="24"/>
                <w:szCs w:val="24"/>
                <w:lang w:eastAsia="lv-LV"/>
              </w:rPr>
              <w:t>(turpmāk – Centrs) ir tiesības iekasēt maksu par Centra sniegtajiem maksas pakalpojumiem saskaņā ar maksas pakalpojumu cenrādi.</w:t>
            </w:r>
            <w:r w:rsidRPr="00086F58">
              <w:rPr>
                <w:rFonts w:ascii="Times New Roman" w:hAnsi="Times New Roman" w:cs="Times New Roman"/>
                <w:sz w:val="24"/>
                <w:szCs w:val="24"/>
                <w:lang w:eastAsia="lv-LV"/>
              </w:rPr>
              <w:t xml:space="preserve"> </w:t>
            </w:r>
          </w:p>
          <w:p w:rsidR="00B92EC1" w:rsidRPr="00086F58" w:rsidP="00683340">
            <w:pPr>
              <w:spacing w:after="0" w:line="240" w:lineRule="auto"/>
              <w:ind w:right="68" w:firstLine="720"/>
              <w:jc w:val="both"/>
              <w:rPr>
                <w:rFonts w:ascii="Times New Roman" w:hAnsi="Times New Roman" w:cs="Times New Roman"/>
                <w:sz w:val="24"/>
                <w:szCs w:val="24"/>
              </w:rPr>
            </w:pPr>
            <w:r w:rsidRPr="00086F58">
              <w:rPr>
                <w:rFonts w:ascii="Times New Roman" w:hAnsi="Times New Roman" w:cs="Times New Roman"/>
                <w:sz w:val="24"/>
                <w:szCs w:val="24"/>
              </w:rPr>
              <w:t>Centra darbības mērķis (saskaņā ar Ministru kabineta 2012.gada 4.decembra noteikumiem Nr.821 “Valsts sporta medicīnas centra nolikums” un Eiropas Padomes 1973.gada 26.oktobra Rezolūciju Nr.73/27 par sporta medicīnas centru izveidi) ir nodrošināt iedzīvotājiem, tai skaitā sportistiem un bērniem ar paaugstinātu fizisko slodzi, fiziskās veselības aprūpi, koordinēt fiziskās veselības aprūpes pasākumu īstenošanu, kā arī veikt nepieciešamos pasākumus, lai nodrošinātu 2005.gada 19.oktobra Starptautiskajā konvencijā pret dopingu sportā un 1989.gada 16.novembra Eiropas Padomes Antidopinga konvencijā Nr.135 minēto noteikumu izpildi.</w:t>
            </w:r>
          </w:p>
          <w:p w:rsidR="00B92EC1" w:rsidRPr="00086F58" w:rsidP="00683340">
            <w:pPr>
              <w:spacing w:after="0" w:line="240" w:lineRule="auto"/>
              <w:ind w:right="68" w:firstLine="720"/>
              <w:jc w:val="both"/>
              <w:rPr>
                <w:rFonts w:ascii="Times New Roman" w:hAnsi="Times New Roman" w:cs="Times New Roman"/>
                <w:bCs/>
                <w:sz w:val="24"/>
                <w:szCs w:val="24"/>
                <w:lang w:eastAsia="ar-SA"/>
              </w:rPr>
            </w:pPr>
            <w:r w:rsidRPr="00086F58">
              <w:rPr>
                <w:rFonts w:ascii="Times New Roman" w:hAnsi="Times New Roman" w:cs="Times New Roman"/>
                <w:bCs/>
                <w:sz w:val="24"/>
                <w:szCs w:val="24"/>
                <w:lang w:eastAsia="ar-SA"/>
              </w:rPr>
              <w:t>Plānojot Centra darbību un izvērtējot sniegto maksas pakalpojumu aktualitāti un rentabilitāti, ir konstatēts, ka atsevišķi maksas pakalpojumi nav pieprasīti un faktiski netiek sniegti, kā arī nepieciešams maksas pakalpojumu Cenrādi papildināt ar jauniem maksas pakalpojumiem un aktualizēt faktiskās izmaksas, kas saistītas ar maksas pakalpojumu sniegšanu.</w:t>
            </w:r>
          </w:p>
          <w:p w:rsidR="00483A7F" w:rsidRPr="00086F58" w:rsidP="00B92EC1">
            <w:pPr>
              <w:spacing w:after="0" w:line="240" w:lineRule="auto"/>
              <w:ind w:right="69" w:firstLine="567"/>
              <w:jc w:val="both"/>
              <w:rPr>
                <w:rFonts w:ascii="Times New Roman" w:hAnsi="Times New Roman" w:cs="Times New Roman"/>
                <w:sz w:val="24"/>
                <w:szCs w:val="24"/>
              </w:rPr>
            </w:pPr>
          </w:p>
          <w:p w:rsidR="00483A7F" w:rsidRPr="00AA1F51" w:rsidP="00683340">
            <w:pPr>
              <w:pStyle w:val="NoSpacing"/>
              <w:ind w:firstLine="720"/>
              <w:jc w:val="both"/>
              <w:rPr>
                <w:rFonts w:ascii="Times New Roman" w:hAnsi="Times New Roman" w:cs="Times New Roman"/>
                <w:sz w:val="24"/>
                <w:szCs w:val="24"/>
                <w:u w:val="single"/>
                <w:lang w:val="lv-LV"/>
              </w:rPr>
            </w:pPr>
            <w:r w:rsidRPr="00AA1F51">
              <w:rPr>
                <w:rFonts w:ascii="Times New Roman" w:hAnsi="Times New Roman" w:cs="Times New Roman"/>
                <w:sz w:val="24"/>
                <w:szCs w:val="24"/>
                <w:u w:val="single"/>
                <w:lang w:val="lv-LV"/>
              </w:rPr>
              <w:t>Noteikumu projekts paredz:</w:t>
            </w:r>
          </w:p>
          <w:p w:rsidR="00483A7F" w:rsidRPr="00086F58" w:rsidP="00683340">
            <w:pPr>
              <w:pStyle w:val="NoSpacing"/>
              <w:ind w:firstLine="720"/>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1. Izvērtējot pieprasījuma trūkumu pēc noteiktiem maksas pakalpojumu veidiem, jaunajā Noteikumu projektā nav iekļauti pakalpojumi, pēc kuriem nav pieprasījuma;</w:t>
            </w:r>
          </w:p>
          <w:p w:rsidR="00483A7F" w:rsidRPr="00086F58" w:rsidP="00683340">
            <w:pPr>
              <w:pStyle w:val="NoSpacing"/>
              <w:ind w:firstLine="720"/>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 xml:space="preserve">2. Pielikumā iekļauti </w:t>
            </w:r>
            <w:r w:rsidRPr="00086F58">
              <w:rPr>
                <w:rFonts w:ascii="Times New Roman" w:hAnsi="Times New Roman" w:cs="Times New Roman"/>
                <w:b/>
                <w:sz w:val="24"/>
                <w:szCs w:val="24"/>
                <w:u w:val="single"/>
                <w:lang w:val="lv-LV"/>
              </w:rPr>
              <w:t>jauni pakalpojumi sporta medicīnā</w:t>
            </w:r>
            <w:r w:rsidRPr="00086F58">
              <w:rPr>
                <w:rFonts w:ascii="Times New Roman" w:hAnsi="Times New Roman" w:cs="Times New Roman"/>
                <w:sz w:val="24"/>
                <w:szCs w:val="24"/>
                <w:lang w:val="lv-LV"/>
              </w:rPr>
              <w:t>:</w:t>
            </w:r>
          </w:p>
          <w:tbl>
            <w:tblPr>
              <w:tblStyle w:val="TableGrid"/>
              <w:tblW w:w="0" w:type="auto"/>
              <w:jc w:val="center"/>
              <w:tblLook w:val="04A0"/>
            </w:tblPr>
            <w:tblGrid>
              <w:gridCol w:w="895"/>
              <w:gridCol w:w="2798"/>
              <w:gridCol w:w="2044"/>
            </w:tblGrid>
            <w:tr w:rsidTr="00D5155F">
              <w:tblPrEx>
                <w:tblW w:w="0" w:type="auto"/>
                <w:jc w:val="center"/>
                <w:tblLook w:val="04A0"/>
              </w:tblPrEx>
              <w:trPr>
                <w:jc w:val="center"/>
              </w:trPr>
              <w:tc>
                <w:tcPr>
                  <w:tcW w:w="906" w:type="dxa"/>
                </w:tcPr>
                <w:p w:rsidR="00483A7F" w:rsidRPr="00086F58"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N.P.K.</w:t>
                  </w:r>
                </w:p>
              </w:tc>
              <w:tc>
                <w:tcPr>
                  <w:tcW w:w="3251" w:type="dxa"/>
                </w:tcPr>
                <w:p w:rsidR="00483A7F" w:rsidRPr="00086F58"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Jaunie pakalpojumi</w:t>
                  </w:r>
                </w:p>
              </w:tc>
              <w:tc>
                <w:tcPr>
                  <w:tcW w:w="2324" w:type="dxa"/>
                </w:tcPr>
                <w:p w:rsidR="00483A7F" w:rsidRPr="00086F58"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Skaidrojums</w:t>
                  </w:r>
                </w:p>
              </w:tc>
            </w:tr>
            <w:tr w:rsidTr="00D5155F">
              <w:tblPrEx>
                <w:tblW w:w="0" w:type="auto"/>
                <w:jc w:val="center"/>
                <w:tblLook w:val="04A0"/>
              </w:tblPrEx>
              <w:trPr>
                <w:jc w:val="center"/>
              </w:trPr>
              <w:tc>
                <w:tcPr>
                  <w:tcW w:w="906" w:type="dxa"/>
                  <w:vAlign w:val="center"/>
                </w:tcPr>
                <w:p w:rsidR="00483A7F" w:rsidRPr="00086F58"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1.</w:t>
                  </w:r>
                </w:p>
              </w:tc>
              <w:tc>
                <w:tcPr>
                  <w:tcW w:w="3251" w:type="dxa"/>
                </w:tcPr>
                <w:p w:rsidR="00483A7F" w:rsidRPr="00086F58"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Vienas rokas masāža (līdz 10 minūtēm)</w:t>
                  </w:r>
                </w:p>
              </w:tc>
              <w:tc>
                <w:tcPr>
                  <w:tcW w:w="2324" w:type="dxa"/>
                </w:tcPr>
                <w:p w:rsidR="00483A7F" w:rsidRPr="00086F58"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Iepriekšējā Cenrāža redakcijā bija tikai paredzēta divu roku masāža, kas ne vienmēr ir nepieciešama.</w:t>
                  </w:r>
                </w:p>
              </w:tc>
            </w:tr>
            <w:tr w:rsidTr="00D5155F">
              <w:tblPrEx>
                <w:tblW w:w="0" w:type="auto"/>
                <w:jc w:val="center"/>
                <w:tblLook w:val="04A0"/>
              </w:tblPrEx>
              <w:trPr>
                <w:jc w:val="center"/>
              </w:trPr>
              <w:tc>
                <w:tcPr>
                  <w:tcW w:w="906" w:type="dxa"/>
                  <w:vAlign w:val="center"/>
                </w:tcPr>
                <w:p w:rsidR="00483A7F" w:rsidRPr="00086F58"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2.</w:t>
                  </w:r>
                </w:p>
              </w:tc>
              <w:tc>
                <w:tcPr>
                  <w:tcW w:w="3251" w:type="dxa"/>
                </w:tcPr>
                <w:p w:rsidR="00483A7F" w:rsidRPr="00086F58"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 xml:space="preserve">Fizioterapeita vadīta individuālā nodarbība ar </w:t>
                  </w:r>
                  <w:r w:rsidR="00B75B91">
                    <w:rPr>
                      <w:rFonts w:ascii="Times New Roman" w:hAnsi="Times New Roman" w:cs="Times New Roman"/>
                      <w:sz w:val="24"/>
                      <w:szCs w:val="24"/>
                      <w:lang w:val="lv-LV"/>
                    </w:rPr>
                    <w:t>pacientu</w:t>
                  </w:r>
                  <w:r w:rsidRPr="00086F58">
                    <w:rPr>
                      <w:rFonts w:ascii="Times New Roman" w:hAnsi="Times New Roman" w:cs="Times New Roman"/>
                      <w:sz w:val="24"/>
                      <w:szCs w:val="24"/>
                      <w:lang w:val="lv-LV"/>
                    </w:rPr>
                    <w:t xml:space="preserve"> (</w:t>
                  </w:r>
                  <w:r w:rsidR="002633B1">
                    <w:rPr>
                      <w:rFonts w:ascii="Times New Roman" w:hAnsi="Times New Roman" w:cs="Times New Roman"/>
                      <w:sz w:val="24"/>
                      <w:szCs w:val="24"/>
                      <w:lang w:val="lv-LV"/>
                    </w:rPr>
                    <w:t>30 un 60</w:t>
                  </w:r>
                  <w:r w:rsidRPr="00086F58">
                    <w:rPr>
                      <w:rFonts w:ascii="Times New Roman" w:hAnsi="Times New Roman" w:cs="Times New Roman"/>
                      <w:sz w:val="24"/>
                      <w:szCs w:val="24"/>
                      <w:lang w:val="lv-LV"/>
                    </w:rPr>
                    <w:t xml:space="preserve"> minūtes)</w:t>
                  </w:r>
                </w:p>
              </w:tc>
              <w:tc>
                <w:tcPr>
                  <w:tcW w:w="2324" w:type="dxa"/>
                  <w:vMerge w:val="restart"/>
                  <w:vAlign w:val="center"/>
                </w:tcPr>
                <w:p w:rsidR="00483A7F" w:rsidRPr="00086F58"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Šādi pakalpojumi pēdējā gada laikā ir tikuši vairākkārtīgi pieprasīti.</w:t>
                  </w:r>
                </w:p>
                <w:p w:rsidR="00483A7F" w:rsidRPr="00086F58" w:rsidP="00483A7F">
                  <w:pPr>
                    <w:pStyle w:val="NoSpacing"/>
                    <w:jc w:val="both"/>
                    <w:rPr>
                      <w:rFonts w:ascii="Times New Roman" w:hAnsi="Times New Roman" w:cs="Times New Roman"/>
                      <w:sz w:val="24"/>
                      <w:szCs w:val="24"/>
                      <w:lang w:val="lv-LV"/>
                    </w:rPr>
                  </w:pPr>
                </w:p>
              </w:tc>
            </w:tr>
            <w:tr w:rsidTr="00D5155F">
              <w:tblPrEx>
                <w:tblW w:w="0" w:type="auto"/>
                <w:jc w:val="center"/>
                <w:tblLook w:val="04A0"/>
              </w:tblPrEx>
              <w:trPr>
                <w:jc w:val="center"/>
              </w:trPr>
              <w:tc>
                <w:tcPr>
                  <w:tcW w:w="906" w:type="dxa"/>
                  <w:vAlign w:val="center"/>
                </w:tcPr>
                <w:p w:rsidR="00483A7F" w:rsidRPr="00086F58"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3.</w:t>
                  </w:r>
                </w:p>
              </w:tc>
              <w:tc>
                <w:tcPr>
                  <w:tcW w:w="3251" w:type="dxa"/>
                </w:tcPr>
                <w:p w:rsidR="00483A7F" w:rsidRPr="00086F58"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Teipošana</w:t>
                  </w:r>
                  <w:r w:rsidRPr="00086F58">
                    <w:rPr>
                      <w:rFonts w:ascii="Times New Roman" w:hAnsi="Times New Roman" w:cs="Times New Roman"/>
                      <w:sz w:val="24"/>
                      <w:szCs w:val="24"/>
                      <w:lang w:val="lv-LV"/>
                    </w:rPr>
                    <w:t xml:space="preserve"> ar klienta </w:t>
                  </w:r>
                  <w:r w:rsidRPr="00086F58">
                    <w:rPr>
                      <w:rFonts w:ascii="Times New Roman" w:hAnsi="Times New Roman" w:cs="Times New Roman"/>
                      <w:sz w:val="24"/>
                      <w:szCs w:val="24"/>
                      <w:lang w:val="lv-LV"/>
                    </w:rPr>
                    <w:t>teipu</w:t>
                  </w:r>
                </w:p>
              </w:tc>
              <w:tc>
                <w:tcPr>
                  <w:tcW w:w="2324" w:type="dxa"/>
                  <w:vMerge/>
                  <w:vAlign w:val="center"/>
                </w:tcPr>
                <w:p w:rsidR="00483A7F" w:rsidRPr="00086F58" w:rsidP="00483A7F">
                  <w:pPr>
                    <w:pStyle w:val="NoSpacing"/>
                    <w:jc w:val="both"/>
                    <w:rPr>
                      <w:rFonts w:ascii="Times New Roman" w:hAnsi="Times New Roman" w:cs="Times New Roman"/>
                      <w:sz w:val="24"/>
                      <w:szCs w:val="24"/>
                      <w:lang w:val="lv-LV"/>
                    </w:rPr>
                  </w:pPr>
                </w:p>
              </w:tc>
            </w:tr>
            <w:tr w:rsidTr="00D5155F">
              <w:tblPrEx>
                <w:tblW w:w="0" w:type="auto"/>
                <w:jc w:val="center"/>
                <w:tblLook w:val="04A0"/>
              </w:tblPrEx>
              <w:trPr>
                <w:jc w:val="center"/>
              </w:trPr>
              <w:tc>
                <w:tcPr>
                  <w:tcW w:w="906" w:type="dxa"/>
                  <w:vAlign w:val="center"/>
                </w:tcPr>
                <w:p w:rsidR="00483A7F" w:rsidRPr="00086F58"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4.</w:t>
                  </w:r>
                </w:p>
              </w:tc>
              <w:tc>
                <w:tcPr>
                  <w:tcW w:w="3251" w:type="dxa"/>
                </w:tcPr>
                <w:p w:rsidR="00483A7F" w:rsidRPr="00086F58"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Teipošana</w:t>
                  </w:r>
                  <w:r w:rsidRPr="00086F58">
                    <w:rPr>
                      <w:rFonts w:ascii="Times New Roman" w:hAnsi="Times New Roman" w:cs="Times New Roman"/>
                      <w:sz w:val="24"/>
                      <w:szCs w:val="24"/>
                      <w:lang w:val="lv-LV"/>
                    </w:rPr>
                    <w:t xml:space="preserve"> ar </w:t>
                  </w:r>
                  <w:r w:rsidRPr="00086F58">
                    <w:rPr>
                      <w:rFonts w:ascii="Times New Roman" w:hAnsi="Times New Roman" w:cs="Times New Roman"/>
                      <w:sz w:val="24"/>
                      <w:szCs w:val="24"/>
                      <w:lang w:val="lv-LV"/>
                    </w:rPr>
                    <w:t>teipu</w:t>
                  </w:r>
                  <w:r w:rsidRPr="00086F58">
                    <w:rPr>
                      <w:rFonts w:ascii="Times New Roman" w:hAnsi="Times New Roman" w:cs="Times New Roman"/>
                      <w:sz w:val="24"/>
                      <w:szCs w:val="24"/>
                      <w:lang w:val="lv-LV"/>
                    </w:rPr>
                    <w:t xml:space="preserve"> (līdz 0.5 metram)</w:t>
                  </w:r>
                </w:p>
              </w:tc>
              <w:tc>
                <w:tcPr>
                  <w:tcW w:w="2324" w:type="dxa"/>
                  <w:vMerge/>
                  <w:vAlign w:val="center"/>
                </w:tcPr>
                <w:p w:rsidR="00483A7F" w:rsidRPr="00086F58" w:rsidP="00483A7F">
                  <w:pPr>
                    <w:pStyle w:val="NoSpacing"/>
                    <w:jc w:val="both"/>
                    <w:rPr>
                      <w:rFonts w:ascii="Times New Roman" w:hAnsi="Times New Roman" w:cs="Times New Roman"/>
                      <w:sz w:val="24"/>
                      <w:szCs w:val="24"/>
                      <w:lang w:val="lv-LV"/>
                    </w:rPr>
                  </w:pPr>
                </w:p>
              </w:tc>
            </w:tr>
            <w:tr w:rsidTr="00D5155F">
              <w:tblPrEx>
                <w:tblW w:w="0" w:type="auto"/>
                <w:jc w:val="center"/>
                <w:tblLook w:val="04A0"/>
              </w:tblPrEx>
              <w:trPr>
                <w:jc w:val="center"/>
              </w:trPr>
              <w:tc>
                <w:tcPr>
                  <w:tcW w:w="906" w:type="dxa"/>
                  <w:vAlign w:val="center"/>
                </w:tcPr>
                <w:p w:rsidR="00483A7F" w:rsidRPr="00086F58"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5.</w:t>
                  </w:r>
                </w:p>
              </w:tc>
              <w:tc>
                <w:tcPr>
                  <w:tcW w:w="3251" w:type="dxa"/>
                </w:tcPr>
                <w:p w:rsidR="00483A7F" w:rsidRPr="00086F58"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Teipošana</w:t>
                  </w:r>
                  <w:r w:rsidRPr="00086F58">
                    <w:rPr>
                      <w:rFonts w:ascii="Times New Roman" w:hAnsi="Times New Roman" w:cs="Times New Roman"/>
                      <w:sz w:val="24"/>
                      <w:szCs w:val="24"/>
                      <w:lang w:val="lv-LV"/>
                    </w:rPr>
                    <w:t xml:space="preserve"> ar </w:t>
                  </w:r>
                  <w:r w:rsidRPr="00086F58">
                    <w:rPr>
                      <w:rFonts w:ascii="Times New Roman" w:hAnsi="Times New Roman" w:cs="Times New Roman"/>
                      <w:sz w:val="24"/>
                      <w:szCs w:val="24"/>
                      <w:lang w:val="lv-LV"/>
                    </w:rPr>
                    <w:t>teipu</w:t>
                  </w:r>
                  <w:r w:rsidRPr="00086F58">
                    <w:rPr>
                      <w:rFonts w:ascii="Times New Roman" w:hAnsi="Times New Roman" w:cs="Times New Roman"/>
                      <w:sz w:val="24"/>
                      <w:szCs w:val="24"/>
                      <w:lang w:val="lv-LV"/>
                    </w:rPr>
                    <w:t xml:space="preserve"> (līdz 1 metram)</w:t>
                  </w:r>
                </w:p>
              </w:tc>
              <w:tc>
                <w:tcPr>
                  <w:tcW w:w="2324" w:type="dxa"/>
                  <w:vMerge/>
                  <w:vAlign w:val="center"/>
                </w:tcPr>
                <w:p w:rsidR="00483A7F" w:rsidRPr="00086F58" w:rsidP="00483A7F">
                  <w:pPr>
                    <w:pStyle w:val="NoSpacing"/>
                    <w:jc w:val="both"/>
                    <w:rPr>
                      <w:rFonts w:ascii="Times New Roman" w:hAnsi="Times New Roman" w:cs="Times New Roman"/>
                      <w:sz w:val="24"/>
                      <w:szCs w:val="24"/>
                      <w:lang w:val="lv-LV"/>
                    </w:rPr>
                  </w:pPr>
                </w:p>
              </w:tc>
            </w:tr>
            <w:tr w:rsidTr="00D5155F">
              <w:tblPrEx>
                <w:tblW w:w="0" w:type="auto"/>
                <w:jc w:val="center"/>
                <w:tblLook w:val="04A0"/>
              </w:tblPrEx>
              <w:trPr>
                <w:jc w:val="center"/>
              </w:trPr>
              <w:tc>
                <w:tcPr>
                  <w:tcW w:w="906" w:type="dxa"/>
                  <w:vAlign w:val="center"/>
                </w:tcPr>
                <w:p w:rsidR="00483A7F" w:rsidRPr="00086F58"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6.</w:t>
                  </w:r>
                </w:p>
              </w:tc>
              <w:tc>
                <w:tcPr>
                  <w:tcW w:w="3251" w:type="dxa"/>
                </w:tcPr>
                <w:p w:rsidR="00483A7F" w:rsidRPr="00086F58"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Teipošana</w:t>
                  </w:r>
                  <w:r w:rsidRPr="00086F58">
                    <w:rPr>
                      <w:rFonts w:ascii="Times New Roman" w:hAnsi="Times New Roman" w:cs="Times New Roman"/>
                      <w:sz w:val="24"/>
                      <w:szCs w:val="24"/>
                      <w:lang w:val="lv-LV"/>
                    </w:rPr>
                    <w:t xml:space="preserve"> ar </w:t>
                  </w:r>
                  <w:r w:rsidRPr="00086F58">
                    <w:rPr>
                      <w:rFonts w:ascii="Times New Roman" w:hAnsi="Times New Roman" w:cs="Times New Roman"/>
                      <w:sz w:val="24"/>
                      <w:szCs w:val="24"/>
                      <w:lang w:val="lv-LV"/>
                    </w:rPr>
                    <w:t>teipu</w:t>
                  </w:r>
                  <w:r w:rsidRPr="00086F58">
                    <w:rPr>
                      <w:rFonts w:ascii="Times New Roman" w:hAnsi="Times New Roman" w:cs="Times New Roman"/>
                      <w:sz w:val="24"/>
                      <w:szCs w:val="24"/>
                      <w:lang w:val="lv-LV"/>
                    </w:rPr>
                    <w:t xml:space="preserve"> (līdz 2 metriem)</w:t>
                  </w:r>
                </w:p>
              </w:tc>
              <w:tc>
                <w:tcPr>
                  <w:tcW w:w="2324" w:type="dxa"/>
                  <w:vMerge/>
                  <w:vAlign w:val="center"/>
                </w:tcPr>
                <w:p w:rsidR="00483A7F" w:rsidRPr="00086F58" w:rsidP="00483A7F">
                  <w:pPr>
                    <w:pStyle w:val="NoSpacing"/>
                    <w:jc w:val="both"/>
                    <w:rPr>
                      <w:rFonts w:ascii="Times New Roman" w:hAnsi="Times New Roman" w:cs="Times New Roman"/>
                      <w:sz w:val="24"/>
                      <w:szCs w:val="24"/>
                      <w:lang w:val="lv-LV"/>
                    </w:rPr>
                  </w:pPr>
                </w:p>
              </w:tc>
            </w:tr>
            <w:tr w:rsidTr="00D5155F">
              <w:tblPrEx>
                <w:tblW w:w="0" w:type="auto"/>
                <w:jc w:val="center"/>
                <w:tblLook w:val="04A0"/>
              </w:tblPrEx>
              <w:trPr>
                <w:jc w:val="center"/>
              </w:trPr>
              <w:tc>
                <w:tcPr>
                  <w:tcW w:w="906" w:type="dxa"/>
                  <w:vAlign w:val="center"/>
                </w:tcPr>
                <w:p w:rsidR="00483A7F" w:rsidRPr="00086F58"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7.</w:t>
                  </w:r>
                </w:p>
              </w:tc>
              <w:tc>
                <w:tcPr>
                  <w:tcW w:w="3251" w:type="dxa"/>
                </w:tcPr>
                <w:p w:rsidR="00483A7F" w:rsidRPr="00086F58"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Absolūtais statistiskais spēks “Rokas tvēriena tests”</w:t>
                  </w:r>
                </w:p>
              </w:tc>
              <w:tc>
                <w:tcPr>
                  <w:tcW w:w="2324" w:type="dxa"/>
                  <w:vMerge w:val="restart"/>
                  <w:vAlign w:val="center"/>
                </w:tcPr>
                <w:p w:rsidR="00483A7F" w:rsidRPr="00086F58"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Šādi mērījumi tiek veikti pēc EUROFIT metodes bērniem no 10 līdz 17 gadiem, ieskaitot fizisko īpašību testēšanai.</w:t>
                  </w:r>
                </w:p>
              </w:tc>
            </w:tr>
            <w:tr w:rsidTr="00D5155F">
              <w:tblPrEx>
                <w:tblW w:w="0" w:type="auto"/>
                <w:jc w:val="center"/>
                <w:tblLook w:val="04A0"/>
              </w:tblPrEx>
              <w:trPr>
                <w:jc w:val="center"/>
              </w:trPr>
              <w:tc>
                <w:tcPr>
                  <w:tcW w:w="906" w:type="dxa"/>
                  <w:vAlign w:val="center"/>
                </w:tcPr>
                <w:p w:rsidR="00483A7F" w:rsidRPr="00086F58"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8.</w:t>
                  </w:r>
                </w:p>
              </w:tc>
              <w:tc>
                <w:tcPr>
                  <w:tcW w:w="3251" w:type="dxa"/>
                </w:tcPr>
                <w:p w:rsidR="00483A7F" w:rsidRPr="00086F58"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Pārvietošanās ātrums un veiklība ”5x10 m atspoles skriešanas tests”</w:t>
                  </w:r>
                </w:p>
              </w:tc>
              <w:tc>
                <w:tcPr>
                  <w:tcW w:w="2324" w:type="dxa"/>
                  <w:vMerge/>
                </w:tcPr>
                <w:p w:rsidR="00483A7F" w:rsidRPr="00086F58" w:rsidP="00483A7F">
                  <w:pPr>
                    <w:pStyle w:val="NoSpacing"/>
                    <w:jc w:val="both"/>
                    <w:rPr>
                      <w:rFonts w:ascii="Times New Roman" w:hAnsi="Times New Roman" w:cs="Times New Roman"/>
                      <w:sz w:val="24"/>
                      <w:szCs w:val="24"/>
                      <w:lang w:val="lv-LV"/>
                    </w:rPr>
                  </w:pPr>
                </w:p>
              </w:tc>
            </w:tr>
            <w:tr w:rsidTr="00D5155F">
              <w:tblPrEx>
                <w:tblW w:w="0" w:type="auto"/>
                <w:jc w:val="center"/>
                <w:tblLook w:val="04A0"/>
              </w:tblPrEx>
              <w:trPr>
                <w:jc w:val="center"/>
              </w:trPr>
              <w:tc>
                <w:tcPr>
                  <w:tcW w:w="906" w:type="dxa"/>
                  <w:vAlign w:val="center"/>
                </w:tcPr>
                <w:p w:rsidR="00483A7F" w:rsidRPr="00086F58"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9.</w:t>
                  </w:r>
                </w:p>
              </w:tc>
              <w:tc>
                <w:tcPr>
                  <w:tcW w:w="3251" w:type="dxa"/>
                </w:tcPr>
                <w:p w:rsidR="00483A7F" w:rsidRPr="00086F58"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Aerobās spējas (</w:t>
                  </w:r>
                  <w:r w:rsidRPr="00086F58">
                    <w:rPr>
                      <w:rFonts w:ascii="Times New Roman" w:hAnsi="Times New Roman" w:cs="Times New Roman"/>
                      <w:sz w:val="24"/>
                      <w:szCs w:val="24"/>
                      <w:lang w:val="lv-LV"/>
                    </w:rPr>
                    <w:t>kardiorespiratorās</w:t>
                  </w:r>
                  <w:r w:rsidRPr="00086F58">
                    <w:rPr>
                      <w:rFonts w:ascii="Times New Roman" w:hAnsi="Times New Roman" w:cs="Times New Roman"/>
                      <w:sz w:val="24"/>
                      <w:szCs w:val="24"/>
                      <w:lang w:val="lv-LV"/>
                    </w:rPr>
                    <w:t xml:space="preserve"> spējas) “</w:t>
                  </w:r>
                  <w:r w:rsidRPr="00086F58">
                    <w:rPr>
                      <w:rFonts w:ascii="Times New Roman" w:hAnsi="Times New Roman" w:cs="Times New Roman"/>
                      <w:sz w:val="24"/>
                      <w:szCs w:val="24"/>
                      <w:lang w:val="lv-LV"/>
                    </w:rPr>
                    <w:t>Veloergometra</w:t>
                  </w:r>
                  <w:r w:rsidRPr="00086F58">
                    <w:rPr>
                      <w:rFonts w:ascii="Times New Roman" w:hAnsi="Times New Roman" w:cs="Times New Roman"/>
                      <w:sz w:val="24"/>
                      <w:szCs w:val="24"/>
                      <w:lang w:val="lv-LV"/>
                    </w:rPr>
                    <w:t xml:space="preserve"> slodzes tests PWC</w:t>
                  </w:r>
                  <w:r w:rsidRPr="00086F58">
                    <w:rPr>
                      <w:rFonts w:ascii="Times New Roman" w:hAnsi="Times New Roman" w:cs="Times New Roman"/>
                      <w:sz w:val="24"/>
                      <w:szCs w:val="24"/>
                      <w:vertAlign w:val="subscript"/>
                      <w:lang w:val="lv-LV"/>
                    </w:rPr>
                    <w:t>170</w:t>
                  </w:r>
                  <w:r w:rsidRPr="00086F58">
                    <w:rPr>
                      <w:rFonts w:ascii="Times New Roman" w:hAnsi="Times New Roman" w:cs="Times New Roman"/>
                      <w:sz w:val="24"/>
                      <w:szCs w:val="24"/>
                      <w:lang w:val="lv-LV"/>
                    </w:rPr>
                    <w:t xml:space="preserve"> bērniem, ar auguma garumu no 150 cm”</w:t>
                  </w:r>
                </w:p>
              </w:tc>
              <w:tc>
                <w:tcPr>
                  <w:tcW w:w="2324" w:type="dxa"/>
                  <w:vMerge/>
                </w:tcPr>
                <w:p w:rsidR="00483A7F" w:rsidRPr="00086F58" w:rsidP="00483A7F">
                  <w:pPr>
                    <w:pStyle w:val="NoSpacing"/>
                    <w:jc w:val="both"/>
                    <w:rPr>
                      <w:rFonts w:ascii="Times New Roman" w:hAnsi="Times New Roman" w:cs="Times New Roman"/>
                      <w:sz w:val="24"/>
                      <w:szCs w:val="24"/>
                      <w:lang w:val="lv-LV"/>
                    </w:rPr>
                  </w:pPr>
                </w:p>
              </w:tc>
            </w:tr>
            <w:tr w:rsidTr="00D5155F">
              <w:tblPrEx>
                <w:tblW w:w="0" w:type="auto"/>
                <w:jc w:val="center"/>
                <w:tblLook w:val="04A0"/>
              </w:tblPrEx>
              <w:trPr>
                <w:jc w:val="center"/>
              </w:trPr>
              <w:tc>
                <w:tcPr>
                  <w:tcW w:w="906" w:type="dxa"/>
                  <w:vAlign w:val="center"/>
                </w:tcPr>
                <w:p w:rsidR="00483A7F" w:rsidRPr="00086F58"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10.</w:t>
                  </w:r>
                </w:p>
              </w:tc>
              <w:tc>
                <w:tcPr>
                  <w:tcW w:w="3251" w:type="dxa"/>
                </w:tcPr>
                <w:p w:rsidR="00483A7F" w:rsidRPr="00086F58"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Aerobās spējas (</w:t>
                  </w:r>
                  <w:r w:rsidRPr="00086F58">
                    <w:rPr>
                      <w:rFonts w:ascii="Times New Roman" w:hAnsi="Times New Roman" w:cs="Times New Roman"/>
                      <w:sz w:val="24"/>
                      <w:szCs w:val="24"/>
                      <w:lang w:val="lv-LV"/>
                    </w:rPr>
                    <w:t>kardiorespiratorās</w:t>
                  </w:r>
                  <w:r w:rsidRPr="00086F58">
                    <w:rPr>
                      <w:rFonts w:ascii="Times New Roman" w:hAnsi="Times New Roman" w:cs="Times New Roman"/>
                      <w:sz w:val="24"/>
                      <w:szCs w:val="24"/>
                      <w:lang w:val="lv-LV"/>
                    </w:rPr>
                    <w:t xml:space="preserve"> spējas) “20 metru izturības atspoles skrējiena tests” (bērna mācību vietā)</w:t>
                  </w:r>
                </w:p>
              </w:tc>
              <w:tc>
                <w:tcPr>
                  <w:tcW w:w="2324" w:type="dxa"/>
                  <w:vMerge/>
                </w:tcPr>
                <w:p w:rsidR="00483A7F" w:rsidRPr="00086F58" w:rsidP="00483A7F">
                  <w:pPr>
                    <w:pStyle w:val="NoSpacing"/>
                    <w:jc w:val="both"/>
                    <w:rPr>
                      <w:rFonts w:ascii="Times New Roman" w:hAnsi="Times New Roman" w:cs="Times New Roman"/>
                      <w:sz w:val="24"/>
                      <w:szCs w:val="24"/>
                      <w:lang w:val="lv-LV"/>
                    </w:rPr>
                  </w:pPr>
                </w:p>
              </w:tc>
            </w:tr>
          </w:tbl>
          <w:p w:rsidR="00483A7F" w:rsidRPr="00086F58" w:rsidP="00B92EC1">
            <w:pPr>
              <w:spacing w:after="0" w:line="240" w:lineRule="auto"/>
              <w:ind w:right="69" w:firstLine="567"/>
              <w:jc w:val="both"/>
              <w:rPr>
                <w:rFonts w:ascii="Times New Roman" w:hAnsi="Times New Roman" w:cs="Times New Roman"/>
                <w:sz w:val="24"/>
                <w:szCs w:val="24"/>
              </w:rPr>
            </w:pPr>
          </w:p>
          <w:p w:rsidR="00683340" w:rsidRPr="00086F58" w:rsidP="00683340">
            <w:pPr>
              <w:spacing w:after="0" w:line="240" w:lineRule="auto"/>
              <w:ind w:right="69" w:firstLine="567"/>
              <w:jc w:val="both"/>
              <w:rPr>
                <w:rFonts w:ascii="Times New Roman" w:hAnsi="Times New Roman" w:cs="Times New Roman"/>
                <w:sz w:val="24"/>
                <w:szCs w:val="24"/>
              </w:rPr>
            </w:pPr>
            <w:r w:rsidRPr="00086F58">
              <w:rPr>
                <w:rFonts w:ascii="Times New Roman" w:hAnsi="Times New Roman" w:cs="Times New Roman"/>
                <w:sz w:val="24"/>
                <w:szCs w:val="24"/>
              </w:rPr>
              <w:t xml:space="preserve">3. Pielikumā iekļauti </w:t>
            </w:r>
            <w:r w:rsidRPr="00086F58">
              <w:rPr>
                <w:rFonts w:ascii="Times New Roman" w:hAnsi="Times New Roman" w:cs="Times New Roman"/>
                <w:b/>
                <w:sz w:val="24"/>
                <w:szCs w:val="24"/>
                <w:u w:val="single"/>
              </w:rPr>
              <w:t>jauni pakalpojumi antidopinga jomā</w:t>
            </w:r>
            <w:r w:rsidRPr="00086F58">
              <w:rPr>
                <w:rFonts w:ascii="Times New Roman" w:hAnsi="Times New Roman" w:cs="Times New Roman"/>
                <w:sz w:val="24"/>
                <w:szCs w:val="24"/>
              </w:rPr>
              <w:t>:</w:t>
            </w:r>
          </w:p>
          <w:tbl>
            <w:tblPr>
              <w:tblStyle w:val="TableGrid"/>
              <w:tblW w:w="0" w:type="auto"/>
              <w:tblLook w:val="04A0"/>
            </w:tblPr>
            <w:tblGrid>
              <w:gridCol w:w="1513"/>
              <w:gridCol w:w="4224"/>
            </w:tblGrid>
            <w:tr w:rsidTr="00D5155F">
              <w:tblPrEx>
                <w:tblW w:w="0" w:type="auto"/>
                <w:tblLook w:val="04A0"/>
              </w:tblPrEx>
              <w:tc>
                <w:tcPr>
                  <w:tcW w:w="834"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N.P.K.</w:t>
                  </w:r>
                </w:p>
              </w:tc>
              <w:tc>
                <w:tcPr>
                  <w:tcW w:w="6356"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Jaunie pakalpojumi</w:t>
                  </w:r>
                </w:p>
              </w:tc>
            </w:tr>
            <w:tr w:rsidTr="00D5155F">
              <w:tblPrEx>
                <w:tblW w:w="0" w:type="auto"/>
                <w:tblLook w:val="04A0"/>
              </w:tblPrEx>
              <w:tc>
                <w:tcPr>
                  <w:tcW w:w="834"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1.</w:t>
                  </w:r>
                </w:p>
              </w:tc>
              <w:tc>
                <w:tcPr>
                  <w:tcW w:w="6356"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Viena urīna parauga analīze dopinga vielu noteikšanai ārpus sacensībām bez papildus izmeklējumiem ar atbildes sniegšanu 72 stundu laikā</w:t>
                  </w:r>
                </w:p>
              </w:tc>
            </w:tr>
            <w:tr w:rsidTr="00D5155F">
              <w:tblPrEx>
                <w:tblW w:w="0" w:type="auto"/>
                <w:tblLook w:val="04A0"/>
              </w:tblPrEx>
              <w:tc>
                <w:tcPr>
                  <w:tcW w:w="834"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2.</w:t>
                  </w:r>
                </w:p>
              </w:tc>
              <w:tc>
                <w:tcPr>
                  <w:tcW w:w="6356"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 xml:space="preserve">Viens papildus izmeklējums urīnā augšanas hormona </w:t>
                  </w:r>
                  <w:r w:rsidRPr="00086F58">
                    <w:rPr>
                      <w:rFonts w:ascii="Times New Roman" w:hAnsi="Times New Roman"/>
                      <w:sz w:val="24"/>
                      <w:szCs w:val="24"/>
                    </w:rPr>
                    <w:t>atbrīvotājfaktoru</w:t>
                  </w:r>
                  <w:r w:rsidRPr="00086F58">
                    <w:rPr>
                      <w:rFonts w:ascii="Times New Roman" w:hAnsi="Times New Roman"/>
                      <w:sz w:val="24"/>
                      <w:szCs w:val="24"/>
                    </w:rPr>
                    <w:t xml:space="preserve"> noteikšanai</w:t>
                  </w:r>
                </w:p>
              </w:tc>
            </w:tr>
            <w:tr w:rsidTr="00D5155F">
              <w:tblPrEx>
                <w:tblW w:w="0" w:type="auto"/>
                <w:tblLook w:val="04A0"/>
              </w:tblPrEx>
              <w:tc>
                <w:tcPr>
                  <w:tcW w:w="834"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3.</w:t>
                  </w:r>
                </w:p>
              </w:tc>
              <w:tc>
                <w:tcPr>
                  <w:tcW w:w="6356"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 xml:space="preserve">Viens papildus izmeklējums urīnā </w:t>
                  </w:r>
                  <w:r w:rsidRPr="00086F58">
                    <w:rPr>
                      <w:rFonts w:ascii="Times New Roman" w:hAnsi="Times New Roman"/>
                      <w:sz w:val="24"/>
                      <w:szCs w:val="24"/>
                    </w:rPr>
                    <w:t>gonadotropīna</w:t>
                  </w:r>
                  <w:r w:rsidRPr="00086F58">
                    <w:rPr>
                      <w:rFonts w:ascii="Times New Roman" w:hAnsi="Times New Roman"/>
                      <w:sz w:val="24"/>
                      <w:szCs w:val="24"/>
                    </w:rPr>
                    <w:t xml:space="preserve"> </w:t>
                  </w:r>
                  <w:r w:rsidRPr="00086F58">
                    <w:rPr>
                      <w:rFonts w:ascii="Times New Roman" w:hAnsi="Times New Roman"/>
                      <w:sz w:val="24"/>
                      <w:szCs w:val="24"/>
                    </w:rPr>
                    <w:t>atbrīvotājhormona</w:t>
                  </w:r>
                  <w:r w:rsidRPr="00086F58">
                    <w:rPr>
                      <w:rFonts w:ascii="Times New Roman" w:hAnsi="Times New Roman"/>
                      <w:sz w:val="24"/>
                      <w:szCs w:val="24"/>
                    </w:rPr>
                    <w:t xml:space="preserve"> noteikšanai</w:t>
                  </w:r>
                </w:p>
              </w:tc>
            </w:tr>
            <w:tr w:rsidTr="00D5155F">
              <w:tblPrEx>
                <w:tblW w:w="0" w:type="auto"/>
                <w:tblLook w:val="04A0"/>
              </w:tblPrEx>
              <w:tc>
                <w:tcPr>
                  <w:tcW w:w="834"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4.</w:t>
                  </w:r>
                </w:p>
              </w:tc>
              <w:tc>
                <w:tcPr>
                  <w:tcW w:w="6356"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Viens papildus izmeklējums urīnā insulīna noteikšanai</w:t>
                  </w:r>
                </w:p>
              </w:tc>
            </w:tr>
            <w:tr w:rsidTr="00D5155F">
              <w:tblPrEx>
                <w:tblW w:w="0" w:type="auto"/>
                <w:tblLook w:val="04A0"/>
              </w:tblPrEx>
              <w:tc>
                <w:tcPr>
                  <w:tcW w:w="834"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5.</w:t>
                  </w:r>
                </w:p>
              </w:tc>
              <w:tc>
                <w:tcPr>
                  <w:tcW w:w="6356"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 xml:space="preserve">Viens izmeklējums urīnā </w:t>
                  </w:r>
                  <w:r w:rsidRPr="00086F58">
                    <w:rPr>
                      <w:rFonts w:ascii="Times New Roman" w:hAnsi="Times New Roman"/>
                      <w:sz w:val="24"/>
                      <w:szCs w:val="24"/>
                    </w:rPr>
                    <w:t>endogēno</w:t>
                  </w:r>
                  <w:r w:rsidRPr="00086F58">
                    <w:rPr>
                      <w:rFonts w:ascii="Times New Roman" w:hAnsi="Times New Roman"/>
                      <w:sz w:val="24"/>
                      <w:szCs w:val="24"/>
                    </w:rPr>
                    <w:t xml:space="preserve"> steroīdu apstiprināšanai, t.sk. ar IRMS metodi</w:t>
                  </w:r>
                </w:p>
              </w:tc>
            </w:tr>
            <w:tr w:rsidTr="00D5155F">
              <w:tblPrEx>
                <w:tblW w:w="0" w:type="auto"/>
                <w:tblLook w:val="04A0"/>
              </w:tblPrEx>
              <w:tc>
                <w:tcPr>
                  <w:tcW w:w="834"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6.</w:t>
                  </w:r>
                </w:p>
              </w:tc>
              <w:tc>
                <w:tcPr>
                  <w:tcW w:w="6356"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 xml:space="preserve">Viena asins parauga analīze mākslīgu skābekļa pārnesēju uz </w:t>
                  </w:r>
                  <w:r w:rsidRPr="00086F58">
                    <w:rPr>
                      <w:rFonts w:ascii="Times New Roman" w:hAnsi="Times New Roman"/>
                      <w:sz w:val="24"/>
                      <w:szCs w:val="24"/>
                    </w:rPr>
                    <w:t>hemoglobīna bāzes noteikšanai asins plazmā</w:t>
                  </w:r>
                </w:p>
              </w:tc>
            </w:tr>
            <w:tr w:rsidTr="00D5155F">
              <w:tblPrEx>
                <w:tblW w:w="0" w:type="auto"/>
                <w:tblLook w:val="04A0"/>
              </w:tblPrEx>
              <w:tc>
                <w:tcPr>
                  <w:tcW w:w="834"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7.</w:t>
                  </w:r>
                </w:p>
              </w:tc>
              <w:tc>
                <w:tcPr>
                  <w:tcW w:w="6356"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 xml:space="preserve">Viena asins parauga analīze </w:t>
                  </w:r>
                  <w:r w:rsidRPr="00086F58">
                    <w:rPr>
                      <w:rFonts w:ascii="Times New Roman" w:hAnsi="Times New Roman"/>
                      <w:sz w:val="24"/>
                      <w:szCs w:val="24"/>
                    </w:rPr>
                    <w:t>eritropoetīna</w:t>
                  </w:r>
                  <w:r w:rsidRPr="00086F58">
                    <w:rPr>
                      <w:rFonts w:ascii="Times New Roman" w:hAnsi="Times New Roman"/>
                      <w:sz w:val="24"/>
                      <w:szCs w:val="24"/>
                    </w:rPr>
                    <w:t xml:space="preserve"> noteikšanai asins plazmā</w:t>
                  </w:r>
                </w:p>
              </w:tc>
            </w:tr>
            <w:tr w:rsidTr="00D5155F">
              <w:tblPrEx>
                <w:tblW w:w="0" w:type="auto"/>
                <w:tblLook w:val="04A0"/>
              </w:tblPrEx>
              <w:tc>
                <w:tcPr>
                  <w:tcW w:w="834"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8.</w:t>
                  </w:r>
                </w:p>
              </w:tc>
              <w:tc>
                <w:tcPr>
                  <w:tcW w:w="6356"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Viena parauga B daļas kvantitatīvā analīze A paraugā noteiktās dopinga vielas apstiprināšanai</w:t>
                  </w:r>
                </w:p>
              </w:tc>
            </w:tr>
            <w:tr w:rsidTr="00D5155F">
              <w:tblPrEx>
                <w:tblW w:w="0" w:type="auto"/>
                <w:tblLook w:val="04A0"/>
              </w:tblPrEx>
              <w:tc>
                <w:tcPr>
                  <w:tcW w:w="834"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9.</w:t>
                  </w:r>
                </w:p>
              </w:tc>
              <w:tc>
                <w:tcPr>
                  <w:tcW w:w="6356"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Viena parauga B daļas izmeklējums ar IRMS metodi</w:t>
                  </w:r>
                </w:p>
              </w:tc>
            </w:tr>
            <w:tr w:rsidTr="00D5155F">
              <w:tblPrEx>
                <w:tblW w:w="0" w:type="auto"/>
                <w:tblLook w:val="04A0"/>
              </w:tblPrEx>
              <w:tc>
                <w:tcPr>
                  <w:tcW w:w="834"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10.</w:t>
                  </w:r>
                </w:p>
              </w:tc>
              <w:tc>
                <w:tcPr>
                  <w:tcW w:w="6356"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Viena parauga B daļas izmeklējums EPO un to analogu apstiprināšanai</w:t>
                  </w:r>
                </w:p>
              </w:tc>
            </w:tr>
            <w:tr w:rsidTr="00D5155F">
              <w:tblPrEx>
                <w:tblW w:w="0" w:type="auto"/>
                <w:tblLook w:val="04A0"/>
              </w:tblPrEx>
              <w:tc>
                <w:tcPr>
                  <w:tcW w:w="834"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11.</w:t>
                  </w:r>
                </w:p>
              </w:tc>
              <w:tc>
                <w:tcPr>
                  <w:tcW w:w="6356"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Viena parauga B daļas izmeklējums augšanas hormona apstiprināšanai</w:t>
                  </w:r>
                </w:p>
              </w:tc>
            </w:tr>
            <w:tr w:rsidTr="00D5155F">
              <w:tblPrEx>
                <w:tblW w:w="0" w:type="auto"/>
                <w:tblLook w:val="04A0"/>
              </w:tblPrEx>
              <w:tc>
                <w:tcPr>
                  <w:tcW w:w="834"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12.</w:t>
                  </w:r>
                </w:p>
              </w:tc>
              <w:tc>
                <w:tcPr>
                  <w:tcW w:w="6356"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Analītisko rezultātu pilns dokumentārs pārskats no dopinga kontroles laboratorijas sportista bioloģiskajai asins pasei u.c.</w:t>
                  </w:r>
                </w:p>
              </w:tc>
            </w:tr>
            <w:tr w:rsidTr="00D5155F">
              <w:tblPrEx>
                <w:tblW w:w="0" w:type="auto"/>
                <w:tblLook w:val="04A0"/>
              </w:tblPrEx>
              <w:tc>
                <w:tcPr>
                  <w:tcW w:w="834"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13.</w:t>
                  </w:r>
                </w:p>
              </w:tc>
              <w:tc>
                <w:tcPr>
                  <w:tcW w:w="6356"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Lekcija antidopinga jomā bez komandējuma izmaksām</w:t>
                  </w:r>
                </w:p>
              </w:tc>
            </w:tr>
            <w:tr w:rsidTr="00D5155F">
              <w:tblPrEx>
                <w:tblW w:w="0" w:type="auto"/>
                <w:tblLook w:val="04A0"/>
              </w:tblPrEx>
              <w:tc>
                <w:tcPr>
                  <w:tcW w:w="834"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14.</w:t>
                  </w:r>
                </w:p>
              </w:tc>
              <w:tc>
                <w:tcPr>
                  <w:tcW w:w="6356" w:type="dxa"/>
                </w:tcPr>
                <w:p w:rsidR="00683340" w:rsidRPr="00086F58" w:rsidP="00683340">
                  <w:pPr>
                    <w:ind w:right="69" w:firstLine="567"/>
                    <w:jc w:val="both"/>
                    <w:rPr>
                      <w:rFonts w:ascii="Times New Roman" w:hAnsi="Times New Roman"/>
                      <w:sz w:val="24"/>
                      <w:szCs w:val="24"/>
                    </w:rPr>
                  </w:pPr>
                  <w:r w:rsidRPr="00086F58">
                    <w:rPr>
                      <w:rFonts w:ascii="Times New Roman" w:hAnsi="Times New Roman"/>
                      <w:sz w:val="24"/>
                      <w:szCs w:val="24"/>
                    </w:rPr>
                    <w:t>Antidopinga stenda prezentācija ar 2 informatoriem un izdales materiāliem 100 personām bez komandējuma izmaksām</w:t>
                  </w:r>
                </w:p>
              </w:tc>
            </w:tr>
          </w:tbl>
          <w:p w:rsidR="00483A7F" w:rsidRPr="00086F58" w:rsidP="00FC0A02">
            <w:pPr>
              <w:spacing w:after="0" w:line="240" w:lineRule="auto"/>
              <w:ind w:right="69"/>
              <w:jc w:val="both"/>
              <w:rPr>
                <w:rFonts w:ascii="Times New Roman" w:hAnsi="Times New Roman" w:cs="Times New Roman"/>
                <w:sz w:val="24"/>
                <w:szCs w:val="24"/>
              </w:rPr>
            </w:pPr>
          </w:p>
          <w:p w:rsidR="00B92EC1" w:rsidRPr="00086F58" w:rsidP="00683340">
            <w:pPr>
              <w:spacing w:after="0" w:line="240" w:lineRule="auto"/>
              <w:ind w:right="69" w:firstLine="720"/>
              <w:jc w:val="both"/>
              <w:rPr>
                <w:rFonts w:ascii="Times New Roman" w:hAnsi="Times New Roman" w:cs="Times New Roman"/>
                <w:sz w:val="24"/>
                <w:szCs w:val="24"/>
              </w:rPr>
            </w:pPr>
            <w:r w:rsidRPr="00086F58">
              <w:rPr>
                <w:rFonts w:ascii="Times New Roman" w:hAnsi="Times New Roman" w:cs="Times New Roman"/>
                <w:sz w:val="24"/>
                <w:szCs w:val="24"/>
              </w:rPr>
              <w:t xml:space="preserve">Noteikumu projekts tika izstrādāts uz šobrīd spēkā esoša Ministru kabineta 2013.gada 27.augusta noteikumu Nr.676 „Valsts sporta medicīnas centra maksas pakalpojumu cenrādis” (turpmāk </w:t>
            </w:r>
            <w:r w:rsidRPr="00086F58">
              <w:rPr>
                <w:rFonts w:ascii="Times New Roman" w:hAnsi="Times New Roman" w:cs="Times New Roman"/>
                <w:bCs/>
                <w:kern w:val="1"/>
                <w:sz w:val="24"/>
                <w:szCs w:val="24"/>
                <w:lang w:eastAsia="lv-LV"/>
              </w:rPr>
              <w:t>–</w:t>
            </w:r>
            <w:r w:rsidRPr="00086F58">
              <w:rPr>
                <w:rFonts w:ascii="Times New Roman" w:hAnsi="Times New Roman" w:cs="Times New Roman"/>
                <w:sz w:val="24"/>
                <w:szCs w:val="24"/>
              </w:rPr>
              <w:t xml:space="preserve"> Cenrādis) bāzes.</w:t>
            </w:r>
          </w:p>
          <w:p w:rsidR="00B92EC1" w:rsidRPr="00086F58" w:rsidP="00683340">
            <w:pPr>
              <w:pStyle w:val="NormalWeb"/>
              <w:spacing w:before="0" w:after="0"/>
              <w:ind w:firstLine="720"/>
              <w:jc w:val="both"/>
              <w:rPr>
                <w:rFonts w:eastAsia="Times New Roman"/>
              </w:rPr>
            </w:pPr>
            <w:r w:rsidRPr="00086F58">
              <w:t>Pamatojoties uz Ministru kabineta 2012.gada 4.decembra noteikumiem Nr.821 “Valsts sporta medicīnas centra nolikums” un atbilstoši Ministru kabineta 2016.gada 6.septembra noteikumiem Nr.594 “Sportistu un bērnu ar paaugstinātu fiziskos slodzi veselības aprūpes un medicīniskās uzraudzības kārtība”, Centrs nodrošina veselības aprūpi un medicīnisko uzraudzību sportistiem un bērniem ar paaugstinātu fizisko slodzi.  Saskaņā ar Ministru kabineta 2013.gada 17.decembra noteikumiem Nr.1529 “Veselības aprūpes organizēšanas un finansēšanas kārtība” (turpmāk – Noteikumi Nr. 1529) Centrs valsts budžeta apakšprogrammas 39.02.00 “Sporta medicīnas nodrošināšana” un kārtējā gada ietvaros 14 200 sportistiem un bērniem ar paaugstinātu fizisko slodzi no 10 gadu vecuma līdz 17 gadu vecumam (daiļslidošanā, sporta dejās, sporta un mākslas vingrošanā – no 8 gadu vecuma līdz 17 gadu vecumam) veic profilaktiskās medicīniskās pārbaudes ar tajās iekļautajiem izmeklējumiem, speciālistu konsultācijas un ar sporta treniņiem (nodarbībām) un sporta sacensībām saistīto slimību, traumu un pārslodzes diagnostiku, ārstēšanu un rehabilitāciju (</w:t>
            </w:r>
            <w:r w:rsidRPr="00086F58">
              <w:rPr>
                <w:rFonts w:eastAsia="Times New Roman"/>
              </w:rPr>
              <w:t xml:space="preserve">fizioterapeita </w:t>
            </w:r>
            <w:r w:rsidRPr="00086F58">
              <w:rPr>
                <w:rFonts w:eastAsia="Times New Roman"/>
              </w:rPr>
              <w:t xml:space="preserve">konsultāciju, ieskaitot pacienta funkcionālu izmeklēšanu (45 minūtes) </w:t>
            </w:r>
            <w:r w:rsidRPr="00086F58">
              <w:rPr>
                <w:rFonts w:eastAsia="Times New Roman"/>
                <w:shd w:val="clear" w:color="auto" w:fill="FFFFFF"/>
              </w:rPr>
              <w:t xml:space="preserve">pie diagnosticētām </w:t>
            </w:r>
            <w:r w:rsidRPr="00086F58">
              <w:rPr>
                <w:rFonts w:eastAsia="Times New Roman"/>
              </w:rPr>
              <w:t>skeleta, muskuļu un saistaudu slimībām ar</w:t>
            </w:r>
            <w:r w:rsidRPr="00086F58">
              <w:rPr>
                <w:rFonts w:eastAsia="Times New Roman"/>
                <w:shd w:val="clear" w:color="auto" w:fill="FFFFFF"/>
              </w:rPr>
              <w:t xml:space="preserve"> Centra speciālista nosūtījumu).</w:t>
            </w:r>
          </w:p>
          <w:p w:rsidR="00B92EC1" w:rsidRPr="00086F58" w:rsidP="00683340">
            <w:pPr>
              <w:spacing w:after="0" w:line="240" w:lineRule="auto"/>
              <w:ind w:firstLine="720"/>
              <w:jc w:val="both"/>
              <w:rPr>
                <w:rFonts w:ascii="Times New Roman" w:hAnsi="Times New Roman" w:cs="Times New Roman"/>
                <w:sz w:val="24"/>
                <w:szCs w:val="24"/>
              </w:rPr>
            </w:pPr>
            <w:r w:rsidRPr="00086F58">
              <w:rPr>
                <w:rFonts w:ascii="Times New Roman" w:hAnsi="Times New Roman" w:cs="Times New Roman"/>
                <w:sz w:val="24"/>
                <w:szCs w:val="24"/>
              </w:rPr>
              <w:t xml:space="preserve">Centrs veic padziļināto profilaktiski medicīnisko pārbaudi, kurā ietilpst sporta ārsta konsultācija ar laboratoriskajiem izmeklējumiem, fiziskās attīstības un fiziskās sagatavotības pēc EUROFIT metodes veikšana un novērtēšana, fiziskās slodzes tests ar elektrokardiogrammas divpadsmit novadījumos pierakstu un aprakstu pirms un pēc nedozētas slodzes (2 minūšu skrējiens </w:t>
            </w:r>
            <w:r w:rsidRPr="00086F58">
              <w:rPr>
                <w:rFonts w:ascii="Times New Roman" w:hAnsi="Times New Roman" w:cs="Times New Roman"/>
                <w:sz w:val="24"/>
                <w:szCs w:val="24"/>
              </w:rPr>
              <w:t>augstsolī</w:t>
            </w:r>
            <w:r w:rsidRPr="00086F58">
              <w:rPr>
                <w:rFonts w:ascii="Times New Roman" w:hAnsi="Times New Roman" w:cs="Times New Roman"/>
                <w:sz w:val="24"/>
                <w:szCs w:val="24"/>
              </w:rPr>
              <w:t xml:space="preserve"> vai 30 pietupieni), Centra telpās Rīgā, Raiņa bulvārī 27. </w:t>
            </w:r>
          </w:p>
          <w:p w:rsidR="00B92EC1" w:rsidRPr="00086F58" w:rsidP="00683340">
            <w:pPr>
              <w:pStyle w:val="NoSpacing"/>
              <w:ind w:firstLine="720"/>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 xml:space="preserve">Valsts sporta medicīnas centrs (turpmāk - Centrs) sniedz valsts apmaksātus veselības aprūpes pakalpojumus - padziļinātu profilaktisko medicīnisko pārbaudi sportistiem un bērniem ar paaugstinātu fizisko slodzi MK 2016.gada 6.septembra noteikumos Nr.594 noteiktajām vecuma grupām (noteikumu 4.punkts), ja ir dokumentārs pierādījums no sporta izglītības iestādes, sporta kluba vai sporta federācijas. Padziļinātā profilaktiskā medicīniskā pārbaude Centrā tiek sniegta par valsts finansējumu: </w:t>
            </w:r>
            <w:r w:rsidRPr="00086F58">
              <w:rPr>
                <w:rFonts w:ascii="Times New Roman" w:hAnsi="Times New Roman" w:cs="Times New Roman"/>
                <w:sz w:val="24"/>
                <w:szCs w:val="24"/>
                <w:lang w:val="lv-LV"/>
              </w:rPr>
              <w:br/>
              <w:t xml:space="preserve">- sportistiem (saskaņā ar Sporta likuma 1.panta 9.punktu) - fiziska persona, kas nodarbojas ar sportu un </w:t>
            </w:r>
            <w:r w:rsidRPr="00086F58">
              <w:rPr>
                <w:rFonts w:ascii="Times New Roman" w:hAnsi="Times New Roman" w:cs="Times New Roman"/>
                <w:sz w:val="24"/>
                <w:szCs w:val="24"/>
                <w:u w:val="single"/>
                <w:lang w:val="lv-LV"/>
              </w:rPr>
              <w:t xml:space="preserve">piedalās </w:t>
            </w:r>
            <w:r w:rsidRPr="00086F58">
              <w:rPr>
                <w:rFonts w:ascii="Times New Roman" w:hAnsi="Times New Roman" w:cs="Times New Roman"/>
                <w:sz w:val="24"/>
                <w:szCs w:val="24"/>
                <w:lang w:val="lv-LV"/>
              </w:rPr>
              <w:t xml:space="preserve">sporta sacensībās; </w:t>
            </w:r>
            <w:r w:rsidRPr="00086F58">
              <w:rPr>
                <w:rFonts w:ascii="Times New Roman" w:hAnsi="Times New Roman" w:cs="Times New Roman"/>
                <w:sz w:val="24"/>
                <w:szCs w:val="24"/>
                <w:lang w:val="lv-LV"/>
              </w:rPr>
              <w:br/>
              <w:t xml:space="preserve">- bērniem ar paaugstinātu fizisko slodzi - ja bērns </w:t>
            </w:r>
            <w:r w:rsidRPr="00086F58">
              <w:rPr>
                <w:rFonts w:ascii="Times New Roman" w:hAnsi="Times New Roman" w:cs="Times New Roman"/>
                <w:sz w:val="24"/>
                <w:szCs w:val="24"/>
                <w:u w:val="single"/>
                <w:lang w:val="lv-LV"/>
              </w:rPr>
              <w:t xml:space="preserve">apgūst </w:t>
            </w:r>
            <w:r w:rsidRPr="00086F58">
              <w:rPr>
                <w:rFonts w:ascii="Times New Roman" w:hAnsi="Times New Roman" w:cs="Times New Roman"/>
                <w:sz w:val="24"/>
                <w:szCs w:val="24"/>
                <w:lang w:val="lv-LV"/>
              </w:rPr>
              <w:t xml:space="preserve">profesionālās ievirzes sporta izglītības programmu un </w:t>
            </w:r>
            <w:r w:rsidRPr="00086F58">
              <w:rPr>
                <w:rFonts w:ascii="Times New Roman" w:hAnsi="Times New Roman" w:cs="Times New Roman"/>
                <w:sz w:val="24"/>
                <w:szCs w:val="24"/>
                <w:u w:val="single"/>
                <w:lang w:val="lv-LV"/>
              </w:rPr>
              <w:t xml:space="preserve">nepiedalās </w:t>
            </w:r>
            <w:r w:rsidRPr="00086F58">
              <w:rPr>
                <w:rFonts w:ascii="Times New Roman" w:hAnsi="Times New Roman" w:cs="Times New Roman"/>
                <w:sz w:val="24"/>
                <w:szCs w:val="24"/>
                <w:lang w:val="lv-LV"/>
              </w:rPr>
              <w:t xml:space="preserve">sporta sacensībās. Valsts apmaksāto pakalpojumu ietvaros tiek noteikts bērna/sportista sagatavotības līmenis, veikti diagnostiskie un laboratoriskie izmeklējumi, sporta ārsta konsultācija, kā arī nepieciešamības gadījumā citu ārstu-speciālistu konsultācijas, kā arī fizikālās terapijas pakalpojumi. Bērni, kuri neatbilst augstāk minētajiem nosacījumiem, </w:t>
            </w:r>
            <w:r w:rsidRPr="00086F58">
              <w:rPr>
                <w:rFonts w:ascii="Times New Roman" w:hAnsi="Times New Roman" w:cs="Times New Roman"/>
                <w:sz w:val="24"/>
                <w:szCs w:val="24"/>
                <w:u w:val="single"/>
                <w:lang w:val="lv-LV"/>
              </w:rPr>
              <w:t>valsts apmaksātus</w:t>
            </w:r>
            <w:r w:rsidRPr="00086F58">
              <w:rPr>
                <w:rFonts w:ascii="Times New Roman" w:hAnsi="Times New Roman" w:cs="Times New Roman"/>
                <w:sz w:val="24"/>
                <w:szCs w:val="24"/>
                <w:lang w:val="lv-LV"/>
              </w:rPr>
              <w:t xml:space="preserve"> pakalpojumus Centrā nesaņem. Saskaņā ar Noteikumu Nr.1529   99.2.punktu Centra sporta ārsts nav tiešās pieejamības speciālists. </w:t>
            </w:r>
          </w:p>
          <w:p w:rsidR="00B92EC1" w:rsidRPr="00086F58" w:rsidP="00683340">
            <w:pPr>
              <w:spacing w:after="0" w:line="240" w:lineRule="auto"/>
              <w:ind w:firstLine="720"/>
              <w:jc w:val="both"/>
              <w:rPr>
                <w:rFonts w:ascii="Times New Roman" w:hAnsi="Times New Roman" w:cs="Times New Roman"/>
                <w:sz w:val="24"/>
                <w:szCs w:val="24"/>
              </w:rPr>
            </w:pPr>
            <w:r w:rsidRPr="00086F58">
              <w:rPr>
                <w:rFonts w:ascii="Times New Roman" w:hAnsi="Times New Roman" w:cs="Times New Roman"/>
                <w:sz w:val="24"/>
                <w:szCs w:val="24"/>
              </w:rPr>
              <w:t>Pēc novadu profesionālās ievirzes sporta izglītības iestāžu (turpmāk – novada sporta skola) pieprasījumiem pakalpojumu “Padziļinātā profilaktiskā medicīniskā pārbaude” Centrs nodrošina un veic arī novadu sporta skolās.</w:t>
            </w:r>
          </w:p>
          <w:p w:rsidR="00B92EC1" w:rsidRPr="00086F58" w:rsidP="00683340">
            <w:pPr>
              <w:spacing w:after="0" w:line="240" w:lineRule="auto"/>
              <w:ind w:firstLine="720"/>
              <w:jc w:val="both"/>
              <w:rPr>
                <w:rFonts w:ascii="Times New Roman" w:hAnsi="Times New Roman" w:cs="Times New Roman"/>
                <w:sz w:val="24"/>
                <w:szCs w:val="24"/>
              </w:rPr>
            </w:pPr>
            <w:r w:rsidRPr="00086F58">
              <w:rPr>
                <w:rFonts w:ascii="Times New Roman" w:hAnsi="Times New Roman" w:cs="Times New Roman"/>
                <w:sz w:val="24"/>
                <w:szCs w:val="24"/>
              </w:rPr>
              <w:t xml:space="preserve">Centrs saņem valsts dotāciju sportistu un bērnu ar paaugstinātu fizisko slodzi no 10 gadu vecuma līdz 17 gadu vecumam (daiļslidošanā, sporta dejās, sporta un mākslas vingrošanā – no 8 gadu vecuma līdz 17 gadu vecumam) veselības aprūpes nodrošināšanai un veikšanai, t.sk. pakalpojuma “Padziļinātā profilaktiskā medicīniskā pārbaude” sniegšanai. Savukārt, lai pēc novada sporta skolas pieprasījuma tuvinātu pakalpojuma “Padziļinātā profilaktiskā medicīniskā pārbaude” sniegšanu sportista un bērna ar paaugstinātu fizisko slodzi dzīvesvietai, tas ir, novada sporta skolai, Centrs pēc savas iniciatīvas ceļa un </w:t>
            </w:r>
            <w:r w:rsidRPr="00086F58">
              <w:rPr>
                <w:rFonts w:ascii="Times New Roman" w:hAnsi="Times New Roman" w:cs="Times New Roman"/>
                <w:sz w:val="24"/>
                <w:szCs w:val="24"/>
              </w:rPr>
              <w:t>izmitināšanas izdevumus sedza no saviem maksas pakalpojumu ieņēmumiem. Centrs 2015.gadā pakalpojumu “Padziļinātā profilaktiskā medicīniskā pārbaude” veica 5147 sportistiem un bērniem ar paaugstinātu fizisko slodzi novadu 35 sporta skolās, 2016.gadā – 4803 sportistiem un bērniem ar paaugstinātu fizisko slodzi novadu 28 sporta skolās. Pavisam Centrs 2016.gadā augstāk minēto pakalpojumu veica 15410 sportistiem un bērniem ar paaugstinātu fizisko slodzi, 2015.gadā – 15 179. Nodrošinot pakalpojumu “Padziļinātā profilaktiskā medicīniskā pārbaude” novadu sporta skolās Centrs izdevumos par ārstniecības personu naktsmītni un degvielu 2015. gadā izlietoja –11 785 EUR, 2016.gadā – 5 479,2 EUR.</w:t>
            </w:r>
          </w:p>
          <w:p w:rsidR="00B92EC1" w:rsidP="00B92EC1">
            <w:pPr>
              <w:spacing w:after="0" w:line="240" w:lineRule="auto"/>
              <w:ind w:right="68" w:firstLine="567"/>
              <w:jc w:val="both"/>
              <w:rPr>
                <w:rFonts w:ascii="Times New Roman" w:hAnsi="Times New Roman" w:cs="Times New Roman"/>
                <w:sz w:val="24"/>
                <w:szCs w:val="24"/>
              </w:rPr>
            </w:pPr>
            <w:r w:rsidRPr="00086F58">
              <w:rPr>
                <w:rFonts w:ascii="Times New Roman" w:hAnsi="Times New Roman" w:cs="Times New Roman"/>
                <w:sz w:val="24"/>
                <w:szCs w:val="24"/>
              </w:rPr>
              <w:t>Ņemot vērā, ka Centra maksas pakalpojumu ieņēmumu neizpilde 2015.gadā sasniedza 30% no plānotā, no 2015.gada 31.augusta tika apdraudēta labās prakses nodrošināšana, ka Centrs pakalpojumu “Padziļinātā profilaktiskā medicīniskā pārbaude” tuvina sportista un bērna ar paaugstinātu fizisko slodzi dzīvesvietai. Lai 2017.gadā un turpmākos gados Centram būtu pamatojums rēķina izrakstīšanai novadu sporta skolām, kas pieprasa pakalpojumu “Padziļinātā profilaktiskā medicīniskā pārbaude” veikt novada sporta skolā uz vietas, kā arī lai nodrošinātu vienādus nosacījumus visām novada sporta skolām, nepieciešams Noteikumu projektā iekļaut jaunu sadaļu: “Valsts sporta medicīnas centra speciālistu izbraukuma vizīte”, kurā tiek noteiktas izmaksas par ceļa (degvielas kompensēšanas) izdevumiem un viesnīcu (naktsmītnes) izdevumiem ārstniecības personām, nepārsniedzot Ministru kabineta 2010.gada 12.oktobra noteikumu Nr.969 “Kārtība, kādā atlīdzināmi ar komandējumiem saistītie izdevumi” 21.3.apakšpunktā noteikto maksimālo izdevumu normu. Tāpat nepieciešams nodrošināt ceļa (degvielas) kompensēšanu un nodrošināšanu ar viesnīcu (naktsmītni) dopinga kontrolieriem un Centra amatpersonām, kas veic izglītojošos pasākumus sporta medicīnas, t.sk. antidopinga jomā.</w:t>
            </w:r>
          </w:p>
          <w:p w:rsidR="003630E7" w:rsidRPr="00086F58" w:rsidP="00B92EC1">
            <w:pPr>
              <w:spacing w:after="0" w:line="240" w:lineRule="auto"/>
              <w:ind w:right="68" w:firstLine="567"/>
              <w:jc w:val="both"/>
              <w:rPr>
                <w:rFonts w:ascii="Times New Roman" w:hAnsi="Times New Roman" w:cs="Times New Roman"/>
                <w:sz w:val="24"/>
                <w:szCs w:val="24"/>
              </w:rPr>
            </w:pPr>
          </w:p>
          <w:p w:rsidR="00B92EC1" w:rsidRPr="00086F58" w:rsidP="00B92EC1">
            <w:pPr>
              <w:shd w:val="clear" w:color="auto" w:fill="FFFFFF"/>
              <w:spacing w:after="0" w:line="240" w:lineRule="auto"/>
              <w:ind w:firstLine="567"/>
              <w:jc w:val="both"/>
              <w:rPr>
                <w:rFonts w:ascii="Times New Roman" w:eastAsia="Calibri" w:hAnsi="Times New Roman" w:cs="Times New Roman"/>
                <w:sz w:val="24"/>
                <w:szCs w:val="24"/>
              </w:rPr>
            </w:pPr>
            <w:r w:rsidRPr="00086F58">
              <w:rPr>
                <w:rFonts w:ascii="Times New Roman" w:hAnsi="Times New Roman" w:cs="Times New Roman"/>
                <w:sz w:val="24"/>
                <w:szCs w:val="24"/>
              </w:rPr>
              <w:t xml:space="preserve">Centrs turpina saņemt pieprasījumu fiziskās sagatavotības noteikšanai pēc EUROFIT metodes skolēniem gan no vispārizglītojošām skolām, gan individuāli no skolēnu vecākiem. Katru gadu, īpaši mācību gada sākumā, laikā no septembra līdz novembrim, Centrā vēršas izglītojamo vecāki ar lūgumu izglītojamam noteikt fizisko sagatavotību un izsniegt izziņu par atļauju darboties paaugstinātas fiziskās slodzes apstākļos. Līdz 2016.gadam Centrs šāda veida pieprasījumu savu iespēju robežās (2013.gadā – 1590 skolēniem, 2014.gadā 11 skolēniem, 2015.gadā – 30 skolēniem), tas ir, gadījumos, kad kāda no sporta skolām samazināja padziļinātai profilaktiski </w:t>
            </w:r>
            <w:r w:rsidRPr="00086F58">
              <w:rPr>
                <w:rFonts w:ascii="Times New Roman" w:hAnsi="Times New Roman" w:cs="Times New Roman"/>
                <w:sz w:val="24"/>
                <w:szCs w:val="24"/>
              </w:rPr>
              <w:t xml:space="preserve">medicīniskai pārbaudei pieteikto sportistu skaitu, sniedza no sportistu un bērnu ar paaugstinātu fizisko slodzi veselības aprūpei paredzētās valsts budžeta dotācijas, tādejādi mazinot iespēju apmeklēt Centru citu sporta skolu sportistiem un bērniem ar paaugstinātu fizisko slodzi. </w:t>
            </w:r>
          </w:p>
          <w:p w:rsidR="00B92EC1" w:rsidRPr="00086F58" w:rsidP="00B92EC1">
            <w:pPr>
              <w:spacing w:after="0" w:line="240" w:lineRule="auto"/>
              <w:ind w:right="69" w:firstLine="567"/>
              <w:jc w:val="both"/>
              <w:rPr>
                <w:rFonts w:ascii="Times New Roman" w:hAnsi="Times New Roman" w:cs="Times New Roman"/>
                <w:sz w:val="24"/>
                <w:szCs w:val="24"/>
              </w:rPr>
            </w:pPr>
            <w:r w:rsidRPr="00086F58">
              <w:rPr>
                <w:rFonts w:ascii="Times New Roman" w:hAnsi="Times New Roman" w:cs="Times New Roman"/>
                <w:sz w:val="24"/>
                <w:szCs w:val="24"/>
              </w:rPr>
              <w:t>Ņemot vērā, ka Centrs valsts budžeta dotāciju saņem par sportistu un bērnu ar paaugstinātu fizisko slodzi vecumā no 10 gadiem līdz 17 gadiem ieskaitot veselības aprūpes nodrošināšanu un veikšanu, Cenrādī būtu iekļaujami pakalpojumi fiziskās sagatavotības noteikšanai pēc EUROFIT metodes skolēniem (tie kas nav sportisti un bērni ar paaugstinātu fizisko slodzi) vecumā no 10 gadiem.</w:t>
            </w:r>
          </w:p>
          <w:p w:rsidR="00B92EC1" w:rsidP="00B92EC1">
            <w:pPr>
              <w:spacing w:after="0" w:line="240" w:lineRule="auto"/>
              <w:ind w:right="69" w:firstLine="567"/>
              <w:jc w:val="both"/>
              <w:rPr>
                <w:rFonts w:ascii="Times New Roman" w:hAnsi="Times New Roman" w:cs="Times New Roman"/>
                <w:sz w:val="24"/>
                <w:szCs w:val="24"/>
              </w:rPr>
            </w:pPr>
            <w:r w:rsidRPr="00086F58">
              <w:rPr>
                <w:rFonts w:ascii="Times New Roman" w:hAnsi="Times New Roman" w:cs="Times New Roman"/>
                <w:sz w:val="24"/>
                <w:szCs w:val="24"/>
              </w:rPr>
              <w:t xml:space="preserve">Sākot no 2017.gada 1.janvāra Centrs neveic laboratorisko analīžu (asins un urīna analīžu) noteikšanu Centra telpās, bet tiek pirkts pakalpojums Publiskā iepirkumu likuma noteiktajā kārtībā. 2017.gadā šo pakalpojumu, tajā skaitā reģionos, veic SIA “Centrālā laboratorija”, tajā skaitā novados (tuvāk pacienta dzīvesvietai). Pakalpojuma pirkšana no akreditētas laboratorijas uzlabo pakalpojuma kvalitāti un ļauj sporta ārstiem precīzāk noteikt sportistu un bērnu ar paaugstinātu fizisko slodzi veselības stāvokli. Līdz ar to Noteikumu projektā nav paredzēta atsevišķa sadaļa par laboratorisko izmeklējumu veikšanu pacientiem, kuri ierodas uz maksas konsultāciju pie Centra speciālistiem. Attiecīgi Noteikumu projektā ir iekļautas divas pozīcijas – “sporta ārsta konsultācija” un “sporta ārsta konsultācija ar laboratoriskajiem izmeklējumiem”, ņemot vērā, ka pacients var vērsties pie sporta ārsta ar veiktiem laboratoriskajiem izmeklējumiem, vai arī bez tiem. </w:t>
            </w:r>
          </w:p>
          <w:p w:rsidR="003630E7" w:rsidRPr="00086F58" w:rsidP="00B92EC1">
            <w:pPr>
              <w:spacing w:after="0" w:line="240" w:lineRule="auto"/>
              <w:ind w:right="69" w:firstLine="567"/>
              <w:jc w:val="both"/>
              <w:rPr>
                <w:rFonts w:ascii="Times New Roman" w:hAnsi="Times New Roman" w:cs="Times New Roman"/>
                <w:sz w:val="24"/>
                <w:szCs w:val="24"/>
              </w:rPr>
            </w:pPr>
          </w:p>
          <w:p w:rsidR="00B92EC1" w:rsidP="00B92EC1">
            <w:pPr>
              <w:spacing w:after="0" w:line="240" w:lineRule="auto"/>
              <w:ind w:right="69" w:firstLine="567"/>
              <w:jc w:val="both"/>
              <w:rPr>
                <w:rFonts w:ascii="Times New Roman" w:hAnsi="Times New Roman" w:cs="Times New Roman"/>
                <w:sz w:val="24"/>
                <w:szCs w:val="24"/>
                <w:lang w:eastAsia="ar-SA"/>
              </w:rPr>
            </w:pPr>
            <w:r w:rsidRPr="00086F58">
              <w:rPr>
                <w:rFonts w:ascii="Times New Roman" w:hAnsi="Times New Roman" w:cs="Times New Roman"/>
                <w:sz w:val="24"/>
                <w:szCs w:val="24"/>
              </w:rPr>
              <w:t xml:space="preserve">Savukārt, lai nodrošinātu sabiedrības vajadzības pēc ārstniecības pakalpojumiem, Centrs saskaņā ar Cenrādi nodrošina Latvijas iedzīvotājiem maksas medicīniskās rehabilitācijas pakalpojumus, t.sk., masāžas procedūras, koriģējošās un ārstnieciskās vingrošanas nodarbības, fizioterapeitu un ārstu speciālistu konsultācijas, sniedz funkcionālās diagnostikas pakalpojumus, fizikālās terapijas, </w:t>
            </w:r>
            <w:r w:rsidRPr="00086F58">
              <w:rPr>
                <w:rFonts w:ascii="Times New Roman" w:hAnsi="Times New Roman" w:cs="Times New Roman"/>
                <w:sz w:val="24"/>
                <w:szCs w:val="24"/>
              </w:rPr>
              <w:t>otorinolaringoloģijas</w:t>
            </w:r>
            <w:r w:rsidRPr="00086F58">
              <w:rPr>
                <w:rFonts w:ascii="Times New Roman" w:hAnsi="Times New Roman" w:cs="Times New Roman"/>
                <w:sz w:val="24"/>
                <w:szCs w:val="24"/>
              </w:rPr>
              <w:t xml:space="preserve">, </w:t>
            </w:r>
            <w:r w:rsidRPr="00086F58">
              <w:rPr>
                <w:rFonts w:ascii="Times New Roman" w:hAnsi="Times New Roman" w:cs="Times New Roman"/>
                <w:sz w:val="24"/>
                <w:szCs w:val="24"/>
              </w:rPr>
              <w:t>antropometrijas</w:t>
            </w:r>
            <w:r w:rsidRPr="00086F58">
              <w:rPr>
                <w:rFonts w:ascii="Times New Roman" w:hAnsi="Times New Roman" w:cs="Times New Roman"/>
                <w:sz w:val="24"/>
                <w:szCs w:val="24"/>
              </w:rPr>
              <w:t xml:space="preserve"> pakalpojumus, kuriem Noteikumu </w:t>
            </w:r>
            <w:r w:rsidRPr="00086F58">
              <w:rPr>
                <w:rFonts w:ascii="Times New Roman" w:hAnsi="Times New Roman" w:cs="Times New Roman"/>
                <w:sz w:val="24"/>
                <w:szCs w:val="24"/>
                <w:lang w:eastAsia="ar-SA"/>
              </w:rPr>
              <w:t>projekts paredz cenu palielinājumu, jo pašlaik spēkā esošā maksas pakalpojuma cena nesedz izdevumus, kas saistīti ar maksas pakalpojuma sniegšanu. Izdevumu palielinājums saistīts ar laika posmā no 2013.gada līdz 2015.gadam veikto minimālās darba algas un atalgojumu skalas minimālā sliekšņa palielinājumu, kā arī komunālo maksājumu sadārdzinājumu un citu saimniecisko izdevumu palielinājumu.</w:t>
            </w:r>
          </w:p>
          <w:p w:rsidR="003630E7" w:rsidRPr="00086F58" w:rsidP="00B92EC1">
            <w:pPr>
              <w:spacing w:after="0" w:line="240" w:lineRule="auto"/>
              <w:ind w:right="69" w:firstLine="567"/>
              <w:jc w:val="both"/>
              <w:rPr>
                <w:rFonts w:ascii="Times New Roman" w:hAnsi="Times New Roman" w:cs="Times New Roman"/>
                <w:sz w:val="24"/>
                <w:szCs w:val="24"/>
                <w:lang w:eastAsia="ar-SA"/>
              </w:rPr>
            </w:pPr>
          </w:p>
          <w:p w:rsidR="003630E7" w:rsidP="00B92EC1">
            <w:pPr>
              <w:pStyle w:val="NormalWeb"/>
              <w:spacing w:before="0" w:after="0"/>
              <w:ind w:firstLine="567"/>
              <w:jc w:val="both"/>
              <w:rPr>
                <w:lang w:eastAsia="ar-SA"/>
              </w:rPr>
            </w:pPr>
            <w:r w:rsidRPr="00086F58">
              <w:rPr>
                <w:lang w:eastAsia="ar-SA"/>
              </w:rPr>
              <w:t xml:space="preserve">Medicīniskās rehabilitācijas pakalpojumi kā masāžas un fizioterapijas pakalpojumi Centra mērķauditorijai – sportistiem un bērniem ar paaugstinātu fizisko slodzi līdz 17 </w:t>
            </w:r>
            <w:r w:rsidRPr="00086F58">
              <w:rPr>
                <w:lang w:eastAsia="ar-SA"/>
              </w:rPr>
              <w:t xml:space="preserve">gadiem ieskaitot – Centrā netiek nodrošināti no valsts budžeta dotācijas. </w:t>
            </w:r>
            <w:r w:rsidRPr="00086F58">
              <w:t xml:space="preserve">Ik gadus Centrā padziļinātās profilaktiski medicīniskās pārbaudēs tiek konstatēts, ka sportistiem un bērniem ar paaugstinātu fizisko slodzi līdz 17 gadu vecumam, balsta un kustību traucējumi ir vairāk kā 97%, īpaši – asimetriska stāja, kas pēdējos 2 gadus no visiem balsta un kustību sistēmas traucējumiem ir 77%. Sportistiem un bērniem ar paaugstinātu fizisko slodzi, kuriem diagnosticēta skeleta, muskuļu un saistaudu slimība, stāvoklis pēc traumām, u.c., sporta ārsti ārstnieciski profilaktisko pasākumu nolūkā iesaka un nozīmē fizioterapeita konsultāciju, veikt fizioterapiju, t.sk., ārstniecisko un koriģējošo vingrošanu vai masāžu, nereti visus šos pasākumus. </w:t>
            </w:r>
            <w:r w:rsidR="00DF787D">
              <w:t>Centrs ir izvērtējis iepriek</w:t>
            </w:r>
            <w:r w:rsidR="00765738">
              <w:t>šē</w:t>
            </w:r>
            <w:r w:rsidR="00DF787D">
              <w:t>jo gadu pakalpojumu pieprasījumu tendences un atbilstoši vispieprasītākajiem pakalpojumiem, kā arī</w:t>
            </w:r>
            <w:r w:rsidR="00765738">
              <w:t xml:space="preserve"> </w:t>
            </w:r>
            <w:r w:rsidR="00765738">
              <w:rPr>
                <w:lang w:eastAsia="ar-SA"/>
              </w:rPr>
              <w:t>l</w:t>
            </w:r>
            <w:r w:rsidR="002E319B">
              <w:rPr>
                <w:lang w:eastAsia="ar-SA"/>
              </w:rPr>
              <w:t>ai</w:t>
            </w:r>
            <w:r w:rsidRPr="00086F58">
              <w:rPr>
                <w:lang w:eastAsia="ar-SA"/>
              </w:rPr>
              <w:t xml:space="preserve"> bērniem</w:t>
            </w:r>
            <w:r w:rsidR="002E319B">
              <w:rPr>
                <w:lang w:eastAsia="ar-SA"/>
              </w:rPr>
              <w:t xml:space="preserve"> </w:t>
            </w:r>
            <w:r w:rsidRPr="007D5B3C" w:rsidR="002E319B">
              <w:rPr>
                <w:color w:val="000000"/>
              </w:rPr>
              <w:t>no</w:t>
            </w:r>
            <w:r w:rsidRPr="000D3A6B" w:rsidR="002E319B">
              <w:rPr>
                <w:color w:val="000000"/>
                <w:sz w:val="28"/>
                <w:szCs w:val="28"/>
              </w:rPr>
              <w:t xml:space="preserve"> </w:t>
            </w:r>
            <w:r w:rsidRPr="002E319B" w:rsidR="002E319B">
              <w:rPr>
                <w:color w:val="000000"/>
              </w:rPr>
              <w:t>daudzbērnu</w:t>
            </w:r>
            <w:r w:rsidRPr="002E319B" w:rsidR="002E319B">
              <w:rPr>
                <w:color w:val="000000"/>
              </w:rPr>
              <w:t xml:space="preserve"> ģimenes, kā arī bārenim un bez vecāku gādības palikušam bērna</w:t>
            </w:r>
            <w:r w:rsidR="002E319B">
              <w:rPr>
                <w:color w:val="000000"/>
              </w:rPr>
              <w:t>m</w:t>
            </w:r>
            <w:r w:rsidRPr="002E319B" w:rsidR="002E319B">
              <w:rPr>
                <w:color w:val="000000"/>
              </w:rPr>
              <w:t xml:space="preserve"> </w:t>
            </w:r>
            <w:r w:rsidRPr="002E319B">
              <w:rPr>
                <w:lang w:eastAsia="ar-SA"/>
              </w:rPr>
              <w:t>ar</w:t>
            </w:r>
            <w:r w:rsidRPr="00086F58">
              <w:rPr>
                <w:lang w:eastAsia="ar-SA"/>
              </w:rPr>
              <w:t xml:space="preserve"> paaugstinātu fizisko slodzi līdz 17 gadiem ieskaitot tiesiski (ievērojot ārējos normatīvajos aktos paredzētos mērķus un kārtību) padarītu </w:t>
            </w:r>
            <w:r w:rsidRPr="00B62125">
              <w:rPr>
                <w:lang w:eastAsia="ar-SA"/>
              </w:rPr>
              <w:t>pieejamākus medicīniskās rehabilitācijas pakalpojumus, Noteikumu projektā atsevišķiem medicīniskās reha</w:t>
            </w:r>
            <w:r w:rsidRPr="00B62125" w:rsidR="002E319B">
              <w:rPr>
                <w:lang w:eastAsia="ar-SA"/>
              </w:rPr>
              <w:t>bilitācijas paka</w:t>
            </w:r>
            <w:r w:rsidRPr="00B62125" w:rsidR="007D5B3C">
              <w:rPr>
                <w:lang w:eastAsia="ar-SA"/>
              </w:rPr>
              <w:t>lpojumiem (1.1.5., 1.1.6., 1.2.5., 1.2.8</w:t>
            </w:r>
            <w:r w:rsidRPr="00B62125">
              <w:rPr>
                <w:lang w:eastAsia="ar-SA"/>
              </w:rPr>
              <w:t>.</w:t>
            </w:r>
            <w:r w:rsidRPr="00B62125" w:rsidR="00FB77CA">
              <w:rPr>
                <w:lang w:eastAsia="ar-SA"/>
              </w:rPr>
              <w:t>punkti) ir paredzētas atlaides.</w:t>
            </w:r>
          </w:p>
          <w:p w:rsidR="00F84547" w:rsidRPr="00086F58" w:rsidP="00B92EC1">
            <w:pPr>
              <w:pStyle w:val="NormalWeb"/>
              <w:spacing w:before="0" w:after="0"/>
              <w:ind w:firstLine="567"/>
              <w:jc w:val="both"/>
              <w:rPr>
                <w:rFonts w:eastAsia="Times New Roman"/>
              </w:rPr>
            </w:pPr>
          </w:p>
          <w:p w:rsidR="00B92EC1" w:rsidRPr="00086F58" w:rsidP="00B92EC1">
            <w:pPr>
              <w:spacing w:after="0" w:line="240" w:lineRule="auto"/>
              <w:ind w:right="69" w:firstLine="567"/>
              <w:jc w:val="both"/>
              <w:rPr>
                <w:rFonts w:ascii="Times New Roman" w:hAnsi="Times New Roman" w:cs="Times New Roman"/>
                <w:sz w:val="24"/>
                <w:szCs w:val="24"/>
                <w:lang w:eastAsia="ar-SA"/>
              </w:rPr>
            </w:pPr>
            <w:r w:rsidRPr="00086F58">
              <w:rPr>
                <w:rFonts w:ascii="Times New Roman" w:hAnsi="Times New Roman" w:cs="Times New Roman"/>
                <w:sz w:val="24"/>
                <w:szCs w:val="24"/>
                <w:lang w:eastAsia="lv-LV"/>
              </w:rPr>
              <w:t>Atbilstoši likumam “Starptautiskā konvencija pret dopingu sportā” un likumam “Par Eiropas padomes Antidopinga konvenciju Nr.135” Latvija ir pieņēmusi, nodrošina un ievēro Pasaules antidopinga kodeksa un attiecīgo starptautisko standartu prasības, kuras pieprasa tehniskā dokumenta par specifiskām analīzēm sportā (</w:t>
            </w:r>
            <w:r w:rsidRPr="00086F58">
              <w:rPr>
                <w:rFonts w:ascii="Times New Roman" w:hAnsi="Times New Roman" w:cs="Times New Roman"/>
                <w:sz w:val="24"/>
                <w:szCs w:val="24"/>
                <w:lang w:eastAsia="lv-LV"/>
              </w:rPr>
              <w:t>Technical</w:t>
            </w:r>
            <w:r w:rsidRPr="00086F58">
              <w:rPr>
                <w:rFonts w:ascii="Times New Roman" w:hAnsi="Times New Roman" w:cs="Times New Roman"/>
                <w:sz w:val="24"/>
                <w:szCs w:val="24"/>
                <w:lang w:eastAsia="lv-LV"/>
              </w:rPr>
              <w:t xml:space="preserve"> </w:t>
            </w:r>
            <w:r w:rsidRPr="00086F58">
              <w:rPr>
                <w:rFonts w:ascii="Times New Roman" w:hAnsi="Times New Roman" w:cs="Times New Roman"/>
                <w:sz w:val="24"/>
                <w:szCs w:val="24"/>
                <w:lang w:eastAsia="lv-LV"/>
              </w:rPr>
              <w:t>Document</w:t>
            </w:r>
            <w:r w:rsidRPr="00086F58">
              <w:rPr>
                <w:rFonts w:ascii="Times New Roman" w:hAnsi="Times New Roman" w:cs="Times New Roman"/>
                <w:sz w:val="24"/>
                <w:szCs w:val="24"/>
                <w:lang w:eastAsia="lv-LV"/>
              </w:rPr>
              <w:t xml:space="preserve"> Sport </w:t>
            </w:r>
            <w:r w:rsidRPr="00086F58">
              <w:rPr>
                <w:rFonts w:ascii="Times New Roman" w:hAnsi="Times New Roman" w:cs="Times New Roman"/>
                <w:sz w:val="24"/>
                <w:szCs w:val="24"/>
                <w:lang w:eastAsia="lv-LV"/>
              </w:rPr>
              <w:t>Specific</w:t>
            </w:r>
            <w:r w:rsidRPr="00086F58">
              <w:rPr>
                <w:rFonts w:ascii="Times New Roman" w:hAnsi="Times New Roman" w:cs="Times New Roman"/>
                <w:sz w:val="24"/>
                <w:szCs w:val="24"/>
                <w:lang w:eastAsia="lv-LV"/>
              </w:rPr>
              <w:t xml:space="preserve"> </w:t>
            </w:r>
            <w:r w:rsidRPr="00086F58">
              <w:rPr>
                <w:rFonts w:ascii="Times New Roman" w:hAnsi="Times New Roman" w:cs="Times New Roman"/>
                <w:sz w:val="24"/>
                <w:szCs w:val="24"/>
                <w:lang w:eastAsia="lv-LV"/>
              </w:rPr>
              <w:t>Analysis</w:t>
            </w:r>
            <w:r w:rsidRPr="00086F58">
              <w:rPr>
                <w:rFonts w:ascii="Times New Roman" w:hAnsi="Times New Roman" w:cs="Times New Roman"/>
                <w:sz w:val="24"/>
                <w:szCs w:val="24"/>
                <w:lang w:eastAsia="lv-LV"/>
              </w:rPr>
              <w:t>) (tālāk - Tehniskais dokuments) ievērošanu. Tehniskais dokuments ir spēkā no 2015.gada 1.janvāra. Kopš 2016.gada atbilstoši Tehniskā dokumenta prasībām ir šādas galvenās obligātās prasības:</w:t>
            </w:r>
          </w:p>
          <w:p w:rsidR="00B92EC1" w:rsidRPr="00086F58" w:rsidP="00B92EC1">
            <w:pPr>
              <w:spacing w:after="0" w:line="240" w:lineRule="auto"/>
              <w:ind w:firstLine="567"/>
              <w:jc w:val="both"/>
              <w:rPr>
                <w:rFonts w:ascii="Times New Roman" w:hAnsi="Times New Roman" w:cs="Times New Roman"/>
                <w:sz w:val="24"/>
                <w:szCs w:val="24"/>
                <w:lang w:eastAsia="lv-LV"/>
              </w:rPr>
            </w:pPr>
            <w:r w:rsidRPr="00086F58">
              <w:rPr>
                <w:rFonts w:ascii="Times New Roman" w:hAnsi="Times New Roman" w:cs="Times New Roman"/>
                <w:sz w:val="24"/>
                <w:szCs w:val="24"/>
                <w:lang w:eastAsia="lv-LV"/>
              </w:rPr>
              <w:t>1) viena dopinga kontrole tiek definēta kā 1 parauga savākšanas process 1 sportistam, ieskaitot visas savāktās analīzes,</w:t>
            </w:r>
          </w:p>
          <w:p w:rsidR="00B92EC1" w:rsidRPr="00086F58" w:rsidP="00B92EC1">
            <w:pPr>
              <w:spacing w:after="0" w:line="240" w:lineRule="auto"/>
              <w:ind w:firstLine="567"/>
              <w:jc w:val="both"/>
              <w:rPr>
                <w:rFonts w:ascii="Times New Roman" w:hAnsi="Times New Roman" w:cs="Times New Roman"/>
                <w:sz w:val="24"/>
                <w:szCs w:val="24"/>
                <w:lang w:eastAsia="lv-LV"/>
              </w:rPr>
            </w:pPr>
            <w:r w:rsidRPr="00086F58">
              <w:rPr>
                <w:rFonts w:ascii="Times New Roman" w:hAnsi="Times New Roman" w:cs="Times New Roman"/>
                <w:sz w:val="24"/>
                <w:szCs w:val="24"/>
                <w:lang w:eastAsia="lv-LV"/>
              </w:rPr>
              <w:t>2) visi sporta veidi ir sadalīti disciplīnu kategorijās un katrai disciplīnas kategorijai ir noteikts obligāto specifisko analīžu (</w:t>
            </w:r>
            <w:r w:rsidRPr="00086F58">
              <w:rPr>
                <w:rFonts w:ascii="Times New Roman" w:hAnsi="Times New Roman" w:cs="Times New Roman"/>
                <w:sz w:val="24"/>
                <w:szCs w:val="24"/>
                <w:lang w:eastAsia="lv-LV"/>
              </w:rPr>
              <w:t>ESAs</w:t>
            </w:r>
            <w:r w:rsidRPr="00086F58">
              <w:rPr>
                <w:rFonts w:ascii="Times New Roman" w:hAnsi="Times New Roman" w:cs="Times New Roman"/>
                <w:sz w:val="24"/>
                <w:szCs w:val="24"/>
                <w:lang w:eastAsia="lv-LV"/>
              </w:rPr>
              <w:t xml:space="preserve">, GH, </w:t>
            </w:r>
            <w:r w:rsidRPr="00086F58">
              <w:rPr>
                <w:rFonts w:ascii="Times New Roman" w:hAnsi="Times New Roman" w:cs="Times New Roman"/>
                <w:sz w:val="24"/>
                <w:szCs w:val="24"/>
                <w:lang w:eastAsia="lv-LV"/>
              </w:rPr>
              <w:t>GHRFs</w:t>
            </w:r>
            <w:r w:rsidRPr="00086F58">
              <w:rPr>
                <w:rFonts w:ascii="Times New Roman" w:hAnsi="Times New Roman" w:cs="Times New Roman"/>
                <w:sz w:val="24"/>
                <w:szCs w:val="24"/>
                <w:lang w:eastAsia="lv-LV"/>
              </w:rPr>
              <w:t>) procentuālais skaits,</w:t>
            </w:r>
          </w:p>
          <w:p w:rsidR="00B92EC1" w:rsidRPr="00086F58" w:rsidP="00B92EC1">
            <w:pPr>
              <w:spacing w:after="0" w:line="240" w:lineRule="auto"/>
              <w:ind w:firstLine="567"/>
              <w:jc w:val="both"/>
              <w:rPr>
                <w:rFonts w:ascii="Times New Roman" w:hAnsi="Times New Roman" w:cs="Times New Roman"/>
                <w:sz w:val="24"/>
                <w:szCs w:val="24"/>
                <w:lang w:eastAsia="lv-LV"/>
              </w:rPr>
            </w:pPr>
            <w:r w:rsidRPr="00086F58">
              <w:rPr>
                <w:rFonts w:ascii="Times New Roman" w:hAnsi="Times New Roman" w:cs="Times New Roman"/>
                <w:sz w:val="24"/>
                <w:szCs w:val="24"/>
                <w:lang w:eastAsia="lv-LV"/>
              </w:rPr>
              <w:t>3) aprēķinot specifisko analīžu skaitu, procentuālais skaits jānoapaļo uz augšu, jau sākot ar pirmo ciparu aiz komata.</w:t>
            </w:r>
          </w:p>
          <w:p w:rsidR="00B92EC1" w:rsidP="00DF43B0">
            <w:pPr>
              <w:spacing w:after="0" w:line="240" w:lineRule="auto"/>
              <w:ind w:right="69" w:firstLine="567"/>
              <w:jc w:val="both"/>
              <w:rPr>
                <w:rFonts w:ascii="Times New Roman" w:hAnsi="Times New Roman" w:cs="Times New Roman"/>
                <w:sz w:val="24"/>
                <w:szCs w:val="24"/>
              </w:rPr>
            </w:pPr>
            <w:r w:rsidRPr="00086F58">
              <w:rPr>
                <w:rFonts w:ascii="Times New Roman" w:hAnsi="Times New Roman" w:cs="Times New Roman"/>
                <w:sz w:val="24"/>
                <w:szCs w:val="24"/>
              </w:rPr>
              <w:t>Ņemot vērā iepriekšminēto antidopinga jomā, Noteikumu projektā ir jāprecizē esošie pakalpojumi antidopinga jomā un jāpapildina ar jauniem dopinga kontroles pakalpojumiem.</w:t>
            </w:r>
          </w:p>
          <w:p w:rsidR="003630E7" w:rsidRPr="00086F58" w:rsidP="00DF43B0">
            <w:pPr>
              <w:spacing w:after="0" w:line="240" w:lineRule="auto"/>
              <w:ind w:right="69" w:firstLine="567"/>
              <w:jc w:val="both"/>
              <w:rPr>
                <w:rFonts w:ascii="Times New Roman" w:hAnsi="Times New Roman" w:cs="Times New Roman"/>
                <w:sz w:val="24"/>
                <w:szCs w:val="24"/>
              </w:rPr>
            </w:pPr>
          </w:p>
          <w:p w:rsidR="00B92EC1" w:rsidRPr="00086F58" w:rsidP="00B92EC1">
            <w:pPr>
              <w:spacing w:after="0" w:line="240" w:lineRule="auto"/>
              <w:ind w:right="69" w:firstLine="567"/>
              <w:jc w:val="both"/>
              <w:rPr>
                <w:rFonts w:ascii="Times New Roman" w:hAnsi="Times New Roman" w:cs="Times New Roman"/>
                <w:sz w:val="24"/>
                <w:szCs w:val="24"/>
              </w:rPr>
            </w:pPr>
            <w:r w:rsidRPr="00086F58">
              <w:rPr>
                <w:rFonts w:ascii="Times New Roman" w:hAnsi="Times New Roman" w:cs="Times New Roman"/>
                <w:sz w:val="24"/>
                <w:szCs w:val="24"/>
              </w:rPr>
              <w:t>Noteikumu projektu ir nepieciešams izstrādāt, lai Centrs pēc iespējas ātrāk būtu tiesīgs iekasēt samaksu no pakalpojumu saņēmējiem, atbilstoši Centra patērētajiem resursiem un faktiskajām izmaksām par sniegtajiem publiskajiem pakalpojumiem.</w:t>
            </w:r>
          </w:p>
        </w:tc>
      </w:tr>
      <w:tr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92EC1" w:rsidRPr="00086F58" w:rsidP="00B92EC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B92EC1" w:rsidRPr="00086F58" w:rsidP="00B92EC1">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1172150649"/>
            <w:placeholder>
              <w:docPart w:val="6933FF16EF7E425496FC5A135179956E"/>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B92EC1" w:rsidRPr="00086F58" w:rsidP="00B92EC1">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Valsts sporta medicīnas centrs un Veselības ministrija</w:t>
                </w:r>
              </w:p>
            </w:tc>
          </w:sdtContent>
        </w:sdt>
      </w:tr>
      <w:tr w:rsidTr="00894C55">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B92EC1" w:rsidRPr="00086F58" w:rsidP="00B92EC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B92EC1" w:rsidRPr="00086F58" w:rsidP="00B92EC1">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087585723"/>
            <w:placeholder>
              <w:docPart w:val="7875F8049CD145F6A27B582661DBB471"/>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B92EC1" w:rsidRPr="00086F58" w:rsidP="00B92EC1">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Nav</w:t>
                </w:r>
              </w:p>
            </w:tc>
          </w:sdtContent>
        </w:sdt>
      </w:tr>
    </w:tbl>
    <w:p w:rsidR="00894C55" w:rsidRPr="00086F58"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rsidTr="00145877">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701"/>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86F58"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6F58">
              <w:rPr>
                <w:rFonts w:ascii="Times New Roman" w:eastAsia="Times New Roman" w:hAnsi="Times New Roman" w:cs="Times New Roman"/>
                <w:b/>
                <w:bCs/>
                <w:sz w:val="24"/>
                <w:szCs w:val="24"/>
                <w:lang w:eastAsia="lv-LV"/>
              </w:rPr>
              <w:t>II.</w:t>
            </w:r>
            <w:r w:rsidRPr="00086F58" w:rsidR="0050178F">
              <w:rPr>
                <w:rFonts w:ascii="Times New Roman" w:eastAsia="Times New Roman" w:hAnsi="Times New Roman" w:cs="Times New Roman"/>
                <w:b/>
                <w:bCs/>
                <w:sz w:val="24"/>
                <w:szCs w:val="24"/>
                <w:lang w:eastAsia="lv-LV"/>
              </w:rPr>
              <w:t> </w:t>
            </w:r>
            <w:r w:rsidRPr="00086F5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 xml:space="preserve">Sabiedrības </w:t>
            </w:r>
            <w:r w:rsidRPr="00086F58">
              <w:rPr>
                <w:rFonts w:ascii="Times New Roman" w:eastAsia="Times New Roman" w:hAnsi="Times New Roman" w:cs="Times New Roman"/>
                <w:sz w:val="24"/>
                <w:szCs w:val="24"/>
                <w:lang w:eastAsia="lv-LV"/>
              </w:rPr>
              <w:t>mērķgrupas</w:t>
            </w:r>
            <w:r w:rsidRPr="00086F58">
              <w:rPr>
                <w:rFonts w:ascii="Times New Roman" w:eastAsia="Times New Roman" w:hAnsi="Times New Roman" w:cs="Times New Roman"/>
                <w:sz w:val="24"/>
                <w:szCs w:val="24"/>
                <w:lang w:eastAsia="lv-LV"/>
              </w:rPr>
              <w:t>, kuras tiesiskais regulējums ietekmē vai varētu ietekmēt</w:t>
            </w:r>
          </w:p>
        </w:tc>
        <w:sdt>
          <w:sdtPr>
            <w:rPr>
              <w:rFonts w:ascii="Times New Roman" w:eastAsia="Times New Roman" w:hAnsi="Times New Roman" w:cs="Times New Roman"/>
              <w:sz w:val="24"/>
              <w:szCs w:val="24"/>
              <w:lang w:eastAsia="lv-LV"/>
            </w:rPr>
            <w:id w:val="440074958"/>
            <w:placeholder>
              <w:docPart w:val="C77BE940338849AB90331A56F15E01FD"/>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086F58" w:rsidP="00645ECD">
                <w:pPr>
                  <w:spacing w:after="0" w:line="240" w:lineRule="auto"/>
                  <w:jc w:val="both"/>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Centra maksas pakalpojumu saņēmēji Latvijas iedzīvotāji, t.sk, pieaugušie sportisti, novadu sporta skolas (gadījumos, kad pieprasa tuvināt pakalpojumu “Padziļinātā profilaktiskā medicīniskā pārbaude” sportista dzīvesvietai), sporta federācijas, sporta klubi. Medicīnas, sporta, izglītības nozares speciālisti.</w:t>
                </w:r>
              </w:p>
            </w:tc>
          </w:sdtContent>
        </w:sdt>
      </w:tr>
      <w:tr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Tiesiskā regulējuma ietekme uz tautsaimniecību un administratīvo slogu</w:t>
            </w:r>
          </w:p>
        </w:tc>
        <w:sdt>
          <w:sdtPr>
            <w:rPr>
              <w:rFonts w:ascii="Times New Roman" w:eastAsia="Times New Roman" w:hAnsi="Times New Roman" w:cs="Times New Roman"/>
              <w:sz w:val="24"/>
              <w:szCs w:val="24"/>
              <w:lang w:eastAsia="lv-LV"/>
            </w:rPr>
            <w:id w:val="327430888"/>
            <w:placeholder>
              <w:docPart w:val="F50B7E6C5AD6489E8C714D8EC783E3AC"/>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086F58" w:rsidP="00DF43B0">
                <w:pPr>
                  <w:spacing w:after="0" w:line="240" w:lineRule="auto"/>
                  <w:jc w:val="both"/>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Cenrāža izteikšana jaunā redakcijā, cenas nosakot pēc reālajām pakalpojumu izmaksām, samazinās starpību starp citu ārstniecības iestāžu analogu pakalpojumu cenām un Centra Noteikumu projektā noteiktajām pakalpojumu cenām.</w:t>
                </w:r>
              </w:p>
            </w:tc>
          </w:sdtContent>
        </w:sdt>
      </w:tr>
      <w:tr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Administratīvo izmaksu monetārs novērtējums</w:t>
            </w:r>
          </w:p>
        </w:tc>
        <w:sdt>
          <w:sdtPr>
            <w:rPr>
              <w:rFonts w:ascii="Times New Roman" w:eastAsia="Times New Roman" w:hAnsi="Times New Roman" w:cs="Times New Roman"/>
              <w:sz w:val="24"/>
              <w:szCs w:val="24"/>
              <w:lang w:eastAsia="lv-LV"/>
            </w:rPr>
            <w:id w:val="889494674"/>
            <w:placeholder>
              <w:docPart w:val="A56C3CC8D3A94A1B88E371E00A30BEC8"/>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Projekts šo jomu neskar</w:t>
                </w:r>
              </w:p>
            </w:tc>
          </w:sdtContent>
        </w:sdt>
      </w:tr>
      <w:tr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045719428"/>
            <w:placeholder>
              <w:docPart w:val="DCD890FA1480480A84CCD1734B4CE6A2"/>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086F58" w:rsidP="00645ECD">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Nav</w:t>
                </w:r>
              </w:p>
            </w:tc>
          </w:sdtContent>
        </w:sdt>
      </w:tr>
    </w:tbl>
    <w:p w:rsidR="00894C55" w:rsidRPr="00086F58"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3079"/>
        <w:gridCol w:w="1177"/>
        <w:gridCol w:w="1539"/>
        <w:gridCol w:w="1087"/>
        <w:gridCol w:w="1177"/>
        <w:gridCol w:w="996"/>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086F58"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6F58">
              <w:rPr>
                <w:rFonts w:ascii="Times New Roman" w:eastAsia="Times New Roman" w:hAnsi="Times New Roman" w:cs="Times New Roman"/>
                <w:b/>
                <w:bCs/>
                <w:sz w:val="24"/>
                <w:szCs w:val="24"/>
                <w:lang w:eastAsia="lv-LV"/>
              </w:rPr>
              <w:t>III.</w:t>
            </w:r>
            <w:r w:rsidRPr="00086F58" w:rsidR="00BD4425">
              <w:rPr>
                <w:rFonts w:ascii="Times New Roman" w:eastAsia="Times New Roman" w:hAnsi="Times New Roman" w:cs="Times New Roman"/>
                <w:b/>
                <w:bCs/>
                <w:sz w:val="24"/>
                <w:szCs w:val="24"/>
                <w:lang w:eastAsia="lv-LV"/>
              </w:rPr>
              <w:t> </w:t>
            </w:r>
            <w:r w:rsidRPr="00086F58">
              <w:rPr>
                <w:rFonts w:ascii="Times New Roman" w:eastAsia="Times New Roman" w:hAnsi="Times New Roman" w:cs="Times New Roman"/>
                <w:b/>
                <w:bCs/>
                <w:sz w:val="24"/>
                <w:szCs w:val="24"/>
                <w:lang w:eastAsia="lv-LV"/>
              </w:rPr>
              <w:t>Tiesību akta projekta ietekme uz valsts budžetu un pašvaldību budžetiem</w:t>
            </w:r>
          </w:p>
        </w:tc>
      </w:tr>
      <w:tr w:rsidTr="00645ECD">
        <w:tblPrEx>
          <w:tblW w:w="5000" w:type="pct"/>
          <w:jc w:val="center"/>
          <w:tblCellMar>
            <w:top w:w="24" w:type="dxa"/>
            <w:left w:w="24" w:type="dxa"/>
            <w:bottom w:w="24" w:type="dxa"/>
            <w:right w:w="24" w:type="dxa"/>
          </w:tblCellMar>
          <w:tblLook w:val="04A0"/>
        </w:tblPrEx>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6F58">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086F58" w:rsidP="003F28A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6F58">
              <w:rPr>
                <w:rFonts w:ascii="Times New Roman" w:eastAsia="Times New Roman" w:hAnsi="Times New Roman" w:cs="Times New Roman"/>
                <w:b/>
                <w:bCs/>
                <w:sz w:val="24"/>
                <w:szCs w:val="24"/>
                <w:lang w:eastAsia="lv-LV"/>
              </w:rPr>
              <w:t>2017.</w:t>
            </w:r>
            <w:r w:rsidRPr="00086F58" w:rsidR="00471F27">
              <w:rPr>
                <w:rFonts w:ascii="Times New Roman" w:eastAsia="Times New Roman" w:hAnsi="Times New Roman" w:cs="Times New Roman"/>
                <w:b/>
                <w:bCs/>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Turpmākie trīs gadi (</w:t>
            </w:r>
            <w:r w:rsidRPr="00086F58">
              <w:rPr>
                <w:rFonts w:ascii="Times New Roman" w:eastAsia="Times New Roman" w:hAnsi="Times New Roman" w:cs="Times New Roman"/>
                <w:i/>
                <w:iCs/>
                <w:sz w:val="24"/>
                <w:szCs w:val="24"/>
                <w:lang w:eastAsia="lv-LV"/>
              </w:rPr>
              <w:t>euro</w:t>
            </w:r>
            <w:r w:rsidRPr="00086F58">
              <w:rPr>
                <w:rFonts w:ascii="Times New Roman" w:eastAsia="Times New Roman" w:hAnsi="Times New Roman" w:cs="Times New Roman"/>
                <w:sz w:val="24"/>
                <w:szCs w:val="24"/>
                <w:lang w:eastAsia="lv-LV"/>
              </w:rPr>
              <w:t>)</w:t>
            </w:r>
          </w:p>
        </w:tc>
      </w:tr>
      <w:tr w:rsidTr="00645ECD">
        <w:tblPrEx>
          <w:tblW w:w="5000" w:type="pct"/>
          <w:jc w:val="center"/>
          <w:tblCellMar>
            <w:top w:w="24" w:type="dxa"/>
            <w:left w:w="24" w:type="dxa"/>
            <w:bottom w:w="24" w:type="dxa"/>
            <w:right w:w="24"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6F58">
              <w:rPr>
                <w:rFonts w:ascii="Times New Roman" w:eastAsia="Times New Roman" w:hAnsi="Times New Roman" w:cs="Times New Roman"/>
                <w:b/>
                <w:bCs/>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2806E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6F58">
              <w:rPr>
                <w:rFonts w:ascii="Times New Roman" w:eastAsia="Times New Roman" w:hAnsi="Times New Roman" w:cs="Times New Roman"/>
                <w:b/>
                <w:bCs/>
                <w:sz w:val="24"/>
                <w:szCs w:val="24"/>
                <w:lang w:eastAsia="lv-LV"/>
              </w:rPr>
              <w:t>2019</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6F58">
              <w:rPr>
                <w:rFonts w:ascii="Times New Roman" w:eastAsia="Times New Roman" w:hAnsi="Times New Roman" w:cs="Times New Roman"/>
                <w:b/>
                <w:bCs/>
                <w:sz w:val="24"/>
                <w:szCs w:val="24"/>
                <w:lang w:eastAsia="lv-LV"/>
              </w:rPr>
              <w:t>2020</w:t>
            </w:r>
          </w:p>
        </w:tc>
      </w:tr>
      <w:tr w:rsidTr="00645ECD">
        <w:tblPrEx>
          <w:tblW w:w="5000" w:type="pct"/>
          <w:jc w:val="center"/>
          <w:tblCellMar>
            <w:top w:w="24" w:type="dxa"/>
            <w:left w:w="24" w:type="dxa"/>
            <w:bottom w:w="24" w:type="dxa"/>
            <w:right w:w="24"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iz</w:t>
            </w:r>
            <w:r w:rsidRPr="00086F58" w:rsidR="002806E3">
              <w:rPr>
                <w:rFonts w:ascii="Times New Roman" w:eastAsia="Times New Roman" w:hAnsi="Times New Roman" w:cs="Times New Roman"/>
                <w:sz w:val="24"/>
                <w:szCs w:val="24"/>
                <w:lang w:eastAsia="lv-LV"/>
              </w:rPr>
              <w:t>maiņas, salīdzinot ar kārtējo (2017</w:t>
            </w:r>
            <w:r w:rsidRPr="00086F58">
              <w:rPr>
                <w:rFonts w:ascii="Times New Roman" w:eastAsia="Times New Roman" w:hAnsi="Times New Roman" w:cs="Times New Roman"/>
                <w:sz w:val="24"/>
                <w:szCs w:val="24"/>
                <w:lang w:eastAsia="lv-LV"/>
              </w:rPr>
              <w:t>)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iz</w:t>
            </w:r>
            <w:r w:rsidRPr="00086F58" w:rsidR="002806E3">
              <w:rPr>
                <w:rFonts w:ascii="Times New Roman" w:eastAsia="Times New Roman" w:hAnsi="Times New Roman" w:cs="Times New Roman"/>
                <w:sz w:val="24"/>
                <w:szCs w:val="24"/>
                <w:lang w:eastAsia="lv-LV"/>
              </w:rPr>
              <w:t>maiņas, salīdzinot ar kārtējo (2017</w:t>
            </w:r>
            <w:r w:rsidRPr="00086F58">
              <w:rPr>
                <w:rFonts w:ascii="Times New Roman" w:eastAsia="Times New Roman" w:hAnsi="Times New Roman" w:cs="Times New Roman"/>
                <w:sz w:val="24"/>
                <w:szCs w:val="24"/>
                <w:lang w:eastAsia="lv-LV"/>
              </w:rPr>
              <w:t>)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iz</w:t>
            </w:r>
            <w:r w:rsidRPr="00086F58" w:rsidR="002806E3">
              <w:rPr>
                <w:rFonts w:ascii="Times New Roman" w:eastAsia="Times New Roman" w:hAnsi="Times New Roman" w:cs="Times New Roman"/>
                <w:sz w:val="24"/>
                <w:szCs w:val="24"/>
                <w:lang w:eastAsia="lv-LV"/>
              </w:rPr>
              <w:t>maiņas, salīdzinot ar kārtējo (2017</w:t>
            </w:r>
            <w:r w:rsidRPr="00086F58">
              <w:rPr>
                <w:rFonts w:ascii="Times New Roman" w:eastAsia="Times New Roman" w:hAnsi="Times New Roman" w:cs="Times New Roman"/>
                <w:sz w:val="24"/>
                <w:szCs w:val="24"/>
                <w:lang w:eastAsia="lv-LV"/>
              </w:rPr>
              <w:t>) gadu</w:t>
            </w:r>
          </w:p>
        </w:tc>
      </w:tr>
      <w:tr w:rsidTr="00645ECD">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6</w:t>
            </w:r>
          </w:p>
        </w:tc>
      </w:tr>
      <w:tr w:rsidTr="00645ECD">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1.</w:t>
            </w:r>
            <w:r w:rsidRPr="00086F58" w:rsidR="00BD4425">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216 276</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0</w:t>
            </w:r>
          </w:p>
        </w:tc>
      </w:tr>
      <w:tr w:rsidTr="00645ECD">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1.1.</w:t>
            </w:r>
            <w:r w:rsidRPr="00086F58" w:rsidR="00BD4425">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216 276</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r>
      <w:tr w:rsidTr="00645ECD">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1.2.</w:t>
            </w:r>
            <w:r w:rsidRPr="00086F58" w:rsidR="00BD4425">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r>
      <w:tr w:rsidTr="00645ECD">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1.3.</w:t>
            </w:r>
            <w:r w:rsidRPr="00086F58" w:rsidR="00BD4425">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b/>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b/>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b/>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b/>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b/>
                <w:sz w:val="24"/>
                <w:szCs w:val="24"/>
                <w:lang w:eastAsia="lv-LV"/>
              </w:rPr>
            </w:pPr>
          </w:p>
        </w:tc>
      </w:tr>
      <w:tr w:rsidTr="00645ECD">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45ECD" w:rsidRPr="00086F58" w:rsidP="00645ECD">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645ECD" w:rsidRPr="00086F58"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216 276</w:t>
            </w:r>
          </w:p>
        </w:tc>
        <w:tc>
          <w:tcPr>
            <w:tcW w:w="850" w:type="pct"/>
            <w:tcBorders>
              <w:top w:val="outset" w:sz="6" w:space="0" w:color="414142"/>
              <w:left w:val="outset" w:sz="6" w:space="0" w:color="414142"/>
              <w:bottom w:val="outset" w:sz="6" w:space="0" w:color="414142"/>
              <w:right w:val="outset" w:sz="6" w:space="0" w:color="414142"/>
            </w:tcBorders>
            <w:hideMark/>
          </w:tcPr>
          <w:p w:rsidR="00645ECD" w:rsidRPr="00086F58"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645ECD" w:rsidRPr="00086F58"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645ECD" w:rsidRPr="00086F58"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645ECD" w:rsidRPr="00086F58"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0</w:t>
            </w:r>
          </w:p>
        </w:tc>
      </w:tr>
      <w:tr w:rsidTr="00645ECD">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45ECD" w:rsidRPr="00086F58" w:rsidP="00645ECD">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645ECD" w:rsidRPr="00086F58"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216 276</w:t>
            </w:r>
          </w:p>
        </w:tc>
        <w:tc>
          <w:tcPr>
            <w:tcW w:w="850" w:type="pct"/>
            <w:tcBorders>
              <w:top w:val="outset" w:sz="6" w:space="0" w:color="414142"/>
              <w:left w:val="outset" w:sz="6" w:space="0" w:color="414142"/>
              <w:bottom w:val="outset" w:sz="6" w:space="0" w:color="414142"/>
              <w:right w:val="outset" w:sz="6" w:space="0" w:color="414142"/>
            </w:tcBorders>
            <w:hideMark/>
          </w:tcPr>
          <w:p w:rsidR="00645ECD" w:rsidRPr="00086F58"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645ECD" w:rsidRPr="00086F58"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645ECD" w:rsidRPr="00086F58"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645ECD" w:rsidRPr="00086F58"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r>
      <w:tr w:rsidTr="00645ECD">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45ECD" w:rsidRPr="00086F58" w:rsidP="00645ECD">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645ECD" w:rsidRPr="00086F58" w:rsidP="00645EC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645ECD" w:rsidRPr="00086F58" w:rsidP="00645ECD">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645ECD" w:rsidRPr="00086F58" w:rsidP="00645ECD">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645ECD" w:rsidRPr="00086F58" w:rsidP="00645ECD">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645ECD" w:rsidRPr="00086F58" w:rsidP="00645ECD">
            <w:pPr>
              <w:spacing w:after="0" w:line="240" w:lineRule="auto"/>
              <w:rPr>
                <w:rFonts w:ascii="Times New Roman" w:eastAsia="Times New Roman" w:hAnsi="Times New Roman" w:cs="Times New Roman"/>
                <w:sz w:val="24"/>
                <w:szCs w:val="24"/>
                <w:lang w:eastAsia="lv-LV"/>
              </w:rPr>
            </w:pPr>
          </w:p>
        </w:tc>
      </w:tr>
      <w:tr w:rsidTr="00645ECD">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2.3.</w:t>
            </w:r>
            <w:r w:rsidRPr="00086F58" w:rsidR="00BD4425">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r>
      <w:tr w:rsidTr="00645ECD">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3.</w:t>
            </w:r>
            <w:r w:rsidRPr="00086F58" w:rsidR="00BD4425">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r>
      <w:tr w:rsidTr="00645ECD">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3.1.</w:t>
            </w:r>
            <w:r w:rsidRPr="00086F58" w:rsidR="00BD4425">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r>
      <w:tr w:rsidTr="00645ECD">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3.2.</w:t>
            </w:r>
            <w:r w:rsidRPr="00086F58" w:rsidR="00BD4425">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r>
      <w:tr w:rsidTr="00645ECD">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3.3.</w:t>
            </w:r>
            <w:r w:rsidRPr="00086F58" w:rsidR="00BD4425">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r>
      <w:tr w:rsidTr="00645ECD">
        <w:tblPrEx>
          <w:tblW w:w="5000" w:type="pct"/>
          <w:jc w:val="center"/>
          <w:tblCellMar>
            <w:top w:w="24" w:type="dxa"/>
            <w:left w:w="24" w:type="dxa"/>
            <w:bottom w:w="24" w:type="dxa"/>
            <w:right w:w="24" w:type="dxa"/>
          </w:tblCellMar>
          <w:tblLook w:val="04A0"/>
        </w:tblPrEx>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086F58"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4.</w:t>
            </w:r>
            <w:r w:rsidRPr="00086F58" w:rsidR="00BD4425">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086F5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r>
      <w:tr w:rsidTr="00645ECD">
        <w:tblPrEx>
          <w:tblW w:w="5000" w:type="pct"/>
          <w:jc w:val="center"/>
          <w:tblCellMar>
            <w:top w:w="24" w:type="dxa"/>
            <w:left w:w="24" w:type="dxa"/>
            <w:bottom w:w="24" w:type="dxa"/>
            <w:right w:w="24"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r>
      <w:tr w:rsidTr="00645ECD">
        <w:tblPrEx>
          <w:tblW w:w="5000" w:type="pct"/>
          <w:jc w:val="center"/>
          <w:tblCellMar>
            <w:top w:w="24" w:type="dxa"/>
            <w:left w:w="24" w:type="dxa"/>
            <w:bottom w:w="24" w:type="dxa"/>
            <w:right w:w="24"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r>
      <w:tr w:rsidTr="00645ECD">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5.</w:t>
            </w:r>
            <w:r w:rsidRPr="00086F58" w:rsidR="00BD4425">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086F58"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 </w:t>
            </w:r>
          </w:p>
        </w:tc>
      </w:tr>
      <w:tr w:rsidTr="00645ECD">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5.1.</w:t>
            </w:r>
            <w:r w:rsidRPr="00086F58" w:rsidR="00BD4425">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 </w:t>
            </w:r>
          </w:p>
        </w:tc>
      </w:tr>
      <w:tr w:rsidTr="00645ECD">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5.2.</w:t>
            </w:r>
            <w:r w:rsidRPr="00086F58" w:rsidR="00BD4425">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 </w:t>
            </w:r>
          </w:p>
        </w:tc>
      </w:tr>
      <w:tr w:rsidTr="000959B0">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5.3.</w:t>
            </w:r>
            <w:r w:rsidRPr="00086F58" w:rsidR="00BD4425">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pašvaldību budžets</w:t>
            </w:r>
          </w:p>
        </w:tc>
        <w:tc>
          <w:tcPr>
            <w:tcW w:w="0" w:type="auto"/>
            <w:vMerge/>
            <w:tcBorders>
              <w:top w:val="outset" w:sz="6" w:space="0" w:color="414142"/>
              <w:left w:val="outset" w:sz="6" w:space="0" w:color="414142"/>
              <w:bottom w:val="single" w:sz="4" w:space="0" w:color="auto"/>
              <w:right w:val="outset" w:sz="6" w:space="0" w:color="414142"/>
            </w:tcBorders>
            <w:vAlign w:val="center"/>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single" w:sz="4" w:space="0" w:color="auto"/>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single" w:sz="4" w:space="0" w:color="auto"/>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single" w:sz="4" w:space="0" w:color="auto"/>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single" w:sz="4" w:space="0" w:color="auto"/>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 </w:t>
            </w:r>
          </w:p>
        </w:tc>
      </w:tr>
      <w:tr w:rsidTr="000959B0">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single" w:sz="4" w:space="0" w:color="auto"/>
            </w:tcBorders>
            <w:hideMark/>
          </w:tcPr>
          <w:p w:rsidR="00302C9C" w:rsidRPr="00086F58" w:rsidP="00302C9C">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single" w:sz="4" w:space="0" w:color="auto"/>
              <w:left w:val="single" w:sz="4" w:space="0" w:color="auto"/>
              <w:bottom w:val="single" w:sz="4" w:space="0" w:color="auto"/>
              <w:right w:val="single" w:sz="4" w:space="0" w:color="auto"/>
            </w:tcBorders>
            <w:hideMark/>
          </w:tcPr>
          <w:p w:rsidR="00302C9C" w:rsidRPr="00086F58" w:rsidP="00302C9C">
            <w:pPr>
              <w:spacing w:after="0" w:line="240" w:lineRule="auto"/>
              <w:ind w:firstLine="567"/>
              <w:jc w:val="both"/>
              <w:rPr>
                <w:rFonts w:ascii="Times New Roman" w:hAnsi="Times New Roman" w:cs="Times New Roman"/>
                <w:sz w:val="24"/>
                <w:szCs w:val="24"/>
              </w:rPr>
            </w:pPr>
            <w:r w:rsidRPr="00086F58">
              <w:rPr>
                <w:rFonts w:ascii="Times New Roman" w:hAnsi="Times New Roman" w:cs="Times New Roman"/>
                <w:sz w:val="24"/>
                <w:szCs w:val="24"/>
              </w:rPr>
              <w:t xml:space="preserve">Valsts budžeta programma, no kuras plānots finansēt likuma izpildi – 39.00.00 "Specializētā veselības aprūpes nodrošināšana" apakšprogramma 39.02.00 "Sporta medicīnas nodrošināšana". 2017.gadā saskaņā ar valsts budžetu </w:t>
            </w:r>
            <w:r w:rsidR="002633B1">
              <w:rPr>
                <w:rFonts w:ascii="Times New Roman" w:hAnsi="Times New Roman" w:cs="Times New Roman"/>
                <w:i/>
                <w:iCs/>
                <w:sz w:val="24"/>
                <w:szCs w:val="24"/>
              </w:rPr>
              <w:t>Centra</w:t>
            </w:r>
            <w:r w:rsidR="003F188A">
              <w:rPr>
                <w:rFonts w:ascii="Times New Roman" w:hAnsi="Times New Roman" w:cs="Times New Roman"/>
                <w:i/>
                <w:iCs/>
                <w:sz w:val="24"/>
                <w:szCs w:val="24"/>
              </w:rPr>
              <w:t>m</w:t>
            </w:r>
            <w:r w:rsidR="002633B1">
              <w:rPr>
                <w:rFonts w:ascii="Times New Roman" w:hAnsi="Times New Roman" w:cs="Times New Roman"/>
                <w:i/>
                <w:iCs/>
                <w:sz w:val="24"/>
                <w:szCs w:val="24"/>
              </w:rPr>
              <w:t xml:space="preserve"> </w:t>
            </w:r>
            <w:r w:rsidRPr="00086F58">
              <w:rPr>
                <w:rFonts w:ascii="Times New Roman" w:hAnsi="Times New Roman" w:cs="Times New Roman"/>
                <w:sz w:val="24"/>
                <w:szCs w:val="24"/>
              </w:rPr>
              <w:t xml:space="preserve">plānoti ieņēmumi no maksas pakalpojumiem 216 276 </w:t>
            </w:r>
            <w:r w:rsidRPr="00086F58">
              <w:rPr>
                <w:rFonts w:ascii="Times New Roman" w:hAnsi="Times New Roman" w:cs="Times New Roman"/>
                <w:i/>
                <w:iCs/>
                <w:sz w:val="24"/>
                <w:szCs w:val="24"/>
              </w:rPr>
              <w:t>euro</w:t>
            </w:r>
            <w:r w:rsidRPr="00086F58">
              <w:rPr>
                <w:rFonts w:ascii="Times New Roman" w:hAnsi="Times New Roman" w:cs="Times New Roman"/>
                <w:sz w:val="24"/>
                <w:szCs w:val="24"/>
              </w:rPr>
              <w:t xml:space="preserve"> apmērā šādā sadalījumā pa izdevumu kodiem atbilstoši ekonomiskajām kategorijām:</w:t>
            </w:r>
          </w:p>
          <w:p w:rsidR="00302C9C" w:rsidRPr="00086F58" w:rsidP="00302C9C">
            <w:pPr>
              <w:spacing w:after="0" w:line="240" w:lineRule="auto"/>
              <w:rPr>
                <w:rFonts w:ascii="Times New Roman" w:hAnsi="Times New Roman" w:cs="Times New Roman"/>
                <w:sz w:val="24"/>
                <w:szCs w:val="24"/>
              </w:rPr>
            </w:pPr>
            <w:r w:rsidRPr="00086F58">
              <w:rPr>
                <w:rFonts w:ascii="Times New Roman" w:hAnsi="Times New Roman" w:cs="Times New Roman"/>
                <w:sz w:val="24"/>
                <w:szCs w:val="24"/>
              </w:rPr>
              <w:t>EKK 1000 (Atlīdzība) 124 </w:t>
            </w:r>
            <w:r w:rsidR="002626D2">
              <w:rPr>
                <w:rFonts w:ascii="Times New Roman" w:hAnsi="Times New Roman" w:cs="Times New Roman"/>
                <w:sz w:val="24"/>
                <w:szCs w:val="24"/>
              </w:rPr>
              <w:t>441</w:t>
            </w:r>
            <w:r w:rsidRPr="00086F58">
              <w:rPr>
                <w:rFonts w:ascii="Times New Roman" w:hAnsi="Times New Roman" w:cs="Times New Roman"/>
                <w:sz w:val="24"/>
                <w:szCs w:val="24"/>
              </w:rPr>
              <w:t xml:space="preserve"> </w:t>
            </w:r>
            <w:r w:rsidRPr="00086F58">
              <w:rPr>
                <w:rFonts w:ascii="Times New Roman" w:hAnsi="Times New Roman" w:cs="Times New Roman"/>
                <w:i/>
                <w:sz w:val="24"/>
                <w:szCs w:val="24"/>
              </w:rPr>
              <w:t>euro</w:t>
            </w:r>
            <w:r w:rsidRPr="00086F58">
              <w:rPr>
                <w:rFonts w:ascii="Times New Roman" w:hAnsi="Times New Roman" w:cs="Times New Roman"/>
                <w:sz w:val="24"/>
                <w:szCs w:val="24"/>
              </w:rPr>
              <w:t xml:space="preserve">; </w:t>
            </w:r>
          </w:p>
          <w:p w:rsidR="00302C9C" w:rsidRPr="00086F58" w:rsidP="00302C9C">
            <w:pPr>
              <w:spacing w:after="0" w:line="240" w:lineRule="auto"/>
              <w:jc w:val="both"/>
              <w:rPr>
                <w:rFonts w:ascii="Times New Roman" w:hAnsi="Times New Roman" w:cs="Times New Roman"/>
                <w:sz w:val="24"/>
                <w:szCs w:val="24"/>
              </w:rPr>
            </w:pPr>
            <w:r w:rsidRPr="00086F58">
              <w:rPr>
                <w:rFonts w:ascii="Times New Roman" w:hAnsi="Times New Roman" w:cs="Times New Roman"/>
                <w:sz w:val="24"/>
                <w:szCs w:val="24"/>
              </w:rPr>
              <w:t>EKK 1100 (Atalgojums) 100 </w:t>
            </w:r>
            <w:r w:rsidR="002626D2">
              <w:rPr>
                <w:rFonts w:ascii="Times New Roman" w:hAnsi="Times New Roman" w:cs="Times New Roman"/>
                <w:sz w:val="24"/>
                <w:szCs w:val="24"/>
              </w:rPr>
              <w:t>689</w:t>
            </w:r>
            <w:r w:rsidRPr="00086F58">
              <w:rPr>
                <w:rFonts w:ascii="Times New Roman" w:hAnsi="Times New Roman" w:cs="Times New Roman"/>
                <w:sz w:val="24"/>
                <w:szCs w:val="24"/>
              </w:rPr>
              <w:t xml:space="preserve"> </w:t>
            </w:r>
            <w:r w:rsidRPr="00086F58">
              <w:rPr>
                <w:rFonts w:ascii="Times New Roman" w:hAnsi="Times New Roman" w:cs="Times New Roman"/>
                <w:i/>
                <w:sz w:val="24"/>
                <w:szCs w:val="24"/>
              </w:rPr>
              <w:t>euro</w:t>
            </w:r>
            <w:r w:rsidRPr="00086F58">
              <w:rPr>
                <w:rFonts w:ascii="Times New Roman" w:hAnsi="Times New Roman" w:cs="Times New Roman"/>
                <w:sz w:val="24"/>
                <w:szCs w:val="24"/>
              </w:rPr>
              <w:t xml:space="preserve">; </w:t>
            </w:r>
          </w:p>
          <w:p w:rsidR="00302C9C" w:rsidRPr="00086F58" w:rsidP="00302C9C">
            <w:pPr>
              <w:spacing w:after="0" w:line="240" w:lineRule="auto"/>
              <w:jc w:val="both"/>
              <w:rPr>
                <w:rFonts w:ascii="Times New Roman" w:hAnsi="Times New Roman" w:cs="Times New Roman"/>
                <w:sz w:val="24"/>
                <w:szCs w:val="24"/>
              </w:rPr>
            </w:pPr>
            <w:r w:rsidRPr="00086F58">
              <w:rPr>
                <w:rFonts w:ascii="Times New Roman" w:hAnsi="Times New Roman" w:cs="Times New Roman"/>
                <w:sz w:val="24"/>
                <w:szCs w:val="24"/>
              </w:rPr>
              <w:t xml:space="preserve">EKK 2000 (Preces un pakalpojumi) </w:t>
            </w:r>
            <w:r w:rsidR="002626D2">
              <w:rPr>
                <w:rFonts w:ascii="Times New Roman" w:hAnsi="Times New Roman" w:cs="Times New Roman"/>
                <w:sz w:val="24"/>
                <w:szCs w:val="24"/>
              </w:rPr>
              <w:t>86 817</w:t>
            </w:r>
            <w:r w:rsidRPr="00086F58">
              <w:rPr>
                <w:rFonts w:ascii="Times New Roman" w:hAnsi="Times New Roman" w:cs="Times New Roman"/>
                <w:sz w:val="24"/>
                <w:szCs w:val="24"/>
              </w:rPr>
              <w:t xml:space="preserve"> </w:t>
            </w:r>
            <w:r w:rsidRPr="00086F58">
              <w:rPr>
                <w:rFonts w:ascii="Times New Roman" w:hAnsi="Times New Roman" w:cs="Times New Roman"/>
                <w:i/>
                <w:sz w:val="24"/>
                <w:szCs w:val="24"/>
              </w:rPr>
              <w:t>euro</w:t>
            </w:r>
            <w:r w:rsidRPr="00086F58">
              <w:rPr>
                <w:rFonts w:ascii="Times New Roman" w:hAnsi="Times New Roman" w:cs="Times New Roman"/>
                <w:sz w:val="24"/>
                <w:szCs w:val="24"/>
              </w:rPr>
              <w:t>;</w:t>
            </w:r>
          </w:p>
          <w:p w:rsidR="00302C9C" w:rsidRPr="00086F58" w:rsidP="00302C9C">
            <w:pPr>
              <w:spacing w:after="0" w:line="240" w:lineRule="auto"/>
              <w:jc w:val="both"/>
              <w:rPr>
                <w:rFonts w:ascii="Times New Roman" w:hAnsi="Times New Roman" w:cs="Times New Roman"/>
                <w:sz w:val="24"/>
                <w:szCs w:val="24"/>
              </w:rPr>
            </w:pPr>
            <w:r w:rsidRPr="00086F58">
              <w:rPr>
                <w:rFonts w:ascii="Times New Roman" w:hAnsi="Times New Roman" w:cs="Times New Roman"/>
                <w:sz w:val="24"/>
                <w:szCs w:val="24"/>
              </w:rPr>
              <w:t xml:space="preserve">EKK 5000 (Kapitālie izdevumi) </w:t>
            </w:r>
            <w:r w:rsidR="008137DD">
              <w:rPr>
                <w:rFonts w:ascii="Times New Roman" w:hAnsi="Times New Roman" w:cs="Times New Roman"/>
                <w:sz w:val="24"/>
                <w:szCs w:val="24"/>
              </w:rPr>
              <w:t>5 018</w:t>
            </w:r>
            <w:r w:rsidRPr="00086F58">
              <w:rPr>
                <w:rFonts w:ascii="Times New Roman" w:hAnsi="Times New Roman" w:cs="Times New Roman"/>
                <w:sz w:val="24"/>
                <w:szCs w:val="24"/>
              </w:rPr>
              <w:t xml:space="preserve"> </w:t>
            </w:r>
            <w:r w:rsidRPr="00086F58">
              <w:rPr>
                <w:rFonts w:ascii="Times New Roman" w:hAnsi="Times New Roman" w:cs="Times New Roman"/>
                <w:i/>
                <w:sz w:val="24"/>
                <w:szCs w:val="24"/>
              </w:rPr>
              <w:t>euro</w:t>
            </w:r>
            <w:r w:rsidRPr="00086F58">
              <w:rPr>
                <w:rFonts w:ascii="Times New Roman" w:hAnsi="Times New Roman" w:cs="Times New Roman"/>
                <w:i/>
                <w:sz w:val="24"/>
                <w:szCs w:val="24"/>
              </w:rPr>
              <w:t>.</w:t>
            </w:r>
          </w:p>
          <w:p w:rsidR="00302C9C" w:rsidP="00302C9C">
            <w:pPr>
              <w:autoSpaceDE w:val="0"/>
              <w:autoSpaceDN w:val="0"/>
              <w:adjustRightInd w:val="0"/>
              <w:spacing w:after="0" w:line="240" w:lineRule="auto"/>
              <w:ind w:firstLine="567"/>
              <w:jc w:val="both"/>
              <w:rPr>
                <w:rFonts w:ascii="Times New Roman" w:hAnsi="Times New Roman" w:cs="Times New Roman"/>
                <w:sz w:val="24"/>
                <w:szCs w:val="24"/>
              </w:rPr>
            </w:pPr>
            <w:r w:rsidRPr="00086F58">
              <w:rPr>
                <w:rFonts w:ascii="Times New Roman" w:hAnsi="Times New Roman" w:cs="Times New Roman"/>
                <w:sz w:val="24"/>
                <w:szCs w:val="24"/>
                <w:lang w:eastAsia="lv-LV"/>
              </w:rPr>
              <w:t>Noteikumi p</w:t>
            </w:r>
            <w:r w:rsidRPr="00086F58">
              <w:rPr>
                <w:rFonts w:ascii="Times New Roman" w:hAnsi="Times New Roman" w:cs="Times New Roman"/>
                <w:sz w:val="24"/>
                <w:szCs w:val="24"/>
              </w:rPr>
              <w:t xml:space="preserve">aredz ieviest jaunu </w:t>
            </w:r>
            <w:r w:rsidR="002633B1">
              <w:rPr>
                <w:rFonts w:ascii="Times New Roman" w:hAnsi="Times New Roman" w:cs="Times New Roman"/>
                <w:sz w:val="24"/>
                <w:szCs w:val="24"/>
              </w:rPr>
              <w:t>Centra</w:t>
            </w:r>
            <w:r w:rsidRPr="00086F58">
              <w:rPr>
                <w:rFonts w:ascii="Times New Roman" w:hAnsi="Times New Roman" w:cs="Times New Roman"/>
                <w:sz w:val="24"/>
                <w:szCs w:val="24"/>
              </w:rPr>
              <w:t xml:space="preserve"> maksas pakalpojumu cenrādi ar maksas pakalpojumu veidiem, kur 2017.gadā plānoti ieņēmumi no maksas pakalpojumiem un tiem atbilstoši izdevumi –  EUR 216 276: atlīdzībai EUR  124</w:t>
            </w:r>
            <w:r w:rsidR="002626D2">
              <w:rPr>
                <w:rFonts w:ascii="Times New Roman" w:hAnsi="Times New Roman" w:cs="Times New Roman"/>
                <w:sz w:val="24"/>
                <w:szCs w:val="24"/>
              </w:rPr>
              <w:t xml:space="preserve"> 441 </w:t>
            </w:r>
            <w:r w:rsidRPr="00086F58">
              <w:rPr>
                <w:rFonts w:ascii="Times New Roman" w:hAnsi="Times New Roman" w:cs="Times New Roman"/>
                <w:sz w:val="24"/>
                <w:szCs w:val="24"/>
              </w:rPr>
              <w:t>(tai skaitā izdevumi atalgojumam</w:t>
            </w:r>
            <w:r w:rsidR="002626D2">
              <w:rPr>
                <w:rFonts w:ascii="Times New Roman" w:hAnsi="Times New Roman" w:cs="Times New Roman"/>
                <w:sz w:val="24"/>
                <w:szCs w:val="24"/>
              </w:rPr>
              <w:t xml:space="preserve"> EUR   100 689</w:t>
            </w:r>
            <w:r w:rsidRPr="00086F58">
              <w:rPr>
                <w:rFonts w:ascii="Times New Roman" w:hAnsi="Times New Roman" w:cs="Times New Roman"/>
                <w:sz w:val="24"/>
                <w:szCs w:val="24"/>
              </w:rPr>
              <w:t xml:space="preserve">), precēm un pakalpojumiem EUR </w:t>
            </w:r>
            <w:r w:rsidR="002626D2">
              <w:rPr>
                <w:rFonts w:ascii="Times New Roman" w:hAnsi="Times New Roman" w:cs="Times New Roman"/>
                <w:sz w:val="24"/>
                <w:szCs w:val="24"/>
              </w:rPr>
              <w:t>86</w:t>
            </w:r>
            <w:r w:rsidR="00394DC1">
              <w:rPr>
                <w:rFonts w:ascii="Times New Roman" w:hAnsi="Times New Roman" w:cs="Times New Roman"/>
                <w:sz w:val="24"/>
                <w:szCs w:val="24"/>
              </w:rPr>
              <w:t> </w:t>
            </w:r>
            <w:r w:rsidR="002626D2">
              <w:rPr>
                <w:rFonts w:ascii="Times New Roman" w:hAnsi="Times New Roman" w:cs="Times New Roman"/>
                <w:sz w:val="24"/>
                <w:szCs w:val="24"/>
              </w:rPr>
              <w:t>817</w:t>
            </w:r>
            <w:r w:rsidRPr="00086F58">
              <w:rPr>
                <w:rFonts w:ascii="Times New Roman" w:hAnsi="Times New Roman" w:cs="Times New Roman"/>
                <w:sz w:val="24"/>
                <w:szCs w:val="24"/>
              </w:rPr>
              <w:t xml:space="preserve">, kapitālajiem izdevumiem EUR </w:t>
            </w:r>
            <w:r w:rsidR="00394DC1">
              <w:rPr>
                <w:rFonts w:ascii="Times New Roman" w:hAnsi="Times New Roman" w:cs="Times New Roman"/>
                <w:sz w:val="24"/>
                <w:szCs w:val="24"/>
              </w:rPr>
              <w:t>5</w:t>
            </w:r>
            <w:r w:rsidR="003630E7">
              <w:rPr>
                <w:rFonts w:ascii="Times New Roman" w:hAnsi="Times New Roman" w:cs="Times New Roman"/>
                <w:sz w:val="24"/>
                <w:szCs w:val="24"/>
              </w:rPr>
              <w:t> </w:t>
            </w:r>
            <w:r w:rsidR="00394DC1">
              <w:rPr>
                <w:rFonts w:ascii="Times New Roman" w:hAnsi="Times New Roman" w:cs="Times New Roman"/>
                <w:sz w:val="24"/>
                <w:szCs w:val="24"/>
              </w:rPr>
              <w:t>018</w:t>
            </w:r>
            <w:r w:rsidRPr="00086F58">
              <w:rPr>
                <w:rFonts w:ascii="Times New Roman" w:hAnsi="Times New Roman" w:cs="Times New Roman"/>
                <w:sz w:val="24"/>
                <w:szCs w:val="24"/>
              </w:rPr>
              <w:t>.</w:t>
            </w:r>
          </w:p>
          <w:p w:rsidR="003630E7" w:rsidRPr="00086F58" w:rsidP="00302C9C">
            <w:pPr>
              <w:autoSpaceDE w:val="0"/>
              <w:autoSpaceDN w:val="0"/>
              <w:adjustRightInd w:val="0"/>
              <w:spacing w:after="0" w:line="240" w:lineRule="auto"/>
              <w:ind w:firstLine="567"/>
              <w:jc w:val="both"/>
              <w:rPr>
                <w:rFonts w:ascii="Times New Roman" w:hAnsi="Times New Roman" w:cs="Times New Roman"/>
                <w:sz w:val="24"/>
                <w:szCs w:val="24"/>
              </w:rPr>
            </w:pPr>
          </w:p>
          <w:p w:rsidR="00302C9C" w:rsidRPr="00086F58" w:rsidP="00302C9C">
            <w:pPr>
              <w:autoSpaceDE w:val="0"/>
              <w:autoSpaceDN w:val="0"/>
              <w:adjustRightInd w:val="0"/>
              <w:spacing w:after="0" w:line="240" w:lineRule="auto"/>
              <w:ind w:firstLine="567"/>
              <w:jc w:val="both"/>
              <w:rPr>
                <w:rFonts w:ascii="Times New Roman" w:hAnsi="Times New Roman" w:cs="Times New Roman"/>
                <w:sz w:val="24"/>
                <w:szCs w:val="24"/>
              </w:rPr>
            </w:pPr>
            <w:r w:rsidRPr="00086F58">
              <w:rPr>
                <w:rFonts w:ascii="Times New Roman" w:hAnsi="Times New Roman" w:cs="Times New Roman"/>
                <w:sz w:val="24"/>
                <w:szCs w:val="24"/>
              </w:rPr>
              <w:t>2018.gadā un turpmāk ik gadu plānoti ieņēmumi no maksas pakalpojumiem un tiem atbilstoši izdevumi – EUR 216 276: atlīdzībai EUR  124 </w:t>
            </w:r>
            <w:r w:rsidR="002626D2">
              <w:rPr>
                <w:rFonts w:ascii="Times New Roman" w:hAnsi="Times New Roman" w:cs="Times New Roman"/>
                <w:sz w:val="24"/>
                <w:szCs w:val="24"/>
              </w:rPr>
              <w:t>441</w:t>
            </w:r>
            <w:r w:rsidRPr="00086F58">
              <w:rPr>
                <w:rFonts w:ascii="Times New Roman" w:hAnsi="Times New Roman" w:cs="Times New Roman"/>
                <w:sz w:val="24"/>
                <w:szCs w:val="24"/>
              </w:rPr>
              <w:t xml:space="preserve"> (tai skaitā izdevumi atalgojuma</w:t>
            </w:r>
            <w:r w:rsidR="002626D2">
              <w:rPr>
                <w:rFonts w:ascii="Times New Roman" w:hAnsi="Times New Roman" w:cs="Times New Roman"/>
                <w:sz w:val="24"/>
                <w:szCs w:val="24"/>
              </w:rPr>
              <w:t xml:space="preserve">m EUR   </w:t>
            </w:r>
            <w:r w:rsidRPr="00086F58">
              <w:rPr>
                <w:rFonts w:ascii="Times New Roman" w:hAnsi="Times New Roman" w:cs="Times New Roman"/>
                <w:sz w:val="24"/>
                <w:szCs w:val="24"/>
              </w:rPr>
              <w:t>100 </w:t>
            </w:r>
            <w:r w:rsidR="002626D2">
              <w:rPr>
                <w:rFonts w:ascii="Times New Roman" w:hAnsi="Times New Roman" w:cs="Times New Roman"/>
                <w:sz w:val="24"/>
                <w:szCs w:val="24"/>
              </w:rPr>
              <w:t>689</w:t>
            </w:r>
            <w:r w:rsidRPr="00086F58">
              <w:rPr>
                <w:rFonts w:ascii="Times New Roman" w:hAnsi="Times New Roman" w:cs="Times New Roman"/>
                <w:sz w:val="24"/>
                <w:szCs w:val="24"/>
              </w:rPr>
              <w:t>), precēm un pakalpojumiem EUR 8</w:t>
            </w:r>
            <w:r w:rsidR="002626D2">
              <w:rPr>
                <w:rFonts w:ascii="Times New Roman" w:hAnsi="Times New Roman" w:cs="Times New Roman"/>
                <w:sz w:val="24"/>
                <w:szCs w:val="24"/>
              </w:rPr>
              <w:t>6</w:t>
            </w:r>
            <w:r w:rsidRPr="00086F58">
              <w:rPr>
                <w:rFonts w:ascii="Times New Roman" w:hAnsi="Times New Roman" w:cs="Times New Roman"/>
                <w:sz w:val="24"/>
                <w:szCs w:val="24"/>
              </w:rPr>
              <w:t> </w:t>
            </w:r>
            <w:r w:rsidR="002626D2">
              <w:rPr>
                <w:rFonts w:ascii="Times New Roman" w:hAnsi="Times New Roman" w:cs="Times New Roman"/>
                <w:sz w:val="24"/>
                <w:szCs w:val="24"/>
              </w:rPr>
              <w:t>817</w:t>
            </w:r>
            <w:r w:rsidRPr="00086F58">
              <w:rPr>
                <w:rFonts w:ascii="Times New Roman" w:hAnsi="Times New Roman" w:cs="Times New Roman"/>
                <w:sz w:val="24"/>
                <w:szCs w:val="24"/>
              </w:rPr>
              <w:t xml:space="preserve">, kapitālajiem izdevumiem EUR </w:t>
            </w:r>
            <w:r w:rsidR="00394DC1">
              <w:rPr>
                <w:rFonts w:ascii="Times New Roman" w:hAnsi="Times New Roman" w:cs="Times New Roman"/>
                <w:sz w:val="24"/>
                <w:szCs w:val="24"/>
              </w:rPr>
              <w:t>5 018</w:t>
            </w:r>
          </w:p>
        </w:tc>
      </w:tr>
      <w:tr w:rsidTr="000959B0">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single" w:sz="4" w:space="0" w:color="auto"/>
            </w:tcBorders>
            <w:hideMark/>
          </w:tcPr>
          <w:p w:rsidR="00302C9C" w:rsidRPr="00086F58" w:rsidP="00302C9C">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6.1. detalizēts ieņēmumu aprēķins</w:t>
            </w:r>
          </w:p>
        </w:tc>
        <w:tc>
          <w:tcPr>
            <w:tcW w:w="0" w:type="auto"/>
            <w:gridSpan w:val="5"/>
            <w:vMerge/>
            <w:tcBorders>
              <w:top w:val="single" w:sz="4" w:space="0" w:color="auto"/>
              <w:left w:val="single" w:sz="4" w:space="0" w:color="auto"/>
              <w:bottom w:val="single" w:sz="4" w:space="0" w:color="auto"/>
              <w:right w:val="single" w:sz="4" w:space="0" w:color="auto"/>
            </w:tcBorders>
            <w:hideMark/>
          </w:tcPr>
          <w:p w:rsidR="00302C9C" w:rsidRPr="00086F58" w:rsidP="00302C9C">
            <w:pPr>
              <w:spacing w:after="0" w:line="240" w:lineRule="auto"/>
              <w:rPr>
                <w:rFonts w:ascii="Times New Roman" w:eastAsia="Times New Roman" w:hAnsi="Times New Roman" w:cs="Times New Roman"/>
                <w:sz w:val="24"/>
                <w:szCs w:val="24"/>
                <w:lang w:eastAsia="lv-LV"/>
              </w:rPr>
            </w:pPr>
          </w:p>
        </w:tc>
      </w:tr>
      <w:tr w:rsidTr="000959B0">
        <w:tblPrEx>
          <w:tblW w:w="5000" w:type="pct"/>
          <w:jc w:val="center"/>
          <w:tblCellMar>
            <w:top w:w="24" w:type="dxa"/>
            <w:left w:w="24" w:type="dxa"/>
            <w:bottom w:w="24" w:type="dxa"/>
            <w:right w:w="24" w:type="dxa"/>
          </w:tblCellMar>
          <w:tblLook w:val="04A0"/>
        </w:tblPrEx>
        <w:trPr>
          <w:jc w:val="center"/>
        </w:trPr>
        <w:tc>
          <w:tcPr>
            <w:tcW w:w="1700" w:type="pct"/>
            <w:tcBorders>
              <w:top w:val="outset" w:sz="6" w:space="0" w:color="414142"/>
              <w:left w:val="outset" w:sz="6" w:space="0" w:color="414142"/>
              <w:bottom w:val="outset" w:sz="6" w:space="0" w:color="414142"/>
              <w:right w:val="single" w:sz="4" w:space="0" w:color="auto"/>
            </w:tcBorders>
            <w:hideMark/>
          </w:tcPr>
          <w:p w:rsidR="00302C9C" w:rsidRPr="00086F58" w:rsidP="00302C9C">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6.2. detalizēts izdevumu aprēķins</w:t>
            </w:r>
          </w:p>
        </w:tc>
        <w:tc>
          <w:tcPr>
            <w:tcW w:w="0" w:type="auto"/>
            <w:gridSpan w:val="5"/>
            <w:vMerge/>
            <w:tcBorders>
              <w:top w:val="single" w:sz="4" w:space="0" w:color="auto"/>
              <w:left w:val="single" w:sz="4" w:space="0" w:color="auto"/>
              <w:bottom w:val="single" w:sz="4" w:space="0" w:color="auto"/>
              <w:right w:val="single" w:sz="4" w:space="0" w:color="auto"/>
            </w:tcBorders>
            <w:hideMark/>
          </w:tcPr>
          <w:p w:rsidR="00302C9C" w:rsidRPr="00086F58" w:rsidP="00302C9C">
            <w:pPr>
              <w:spacing w:after="0" w:line="240" w:lineRule="auto"/>
              <w:rPr>
                <w:rFonts w:ascii="Times New Roman" w:eastAsia="Times New Roman" w:hAnsi="Times New Roman" w:cs="Times New Roman"/>
                <w:sz w:val="24"/>
                <w:szCs w:val="24"/>
                <w:lang w:eastAsia="lv-LV"/>
              </w:rPr>
            </w:pPr>
          </w:p>
        </w:tc>
      </w:tr>
      <w:tr w:rsidTr="000959B0">
        <w:tblPrEx>
          <w:tblW w:w="5000" w:type="pct"/>
          <w:jc w:val="center"/>
          <w:tblCellMar>
            <w:top w:w="24" w:type="dxa"/>
            <w:left w:w="24" w:type="dxa"/>
            <w:bottom w:w="24" w:type="dxa"/>
            <w:right w:w="24" w:type="dxa"/>
          </w:tblCellMar>
          <w:tblLook w:val="04A0"/>
        </w:tblPrEx>
        <w:trPr>
          <w:trHeight w:val="444"/>
          <w:jc w:val="center"/>
        </w:trPr>
        <w:tc>
          <w:tcPr>
            <w:tcW w:w="1700" w:type="pct"/>
            <w:tcBorders>
              <w:top w:val="outset" w:sz="6" w:space="0" w:color="414142"/>
              <w:left w:val="outset" w:sz="6" w:space="0" w:color="414142"/>
              <w:bottom w:val="outset" w:sz="6" w:space="0" w:color="414142"/>
              <w:right w:val="single" w:sz="4" w:space="0" w:color="auto"/>
            </w:tcBorders>
            <w:hideMark/>
          </w:tcPr>
          <w:p w:rsidR="00FF7664" w:rsidP="00302C9C">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7. Cita informācija</w:t>
            </w:r>
          </w:p>
          <w:p w:rsidR="00FF7664" w:rsidRPr="00FF7664" w:rsidP="00FF7664">
            <w:pPr>
              <w:rPr>
                <w:rFonts w:ascii="Times New Roman" w:eastAsia="Times New Roman" w:hAnsi="Times New Roman" w:cs="Times New Roman"/>
                <w:sz w:val="24"/>
                <w:szCs w:val="24"/>
                <w:lang w:eastAsia="lv-LV"/>
              </w:rPr>
            </w:pPr>
          </w:p>
          <w:p w:rsidR="00FF7664" w:rsidRPr="00FF7664" w:rsidP="00FF7664">
            <w:pPr>
              <w:rPr>
                <w:rFonts w:ascii="Times New Roman" w:eastAsia="Times New Roman" w:hAnsi="Times New Roman" w:cs="Times New Roman"/>
                <w:sz w:val="24"/>
                <w:szCs w:val="24"/>
                <w:lang w:eastAsia="lv-LV"/>
              </w:rPr>
            </w:pPr>
          </w:p>
          <w:p w:rsidR="00FF7664" w:rsidRPr="00FF7664" w:rsidP="00FF7664">
            <w:pPr>
              <w:rPr>
                <w:rFonts w:ascii="Times New Roman" w:eastAsia="Times New Roman" w:hAnsi="Times New Roman" w:cs="Times New Roman"/>
                <w:sz w:val="24"/>
                <w:szCs w:val="24"/>
                <w:lang w:eastAsia="lv-LV"/>
              </w:rPr>
            </w:pPr>
          </w:p>
          <w:p w:rsidR="00FF7664" w:rsidRPr="00FF7664" w:rsidP="00FF7664">
            <w:pPr>
              <w:rPr>
                <w:rFonts w:ascii="Times New Roman" w:eastAsia="Times New Roman" w:hAnsi="Times New Roman" w:cs="Times New Roman"/>
                <w:sz w:val="24"/>
                <w:szCs w:val="24"/>
                <w:lang w:eastAsia="lv-LV"/>
              </w:rPr>
            </w:pPr>
          </w:p>
          <w:p w:rsidR="00302C9C" w:rsidRPr="00FF7664" w:rsidP="00FF7664">
            <w:pPr>
              <w:jc w:val="center"/>
              <w:rPr>
                <w:rFonts w:ascii="Times New Roman" w:eastAsia="Times New Roman" w:hAnsi="Times New Roman" w:cs="Times New Roman"/>
                <w:sz w:val="24"/>
                <w:szCs w:val="24"/>
                <w:lang w:eastAsia="lv-LV"/>
              </w:rPr>
            </w:pPr>
          </w:p>
        </w:tc>
        <w:tc>
          <w:tcPr>
            <w:tcW w:w="3300" w:type="pct"/>
            <w:gridSpan w:val="5"/>
            <w:tcBorders>
              <w:top w:val="single" w:sz="4" w:space="0" w:color="auto"/>
              <w:left w:val="single" w:sz="4" w:space="0" w:color="auto"/>
              <w:bottom w:val="single" w:sz="4" w:space="0" w:color="auto"/>
              <w:right w:val="single" w:sz="4" w:space="0" w:color="auto"/>
            </w:tcBorders>
            <w:hideMark/>
          </w:tcPr>
          <w:p w:rsidR="00302C9C" w:rsidP="00302C9C">
            <w:pPr>
              <w:pStyle w:val="naiskr"/>
              <w:spacing w:before="0" w:after="0"/>
              <w:ind w:firstLine="567"/>
              <w:jc w:val="both"/>
              <w:rPr>
                <w:bCs/>
              </w:rPr>
            </w:pPr>
            <w:r w:rsidRPr="00086F58">
              <w:t xml:space="preserve">Projektā ietvertās izmaiņas </w:t>
            </w:r>
            <w:r w:rsidR="002633B1">
              <w:t>Centra</w:t>
            </w:r>
            <w:r w:rsidRPr="00086F58">
              <w:rPr>
                <w:bCs/>
              </w:rPr>
              <w:t xml:space="preserve"> maksas pakalpojumu cenrādī neveido esošo maksas pakalpojumu palielinājumu. 2018.gadā un turpmāk ik gadu plānoti  ieņēmumi no maksas pakalpojumiem un tiem atbilstoši izdevumi – EUR 216</w:t>
            </w:r>
            <w:r w:rsidR="003630E7">
              <w:rPr>
                <w:bCs/>
              </w:rPr>
              <w:t> </w:t>
            </w:r>
            <w:r w:rsidRPr="00086F58">
              <w:rPr>
                <w:bCs/>
              </w:rPr>
              <w:t>276.</w:t>
            </w:r>
          </w:p>
          <w:p w:rsidR="003630E7" w:rsidRPr="00086F58" w:rsidP="00302C9C">
            <w:pPr>
              <w:pStyle w:val="naiskr"/>
              <w:spacing w:before="0" w:after="0"/>
              <w:ind w:firstLine="567"/>
              <w:jc w:val="both"/>
              <w:rPr>
                <w:bCs/>
              </w:rPr>
            </w:pPr>
          </w:p>
          <w:p w:rsidR="00302C9C" w:rsidP="00302C9C">
            <w:pPr>
              <w:pStyle w:val="naiskr"/>
              <w:spacing w:before="0" w:after="0"/>
              <w:ind w:firstLine="567"/>
              <w:jc w:val="both"/>
              <w:rPr>
                <w:bCs/>
              </w:rPr>
            </w:pPr>
            <w:r w:rsidRPr="00086F58">
              <w:rPr>
                <w:bCs/>
              </w:rPr>
              <w:t xml:space="preserve">Plānoto pakalpojumu skaitu un detalizētu sadalījumu pa izdevumu pozīcijām atbilstoši Ministru kabineta 2011.gada 3.maija noteikumiem Nr.333 “Kārtība, kādā plānojami un uzskaitāmi ieņēmumi no maksas pakalpojumiem un ar šo </w:t>
            </w:r>
            <w:r w:rsidRPr="00086F58">
              <w:rPr>
                <w:bCs/>
              </w:rPr>
              <w:t>pakalpojumu sniegšanu saistītie izdevumi, kā arī maksas pakalpojumu izcenojumu noteikšanas metodika un izcenojumu apstiprināšanas kārtība” skatīt anotācijas pielikumā “Maksas pakalpojuma izcenojuma aprēķins”.</w:t>
            </w:r>
          </w:p>
          <w:p w:rsidR="003630E7" w:rsidRPr="00086F58" w:rsidP="00302C9C">
            <w:pPr>
              <w:pStyle w:val="naiskr"/>
              <w:spacing w:before="0" w:after="0"/>
              <w:ind w:firstLine="567"/>
              <w:jc w:val="both"/>
              <w:rPr>
                <w:bCs/>
              </w:rPr>
            </w:pPr>
          </w:p>
          <w:p w:rsidR="00302C9C" w:rsidP="00302C9C">
            <w:pPr>
              <w:pStyle w:val="naiskr"/>
              <w:spacing w:before="0" w:after="0"/>
              <w:ind w:firstLine="567"/>
              <w:jc w:val="both"/>
              <w:rPr>
                <w:bCs/>
              </w:rPr>
            </w:pPr>
            <w:r>
              <w:t>Centra</w:t>
            </w:r>
            <w:r w:rsidRPr="00086F58">
              <w:rPr>
                <w:bCs/>
              </w:rPr>
              <w:t xml:space="preserve"> maksas pakalpojumu cenrāža projektā ietvertos pakalpojumus plānots sniegt Valsts sporta medicīnas centra esošo amatu vietu ietvarā.</w:t>
            </w:r>
          </w:p>
          <w:p w:rsidR="003630E7" w:rsidP="00302C9C">
            <w:pPr>
              <w:pStyle w:val="naiskr"/>
              <w:spacing w:before="0" w:after="0"/>
              <w:ind w:firstLine="567"/>
              <w:jc w:val="both"/>
              <w:rPr>
                <w:bCs/>
              </w:rPr>
            </w:pPr>
          </w:p>
          <w:p w:rsidR="000959B0" w:rsidP="00302C9C">
            <w:pPr>
              <w:pStyle w:val="naiskr"/>
              <w:spacing w:before="0" w:after="0"/>
              <w:ind w:firstLine="567"/>
              <w:jc w:val="both"/>
              <w:rPr>
                <w:color w:val="212121"/>
                <w:shd w:val="clear" w:color="auto" w:fill="FFFFFF"/>
              </w:rPr>
            </w:pPr>
            <w:r w:rsidRPr="000959B0">
              <w:rPr>
                <w:color w:val="212121"/>
                <w:shd w:val="clear" w:color="auto" w:fill="FFFFFF"/>
              </w:rPr>
              <w:t>Pievienotās vērtības nodokli dopinga kontrolēm nepiemēro saskaņā ar Pievienotās vērtības nodokļa likuma 3.panta astoto daļu, ņemot vērā Sporta likuma 6. panta piektās daļas 3. un 4. punktu, kas nosaka, ka Veselības ministrija sadarbībā ar Izglītības un zinātnes ministriju īsteno 2005.gada 19.oktobra Starptautiskās konvencijas pret dopingu sportā un 1989.gada 16.novembra Eiropas Padomes Antidopinga konvencijas Nr.135 noteikumu ieviešanai nepieciešamos pasākumus, kā arī organizē dopinga kontroli Ministru kabineta noteiktajā kārtībā. Atbilstoši Sporta likuma 6. panta piektās daļas 4. punktam, ir izdoti Ministru kabineta 2011. gada 19. oktobra noteikumi Nr. 820 “Dopinga kontroles kārtība”, saskaņā ar kuriem, īpaši šo noteikumu 10., 12. un 13. punktu, Valsts sporta medicīnas centrs veic dopinga kontroli. </w:t>
            </w:r>
            <w:r w:rsidRPr="000959B0">
              <w:rPr>
                <w:color w:val="212121"/>
                <w:shd w:val="clear" w:color="auto" w:fill="FFFFFF"/>
              </w:rPr>
              <w:br/>
              <w:t>Vienlaikus jāņem vērā, ka maksas pakalpojums “dopinga kontrole analīzēm” attiecas uz Latvijā atzītām sporta federācijām vai starptautiskām sporta federācijām (atbilstoši MK. noteikumu Nr. 820 10.2. punktam). Atbilstoši Sporta likuma 10.</w:t>
            </w:r>
            <w:r w:rsidRPr="000959B0">
              <w:rPr>
                <w:color w:val="212121"/>
                <w:shd w:val="clear" w:color="auto" w:fill="FFFFFF"/>
                <w:vertAlign w:val="superscript"/>
              </w:rPr>
              <w:t>1</w:t>
            </w:r>
            <w:r w:rsidRPr="000959B0">
              <w:rPr>
                <w:color w:val="212121"/>
                <w:shd w:val="clear" w:color="auto" w:fill="FFFFFF"/>
              </w:rPr>
              <w:t> panta pirmās daļas 7. punktam, sporta federācijai, lai tā tiktu atzīta, savā darbībā ir jāievēro antidopinga konvenciju noteikumi. </w:t>
            </w:r>
          </w:p>
          <w:p w:rsidR="000959B0" w:rsidP="00302C9C">
            <w:pPr>
              <w:pStyle w:val="naiskr"/>
              <w:spacing w:before="0" w:after="0"/>
              <w:ind w:firstLine="567"/>
              <w:jc w:val="both"/>
              <w:rPr>
                <w:color w:val="212121"/>
                <w:shd w:val="clear" w:color="auto" w:fill="FFFFFF"/>
              </w:rPr>
            </w:pPr>
            <w:r w:rsidRPr="000959B0">
              <w:rPr>
                <w:color w:val="212121"/>
                <w:shd w:val="clear" w:color="auto" w:fill="FFFFFF"/>
              </w:rPr>
              <w:t>Viens no noteikumiem, kas izriet no antidopinga konvencijām un to pielikuma “Pasaules antidopinga kodekss”, ir dopinga kontroļu veikšana (skat. Starptautiskās konvencijas pret dopingu sportā (</w:t>
            </w:r>
            <w:r>
              <w:fldChar w:fldCharType="begin"/>
            </w:r>
            <w:r>
              <w:instrText xml:space="preserve"> HYPERLINK "https://likumi.lv/ta/lv/starptautiskie-ligumi/id/1596" \t "_blank" </w:instrText>
            </w:r>
            <w:r>
              <w:fldChar w:fldCharType="separate"/>
            </w:r>
            <w:r w:rsidRPr="000959B0">
              <w:rPr>
                <w:rStyle w:val="Hyperlink"/>
                <w:shd w:val="clear" w:color="auto" w:fill="FFFFFF"/>
              </w:rPr>
              <w:t>https://likumi.lv/ta/lv/starptautiskie-ligumi/id/1596</w:t>
            </w:r>
            <w:r>
              <w:fldChar w:fldCharType="end"/>
            </w:r>
            <w:r w:rsidRPr="000959B0">
              <w:rPr>
                <w:color w:val="212121"/>
                <w:shd w:val="clear" w:color="auto" w:fill="FFFFFF"/>
              </w:rPr>
              <w:t>) 12.pantu: </w:t>
            </w:r>
            <w:r w:rsidRPr="000959B0">
              <w:rPr>
                <w:color w:val="212121"/>
                <w:u w:val="single"/>
                <w:shd w:val="clear" w:color="auto" w:fill="FFFFFF"/>
              </w:rPr>
              <w:br/>
              <w:t>12.pants. Pasākumi dopinga kontroles nodrošināšanai</w:t>
            </w:r>
            <w:r w:rsidRPr="000959B0">
              <w:rPr>
                <w:color w:val="212121"/>
                <w:shd w:val="clear" w:color="auto" w:fill="FFFFFF"/>
              </w:rPr>
              <w:br/>
              <w:t>Dalībvalstīm, atbilstošos gadījumos:</w:t>
            </w:r>
          </w:p>
          <w:p w:rsidR="000959B0" w:rsidP="00302C9C">
            <w:pPr>
              <w:pStyle w:val="naiskr"/>
              <w:spacing w:before="0" w:after="0"/>
              <w:ind w:firstLine="567"/>
              <w:jc w:val="both"/>
              <w:rPr>
                <w:color w:val="212121"/>
                <w:shd w:val="clear" w:color="auto" w:fill="FFFFFF"/>
              </w:rPr>
            </w:pPr>
            <w:r w:rsidRPr="000959B0">
              <w:rPr>
                <w:color w:val="212121"/>
                <w:shd w:val="clear" w:color="auto" w:fill="FFFFFF"/>
              </w:rPr>
              <w:t>(a) jāatbalsta un jārada apstākļi to jurisdikcijā esošām sporta organizācijām un antidopinga organizācijām veikt dopinga kontroles, kas ir saskaņā ar Kodeksu, tai skaitā bez iepriekšēja brīdinājuma, ārpus</w:t>
            </w:r>
            <w:r>
              <w:rPr>
                <w:color w:val="212121"/>
                <w:shd w:val="clear" w:color="auto" w:fill="FFFFFF"/>
              </w:rPr>
              <w:t xml:space="preserve"> </w:t>
            </w:r>
            <w:r w:rsidRPr="000959B0">
              <w:rPr>
                <w:color w:val="212121"/>
                <w:shd w:val="clear" w:color="auto" w:fill="FFFFFF"/>
              </w:rPr>
              <w:t>sacensību un sacensību dopinga kontroles;</w:t>
            </w:r>
          </w:p>
          <w:p w:rsidR="000959B0" w:rsidP="00302C9C">
            <w:pPr>
              <w:pStyle w:val="naiskr"/>
              <w:spacing w:before="0" w:after="0"/>
              <w:ind w:firstLine="567"/>
              <w:jc w:val="both"/>
              <w:rPr>
                <w:color w:val="212121"/>
                <w:shd w:val="clear" w:color="auto" w:fill="FFFFFF"/>
              </w:rPr>
            </w:pPr>
            <w:r w:rsidRPr="000959B0">
              <w:rPr>
                <w:color w:val="212121"/>
                <w:shd w:val="clear" w:color="auto" w:fill="FFFFFF"/>
              </w:rPr>
              <w:t>(b) jāatbalsta un jārada apstākļi sporta organizāciju un antidopinga organizāciju sarunām par līgumiem, kas ļautu likumīgi pilnvarotām dopinga kontroles vienībām no citām valstīm pārbaudīt to biedrus;</w:t>
            </w:r>
          </w:p>
          <w:p w:rsidR="000959B0" w:rsidRPr="000959B0" w:rsidP="00302C9C">
            <w:pPr>
              <w:pStyle w:val="naiskr"/>
              <w:spacing w:before="0" w:after="0"/>
              <w:ind w:firstLine="567"/>
              <w:jc w:val="both"/>
              <w:rPr>
                <w:color w:val="212121"/>
                <w:shd w:val="clear" w:color="auto" w:fill="FFFFFF"/>
              </w:rPr>
            </w:pPr>
            <w:r w:rsidRPr="000959B0">
              <w:rPr>
                <w:color w:val="212121"/>
                <w:shd w:val="clear" w:color="auto" w:fill="FFFFFF"/>
              </w:rPr>
              <w:t>(c) jāapņemas atbalstīt to jurisdikcijā esošo sporta organizāciju un antidopinga organizāciju piekļuves iegūšanu akreditētām dopinga kontroles laboratorijām dopinga kontroles paraugu analīzes veikšanai.). </w:t>
            </w:r>
          </w:p>
          <w:p w:rsidR="000959B0" w:rsidRPr="00086F58" w:rsidP="00302C9C">
            <w:pPr>
              <w:pStyle w:val="naiskr"/>
              <w:spacing w:before="0" w:after="0"/>
              <w:ind w:firstLine="567"/>
              <w:jc w:val="both"/>
              <w:rPr>
                <w:bCs/>
              </w:rPr>
            </w:pPr>
          </w:p>
          <w:p w:rsidR="00302C9C" w:rsidRPr="008C6A3C" w:rsidP="00D55D82">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Savukārt </w:t>
            </w:r>
            <w:r w:rsidR="0032033E">
              <w:rPr>
                <w:rFonts w:ascii="Times New Roman" w:hAnsi="Times New Roman" w:cs="Times New Roman"/>
                <w:sz w:val="24"/>
                <w:szCs w:val="24"/>
              </w:rPr>
              <w:t>Centra</w:t>
            </w:r>
            <w:r w:rsidRPr="00086F58" w:rsidR="0032033E">
              <w:rPr>
                <w:rFonts w:ascii="Times New Roman" w:hAnsi="Times New Roman" w:cs="Times New Roman"/>
                <w:bCs/>
                <w:sz w:val="24"/>
                <w:szCs w:val="24"/>
              </w:rPr>
              <w:t xml:space="preserve"> maksas pakalpojumu cenrāža projekta pielikuma sadaļā minētajiem </w:t>
            </w:r>
            <w:r w:rsidR="007F7000">
              <w:rPr>
                <w:rFonts w:ascii="Times New Roman" w:hAnsi="Times New Roman" w:cs="Times New Roman"/>
                <w:bCs/>
                <w:sz w:val="24"/>
                <w:szCs w:val="24"/>
              </w:rPr>
              <w:t xml:space="preserve">(no 1.1.1. - 1.1.16., 1.2.1. -1.2.12., 2.1.1. – 2.1.18., 2.2.1. – 2.2.5., 2.3.1. – 2.3.10., 2.4.1. – 2.4.10., 2.5.1. – 2.5.8., 2.6.1. – 2.6.7., 2.7.1. – 2.7.2.) </w:t>
            </w:r>
            <w:r w:rsidRPr="00086F58" w:rsidR="0032033E">
              <w:rPr>
                <w:rFonts w:ascii="Times New Roman" w:hAnsi="Times New Roman" w:cs="Times New Roman"/>
                <w:bCs/>
                <w:sz w:val="24"/>
                <w:szCs w:val="24"/>
              </w:rPr>
              <w:t xml:space="preserve">pakalpojumiem pievienotās vērtības nodokli nepiemēro saskaņā ar </w:t>
            </w:r>
            <w:r w:rsidR="007F7000">
              <w:rPr>
                <w:rFonts w:ascii="Times New Roman" w:hAnsi="Times New Roman" w:cs="Times New Roman"/>
                <w:bCs/>
                <w:sz w:val="24"/>
                <w:szCs w:val="24"/>
              </w:rPr>
              <w:t xml:space="preserve">Pievienotās vērtības nodokļa likuma 52.panta pirmās daļas 3.punkta “a” apakšpunktu. Savukārt Centra maksas pakalpojumu cenrāža 2.9.1., 2.9.2. un 2.9.3. pakalpojumiem pievienotās vērtības nodokli nepiemēro saskaņā ar </w:t>
            </w:r>
            <w:r w:rsidRPr="00086F58" w:rsidR="0032033E">
              <w:rPr>
                <w:rFonts w:ascii="Times New Roman" w:hAnsi="Times New Roman" w:cs="Times New Roman"/>
                <w:bCs/>
                <w:sz w:val="24"/>
                <w:szCs w:val="24"/>
              </w:rPr>
              <w:t xml:space="preserve">Pievienotās vērtības nodokļa likuma </w:t>
            </w:r>
            <w:r w:rsidR="00D55D82">
              <w:rPr>
                <w:rFonts w:ascii="Times New Roman" w:hAnsi="Times New Roman" w:cs="Times New Roman"/>
                <w:bCs/>
                <w:sz w:val="24"/>
                <w:szCs w:val="24"/>
              </w:rPr>
              <w:t>59.panta pirmo</w:t>
            </w:r>
            <w:r w:rsidRPr="00086F58" w:rsidR="0032033E">
              <w:rPr>
                <w:rFonts w:ascii="Times New Roman" w:hAnsi="Times New Roman" w:cs="Times New Roman"/>
                <w:bCs/>
                <w:sz w:val="24"/>
                <w:szCs w:val="24"/>
              </w:rPr>
              <w:t xml:space="preserve"> daļu</w:t>
            </w:r>
            <w:r w:rsidR="00D55D82">
              <w:rPr>
                <w:rFonts w:ascii="Times New Roman" w:hAnsi="Times New Roman" w:cs="Times New Roman"/>
                <w:bCs/>
                <w:sz w:val="24"/>
                <w:szCs w:val="24"/>
              </w:rPr>
              <w:t xml:space="preserve">. </w:t>
            </w:r>
            <w:r w:rsidRPr="00D55D82" w:rsidR="00D55D82">
              <w:rPr>
                <w:rFonts w:ascii="Times New Roman" w:hAnsi="Times New Roman" w:cs="Times New Roman"/>
                <w:sz w:val="24"/>
                <w:szCs w:val="24"/>
              </w:rPr>
              <w:t>Ņemot vērā to, ka Saeima 2017.gada 27.jūlijā galīgaj</w:t>
            </w:r>
            <w:r w:rsidRPr="008C6A3C" w:rsidR="00D55D82">
              <w:rPr>
                <w:rFonts w:ascii="Times New Roman" w:hAnsi="Times New Roman" w:cs="Times New Roman"/>
                <w:sz w:val="24"/>
                <w:szCs w:val="24"/>
              </w:rPr>
              <w:t xml:space="preserve">ā lasījumā pieņēma grozījumus Pievienotās vērtības nodokļa likumā, kas nosaka, ka iekšzemes pievienotās vērtības nodokļa maksātājs ir tiesīgs nereģistrēties Valsts ieņēmumu dienesta pievienotās vērtības nodokļa maksātāju reģistrā, ja tā veikto ar pievienotās vērtības nodokli apliekamo preču piegāžu un sniegto pakalpojumu kopējā vērtība iepriekšējo 12 mēnešu laikā nav pārsniegusi 40 000 </w:t>
            </w:r>
            <w:r w:rsidRPr="008C6A3C" w:rsidR="00D55D82">
              <w:rPr>
                <w:rFonts w:ascii="Times New Roman" w:hAnsi="Times New Roman" w:cs="Times New Roman"/>
                <w:i/>
                <w:sz w:val="24"/>
                <w:szCs w:val="24"/>
              </w:rPr>
              <w:t>euro</w:t>
            </w:r>
            <w:r w:rsidRPr="008C6A3C" w:rsidR="00D55D82">
              <w:rPr>
                <w:rFonts w:ascii="Times New Roman" w:hAnsi="Times New Roman" w:cs="Times New Roman"/>
                <w:sz w:val="24"/>
                <w:szCs w:val="24"/>
              </w:rPr>
              <w:t xml:space="preserve">. Centra maksas pakalpojumi 12 mēnešu periodā nepārsniegts noteikto 40 000 </w:t>
            </w:r>
            <w:r w:rsidRPr="008C6A3C" w:rsidR="00D55D82">
              <w:rPr>
                <w:rFonts w:ascii="Times New Roman" w:hAnsi="Times New Roman" w:cs="Times New Roman"/>
                <w:sz w:val="24"/>
                <w:szCs w:val="24"/>
              </w:rPr>
              <w:t>euro</w:t>
            </w:r>
            <w:r w:rsidRPr="008C6A3C" w:rsidR="00D55D82">
              <w:rPr>
                <w:rFonts w:ascii="Times New Roman" w:hAnsi="Times New Roman" w:cs="Times New Roman"/>
                <w:sz w:val="24"/>
                <w:szCs w:val="24"/>
              </w:rPr>
              <w:t xml:space="preserve"> slieksni. Minētie grozījumi stāsies spēkā 2018.gada 1.janvārī.</w:t>
            </w:r>
          </w:p>
        </w:tc>
      </w:tr>
    </w:tbl>
    <w:p w:rsidR="00894C55" w:rsidRPr="00086F58"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626"/>
        <w:gridCol w:w="5976"/>
      </w:tblGrid>
      <w:tr w:rsidTr="00D17792">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hideMark/>
          </w:tcPr>
          <w:p w:rsidR="00AB6969" w:rsidRPr="00086F58" w:rsidP="00AB6969">
            <w:pPr>
              <w:jc w:val="center"/>
              <w:rPr>
                <w:rFonts w:ascii="Times New Roman" w:hAnsi="Times New Roman" w:cs="Times New Roman"/>
                <w:b/>
                <w:sz w:val="24"/>
                <w:szCs w:val="24"/>
              </w:rPr>
            </w:pPr>
            <w:r w:rsidRPr="00086F58">
              <w:rPr>
                <w:rFonts w:ascii="Times New Roman" w:hAnsi="Times New Roman" w:cs="Times New Roman"/>
                <w:b/>
                <w:sz w:val="24"/>
                <w:szCs w:val="24"/>
              </w:rPr>
              <w:t>VI. Sabiedrības līdzdalība un komunikācijas aktivitātes</w:t>
            </w:r>
          </w:p>
        </w:tc>
      </w:tr>
      <w:tr w:rsidTr="00894C55">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B6969" w:rsidRPr="00086F58" w:rsidP="00AB6969">
            <w:pPr>
              <w:rPr>
                <w:rFonts w:ascii="Times New Roman" w:hAnsi="Times New Roman" w:cs="Times New Roman"/>
                <w:sz w:val="24"/>
                <w:szCs w:val="24"/>
              </w:rPr>
            </w:pPr>
            <w:r w:rsidRPr="00086F58">
              <w:rPr>
                <w:rFonts w:ascii="Times New Roman" w:hAnsi="Times New Roman" w:cs="Times New Roman"/>
                <w:sz w:val="24"/>
                <w:szCs w:val="24"/>
              </w:rPr>
              <w:t>1.</w:t>
            </w:r>
          </w:p>
        </w:tc>
        <w:tc>
          <w:tcPr>
            <w:tcW w:w="1450" w:type="pct"/>
            <w:tcBorders>
              <w:top w:val="outset" w:sz="6" w:space="0" w:color="414142"/>
              <w:left w:val="outset" w:sz="6" w:space="0" w:color="414142"/>
              <w:bottom w:val="outset" w:sz="6" w:space="0" w:color="414142"/>
              <w:right w:val="outset" w:sz="6" w:space="0" w:color="414142"/>
            </w:tcBorders>
            <w:hideMark/>
          </w:tcPr>
          <w:p w:rsidR="00AB6969" w:rsidRPr="00086F58" w:rsidP="00AB6969">
            <w:pPr>
              <w:rPr>
                <w:rFonts w:ascii="Times New Roman" w:hAnsi="Times New Roman" w:cs="Times New Roman"/>
                <w:sz w:val="24"/>
                <w:szCs w:val="24"/>
              </w:rPr>
            </w:pPr>
            <w:r w:rsidRPr="00086F58">
              <w:rPr>
                <w:rFonts w:ascii="Times New Roman" w:hAnsi="Times New Roman" w:cs="Times New Roman"/>
                <w:sz w:val="24"/>
                <w:szCs w:val="24"/>
              </w:rPr>
              <w:t>Plānotās sabiedrības līdzdalības un komunikācijas aktivitātes saistībā ar projektu</w:t>
            </w:r>
          </w:p>
        </w:tc>
        <w:tc>
          <w:tcPr>
            <w:tcW w:w="3300" w:type="pct"/>
            <w:tcBorders>
              <w:top w:val="outset" w:sz="6" w:space="0" w:color="414142"/>
              <w:left w:val="outset" w:sz="6" w:space="0" w:color="414142"/>
              <w:bottom w:val="outset" w:sz="6" w:space="0" w:color="414142"/>
              <w:right w:val="outset" w:sz="6" w:space="0" w:color="414142"/>
            </w:tcBorders>
            <w:hideMark/>
          </w:tcPr>
          <w:p w:rsidR="00AB6969" w:rsidRPr="00086F58" w:rsidP="00AB6969">
            <w:pPr>
              <w:jc w:val="both"/>
              <w:rPr>
                <w:rFonts w:ascii="Times New Roman" w:hAnsi="Times New Roman" w:cs="Times New Roman"/>
                <w:sz w:val="24"/>
                <w:szCs w:val="24"/>
              </w:rPr>
            </w:pPr>
            <w:r w:rsidRPr="00086F58">
              <w:rPr>
                <w:rFonts w:ascii="Times New Roman" w:hAnsi="Times New Roman" w:cs="Times New Roman"/>
                <w:sz w:val="24"/>
                <w:szCs w:val="24"/>
              </w:rPr>
              <w:t xml:space="preserve">Ieinteresēto pušu iesaiste projekta izstrādē.  </w:t>
            </w:r>
          </w:p>
        </w:tc>
      </w:tr>
      <w:tr w:rsidTr="00894C55">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B6969" w:rsidRPr="00086F58" w:rsidP="00AB6969">
            <w:pPr>
              <w:rPr>
                <w:rFonts w:ascii="Times New Roman" w:hAnsi="Times New Roman" w:cs="Times New Roman"/>
                <w:sz w:val="24"/>
                <w:szCs w:val="24"/>
              </w:rPr>
            </w:pPr>
            <w:r w:rsidRPr="00086F58">
              <w:rPr>
                <w:rFonts w:ascii="Times New Roman" w:hAnsi="Times New Roman" w:cs="Times New Roman"/>
                <w:sz w:val="24"/>
                <w:szCs w:val="24"/>
              </w:rPr>
              <w:t>2.</w:t>
            </w:r>
          </w:p>
        </w:tc>
        <w:tc>
          <w:tcPr>
            <w:tcW w:w="1450" w:type="pct"/>
            <w:tcBorders>
              <w:top w:val="outset" w:sz="6" w:space="0" w:color="414142"/>
              <w:left w:val="outset" w:sz="6" w:space="0" w:color="414142"/>
              <w:bottom w:val="outset" w:sz="6" w:space="0" w:color="414142"/>
              <w:right w:val="outset" w:sz="6" w:space="0" w:color="414142"/>
            </w:tcBorders>
            <w:hideMark/>
          </w:tcPr>
          <w:p w:rsidR="00AB6969" w:rsidRPr="00086F58" w:rsidP="00AB6969">
            <w:pPr>
              <w:rPr>
                <w:rFonts w:ascii="Times New Roman" w:hAnsi="Times New Roman" w:cs="Times New Roman"/>
                <w:sz w:val="24"/>
                <w:szCs w:val="24"/>
              </w:rPr>
            </w:pPr>
            <w:r w:rsidRPr="00086F58">
              <w:rPr>
                <w:rFonts w:ascii="Times New Roman" w:hAnsi="Times New Roman" w:cs="Times New Roman"/>
                <w:sz w:val="24"/>
                <w:szCs w:val="24"/>
              </w:rPr>
              <w:t>Sabiedrības līdzdalība projekta izstrādē</w:t>
            </w:r>
          </w:p>
        </w:tc>
        <w:tc>
          <w:tcPr>
            <w:tcW w:w="3300" w:type="pct"/>
            <w:tcBorders>
              <w:top w:val="outset" w:sz="6" w:space="0" w:color="414142"/>
              <w:left w:val="outset" w:sz="6" w:space="0" w:color="414142"/>
              <w:bottom w:val="outset" w:sz="6" w:space="0" w:color="414142"/>
              <w:right w:val="outset" w:sz="6" w:space="0" w:color="414142"/>
            </w:tcBorders>
            <w:hideMark/>
          </w:tcPr>
          <w:p w:rsidR="00AB6969" w:rsidRPr="00086F58" w:rsidP="00AB6969">
            <w:pPr>
              <w:jc w:val="both"/>
              <w:rPr>
                <w:rFonts w:ascii="Times New Roman" w:hAnsi="Times New Roman" w:cs="Times New Roman"/>
                <w:sz w:val="24"/>
                <w:szCs w:val="24"/>
              </w:rPr>
            </w:pPr>
            <w:r w:rsidRPr="00086F58">
              <w:rPr>
                <w:rFonts w:ascii="Times New Roman" w:hAnsi="Times New Roman" w:cs="Times New Roman"/>
                <w:sz w:val="24"/>
                <w:szCs w:val="24"/>
              </w:rPr>
              <w:t xml:space="preserve">Projekta saskaņošanas laikā, projekts tiks izvietots </w:t>
            </w:r>
            <w:r w:rsidR="002633B1">
              <w:rPr>
                <w:rFonts w:ascii="Times New Roman" w:hAnsi="Times New Roman" w:cs="Times New Roman"/>
                <w:sz w:val="24"/>
                <w:szCs w:val="24"/>
              </w:rPr>
              <w:t>Centra</w:t>
            </w:r>
            <w:r w:rsidRPr="00086F58">
              <w:rPr>
                <w:rFonts w:ascii="Times New Roman" w:hAnsi="Times New Roman" w:cs="Times New Roman"/>
                <w:sz w:val="24"/>
                <w:szCs w:val="24"/>
              </w:rPr>
              <w:t xml:space="preserve"> mājaslapā sabiedrības informēšanai un nepieciešamības gadījumā sabiedrības pārstāvjiem pastāvēs iespēja izteikt savu viedokli.</w:t>
            </w:r>
          </w:p>
        </w:tc>
      </w:tr>
      <w:tr w:rsidTr="00894C55">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tcPr>
          <w:p w:rsidR="00AB6969" w:rsidRPr="00086F58" w:rsidP="00AB6969">
            <w:pPr>
              <w:rPr>
                <w:rFonts w:ascii="Times New Roman" w:hAnsi="Times New Roman" w:cs="Times New Roman"/>
                <w:sz w:val="24"/>
                <w:szCs w:val="24"/>
              </w:rPr>
            </w:pPr>
            <w:r w:rsidRPr="00086F58">
              <w:rPr>
                <w:rFonts w:ascii="Times New Roman" w:hAnsi="Times New Roman" w:cs="Times New Roman"/>
                <w:sz w:val="24"/>
                <w:szCs w:val="24"/>
              </w:rPr>
              <w:t>3.</w:t>
            </w:r>
          </w:p>
        </w:tc>
        <w:tc>
          <w:tcPr>
            <w:tcW w:w="1450" w:type="pct"/>
            <w:tcBorders>
              <w:top w:val="outset" w:sz="6" w:space="0" w:color="414142"/>
              <w:left w:val="outset" w:sz="6" w:space="0" w:color="414142"/>
              <w:bottom w:val="outset" w:sz="6" w:space="0" w:color="414142"/>
              <w:right w:val="outset" w:sz="6" w:space="0" w:color="414142"/>
            </w:tcBorders>
          </w:tcPr>
          <w:p w:rsidR="00AB6969" w:rsidRPr="00086F58" w:rsidP="00AB6969">
            <w:pPr>
              <w:rPr>
                <w:rFonts w:ascii="Times New Roman" w:hAnsi="Times New Roman" w:cs="Times New Roman"/>
                <w:sz w:val="24"/>
                <w:szCs w:val="24"/>
              </w:rPr>
            </w:pPr>
            <w:r w:rsidRPr="00086F58">
              <w:rPr>
                <w:rFonts w:ascii="Times New Roman" w:hAnsi="Times New Roman" w:cs="Times New Roman"/>
                <w:sz w:val="24"/>
                <w:szCs w:val="24"/>
              </w:rPr>
              <w:t>Sabiedrības līdzdalības rezultāti</w:t>
            </w:r>
          </w:p>
        </w:tc>
        <w:tc>
          <w:tcPr>
            <w:tcW w:w="3300" w:type="pct"/>
            <w:tcBorders>
              <w:top w:val="outset" w:sz="6" w:space="0" w:color="414142"/>
              <w:left w:val="outset" w:sz="6" w:space="0" w:color="414142"/>
              <w:bottom w:val="outset" w:sz="6" w:space="0" w:color="414142"/>
              <w:right w:val="outset" w:sz="6" w:space="0" w:color="414142"/>
            </w:tcBorders>
          </w:tcPr>
          <w:p w:rsidR="00AB6969" w:rsidRPr="00086F58" w:rsidP="00AB6969">
            <w:pPr>
              <w:jc w:val="both"/>
              <w:rPr>
                <w:rFonts w:ascii="Times New Roman" w:hAnsi="Times New Roman" w:cs="Times New Roman"/>
                <w:sz w:val="24"/>
                <w:szCs w:val="24"/>
              </w:rPr>
            </w:pPr>
            <w:r w:rsidRPr="00086F58">
              <w:rPr>
                <w:rFonts w:ascii="Times New Roman" w:hAnsi="Times New Roman" w:cs="Times New Roman"/>
                <w:sz w:val="24"/>
                <w:szCs w:val="24"/>
              </w:rPr>
              <w:t>Nav</w:t>
            </w:r>
          </w:p>
        </w:tc>
      </w:tr>
      <w:tr w:rsidTr="00894C55">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B6969" w:rsidRPr="00086F58" w:rsidP="00AB6969">
            <w:pPr>
              <w:rPr>
                <w:rFonts w:ascii="Times New Roman" w:hAnsi="Times New Roman" w:cs="Times New Roman"/>
                <w:sz w:val="24"/>
                <w:szCs w:val="24"/>
              </w:rPr>
            </w:pPr>
            <w:r w:rsidRPr="00086F58">
              <w:rPr>
                <w:rFonts w:ascii="Times New Roman" w:hAnsi="Times New Roman" w:cs="Times New Roman"/>
                <w:sz w:val="24"/>
                <w:szCs w:val="24"/>
              </w:rPr>
              <w:t>4.</w:t>
            </w:r>
          </w:p>
        </w:tc>
        <w:tc>
          <w:tcPr>
            <w:tcW w:w="1450" w:type="pct"/>
            <w:tcBorders>
              <w:top w:val="outset" w:sz="6" w:space="0" w:color="414142"/>
              <w:left w:val="outset" w:sz="6" w:space="0" w:color="414142"/>
              <w:bottom w:val="outset" w:sz="6" w:space="0" w:color="414142"/>
              <w:right w:val="outset" w:sz="6" w:space="0" w:color="414142"/>
            </w:tcBorders>
            <w:hideMark/>
          </w:tcPr>
          <w:p w:rsidR="00AB6969" w:rsidRPr="00086F58" w:rsidP="00AB6969">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026365347"/>
            <w:placeholder>
              <w:docPart w:val="20871D7F369A402E9D8CD2144EB12F0A"/>
            </w:placeholder>
            <w:text/>
          </w:sdtPr>
          <w:sdtContent>
            <w:tc>
              <w:tcPr>
                <w:tcW w:w="3300" w:type="pct"/>
                <w:tcBorders>
                  <w:top w:val="outset" w:sz="6" w:space="0" w:color="414142"/>
                  <w:left w:val="outset" w:sz="6" w:space="0" w:color="414142"/>
                  <w:bottom w:val="outset" w:sz="6" w:space="0" w:color="414142"/>
                  <w:right w:val="outset" w:sz="6" w:space="0" w:color="414142"/>
                </w:tcBorders>
                <w:hideMark/>
              </w:tcPr>
              <w:p w:rsidR="00AB6969" w:rsidRPr="00086F58" w:rsidP="00AB6969">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Nav</w:t>
                </w:r>
              </w:p>
            </w:tc>
          </w:sdtContent>
        </w:sdt>
      </w:tr>
    </w:tbl>
    <w:p w:rsidR="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B60574" w:rsidRPr="00086F58"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894C55" w:rsidRPr="00086F58" w:rsidP="00302C9C">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659"/>
        <w:gridCol w:w="5944"/>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86F58"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6F58">
              <w:rPr>
                <w:rFonts w:ascii="Times New Roman" w:eastAsia="Times New Roman" w:hAnsi="Times New Roman" w:cs="Times New Roman"/>
                <w:b/>
                <w:bCs/>
                <w:sz w:val="24"/>
                <w:szCs w:val="24"/>
                <w:lang w:eastAsia="lv-LV"/>
              </w:rPr>
              <w:t>VII.</w:t>
            </w:r>
            <w:r w:rsidRPr="00086F58" w:rsidR="00816C11">
              <w:rPr>
                <w:rFonts w:ascii="Times New Roman" w:eastAsia="Times New Roman" w:hAnsi="Times New Roman" w:cs="Times New Roman"/>
                <w:b/>
                <w:bCs/>
                <w:sz w:val="24"/>
                <w:szCs w:val="24"/>
                <w:lang w:eastAsia="lv-LV"/>
              </w:rPr>
              <w:t> </w:t>
            </w:r>
            <w:r w:rsidRPr="00086F58">
              <w:rPr>
                <w:rFonts w:ascii="Times New Roman" w:eastAsia="Times New Roman" w:hAnsi="Times New Roman" w:cs="Times New Roman"/>
                <w:b/>
                <w:bCs/>
                <w:sz w:val="24"/>
                <w:szCs w:val="24"/>
                <w:lang w:eastAsia="lv-LV"/>
              </w:rPr>
              <w:t>Tiesību akta projekta izpildes nodrošināšana un tās ietekme uz institūcijām</w:t>
            </w:r>
          </w:p>
        </w:tc>
      </w:tr>
      <w:tr w:rsidTr="00E17407">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1455478421"/>
            <w:placeholder>
              <w:docPart w:val="FDD970DF03814E08AAAE176B3A069D53"/>
            </w:placeholder>
            <w:text/>
          </w:sdtPr>
          <w:sdtContent>
            <w:tc>
              <w:tcPr>
                <w:tcW w:w="3282"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Noteikumu projekta izpildi nodrošinās Valsts sporta medicīnas centrs</w:t>
                </w:r>
              </w:p>
            </w:tc>
          </w:sdtContent>
        </w:sdt>
      </w:tr>
      <w:tr w:rsidTr="00E17407">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rsidR="003630E7" w:rsidP="003630E7">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Projekta izpildes ietekme uz pārvaldes funkcijām un institucionālo struktūru.</w:t>
            </w:r>
          </w:p>
          <w:p w:rsidR="00894C55" w:rsidRPr="00086F58" w:rsidP="003630E7">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 xml:space="preserve">Jaunu institūciju izveide, esošu institūciju </w:t>
            </w:r>
            <w:r w:rsidRPr="00086F58">
              <w:rPr>
                <w:rFonts w:ascii="Times New Roman" w:eastAsia="Times New Roman" w:hAnsi="Times New Roman" w:cs="Times New Roman"/>
                <w:sz w:val="24"/>
                <w:szCs w:val="24"/>
                <w:lang w:eastAsia="lv-LV"/>
              </w:rPr>
              <w:t>likvidācija vai reorganizācija, to ietekme uz institūcijas cilvēkresursiem</w:t>
            </w:r>
          </w:p>
        </w:tc>
        <w:sdt>
          <w:sdtPr>
            <w:rPr>
              <w:rFonts w:ascii="Times New Roman" w:hAnsi="Times New Roman" w:cs="Times New Roman"/>
              <w:sz w:val="24"/>
              <w:szCs w:val="24"/>
            </w:rPr>
            <w:id w:val="534203789"/>
            <w:placeholder>
              <w:docPart w:val="1ACA54E693CD4D0BAD637E54C82C88FF"/>
            </w:placeholder>
            <w:text/>
          </w:sdtPr>
          <w:sdtContent>
            <w:tc>
              <w:tcPr>
                <w:tcW w:w="3282" w:type="pct"/>
                <w:tcBorders>
                  <w:top w:val="outset" w:sz="6" w:space="0" w:color="414142"/>
                  <w:left w:val="outset" w:sz="6" w:space="0" w:color="414142"/>
                  <w:bottom w:val="outset" w:sz="6" w:space="0" w:color="414142"/>
                  <w:right w:val="outset" w:sz="6" w:space="0" w:color="414142"/>
                </w:tcBorders>
                <w:hideMark/>
              </w:tcPr>
              <w:p w:rsidR="00894C55" w:rsidRPr="00086F58" w:rsidP="00AB6969">
                <w:pPr>
                  <w:spacing w:after="0" w:line="240" w:lineRule="auto"/>
                  <w:jc w:val="both"/>
                  <w:rPr>
                    <w:rFonts w:ascii="Times New Roman" w:eastAsia="Times New Roman" w:hAnsi="Times New Roman" w:cs="Times New Roman"/>
                    <w:sz w:val="24"/>
                    <w:szCs w:val="24"/>
                    <w:lang w:eastAsia="lv-LV"/>
                  </w:rPr>
                </w:pPr>
                <w:r w:rsidRPr="00086F58">
                  <w:rPr>
                    <w:rFonts w:ascii="Times New Roman" w:hAnsi="Times New Roman" w:cs="Times New Roman"/>
                    <w:sz w:val="24"/>
                    <w:szCs w:val="24"/>
                  </w:rPr>
                  <w:t xml:space="preserve">Jaunu institūciju izveide un esošo institūciju likvidācija nav nepieciešama. Jauno pakalpojumu sniegšana ietekmēs </w:t>
                </w:r>
                <w:r>
                  <w:rPr>
                    <w:rFonts w:ascii="Times New Roman" w:hAnsi="Times New Roman" w:cs="Times New Roman"/>
                    <w:sz w:val="24"/>
                    <w:szCs w:val="24"/>
                  </w:rPr>
                  <w:t>Centra</w:t>
                </w:r>
                <w:r w:rsidRPr="00086F58">
                  <w:rPr>
                    <w:rFonts w:ascii="Times New Roman" w:hAnsi="Times New Roman" w:cs="Times New Roman"/>
                    <w:sz w:val="24"/>
                    <w:szCs w:val="24"/>
                  </w:rPr>
                  <w:t xml:space="preserve"> darbinieku veicamos darba pienākumus, savukārt nepieciešamās amata vietas tiks nodrošinātas esošo amatu vietu skaita ietvaros.</w:t>
                </w:r>
              </w:p>
            </w:tc>
          </w:sdtContent>
        </w:sdt>
      </w:tr>
      <w:tr w:rsidTr="00E17407">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rsidR="00894C55" w:rsidRPr="00086F58"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100445422"/>
            <w:placeholder>
              <w:docPart w:val="16E4DF0885D242E391774F1A0758BD2D"/>
            </w:placeholder>
            <w:text/>
          </w:sdtPr>
          <w:sdtContent>
            <w:tc>
              <w:tcPr>
                <w:tcW w:w="3282" w:type="pct"/>
                <w:tcBorders>
                  <w:top w:val="outset" w:sz="6" w:space="0" w:color="414142"/>
                  <w:left w:val="outset" w:sz="6" w:space="0" w:color="414142"/>
                  <w:bottom w:val="outset" w:sz="6" w:space="0" w:color="414142"/>
                  <w:right w:val="outset" w:sz="6" w:space="0" w:color="414142"/>
                </w:tcBorders>
                <w:hideMark/>
              </w:tcPr>
              <w:p w:rsidR="00894C55" w:rsidRPr="00086F58" w:rsidP="00302C9C">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Nav</w:t>
                </w:r>
              </w:p>
            </w:tc>
          </w:sdtContent>
        </w:sdt>
      </w:tr>
    </w:tbl>
    <w:p w:rsidR="003306E9" w:rsidRPr="00F84547" w:rsidP="00F84547">
      <w:pPr>
        <w:spacing w:after="0" w:line="240" w:lineRule="auto"/>
        <w:rPr>
          <w:rFonts w:ascii="Times New Roman" w:hAnsi="Times New Roman" w:cs="Times New Roman"/>
          <w:i/>
          <w:sz w:val="24"/>
          <w:szCs w:val="24"/>
        </w:rPr>
      </w:pPr>
      <w:r w:rsidRPr="00086F58">
        <w:rPr>
          <w:rFonts w:ascii="Times New Roman" w:hAnsi="Times New Roman" w:cs="Times New Roman"/>
          <w:i/>
          <w:sz w:val="24"/>
          <w:szCs w:val="24"/>
        </w:rPr>
        <w:t>Anotācijas</w:t>
      </w:r>
      <w:r w:rsidRPr="00086F58">
        <w:rPr>
          <w:rFonts w:ascii="Times New Roman" w:hAnsi="Times New Roman" w:cs="Times New Roman"/>
          <w:sz w:val="24"/>
          <w:szCs w:val="24"/>
        </w:rPr>
        <w:t xml:space="preserve"> </w:t>
      </w:r>
      <w:r w:rsidRPr="00086F58">
        <w:rPr>
          <w:rFonts w:ascii="Times New Roman" w:hAnsi="Times New Roman" w:cs="Times New Roman"/>
          <w:i/>
          <w:sz w:val="24"/>
          <w:szCs w:val="24"/>
        </w:rPr>
        <w:t>IV,</w:t>
      </w:r>
      <w:r w:rsidRPr="00086F58" w:rsidR="00AB6969">
        <w:rPr>
          <w:rFonts w:ascii="Times New Roman" w:hAnsi="Times New Roman" w:cs="Times New Roman"/>
          <w:i/>
          <w:sz w:val="24"/>
          <w:szCs w:val="24"/>
        </w:rPr>
        <w:t xml:space="preserve"> V</w:t>
      </w:r>
      <w:r w:rsidRPr="00086F58">
        <w:rPr>
          <w:rFonts w:ascii="Times New Roman" w:hAnsi="Times New Roman" w:cs="Times New Roman"/>
          <w:i/>
          <w:sz w:val="24"/>
          <w:szCs w:val="24"/>
        </w:rPr>
        <w:t xml:space="preserve"> sadaļa – projekts šīs jomas neskar</w:t>
      </w:r>
    </w:p>
    <w:p w:rsidR="00F84547" w:rsidP="004E6C83">
      <w:pPr>
        <w:tabs>
          <w:tab w:val="left" w:pos="7230"/>
        </w:tabs>
        <w:spacing w:after="720" w:line="240" w:lineRule="auto"/>
        <w:ind w:right="-766"/>
        <w:rPr>
          <w:rFonts w:ascii="Times New Roman" w:eastAsia="Calibri" w:hAnsi="Times New Roman" w:cs="Times New Roman"/>
          <w:sz w:val="28"/>
          <w:szCs w:val="28"/>
        </w:rPr>
      </w:pPr>
    </w:p>
    <w:p w:rsidR="004E6C83" w:rsidRPr="003306E9" w:rsidP="004E6C83">
      <w:pPr>
        <w:tabs>
          <w:tab w:val="left" w:pos="7230"/>
        </w:tabs>
        <w:spacing w:after="720" w:line="240" w:lineRule="auto"/>
        <w:ind w:right="-766"/>
        <w:rPr>
          <w:rFonts w:ascii="Times New Roman" w:eastAsia="Calibri" w:hAnsi="Times New Roman" w:cs="Times New Roman"/>
          <w:sz w:val="28"/>
          <w:szCs w:val="28"/>
        </w:rPr>
      </w:pPr>
      <w:r w:rsidRPr="003306E9">
        <w:rPr>
          <w:rFonts w:ascii="Times New Roman" w:eastAsia="Calibri" w:hAnsi="Times New Roman" w:cs="Times New Roman"/>
          <w:sz w:val="28"/>
          <w:szCs w:val="28"/>
        </w:rPr>
        <w:t>Veselības ministre</w:t>
      </w:r>
      <w:r w:rsidRPr="003306E9">
        <w:rPr>
          <w:rFonts w:ascii="Times New Roman" w:eastAsia="Calibri" w:hAnsi="Times New Roman" w:cs="Times New Roman"/>
          <w:sz w:val="28"/>
          <w:szCs w:val="28"/>
        </w:rPr>
        <w:tab/>
      </w:r>
      <w:r w:rsidR="003306E9">
        <w:rPr>
          <w:rFonts w:ascii="Times New Roman" w:eastAsia="Calibri" w:hAnsi="Times New Roman" w:cs="Times New Roman"/>
          <w:sz w:val="28"/>
          <w:szCs w:val="28"/>
        </w:rPr>
        <w:t xml:space="preserve">     </w:t>
      </w:r>
      <w:r w:rsidRPr="003306E9">
        <w:rPr>
          <w:rFonts w:ascii="Times New Roman" w:eastAsia="Calibri" w:hAnsi="Times New Roman" w:cs="Times New Roman"/>
          <w:sz w:val="28"/>
          <w:szCs w:val="28"/>
        </w:rPr>
        <w:t xml:space="preserve">Anda </w:t>
      </w:r>
      <w:r w:rsidRPr="003306E9">
        <w:rPr>
          <w:rFonts w:ascii="Times New Roman" w:eastAsia="Calibri" w:hAnsi="Times New Roman" w:cs="Times New Roman"/>
          <w:sz w:val="28"/>
          <w:szCs w:val="28"/>
        </w:rPr>
        <w:t>Čakša</w:t>
      </w:r>
      <w:r w:rsidRPr="003306E9">
        <w:rPr>
          <w:rFonts w:ascii="Times New Roman" w:eastAsia="Calibri" w:hAnsi="Times New Roman" w:cs="Times New Roman"/>
          <w:sz w:val="28"/>
          <w:szCs w:val="28"/>
        </w:rPr>
        <w:tab/>
      </w:r>
    </w:p>
    <w:p w:rsidR="004E6C83" w:rsidRPr="003306E9" w:rsidP="004E6C83">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Vīza: Valsts sekretāra </w:t>
      </w:r>
      <w:r>
        <w:rPr>
          <w:rFonts w:ascii="Times New Roman" w:eastAsia="Calibri" w:hAnsi="Times New Roman" w:cs="Times New Roman"/>
          <w:sz w:val="28"/>
          <w:szCs w:val="28"/>
        </w:rPr>
        <w:t>p.i</w:t>
      </w:r>
      <w:r>
        <w:rPr>
          <w:rFonts w:ascii="Times New Roman" w:eastAsia="Calibri" w:hAnsi="Times New Roman" w:cs="Times New Roman"/>
          <w:sz w:val="28"/>
          <w:szCs w:val="28"/>
        </w:rPr>
        <w:t>.</w:t>
      </w:r>
      <w:r w:rsidRPr="003306E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Daina </w:t>
      </w:r>
      <w:r>
        <w:rPr>
          <w:rFonts w:ascii="Times New Roman" w:eastAsia="Calibri" w:hAnsi="Times New Roman" w:cs="Times New Roman"/>
          <w:sz w:val="28"/>
          <w:szCs w:val="28"/>
        </w:rPr>
        <w:t>Mūrmane</w:t>
      </w:r>
      <w:r>
        <w:rPr>
          <w:rFonts w:ascii="Times New Roman" w:eastAsia="Calibri" w:hAnsi="Times New Roman" w:cs="Times New Roman"/>
          <w:sz w:val="28"/>
          <w:szCs w:val="28"/>
        </w:rPr>
        <w:t xml:space="preserve"> - </w:t>
      </w:r>
      <w:r>
        <w:rPr>
          <w:rFonts w:ascii="Times New Roman" w:eastAsia="Calibri" w:hAnsi="Times New Roman" w:cs="Times New Roman"/>
          <w:sz w:val="28"/>
          <w:szCs w:val="28"/>
        </w:rPr>
        <w:t>Umbraško</w:t>
      </w:r>
      <w:r w:rsidRPr="003306E9">
        <w:rPr>
          <w:rFonts w:ascii="Times New Roman" w:eastAsia="Calibri" w:hAnsi="Times New Roman" w:cs="Times New Roman"/>
          <w:sz w:val="28"/>
          <w:szCs w:val="28"/>
        </w:rPr>
        <w:t xml:space="preserve">   </w:t>
      </w:r>
    </w:p>
    <w:p w:rsidR="004E6C83" w:rsidRPr="00086F58" w:rsidP="004E6C83">
      <w:pPr>
        <w:tabs>
          <w:tab w:val="right" w:pos="9072"/>
        </w:tabs>
        <w:spacing w:after="0" w:line="240" w:lineRule="auto"/>
        <w:ind w:right="-766"/>
        <w:rPr>
          <w:rFonts w:ascii="Times New Roman" w:eastAsia="Calibri" w:hAnsi="Times New Roman" w:cs="Times New Roman"/>
          <w:sz w:val="24"/>
          <w:szCs w:val="24"/>
        </w:rPr>
      </w:pPr>
    </w:p>
    <w:p w:rsidR="004E6C83" w:rsidP="004E6C83">
      <w:pPr>
        <w:tabs>
          <w:tab w:val="right" w:pos="9072"/>
        </w:tabs>
        <w:spacing w:after="0" w:line="240" w:lineRule="auto"/>
        <w:ind w:right="-766"/>
        <w:rPr>
          <w:rFonts w:ascii="Times New Roman" w:eastAsia="Calibri" w:hAnsi="Times New Roman" w:cs="Times New Roman"/>
          <w:sz w:val="24"/>
          <w:szCs w:val="24"/>
        </w:rPr>
      </w:pPr>
    </w:p>
    <w:p w:rsidR="003306E9" w:rsidP="004E6C83">
      <w:pPr>
        <w:tabs>
          <w:tab w:val="right" w:pos="9072"/>
        </w:tabs>
        <w:spacing w:after="0" w:line="240" w:lineRule="auto"/>
        <w:ind w:right="-766"/>
        <w:rPr>
          <w:rFonts w:ascii="Times New Roman" w:eastAsia="Calibri" w:hAnsi="Times New Roman" w:cs="Times New Roman"/>
          <w:sz w:val="24"/>
          <w:szCs w:val="24"/>
        </w:rPr>
      </w:pPr>
    </w:p>
    <w:p w:rsidR="003306E9" w:rsidP="004E6C83">
      <w:pPr>
        <w:tabs>
          <w:tab w:val="right" w:pos="9072"/>
        </w:tabs>
        <w:spacing w:after="0" w:line="240" w:lineRule="auto"/>
        <w:ind w:right="-766"/>
        <w:rPr>
          <w:rFonts w:ascii="Times New Roman" w:eastAsia="Calibri" w:hAnsi="Times New Roman" w:cs="Times New Roman"/>
          <w:sz w:val="24"/>
          <w:szCs w:val="24"/>
        </w:rPr>
      </w:pPr>
    </w:p>
    <w:p w:rsidR="003306E9" w:rsidRPr="00086F58" w:rsidP="004E6C83">
      <w:pPr>
        <w:tabs>
          <w:tab w:val="right" w:pos="9072"/>
        </w:tabs>
        <w:spacing w:after="0" w:line="240" w:lineRule="auto"/>
        <w:ind w:right="-766"/>
        <w:rPr>
          <w:rFonts w:ascii="Times New Roman" w:eastAsia="Calibri" w:hAnsi="Times New Roman" w:cs="Times New Roman"/>
          <w:sz w:val="24"/>
          <w:szCs w:val="24"/>
        </w:rPr>
      </w:pPr>
    </w:p>
    <w:p w:rsidR="00302C9C" w:rsidRPr="00086F58" w:rsidP="00302C9C">
      <w:pPr>
        <w:tabs>
          <w:tab w:val="right" w:pos="9072"/>
        </w:tabs>
        <w:spacing w:after="0" w:line="240" w:lineRule="auto"/>
        <w:ind w:right="-766"/>
        <w:rPr>
          <w:rFonts w:ascii="Times New Roman" w:eastAsia="Calibri" w:hAnsi="Times New Roman" w:cs="Times New Roman"/>
          <w:sz w:val="24"/>
          <w:szCs w:val="24"/>
        </w:rPr>
      </w:pPr>
      <w:r w:rsidRPr="00086F58">
        <w:rPr>
          <w:rFonts w:ascii="Times New Roman" w:eastAsia="Calibri" w:hAnsi="Times New Roman" w:cs="Times New Roman"/>
          <w:sz w:val="24"/>
          <w:szCs w:val="24"/>
        </w:rPr>
        <w:t>Liņģīte</w:t>
      </w:r>
      <w:r w:rsidRPr="00086F58">
        <w:rPr>
          <w:rFonts w:ascii="Times New Roman" w:eastAsia="Calibri" w:hAnsi="Times New Roman" w:cs="Times New Roman"/>
          <w:sz w:val="24"/>
          <w:szCs w:val="24"/>
        </w:rPr>
        <w:t xml:space="preserve"> 67226066</w:t>
      </w:r>
    </w:p>
    <w:p w:rsidR="004E6C83" w:rsidRPr="00086F58" w:rsidP="00302C9C">
      <w:pPr>
        <w:tabs>
          <w:tab w:val="right" w:pos="9072"/>
        </w:tabs>
        <w:spacing w:after="0" w:line="240" w:lineRule="auto"/>
        <w:ind w:right="-766"/>
        <w:rPr>
          <w:rFonts w:ascii="Times New Roman" w:eastAsia="Calibri" w:hAnsi="Times New Roman" w:cs="Times New Roman"/>
          <w:sz w:val="24"/>
          <w:szCs w:val="24"/>
        </w:rPr>
      </w:pPr>
      <w:r w:rsidRPr="00086F58">
        <w:rPr>
          <w:rFonts w:ascii="Times New Roman" w:eastAsia="Calibri" w:hAnsi="Times New Roman" w:cs="Times New Roman"/>
          <w:sz w:val="24"/>
          <w:szCs w:val="24"/>
        </w:rPr>
        <w:t>Juliana.Lingite@vsmc.gov.lv</w:t>
      </w:r>
    </w:p>
    <w:p w:rsidR="004E6C83" w:rsidRPr="00086F58" w:rsidP="004E6C83">
      <w:pPr>
        <w:tabs>
          <w:tab w:val="left" w:pos="6237"/>
        </w:tabs>
        <w:spacing w:after="0" w:line="240" w:lineRule="auto"/>
        <w:rPr>
          <w:rFonts w:ascii="Times New Roman" w:eastAsia="Calibri" w:hAnsi="Times New Roman" w:cs="Times New Roman"/>
          <w:sz w:val="24"/>
          <w:szCs w:val="24"/>
        </w:rPr>
      </w:pPr>
      <w:r w:rsidRPr="00086F58">
        <w:rPr>
          <w:rFonts w:ascii="Times New Roman" w:eastAsia="Calibri" w:hAnsi="Times New Roman" w:cs="Times New Roman"/>
          <w:sz w:val="24"/>
          <w:szCs w:val="24"/>
        </w:rPr>
        <w:t xml:space="preserve">Zandberga </w:t>
      </w:r>
      <w:r w:rsidRPr="00086F58">
        <w:rPr>
          <w:rFonts w:ascii="Times New Roman" w:eastAsia="Times New Roman" w:hAnsi="Times New Roman" w:cs="Times New Roman"/>
          <w:sz w:val="24"/>
          <w:szCs w:val="24"/>
        </w:rPr>
        <w:t>67876041</w:t>
      </w:r>
    </w:p>
    <w:p w:rsidR="004E6C83" w:rsidRPr="00086F58" w:rsidP="004E6C83">
      <w:pPr>
        <w:tabs>
          <w:tab w:val="left" w:pos="6237"/>
        </w:tabs>
        <w:spacing w:after="0" w:line="240" w:lineRule="auto"/>
        <w:rPr>
          <w:rFonts w:ascii="Times New Roman" w:eastAsia="Calibri" w:hAnsi="Times New Roman" w:cs="Times New Roman"/>
          <w:sz w:val="24"/>
          <w:szCs w:val="24"/>
        </w:rPr>
      </w:pPr>
      <w:r>
        <w:fldChar w:fldCharType="begin"/>
      </w:r>
      <w:r>
        <w:instrText xml:space="preserve"> HYPERLINK "mailto:Lasma.Zandberga@vm.gov.lv" </w:instrText>
      </w:r>
      <w:r>
        <w:fldChar w:fldCharType="separate"/>
      </w:r>
      <w:r w:rsidRPr="00086F58" w:rsidR="00302C9C">
        <w:rPr>
          <w:rStyle w:val="Hyperlink"/>
          <w:rFonts w:ascii="Times New Roman" w:eastAsia="Calibri" w:hAnsi="Times New Roman" w:cs="Times New Roman"/>
          <w:color w:val="auto"/>
          <w:sz w:val="24"/>
          <w:szCs w:val="24"/>
        </w:rPr>
        <w:t>Lasma.Zandberga@vm.gov.lv</w:t>
      </w:r>
      <w:r>
        <w:fldChar w:fldCharType="end"/>
      </w:r>
    </w:p>
    <w:p w:rsidR="004E6C83" w:rsidRPr="00894C55" w:rsidP="004E6C83">
      <w:pPr>
        <w:tabs>
          <w:tab w:val="left" w:pos="6237"/>
        </w:tabs>
        <w:spacing w:after="0" w:line="240" w:lineRule="auto"/>
        <w:ind w:firstLine="720"/>
        <w:rPr>
          <w:rFonts w:ascii="Times New Roman" w:hAnsi="Times New Roman" w:cs="Times New Roman"/>
          <w:sz w:val="24"/>
          <w:szCs w:val="28"/>
        </w:rPr>
      </w:pPr>
    </w:p>
    <w:p w:rsidR="00894C55" w:rsidRPr="00894C55" w:rsidP="004E6C83">
      <w:pPr>
        <w:tabs>
          <w:tab w:val="left" w:pos="6237"/>
        </w:tabs>
        <w:spacing w:after="0" w:line="240" w:lineRule="auto"/>
        <w:ind w:firstLine="720"/>
        <w:rPr>
          <w:rFonts w:ascii="Times New Roman" w:hAnsi="Times New Roman" w:cs="Times New Roman"/>
          <w:sz w:val="24"/>
          <w:szCs w:val="28"/>
        </w:rPr>
      </w:pP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pPr>
      <w:pStyle w:val="Footer"/>
      <w:rPr>
        <w:rFonts w:ascii="Times New Roman" w:hAnsi="Times New Roman" w:cs="Times New Roman"/>
        <w:sz w:val="20"/>
        <w:szCs w:val="20"/>
      </w:rPr>
    </w:pPr>
    <w:r>
      <w:rPr>
        <w:rFonts w:ascii="Times New Roman" w:hAnsi="Times New Roman" w:cs="Times New Roman"/>
        <w:sz w:val="20"/>
        <w:szCs w:val="20"/>
      </w:rPr>
      <w:t>VManot_10</w:t>
    </w:r>
    <w:r w:rsidR="00FF7664">
      <w:rPr>
        <w:rFonts w:ascii="Times New Roman" w:hAnsi="Times New Roman" w:cs="Times New Roman"/>
        <w:sz w:val="20"/>
        <w:szCs w:val="20"/>
      </w:rPr>
      <w:t>10</w:t>
    </w:r>
    <w:r w:rsidR="00FA7E68">
      <w:rPr>
        <w:rFonts w:ascii="Times New Roman" w:hAnsi="Times New Roman" w:cs="Times New Roman"/>
        <w:sz w:val="20"/>
        <w:szCs w:val="20"/>
      </w:rPr>
      <w:t>17</w:t>
    </w:r>
    <w:r w:rsidR="009A2654">
      <w:rPr>
        <w:rFonts w:ascii="Times New Roman" w:hAnsi="Times New Roman" w:cs="Times New Roman"/>
        <w:sz w:val="20"/>
        <w:szCs w:val="20"/>
      </w:rPr>
      <w:t>_</w:t>
    </w:r>
    <w:r w:rsidR="002806E3">
      <w:rPr>
        <w:rFonts w:ascii="Times New Roman" w:hAnsi="Times New Roman" w:cs="Times New Roman"/>
        <w:sz w:val="20"/>
        <w:szCs w:val="20"/>
      </w:rPr>
      <w:t>VSMCmaks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A2654">
    <w:pPr>
      <w:pStyle w:val="Footer"/>
      <w:rPr>
        <w:rFonts w:ascii="Times New Roman" w:hAnsi="Times New Roman" w:cs="Times New Roman"/>
        <w:sz w:val="20"/>
        <w:szCs w:val="20"/>
      </w:rPr>
    </w:pPr>
    <w:r>
      <w:rPr>
        <w:rFonts w:ascii="Times New Roman" w:hAnsi="Times New Roman" w:cs="Times New Roman"/>
        <w:sz w:val="20"/>
        <w:szCs w:val="20"/>
      </w:rPr>
      <w:t>VManot_10</w:t>
    </w:r>
    <w:r w:rsidR="00FF7664">
      <w:rPr>
        <w:rFonts w:ascii="Times New Roman" w:hAnsi="Times New Roman" w:cs="Times New Roman"/>
        <w:sz w:val="20"/>
        <w:szCs w:val="20"/>
      </w:rPr>
      <w:t>1017_VSMCmaks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3344773"/>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34B53">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73596"/>
    <w:rsid w:val="00086F58"/>
    <w:rsid w:val="000959B0"/>
    <w:rsid w:val="000B3B77"/>
    <w:rsid w:val="000D3A6B"/>
    <w:rsid w:val="001330A3"/>
    <w:rsid w:val="00145877"/>
    <w:rsid w:val="0016455A"/>
    <w:rsid w:val="00243426"/>
    <w:rsid w:val="002626D2"/>
    <w:rsid w:val="002633B1"/>
    <w:rsid w:val="002806E3"/>
    <w:rsid w:val="002E1C05"/>
    <w:rsid w:val="002E319B"/>
    <w:rsid w:val="00302C9C"/>
    <w:rsid w:val="0032033E"/>
    <w:rsid w:val="00323737"/>
    <w:rsid w:val="003306E9"/>
    <w:rsid w:val="00344186"/>
    <w:rsid w:val="003630E7"/>
    <w:rsid w:val="00394DC1"/>
    <w:rsid w:val="003B0BF9"/>
    <w:rsid w:val="003D1D08"/>
    <w:rsid w:val="003E0791"/>
    <w:rsid w:val="003F188A"/>
    <w:rsid w:val="003F28AC"/>
    <w:rsid w:val="004454FE"/>
    <w:rsid w:val="0045213C"/>
    <w:rsid w:val="00471F27"/>
    <w:rsid w:val="00483A7F"/>
    <w:rsid w:val="004E6C83"/>
    <w:rsid w:val="0050178F"/>
    <w:rsid w:val="00534B53"/>
    <w:rsid w:val="005B5425"/>
    <w:rsid w:val="005C45DF"/>
    <w:rsid w:val="006312FB"/>
    <w:rsid w:val="00645ECD"/>
    <w:rsid w:val="00683340"/>
    <w:rsid w:val="006E1081"/>
    <w:rsid w:val="006F1CA6"/>
    <w:rsid w:val="00720585"/>
    <w:rsid w:val="00751B3E"/>
    <w:rsid w:val="0075447F"/>
    <w:rsid w:val="00761BE1"/>
    <w:rsid w:val="00765738"/>
    <w:rsid w:val="00773AF6"/>
    <w:rsid w:val="00795F71"/>
    <w:rsid w:val="007D37EF"/>
    <w:rsid w:val="007D5B3C"/>
    <w:rsid w:val="007E73AB"/>
    <w:rsid w:val="007F7000"/>
    <w:rsid w:val="008137DD"/>
    <w:rsid w:val="00816C11"/>
    <w:rsid w:val="0085426B"/>
    <w:rsid w:val="00894C55"/>
    <w:rsid w:val="008C6A3C"/>
    <w:rsid w:val="009A2654"/>
    <w:rsid w:val="009A2706"/>
    <w:rsid w:val="00A4462A"/>
    <w:rsid w:val="00A6073E"/>
    <w:rsid w:val="00A71D7A"/>
    <w:rsid w:val="00AA1F51"/>
    <w:rsid w:val="00AB6969"/>
    <w:rsid w:val="00AE3254"/>
    <w:rsid w:val="00AE5567"/>
    <w:rsid w:val="00B16480"/>
    <w:rsid w:val="00B2165C"/>
    <w:rsid w:val="00B60574"/>
    <w:rsid w:val="00B62125"/>
    <w:rsid w:val="00B75B91"/>
    <w:rsid w:val="00B8537B"/>
    <w:rsid w:val="00B9157A"/>
    <w:rsid w:val="00B92EC1"/>
    <w:rsid w:val="00BA20AA"/>
    <w:rsid w:val="00BD4425"/>
    <w:rsid w:val="00C25B49"/>
    <w:rsid w:val="00CE5657"/>
    <w:rsid w:val="00D133F8"/>
    <w:rsid w:val="00D13457"/>
    <w:rsid w:val="00D14A3E"/>
    <w:rsid w:val="00D55D82"/>
    <w:rsid w:val="00DD44A6"/>
    <w:rsid w:val="00DF43B0"/>
    <w:rsid w:val="00DF787D"/>
    <w:rsid w:val="00E17407"/>
    <w:rsid w:val="00E3716B"/>
    <w:rsid w:val="00E8222F"/>
    <w:rsid w:val="00E8749E"/>
    <w:rsid w:val="00E90C01"/>
    <w:rsid w:val="00EA486E"/>
    <w:rsid w:val="00F55E5B"/>
    <w:rsid w:val="00F57B0C"/>
    <w:rsid w:val="00F84547"/>
    <w:rsid w:val="00FA7E68"/>
    <w:rsid w:val="00FB77CA"/>
    <w:rsid w:val="00FC0A02"/>
    <w:rsid w:val="00FC6937"/>
    <w:rsid w:val="00FF5D4F"/>
    <w:rsid w:val="00FF766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302C9C"/>
    <w:pPr>
      <w:spacing w:before="75" w:after="75" w:line="240" w:lineRule="auto"/>
    </w:pPr>
    <w:rPr>
      <w:rFonts w:ascii="Times New Roman" w:eastAsia="Calibri" w:hAnsi="Times New Roman" w:cs="Times New Roman"/>
      <w:sz w:val="24"/>
      <w:szCs w:val="24"/>
      <w:lang w:eastAsia="lv-LV"/>
    </w:rPr>
  </w:style>
  <w:style w:type="character" w:customStyle="1" w:styleId="Mention1">
    <w:name w:val="Mention1"/>
    <w:basedOn w:val="DefaultParagraphFont"/>
    <w:uiPriority w:val="99"/>
    <w:semiHidden/>
    <w:unhideWhenUsed/>
    <w:rsid w:val="00302C9C"/>
    <w:rPr>
      <w:color w:val="2B579A"/>
      <w:shd w:val="clear" w:color="auto" w:fill="E6E6E6"/>
    </w:rPr>
  </w:style>
  <w:style w:type="paragraph" w:styleId="NormalWeb">
    <w:name w:val="Normal (Web)"/>
    <w:basedOn w:val="Normal"/>
    <w:link w:val="NormalWebChar"/>
    <w:rsid w:val="00B92EC1"/>
    <w:pPr>
      <w:spacing w:before="75" w:after="75" w:line="240" w:lineRule="auto"/>
    </w:pPr>
    <w:rPr>
      <w:rFonts w:ascii="Times New Roman" w:eastAsia="Calibri" w:hAnsi="Times New Roman" w:cs="Times New Roman"/>
      <w:sz w:val="24"/>
      <w:szCs w:val="24"/>
      <w:lang w:eastAsia="lv-LV"/>
    </w:rPr>
  </w:style>
  <w:style w:type="paragraph" w:styleId="NoSpacing">
    <w:name w:val="No Spacing"/>
    <w:qFormat/>
    <w:rsid w:val="00B92EC1"/>
    <w:pPr>
      <w:spacing w:after="0" w:line="240" w:lineRule="auto"/>
    </w:pPr>
    <w:rPr>
      <w:rFonts w:ascii="Calibri" w:eastAsia="Times New Roman" w:hAnsi="Calibri" w:cs="Calibri"/>
      <w:lang w:val="en-US"/>
    </w:rPr>
  </w:style>
  <w:style w:type="character" w:customStyle="1" w:styleId="NormalWebChar">
    <w:name w:val="Normal (Web) Char"/>
    <w:link w:val="NormalWeb"/>
    <w:locked/>
    <w:rsid w:val="00B92EC1"/>
    <w:rPr>
      <w:rFonts w:ascii="Times New Roman" w:eastAsia="Calibri" w:hAnsi="Times New Roman" w:cs="Times New Roman"/>
      <w:sz w:val="24"/>
      <w:szCs w:val="24"/>
      <w:lang w:eastAsia="lv-LV"/>
    </w:rPr>
  </w:style>
  <w:style w:type="table" w:styleId="TableGrid">
    <w:name w:val="Table Grid"/>
    <w:basedOn w:val="TableNormal"/>
    <w:rsid w:val="00483A7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
    <w:name w:val="th"/>
    <w:basedOn w:val="Normal"/>
    <w:uiPriority w:val="99"/>
    <w:rsid w:val="00D55D82"/>
    <w:pPr>
      <w:spacing w:before="100" w:beforeAutospacing="1" w:after="100" w:afterAutospacing="1" w:line="240" w:lineRule="auto"/>
    </w:pPr>
    <w:rPr>
      <w:rFonts w:ascii="Times New Roman" w:eastAsia="Times New Roman" w:hAnsi="Times New Roman" w:cs="Times New Roman"/>
      <w:b/>
      <w:bCs/>
      <w:color w:val="333333"/>
      <w:sz w:val="24"/>
      <w:szCs w:val="24"/>
      <w:lang w:eastAsia="lv-LV"/>
    </w:rPr>
  </w:style>
  <w:style w:type="paragraph" w:styleId="ListParagraph">
    <w:name w:val="List Paragraph"/>
    <w:basedOn w:val="Normal"/>
    <w:uiPriority w:val="34"/>
    <w:qFormat/>
    <w:rsid w:val="00D55D82"/>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C77BE940338849AB90331A56F15E01FD"/>
        <w:category>
          <w:name w:val="General"/>
          <w:gallery w:val="placeholder"/>
        </w:category>
        <w:types>
          <w:type w:val="bbPlcHdr"/>
        </w:types>
        <w:behaviors>
          <w:behavior w:val="content"/>
        </w:behaviors>
        <w:guid w:val="{F0237A05-97E3-432D-9BA1-BCC1215A99BA}"/>
      </w:docPartPr>
      <w:docPartBody>
        <w:p w:rsidR="00344186" w:rsidP="00FF5D4F">
          <w:pPr>
            <w:pStyle w:val="C77BE940338849AB90331A56F15E01F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20.</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56C3CC8D3A94A1B88E371E00A30BEC8"/>
        <w:category>
          <w:name w:val="General"/>
          <w:gallery w:val="placeholder"/>
        </w:category>
        <w:types>
          <w:type w:val="bbPlcHdr"/>
        </w:types>
        <w:behaviors>
          <w:behavior w:val="content"/>
        </w:behaviors>
        <w:guid w:val="{6343F979-17FF-458B-BE47-D88FFAA7AC09}"/>
      </w:docPartPr>
      <w:docPartBody>
        <w:p w:rsidR="00344186" w:rsidP="00FF5D4F">
          <w:pPr>
            <w:pStyle w:val="A56C3CC8D3A94A1B88E371E00A30BE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6933FF16EF7E425496FC5A135179956E"/>
        <w:category>
          <w:name w:val="General"/>
          <w:gallery w:val="placeholder"/>
        </w:category>
        <w:types>
          <w:type w:val="bbPlcHdr"/>
        </w:types>
        <w:behaviors>
          <w:behavior w:val="content"/>
        </w:behaviors>
        <w:guid w:val="{77848059-EC4F-4781-BE62-8A833084E578}"/>
      </w:docPartPr>
      <w:docPartBody>
        <w:p w:rsidR="0045213C" w:rsidP="00F55E5B">
          <w:pPr>
            <w:pStyle w:val="6933FF16EF7E425496FC5A135179956E"/>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7875F8049CD145F6A27B582661DBB471"/>
        <w:category>
          <w:name w:val="General"/>
          <w:gallery w:val="placeholder"/>
        </w:category>
        <w:types>
          <w:type w:val="bbPlcHdr"/>
        </w:types>
        <w:behaviors>
          <w:behavior w:val="content"/>
        </w:behaviors>
        <w:guid w:val="{056FD8D7-8A54-4165-B2DF-3A75005B33D1}"/>
      </w:docPartPr>
      <w:docPartBody>
        <w:p w:rsidR="00F55E5B" w:rsidRPr="00894C55"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5213C" w:rsidP="00F55E5B">
          <w:pPr>
            <w:pStyle w:val="7875F8049CD145F6A27B582661DBB471"/>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20871D7F369A402E9D8CD2144EB12F0A"/>
        <w:category>
          <w:name w:val="General"/>
          <w:gallery w:val="placeholder"/>
        </w:category>
        <w:types>
          <w:type w:val="bbPlcHdr"/>
        </w:types>
        <w:behaviors>
          <w:behavior w:val="content"/>
        </w:behaviors>
        <w:guid w:val="{82E1A422-78CE-4C78-925D-891DEF6CB699}"/>
      </w:docPartPr>
      <w:docPartBody>
        <w:p w:rsidR="00F55E5B" w:rsidRPr="00894C55"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5213C" w:rsidP="00F55E5B">
          <w:pPr>
            <w:pStyle w:val="20871D7F369A402E9D8CD2144EB12F0A"/>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1A73DE"/>
    <w:rsid w:val="002A1E9B"/>
    <w:rsid w:val="00344186"/>
    <w:rsid w:val="0045213C"/>
    <w:rsid w:val="00472F39"/>
    <w:rsid w:val="00523A63"/>
    <w:rsid w:val="005561EE"/>
    <w:rsid w:val="006D1081"/>
    <w:rsid w:val="008B623B"/>
    <w:rsid w:val="008D39C9"/>
    <w:rsid w:val="009C1B4C"/>
    <w:rsid w:val="00AD4A2F"/>
    <w:rsid w:val="00B3767C"/>
    <w:rsid w:val="00BE0D8B"/>
    <w:rsid w:val="00C00671"/>
    <w:rsid w:val="00F55E5B"/>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6933FF16EF7E425496FC5A135179956E">
    <w:name w:val="6933FF16EF7E425496FC5A135179956E"/>
    <w:rsid w:val="00F55E5B"/>
    <w:pPr>
      <w:spacing w:after="160" w:line="259" w:lineRule="auto"/>
    </w:pPr>
    <w:rPr>
      <w:sz w:val="22"/>
      <w:szCs w:val="22"/>
    </w:rPr>
  </w:style>
  <w:style w:type="paragraph" w:customStyle="1" w:styleId="7875F8049CD145F6A27B582661DBB471">
    <w:name w:val="7875F8049CD145F6A27B582661DBB471"/>
    <w:rsid w:val="00F55E5B"/>
    <w:pPr>
      <w:spacing w:after="160" w:line="259" w:lineRule="auto"/>
    </w:pPr>
    <w:rPr>
      <w:sz w:val="22"/>
      <w:szCs w:val="22"/>
    </w:rPr>
  </w:style>
  <w:style w:type="paragraph" w:customStyle="1" w:styleId="992BFA425D72410CBE1A3B95519FBE9A">
    <w:name w:val="992BFA425D72410CBE1A3B95519FBE9A"/>
    <w:rsid w:val="00F55E5B"/>
    <w:pPr>
      <w:spacing w:after="160" w:line="259" w:lineRule="auto"/>
    </w:pPr>
    <w:rPr>
      <w:sz w:val="22"/>
      <w:szCs w:val="22"/>
    </w:rPr>
  </w:style>
  <w:style w:type="paragraph" w:customStyle="1" w:styleId="CA47C252CBC841CA87CDD0990EA794DA">
    <w:name w:val="CA47C252CBC841CA87CDD0990EA794DA"/>
    <w:rsid w:val="00F55E5B"/>
    <w:pPr>
      <w:spacing w:after="160" w:line="259" w:lineRule="auto"/>
    </w:pPr>
    <w:rPr>
      <w:sz w:val="22"/>
      <w:szCs w:val="22"/>
    </w:rPr>
  </w:style>
  <w:style w:type="paragraph" w:customStyle="1" w:styleId="20871D7F369A402E9D8CD2144EB12F0A">
    <w:name w:val="20871D7F369A402E9D8CD2144EB12F0A"/>
    <w:rsid w:val="00F55E5B"/>
    <w:pPr>
      <w:spacing w:after="160" w:line="259" w:lineRule="auto"/>
    </w:pPr>
    <w:rPr>
      <w:sz w:val="22"/>
      <w:szCs w:val="22"/>
    </w:rPr>
  </w:style>
  <w:style w:type="paragraph" w:customStyle="1" w:styleId="DC5C258FF7CD4FB4B7282F810FE2212A">
    <w:name w:val="DC5C258FF7CD4FB4B7282F810FE2212A"/>
    <w:rsid w:val="00F55E5B"/>
    <w:pPr>
      <w:spacing w:after="160" w:line="259" w:lineRule="auto"/>
    </w:pPr>
    <w:rPr>
      <w:sz w:val="22"/>
      <w:szCs w:val="22"/>
    </w:rPr>
  </w:style>
  <w:style w:type="paragraph" w:customStyle="1" w:styleId="01A7959042774BFA88C367764DB664B9">
    <w:name w:val="01A7959042774BFA88C367764DB664B9"/>
    <w:rsid w:val="00F55E5B"/>
    <w:pPr>
      <w:spacing w:after="160" w:line="259" w:lineRule="auto"/>
    </w:pPr>
    <w:rPr>
      <w:sz w:val="22"/>
      <w:szCs w:val="22"/>
    </w:rPr>
  </w:style>
  <w:style w:type="paragraph" w:customStyle="1" w:styleId="2FB3E202CD784B029F94DB7E9A393874">
    <w:name w:val="2FB3E202CD784B029F94DB7E9A393874"/>
    <w:rsid w:val="00F55E5B"/>
    <w:pPr>
      <w:spacing w:after="160" w:line="259" w:lineRule="auto"/>
    </w:pPr>
    <w:rPr>
      <w:sz w:val="22"/>
      <w:szCs w:val="22"/>
    </w:rPr>
  </w:style>
  <w:style w:type="paragraph" w:customStyle="1" w:styleId="C3503B1AF50C4D7BB6C21EC32C4B74DC">
    <w:name w:val="C3503B1AF50C4D7BB6C21EC32C4B74DC"/>
    <w:rsid w:val="00F55E5B"/>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16305</Words>
  <Characters>9295</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Ministru kabineta noteikumu projekta "Valsts tiesu medicīnas ekspertīzes centra maksas pakalpojumu cenrādis" sākotnējās ietekmes novērtējuma ziņojums (anotācija)</vt:lpstr>
    </vt:vector>
  </TitlesOfParts>
  <Company>Veselības ministrija</Company>
  <LinksUpToDate>false</LinksUpToDate>
  <CharactersWithSpaces>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tiesu medicīnas ekspertīzes centra maksas pakalpojumu cenrādis" sākotnējās ietekmes novērtējuma ziņojums (anotācija)</dc:title>
  <dc:subject>Anotācija</dc:subject>
  <dc:creator>Lāsma Zandberga, Juliāna Liņģīte</dc:creator>
  <dc:description>67876041, Lasma.Zandberga@vm.gov.lv_x000D_
67226066, Juliana.Lingite@vm.gov.lv</dc:description>
  <cp:lastModifiedBy>Lāsma Zandberga</cp:lastModifiedBy>
  <cp:revision>4</cp:revision>
  <dcterms:created xsi:type="dcterms:W3CDTF">2017-10-05T10:36:00Z</dcterms:created>
  <dcterms:modified xsi:type="dcterms:W3CDTF">2017-10-10T09:09:00Z</dcterms:modified>
</cp:coreProperties>
</file>